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5122"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928"/>
        <w:gridCol w:w="3194"/>
      </w:tblGrid>
      <w:tr>
        <w:tblPrEx>
          <w:shd w:val="clear" w:color="auto" w:fill="d0ddef"/>
        </w:tblPrEx>
        <w:trPr>
          <w:trHeight w:val="1989" w:hRule="atLeast"/>
        </w:trPr>
        <w:tc>
          <w:tcPr>
            <w:tcW w:type="dxa" w:w="19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er"/>
              <w:tabs>
                <w:tab w:val="clear" w:pos="4680"/>
                <w:tab w:val="clear" w:pos="9360"/>
              </w:tabs>
              <w:spacing w:after="160" w:line="259" w:lineRule="auto"/>
            </w:pPr>
            <w:r>
              <w:rPr>
                <w:rFonts w:ascii="Times New Roman" w:cs="Times New Roman" w:hAnsi="Times New Roman" w:eastAsia="Times New Roman"/>
                <w:sz w:val="24"/>
                <w:szCs w:val="24"/>
                <w:lang w:val="en-US"/>
                <w14:textOutline w14:w="12700" w14:cap="flat">
                  <w14:noFill/>
                  <w14:miter w14:lim="400000"/>
                </w14:textOutline>
              </w:rPr>
              <w:drawing>
                <wp:inline distT="0" distB="0" distL="0" distR="0">
                  <wp:extent cx="904875" cy="1219200"/>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904875" cy="1219200"/>
                          </a:xfrm>
                          <a:prstGeom prst="rect">
                            <a:avLst/>
                          </a:prstGeom>
                          <a:ln w="12700" cap="flat">
                            <a:noFill/>
                            <a:miter lim="400000"/>
                          </a:ln>
                          <a:effectLst/>
                        </pic:spPr>
                      </pic:pic>
                    </a:graphicData>
                  </a:graphic>
                </wp:inline>
              </w:drawing>
            </w:r>
          </w:p>
        </w:tc>
        <w:tc>
          <w:tcPr>
            <w:tcW w:type="dxa" w:w="31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er"/>
              <w:tabs>
                <w:tab w:val="clear" w:pos="4680"/>
                <w:tab w:val="clear" w:pos="9360"/>
              </w:tabs>
              <w:jc w:val="center"/>
              <w:rPr>
                <w:rFonts w:ascii="Times New Roman" w:cs="Times New Roman" w:hAnsi="Times New Roman" w:eastAsia="Times New Roman"/>
                <w:b w:val="1"/>
                <w:bCs w:val="1"/>
                <w:sz w:val="34"/>
                <w:szCs w:val="34"/>
                <w:lang w:val="en-US"/>
                <w14:textOutline w14:w="12700" w14:cap="flat">
                  <w14:noFill/>
                  <w14:miter w14:lim="400000"/>
                </w14:textOutline>
              </w:rPr>
            </w:pPr>
          </w:p>
          <w:p>
            <w:pPr>
              <w:pStyle w:val="header"/>
              <w:tabs>
                <w:tab w:val="clear" w:pos="4680"/>
                <w:tab w:val="clear" w:pos="9360"/>
              </w:tabs>
              <w:bidi w:val="0"/>
              <w:ind w:left="0" w:right="0" w:firstLine="0"/>
              <w:jc w:val="center"/>
              <w:rPr>
                <w:rFonts w:ascii="Times New Roman" w:cs="Times New Roman" w:hAnsi="Times New Roman" w:eastAsia="Times New Roman"/>
                <w:b w:val="1"/>
                <w:bCs w:val="1"/>
                <w:sz w:val="34"/>
                <w:szCs w:val="34"/>
                <w:rtl w:val="0"/>
                <w14:textOutline w14:w="12700" w14:cap="flat">
                  <w14:noFill/>
                  <w14:miter w14:lim="400000"/>
                </w14:textOutline>
              </w:rPr>
            </w:pPr>
            <w:r>
              <w:rPr>
                <w:rFonts w:ascii="Times New Roman" w:hAnsi="Times New Roman"/>
                <w:b w:val="1"/>
                <w:bCs w:val="1"/>
                <w:sz w:val="34"/>
                <w:szCs w:val="34"/>
                <w:rtl w:val="0"/>
                <w:lang w:val="en-US"/>
                <w14:textOutline w14:w="12700" w14:cap="flat">
                  <w14:noFill/>
                  <w14:miter w14:lim="400000"/>
                </w14:textOutline>
              </w:rPr>
              <w:t>University of Wales</w:t>
            </w:r>
          </w:p>
          <w:p>
            <w:pPr>
              <w:pStyle w:val="header"/>
              <w:tabs>
                <w:tab w:val="clear" w:pos="4680"/>
                <w:tab w:val="clear" w:pos="9360"/>
              </w:tabs>
              <w:bidi w:val="0"/>
              <w:ind w:left="0" w:right="0" w:firstLine="0"/>
              <w:jc w:val="center"/>
              <w:rPr>
                <w:rtl w:val="0"/>
              </w:rPr>
            </w:pPr>
            <w:r>
              <w:rPr>
                <w:rFonts w:ascii="Times New Roman" w:hAnsi="Times New Roman"/>
                <w:b w:val="1"/>
                <w:bCs w:val="1"/>
                <w:sz w:val="34"/>
                <w:szCs w:val="34"/>
                <w:rtl w:val="0"/>
                <w:lang w:val="en-US"/>
                <w14:textOutline w14:w="12700" w14:cap="flat">
                  <w14:noFill/>
                  <w14:miter w14:lim="400000"/>
                </w14:textOutline>
              </w:rPr>
              <w:t>Trinity Saint David</w:t>
            </w:r>
          </w:p>
        </w:tc>
      </w:tr>
    </w:tbl>
    <w:p>
      <w:pPr>
        <w:pStyle w:val="Body"/>
        <w:widowControl w:val="0"/>
        <w:ind w:left="108" w:hanging="108"/>
        <w:jc w:val="center"/>
      </w:pPr>
    </w:p>
    <w:p>
      <w:pPr>
        <w:pStyle w:val="Body A"/>
        <w:spacing w:line="480" w:lineRule="auto"/>
        <w:jc w:val="center"/>
        <w:rPr>
          <w:rFonts w:ascii="Times New Roman" w:cs="Times New Roman" w:hAnsi="Times New Roman" w:eastAsia="Times New Roman"/>
          <w:sz w:val="24"/>
          <w:szCs w:val="24"/>
        </w:rPr>
      </w:pPr>
    </w:p>
    <w:p>
      <w:pPr>
        <w:pStyle w:val="Body A"/>
        <w:spacing w:line="36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BA Business management</w:t>
      </w:r>
    </w:p>
    <w:p>
      <w:pPr>
        <w:pStyle w:val="Body A"/>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MC: LCBB400</w:t>
      </w:r>
      <w:r>
        <w:rPr>
          <w:rFonts w:ascii="Times New Roman" w:hAnsi="Times New Roman"/>
          <w:sz w:val="24"/>
          <w:szCs w:val="24"/>
          <w:rtl w:val="0"/>
          <w:lang w:val="en-US"/>
        </w:rPr>
        <w:t>5</w:t>
      </w:r>
    </w:p>
    <w:p>
      <w:pPr>
        <w:pStyle w:val="Body A"/>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Lecturer: Nadeem Mirza</w:t>
      </w:r>
    </w:p>
    <w:p>
      <w:pPr>
        <w:pStyle w:val="Body A"/>
        <w:spacing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The Global Business Environment</w:t>
      </w:r>
    </w:p>
    <w:p>
      <w:pPr>
        <w:pStyle w:val="Body A"/>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Part 1</w:t>
      </w:r>
    </w:p>
    <w:p>
      <w:pPr>
        <w:pStyle w:val="Body A"/>
        <w:spacing w:line="24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Forces shaping the business environment </w:t>
      </w:r>
    </w:p>
    <w:p>
      <w:pPr>
        <w:pStyle w:val="Body A"/>
        <w:spacing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of the automotive industry </w:t>
      </w:r>
    </w:p>
    <w:p>
      <w:pPr>
        <w:pStyle w:val="Body A"/>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A work of Petya Niklenova</w:t>
      </w:r>
    </w:p>
    <w:p>
      <w:pPr>
        <w:pStyle w:val="Body A"/>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ID: 1916916</w:t>
      </w:r>
    </w:p>
    <w:p>
      <w:pPr>
        <w:pStyle w:val="Body A"/>
        <w:spacing w:line="360" w:lineRule="auto"/>
        <w:jc w:val="center"/>
        <w:rPr>
          <w:rFonts w:ascii="Times New Roman" w:cs="Times New Roman" w:hAnsi="Times New Roman" w:eastAsia="Times New Roman"/>
          <w:sz w:val="24"/>
          <w:szCs w:val="24"/>
        </w:rPr>
      </w:pPr>
    </w:p>
    <w:p>
      <w:pPr>
        <w:pStyle w:val="Body A"/>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Date:07/01/2021</w:t>
      </w: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Introduction</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global car manufacturing industry is a vast one and there are many forces that influence the direction that the industry follows. Lately, the trend has been in favour of electric and battery powered vehicles, which was not very much developed until about two decades ago when Tesla entered the fray and about a decade ago, electric mobility started picking up as a serious prospect into the future (Lee et al., 2020). There are many forces that make electric and battery powered powertrains the preferable mobility of options of the future. Some of these include the increasing awareness by the public about the role that internal combustion engines and fossil fuels play in environmental pollution, and the appreciation of the need to reduce emissions from vehicles (Thun and Hoenig, 2011). However, owning a car remains one of the goals of most people, especially in high and middle-income nations where these products are more affordable and accessible, because of the flexibility and autonomy they provide to the owners. The subsequent sections of this paper focus on the different forces that shape the industry through the use of Porter</w:t>
      </w:r>
      <w:r>
        <w:rPr>
          <w:rFonts w:ascii="Times New Roman" w:hAnsi="Times New Roman" w:hint="default"/>
          <w:sz w:val="24"/>
          <w:szCs w:val="24"/>
          <w:rtl w:val="0"/>
          <w:lang w:val="en-US"/>
        </w:rPr>
        <w:t>’</w:t>
      </w:r>
      <w:r>
        <w:rPr>
          <w:rFonts w:ascii="Times New Roman" w:hAnsi="Times New Roman"/>
          <w:sz w:val="24"/>
          <w:szCs w:val="24"/>
          <w:rtl w:val="0"/>
          <w:lang w:val="en-US"/>
        </w:rPr>
        <w:t>s Five Forces analysis, SWOT analysis, and PESTEL analysis of the industry at large. The aim of this analysis is to establish which position car manufacturers should occupy if they want to remain competitive in the industry in future (Thun and Hoenig, 2011).</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pt-PT"/>
        </w:rPr>
        <w:t>Porter</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s Five Forces Analysis</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Threat of new entrants: Weak</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global car manufacturing industry is vast, but it is mostly controlled by a few manufactures from Japan, Europe, and the United States. It is very difficult for new manufacturers to enter the industry and instantly become as competitive as the existing ones because the industry requires huge capital investments that will mostly put off new entrants. Unless a new manufacturer comes up with differentiated products in the market, like Tesla did with the fully electric vehicle, the chances of getting the market share or reaching competitive standards are very slim (Thun and Hoenig, 2011). In the past, the laws relating to this industry were not considered to be a strong barrier for new entrants but that has changed as more legislations are being enacted that are becoming stricter even for the currently established manufacturers. New entrants also do not have strong brand images, equity, and reputations, which are key determinants of success in this industry, thus making it very hard for new entrants to successfully challenge the existing manufacturers (Thun and Hoenig, 2011).</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Bargaining power of suppliers: Weak</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Most of the suppliers in this industry are small players and have little impact on the industry at large. Since only a few suppliers are significant in size to be able to challenge for bargains, the bargaining power in the automotive manufacturing industry is very weak (Blackhurst, Scheibe and Johnson, 2008). The suppliers in this industry are also governed and controlled by the rules that are set by the vehicle manufacturers themselves, which further weakens the chances that these suppliers have in negotiations and operating independently. Also, the number of parts manufacturers in the world is large, and the raw materials that car manufacturers need are available in plenty, meaning that car manufacturers have many options and that further weakens the bargaining power of the suppliers (Blackhurst, Scheibe and Johnson, 2008).</w:t>
      </w:r>
    </w:p>
    <w:p>
      <w:pPr>
        <w:pStyle w:val="Body A"/>
        <w:spacing w:line="480" w:lineRule="auto"/>
        <w:rPr>
          <w:rFonts w:ascii="Times New Roman" w:cs="Times New Roman" w:hAnsi="Times New Roman" w:eastAsia="Times New Roman"/>
          <w:b w:val="1"/>
          <w:bCs w:val="1"/>
          <w:sz w:val="24"/>
          <w:szCs w:val="24"/>
        </w:rPr>
      </w:pPr>
    </w:p>
    <w:p>
      <w:pPr>
        <w:pStyle w:val="Body A"/>
        <w:spacing w:line="480" w:lineRule="auto"/>
        <w:rPr>
          <w:rFonts w:ascii="Times New Roman" w:cs="Times New Roman" w:hAnsi="Times New Roman" w:eastAsia="Times New Roman"/>
          <w:b w:val="1"/>
          <w:bCs w:val="1"/>
          <w:sz w:val="24"/>
          <w:szCs w:val="24"/>
        </w:rPr>
      </w:pP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Bargaining power of buyers: Moderate to strong</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Most of the consumers are individuals who purchase single vehicles. Others, although fewer, are corporations and government agencies that purchase vehicles in large numbers. While the bargaining power of the individual consumers may be moderate, the organisations that purchase many units at a time have a stronger bargaining position to ask for lower prices (Stoycheva et al., 2018). The industry also has multiple brands competing in it, which leaves the consumers with a lot of options when they want to purchase a vehicle, and that also makes the bargaining power of the consumers stronger because the manufacturers have to acknowledge the presence of other options if they cannot negotiate with the consumer for better prices. However, consumers do not pose a threat of backward integration to the manufacturers, which regulates the bargaining power they have (Stoycheva et al., 2018).</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Threat of substitutes: Weak</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various alternatives to owning a car, which include public transit like buses, subways, railway services, and others like bikes, bicycles, and air travel. However, none of these alternative provide people with the exact services that the automobile provides to the owner (Stoycheva et al., 2018). Cars provide convenience and accessibility that by far outmatches the other alternative modes of travel. The other alternatives may be beneficial in that they do not require fueling and maintenance like the automobile does. These alternatives, however, do not provide the prestige and comfort of the car, making them less preferable option for the people who can afford the automobile (Stoycheva et al., 2018). </w:t>
      </w:r>
    </w:p>
    <w:p>
      <w:pPr>
        <w:pStyle w:val="Body A"/>
        <w:spacing w:line="480" w:lineRule="auto"/>
        <w:rPr>
          <w:rFonts w:ascii="Times New Roman" w:cs="Times New Roman" w:hAnsi="Times New Roman" w:eastAsia="Times New Roman"/>
          <w:b w:val="1"/>
          <w:bCs w:val="1"/>
          <w:sz w:val="24"/>
          <w:szCs w:val="24"/>
        </w:rPr>
      </w:pPr>
    </w:p>
    <w:p>
      <w:pPr>
        <w:pStyle w:val="Body A"/>
        <w:spacing w:line="480" w:lineRule="auto"/>
        <w:rPr>
          <w:rFonts w:ascii="Times New Roman" w:cs="Times New Roman" w:hAnsi="Times New Roman" w:eastAsia="Times New Roman"/>
          <w:b w:val="1"/>
          <w:bCs w:val="1"/>
          <w:sz w:val="24"/>
          <w:szCs w:val="24"/>
        </w:rPr>
      </w:pP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Competitive rivalry: Very strong</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automotive manufacturing industry entails a small number of recognised and influential brands as well as very high exit barriers. As a result, the competition within the industry is very stiff as all competitors seek to remain within the industry because any company that wants to leave the fray will have to bear very large losses. The level of customer loyalty in this industry is also very high and has matured over time throughout the industry (Lee et al., 2020). Despite brands targeting different consumer segments, they still end up overlapping, and that intensifies competition. Manufacturers are investing significant amounts of money in research and development so that they can develop superior products to those of the competition, as without that, they would stand a slim chance of survival in the industry (Lee et al., 2020).</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SWOT analysis of the automotive industry</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Strengths</w:t>
      </w:r>
    </w:p>
    <w:p>
      <w:pPr>
        <w:pStyle w:val="Body A"/>
        <w:spacing w:before="240"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Some of the strengths of this industry include the continuous technological advancements and product innovations that are pushing the industry further into the future and following the trends of the global population. The advent of alternative fuels and electric vehicles are oms of the innovations that have come into this industry to alleviate pollution through combustion engine fumes (Lee et al., 2020). The industry is also constantly evolving and today, owning an automobile is considered to represent freedom and is also a sign of economic growth by the owner. There is also the aspect of growth shifting to Asian markets, which continue to open up markets in some of the world</w:t>
      </w:r>
      <w:r>
        <w:rPr>
          <w:rFonts w:ascii="Times New Roman" w:hAnsi="Times New Roman" w:hint="default"/>
          <w:sz w:val="24"/>
          <w:szCs w:val="24"/>
          <w:rtl w:val="0"/>
          <w:lang w:val="en-US"/>
        </w:rPr>
        <w:t>’</w:t>
      </w:r>
      <w:r>
        <w:rPr>
          <w:rFonts w:ascii="Times New Roman" w:hAnsi="Times New Roman"/>
          <w:sz w:val="24"/>
          <w:szCs w:val="24"/>
          <w:rtl w:val="0"/>
          <w:lang w:val="en-US"/>
        </w:rPr>
        <w:t>s most populous regions where more people are increasingly becoming financially capable of owning automobiles (Mistry, 2011).</w:t>
      </w:r>
    </w:p>
    <w:p>
      <w:pPr>
        <w:pStyle w:val="Body A"/>
        <w:spacing w:line="480" w:lineRule="auto"/>
        <w:rPr>
          <w:rFonts w:ascii="Times New Roman" w:cs="Times New Roman" w:hAnsi="Times New Roman" w:eastAsia="Times New Roman"/>
          <w:b w:val="1"/>
          <w:bCs w:val="1"/>
          <w:sz w:val="24"/>
          <w:szCs w:val="24"/>
        </w:rPr>
      </w:pP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Weakness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Pollution is still a significant issue hampering the industry and as governments in many parts of the world seek ways to curb the role of the car in pollution, many legislations have been set up to limit emissions from cars. As a result, many manufacturers are forced to recall millions of their vehicles for failure to meet the emission standards as well as other standards of the market (Mistry, 2011). Such controversies have become common in recent years. Another weakness is the bargaining power of consumers, since, as earlier noted, they have numerous options and manufacturers have to play down their pricing ambitions to remain favorably within reach of the consumers. The volatility of fuel prices and concerning growth rates of the industry are also concerns that players in the market have to navigate while conducting their businesses (Mistry, 2011). </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Opportunities</w:t>
      </w:r>
    </w:p>
    <w:p>
      <w:pPr>
        <w:pStyle w:val="Body A"/>
        <w:spacing w:before="240"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There are many opportunities that are opening up in this industry for the future. One of these opportunities involves strategic alliances being formed between players in the industry where specialized capabilities and partnering between manufacturers help them in differentiating their products and give them better chances of growing their sales and profits. Partnerships also allow sharing of information and technologies, and these are vital in this industry for the manufacturers that want to remain competitive and attractive to consumers (Lee et al., 2020). The market is also expanding and lifestyles and consumer groups continue to diversify, creating new segments for manufacturers to exploit. The development of fuel-efficient and low emission vehicles also promises better opportunities for manufacturers in future as they can navigate through changing consumer interests and stricter legal requirements of the market (Lee et al., 2020).</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Threats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Intense competition is one of the most significant threats that companies in this industry face as each one of them wants to remain relevant and attractive to new customers while maintaining the loyal ones. The volatility of fuel prices is also a threat to this industry because it significantly affects the prices of vehicles and the overall cost of owning a car. For passenger segments, fuel price fluctuations have significant impacts on the inventory. The other threat the industry faces is slow economic growth in most parts of the world (Kurilov, 2012). The industry is significantly affected by macroeconomic uncertainty, unemployment, recession, among other economic factors that affect the consumer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capability to purchase or own a car. The high amounts of money companies invest in research and development is also a threat because companies have to balance between heavy investments in R&amp;D and producing vehicles that are available for friendly prices (Kurilov, 2012). </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PESTEL analysis of the automotive industry</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Political factors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Some of the most significant political factors involved in this industry include governments making laws that strictly govern emission standards and pollution that emanates from the car manufacturing industry. These regulations play a vital role as they can determine the models of vehicles that are successful in a market and which flop in those same markets (Yang et al., 2019). In most parts of the world, especially in Europe, the UK, and America, governments have put in place regulations that necessitate stricter emission testing and as a result, there are many manufacturers that have in the past been forced to recall thousands of their vehicles after they have been found to break emission legislations (Yang et al., 2019). In parts like Norway, and other parts of the EU, the governments are actively supporting the development of electric and alternative powertrains by availing tax cuts and subsidies to the people who buy them so that these models are easier to purchase. These factors significantly impact the industry at large (Yang et al., 2019).</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Economic forces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economic conditions in the world impact the purchasing power of consumers and therefore, when there are macroeconomic forces that deteriorate the financial status of the consumers, the sales of automobiles are expected to slump. Vehicles are not a basic necessity for people and thus, when economic conditions are not favorable, they tend to drop down the priority list and that impacts their sales. In developed markets, the consumers have a higher purchasing power than in the low-income markets and as a result, the sales of automobiles are higher in those markets than they are in developing markets (G</w:t>
      </w:r>
      <w:r>
        <w:rPr>
          <w:rFonts w:ascii="Times New Roman" w:hAnsi="Times New Roman" w:hint="default"/>
          <w:sz w:val="24"/>
          <w:szCs w:val="24"/>
          <w:rtl w:val="0"/>
          <w:lang w:val="en-US"/>
        </w:rPr>
        <w:t>á</w:t>
      </w:r>
      <w:r>
        <w:rPr>
          <w:rFonts w:ascii="Times New Roman" w:hAnsi="Times New Roman"/>
          <w:sz w:val="24"/>
          <w:szCs w:val="24"/>
          <w:rtl w:val="0"/>
          <w:lang w:val="en-US"/>
        </w:rPr>
        <w:t>l and R</w:t>
      </w:r>
      <w:r>
        <w:rPr>
          <w:rFonts w:ascii="Times New Roman" w:hAnsi="Times New Roman" w:hint="default"/>
          <w:sz w:val="24"/>
          <w:szCs w:val="24"/>
          <w:rtl w:val="0"/>
          <w:lang w:val="en-US"/>
        </w:rPr>
        <w:t>ó</w:t>
      </w:r>
      <w:r>
        <w:rPr>
          <w:rFonts w:ascii="Times New Roman" w:hAnsi="Times New Roman"/>
          <w:sz w:val="24"/>
          <w:szCs w:val="24"/>
          <w:rtl w:val="0"/>
        </w:rPr>
        <w:t>zsa, 2017).</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Social and cultural forces</w:t>
      </w:r>
    </w:p>
    <w:p>
      <w:pPr>
        <w:pStyle w:val="Body A"/>
        <w:spacing w:before="240"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most significant advantage of the car as a mode of travel is related to its convenience and comfort. These are qualities that relate to social factors and the quality of life of the consumers. Some societies prefer different models of vehicles than others, such as some markets being better for SUVs and luxury vehicles, like the Middle East, while others prefer sedans. Social trends are very dynamic and the preferences people may have today may vary significantly from what they will have in the future. The industry needs to be aware of these changing trends and act on them so that they can remain relevant to the consumers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needs and preferences (Stoycheva et al., 2018).</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Technological factors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automotive industry is heavily reliant in technology and innovation in the development of better and more dependable products. In recent years, the major technological shifts in the industry have been in the development of electric vehicles and the development of autonomous mobility. Every manufacture needs to keep up with the pace of technological developments top avoid losing out to competitors who develop superior products for the same consumers (Zhang, Li and Wu, 2017). </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Environmental factors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Today, consumers are more conscious of the pollution effects of vehicles and the industry continues to feel the pressure to diverse from internal combustion powertrains to lesser polluters. Also, governments and environmental organisations continue to pressure vehicle manufacturers to cut emission levels of their vehicles for the sake of the environmental impact that they have. As a result, most major manufacturers are investing heavily in technology and R&amp;D to come up with better models that do not pollute the environment as much as the older ones (Yang et al., 2019).</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Legal factors</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These mostly have to do with laws passed governing the vehicles in terms of emissions levels, but they also extend to taxation and subsidies. Laws passed by governments determine the vehicles that can be sold in certain regions and which ones cannot be sold there. Taxes and subsidies by governments also impact the consumer</w:t>
      </w:r>
      <w:r>
        <w:rPr>
          <w:rFonts w:ascii="Times New Roman" w:hAnsi="Times New Roman" w:hint="default"/>
          <w:sz w:val="24"/>
          <w:szCs w:val="24"/>
          <w:rtl w:val="0"/>
          <w:lang w:val="en-US"/>
        </w:rPr>
        <w:t>’</w:t>
      </w:r>
      <w:r>
        <w:rPr>
          <w:rFonts w:ascii="Times New Roman" w:hAnsi="Times New Roman"/>
          <w:sz w:val="24"/>
          <w:szCs w:val="24"/>
          <w:rtl w:val="0"/>
          <w:lang w:val="en-US"/>
        </w:rPr>
        <w:t>s ability to buy the cars, and thus they influence the sales and profitability of vehicles (Yang et al., 2019).</w:t>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it-IT"/>
        </w:rPr>
        <w:t>Conclusion</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conclusion, the automotive industry is vast and involves multiple players. Out of these manufacturers, a few are the major players who have managed to build stronger brands and equities, while most other ones are smaller companies that just remain afloat in the industry majorly through product differentiation. If a company wants to compete in this industry, where competition is very stiff, it is crucial to note that investing in technology and research and development are vital. It is paramount to be able to develop superior products that are aligned to the market trends, as that would make a manufacturer more relevant in the market in future.</w:t>
      </w:r>
    </w:p>
    <w:p>
      <w:pPr>
        <w:pStyle w:val="Body A"/>
        <w:spacing w:line="480" w:lineRule="auto"/>
      </w:pPr>
      <w:r>
        <w:rPr>
          <w:rFonts w:ascii="Arial Unicode MS" w:cs="Arial Unicode MS" w:hAnsi="Arial Unicode MS" w:eastAsia="Arial Unicode MS"/>
          <w:b w:val="0"/>
          <w:bCs w:val="0"/>
          <w:i w:val="0"/>
          <w:iCs w:val="0"/>
          <w:sz w:val="24"/>
          <w:szCs w:val="24"/>
        </w:rPr>
        <w:br w:type="page"/>
      </w:r>
    </w:p>
    <w:p>
      <w:pPr>
        <w:pStyle w:val="Body A"/>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Bibliography</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Banduka, N., Ve</w:t>
      </w:r>
      <w:r>
        <w:rPr>
          <w:rFonts w:ascii="Times New Roman" w:hAnsi="Times New Roman" w:hint="default"/>
          <w:sz w:val="24"/>
          <w:szCs w:val="24"/>
          <w:rtl w:val="0"/>
          <w:lang w:val="en-US"/>
        </w:rPr>
        <w:t>ž</w:t>
      </w:r>
      <w:r>
        <w:rPr>
          <w:rFonts w:ascii="Times New Roman" w:hAnsi="Times New Roman"/>
          <w:sz w:val="24"/>
          <w:szCs w:val="24"/>
          <w:rtl w:val="0"/>
          <w:lang w:val="en-US"/>
        </w:rPr>
        <w:t>a, I. and Bili</w:t>
      </w:r>
      <w:r>
        <w:rPr>
          <w:rFonts w:ascii="Times New Roman" w:hAnsi="Times New Roman" w:hint="default"/>
          <w:sz w:val="24"/>
          <w:szCs w:val="24"/>
          <w:rtl w:val="0"/>
          <w:lang w:val="en-US"/>
        </w:rPr>
        <w:t>ć</w:t>
      </w:r>
      <w:r>
        <w:rPr>
          <w:rFonts w:ascii="Times New Roman" w:hAnsi="Times New Roman"/>
          <w:sz w:val="24"/>
          <w:szCs w:val="24"/>
          <w:rtl w:val="0"/>
          <w:lang w:val="en-US"/>
        </w:rPr>
        <w:t xml:space="preserve">, B., 2016. An integrated lean approach to Process Failure Mode and Effect Analysis (PFMEA): A case study from automotive industry. </w:t>
      </w:r>
      <w:r>
        <w:rPr>
          <w:rFonts w:ascii="Times New Roman" w:hAnsi="Times New Roman"/>
          <w:i w:val="1"/>
          <w:iCs w:val="1"/>
          <w:sz w:val="24"/>
          <w:szCs w:val="24"/>
          <w:rtl w:val="0"/>
          <w:lang w:val="en-US"/>
        </w:rPr>
        <w:t>Advances in Production Engineering &amp; Management</w:t>
      </w:r>
      <w:r>
        <w:rPr>
          <w:rFonts w:ascii="Times New Roman" w:hAnsi="Times New Roman"/>
          <w:sz w:val="24"/>
          <w:szCs w:val="24"/>
          <w:rtl w:val="0"/>
        </w:rPr>
        <w:t xml:space="preserve">, </w:t>
      </w:r>
      <w:r>
        <w:rPr>
          <w:rFonts w:ascii="Times New Roman" w:hAnsi="Times New Roman"/>
          <w:i w:val="1"/>
          <w:iCs w:val="1"/>
          <w:sz w:val="24"/>
          <w:szCs w:val="24"/>
          <w:rtl w:val="0"/>
        </w:rPr>
        <w:t>11</w:t>
      </w:r>
      <w:r>
        <w:rPr>
          <w:rFonts w:ascii="Times New Roman" w:hAnsi="Times New Roman"/>
          <w:sz w:val="24"/>
          <w:szCs w:val="24"/>
          <w:rtl w:val="0"/>
        </w:rPr>
        <w:t>(4).</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Blackhurst, J.V., Scheibe, K.P. and Johnson, D.J., 2008. Supplier risk assessment and monitoring for the automotive industry. </w:t>
      </w:r>
      <w:r>
        <w:rPr>
          <w:rFonts w:ascii="Times New Roman" w:hAnsi="Times New Roman"/>
          <w:i w:val="1"/>
          <w:iCs w:val="1"/>
          <w:sz w:val="24"/>
          <w:szCs w:val="24"/>
          <w:rtl w:val="0"/>
          <w:lang w:val="en-US"/>
        </w:rPr>
        <w:t>International Journal of Physical Distribution &amp; Logistics Management</w:t>
      </w:r>
      <w:r>
        <w:rPr>
          <w:rFonts w:ascii="Times New Roman" w:hAnsi="Times New Roman"/>
          <w:sz w:val="24"/>
          <w:szCs w:val="24"/>
          <w:rtl w:val="0"/>
        </w:rPr>
        <w:t>.</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G</w:t>
      </w:r>
      <w:r>
        <w:rPr>
          <w:rFonts w:ascii="Times New Roman" w:hAnsi="Times New Roman" w:hint="default"/>
          <w:sz w:val="24"/>
          <w:szCs w:val="24"/>
          <w:rtl w:val="0"/>
          <w:lang w:val="en-US"/>
        </w:rPr>
        <w:t>á</w:t>
      </w:r>
      <w:r>
        <w:rPr>
          <w:rFonts w:ascii="Times New Roman" w:hAnsi="Times New Roman"/>
          <w:sz w:val="24"/>
          <w:szCs w:val="24"/>
          <w:rtl w:val="0"/>
          <w:lang w:val="en-US"/>
        </w:rPr>
        <w:t>l, B. and R</w:t>
      </w:r>
      <w:r>
        <w:rPr>
          <w:rFonts w:ascii="Times New Roman" w:hAnsi="Times New Roman" w:hint="default"/>
          <w:sz w:val="24"/>
          <w:szCs w:val="24"/>
          <w:rtl w:val="0"/>
          <w:lang w:val="en-US"/>
        </w:rPr>
        <w:t>ó</w:t>
      </w:r>
      <w:r>
        <w:rPr>
          <w:rFonts w:ascii="Times New Roman" w:hAnsi="Times New Roman"/>
          <w:sz w:val="24"/>
          <w:szCs w:val="24"/>
          <w:rtl w:val="0"/>
          <w:lang w:val="de-DE"/>
        </w:rPr>
        <w:t>zsa, A., 2017. APPLIED CORPORATE VALUATION USING FCFF METHOD</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CASE OF RABA PLC. THE ONLY COMPANY FROM THE AUTOMOTIVE INDUSTRY PRESENT IN THE HUNGARIAN STOCK EXCHANGE. </w:t>
      </w:r>
      <w:r>
        <w:rPr>
          <w:rFonts w:ascii="Times New Roman" w:hAnsi="Times New Roman"/>
          <w:i w:val="1"/>
          <w:iCs w:val="1"/>
          <w:sz w:val="24"/>
          <w:szCs w:val="24"/>
          <w:rtl w:val="0"/>
          <w:lang w:val="en-US"/>
        </w:rPr>
        <w:t>THE ANNALS OF THE UNIVERSITY OF ORADEA</w:t>
      </w:r>
      <w:r>
        <w:rPr>
          <w:rFonts w:ascii="Times New Roman" w:hAnsi="Times New Roman"/>
          <w:sz w:val="24"/>
          <w:szCs w:val="24"/>
          <w:rtl w:val="0"/>
        </w:rPr>
        <w:t>, p.177.</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Kurilov, K.Y., 2012. World and Russian automotive industry development perspectives. </w:t>
      </w:r>
      <w:r>
        <w:rPr>
          <w:rFonts w:ascii="Times New Roman" w:hAnsi="Times New Roman"/>
          <w:i w:val="1"/>
          <w:iCs w:val="1"/>
          <w:sz w:val="24"/>
          <w:szCs w:val="24"/>
          <w:rtl w:val="0"/>
          <w:lang w:val="en-US"/>
        </w:rPr>
        <w:t>Studies on Russian Economic Development</w:t>
      </w:r>
      <w:r>
        <w:rPr>
          <w:rFonts w:ascii="Times New Roman" w:hAnsi="Times New Roman"/>
          <w:sz w:val="24"/>
          <w:szCs w:val="24"/>
          <w:rtl w:val="0"/>
        </w:rPr>
        <w:t xml:space="preserve">, </w:t>
      </w:r>
      <w:r>
        <w:rPr>
          <w:rFonts w:ascii="Times New Roman" w:hAnsi="Times New Roman"/>
          <w:i w:val="1"/>
          <w:iCs w:val="1"/>
          <w:sz w:val="24"/>
          <w:szCs w:val="24"/>
          <w:rtl w:val="0"/>
        </w:rPr>
        <w:t>23</w:t>
      </w:r>
      <w:r>
        <w:rPr>
          <w:rFonts w:ascii="Times New Roman" w:hAnsi="Times New Roman"/>
          <w:sz w:val="24"/>
          <w:szCs w:val="24"/>
          <w:rtl w:val="0"/>
        </w:rPr>
        <w:t>(5), pp.478-487.</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Lee, N.K., Han, Y., Xong, W. and Song, M., 2020. Two layer-based trajectory analysis of the research trend in automotive fuel industry. </w:t>
      </w:r>
      <w:r>
        <w:rPr>
          <w:rFonts w:ascii="Times New Roman" w:hAnsi="Times New Roman"/>
          <w:i w:val="1"/>
          <w:iCs w:val="1"/>
          <w:sz w:val="24"/>
          <w:szCs w:val="24"/>
          <w:rtl w:val="0"/>
          <w:lang w:val="es-ES_tradnl"/>
        </w:rPr>
        <w:t>Scientometrics</w:t>
      </w:r>
      <w:r>
        <w:rPr>
          <w:rFonts w:ascii="Times New Roman" w:hAnsi="Times New Roman"/>
          <w:sz w:val="24"/>
          <w:szCs w:val="24"/>
          <w:rtl w:val="0"/>
        </w:rPr>
        <w:t>, pp.1-19.</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Mistry, D.S., 2011. Performance Appraisal of Indian Automotive Industry through Production Trend Analysis. </w:t>
      </w:r>
      <w:r>
        <w:rPr>
          <w:rFonts w:ascii="Times New Roman" w:hAnsi="Times New Roman"/>
          <w:i w:val="1"/>
          <w:iCs w:val="1"/>
          <w:sz w:val="24"/>
          <w:szCs w:val="24"/>
          <w:rtl w:val="0"/>
          <w:lang w:val="en-US"/>
        </w:rPr>
        <w:t>Invertis Journal of Management</w:t>
      </w:r>
      <w:r>
        <w:rPr>
          <w:rFonts w:ascii="Times New Roman" w:hAnsi="Times New Roman"/>
          <w:sz w:val="24"/>
          <w:szCs w:val="24"/>
          <w:rtl w:val="0"/>
        </w:rPr>
        <w:t xml:space="preserve">, </w:t>
      </w:r>
      <w:r>
        <w:rPr>
          <w:rFonts w:ascii="Times New Roman" w:hAnsi="Times New Roman"/>
          <w:i w:val="1"/>
          <w:iCs w:val="1"/>
          <w:sz w:val="24"/>
          <w:szCs w:val="24"/>
          <w:rtl w:val="0"/>
        </w:rPr>
        <w:t>3</w:t>
      </w:r>
      <w:r>
        <w:rPr>
          <w:rFonts w:ascii="Times New Roman" w:hAnsi="Times New Roman"/>
          <w:sz w:val="24"/>
          <w:szCs w:val="24"/>
          <w:rtl w:val="0"/>
        </w:rPr>
        <w:t>(1), p.33.</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Stoycheva, S., Marchese, D., Paul, C., Padoan, S., Juhmani, A.S. and Linkov, I., 2018. Multi-criteria decision analysis framework for sustainable manufacturing in automotive industry. </w:t>
      </w:r>
      <w:r>
        <w:rPr>
          <w:rFonts w:ascii="Times New Roman" w:hAnsi="Times New Roman"/>
          <w:i w:val="1"/>
          <w:iCs w:val="1"/>
          <w:sz w:val="24"/>
          <w:szCs w:val="24"/>
          <w:rtl w:val="0"/>
          <w:lang w:val="en-US"/>
        </w:rPr>
        <w:t>Journal of Cleaner Production</w:t>
      </w:r>
      <w:r>
        <w:rPr>
          <w:rFonts w:ascii="Times New Roman" w:hAnsi="Times New Roman"/>
          <w:sz w:val="24"/>
          <w:szCs w:val="24"/>
          <w:rtl w:val="0"/>
        </w:rPr>
        <w:t xml:space="preserve">, </w:t>
      </w:r>
      <w:r>
        <w:rPr>
          <w:rFonts w:ascii="Times New Roman" w:hAnsi="Times New Roman"/>
          <w:i w:val="1"/>
          <w:iCs w:val="1"/>
          <w:sz w:val="24"/>
          <w:szCs w:val="24"/>
          <w:rtl w:val="0"/>
        </w:rPr>
        <w:t>187</w:t>
      </w:r>
      <w:r>
        <w:rPr>
          <w:rFonts w:ascii="Times New Roman" w:hAnsi="Times New Roman"/>
          <w:sz w:val="24"/>
          <w:szCs w:val="24"/>
          <w:rtl w:val="0"/>
        </w:rPr>
        <w:t>, pp.257-272.</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Thun, J.H. and Hoenig, D., 2011. An empirical analysis of supply chain risk management in the German automotive industry. </w:t>
      </w:r>
      <w:r>
        <w:rPr>
          <w:rFonts w:ascii="Times New Roman" w:hAnsi="Times New Roman"/>
          <w:i w:val="1"/>
          <w:iCs w:val="1"/>
          <w:sz w:val="24"/>
          <w:szCs w:val="24"/>
          <w:rtl w:val="0"/>
          <w:lang w:val="en-US"/>
        </w:rPr>
        <w:t>International journal of production economics</w:t>
      </w:r>
      <w:r>
        <w:rPr>
          <w:rFonts w:ascii="Times New Roman" w:hAnsi="Times New Roman"/>
          <w:sz w:val="24"/>
          <w:szCs w:val="24"/>
          <w:rtl w:val="0"/>
        </w:rPr>
        <w:t xml:space="preserve">, </w:t>
      </w:r>
      <w:r>
        <w:rPr>
          <w:rFonts w:ascii="Times New Roman" w:hAnsi="Times New Roman"/>
          <w:i w:val="1"/>
          <w:iCs w:val="1"/>
          <w:sz w:val="24"/>
          <w:szCs w:val="24"/>
          <w:rtl w:val="0"/>
        </w:rPr>
        <w:t>131</w:t>
      </w:r>
      <w:r>
        <w:rPr>
          <w:rFonts w:ascii="Times New Roman" w:hAnsi="Times New Roman"/>
          <w:sz w:val="24"/>
          <w:szCs w:val="24"/>
          <w:rtl w:val="0"/>
        </w:rPr>
        <w:t>(1), pp.242-249.</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Yang, D.X., Qiu, L.S., Yan, J.J., Chen, Z.Y. and Jiang, M., 2019. The government regulation and market behavior of the new energy automotive industry. </w:t>
      </w:r>
      <w:r>
        <w:rPr>
          <w:rFonts w:ascii="Times New Roman" w:hAnsi="Times New Roman"/>
          <w:i w:val="1"/>
          <w:iCs w:val="1"/>
          <w:sz w:val="24"/>
          <w:szCs w:val="24"/>
          <w:rtl w:val="0"/>
          <w:lang w:val="en-US"/>
        </w:rPr>
        <w:t>Journal of cleaner production</w:t>
      </w:r>
      <w:r>
        <w:rPr>
          <w:rFonts w:ascii="Times New Roman" w:hAnsi="Times New Roman"/>
          <w:sz w:val="24"/>
          <w:szCs w:val="24"/>
          <w:rtl w:val="0"/>
        </w:rPr>
        <w:t xml:space="preserve">, </w:t>
      </w:r>
      <w:r>
        <w:rPr>
          <w:rFonts w:ascii="Times New Roman" w:hAnsi="Times New Roman"/>
          <w:i w:val="1"/>
          <w:iCs w:val="1"/>
          <w:sz w:val="24"/>
          <w:szCs w:val="24"/>
          <w:rtl w:val="0"/>
        </w:rPr>
        <w:t>210</w:t>
      </w:r>
      <w:r>
        <w:rPr>
          <w:rFonts w:ascii="Times New Roman" w:hAnsi="Times New Roman"/>
          <w:sz w:val="24"/>
          <w:szCs w:val="24"/>
          <w:rtl w:val="0"/>
        </w:rPr>
        <w:t>, pp.1281-1288.</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Zhang, Q., Li, C. and Wu, Y., 2017. Analysis of research and development trend of the battery technology in electric vehicle with the perspective of patent. </w:t>
      </w:r>
      <w:r>
        <w:rPr>
          <w:rFonts w:ascii="Times New Roman" w:hAnsi="Times New Roman"/>
          <w:i w:val="1"/>
          <w:iCs w:val="1"/>
          <w:sz w:val="24"/>
          <w:szCs w:val="24"/>
          <w:rtl w:val="0"/>
          <w:lang w:val="en-US"/>
        </w:rPr>
        <w:t>Energy Procedia</w:t>
      </w:r>
      <w:r>
        <w:rPr>
          <w:rFonts w:ascii="Times New Roman" w:hAnsi="Times New Roman"/>
          <w:sz w:val="24"/>
          <w:szCs w:val="24"/>
          <w:rtl w:val="0"/>
        </w:rPr>
        <w:t xml:space="preserve">, </w:t>
      </w:r>
      <w:r>
        <w:rPr>
          <w:rFonts w:ascii="Times New Roman" w:hAnsi="Times New Roman"/>
          <w:i w:val="1"/>
          <w:iCs w:val="1"/>
          <w:sz w:val="24"/>
          <w:szCs w:val="24"/>
          <w:rtl w:val="0"/>
        </w:rPr>
        <w:t>105</w:t>
      </w:r>
      <w:r>
        <w:rPr>
          <w:rFonts w:ascii="Times New Roman" w:hAnsi="Times New Roman"/>
          <w:sz w:val="24"/>
          <w:szCs w:val="24"/>
          <w:rtl w:val="0"/>
        </w:rPr>
        <w:t>, pp.4274-4280.</w:t>
      </w:r>
    </w:p>
    <w:p>
      <w:pPr>
        <w:pStyle w:val="Body A"/>
        <w:spacing w:after="0" w:line="480" w:lineRule="auto"/>
        <w:ind w:left="720" w:hanging="720"/>
      </w:pPr>
      <w:r>
        <w:rPr>
          <w:rFonts w:ascii="Times New Roman" w:cs="Times New Roman" w:hAnsi="Times New Roman" w:eastAsia="Times New Roman"/>
          <w:sz w:val="24"/>
          <w:szCs w:val="24"/>
        </w:rPr>
      </w: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rPr>
        <w:rFonts w:ascii="Times New Roman" w:cs="Times New Roman" w:hAnsi="Times New Roman" w:eastAsia="Times New Roman"/>
        <w:sz w:val="24"/>
        <w:szCs w:val="24"/>
      </w:rPr>
    </w:pPr>
    <w:r>
      <w:rPr>
        <w:rFonts w:ascii="Times New Roman" w:hAnsi="Times New Roman"/>
        <w:sz w:val="24"/>
        <w:szCs w:val="24"/>
        <w:rtl w:val="0"/>
        <w:lang w:val="en-US"/>
      </w:rPr>
      <w:t xml:space="preserve">FORCES SHAPING THE  AUTOMOTIVE INDUSTRY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t>1</w:t>
    </w:r>
    <w:r>
      <w:rPr>
        <w:rFonts w:ascii="Times New Roman" w:cs="Times New Roman" w:hAnsi="Times New Roman" w:eastAsia="Times New Roman"/>
        <w:sz w:val="24"/>
        <w:szCs w:val="24"/>
        <w:rtl w:val="0"/>
      </w:rPr>
      <w:fldChar w:fldCharType="end" w:fldLock="0"/>
    </w:r>
  </w:p>
  <w:p>
    <w:pPr>
      <w:pStyle w:val="header"/>
      <w:tabs>
        <w:tab w:val="right" w:pos="9340"/>
        <w:tab w:val="clear" w:pos="9360"/>
      </w:tabs>
    </w:pPr>
    <w:r>
      <w:rPr>
        <w:rtl w:val="0"/>
        <w:lang w:val="en-US"/>
      </w:rPr>
      <w:t xml:space="preserve"> </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