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441D81D" w:rsidR="008059D3" w:rsidRDefault="07783A37" w:rsidP="3AEEDA59">
      <w:pPr>
        <w:rPr>
          <w:rFonts w:ascii="Calibri" w:eastAsia="Calibri" w:hAnsi="Calibri" w:cs="Calibri"/>
          <w:b/>
          <w:bCs/>
          <w:sz w:val="28"/>
          <w:szCs w:val="28"/>
        </w:rPr>
      </w:pPr>
      <w:r w:rsidRPr="3AEEDA59">
        <w:rPr>
          <w:rFonts w:ascii="Calibri" w:eastAsia="Calibri" w:hAnsi="Calibri" w:cs="Calibri"/>
          <w:b/>
          <w:bCs/>
          <w:sz w:val="32"/>
          <w:szCs w:val="32"/>
          <w:u w:val="single"/>
        </w:rPr>
        <w:t>References</w:t>
      </w:r>
    </w:p>
    <w:p w14:paraId="3ED1BE7D" w14:textId="79AAB1DB" w:rsidR="1589D001" w:rsidRDefault="1589D001" w:rsidP="3AEEDA59">
      <w:pPr>
        <w:spacing w:before="276" w:after="276"/>
      </w:pPr>
      <w:r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Blood, I. and Wardle, S. (2018). </w:t>
      </w:r>
      <w:r w:rsidRPr="3539287B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Positive risk and shared decision-making</w:t>
      </w:r>
      <w:r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. [online] Available at: </w:t>
      </w:r>
      <w:hyperlink r:id="rId4">
        <w:r w:rsidRPr="3539287B">
          <w:rPr>
            <w:rStyle w:val="Hyperlink"/>
            <w:rFonts w:ascii="UICTFontTextStyleBody" w:eastAsia="UICTFontTextStyleBody" w:hAnsi="UICTFontTextStyleBody" w:cs="UICTFontTextStyleBody"/>
            <w:sz w:val="27"/>
            <w:szCs w:val="27"/>
          </w:rPr>
          <w:t>https://socialcare.wales/cms-assets/documents/Positive-risk-and-shared-decision-making.pdf</w:t>
        </w:r>
      </w:hyperlink>
      <w:r w:rsidRPr="3539287B">
        <w:rPr>
          <w:rFonts w:ascii="UICTFontTextStyleBody" w:eastAsia="UICTFontTextStyleBody" w:hAnsi="UICTFontTextStyleBody" w:cs="UICTFontTextStyleBody"/>
          <w:sz w:val="27"/>
          <w:szCs w:val="27"/>
        </w:rPr>
        <w:t>.</w:t>
      </w:r>
    </w:p>
    <w:p w14:paraId="31D24199" w14:textId="3F675976" w:rsidR="3AEEDA59" w:rsidRDefault="3AEEDA59" w:rsidP="3AEEDA59">
      <w:pPr>
        <w:spacing w:before="276" w:after="276"/>
        <w:rPr>
          <w:rFonts w:ascii="Calibri" w:eastAsia="Calibri" w:hAnsi="Calibri" w:cs="Calibri"/>
          <w:sz w:val="32"/>
          <w:szCs w:val="32"/>
        </w:rPr>
      </w:pPr>
      <w:r>
        <w:br/>
      </w:r>
      <w:r w:rsidR="661468BD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Macfarlane, A. (2019). What is clinical governance? </w:t>
      </w:r>
      <w:r w:rsidR="661468BD" w:rsidRPr="3539287B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BJA Education</w:t>
      </w:r>
      <w:r w:rsidR="661468BD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, [online] 19(6), pp.174–175. </w:t>
      </w:r>
      <w:proofErr w:type="spellStart"/>
      <w:r w:rsidR="661468BD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doi</w:t>
      </w:r>
      <w:proofErr w:type="spellEnd"/>
      <w:r w:rsidR="661468BD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:</w:t>
      </w:r>
      <w:r w:rsidR="48368C8E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 </w:t>
      </w:r>
      <w:hyperlink r:id="rId5">
        <w:r w:rsidR="661468BD" w:rsidRPr="3539287B">
          <w:rPr>
            <w:rStyle w:val="Hyperlink"/>
            <w:rFonts w:ascii="UICTFontTextStyleBody" w:eastAsia="UICTFontTextStyleBody" w:hAnsi="UICTFontTextStyleBody" w:cs="UICTFontTextStyleBody"/>
            <w:sz w:val="27"/>
            <w:szCs w:val="27"/>
          </w:rPr>
          <w:t>https://doi.org/10.1016/j.bjae.2019.02.003</w:t>
        </w:r>
      </w:hyperlink>
      <w:r w:rsidR="661468BD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.</w:t>
      </w:r>
      <w:r>
        <w:br/>
      </w:r>
    </w:p>
    <w:p w14:paraId="078FA256" w14:textId="4F8CFEAB" w:rsidR="3AEEDA59" w:rsidRPr="004E70DB" w:rsidRDefault="42740E7B" w:rsidP="3539287B">
      <w:pPr>
        <w:spacing w:before="276" w:after="276"/>
        <w:rPr>
          <w:rFonts w:ascii="UICTFontTextStyleBody" w:eastAsia="UICTFontTextStyleBody" w:hAnsi="UICTFontTextStyleBody" w:cs="UICTFontTextStyleBody"/>
          <w:sz w:val="27"/>
          <w:szCs w:val="27"/>
          <w:lang w:val="fr-FR"/>
        </w:rPr>
      </w:pPr>
      <w:r w:rsidRPr="3539287B">
        <w:rPr>
          <w:rFonts w:ascii="UICTFontTextStyleBody" w:eastAsia="UICTFontTextStyleBody" w:hAnsi="UICTFontTextStyleBody" w:cs="UICTFontTextStyleBody"/>
          <w:sz w:val="27"/>
          <w:szCs w:val="27"/>
        </w:rPr>
        <w:t>NHS Education for Scotland. (2024)</w:t>
      </w:r>
      <w:r w:rsidRPr="3539287B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 xml:space="preserve">. Effective Practitioner. </w:t>
      </w:r>
      <w:r w:rsidRPr="004E70DB">
        <w:rPr>
          <w:rFonts w:ascii="UICTFontTextStyleBody" w:eastAsia="UICTFontTextStyleBody" w:hAnsi="UICTFontTextStyleBody" w:cs="UICTFontTextStyleBody"/>
          <w:sz w:val="27"/>
          <w:szCs w:val="27"/>
          <w:lang w:val="fr-FR"/>
        </w:rPr>
        <w:t>[</w:t>
      </w:r>
      <w:proofErr w:type="gramStart"/>
      <w:r w:rsidRPr="004E70DB">
        <w:rPr>
          <w:rFonts w:ascii="UICTFontTextStyleBody" w:eastAsia="UICTFontTextStyleBody" w:hAnsi="UICTFontTextStyleBody" w:cs="UICTFontTextStyleBody"/>
          <w:sz w:val="27"/>
          <w:szCs w:val="27"/>
          <w:lang w:val="fr-FR"/>
        </w:rPr>
        <w:t>online</w:t>
      </w:r>
      <w:proofErr w:type="gramEnd"/>
      <w:r w:rsidRPr="004E70DB">
        <w:rPr>
          <w:rFonts w:ascii="UICTFontTextStyleBody" w:eastAsia="UICTFontTextStyleBody" w:hAnsi="UICTFontTextStyleBody" w:cs="UICTFontTextStyleBody"/>
          <w:sz w:val="27"/>
          <w:szCs w:val="27"/>
          <w:lang w:val="fr-FR"/>
        </w:rPr>
        <w:t>] Available at:</w:t>
      </w:r>
      <w:r>
        <w:fldChar w:fldCharType="begin"/>
      </w:r>
      <w:r w:rsidRPr="004E70DB">
        <w:rPr>
          <w:lang w:val="fr-FR"/>
        </w:rPr>
        <w:instrText>HYPERLINK "https://www.effectivepractitioner.nes.scot.nhs.uk/media/254840/clinical%20decision%20making.pdf" \h</w:instrText>
      </w:r>
      <w:r>
        <w:fldChar w:fldCharType="separate"/>
      </w:r>
      <w:r w:rsidRPr="004E70DB">
        <w:rPr>
          <w:rStyle w:val="Hyperlink"/>
          <w:rFonts w:ascii="UICTFontTextStyleBody" w:eastAsia="UICTFontTextStyleBody" w:hAnsi="UICTFontTextStyleBody" w:cs="UICTFontTextStyleBody"/>
          <w:sz w:val="27"/>
          <w:szCs w:val="27"/>
          <w:lang w:val="fr-FR"/>
        </w:rPr>
        <w:t>https://www.effectivepractitioner.nes.scot.nhs.uk/media/254840/clinical%20decision%20making.pdf</w:t>
      </w:r>
      <w:r>
        <w:fldChar w:fldCharType="end"/>
      </w:r>
    </w:p>
    <w:p w14:paraId="7B0F2B7F" w14:textId="11AB3495" w:rsidR="3AEEDA59" w:rsidRDefault="3AEEDA59" w:rsidP="3539287B">
      <w:pPr>
        <w:spacing w:before="276" w:after="276"/>
        <w:rPr>
          <w:rFonts w:ascii="Calibri" w:eastAsia="Calibri" w:hAnsi="Calibri" w:cs="Calibri"/>
          <w:sz w:val="32"/>
          <w:szCs w:val="32"/>
        </w:rPr>
      </w:pPr>
      <w:r w:rsidRPr="004E70DB">
        <w:rPr>
          <w:lang w:val="en-GB"/>
        </w:rPr>
        <w:br/>
      </w:r>
      <w:r w:rsidR="095314AB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North Tees and Hartlepool NHS Foundation Trust. (2024). </w:t>
      </w:r>
      <w:r w:rsidR="095314AB" w:rsidRPr="3539287B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Cellulitis - North Tees and Hartlepool NHS Foundation Trust</w:t>
      </w:r>
      <w:r w:rsidR="095314AB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. [online] Available at: </w:t>
      </w:r>
      <w:hyperlink r:id="rId6">
        <w:r w:rsidR="095314AB" w:rsidRPr="3539287B">
          <w:rPr>
            <w:rStyle w:val="Hyperlink"/>
            <w:rFonts w:ascii="UICTFontTextStyleBody" w:eastAsia="UICTFontTextStyleBody" w:hAnsi="UICTFontTextStyleBody" w:cs="UICTFontTextStyleBody"/>
            <w:sz w:val="27"/>
            <w:szCs w:val="27"/>
          </w:rPr>
          <w:t>https://www.nth.nhs.uk/resources/cellulitis/</w:t>
        </w:r>
      </w:hyperlink>
      <w:r w:rsidR="095314AB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.</w:t>
      </w:r>
    </w:p>
    <w:p w14:paraId="54D927AD" w14:textId="40511044" w:rsidR="3AEEDA59" w:rsidRDefault="3AEEDA59" w:rsidP="3539287B">
      <w:pPr>
        <w:spacing w:before="276" w:after="276"/>
        <w:rPr>
          <w:rFonts w:ascii="Calibri" w:eastAsia="Calibri" w:hAnsi="Calibri" w:cs="Calibri"/>
          <w:sz w:val="32"/>
          <w:szCs w:val="32"/>
        </w:rPr>
      </w:pPr>
      <w:r w:rsidRPr="004E70DB">
        <w:rPr>
          <w:lang w:val="nl-NL"/>
        </w:rPr>
        <w:br/>
      </w:r>
      <w:r w:rsidR="078B9166" w:rsidRPr="004E70DB">
        <w:rPr>
          <w:rFonts w:ascii="UICTFontTextStyleBody" w:eastAsia="UICTFontTextStyleBody" w:hAnsi="UICTFontTextStyleBody" w:cs="UICTFontTextStyleBody"/>
          <w:sz w:val="27"/>
          <w:szCs w:val="27"/>
          <w:lang w:val="nl-NL"/>
        </w:rPr>
        <w:t xml:space="preserve">van Iersel, M.B. and Olde Rikkert, M.G.M. (2010). </w:t>
      </w:r>
      <w:r w:rsidR="078B9166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SUDDEN DECLINE IN MOBILITY AS AN INDICATOR OF INFECTION AND DISCLOSURE OF SUBCLINICAL SARCOPENIA: FOUR CASES. </w:t>
      </w:r>
      <w:r w:rsidR="078B9166" w:rsidRPr="3539287B">
        <w:rPr>
          <w:rFonts w:ascii="UICTFontTextStyleItalicBody" w:eastAsia="UICTFontTextStyleItalicBody" w:hAnsi="UICTFontTextStyleItalicBody" w:cs="UICTFontTextStyleItalicBody"/>
          <w:i/>
          <w:iCs/>
          <w:sz w:val="27"/>
          <w:szCs w:val="27"/>
        </w:rPr>
        <w:t>Journal of the American Geriatrics Society</w:t>
      </w:r>
      <w:r w:rsidR="078B9166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, 58(7), pp.1395–1396. </w:t>
      </w:r>
      <w:proofErr w:type="spellStart"/>
      <w:r w:rsidR="078B9166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doi</w:t>
      </w:r>
      <w:proofErr w:type="spellEnd"/>
      <w:r w:rsidR="078B9166" w:rsidRPr="3539287B">
        <w:rPr>
          <w:rFonts w:ascii="UICTFontTextStyleBody" w:eastAsia="UICTFontTextStyleBody" w:hAnsi="UICTFontTextStyleBody" w:cs="UICTFontTextStyleBody"/>
          <w:sz w:val="27"/>
          <w:szCs w:val="27"/>
        </w:rPr>
        <w:t xml:space="preserve">: </w:t>
      </w:r>
      <w:hyperlink r:id="rId7">
        <w:r w:rsidR="078B9166" w:rsidRPr="3539287B">
          <w:rPr>
            <w:rStyle w:val="Hyperlink"/>
            <w:rFonts w:ascii="UICTFontTextStyleBody" w:eastAsia="UICTFontTextStyleBody" w:hAnsi="UICTFontTextStyleBody" w:cs="UICTFontTextStyleBody"/>
            <w:sz w:val="27"/>
            <w:szCs w:val="27"/>
          </w:rPr>
          <w:t>https://doi.org/10.1111/j.1532-5415.2010.02899.x</w:t>
        </w:r>
      </w:hyperlink>
      <w:r w:rsidR="078B9166" w:rsidRPr="3539287B">
        <w:rPr>
          <w:rFonts w:ascii="UICTFontTextStyleBody" w:eastAsia="UICTFontTextStyleBody" w:hAnsi="UICTFontTextStyleBody" w:cs="UICTFontTextStyleBody"/>
          <w:sz w:val="27"/>
          <w:szCs w:val="27"/>
        </w:rPr>
        <w:t>.</w:t>
      </w:r>
    </w:p>
    <w:p w14:paraId="66662D11" w14:textId="1DF4D643" w:rsidR="3AEEDA59" w:rsidRDefault="3AEEDA59" w:rsidP="3539287B">
      <w:pPr>
        <w:spacing w:before="276" w:after="276"/>
        <w:rPr>
          <w:rFonts w:ascii="UICTFontTextStyleBody" w:eastAsia="UICTFontTextStyleBody" w:hAnsi="UICTFontTextStyleBody" w:cs="UICTFontTextStyleBody"/>
          <w:sz w:val="27"/>
          <w:szCs w:val="27"/>
        </w:rPr>
      </w:pPr>
    </w:p>
    <w:p w14:paraId="2F3A9774" w14:textId="424278DF" w:rsidR="3AEEDA59" w:rsidRDefault="3AEEDA59" w:rsidP="3AEEDA59">
      <w:pPr>
        <w:rPr>
          <w:rFonts w:ascii="Calibri" w:eastAsia="Calibri" w:hAnsi="Calibri" w:cs="Calibri"/>
          <w:sz w:val="32"/>
          <w:szCs w:val="32"/>
        </w:rPr>
      </w:pPr>
    </w:p>
    <w:sectPr w:rsidR="3AEEDA5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UICTFontTextStyleBody">
    <w:altName w:val="Arial"/>
    <w:panose1 w:val="00000000000000000000"/>
    <w:charset w:val="00"/>
    <w:family w:val="roman"/>
    <w:notTrueType/>
    <w:pitch w:val="default"/>
  </w:font>
  <w:font w:name="UICTFontTextStyleItalicBody">
    <w:altName w:val="Arial"/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BBF21C"/>
    <w:rsid w:val="00102809"/>
    <w:rsid w:val="00314A3D"/>
    <w:rsid w:val="004E70DB"/>
    <w:rsid w:val="008059D3"/>
    <w:rsid w:val="00A47C37"/>
    <w:rsid w:val="01AC7EFF"/>
    <w:rsid w:val="04E51FD9"/>
    <w:rsid w:val="07783A37"/>
    <w:rsid w:val="078B9166"/>
    <w:rsid w:val="095314AB"/>
    <w:rsid w:val="10BBF21C"/>
    <w:rsid w:val="1589D001"/>
    <w:rsid w:val="15DCFB6E"/>
    <w:rsid w:val="18819C6B"/>
    <w:rsid w:val="1DCEBAF0"/>
    <w:rsid w:val="25238B39"/>
    <w:rsid w:val="27315D69"/>
    <w:rsid w:val="2CBEFE83"/>
    <w:rsid w:val="303A9ED1"/>
    <w:rsid w:val="3539287B"/>
    <w:rsid w:val="3A2DBD3F"/>
    <w:rsid w:val="3AEEDA59"/>
    <w:rsid w:val="3BD61EEC"/>
    <w:rsid w:val="411971B7"/>
    <w:rsid w:val="42740E7B"/>
    <w:rsid w:val="457117FB"/>
    <w:rsid w:val="48368C8E"/>
    <w:rsid w:val="48D646E0"/>
    <w:rsid w:val="4AC322B6"/>
    <w:rsid w:val="534519CE"/>
    <w:rsid w:val="581A8E93"/>
    <w:rsid w:val="5B632EB0"/>
    <w:rsid w:val="661468BD"/>
    <w:rsid w:val="680990F4"/>
    <w:rsid w:val="70B16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BF21C"/>
  <w15:chartTrackingRefBased/>
  <w15:docId w15:val="{4689252D-6DCD-4C7D-BD00-E7FF12D5C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111/j.1532-5415.2010.02899.x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th.nhs.uk/resources/cellulitis/" TargetMode="External"/><Relationship Id="rId5" Type="http://schemas.openxmlformats.org/officeDocument/2006/relationships/hyperlink" Target="https://doi.org/10.1016/j.bjae.2019.02.003" TargetMode="External"/><Relationship Id="rId10" Type="http://schemas.microsoft.com/office/2020/10/relationships/intelligence" Target="intelligence2.xml"/><Relationship Id="rId4" Type="http://schemas.openxmlformats.org/officeDocument/2006/relationships/hyperlink" Target="https://socialcare.wales/cms-assets/documents/Positive-risk-and-shared-decision-making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210</Words>
  <Characters>1199</Characters>
  <Application>Microsoft Office Word</Application>
  <DocSecurity>0</DocSecurity>
  <Lines>9</Lines>
  <Paragraphs>2</Paragraphs>
  <ScaleCrop>false</ScaleCrop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Clark (2318467)</dc:creator>
  <cp:keywords/>
  <dc:description/>
  <cp:lastModifiedBy>Laura clark</cp:lastModifiedBy>
  <cp:revision>3</cp:revision>
  <dcterms:created xsi:type="dcterms:W3CDTF">2025-01-15T21:09:00Z</dcterms:created>
  <dcterms:modified xsi:type="dcterms:W3CDTF">2025-01-15T22:17:00Z</dcterms:modified>
</cp:coreProperties>
</file>