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4D3A18" w14:textId="0A042A3B" w:rsidR="00775332" w:rsidRDefault="00775332" w:rsidP="008C658E">
      <w:pPr>
        <w:spacing w:line="480" w:lineRule="auto"/>
        <w:jc w:val="center"/>
        <w:rPr>
          <w:rFonts w:ascii="Times New Roman" w:hAnsi="Times New Roman" w:cs="Times New Roman"/>
          <w:sz w:val="24"/>
          <w:szCs w:val="24"/>
        </w:rPr>
      </w:pPr>
      <w:r w:rsidRPr="00775332">
        <w:rPr>
          <w:rFonts w:ascii="Times New Roman" w:hAnsi="Times New Roman" w:cs="Times New Roman"/>
          <w:sz w:val="24"/>
          <w:szCs w:val="24"/>
        </w:rPr>
        <w:t xml:space="preserve">Article Review: Herod's Jewish Ideology Facing Romanization: On Intermarriage, Ritual Baths, and Speeches – By </w:t>
      </w:r>
      <w:proofErr w:type="spellStart"/>
      <w:r w:rsidRPr="00775332">
        <w:rPr>
          <w:rFonts w:ascii="Times New Roman" w:hAnsi="Times New Roman" w:cs="Times New Roman"/>
          <w:sz w:val="24"/>
          <w:szCs w:val="24"/>
        </w:rPr>
        <w:t>Eyal</w:t>
      </w:r>
      <w:proofErr w:type="spellEnd"/>
      <w:r w:rsidRPr="00775332">
        <w:rPr>
          <w:rFonts w:ascii="Times New Roman" w:hAnsi="Times New Roman" w:cs="Times New Roman"/>
          <w:sz w:val="24"/>
          <w:szCs w:val="24"/>
        </w:rPr>
        <w:t xml:space="preserve"> Regev</w:t>
      </w:r>
    </w:p>
    <w:p w14:paraId="5CD4BD3F" w14:textId="686D1358" w:rsidR="00775332" w:rsidRDefault="00775332" w:rsidP="008C658E">
      <w:pPr>
        <w:spacing w:line="480" w:lineRule="auto"/>
        <w:jc w:val="center"/>
        <w:rPr>
          <w:rFonts w:ascii="Times New Roman" w:hAnsi="Times New Roman" w:cs="Times New Roman"/>
          <w:sz w:val="24"/>
          <w:szCs w:val="24"/>
        </w:rPr>
      </w:pPr>
    </w:p>
    <w:p w14:paraId="3B8C01AB" w14:textId="3FC0CC57" w:rsidR="00775332" w:rsidRPr="00444DC9" w:rsidRDefault="00444DC9" w:rsidP="008C65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work, Regev aims to detail how Herod balanced the necessities imparted upon him by his Jewish and Roman duties. Introduced as an review itself of </w:t>
      </w:r>
      <w:r w:rsidRPr="00444DC9">
        <w:rPr>
          <w:rFonts w:ascii="Times New Roman" w:hAnsi="Times New Roman" w:cs="Times New Roman"/>
          <w:i/>
          <w:iCs/>
          <w:sz w:val="24"/>
          <w:szCs w:val="24"/>
        </w:rPr>
        <w:t>The Herodian Dynasty</w:t>
      </w:r>
      <w:r>
        <w:rPr>
          <w:rFonts w:ascii="Times New Roman" w:hAnsi="Times New Roman" w:cs="Times New Roman"/>
          <w:i/>
          <w:iCs/>
          <w:sz w:val="24"/>
          <w:szCs w:val="24"/>
        </w:rPr>
        <w:t>,</w:t>
      </w:r>
      <w:r>
        <w:rPr>
          <w:rFonts w:ascii="Times New Roman" w:hAnsi="Times New Roman" w:cs="Times New Roman"/>
          <w:sz w:val="24"/>
          <w:szCs w:val="24"/>
        </w:rPr>
        <w:t xml:space="preserve"> by</w:t>
      </w:r>
      <w:r>
        <w:rPr>
          <w:rFonts w:ascii="Times New Roman" w:hAnsi="Times New Roman" w:cs="Times New Roman"/>
          <w:i/>
          <w:iCs/>
          <w:sz w:val="24"/>
          <w:szCs w:val="24"/>
        </w:rPr>
        <w:t xml:space="preserve"> </w:t>
      </w:r>
      <w:r w:rsidRPr="00444DC9">
        <w:rPr>
          <w:rFonts w:ascii="Times New Roman" w:hAnsi="Times New Roman" w:cs="Times New Roman"/>
          <w:sz w:val="24"/>
          <w:szCs w:val="24"/>
        </w:rPr>
        <w:t>Nikos Kokkinos</w:t>
      </w:r>
      <w:r>
        <w:rPr>
          <w:rFonts w:ascii="Times New Roman" w:hAnsi="Times New Roman" w:cs="Times New Roman"/>
          <w:sz w:val="24"/>
          <w:szCs w:val="24"/>
        </w:rPr>
        <w:t>, of which was argued that Herod’s Jewish identity was ‘superficial’,</w:t>
      </w:r>
      <w:r w:rsidR="00A13FC9">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Regev directs this work towards an analysis of three key areas pertaining to Herod and his rule: that of the Herodian Dynasty’s marriage policy, his palace baths and their possible multicultural uses as both Roman spa and Jewish ritual bath, and Herod’s justification for the ‘romanization’ process. In his last sections, he centralises his argument to act as supporting evidence fo</w:t>
      </w:r>
      <w:r w:rsidR="00A13FC9">
        <w:rPr>
          <w:rFonts w:ascii="Times New Roman" w:hAnsi="Times New Roman" w:cs="Times New Roman"/>
          <w:sz w:val="24"/>
          <w:szCs w:val="24"/>
        </w:rPr>
        <w:t>r</w:t>
      </w:r>
      <w:r>
        <w:rPr>
          <w:rFonts w:ascii="Times New Roman" w:hAnsi="Times New Roman" w:cs="Times New Roman"/>
          <w:sz w:val="24"/>
          <w:szCs w:val="24"/>
        </w:rPr>
        <w:t xml:space="preserve"> his conclusion. The presentation of these three arguments serves well to support Regev’s underlying goal, a subsequent criticism of a perceived failure to study Herod’s ‘own perception of his Jewish identity and political strategy.’</w:t>
      </w:r>
      <w:r w:rsidR="00B824AB">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Had this not been his primary concern, of which Regev leads us towards, seemingly the main critique of this review would have been nonetheless the same, though charged to him. </w:t>
      </w:r>
    </w:p>
    <w:p w14:paraId="2114CE3C" w14:textId="36388B78" w:rsidR="00EF38C4" w:rsidRDefault="00EF38C4" w:rsidP="008C658E">
      <w:pPr>
        <w:spacing w:line="480" w:lineRule="auto"/>
        <w:rPr>
          <w:rFonts w:ascii="Times New Roman" w:hAnsi="Times New Roman" w:cs="Times New Roman"/>
          <w:sz w:val="24"/>
          <w:szCs w:val="24"/>
        </w:rPr>
      </w:pPr>
    </w:p>
    <w:p w14:paraId="12BF76D0" w14:textId="3F7780D3" w:rsidR="00444DC9" w:rsidRDefault="00444DC9" w:rsidP="00444DC9">
      <w:pPr>
        <w:spacing w:line="480" w:lineRule="auto"/>
        <w:rPr>
          <w:rFonts w:ascii="Times New Roman" w:hAnsi="Times New Roman" w:cs="Times New Roman"/>
          <w:sz w:val="24"/>
          <w:szCs w:val="24"/>
        </w:rPr>
      </w:pPr>
      <w:r>
        <w:rPr>
          <w:rFonts w:ascii="Times New Roman" w:hAnsi="Times New Roman" w:cs="Times New Roman"/>
          <w:sz w:val="24"/>
          <w:szCs w:val="24"/>
        </w:rPr>
        <w:t>The first evidential section – entitled: ‘Herodian Jewish Identity: Limitation of Intermarriage’</w:t>
      </w:r>
      <w:r w:rsidR="00A13FC9">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 details how marriage with gentiles did not ‘necessarily’ lead to an assimilation or romanization of the Jewish Herodians or community.</w:t>
      </w:r>
      <w:r w:rsidR="00A13FC9">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Regev continues to outlay a collection of marriages to gentiles and non-gentiles within the Herodian Dynasty: addressing Herod’s marriages, his sister’s and her suiter, descendants – including those some </w:t>
      </w:r>
      <w:r>
        <w:rPr>
          <w:rFonts w:ascii="Times New Roman" w:hAnsi="Times New Roman" w:cs="Times New Roman"/>
          <w:sz w:val="24"/>
          <w:szCs w:val="24"/>
        </w:rPr>
        <w:lastRenderedPageBreak/>
        <w:t xml:space="preserve">females – who married gentiles. Regev notes that the Jewish tradition followed the patrilineal principle for marriage. This meant that a Jewish father and gentile mother’s child was likely considered a Jew, while a </w:t>
      </w:r>
      <w:proofErr w:type="gramStart"/>
      <w:r>
        <w:rPr>
          <w:rFonts w:ascii="Times New Roman" w:hAnsi="Times New Roman" w:cs="Times New Roman"/>
          <w:sz w:val="24"/>
          <w:szCs w:val="24"/>
        </w:rPr>
        <w:t>child whose parent’s identities</w:t>
      </w:r>
      <w:proofErr w:type="gramEnd"/>
      <w:r>
        <w:rPr>
          <w:rFonts w:ascii="Times New Roman" w:hAnsi="Times New Roman" w:cs="Times New Roman"/>
          <w:sz w:val="24"/>
          <w:szCs w:val="24"/>
        </w:rPr>
        <w:t xml:space="preserve"> were reversed – gentile father, Jewish wife – was unlikely considered such. Only a converted gentile, ‘mainly’ – as Regev speculates - a circumcised male could have had their child considered as Jewish. The point being made, nearly all of the Herodian Dynasty followed Jewish patrilineal customs, while those marriages to gentiles occurred only under the condition that they were first circumcised. This was the case of Drusilla, who married a gentile, Antiochus IV, who agreed to the procedure. The conclusion to this section, for Regev, is that Herod and his successors presented ‘their people’ – that being the dynasty – as Jews.</w:t>
      </w:r>
      <w:r w:rsidR="00A13FC9">
        <w:rPr>
          <w:rStyle w:val="FootnoteReference"/>
          <w:rFonts w:ascii="Times New Roman" w:hAnsi="Times New Roman" w:cs="Times New Roman"/>
          <w:sz w:val="24"/>
          <w:szCs w:val="24"/>
        </w:rPr>
        <w:footnoteReference w:id="5"/>
      </w:r>
    </w:p>
    <w:p w14:paraId="77567C00" w14:textId="77777777" w:rsidR="00D5462B" w:rsidRDefault="00D5462B" w:rsidP="00444DC9">
      <w:pPr>
        <w:spacing w:line="480" w:lineRule="auto"/>
        <w:rPr>
          <w:rFonts w:ascii="Times New Roman" w:hAnsi="Times New Roman" w:cs="Times New Roman"/>
          <w:sz w:val="24"/>
          <w:szCs w:val="24"/>
        </w:rPr>
      </w:pPr>
    </w:p>
    <w:p w14:paraId="6414261C" w14:textId="7F5012F2" w:rsidR="00B671D3" w:rsidRDefault="00D5462B" w:rsidP="00444DC9">
      <w:pPr>
        <w:spacing w:line="480" w:lineRule="auto"/>
        <w:rPr>
          <w:rFonts w:ascii="Times New Roman" w:hAnsi="Times New Roman" w:cs="Times New Roman"/>
          <w:sz w:val="24"/>
          <w:szCs w:val="24"/>
        </w:rPr>
      </w:pPr>
      <w:r>
        <w:rPr>
          <w:rFonts w:ascii="Times New Roman" w:hAnsi="Times New Roman" w:cs="Times New Roman"/>
          <w:sz w:val="24"/>
          <w:szCs w:val="24"/>
        </w:rPr>
        <w:t>I</w:t>
      </w:r>
      <w:r w:rsidR="00444DC9">
        <w:rPr>
          <w:rFonts w:ascii="Times New Roman" w:hAnsi="Times New Roman" w:cs="Times New Roman"/>
          <w:sz w:val="24"/>
          <w:szCs w:val="24"/>
        </w:rPr>
        <w:t xml:space="preserve">t is difficult to agree to this conclusion. Three of Herod’s son married beyond the Jewish state and community, to the realm of Cappadocia and Nabatean people, while his grandson married into the </w:t>
      </w:r>
      <w:proofErr w:type="spellStart"/>
      <w:r w:rsidR="00444DC9">
        <w:rPr>
          <w:rFonts w:ascii="Times New Roman" w:hAnsi="Times New Roman" w:cs="Times New Roman"/>
          <w:sz w:val="24"/>
          <w:szCs w:val="24"/>
        </w:rPr>
        <w:t>Commagene</w:t>
      </w:r>
      <w:proofErr w:type="spellEnd"/>
      <w:r w:rsidR="00444DC9">
        <w:rPr>
          <w:rFonts w:ascii="Times New Roman" w:hAnsi="Times New Roman" w:cs="Times New Roman"/>
          <w:sz w:val="24"/>
          <w:szCs w:val="24"/>
        </w:rPr>
        <w:t xml:space="preserve"> </w:t>
      </w:r>
      <w:proofErr w:type="spellStart"/>
      <w:r w:rsidR="00444DC9">
        <w:rPr>
          <w:rFonts w:ascii="Times New Roman" w:hAnsi="Times New Roman" w:cs="Times New Roman"/>
          <w:sz w:val="24"/>
          <w:szCs w:val="24"/>
        </w:rPr>
        <w:t>Kingodm</w:t>
      </w:r>
      <w:proofErr w:type="spellEnd"/>
      <w:r w:rsidR="002A0BEB">
        <w:rPr>
          <w:rFonts w:ascii="Times New Roman" w:hAnsi="Times New Roman" w:cs="Times New Roman"/>
          <w:sz w:val="24"/>
          <w:szCs w:val="24"/>
        </w:rPr>
        <w:t xml:space="preserve">. </w:t>
      </w:r>
      <w:r w:rsidR="00444DC9">
        <w:rPr>
          <w:rFonts w:ascii="Times New Roman" w:hAnsi="Times New Roman" w:cs="Times New Roman"/>
          <w:sz w:val="24"/>
          <w:szCs w:val="24"/>
        </w:rPr>
        <w:t>As well, as Regev mentions, Herod’s great-</w:t>
      </w:r>
      <w:r>
        <w:rPr>
          <w:rFonts w:ascii="Times New Roman" w:hAnsi="Times New Roman" w:cs="Times New Roman"/>
          <w:sz w:val="24"/>
          <w:szCs w:val="24"/>
        </w:rPr>
        <w:t>grandson –</w:t>
      </w:r>
      <w:r w:rsidR="00444DC9">
        <w:rPr>
          <w:rFonts w:ascii="Times New Roman" w:hAnsi="Times New Roman" w:cs="Times New Roman"/>
          <w:sz w:val="24"/>
          <w:szCs w:val="24"/>
        </w:rPr>
        <w:t xml:space="preserve"> of what value such a descendent has on the ideology of Herod himself – marries too into the kingdom of </w:t>
      </w:r>
      <w:proofErr w:type="spellStart"/>
      <w:r w:rsidR="00444DC9">
        <w:rPr>
          <w:rFonts w:ascii="Times New Roman" w:hAnsi="Times New Roman" w:cs="Times New Roman"/>
          <w:sz w:val="24"/>
          <w:szCs w:val="24"/>
        </w:rPr>
        <w:t>Commagene</w:t>
      </w:r>
      <w:proofErr w:type="spellEnd"/>
      <w:r w:rsidR="00444DC9">
        <w:rPr>
          <w:rFonts w:ascii="Times New Roman" w:hAnsi="Times New Roman" w:cs="Times New Roman"/>
          <w:sz w:val="24"/>
          <w:szCs w:val="24"/>
        </w:rPr>
        <w:t>.</w:t>
      </w:r>
      <w:r w:rsidR="00A13FC9">
        <w:rPr>
          <w:rStyle w:val="FootnoteReference"/>
          <w:rFonts w:ascii="Times New Roman" w:hAnsi="Times New Roman" w:cs="Times New Roman"/>
          <w:sz w:val="24"/>
          <w:szCs w:val="24"/>
        </w:rPr>
        <w:footnoteReference w:id="6"/>
      </w:r>
      <w:r w:rsidR="00444DC9">
        <w:rPr>
          <w:rFonts w:ascii="Times New Roman" w:hAnsi="Times New Roman" w:cs="Times New Roman"/>
          <w:sz w:val="24"/>
          <w:szCs w:val="24"/>
        </w:rPr>
        <w:t xml:space="preserve"> While, in critiquing Regev one may need only look towards his female descendent marrying gentiles</w:t>
      </w:r>
      <w:r w:rsidR="006C5A38">
        <w:rPr>
          <w:rFonts w:ascii="Times New Roman" w:hAnsi="Times New Roman" w:cs="Times New Roman"/>
          <w:sz w:val="24"/>
          <w:szCs w:val="24"/>
        </w:rPr>
        <w:t>, in a patrilineal society</w:t>
      </w:r>
      <w:r w:rsidR="00444DC9">
        <w:rPr>
          <w:rFonts w:ascii="Times New Roman" w:hAnsi="Times New Roman" w:cs="Times New Roman"/>
          <w:sz w:val="24"/>
          <w:szCs w:val="24"/>
        </w:rPr>
        <w:t>, such is unnecessary. Daring to imply that a king who married his descendants</w:t>
      </w:r>
      <w:r w:rsidR="006C5A38" w:rsidRPr="006C5A38">
        <w:rPr>
          <w:rFonts w:ascii="Times New Roman" w:hAnsi="Times New Roman" w:cs="Times New Roman"/>
          <w:sz w:val="24"/>
          <w:szCs w:val="24"/>
        </w:rPr>
        <w:t xml:space="preserve"> </w:t>
      </w:r>
      <w:r w:rsidR="006C5A38">
        <w:rPr>
          <w:rFonts w:ascii="Times New Roman" w:hAnsi="Times New Roman" w:cs="Times New Roman"/>
          <w:sz w:val="24"/>
          <w:szCs w:val="24"/>
        </w:rPr>
        <w:t>beyond the Jewish state and community</w:t>
      </w:r>
      <w:r w:rsidR="00444DC9">
        <w:rPr>
          <w:rFonts w:ascii="Times New Roman" w:hAnsi="Times New Roman" w:cs="Times New Roman"/>
          <w:sz w:val="24"/>
          <w:szCs w:val="24"/>
        </w:rPr>
        <w:t>, who in turn their relatives and descendants also married</w:t>
      </w:r>
      <w:r w:rsidR="006C5A38">
        <w:rPr>
          <w:rFonts w:ascii="Times New Roman" w:hAnsi="Times New Roman" w:cs="Times New Roman"/>
          <w:sz w:val="24"/>
          <w:szCs w:val="24"/>
        </w:rPr>
        <w:t xml:space="preserve"> as such, as guided by desire to ‘limit’ Hellenization,</w:t>
      </w:r>
      <w:r w:rsidR="00444DC9">
        <w:rPr>
          <w:rFonts w:ascii="Times New Roman" w:hAnsi="Times New Roman" w:cs="Times New Roman"/>
          <w:sz w:val="24"/>
          <w:szCs w:val="24"/>
        </w:rPr>
        <w:t xml:space="preserve"> is paramount to trickery. Indeed, seemingly, Regev has drawn from a</w:t>
      </w:r>
      <w:r>
        <w:rPr>
          <w:rFonts w:ascii="Times New Roman" w:hAnsi="Times New Roman" w:cs="Times New Roman"/>
          <w:sz w:val="24"/>
          <w:szCs w:val="24"/>
        </w:rPr>
        <w:t>n</w:t>
      </w:r>
      <w:r w:rsidR="00444DC9">
        <w:rPr>
          <w:rFonts w:ascii="Times New Roman" w:hAnsi="Times New Roman" w:cs="Times New Roman"/>
          <w:sz w:val="24"/>
          <w:szCs w:val="24"/>
        </w:rPr>
        <w:t xml:space="preserve"> important point, one which has many inferences to draw from: power politics, marriage alliances (as was often the case throughout history), prestige generation – and then has utterly ignored such valuable </w:t>
      </w:r>
      <w:r w:rsidR="006C5A38">
        <w:rPr>
          <w:rFonts w:ascii="Times New Roman" w:hAnsi="Times New Roman" w:cs="Times New Roman"/>
          <w:sz w:val="24"/>
          <w:szCs w:val="24"/>
        </w:rPr>
        <w:t>angles</w:t>
      </w:r>
      <w:r w:rsidR="00444DC9">
        <w:rPr>
          <w:rFonts w:ascii="Times New Roman" w:hAnsi="Times New Roman" w:cs="Times New Roman"/>
          <w:sz w:val="24"/>
          <w:szCs w:val="24"/>
        </w:rPr>
        <w:t xml:space="preserve"> of investigation. His conclusion, apart from Jewish Dynasty </w:t>
      </w:r>
      <w:r w:rsidR="00444DC9">
        <w:rPr>
          <w:rFonts w:ascii="Times New Roman" w:hAnsi="Times New Roman" w:cs="Times New Roman"/>
          <w:sz w:val="24"/>
          <w:szCs w:val="24"/>
        </w:rPr>
        <w:lastRenderedPageBreak/>
        <w:t xml:space="preserve">Presentation, argues that they tried to reduce or ‘limit’ their Hellenization. To what end? By still marrying a far? </w:t>
      </w:r>
      <w:r>
        <w:rPr>
          <w:rFonts w:ascii="Times New Roman" w:hAnsi="Times New Roman" w:cs="Times New Roman"/>
          <w:sz w:val="24"/>
          <w:szCs w:val="24"/>
        </w:rPr>
        <w:t>Would it have not have been better to marry Jewish families if reducing assimilation had been Herod’s goal</w:t>
      </w:r>
      <w:r w:rsidR="006C5A38">
        <w:rPr>
          <w:rFonts w:ascii="Times New Roman" w:hAnsi="Times New Roman" w:cs="Times New Roman"/>
          <w:sz w:val="24"/>
          <w:szCs w:val="24"/>
        </w:rPr>
        <w:t>?</w:t>
      </w:r>
      <w:r>
        <w:rPr>
          <w:rFonts w:ascii="Times New Roman" w:hAnsi="Times New Roman" w:cs="Times New Roman"/>
          <w:sz w:val="24"/>
          <w:szCs w:val="24"/>
        </w:rPr>
        <w:t xml:space="preserve"> </w:t>
      </w:r>
      <w:r w:rsidR="00444DC9">
        <w:rPr>
          <w:rFonts w:ascii="Times New Roman" w:hAnsi="Times New Roman" w:cs="Times New Roman"/>
          <w:sz w:val="24"/>
          <w:szCs w:val="24"/>
        </w:rPr>
        <w:t>What Regev shows is that even for Herod – and his descendants – dynasties, marriage, power and politics were still very much alive</w:t>
      </w:r>
      <w:r w:rsidR="006C5A38">
        <w:rPr>
          <w:rFonts w:ascii="Times New Roman" w:hAnsi="Times New Roman" w:cs="Times New Roman"/>
          <w:sz w:val="24"/>
          <w:szCs w:val="24"/>
        </w:rPr>
        <w:t xml:space="preserve"> and intertied</w:t>
      </w:r>
      <w:r>
        <w:rPr>
          <w:rFonts w:ascii="Times New Roman" w:hAnsi="Times New Roman" w:cs="Times New Roman"/>
          <w:sz w:val="24"/>
          <w:szCs w:val="24"/>
        </w:rPr>
        <w:t xml:space="preserve">. </w:t>
      </w:r>
      <w:r w:rsidR="006C5A38">
        <w:rPr>
          <w:rFonts w:ascii="Times New Roman" w:hAnsi="Times New Roman" w:cs="Times New Roman"/>
          <w:sz w:val="24"/>
          <w:szCs w:val="24"/>
        </w:rPr>
        <w:t>D</w:t>
      </w:r>
      <w:r>
        <w:rPr>
          <w:rFonts w:ascii="Times New Roman" w:hAnsi="Times New Roman" w:cs="Times New Roman"/>
          <w:sz w:val="24"/>
          <w:szCs w:val="24"/>
        </w:rPr>
        <w:t xml:space="preserve">espite this, he fails to tackle this important </w:t>
      </w:r>
      <w:r w:rsidR="006C5A38">
        <w:rPr>
          <w:rFonts w:ascii="Times New Roman" w:hAnsi="Times New Roman" w:cs="Times New Roman"/>
          <w:sz w:val="24"/>
          <w:szCs w:val="24"/>
        </w:rPr>
        <w:t>nuance</w:t>
      </w:r>
      <w:r>
        <w:rPr>
          <w:rFonts w:ascii="Times New Roman" w:hAnsi="Times New Roman" w:cs="Times New Roman"/>
          <w:sz w:val="24"/>
          <w:szCs w:val="24"/>
        </w:rPr>
        <w:t xml:space="preserve">. For if he proved that Herod had ample opportunity to marry into the Hellenized world, strengthening his power, giving him allies within </w:t>
      </w:r>
      <w:r w:rsidR="00B671D3">
        <w:rPr>
          <w:rFonts w:ascii="Times New Roman" w:hAnsi="Times New Roman" w:cs="Times New Roman"/>
          <w:sz w:val="24"/>
          <w:szCs w:val="24"/>
        </w:rPr>
        <w:t xml:space="preserve">the </w:t>
      </w:r>
      <w:r w:rsidRPr="00B671D3">
        <w:rPr>
          <w:rFonts w:ascii="Times New Roman" w:hAnsi="Times New Roman" w:cs="Times New Roman"/>
          <w:i/>
          <w:iCs/>
          <w:sz w:val="24"/>
          <w:szCs w:val="24"/>
        </w:rPr>
        <w:t>Mare</w:t>
      </w:r>
      <w:r w:rsidR="00B671D3">
        <w:rPr>
          <w:rFonts w:ascii="Times New Roman" w:hAnsi="Times New Roman" w:cs="Times New Roman"/>
          <w:i/>
          <w:iCs/>
          <w:sz w:val="24"/>
          <w:szCs w:val="24"/>
        </w:rPr>
        <w:t xml:space="preserve"> </w:t>
      </w:r>
      <w:r w:rsidRPr="00B671D3">
        <w:rPr>
          <w:rFonts w:ascii="Times New Roman" w:hAnsi="Times New Roman" w:cs="Times New Roman"/>
          <w:i/>
          <w:iCs/>
          <w:sz w:val="24"/>
          <w:szCs w:val="24"/>
        </w:rPr>
        <w:t>Nostrum</w:t>
      </w:r>
      <w:r>
        <w:rPr>
          <w:rFonts w:ascii="Times New Roman" w:hAnsi="Times New Roman" w:cs="Times New Roman"/>
          <w:sz w:val="24"/>
          <w:szCs w:val="24"/>
        </w:rPr>
        <w:t xml:space="preserve"> tyrant of his rule</w:t>
      </w:r>
      <w:r w:rsidR="00444DC9">
        <w:rPr>
          <w:rFonts w:ascii="Times New Roman" w:hAnsi="Times New Roman" w:cs="Times New Roman"/>
          <w:sz w:val="24"/>
          <w:szCs w:val="24"/>
        </w:rPr>
        <w:t>,</w:t>
      </w:r>
      <w:r>
        <w:rPr>
          <w:rFonts w:ascii="Times New Roman" w:hAnsi="Times New Roman" w:cs="Times New Roman"/>
          <w:sz w:val="24"/>
          <w:szCs w:val="24"/>
        </w:rPr>
        <w:t xml:space="preserve"> Rome – if he showed such, and yet Herod still married to other Kingdoms, in defiance against Hellenic seductions; then</w:t>
      </w:r>
      <w:r w:rsidR="00B671D3">
        <w:rPr>
          <w:rFonts w:ascii="Times New Roman" w:hAnsi="Times New Roman" w:cs="Times New Roman"/>
          <w:sz w:val="24"/>
          <w:szCs w:val="24"/>
        </w:rPr>
        <w:t xml:space="preserve"> – in this case – his argument and conclusion would have firmer though still wobbly ground to stand upon. </w:t>
      </w:r>
      <w:r w:rsidR="0037722A">
        <w:rPr>
          <w:rFonts w:ascii="Times New Roman" w:hAnsi="Times New Roman" w:cs="Times New Roman"/>
          <w:sz w:val="24"/>
          <w:szCs w:val="24"/>
        </w:rPr>
        <w:t xml:space="preserve">For Herod can always be charged and criticised for not inter-marrying enough with his nation and ‘people’. Rather, leaving this critique here, with mere historical speculation, not analysis – Herod’s dynasty was young, </w:t>
      </w:r>
      <w:r w:rsidR="00D711D3">
        <w:rPr>
          <w:rFonts w:ascii="Times New Roman" w:hAnsi="Times New Roman" w:cs="Times New Roman"/>
          <w:sz w:val="24"/>
          <w:szCs w:val="24"/>
        </w:rPr>
        <w:t xml:space="preserve">his aristocracy younger </w:t>
      </w:r>
      <w:r w:rsidR="000909A8">
        <w:rPr>
          <w:rFonts w:ascii="Times New Roman" w:hAnsi="Times New Roman" w:cs="Times New Roman"/>
          <w:sz w:val="24"/>
          <w:szCs w:val="24"/>
        </w:rPr>
        <w:t>still, his</w:t>
      </w:r>
      <w:r w:rsidR="0037722A">
        <w:rPr>
          <w:rFonts w:ascii="Times New Roman" w:hAnsi="Times New Roman" w:cs="Times New Roman"/>
          <w:sz w:val="24"/>
          <w:szCs w:val="24"/>
        </w:rPr>
        <w:t xml:space="preserve"> </w:t>
      </w:r>
      <w:r w:rsidR="00D711D3">
        <w:rPr>
          <w:rFonts w:ascii="Times New Roman" w:hAnsi="Times New Roman" w:cs="Times New Roman"/>
          <w:sz w:val="24"/>
          <w:szCs w:val="24"/>
        </w:rPr>
        <w:t>kingdom was</w:t>
      </w:r>
      <w:r w:rsidR="0037722A">
        <w:rPr>
          <w:rFonts w:ascii="Times New Roman" w:hAnsi="Times New Roman" w:cs="Times New Roman"/>
          <w:sz w:val="24"/>
          <w:szCs w:val="24"/>
        </w:rPr>
        <w:t xml:space="preserve"> weak, a client-slave, his people a threat and only leverage</w:t>
      </w:r>
      <w:r w:rsidR="00D711D3">
        <w:rPr>
          <w:rFonts w:ascii="Times New Roman" w:hAnsi="Times New Roman" w:cs="Times New Roman"/>
          <w:sz w:val="24"/>
          <w:szCs w:val="24"/>
        </w:rPr>
        <w:t xml:space="preserve">. It is plausible he sought </w:t>
      </w:r>
      <w:r w:rsidR="000909A8">
        <w:rPr>
          <w:rFonts w:ascii="Times New Roman" w:hAnsi="Times New Roman" w:cs="Times New Roman"/>
          <w:sz w:val="24"/>
          <w:szCs w:val="24"/>
        </w:rPr>
        <w:t>– in these cases – not authority vertically, through Rome or the kingdom, but horizontally, through the prestige and legitimacy other kingdoms offered.</w:t>
      </w:r>
      <w:r w:rsidR="0037722A">
        <w:rPr>
          <w:rFonts w:ascii="Times New Roman" w:hAnsi="Times New Roman" w:cs="Times New Roman"/>
          <w:sz w:val="24"/>
          <w:szCs w:val="24"/>
        </w:rPr>
        <w:t xml:space="preserve"> </w:t>
      </w:r>
      <w:r w:rsidR="000909A8">
        <w:rPr>
          <w:rFonts w:ascii="Times New Roman" w:hAnsi="Times New Roman" w:cs="Times New Roman"/>
          <w:sz w:val="24"/>
          <w:szCs w:val="24"/>
        </w:rPr>
        <w:t xml:space="preserve">If we knew and, as such, had evidence, there would be no need for Regev’s or this review to speculate. In these regards, seemingly the argument falls flat. </w:t>
      </w:r>
    </w:p>
    <w:p w14:paraId="3C34588D" w14:textId="3F35DC5C" w:rsidR="000909A8" w:rsidRDefault="000909A8" w:rsidP="00444DC9">
      <w:pPr>
        <w:spacing w:line="480" w:lineRule="auto"/>
        <w:rPr>
          <w:rFonts w:ascii="Times New Roman" w:hAnsi="Times New Roman" w:cs="Times New Roman"/>
          <w:sz w:val="24"/>
          <w:szCs w:val="24"/>
        </w:rPr>
      </w:pPr>
    </w:p>
    <w:p w14:paraId="1A7F6478" w14:textId="4F487744" w:rsidR="001215E8" w:rsidRDefault="000909A8" w:rsidP="00444DC9">
      <w:pPr>
        <w:spacing w:line="480" w:lineRule="auto"/>
        <w:rPr>
          <w:rFonts w:ascii="Times New Roman" w:hAnsi="Times New Roman" w:cs="Times New Roman"/>
          <w:sz w:val="24"/>
          <w:szCs w:val="24"/>
        </w:rPr>
      </w:pPr>
      <w:r>
        <w:rPr>
          <w:rFonts w:ascii="Times New Roman" w:hAnsi="Times New Roman" w:cs="Times New Roman"/>
          <w:sz w:val="24"/>
          <w:szCs w:val="24"/>
        </w:rPr>
        <w:t xml:space="preserve">Regev’s second evidential chapter – entitled: </w:t>
      </w:r>
      <w:r w:rsidRPr="000909A8">
        <w:rPr>
          <w:rFonts w:ascii="Times New Roman" w:hAnsi="Times New Roman" w:cs="Times New Roman"/>
          <w:i/>
          <w:iCs/>
          <w:sz w:val="24"/>
          <w:szCs w:val="24"/>
        </w:rPr>
        <w:t>‘Jewish Identity and Romanization: Ritual, Baths in Herod’s Bathhouses’</w:t>
      </w:r>
      <w:r w:rsidR="00A13FC9">
        <w:rPr>
          <w:rStyle w:val="FootnoteReference"/>
          <w:rFonts w:ascii="Times New Roman" w:hAnsi="Times New Roman" w:cs="Times New Roman"/>
          <w:i/>
          <w:iCs/>
          <w:sz w:val="24"/>
          <w:szCs w:val="24"/>
        </w:rPr>
        <w:footnoteReference w:id="7"/>
      </w:r>
      <w:r>
        <w:rPr>
          <w:rFonts w:ascii="Times New Roman" w:hAnsi="Times New Roman" w:cs="Times New Roman"/>
          <w:i/>
          <w:iCs/>
          <w:sz w:val="24"/>
          <w:szCs w:val="24"/>
        </w:rPr>
        <w:t xml:space="preserve"> </w:t>
      </w:r>
      <w:r>
        <w:rPr>
          <w:rFonts w:ascii="Times New Roman" w:hAnsi="Times New Roman" w:cs="Times New Roman"/>
          <w:sz w:val="24"/>
          <w:szCs w:val="24"/>
        </w:rPr>
        <w:t xml:space="preserve">– argues </w:t>
      </w:r>
      <w:r w:rsidR="006615AE">
        <w:rPr>
          <w:rFonts w:ascii="Times New Roman" w:hAnsi="Times New Roman" w:cs="Times New Roman"/>
          <w:sz w:val="24"/>
          <w:szCs w:val="24"/>
        </w:rPr>
        <w:t>Herod’s palace</w:t>
      </w:r>
      <w:r w:rsidR="00864786">
        <w:rPr>
          <w:rFonts w:ascii="Times New Roman" w:hAnsi="Times New Roman" w:cs="Times New Roman"/>
          <w:sz w:val="24"/>
          <w:szCs w:val="24"/>
        </w:rPr>
        <w:t>s</w:t>
      </w:r>
      <w:r w:rsidR="006615AE">
        <w:rPr>
          <w:rFonts w:ascii="Times New Roman" w:hAnsi="Times New Roman" w:cs="Times New Roman"/>
          <w:sz w:val="24"/>
          <w:szCs w:val="24"/>
        </w:rPr>
        <w:t xml:space="preserve"> may hold important insights int</w:t>
      </w:r>
      <w:r w:rsidR="00AC68AF">
        <w:rPr>
          <w:rFonts w:ascii="Times New Roman" w:hAnsi="Times New Roman" w:cs="Times New Roman"/>
          <w:sz w:val="24"/>
          <w:szCs w:val="24"/>
        </w:rPr>
        <w:t>o</w:t>
      </w:r>
      <w:r w:rsidR="006615AE">
        <w:rPr>
          <w:rFonts w:ascii="Times New Roman" w:hAnsi="Times New Roman" w:cs="Times New Roman"/>
          <w:sz w:val="24"/>
          <w:szCs w:val="24"/>
        </w:rPr>
        <w:t xml:space="preserve"> his identity. How? As he begins, there is a recognition that a palace is a representational image, a quasi-icon, of the ruler who houses it – that being, they shape it in their image.</w:t>
      </w:r>
      <w:r w:rsidR="00F34049">
        <w:rPr>
          <w:rStyle w:val="FootnoteReference"/>
          <w:rFonts w:ascii="Times New Roman" w:hAnsi="Times New Roman" w:cs="Times New Roman"/>
          <w:sz w:val="24"/>
          <w:szCs w:val="24"/>
        </w:rPr>
        <w:footnoteReference w:id="8"/>
      </w:r>
      <w:r w:rsidR="006615AE">
        <w:rPr>
          <w:rFonts w:ascii="Times New Roman" w:hAnsi="Times New Roman" w:cs="Times New Roman"/>
          <w:sz w:val="24"/>
          <w:szCs w:val="24"/>
        </w:rPr>
        <w:t xml:space="preserve"> For Regev, this is </w:t>
      </w:r>
      <w:proofErr w:type="spellStart"/>
      <w:r w:rsidR="006615AE" w:rsidRPr="006615AE">
        <w:rPr>
          <w:rFonts w:ascii="Times New Roman" w:hAnsi="Times New Roman" w:cs="Times New Roman"/>
          <w:i/>
          <w:iCs/>
          <w:sz w:val="24"/>
          <w:szCs w:val="24"/>
        </w:rPr>
        <w:t>thee</w:t>
      </w:r>
      <w:proofErr w:type="spellEnd"/>
      <w:r w:rsidR="006615AE">
        <w:rPr>
          <w:rFonts w:ascii="Times New Roman" w:hAnsi="Times New Roman" w:cs="Times New Roman"/>
          <w:sz w:val="24"/>
          <w:szCs w:val="24"/>
        </w:rPr>
        <w:t xml:space="preserve"> key evidence which entails his following argument and evidence: ‘</w:t>
      </w:r>
      <w:r w:rsidR="006615AE" w:rsidRPr="006615AE">
        <w:rPr>
          <w:rFonts w:ascii="Times New Roman" w:hAnsi="Times New Roman" w:cs="Times New Roman"/>
          <w:sz w:val="24"/>
          <w:szCs w:val="24"/>
        </w:rPr>
        <w:t xml:space="preserve">Herod and the </w:t>
      </w:r>
      <w:r w:rsidR="006615AE" w:rsidRPr="006615AE">
        <w:rPr>
          <w:rFonts w:ascii="Times New Roman" w:hAnsi="Times New Roman" w:cs="Times New Roman"/>
          <w:sz w:val="24"/>
          <w:szCs w:val="24"/>
        </w:rPr>
        <w:lastRenderedPageBreak/>
        <w:t xml:space="preserve">members of his royal court </w:t>
      </w:r>
      <w:r w:rsidR="006615AE">
        <w:rPr>
          <w:rFonts w:ascii="Times New Roman" w:hAnsi="Times New Roman" w:cs="Times New Roman"/>
          <w:sz w:val="24"/>
          <w:szCs w:val="24"/>
        </w:rPr>
        <w:t>[</w:t>
      </w:r>
      <w:r w:rsidR="00864786">
        <w:rPr>
          <w:rFonts w:ascii="Times New Roman" w:hAnsi="Times New Roman" w:cs="Times New Roman"/>
          <w:sz w:val="24"/>
          <w:szCs w:val="24"/>
        </w:rPr>
        <w:t xml:space="preserve">were </w:t>
      </w:r>
      <w:r w:rsidR="006615AE">
        <w:rPr>
          <w:rFonts w:ascii="Times New Roman" w:hAnsi="Times New Roman" w:cs="Times New Roman"/>
          <w:sz w:val="24"/>
          <w:szCs w:val="24"/>
        </w:rPr>
        <w:t>interest</w:t>
      </w:r>
      <w:r w:rsidR="00864786">
        <w:rPr>
          <w:rFonts w:ascii="Times New Roman" w:hAnsi="Times New Roman" w:cs="Times New Roman"/>
          <w:sz w:val="24"/>
          <w:szCs w:val="24"/>
        </w:rPr>
        <w:t>ed</w:t>
      </w:r>
      <w:r w:rsidR="006615AE">
        <w:rPr>
          <w:rFonts w:ascii="Times New Roman" w:hAnsi="Times New Roman" w:cs="Times New Roman"/>
          <w:sz w:val="24"/>
          <w:szCs w:val="24"/>
        </w:rPr>
        <w:t xml:space="preserve">] […] </w:t>
      </w:r>
      <w:r w:rsidR="006615AE" w:rsidRPr="006615AE">
        <w:rPr>
          <w:rFonts w:ascii="Times New Roman" w:hAnsi="Times New Roman" w:cs="Times New Roman"/>
          <w:sz w:val="24"/>
          <w:szCs w:val="24"/>
        </w:rPr>
        <w:t xml:space="preserve">in stressing their adherence to ritual purity </w:t>
      </w:r>
      <w:r w:rsidR="006615AE">
        <w:rPr>
          <w:rFonts w:ascii="Times New Roman" w:hAnsi="Times New Roman" w:cs="Times New Roman"/>
          <w:sz w:val="24"/>
          <w:szCs w:val="24"/>
        </w:rPr>
        <w:t>[…]</w:t>
      </w:r>
      <w:r w:rsidR="006615AE" w:rsidRPr="006615AE">
        <w:rPr>
          <w:rFonts w:ascii="Times New Roman" w:hAnsi="Times New Roman" w:cs="Times New Roman"/>
          <w:sz w:val="24"/>
          <w:szCs w:val="24"/>
        </w:rPr>
        <w:t xml:space="preserve"> to portray themselves as devoted Jews</w:t>
      </w:r>
      <w:r w:rsidR="006615AE">
        <w:rPr>
          <w:rFonts w:ascii="Times New Roman" w:hAnsi="Times New Roman" w:cs="Times New Roman"/>
          <w:sz w:val="24"/>
          <w:szCs w:val="24"/>
        </w:rPr>
        <w:t>.’</w:t>
      </w:r>
      <w:r w:rsidR="00A13FC9">
        <w:rPr>
          <w:rStyle w:val="FootnoteReference"/>
          <w:rFonts w:ascii="Times New Roman" w:hAnsi="Times New Roman" w:cs="Times New Roman"/>
          <w:sz w:val="24"/>
          <w:szCs w:val="24"/>
        </w:rPr>
        <w:footnoteReference w:id="9"/>
      </w:r>
      <w:r w:rsidR="006615AE">
        <w:rPr>
          <w:rFonts w:ascii="Times New Roman" w:hAnsi="Times New Roman" w:cs="Times New Roman"/>
          <w:sz w:val="24"/>
          <w:szCs w:val="24"/>
        </w:rPr>
        <w:t xml:space="preserve"> – that being</w:t>
      </w:r>
      <w:r w:rsidR="00CE7B2A">
        <w:rPr>
          <w:rFonts w:ascii="Times New Roman" w:hAnsi="Times New Roman" w:cs="Times New Roman"/>
          <w:sz w:val="24"/>
          <w:szCs w:val="24"/>
        </w:rPr>
        <w:t>,</w:t>
      </w:r>
      <w:r w:rsidR="006615AE">
        <w:rPr>
          <w:rFonts w:ascii="Times New Roman" w:hAnsi="Times New Roman" w:cs="Times New Roman"/>
          <w:sz w:val="24"/>
          <w:szCs w:val="24"/>
        </w:rPr>
        <w:t xml:space="preserve"> because the palace held both ritual baths and stone vessels. </w:t>
      </w:r>
      <w:r w:rsidR="00134618">
        <w:rPr>
          <w:rFonts w:ascii="Times New Roman" w:hAnsi="Times New Roman" w:cs="Times New Roman"/>
          <w:sz w:val="24"/>
          <w:szCs w:val="24"/>
        </w:rPr>
        <w:t>To collectivise his examples</w:t>
      </w:r>
      <w:r w:rsidR="00F67707">
        <w:rPr>
          <w:rFonts w:ascii="Times New Roman" w:hAnsi="Times New Roman" w:cs="Times New Roman"/>
          <w:sz w:val="24"/>
          <w:szCs w:val="24"/>
        </w:rPr>
        <w:t>,</w:t>
      </w:r>
      <w:r w:rsidR="00134618">
        <w:rPr>
          <w:rFonts w:ascii="Times New Roman" w:hAnsi="Times New Roman" w:cs="Times New Roman"/>
          <w:sz w:val="24"/>
          <w:szCs w:val="24"/>
        </w:rPr>
        <w:t xml:space="preserve"> </w:t>
      </w:r>
      <w:r w:rsidR="00F67707">
        <w:rPr>
          <w:rFonts w:ascii="Times New Roman" w:hAnsi="Times New Roman" w:cs="Times New Roman"/>
          <w:sz w:val="24"/>
          <w:szCs w:val="24"/>
        </w:rPr>
        <w:t xml:space="preserve">as </w:t>
      </w:r>
      <w:r w:rsidR="00134618">
        <w:rPr>
          <w:rFonts w:ascii="Times New Roman" w:hAnsi="Times New Roman" w:cs="Times New Roman"/>
          <w:sz w:val="24"/>
          <w:szCs w:val="24"/>
        </w:rPr>
        <w:t>Regev</w:t>
      </w:r>
      <w:r w:rsidR="00F67707">
        <w:rPr>
          <w:rFonts w:ascii="Times New Roman" w:hAnsi="Times New Roman" w:cs="Times New Roman"/>
          <w:sz w:val="24"/>
          <w:szCs w:val="24"/>
        </w:rPr>
        <w:t xml:space="preserve"> details, ‘forty-one possible ritual baths […] were found in Herod’s palaces and [related buildings].’</w:t>
      </w:r>
      <w:r w:rsidR="00A13FC9">
        <w:rPr>
          <w:rStyle w:val="FootnoteReference"/>
          <w:rFonts w:ascii="Times New Roman" w:hAnsi="Times New Roman" w:cs="Times New Roman"/>
          <w:sz w:val="24"/>
          <w:szCs w:val="24"/>
        </w:rPr>
        <w:footnoteReference w:id="10"/>
      </w:r>
      <w:r w:rsidR="00F67707">
        <w:rPr>
          <w:rFonts w:ascii="Times New Roman" w:hAnsi="Times New Roman" w:cs="Times New Roman"/>
          <w:sz w:val="24"/>
          <w:szCs w:val="24"/>
        </w:rPr>
        <w:t xml:space="preserve"> </w:t>
      </w:r>
      <w:r w:rsidR="001215E8">
        <w:rPr>
          <w:rFonts w:ascii="Times New Roman" w:hAnsi="Times New Roman" w:cs="Times New Roman"/>
          <w:sz w:val="24"/>
          <w:szCs w:val="24"/>
        </w:rPr>
        <w:t xml:space="preserve">However, the interesting point Regev makes is that multiple of these possible ritual baths – thirteen perhaps – served also as </w:t>
      </w:r>
      <w:r w:rsidR="001215E8" w:rsidRPr="001215E8">
        <w:rPr>
          <w:rFonts w:ascii="Times New Roman" w:hAnsi="Times New Roman" w:cs="Times New Roman"/>
          <w:i/>
          <w:iCs/>
          <w:sz w:val="24"/>
          <w:szCs w:val="24"/>
        </w:rPr>
        <w:t>frigidaria</w:t>
      </w:r>
      <w:r w:rsidR="001215E8">
        <w:rPr>
          <w:rFonts w:ascii="Times New Roman" w:hAnsi="Times New Roman" w:cs="Times New Roman"/>
          <w:sz w:val="24"/>
          <w:szCs w:val="24"/>
        </w:rPr>
        <w:t xml:space="preserve">, pulling into question if they were ritual baths at all. Though, citing three scholars – Reich, Foerster and </w:t>
      </w:r>
      <w:proofErr w:type="spellStart"/>
      <w:r w:rsidR="001215E8">
        <w:rPr>
          <w:rFonts w:ascii="Times New Roman" w:hAnsi="Times New Roman" w:cs="Times New Roman"/>
          <w:sz w:val="24"/>
          <w:szCs w:val="24"/>
        </w:rPr>
        <w:t>Netzer</w:t>
      </w:r>
      <w:proofErr w:type="spellEnd"/>
      <w:r w:rsidR="001215E8">
        <w:rPr>
          <w:rFonts w:ascii="Times New Roman" w:hAnsi="Times New Roman" w:cs="Times New Roman"/>
          <w:sz w:val="24"/>
          <w:szCs w:val="24"/>
        </w:rPr>
        <w:t xml:space="preserve"> – he reaches the conclusion that it would be ‘safe’ to presume, in many a case, that these </w:t>
      </w:r>
      <w:r w:rsidR="001215E8" w:rsidRPr="001215E8">
        <w:rPr>
          <w:rFonts w:ascii="Times New Roman" w:hAnsi="Times New Roman" w:cs="Times New Roman"/>
          <w:i/>
          <w:iCs/>
          <w:sz w:val="24"/>
          <w:szCs w:val="24"/>
        </w:rPr>
        <w:t>frigidaria</w:t>
      </w:r>
      <w:r w:rsidR="001215E8">
        <w:rPr>
          <w:rFonts w:ascii="Times New Roman" w:hAnsi="Times New Roman" w:cs="Times New Roman"/>
          <w:sz w:val="24"/>
          <w:szCs w:val="24"/>
        </w:rPr>
        <w:t xml:space="preserve"> were indeed both ritual baths and Roman cold-water-rooms.</w:t>
      </w:r>
      <w:r w:rsidR="00A13FC9">
        <w:rPr>
          <w:rStyle w:val="FootnoteReference"/>
          <w:rFonts w:ascii="Times New Roman" w:hAnsi="Times New Roman" w:cs="Times New Roman"/>
          <w:sz w:val="24"/>
          <w:szCs w:val="24"/>
        </w:rPr>
        <w:footnoteReference w:id="11"/>
      </w:r>
      <w:r w:rsidR="001215E8">
        <w:rPr>
          <w:rFonts w:ascii="Times New Roman" w:hAnsi="Times New Roman" w:cs="Times New Roman"/>
          <w:sz w:val="24"/>
          <w:szCs w:val="24"/>
        </w:rPr>
        <w:t xml:space="preserve"> This denotes two things: despite his habits of failing to follow Jewish custom, Herod and his staff consistently partook in ritual purity, unexpectedly. Secondly, the combination of the </w:t>
      </w:r>
      <w:r w:rsidR="001215E8" w:rsidRPr="001215E8">
        <w:rPr>
          <w:rFonts w:ascii="Times New Roman" w:hAnsi="Times New Roman" w:cs="Times New Roman"/>
          <w:i/>
          <w:iCs/>
          <w:sz w:val="24"/>
          <w:szCs w:val="24"/>
        </w:rPr>
        <w:t xml:space="preserve">mikveh </w:t>
      </w:r>
      <w:r w:rsidR="001215E8">
        <w:rPr>
          <w:rFonts w:ascii="Times New Roman" w:hAnsi="Times New Roman" w:cs="Times New Roman"/>
          <w:sz w:val="24"/>
          <w:szCs w:val="24"/>
        </w:rPr>
        <w:t xml:space="preserve">and </w:t>
      </w:r>
      <w:r w:rsidR="001215E8" w:rsidRPr="001215E8">
        <w:rPr>
          <w:rFonts w:ascii="Times New Roman" w:hAnsi="Times New Roman" w:cs="Times New Roman"/>
          <w:i/>
          <w:iCs/>
          <w:sz w:val="24"/>
          <w:szCs w:val="24"/>
        </w:rPr>
        <w:t xml:space="preserve">frigidaria </w:t>
      </w:r>
      <w:r w:rsidR="001215E8">
        <w:rPr>
          <w:rFonts w:ascii="Times New Roman" w:hAnsi="Times New Roman" w:cs="Times New Roman"/>
          <w:sz w:val="24"/>
          <w:szCs w:val="24"/>
        </w:rPr>
        <w:t>into a single installation signified an active effort to unify Roman culture with Jewish tradition</w:t>
      </w:r>
      <w:r w:rsidR="00F336B3">
        <w:rPr>
          <w:rFonts w:ascii="Times New Roman" w:hAnsi="Times New Roman" w:cs="Times New Roman"/>
          <w:sz w:val="24"/>
          <w:szCs w:val="24"/>
        </w:rPr>
        <w:t>.</w:t>
      </w:r>
      <w:r w:rsidR="00A13FC9">
        <w:rPr>
          <w:rStyle w:val="FootnoteReference"/>
          <w:rFonts w:ascii="Times New Roman" w:hAnsi="Times New Roman" w:cs="Times New Roman"/>
          <w:sz w:val="24"/>
          <w:szCs w:val="24"/>
        </w:rPr>
        <w:footnoteReference w:id="12"/>
      </w:r>
    </w:p>
    <w:p w14:paraId="7A3C6FE2" w14:textId="77777777" w:rsidR="001215E8" w:rsidRDefault="001215E8" w:rsidP="00444DC9">
      <w:pPr>
        <w:spacing w:line="480" w:lineRule="auto"/>
        <w:rPr>
          <w:rFonts w:ascii="Times New Roman" w:hAnsi="Times New Roman" w:cs="Times New Roman"/>
          <w:sz w:val="24"/>
          <w:szCs w:val="24"/>
        </w:rPr>
      </w:pPr>
    </w:p>
    <w:p w14:paraId="44327988" w14:textId="5588DF04" w:rsidR="001215E8" w:rsidRDefault="001215E8" w:rsidP="00444DC9">
      <w:pPr>
        <w:spacing w:line="480" w:lineRule="auto"/>
        <w:rPr>
          <w:rFonts w:ascii="Times New Roman" w:hAnsi="Times New Roman" w:cs="Times New Roman"/>
          <w:sz w:val="24"/>
          <w:szCs w:val="24"/>
        </w:rPr>
      </w:pPr>
      <w:r>
        <w:rPr>
          <w:rFonts w:ascii="Times New Roman" w:hAnsi="Times New Roman" w:cs="Times New Roman"/>
          <w:sz w:val="24"/>
          <w:szCs w:val="24"/>
        </w:rPr>
        <w:t>Though, while the first of these is not adequately supported, and in that regard Regev recognises such – most certainly the latter conclusion hold</w:t>
      </w:r>
      <w:r w:rsidR="00A13FC9">
        <w:rPr>
          <w:rFonts w:ascii="Times New Roman" w:hAnsi="Times New Roman" w:cs="Times New Roman"/>
          <w:sz w:val="24"/>
          <w:szCs w:val="24"/>
        </w:rPr>
        <w:t>s</w:t>
      </w:r>
      <w:r>
        <w:rPr>
          <w:rFonts w:ascii="Times New Roman" w:hAnsi="Times New Roman" w:cs="Times New Roman"/>
          <w:sz w:val="24"/>
          <w:szCs w:val="24"/>
        </w:rPr>
        <w:t xml:space="preserve">. For if we simply take a practical approach as Regev such expresses, of the functional value of combining the two together, then we need only identify such practical means and ends with Herod’s overarching goals. For if practically was the means, then too the frigidaria-mikveh would certainly serve the practical mean, as an end in itself, of Herod goal of cultural-social cohesion necessitated between and from the Hellen-Roman, and Jewish divide. As noted before, where Regev leads with the proposition that the palace lies in the image of those it houses, then – in regards to these baths – this is supported, and as such these baths too represent Herod’s identarian </w:t>
      </w:r>
      <w:r>
        <w:rPr>
          <w:rFonts w:ascii="Times New Roman" w:hAnsi="Times New Roman" w:cs="Times New Roman"/>
          <w:sz w:val="24"/>
          <w:szCs w:val="24"/>
        </w:rPr>
        <w:lastRenderedPageBreak/>
        <w:t xml:space="preserve">commitments, and efforts to unify, to domesticate the two ways of life to another, as to live together.    </w:t>
      </w:r>
    </w:p>
    <w:p w14:paraId="79D83E74" w14:textId="77777777" w:rsidR="001215E8" w:rsidRDefault="001215E8" w:rsidP="00444DC9">
      <w:pPr>
        <w:spacing w:line="480" w:lineRule="auto"/>
        <w:rPr>
          <w:rFonts w:ascii="Times New Roman" w:hAnsi="Times New Roman" w:cs="Times New Roman"/>
          <w:sz w:val="24"/>
          <w:szCs w:val="24"/>
        </w:rPr>
      </w:pPr>
    </w:p>
    <w:p w14:paraId="4B48771D" w14:textId="1783890F" w:rsidR="00F67707" w:rsidRDefault="00F67707" w:rsidP="00444DC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final evidential section </w:t>
      </w:r>
      <w:r w:rsidR="001215E8">
        <w:rPr>
          <w:rFonts w:ascii="Times New Roman" w:hAnsi="Times New Roman" w:cs="Times New Roman"/>
          <w:sz w:val="24"/>
          <w:szCs w:val="24"/>
        </w:rPr>
        <w:t xml:space="preserve">– </w:t>
      </w:r>
      <w:r>
        <w:rPr>
          <w:rFonts w:ascii="Times New Roman" w:hAnsi="Times New Roman" w:cs="Times New Roman"/>
          <w:sz w:val="24"/>
          <w:szCs w:val="24"/>
        </w:rPr>
        <w:t>entitled: ‘</w:t>
      </w:r>
      <w:r w:rsidRPr="00F67707">
        <w:rPr>
          <w:rFonts w:ascii="Times New Roman" w:hAnsi="Times New Roman" w:cs="Times New Roman"/>
          <w:i/>
          <w:iCs/>
          <w:sz w:val="24"/>
          <w:szCs w:val="24"/>
        </w:rPr>
        <w:t>Jewish Justification for Romanization in Herod and Nicolaus’s Speeches’</w:t>
      </w:r>
      <w:r w:rsidR="00F34049">
        <w:rPr>
          <w:rStyle w:val="FootnoteReference"/>
          <w:rFonts w:ascii="Times New Roman" w:hAnsi="Times New Roman" w:cs="Times New Roman"/>
          <w:i/>
          <w:iCs/>
          <w:sz w:val="24"/>
          <w:szCs w:val="24"/>
        </w:rPr>
        <w:footnoteReference w:id="13"/>
      </w:r>
      <w:r>
        <w:rPr>
          <w:rFonts w:ascii="Times New Roman" w:hAnsi="Times New Roman" w:cs="Times New Roman"/>
          <w:sz w:val="24"/>
          <w:szCs w:val="24"/>
        </w:rPr>
        <w:t xml:space="preserve"> </w:t>
      </w:r>
      <w:r w:rsidR="001215E8">
        <w:rPr>
          <w:rFonts w:ascii="Times New Roman" w:hAnsi="Times New Roman" w:cs="Times New Roman"/>
          <w:sz w:val="24"/>
          <w:szCs w:val="24"/>
        </w:rPr>
        <w:t>– tackles both J</w:t>
      </w:r>
      <w:r w:rsidR="00433D6A">
        <w:rPr>
          <w:rFonts w:ascii="Times New Roman" w:hAnsi="Times New Roman" w:cs="Times New Roman"/>
          <w:sz w:val="24"/>
          <w:szCs w:val="24"/>
        </w:rPr>
        <w:t>o</w:t>
      </w:r>
      <w:r w:rsidR="001215E8">
        <w:rPr>
          <w:rFonts w:ascii="Times New Roman" w:hAnsi="Times New Roman" w:cs="Times New Roman"/>
          <w:sz w:val="24"/>
          <w:szCs w:val="24"/>
        </w:rPr>
        <w:t xml:space="preserve">sephus’ commentary on and Herod’s excuses for his continued devotion to the Roman state. This section begins to focus the prior sections together into a tangible proof of Herod’s purposeful actions in representing his ‘Jewishness’: </w:t>
      </w:r>
      <w:r w:rsidR="00433D6A">
        <w:rPr>
          <w:rFonts w:ascii="Times New Roman" w:hAnsi="Times New Roman" w:cs="Times New Roman"/>
          <w:sz w:val="24"/>
          <w:szCs w:val="24"/>
        </w:rPr>
        <w:t>‘</w:t>
      </w:r>
      <w:r w:rsidR="00651E7D" w:rsidRPr="00651E7D">
        <w:rPr>
          <w:rFonts w:ascii="Times New Roman" w:hAnsi="Times New Roman" w:cs="Times New Roman"/>
          <w:sz w:val="24"/>
          <w:szCs w:val="24"/>
        </w:rPr>
        <w:t>Herod tried to achieve political legitimacy and</w:t>
      </w:r>
      <w:r w:rsidR="00433D6A">
        <w:rPr>
          <w:rFonts w:ascii="Times New Roman" w:hAnsi="Times New Roman" w:cs="Times New Roman"/>
          <w:sz w:val="24"/>
          <w:szCs w:val="24"/>
        </w:rPr>
        <w:t>…’ he later continues,</w:t>
      </w:r>
      <w:r w:rsidR="00651E7D">
        <w:rPr>
          <w:rFonts w:ascii="Times New Roman" w:hAnsi="Times New Roman" w:cs="Times New Roman"/>
          <w:sz w:val="24"/>
          <w:szCs w:val="24"/>
        </w:rPr>
        <w:t xml:space="preserve"> </w:t>
      </w:r>
      <w:r w:rsidR="00433D6A">
        <w:rPr>
          <w:rFonts w:ascii="Times New Roman" w:hAnsi="Times New Roman" w:cs="Times New Roman"/>
          <w:sz w:val="24"/>
          <w:szCs w:val="24"/>
        </w:rPr>
        <w:t>‘</w:t>
      </w:r>
      <w:r w:rsidR="00651E7D">
        <w:rPr>
          <w:rFonts w:ascii="Times New Roman" w:hAnsi="Times New Roman" w:cs="Times New Roman"/>
          <w:sz w:val="24"/>
          <w:szCs w:val="24"/>
        </w:rPr>
        <w:t xml:space="preserve">[through a] </w:t>
      </w:r>
      <w:r w:rsidR="00651E7D" w:rsidRPr="00651E7D">
        <w:rPr>
          <w:rFonts w:ascii="Times New Roman" w:hAnsi="Times New Roman" w:cs="Times New Roman"/>
          <w:sz w:val="24"/>
          <w:szCs w:val="24"/>
        </w:rPr>
        <w:t>political ideology directed to please the Jews</w:t>
      </w:r>
      <w:r w:rsidR="00433D6A">
        <w:rPr>
          <w:rFonts w:ascii="Times New Roman" w:hAnsi="Times New Roman" w:cs="Times New Roman"/>
          <w:sz w:val="24"/>
          <w:szCs w:val="24"/>
        </w:rPr>
        <w:t>.’</w:t>
      </w:r>
      <w:r w:rsidR="001C246D">
        <w:rPr>
          <w:rStyle w:val="FootnoteReference"/>
          <w:rFonts w:ascii="Times New Roman" w:hAnsi="Times New Roman" w:cs="Times New Roman"/>
          <w:sz w:val="24"/>
          <w:szCs w:val="24"/>
        </w:rPr>
        <w:footnoteReference w:id="14"/>
      </w:r>
      <w:r w:rsidR="00433D6A">
        <w:rPr>
          <w:rFonts w:ascii="Times New Roman" w:hAnsi="Times New Roman" w:cs="Times New Roman"/>
          <w:sz w:val="24"/>
          <w:szCs w:val="24"/>
        </w:rPr>
        <w:t xml:space="preserve"> Though, here he is referring to Josephus’ comments, which lacked evidence, Regev follows by suggesting three speeches by Herod and Nicolaus which may offer better examples, separately reported by Josephus: in the first, </w:t>
      </w:r>
      <w:r w:rsidR="00433D6A" w:rsidRPr="004F7680">
        <w:rPr>
          <w:rFonts w:ascii="Times New Roman" w:hAnsi="Times New Roman" w:cs="Times New Roman"/>
          <w:sz w:val="24"/>
          <w:szCs w:val="24"/>
        </w:rPr>
        <w:t>Herod argues for the second temples reconstruction, referring to Roman friendship, themes of piety, and beforehand, relying upon claims of bringing peace and growth to the nation</w:t>
      </w:r>
      <w:r w:rsidR="00433D6A">
        <w:rPr>
          <w:rFonts w:ascii="Times New Roman" w:hAnsi="Times New Roman" w:cs="Times New Roman"/>
          <w:sz w:val="24"/>
          <w:szCs w:val="24"/>
        </w:rPr>
        <w:t xml:space="preserve">. For </w:t>
      </w:r>
      <w:r w:rsidR="00B11A78">
        <w:rPr>
          <w:rFonts w:ascii="Times New Roman" w:hAnsi="Times New Roman" w:cs="Times New Roman"/>
          <w:sz w:val="24"/>
          <w:szCs w:val="24"/>
        </w:rPr>
        <w:t>R</w:t>
      </w:r>
      <w:r w:rsidR="00433D6A">
        <w:rPr>
          <w:rFonts w:ascii="Times New Roman" w:hAnsi="Times New Roman" w:cs="Times New Roman"/>
          <w:sz w:val="24"/>
          <w:szCs w:val="24"/>
        </w:rPr>
        <w:t>egev, this draws political power and religious piety</w:t>
      </w:r>
      <w:r w:rsidR="00B11A78">
        <w:rPr>
          <w:rFonts w:ascii="Times New Roman" w:hAnsi="Times New Roman" w:cs="Times New Roman"/>
          <w:sz w:val="24"/>
          <w:szCs w:val="24"/>
        </w:rPr>
        <w:t xml:space="preserve"> into one projected theme, by Herod, facilitated by Rome.</w:t>
      </w:r>
      <w:r w:rsidR="00A13FC9">
        <w:rPr>
          <w:rStyle w:val="FootnoteReference"/>
          <w:rFonts w:ascii="Times New Roman" w:hAnsi="Times New Roman" w:cs="Times New Roman"/>
          <w:sz w:val="24"/>
          <w:szCs w:val="24"/>
        </w:rPr>
        <w:footnoteReference w:id="15"/>
      </w:r>
      <w:r w:rsidR="00B11A78">
        <w:rPr>
          <w:rFonts w:ascii="Times New Roman" w:hAnsi="Times New Roman" w:cs="Times New Roman"/>
          <w:sz w:val="24"/>
          <w:szCs w:val="24"/>
        </w:rPr>
        <w:t xml:space="preserve"> </w:t>
      </w:r>
      <w:r w:rsidR="004F7680">
        <w:rPr>
          <w:rFonts w:ascii="Times New Roman" w:hAnsi="Times New Roman" w:cs="Times New Roman"/>
          <w:sz w:val="24"/>
          <w:szCs w:val="24"/>
        </w:rPr>
        <w:t>In the second and third</w:t>
      </w:r>
      <w:r w:rsidR="00B11A78">
        <w:rPr>
          <w:rFonts w:ascii="Times New Roman" w:hAnsi="Times New Roman" w:cs="Times New Roman"/>
          <w:sz w:val="24"/>
          <w:szCs w:val="24"/>
        </w:rPr>
        <w:t>, Nicolaus</w:t>
      </w:r>
      <w:r w:rsidR="00433D6A">
        <w:rPr>
          <w:rFonts w:ascii="Times New Roman" w:hAnsi="Times New Roman" w:cs="Times New Roman"/>
          <w:sz w:val="24"/>
          <w:szCs w:val="24"/>
        </w:rPr>
        <w:t xml:space="preserve"> </w:t>
      </w:r>
      <w:r w:rsidR="00B11A78">
        <w:rPr>
          <w:rFonts w:ascii="Times New Roman" w:hAnsi="Times New Roman" w:cs="Times New Roman"/>
          <w:sz w:val="24"/>
          <w:szCs w:val="24"/>
        </w:rPr>
        <w:t>refers</w:t>
      </w:r>
      <w:r w:rsidR="00A13FC9">
        <w:rPr>
          <w:rFonts w:ascii="Times New Roman" w:hAnsi="Times New Roman" w:cs="Times New Roman"/>
          <w:sz w:val="24"/>
          <w:szCs w:val="24"/>
        </w:rPr>
        <w:t xml:space="preserve"> – </w:t>
      </w:r>
      <w:r w:rsidR="00B11A78">
        <w:rPr>
          <w:rFonts w:ascii="Times New Roman" w:hAnsi="Times New Roman" w:cs="Times New Roman"/>
          <w:sz w:val="24"/>
          <w:szCs w:val="24"/>
        </w:rPr>
        <w:t>for their loyalty and submission to Rome</w:t>
      </w:r>
      <w:r w:rsidR="00A13FC9">
        <w:rPr>
          <w:rFonts w:ascii="Times New Roman" w:hAnsi="Times New Roman" w:cs="Times New Roman"/>
          <w:sz w:val="24"/>
          <w:szCs w:val="24"/>
        </w:rPr>
        <w:t xml:space="preserve"> –</w:t>
      </w:r>
      <w:r w:rsidR="00B11A78">
        <w:rPr>
          <w:rFonts w:ascii="Times New Roman" w:hAnsi="Times New Roman" w:cs="Times New Roman"/>
          <w:sz w:val="24"/>
          <w:szCs w:val="24"/>
        </w:rPr>
        <w:t xml:space="preserve"> privileges held by the Jews. The strongest argument he makes being in reference to a (dutiful and tactile fulfilment of) ‘commitment’ to Rome</w:t>
      </w:r>
      <w:r w:rsidR="004F7680">
        <w:rPr>
          <w:rFonts w:ascii="Times New Roman" w:hAnsi="Times New Roman" w:cs="Times New Roman"/>
          <w:sz w:val="24"/>
          <w:szCs w:val="24"/>
        </w:rPr>
        <w:t xml:space="preserve"> by Herod, represented through his friendship with Agrippa, which is reprehensive of Jewish friendship with Rome itself.</w:t>
      </w:r>
      <w:r w:rsidR="00A13FC9">
        <w:rPr>
          <w:rStyle w:val="FootnoteReference"/>
          <w:rFonts w:ascii="Times New Roman" w:hAnsi="Times New Roman" w:cs="Times New Roman"/>
          <w:sz w:val="24"/>
          <w:szCs w:val="24"/>
        </w:rPr>
        <w:footnoteReference w:id="16"/>
      </w:r>
      <w:r w:rsidR="004F7680">
        <w:rPr>
          <w:rFonts w:ascii="Times New Roman" w:hAnsi="Times New Roman" w:cs="Times New Roman"/>
          <w:sz w:val="24"/>
          <w:szCs w:val="24"/>
        </w:rPr>
        <w:t xml:space="preserve"> Regev continues to address critiques charged by Josephus. However, what this section aims to do is for us to recognise an active ideological game, and consequent image, of which Herod was trying to present to both </w:t>
      </w:r>
      <w:r w:rsidR="00CF520E">
        <w:rPr>
          <w:rFonts w:ascii="Times New Roman" w:hAnsi="Times New Roman" w:cs="Times New Roman"/>
          <w:sz w:val="24"/>
          <w:szCs w:val="24"/>
        </w:rPr>
        <w:t>his people and ourselves, in history</w:t>
      </w:r>
      <w:r w:rsidR="003F1F2E">
        <w:rPr>
          <w:rFonts w:ascii="Times New Roman" w:hAnsi="Times New Roman" w:cs="Times New Roman"/>
          <w:sz w:val="24"/>
          <w:szCs w:val="24"/>
        </w:rPr>
        <w:t>.</w:t>
      </w:r>
      <w:r w:rsidR="00CF520E">
        <w:rPr>
          <w:rFonts w:ascii="Times New Roman" w:hAnsi="Times New Roman" w:cs="Times New Roman"/>
          <w:sz w:val="24"/>
          <w:szCs w:val="24"/>
        </w:rPr>
        <w:t xml:space="preserve"> Though, this last</w:t>
      </w:r>
      <w:r w:rsidR="003F1F2E">
        <w:rPr>
          <w:rFonts w:ascii="Times New Roman" w:hAnsi="Times New Roman" w:cs="Times New Roman"/>
          <w:sz w:val="24"/>
          <w:szCs w:val="24"/>
        </w:rPr>
        <w:t xml:space="preserve"> evidential</w:t>
      </w:r>
      <w:r w:rsidR="00CF520E">
        <w:rPr>
          <w:rFonts w:ascii="Times New Roman" w:hAnsi="Times New Roman" w:cs="Times New Roman"/>
          <w:sz w:val="24"/>
          <w:szCs w:val="24"/>
        </w:rPr>
        <w:t xml:space="preserve"> section would far more greatly serve as the first</w:t>
      </w:r>
      <w:r w:rsidR="00A13FC9">
        <w:rPr>
          <w:rFonts w:ascii="Times New Roman" w:hAnsi="Times New Roman" w:cs="Times New Roman"/>
          <w:sz w:val="24"/>
          <w:szCs w:val="24"/>
        </w:rPr>
        <w:t xml:space="preserve">, </w:t>
      </w:r>
      <w:r w:rsidR="00CF520E">
        <w:rPr>
          <w:rFonts w:ascii="Times New Roman" w:hAnsi="Times New Roman" w:cs="Times New Roman"/>
          <w:sz w:val="24"/>
          <w:szCs w:val="24"/>
        </w:rPr>
        <w:t xml:space="preserve">giving credence to a dynastic </w:t>
      </w:r>
      <w:r w:rsidR="00CF520E">
        <w:rPr>
          <w:rFonts w:ascii="Times New Roman" w:hAnsi="Times New Roman" w:cs="Times New Roman"/>
          <w:sz w:val="24"/>
          <w:szCs w:val="24"/>
        </w:rPr>
        <w:lastRenderedPageBreak/>
        <w:t xml:space="preserve">ideological game, </w:t>
      </w:r>
      <w:r w:rsidR="00A13FC9">
        <w:rPr>
          <w:rFonts w:ascii="Times New Roman" w:hAnsi="Times New Roman" w:cs="Times New Roman"/>
          <w:sz w:val="24"/>
          <w:szCs w:val="24"/>
        </w:rPr>
        <w:t xml:space="preserve">as </w:t>
      </w:r>
      <w:r w:rsidR="00CF520E">
        <w:rPr>
          <w:rFonts w:ascii="Times New Roman" w:hAnsi="Times New Roman" w:cs="Times New Roman"/>
          <w:sz w:val="24"/>
          <w:szCs w:val="24"/>
        </w:rPr>
        <w:t>less inherited per-se, more learnt and passed on by the Herodian dynasty by their founder.</w:t>
      </w:r>
    </w:p>
    <w:p w14:paraId="2A777E9A" w14:textId="4540B4C2" w:rsidR="00CF520E" w:rsidRDefault="00CF520E" w:rsidP="00444DC9">
      <w:pPr>
        <w:spacing w:line="480" w:lineRule="auto"/>
        <w:rPr>
          <w:rFonts w:ascii="Times New Roman" w:hAnsi="Times New Roman" w:cs="Times New Roman"/>
          <w:sz w:val="24"/>
          <w:szCs w:val="24"/>
        </w:rPr>
      </w:pPr>
    </w:p>
    <w:p w14:paraId="72FB2A69" w14:textId="0DEE4D3B" w:rsidR="00CF520E" w:rsidRDefault="00CF520E" w:rsidP="00444DC9">
      <w:pPr>
        <w:spacing w:line="480" w:lineRule="auto"/>
        <w:rPr>
          <w:rFonts w:ascii="Times New Roman" w:hAnsi="Times New Roman" w:cs="Times New Roman"/>
          <w:sz w:val="24"/>
          <w:szCs w:val="24"/>
        </w:rPr>
      </w:pPr>
      <w:r>
        <w:rPr>
          <w:rFonts w:ascii="Times New Roman" w:hAnsi="Times New Roman" w:cs="Times New Roman"/>
          <w:sz w:val="24"/>
          <w:szCs w:val="24"/>
        </w:rPr>
        <w:t>In the last section, Regev’s conclusion, he compartmentalises his ‘evidences’ into two conclusions, which themselves are not mutually exclusive: 1.) Herod tried to be devote</w:t>
      </w:r>
      <w:r w:rsidR="00A233DB">
        <w:rPr>
          <w:rFonts w:ascii="Times New Roman" w:hAnsi="Times New Roman" w:cs="Times New Roman"/>
          <w:sz w:val="24"/>
          <w:szCs w:val="24"/>
        </w:rPr>
        <w:t>d</w:t>
      </w:r>
      <w:r>
        <w:rPr>
          <w:rFonts w:ascii="Times New Roman" w:hAnsi="Times New Roman" w:cs="Times New Roman"/>
          <w:sz w:val="24"/>
          <w:szCs w:val="24"/>
        </w:rPr>
        <w:t xml:space="preserve"> as a Jew, while also integrating his identity with his Roman cultural identity</w:t>
      </w:r>
      <w:r w:rsidR="00A233DB">
        <w:rPr>
          <w:rFonts w:ascii="Times New Roman" w:hAnsi="Times New Roman" w:cs="Times New Roman"/>
          <w:sz w:val="24"/>
          <w:szCs w:val="24"/>
        </w:rPr>
        <w:t>; 2.) that these findings were a result of a Herodian ideology, one described partly in the prior paragraph, whereby he presented an image, similar to Herod’s palace, to the state – his house – as a genuine reflection of his character. In doing so, he may have desired legitimacy and, as such, greater authority, thereupon the produced stability, as well security, would therefore lead to prosperity for himself, or even the common-people.</w:t>
      </w:r>
      <w:r w:rsidR="00CC26CA">
        <w:rPr>
          <w:rStyle w:val="FootnoteReference"/>
          <w:rFonts w:ascii="Times New Roman" w:hAnsi="Times New Roman" w:cs="Times New Roman"/>
          <w:sz w:val="24"/>
          <w:szCs w:val="24"/>
        </w:rPr>
        <w:footnoteReference w:id="17"/>
      </w:r>
      <w:r w:rsidR="00A233DB">
        <w:rPr>
          <w:rFonts w:ascii="Times New Roman" w:hAnsi="Times New Roman" w:cs="Times New Roman"/>
          <w:sz w:val="24"/>
          <w:szCs w:val="24"/>
        </w:rPr>
        <w:t xml:space="preserve"> Apart from the dynastic / first section, the argumentation and conclusion have real value. </w:t>
      </w:r>
      <w:r w:rsidR="00826106">
        <w:rPr>
          <w:rFonts w:ascii="Times New Roman" w:hAnsi="Times New Roman" w:cs="Times New Roman"/>
          <w:sz w:val="24"/>
          <w:szCs w:val="24"/>
        </w:rPr>
        <w:t>This last conclusion</w:t>
      </w:r>
      <w:r w:rsidR="00F34049">
        <w:rPr>
          <w:rFonts w:ascii="Times New Roman" w:hAnsi="Times New Roman" w:cs="Times New Roman"/>
          <w:sz w:val="24"/>
          <w:szCs w:val="24"/>
        </w:rPr>
        <w:t xml:space="preserve"> is effectively </w:t>
      </w:r>
      <w:r w:rsidR="00826106">
        <w:rPr>
          <w:rFonts w:ascii="Times New Roman" w:hAnsi="Times New Roman" w:cs="Times New Roman"/>
          <w:sz w:val="24"/>
          <w:szCs w:val="24"/>
        </w:rPr>
        <w:t>supported by an evidence of a necessity, conformance, and advantage making of Herod’s relationship with Rome, which was adopted and supported for its benefits and</w:t>
      </w:r>
      <w:r w:rsidR="0033370D">
        <w:rPr>
          <w:rFonts w:ascii="Times New Roman" w:hAnsi="Times New Roman" w:cs="Times New Roman"/>
          <w:sz w:val="24"/>
          <w:szCs w:val="24"/>
        </w:rPr>
        <w:t xml:space="preserve"> –</w:t>
      </w:r>
      <w:r w:rsidR="00826106">
        <w:rPr>
          <w:rFonts w:ascii="Times New Roman" w:hAnsi="Times New Roman" w:cs="Times New Roman"/>
          <w:sz w:val="24"/>
          <w:szCs w:val="24"/>
        </w:rPr>
        <w:t xml:space="preserve"> </w:t>
      </w:r>
      <w:r w:rsidR="0033370D">
        <w:rPr>
          <w:rFonts w:ascii="Times New Roman" w:hAnsi="Times New Roman" w:cs="Times New Roman"/>
          <w:sz w:val="24"/>
          <w:szCs w:val="24"/>
        </w:rPr>
        <w:t>i</w:t>
      </w:r>
      <w:r w:rsidR="00826106">
        <w:rPr>
          <w:rFonts w:ascii="Times New Roman" w:hAnsi="Times New Roman" w:cs="Times New Roman"/>
          <w:sz w:val="24"/>
          <w:szCs w:val="24"/>
        </w:rPr>
        <w:t xml:space="preserve">n these areas – propagated narratively to the people. However, Regev only addresses ideology, and not at all its tool: narrative – directly at least – until the conclusion. Here, if the first section was removed, and ideology engaged with, far more nuanced interpretations may have emerged. For now, Regev </w:t>
      </w:r>
      <w:r w:rsidR="00CC26CA">
        <w:rPr>
          <w:rFonts w:ascii="Times New Roman" w:hAnsi="Times New Roman" w:cs="Times New Roman"/>
          <w:sz w:val="24"/>
          <w:szCs w:val="24"/>
        </w:rPr>
        <w:t xml:space="preserve">successfully </w:t>
      </w:r>
      <w:r w:rsidR="00826106">
        <w:rPr>
          <w:rFonts w:ascii="Times New Roman" w:hAnsi="Times New Roman" w:cs="Times New Roman"/>
          <w:sz w:val="24"/>
          <w:szCs w:val="24"/>
        </w:rPr>
        <w:t xml:space="preserve">fulfils his goal of </w:t>
      </w:r>
      <w:r w:rsidR="00F336B3">
        <w:rPr>
          <w:rFonts w:ascii="Times New Roman" w:hAnsi="Times New Roman" w:cs="Times New Roman"/>
          <w:sz w:val="24"/>
          <w:szCs w:val="24"/>
        </w:rPr>
        <w:t>shedding light on Herod</w:t>
      </w:r>
      <w:r w:rsidR="0033370D">
        <w:rPr>
          <w:rFonts w:ascii="Times New Roman" w:hAnsi="Times New Roman" w:cs="Times New Roman"/>
          <w:sz w:val="24"/>
          <w:szCs w:val="24"/>
        </w:rPr>
        <w:t>’s</w:t>
      </w:r>
      <w:r w:rsidR="00F336B3">
        <w:rPr>
          <w:rFonts w:ascii="Times New Roman" w:hAnsi="Times New Roman" w:cs="Times New Roman"/>
          <w:sz w:val="24"/>
          <w:szCs w:val="24"/>
        </w:rPr>
        <w:t xml:space="preserve"> identities, commitments, and ideological rational, </w:t>
      </w:r>
      <w:r w:rsidR="00CC26CA">
        <w:rPr>
          <w:rFonts w:ascii="Times New Roman" w:hAnsi="Times New Roman" w:cs="Times New Roman"/>
          <w:sz w:val="24"/>
          <w:szCs w:val="24"/>
        </w:rPr>
        <w:t>including</w:t>
      </w:r>
      <w:r w:rsidR="00F336B3">
        <w:rPr>
          <w:rFonts w:ascii="Times New Roman" w:hAnsi="Times New Roman" w:cs="Times New Roman"/>
          <w:sz w:val="24"/>
          <w:szCs w:val="24"/>
        </w:rPr>
        <w:t xml:space="preserve"> </w:t>
      </w:r>
      <w:r w:rsidR="00CC26CA">
        <w:rPr>
          <w:rFonts w:ascii="Times New Roman" w:hAnsi="Times New Roman" w:cs="Times New Roman"/>
          <w:sz w:val="24"/>
          <w:szCs w:val="24"/>
        </w:rPr>
        <w:t xml:space="preserve">his </w:t>
      </w:r>
      <w:r w:rsidR="00F336B3">
        <w:rPr>
          <w:rFonts w:ascii="Times New Roman" w:hAnsi="Times New Roman" w:cs="Times New Roman"/>
          <w:sz w:val="24"/>
          <w:szCs w:val="24"/>
        </w:rPr>
        <w:t xml:space="preserve">solutions. </w:t>
      </w:r>
      <w:r w:rsidR="00826106">
        <w:rPr>
          <w:rFonts w:ascii="Times New Roman" w:hAnsi="Times New Roman" w:cs="Times New Roman"/>
          <w:sz w:val="24"/>
          <w:szCs w:val="24"/>
        </w:rPr>
        <w:t xml:space="preserve"> </w:t>
      </w:r>
    </w:p>
    <w:p w14:paraId="47D54E73" w14:textId="0003D548" w:rsidR="00A63037" w:rsidRDefault="008241C1" w:rsidP="008C658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2E19D27F" w14:textId="2FAD137A" w:rsidR="00A63037" w:rsidRDefault="00A63037" w:rsidP="008C658E">
      <w:pPr>
        <w:spacing w:line="480" w:lineRule="auto"/>
        <w:rPr>
          <w:rFonts w:ascii="Times New Roman" w:hAnsi="Times New Roman" w:cs="Times New Roman"/>
          <w:sz w:val="24"/>
          <w:szCs w:val="24"/>
        </w:rPr>
      </w:pPr>
    </w:p>
    <w:p w14:paraId="0E2E1F69" w14:textId="77777777" w:rsidR="003F1F2E" w:rsidRDefault="003F1F2E" w:rsidP="00A63037">
      <w:pPr>
        <w:spacing w:line="480" w:lineRule="auto"/>
        <w:jc w:val="center"/>
        <w:rPr>
          <w:rFonts w:ascii="Times New Roman" w:hAnsi="Times New Roman" w:cs="Times New Roman"/>
          <w:sz w:val="24"/>
          <w:szCs w:val="24"/>
        </w:rPr>
      </w:pPr>
    </w:p>
    <w:p w14:paraId="1B266886" w14:textId="41DE74A8" w:rsidR="00A63037" w:rsidRDefault="00A63037" w:rsidP="00A63037">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5BD9FC54" w14:textId="1447F2C8" w:rsidR="00A63037" w:rsidRPr="00A63037" w:rsidRDefault="00A63037" w:rsidP="00A63037">
      <w:pPr>
        <w:pStyle w:val="ListParagraph"/>
        <w:numPr>
          <w:ilvl w:val="0"/>
          <w:numId w:val="1"/>
        </w:numPr>
        <w:spacing w:line="480" w:lineRule="auto"/>
        <w:rPr>
          <w:rFonts w:ascii="Times New Roman" w:hAnsi="Times New Roman" w:cs="Times New Roman"/>
          <w:sz w:val="24"/>
          <w:szCs w:val="24"/>
        </w:rPr>
      </w:pPr>
      <w:r w:rsidRPr="00A63037">
        <w:rPr>
          <w:rFonts w:ascii="Times New Roman" w:hAnsi="Times New Roman" w:cs="Times New Roman"/>
          <w:sz w:val="24"/>
          <w:szCs w:val="24"/>
        </w:rPr>
        <w:t>Reg</w:t>
      </w:r>
      <w:r w:rsidR="003F1F2E">
        <w:rPr>
          <w:rFonts w:ascii="Times New Roman" w:hAnsi="Times New Roman" w:cs="Times New Roman"/>
          <w:sz w:val="24"/>
          <w:szCs w:val="24"/>
        </w:rPr>
        <w:t>e</w:t>
      </w:r>
      <w:r w:rsidRPr="00A63037">
        <w:rPr>
          <w:rFonts w:ascii="Times New Roman" w:hAnsi="Times New Roman" w:cs="Times New Roman"/>
          <w:sz w:val="24"/>
          <w:szCs w:val="24"/>
        </w:rPr>
        <w:t>l,</w:t>
      </w:r>
      <w:r w:rsidR="003F1F2E">
        <w:rPr>
          <w:rFonts w:ascii="Times New Roman" w:hAnsi="Times New Roman" w:cs="Times New Roman"/>
          <w:sz w:val="24"/>
          <w:szCs w:val="24"/>
        </w:rPr>
        <w:t xml:space="preserve"> </w:t>
      </w:r>
      <w:proofErr w:type="spellStart"/>
      <w:r w:rsidR="003F1F2E">
        <w:rPr>
          <w:rFonts w:ascii="Times New Roman" w:hAnsi="Times New Roman" w:cs="Times New Roman"/>
          <w:sz w:val="24"/>
          <w:szCs w:val="24"/>
        </w:rPr>
        <w:t>Eyal</w:t>
      </w:r>
      <w:proofErr w:type="spellEnd"/>
      <w:r w:rsidR="00B979A2">
        <w:rPr>
          <w:rFonts w:ascii="Times New Roman" w:hAnsi="Times New Roman" w:cs="Times New Roman"/>
          <w:sz w:val="24"/>
          <w:szCs w:val="24"/>
        </w:rPr>
        <w:t>,</w:t>
      </w:r>
      <w:r w:rsidRPr="00A63037">
        <w:rPr>
          <w:rFonts w:ascii="Times New Roman" w:hAnsi="Times New Roman" w:cs="Times New Roman"/>
          <w:sz w:val="24"/>
          <w:szCs w:val="24"/>
        </w:rPr>
        <w:t xml:space="preserve"> ‘Herod’s Jewish Ideology Facing Romanization: On Intermarriage, Ritual Baths, and Speeches’</w:t>
      </w:r>
      <w:r>
        <w:rPr>
          <w:rFonts w:ascii="Times New Roman" w:hAnsi="Times New Roman" w:cs="Times New Roman"/>
          <w:sz w:val="24"/>
          <w:szCs w:val="24"/>
        </w:rPr>
        <w:t>,</w:t>
      </w:r>
      <w:r w:rsidRPr="00A63037">
        <w:rPr>
          <w:rFonts w:ascii="Times New Roman" w:hAnsi="Times New Roman" w:cs="Times New Roman"/>
          <w:sz w:val="24"/>
          <w:szCs w:val="24"/>
        </w:rPr>
        <w:t xml:space="preserve"> </w:t>
      </w:r>
      <w:r w:rsidRPr="00A63037">
        <w:rPr>
          <w:rFonts w:ascii="Times New Roman" w:hAnsi="Times New Roman" w:cs="Times New Roman"/>
          <w:i/>
          <w:iCs/>
          <w:sz w:val="24"/>
          <w:szCs w:val="24"/>
        </w:rPr>
        <w:t>The Jewish quarterly review</w:t>
      </w:r>
      <w:r w:rsidRPr="00A63037">
        <w:rPr>
          <w:rFonts w:ascii="Times New Roman" w:hAnsi="Times New Roman" w:cs="Times New Roman"/>
          <w:sz w:val="24"/>
          <w:szCs w:val="24"/>
        </w:rPr>
        <w:t>, 100</w:t>
      </w:r>
      <w:r w:rsidR="00B979A2">
        <w:rPr>
          <w:rFonts w:ascii="Times New Roman" w:hAnsi="Times New Roman" w:cs="Times New Roman"/>
          <w:sz w:val="24"/>
          <w:szCs w:val="24"/>
        </w:rPr>
        <w:t>.</w:t>
      </w:r>
      <w:r w:rsidRPr="00A63037">
        <w:rPr>
          <w:rFonts w:ascii="Times New Roman" w:hAnsi="Times New Roman" w:cs="Times New Roman"/>
          <w:sz w:val="24"/>
          <w:szCs w:val="24"/>
        </w:rPr>
        <w:t>2, (2010), 197–222</w:t>
      </w:r>
      <w:r w:rsidR="00B979A2">
        <w:rPr>
          <w:rFonts w:ascii="Times New Roman" w:hAnsi="Times New Roman" w:cs="Times New Roman"/>
          <w:sz w:val="24"/>
          <w:szCs w:val="24"/>
        </w:rPr>
        <w:t>.</w:t>
      </w:r>
    </w:p>
    <w:sectPr w:rsidR="00A63037" w:rsidRPr="00A6303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D3953" w14:textId="77777777" w:rsidR="00087054" w:rsidRDefault="00087054" w:rsidP="0029236B">
      <w:pPr>
        <w:spacing w:after="0" w:line="240" w:lineRule="auto"/>
      </w:pPr>
      <w:r>
        <w:separator/>
      </w:r>
    </w:p>
  </w:endnote>
  <w:endnote w:type="continuationSeparator" w:id="0">
    <w:p w14:paraId="0FC5AA89" w14:textId="77777777" w:rsidR="00087054" w:rsidRDefault="00087054" w:rsidP="0029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251A4B" w14:textId="77777777" w:rsidR="00087054" w:rsidRDefault="00087054" w:rsidP="0029236B">
      <w:pPr>
        <w:spacing w:after="0" w:line="240" w:lineRule="auto"/>
      </w:pPr>
      <w:r>
        <w:separator/>
      </w:r>
    </w:p>
  </w:footnote>
  <w:footnote w:type="continuationSeparator" w:id="0">
    <w:p w14:paraId="2F411FB5" w14:textId="77777777" w:rsidR="00087054" w:rsidRDefault="00087054" w:rsidP="0029236B">
      <w:pPr>
        <w:spacing w:after="0" w:line="240" w:lineRule="auto"/>
      </w:pPr>
      <w:r>
        <w:continuationSeparator/>
      </w:r>
    </w:p>
  </w:footnote>
  <w:footnote w:id="1">
    <w:p w14:paraId="596B094D" w14:textId="2B455961" w:rsidR="00A13FC9" w:rsidRDefault="00A13FC9">
      <w:pPr>
        <w:pStyle w:val="FootnoteText"/>
      </w:pPr>
      <w:r>
        <w:rPr>
          <w:rStyle w:val="FootnoteReference"/>
        </w:rPr>
        <w:footnoteRef/>
      </w:r>
      <w:r>
        <w:t xml:space="preserve"> </w:t>
      </w:r>
      <w:proofErr w:type="spellStart"/>
      <w:r w:rsidR="00A63037">
        <w:t>Eyal</w:t>
      </w:r>
      <w:proofErr w:type="spellEnd"/>
      <w:r w:rsidR="00A63037">
        <w:t xml:space="preserve"> </w:t>
      </w:r>
      <w:r w:rsidR="00A63037" w:rsidRPr="00A63037">
        <w:t xml:space="preserve">Regev, ‘Herod’s Jewish Ideology Facing Romanization: On Intermarriage, Ritual Baths, and Speeches’, </w:t>
      </w:r>
      <w:r w:rsidR="00A63037" w:rsidRPr="00A63037">
        <w:rPr>
          <w:i/>
          <w:iCs/>
        </w:rPr>
        <w:t>The Jewish quarterly review</w:t>
      </w:r>
      <w:r w:rsidR="00A63037" w:rsidRPr="00A63037">
        <w:t>, 100</w:t>
      </w:r>
      <w:r w:rsidR="00A63037">
        <w:t xml:space="preserve">. </w:t>
      </w:r>
      <w:r w:rsidR="00A63037" w:rsidRPr="00A63037">
        <w:t>2</w:t>
      </w:r>
      <w:r w:rsidR="00A63037">
        <w:t xml:space="preserve"> </w:t>
      </w:r>
      <w:r w:rsidR="00A63037" w:rsidRPr="00A63037">
        <w:t>(2010), 197–222</w:t>
      </w:r>
      <w:r w:rsidR="00A63037">
        <w:t>, (p. 197.)</w:t>
      </w:r>
    </w:p>
  </w:footnote>
  <w:footnote w:id="2">
    <w:p w14:paraId="45091851" w14:textId="27D88598" w:rsidR="00B824AB" w:rsidRDefault="00B824AB">
      <w:pPr>
        <w:pStyle w:val="FootnoteText"/>
      </w:pPr>
      <w:r>
        <w:rPr>
          <w:rStyle w:val="FootnoteReference"/>
        </w:rPr>
        <w:footnoteRef/>
      </w:r>
      <w:r w:rsidR="00A63037">
        <w:t xml:space="preserve"> Ibid</w:t>
      </w:r>
      <w:r w:rsidR="002A0BEB">
        <w:t>.,</w:t>
      </w:r>
      <w:r w:rsidR="00A63037">
        <w:t xml:space="preserve"> p. 201. </w:t>
      </w:r>
    </w:p>
  </w:footnote>
  <w:footnote w:id="3">
    <w:p w14:paraId="6695E5D5" w14:textId="196864D1" w:rsidR="00A13FC9" w:rsidRDefault="00A13FC9">
      <w:pPr>
        <w:pStyle w:val="FootnoteText"/>
      </w:pPr>
      <w:r>
        <w:rPr>
          <w:rStyle w:val="FootnoteReference"/>
        </w:rPr>
        <w:footnoteRef/>
      </w:r>
      <w:r>
        <w:t xml:space="preserve"> </w:t>
      </w:r>
      <w:r w:rsidR="00A63037">
        <w:t>Ibid</w:t>
      </w:r>
      <w:r w:rsidR="002A0BEB">
        <w:t>.,</w:t>
      </w:r>
      <w:r w:rsidR="00A63037">
        <w:t xml:space="preserve"> </w:t>
      </w:r>
      <w:r w:rsidR="00A63037" w:rsidRPr="00A63037">
        <w:t>p. 20</w:t>
      </w:r>
      <w:r w:rsidR="00A63037">
        <w:t xml:space="preserve">2. </w:t>
      </w:r>
    </w:p>
  </w:footnote>
  <w:footnote w:id="4">
    <w:p w14:paraId="62705564" w14:textId="607757F0" w:rsidR="00A13FC9" w:rsidRDefault="00A13FC9">
      <w:pPr>
        <w:pStyle w:val="FootnoteText"/>
      </w:pPr>
      <w:r>
        <w:rPr>
          <w:rStyle w:val="FootnoteReference"/>
        </w:rPr>
        <w:footnoteRef/>
      </w:r>
      <w:r>
        <w:t xml:space="preserve"> </w:t>
      </w:r>
      <w:r w:rsidR="00A63037">
        <w:t>Ibid.</w:t>
      </w:r>
    </w:p>
  </w:footnote>
  <w:footnote w:id="5">
    <w:p w14:paraId="71424326" w14:textId="5371D236" w:rsidR="00A13FC9" w:rsidRDefault="00A13FC9">
      <w:pPr>
        <w:pStyle w:val="FootnoteText"/>
      </w:pPr>
      <w:r>
        <w:rPr>
          <w:rStyle w:val="FootnoteReference"/>
        </w:rPr>
        <w:footnoteRef/>
      </w:r>
      <w:r>
        <w:t xml:space="preserve"> </w:t>
      </w:r>
      <w:r w:rsidR="002A0BEB">
        <w:t>Ibid., p. 203 – 206.</w:t>
      </w:r>
    </w:p>
  </w:footnote>
  <w:footnote w:id="6">
    <w:p w14:paraId="06632425" w14:textId="47B4765E" w:rsidR="00A13FC9" w:rsidRDefault="00A13FC9">
      <w:pPr>
        <w:pStyle w:val="FootnoteText"/>
      </w:pPr>
      <w:r>
        <w:rPr>
          <w:rStyle w:val="FootnoteReference"/>
        </w:rPr>
        <w:footnoteRef/>
      </w:r>
      <w:r>
        <w:t xml:space="preserve"> </w:t>
      </w:r>
      <w:r w:rsidR="002A0BEB">
        <w:t>Ibid., p. 202 – 203.</w:t>
      </w:r>
    </w:p>
  </w:footnote>
  <w:footnote w:id="7">
    <w:p w14:paraId="3B343CB3" w14:textId="45310DF5" w:rsidR="00A13FC9" w:rsidRDefault="00A13FC9">
      <w:pPr>
        <w:pStyle w:val="FootnoteText"/>
      </w:pPr>
      <w:r>
        <w:rPr>
          <w:rStyle w:val="FootnoteReference"/>
        </w:rPr>
        <w:footnoteRef/>
      </w:r>
      <w:r>
        <w:t xml:space="preserve"> </w:t>
      </w:r>
      <w:proofErr w:type="gramStart"/>
      <w:r w:rsidR="002A0BEB">
        <w:t>Ibid,.</w:t>
      </w:r>
      <w:proofErr w:type="gramEnd"/>
      <w:r w:rsidR="002A0BEB">
        <w:t xml:space="preserve"> P. 206. </w:t>
      </w:r>
    </w:p>
  </w:footnote>
  <w:footnote w:id="8">
    <w:p w14:paraId="2A14519B" w14:textId="43FD6CDC" w:rsidR="00F34049" w:rsidRDefault="00F34049">
      <w:pPr>
        <w:pStyle w:val="FootnoteText"/>
      </w:pPr>
      <w:r>
        <w:rPr>
          <w:rStyle w:val="FootnoteReference"/>
        </w:rPr>
        <w:footnoteRef/>
      </w:r>
      <w:r>
        <w:t xml:space="preserve"> </w:t>
      </w:r>
      <w:r w:rsidR="002A0BEB">
        <w:t xml:space="preserve">Ibid. </w:t>
      </w:r>
    </w:p>
  </w:footnote>
  <w:footnote w:id="9">
    <w:p w14:paraId="640D64AF" w14:textId="59D1C7ED" w:rsidR="00A13FC9" w:rsidRDefault="00A13FC9">
      <w:pPr>
        <w:pStyle w:val="FootnoteText"/>
      </w:pPr>
      <w:r>
        <w:rPr>
          <w:rStyle w:val="FootnoteReference"/>
        </w:rPr>
        <w:footnoteRef/>
      </w:r>
      <w:r>
        <w:t xml:space="preserve"> </w:t>
      </w:r>
      <w:r w:rsidR="001C246D">
        <w:t>Ibid.</w:t>
      </w:r>
    </w:p>
  </w:footnote>
  <w:footnote w:id="10">
    <w:p w14:paraId="6F78D801" w14:textId="32BD4A7E" w:rsidR="00A13FC9" w:rsidRDefault="00A13FC9">
      <w:pPr>
        <w:pStyle w:val="FootnoteText"/>
      </w:pPr>
      <w:r>
        <w:rPr>
          <w:rStyle w:val="FootnoteReference"/>
        </w:rPr>
        <w:footnoteRef/>
      </w:r>
      <w:r>
        <w:t xml:space="preserve"> </w:t>
      </w:r>
      <w:proofErr w:type="gramStart"/>
      <w:r w:rsidR="001C246D">
        <w:t>Ibid,.</w:t>
      </w:r>
      <w:proofErr w:type="gramEnd"/>
      <w:r w:rsidR="001C246D">
        <w:t xml:space="preserve"> p. 210.</w:t>
      </w:r>
    </w:p>
  </w:footnote>
  <w:footnote w:id="11">
    <w:p w14:paraId="25AE747B" w14:textId="7C8B2E8E" w:rsidR="00A13FC9" w:rsidRDefault="00A13FC9">
      <w:pPr>
        <w:pStyle w:val="FootnoteText"/>
      </w:pPr>
      <w:r>
        <w:rPr>
          <w:rStyle w:val="FootnoteReference"/>
        </w:rPr>
        <w:footnoteRef/>
      </w:r>
      <w:r>
        <w:t xml:space="preserve"> </w:t>
      </w:r>
      <w:proofErr w:type="gramStart"/>
      <w:r w:rsidR="001C246D">
        <w:t>Ibid,.</w:t>
      </w:r>
      <w:proofErr w:type="gramEnd"/>
      <w:r w:rsidR="001C246D">
        <w:t xml:space="preserve"> p. 211. </w:t>
      </w:r>
    </w:p>
  </w:footnote>
  <w:footnote w:id="12">
    <w:p w14:paraId="795C3D38" w14:textId="6F5582CB" w:rsidR="00A13FC9" w:rsidRDefault="00A13FC9">
      <w:pPr>
        <w:pStyle w:val="FootnoteText"/>
      </w:pPr>
      <w:r>
        <w:rPr>
          <w:rStyle w:val="FootnoteReference"/>
        </w:rPr>
        <w:footnoteRef/>
      </w:r>
      <w:r>
        <w:t xml:space="preserve"> </w:t>
      </w:r>
      <w:r w:rsidR="001C246D">
        <w:t xml:space="preserve">Ibid. </w:t>
      </w:r>
    </w:p>
  </w:footnote>
  <w:footnote w:id="13">
    <w:p w14:paraId="4CE37496" w14:textId="6C15762B" w:rsidR="00F34049" w:rsidRDefault="00F34049">
      <w:pPr>
        <w:pStyle w:val="FootnoteText"/>
      </w:pPr>
      <w:r>
        <w:rPr>
          <w:rStyle w:val="FootnoteReference"/>
        </w:rPr>
        <w:footnoteRef/>
      </w:r>
      <w:r>
        <w:t xml:space="preserve"> </w:t>
      </w:r>
      <w:proofErr w:type="gramStart"/>
      <w:r w:rsidR="001C246D">
        <w:t>Ibid,.</w:t>
      </w:r>
      <w:proofErr w:type="gramEnd"/>
      <w:r w:rsidR="001C246D">
        <w:t xml:space="preserve"> p. 212. </w:t>
      </w:r>
    </w:p>
  </w:footnote>
  <w:footnote w:id="14">
    <w:p w14:paraId="101764B7" w14:textId="27EF3C77" w:rsidR="001C246D" w:rsidRDefault="001C246D">
      <w:pPr>
        <w:pStyle w:val="FootnoteText"/>
      </w:pPr>
      <w:r>
        <w:rPr>
          <w:rStyle w:val="FootnoteReference"/>
        </w:rPr>
        <w:footnoteRef/>
      </w:r>
      <w:r>
        <w:t xml:space="preserve"> </w:t>
      </w:r>
      <w:proofErr w:type="gramStart"/>
      <w:r w:rsidR="003F1F2E">
        <w:t>Ibid,.</w:t>
      </w:r>
      <w:proofErr w:type="gramEnd"/>
      <w:r w:rsidR="003F1F2E">
        <w:t xml:space="preserve"> p. 213. </w:t>
      </w:r>
    </w:p>
  </w:footnote>
  <w:footnote w:id="15">
    <w:p w14:paraId="05ED187D" w14:textId="09EB41A5" w:rsidR="00A13FC9" w:rsidRDefault="00A13FC9">
      <w:pPr>
        <w:pStyle w:val="FootnoteText"/>
      </w:pPr>
      <w:r>
        <w:rPr>
          <w:rStyle w:val="FootnoteReference"/>
        </w:rPr>
        <w:footnoteRef/>
      </w:r>
      <w:r>
        <w:t xml:space="preserve"> </w:t>
      </w:r>
      <w:proofErr w:type="gramStart"/>
      <w:r w:rsidR="003F1F2E">
        <w:t>Ibid,.</w:t>
      </w:r>
      <w:proofErr w:type="gramEnd"/>
      <w:r w:rsidR="003F1F2E">
        <w:t xml:space="preserve"> p. 214.</w:t>
      </w:r>
    </w:p>
  </w:footnote>
  <w:footnote w:id="16">
    <w:p w14:paraId="76056690" w14:textId="4674154E" w:rsidR="00A13FC9" w:rsidRDefault="00A13FC9">
      <w:pPr>
        <w:pStyle w:val="FootnoteText"/>
      </w:pPr>
      <w:r>
        <w:rPr>
          <w:rStyle w:val="FootnoteReference"/>
        </w:rPr>
        <w:footnoteRef/>
      </w:r>
      <w:r>
        <w:t xml:space="preserve"> </w:t>
      </w:r>
      <w:proofErr w:type="gramStart"/>
      <w:r w:rsidR="003F1F2E">
        <w:t>Ibid,.</w:t>
      </w:r>
      <w:proofErr w:type="gramEnd"/>
      <w:r w:rsidR="003F1F2E">
        <w:t xml:space="preserve"> p. 215 – 216. </w:t>
      </w:r>
    </w:p>
  </w:footnote>
  <w:footnote w:id="17">
    <w:p w14:paraId="7EBE43D3" w14:textId="62BB2DF1" w:rsidR="00CC26CA" w:rsidRDefault="00CC26CA">
      <w:pPr>
        <w:pStyle w:val="FootnoteText"/>
      </w:pPr>
      <w:r>
        <w:rPr>
          <w:rStyle w:val="FootnoteReference"/>
        </w:rPr>
        <w:footnoteRef/>
      </w:r>
      <w:r>
        <w:t xml:space="preserve"> </w:t>
      </w:r>
      <w:r w:rsidR="003F1F2E">
        <w:t xml:space="preserve">Ibid., p. 219 – 220.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2248957"/>
      <w:docPartObj>
        <w:docPartGallery w:val="Page Numbers (Top of Page)"/>
        <w:docPartUnique/>
      </w:docPartObj>
    </w:sdtPr>
    <w:sdtEndPr>
      <w:rPr>
        <w:noProof/>
      </w:rPr>
    </w:sdtEndPr>
    <w:sdtContent>
      <w:p w14:paraId="40AB57B0" w14:textId="7005D9CF" w:rsidR="00D627A2" w:rsidRDefault="00D627A2" w:rsidP="00D627A2">
        <w:pPr>
          <w:pStyle w:val="Header"/>
          <w:jc w:val="right"/>
        </w:pPr>
        <w:r>
          <w:t xml:space="preserve">  Milnes </w:t>
        </w:r>
        <w:r>
          <w:fldChar w:fldCharType="begin"/>
        </w:r>
        <w:r>
          <w:instrText xml:space="preserve"> PAGE   \* MERGEFORMAT </w:instrText>
        </w:r>
        <w:r>
          <w:fldChar w:fldCharType="separate"/>
        </w:r>
        <w:r>
          <w:rPr>
            <w:noProof/>
          </w:rPr>
          <w:t>2</w:t>
        </w:r>
        <w:r>
          <w:rPr>
            <w:noProof/>
          </w:rPr>
          <w:fldChar w:fldCharType="end"/>
        </w:r>
      </w:p>
    </w:sdtContent>
  </w:sdt>
  <w:p w14:paraId="4ACDDAA7" w14:textId="556FE4DA" w:rsidR="00D627A2" w:rsidRDefault="00D627A2" w:rsidP="00D627A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805164"/>
    <w:multiLevelType w:val="hybridMultilevel"/>
    <w:tmpl w:val="6FE64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332"/>
    <w:rsid w:val="00035218"/>
    <w:rsid w:val="00087054"/>
    <w:rsid w:val="000909A8"/>
    <w:rsid w:val="000E46AC"/>
    <w:rsid w:val="001215E8"/>
    <w:rsid w:val="00134618"/>
    <w:rsid w:val="001C246D"/>
    <w:rsid w:val="001C742A"/>
    <w:rsid w:val="0023105E"/>
    <w:rsid w:val="0029236B"/>
    <w:rsid w:val="002A0BEB"/>
    <w:rsid w:val="0033370D"/>
    <w:rsid w:val="00345740"/>
    <w:rsid w:val="00361F45"/>
    <w:rsid w:val="00367456"/>
    <w:rsid w:val="0037722A"/>
    <w:rsid w:val="003F1F2E"/>
    <w:rsid w:val="00433D6A"/>
    <w:rsid w:val="00444DC9"/>
    <w:rsid w:val="004C14CC"/>
    <w:rsid w:val="004F7680"/>
    <w:rsid w:val="00530021"/>
    <w:rsid w:val="00651E7D"/>
    <w:rsid w:val="006615AE"/>
    <w:rsid w:val="006C5A38"/>
    <w:rsid w:val="00736EEC"/>
    <w:rsid w:val="00775332"/>
    <w:rsid w:val="008241C1"/>
    <w:rsid w:val="00826106"/>
    <w:rsid w:val="00864786"/>
    <w:rsid w:val="008C658E"/>
    <w:rsid w:val="00A13FC9"/>
    <w:rsid w:val="00A233DB"/>
    <w:rsid w:val="00A63037"/>
    <w:rsid w:val="00A84D05"/>
    <w:rsid w:val="00AC68AF"/>
    <w:rsid w:val="00B11A78"/>
    <w:rsid w:val="00B412E9"/>
    <w:rsid w:val="00B671D3"/>
    <w:rsid w:val="00B824AB"/>
    <w:rsid w:val="00B979A2"/>
    <w:rsid w:val="00BE381B"/>
    <w:rsid w:val="00C17039"/>
    <w:rsid w:val="00CC26CA"/>
    <w:rsid w:val="00CE7B2A"/>
    <w:rsid w:val="00CF520E"/>
    <w:rsid w:val="00D5462B"/>
    <w:rsid w:val="00D627A2"/>
    <w:rsid w:val="00D711D3"/>
    <w:rsid w:val="00DF4D4B"/>
    <w:rsid w:val="00EF38C4"/>
    <w:rsid w:val="00F336B3"/>
    <w:rsid w:val="00F34049"/>
    <w:rsid w:val="00F43419"/>
    <w:rsid w:val="00F67707"/>
    <w:rsid w:val="00FC7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90D53F"/>
  <w15:chartTrackingRefBased/>
  <w15:docId w15:val="{E179D67B-5A18-425F-99F3-C310027C7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2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36B"/>
  </w:style>
  <w:style w:type="paragraph" w:styleId="Footer">
    <w:name w:val="footer"/>
    <w:basedOn w:val="Normal"/>
    <w:link w:val="FooterChar"/>
    <w:uiPriority w:val="99"/>
    <w:unhideWhenUsed/>
    <w:rsid w:val="00292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36B"/>
  </w:style>
  <w:style w:type="paragraph" w:styleId="FootnoteText">
    <w:name w:val="footnote text"/>
    <w:basedOn w:val="Normal"/>
    <w:link w:val="FootnoteTextChar"/>
    <w:uiPriority w:val="99"/>
    <w:semiHidden/>
    <w:unhideWhenUsed/>
    <w:rsid w:val="00B824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4AB"/>
    <w:rPr>
      <w:sz w:val="20"/>
      <w:szCs w:val="20"/>
    </w:rPr>
  </w:style>
  <w:style w:type="character" w:styleId="FootnoteReference">
    <w:name w:val="footnote reference"/>
    <w:basedOn w:val="DefaultParagraphFont"/>
    <w:uiPriority w:val="99"/>
    <w:semiHidden/>
    <w:unhideWhenUsed/>
    <w:rsid w:val="00B824AB"/>
    <w:rPr>
      <w:vertAlign w:val="superscript"/>
    </w:rPr>
  </w:style>
  <w:style w:type="paragraph" w:styleId="ListParagraph">
    <w:name w:val="List Paragraph"/>
    <w:basedOn w:val="Normal"/>
    <w:uiPriority w:val="34"/>
    <w:qFormat/>
    <w:rsid w:val="00A630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916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77FA9-A62F-4094-A875-EFD9BD7DF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2591</TotalTime>
  <Pages>7</Pages>
  <Words>1640</Words>
  <Characters>9350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13</cp:revision>
  <dcterms:created xsi:type="dcterms:W3CDTF">2020-06-05T12:19:00Z</dcterms:created>
  <dcterms:modified xsi:type="dcterms:W3CDTF">2020-06-12T22:43:00Z</dcterms:modified>
</cp:coreProperties>
</file>