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661EF" w14:textId="77777777" w:rsidR="009602FE" w:rsidRDefault="009602FE" w:rsidP="009602FE">
      <w:pPr>
        <w:jc w:val="center"/>
        <w:rPr>
          <w:b/>
          <w:bCs/>
          <w:sz w:val="36"/>
          <w:szCs w:val="36"/>
          <w:u w:val="single"/>
          <w:lang w:eastAsia="en-GB"/>
        </w:rPr>
      </w:pPr>
    </w:p>
    <w:p w14:paraId="4BAD0F00" w14:textId="77777777" w:rsidR="009602FE" w:rsidRDefault="009602FE" w:rsidP="009602FE">
      <w:pPr>
        <w:jc w:val="center"/>
        <w:rPr>
          <w:b/>
          <w:bCs/>
          <w:sz w:val="36"/>
          <w:szCs w:val="36"/>
          <w:u w:val="single"/>
          <w:lang w:eastAsia="en-GB"/>
        </w:rPr>
      </w:pPr>
    </w:p>
    <w:p w14:paraId="72B17004" w14:textId="77777777" w:rsidR="009602FE" w:rsidRDefault="009602FE" w:rsidP="009602FE">
      <w:pPr>
        <w:jc w:val="center"/>
        <w:rPr>
          <w:b/>
          <w:bCs/>
          <w:sz w:val="36"/>
          <w:szCs w:val="36"/>
          <w:u w:val="single"/>
          <w:lang w:eastAsia="en-GB"/>
        </w:rPr>
      </w:pPr>
    </w:p>
    <w:p w14:paraId="0DB70745" w14:textId="77777777" w:rsidR="009602FE" w:rsidRDefault="009602FE" w:rsidP="009602FE">
      <w:pPr>
        <w:jc w:val="center"/>
        <w:rPr>
          <w:b/>
          <w:bCs/>
          <w:sz w:val="36"/>
          <w:szCs w:val="36"/>
          <w:u w:val="single"/>
          <w:lang w:eastAsia="en-GB"/>
        </w:rPr>
      </w:pPr>
    </w:p>
    <w:p w14:paraId="7EE6C41E" w14:textId="77777777" w:rsidR="009602FE" w:rsidRDefault="009602FE" w:rsidP="009602FE">
      <w:pPr>
        <w:jc w:val="center"/>
        <w:rPr>
          <w:b/>
          <w:bCs/>
          <w:sz w:val="36"/>
          <w:szCs w:val="36"/>
          <w:u w:val="single"/>
          <w:lang w:eastAsia="en-GB"/>
        </w:rPr>
      </w:pPr>
    </w:p>
    <w:p w14:paraId="35DBC457" w14:textId="419EA9D9" w:rsidR="009602FE" w:rsidRPr="009602FE" w:rsidRDefault="009602FE" w:rsidP="009602FE">
      <w:pPr>
        <w:jc w:val="center"/>
        <w:rPr>
          <w:b/>
          <w:bCs/>
          <w:sz w:val="36"/>
          <w:szCs w:val="36"/>
          <w:u w:val="single"/>
          <w:lang w:eastAsia="en-GB"/>
        </w:rPr>
      </w:pPr>
      <w:r w:rsidRPr="009602FE">
        <w:rPr>
          <w:b/>
          <w:bCs/>
          <w:sz w:val="36"/>
          <w:szCs w:val="36"/>
          <w:u w:val="single"/>
          <w:lang w:eastAsia="en-GB"/>
        </w:rPr>
        <w:t>Report on Communication, Administrative Skills and Collaborative Working in the Case of Mrs Mann</w:t>
      </w:r>
    </w:p>
    <w:p w14:paraId="03DE2FF9" w14:textId="77777777"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0DBCABF0" w14:textId="095A707E"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6D9A4BB1" w14:textId="5356AECD"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3F7CBEB9" w14:textId="312D5223"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32B4D6DE" w14:textId="5EA3C76E"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090FA159" w14:textId="75FEAE61" w:rsidR="009602FE" w:rsidRDefault="009602FE" w:rsidP="009602FE">
      <w:pPr>
        <w:spacing w:after="100" w:afterAutospacing="1" w:line="600" w:lineRule="auto"/>
        <w:jc w:val="center"/>
        <w:rPr>
          <w:rFonts w:ascii="Times New Roman" w:eastAsia="Times New Roman" w:hAnsi="Times New Roman" w:cs="Times New Roman"/>
          <w:b/>
          <w:bCs/>
          <w:sz w:val="36"/>
          <w:szCs w:val="36"/>
          <w:lang w:eastAsia="en-GB"/>
        </w:rPr>
      </w:pPr>
    </w:p>
    <w:p w14:paraId="26BC2E35" w14:textId="77777777" w:rsidR="009602FE" w:rsidRDefault="009602FE" w:rsidP="009602FE">
      <w:pPr>
        <w:spacing w:after="100" w:afterAutospacing="1" w:line="600" w:lineRule="auto"/>
        <w:jc w:val="center"/>
        <w:rPr>
          <w:rFonts w:ascii="Arial" w:hAnsi="Arial" w:cs="Arial"/>
          <w:b/>
          <w:sz w:val="28"/>
          <w:szCs w:val="28"/>
        </w:rPr>
      </w:pPr>
    </w:p>
    <w:p w14:paraId="37AD9C03" w14:textId="77777777" w:rsidR="009602FE" w:rsidRDefault="009602FE" w:rsidP="009602FE">
      <w:pPr>
        <w:spacing w:after="100" w:afterAutospacing="1" w:line="600" w:lineRule="auto"/>
        <w:jc w:val="right"/>
        <w:rPr>
          <w:rFonts w:ascii="Arial" w:hAnsi="Arial" w:cs="Arial"/>
          <w:b/>
          <w:sz w:val="28"/>
          <w:szCs w:val="28"/>
        </w:rPr>
      </w:pPr>
      <w:r>
        <w:rPr>
          <w:rFonts w:ascii="Arial" w:hAnsi="Arial" w:cs="Arial"/>
          <w:b/>
          <w:sz w:val="28"/>
          <w:szCs w:val="28"/>
        </w:rPr>
        <w:t xml:space="preserve">Student Name: Alexia - Viviana </w:t>
      </w:r>
      <w:proofErr w:type="spellStart"/>
      <w:r>
        <w:rPr>
          <w:rFonts w:ascii="Arial" w:hAnsi="Arial" w:cs="Arial"/>
          <w:b/>
          <w:sz w:val="28"/>
          <w:szCs w:val="28"/>
        </w:rPr>
        <w:t>Petre</w:t>
      </w:r>
      <w:proofErr w:type="spellEnd"/>
    </w:p>
    <w:p w14:paraId="1A470046" w14:textId="636ABC1E" w:rsidR="009602FE" w:rsidRDefault="009602FE" w:rsidP="009602FE">
      <w:pPr>
        <w:spacing w:after="100" w:afterAutospacing="1" w:line="600" w:lineRule="auto"/>
        <w:jc w:val="right"/>
        <w:rPr>
          <w:rFonts w:ascii="Arial" w:hAnsi="Arial" w:cs="Arial"/>
          <w:b/>
          <w:sz w:val="28"/>
          <w:szCs w:val="28"/>
        </w:rPr>
      </w:pPr>
      <w:r>
        <w:rPr>
          <w:rFonts w:ascii="Arial" w:hAnsi="Arial" w:cs="Arial"/>
          <w:b/>
          <w:sz w:val="28"/>
          <w:szCs w:val="28"/>
        </w:rPr>
        <w:t>Student ID: 2436470</w:t>
      </w:r>
    </w:p>
    <w:p w14:paraId="10BFBD51" w14:textId="1F0580DD" w:rsidR="009602FE" w:rsidRDefault="009602FE" w:rsidP="009602FE">
      <w:pPr>
        <w:spacing w:after="100" w:afterAutospacing="1" w:line="600" w:lineRule="auto"/>
        <w:jc w:val="right"/>
        <w:rPr>
          <w:rFonts w:ascii="Arial" w:hAnsi="Arial" w:cs="Arial"/>
          <w:b/>
          <w:sz w:val="28"/>
          <w:szCs w:val="28"/>
        </w:rPr>
      </w:pPr>
      <w:r>
        <w:rPr>
          <w:rFonts w:ascii="Arial" w:hAnsi="Arial" w:cs="Arial"/>
          <w:b/>
          <w:sz w:val="28"/>
          <w:szCs w:val="28"/>
        </w:rPr>
        <w:t>LCHS4003 Introduction to Health and Social Care</w:t>
      </w:r>
    </w:p>
    <w:p w14:paraId="327D3965" w14:textId="77777777"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674779C4" w14:textId="516EAAA2"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sdt>
      <w:sdtPr>
        <w:id w:val="-84632465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BFB2B3C" w14:textId="62335818" w:rsidR="009602FE" w:rsidRDefault="009602FE">
          <w:pPr>
            <w:pStyle w:val="TOCHeading"/>
          </w:pPr>
          <w:r>
            <w:t>Table of Contents</w:t>
          </w:r>
        </w:p>
        <w:p w14:paraId="4AAF6A0B" w14:textId="686B5E61" w:rsidR="009602FE" w:rsidRDefault="009602FE">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565374" w:history="1">
            <w:r w:rsidRPr="00A67391">
              <w:rPr>
                <w:rStyle w:val="Hyperlink"/>
                <w:rFonts w:ascii="Times New Roman" w:eastAsia="Times New Roman" w:hAnsi="Times New Roman" w:cs="Times New Roman"/>
                <w:noProof/>
                <w:lang w:eastAsia="en-GB"/>
              </w:rPr>
              <w:t>Introduction</w:t>
            </w:r>
            <w:r>
              <w:rPr>
                <w:noProof/>
                <w:webHidden/>
              </w:rPr>
              <w:tab/>
            </w:r>
            <w:r>
              <w:rPr>
                <w:noProof/>
                <w:webHidden/>
              </w:rPr>
              <w:fldChar w:fldCharType="begin"/>
            </w:r>
            <w:r>
              <w:rPr>
                <w:noProof/>
                <w:webHidden/>
              </w:rPr>
              <w:instrText xml:space="preserve"> PAGEREF _Toc214565374 \h </w:instrText>
            </w:r>
            <w:r>
              <w:rPr>
                <w:noProof/>
                <w:webHidden/>
              </w:rPr>
            </w:r>
            <w:r>
              <w:rPr>
                <w:noProof/>
                <w:webHidden/>
              </w:rPr>
              <w:fldChar w:fldCharType="separate"/>
            </w:r>
            <w:r>
              <w:rPr>
                <w:noProof/>
                <w:webHidden/>
              </w:rPr>
              <w:t>1</w:t>
            </w:r>
            <w:r>
              <w:rPr>
                <w:noProof/>
                <w:webHidden/>
              </w:rPr>
              <w:fldChar w:fldCharType="end"/>
            </w:r>
          </w:hyperlink>
        </w:p>
        <w:p w14:paraId="4684158B" w14:textId="0736A630" w:rsidR="009602FE" w:rsidRDefault="009602FE">
          <w:pPr>
            <w:pStyle w:val="TOC2"/>
            <w:tabs>
              <w:tab w:val="right" w:leader="dot" w:pos="9016"/>
            </w:tabs>
            <w:rPr>
              <w:noProof/>
            </w:rPr>
          </w:pPr>
          <w:hyperlink w:anchor="_Toc214565375" w:history="1">
            <w:r w:rsidRPr="00A67391">
              <w:rPr>
                <w:rStyle w:val="Hyperlink"/>
                <w:rFonts w:ascii="Times New Roman" w:eastAsia="Times New Roman" w:hAnsi="Times New Roman" w:cs="Times New Roman"/>
                <w:noProof/>
                <w:lang w:eastAsia="en-GB"/>
              </w:rPr>
              <w:t>Section 1: Effective Communication</w:t>
            </w:r>
            <w:r>
              <w:rPr>
                <w:noProof/>
                <w:webHidden/>
              </w:rPr>
              <w:tab/>
            </w:r>
            <w:r>
              <w:rPr>
                <w:noProof/>
                <w:webHidden/>
              </w:rPr>
              <w:fldChar w:fldCharType="begin"/>
            </w:r>
            <w:r>
              <w:rPr>
                <w:noProof/>
                <w:webHidden/>
              </w:rPr>
              <w:instrText xml:space="preserve"> PAGEREF _Toc214565375 \h </w:instrText>
            </w:r>
            <w:r>
              <w:rPr>
                <w:noProof/>
                <w:webHidden/>
              </w:rPr>
            </w:r>
            <w:r>
              <w:rPr>
                <w:noProof/>
                <w:webHidden/>
              </w:rPr>
              <w:fldChar w:fldCharType="separate"/>
            </w:r>
            <w:r>
              <w:rPr>
                <w:noProof/>
                <w:webHidden/>
              </w:rPr>
              <w:t>2</w:t>
            </w:r>
            <w:r>
              <w:rPr>
                <w:noProof/>
                <w:webHidden/>
              </w:rPr>
              <w:fldChar w:fldCharType="end"/>
            </w:r>
          </w:hyperlink>
        </w:p>
        <w:p w14:paraId="543B3E67" w14:textId="31387C62" w:rsidR="009602FE" w:rsidRDefault="009602FE">
          <w:pPr>
            <w:pStyle w:val="TOC2"/>
            <w:tabs>
              <w:tab w:val="right" w:leader="dot" w:pos="9016"/>
            </w:tabs>
            <w:rPr>
              <w:noProof/>
            </w:rPr>
          </w:pPr>
          <w:hyperlink w:anchor="_Toc214565376" w:history="1">
            <w:r w:rsidRPr="00A67391">
              <w:rPr>
                <w:rStyle w:val="Hyperlink"/>
                <w:rFonts w:ascii="Times New Roman" w:eastAsia="Times New Roman" w:hAnsi="Times New Roman" w:cs="Times New Roman"/>
                <w:noProof/>
                <w:lang w:eastAsia="en-GB"/>
              </w:rPr>
              <w:t>Section 2: Administrative Skills &amp; Record Keeping</w:t>
            </w:r>
            <w:r>
              <w:rPr>
                <w:noProof/>
                <w:webHidden/>
              </w:rPr>
              <w:tab/>
            </w:r>
            <w:r>
              <w:rPr>
                <w:noProof/>
                <w:webHidden/>
              </w:rPr>
              <w:fldChar w:fldCharType="begin"/>
            </w:r>
            <w:r>
              <w:rPr>
                <w:noProof/>
                <w:webHidden/>
              </w:rPr>
              <w:instrText xml:space="preserve"> PAGEREF _Toc214565376 \h </w:instrText>
            </w:r>
            <w:r>
              <w:rPr>
                <w:noProof/>
                <w:webHidden/>
              </w:rPr>
            </w:r>
            <w:r>
              <w:rPr>
                <w:noProof/>
                <w:webHidden/>
              </w:rPr>
              <w:fldChar w:fldCharType="separate"/>
            </w:r>
            <w:r>
              <w:rPr>
                <w:noProof/>
                <w:webHidden/>
              </w:rPr>
              <w:t>3</w:t>
            </w:r>
            <w:r>
              <w:rPr>
                <w:noProof/>
                <w:webHidden/>
              </w:rPr>
              <w:fldChar w:fldCharType="end"/>
            </w:r>
          </w:hyperlink>
        </w:p>
        <w:p w14:paraId="7FD5C523" w14:textId="724CDE64" w:rsidR="009602FE" w:rsidRDefault="009602FE">
          <w:pPr>
            <w:pStyle w:val="TOC2"/>
            <w:tabs>
              <w:tab w:val="right" w:leader="dot" w:pos="9016"/>
            </w:tabs>
            <w:rPr>
              <w:noProof/>
            </w:rPr>
          </w:pPr>
          <w:hyperlink w:anchor="_Toc214565377" w:history="1">
            <w:r w:rsidRPr="00A67391">
              <w:rPr>
                <w:rStyle w:val="Hyperlink"/>
                <w:rFonts w:ascii="Times New Roman" w:eastAsia="Times New Roman" w:hAnsi="Times New Roman" w:cs="Times New Roman"/>
                <w:noProof/>
                <w:lang w:eastAsia="en-GB"/>
              </w:rPr>
              <w:t>Section 3: Collaborative Working</w:t>
            </w:r>
            <w:r>
              <w:rPr>
                <w:noProof/>
                <w:webHidden/>
              </w:rPr>
              <w:tab/>
            </w:r>
            <w:r>
              <w:rPr>
                <w:noProof/>
                <w:webHidden/>
              </w:rPr>
              <w:fldChar w:fldCharType="begin"/>
            </w:r>
            <w:r>
              <w:rPr>
                <w:noProof/>
                <w:webHidden/>
              </w:rPr>
              <w:instrText xml:space="preserve"> PAGEREF _Toc214565377 \h </w:instrText>
            </w:r>
            <w:r>
              <w:rPr>
                <w:noProof/>
                <w:webHidden/>
              </w:rPr>
            </w:r>
            <w:r>
              <w:rPr>
                <w:noProof/>
                <w:webHidden/>
              </w:rPr>
              <w:fldChar w:fldCharType="separate"/>
            </w:r>
            <w:r>
              <w:rPr>
                <w:noProof/>
                <w:webHidden/>
              </w:rPr>
              <w:t>4</w:t>
            </w:r>
            <w:r>
              <w:rPr>
                <w:noProof/>
                <w:webHidden/>
              </w:rPr>
              <w:fldChar w:fldCharType="end"/>
            </w:r>
          </w:hyperlink>
        </w:p>
        <w:p w14:paraId="46F8DA1B" w14:textId="402E5329" w:rsidR="009602FE" w:rsidRDefault="009602FE">
          <w:pPr>
            <w:pStyle w:val="TOC2"/>
            <w:tabs>
              <w:tab w:val="right" w:leader="dot" w:pos="9016"/>
            </w:tabs>
            <w:rPr>
              <w:noProof/>
            </w:rPr>
          </w:pPr>
          <w:hyperlink w:anchor="_Toc214565378" w:history="1">
            <w:r w:rsidRPr="00A67391">
              <w:rPr>
                <w:rStyle w:val="Hyperlink"/>
                <w:rFonts w:ascii="Times New Roman" w:eastAsia="Times New Roman" w:hAnsi="Times New Roman" w:cs="Times New Roman"/>
                <w:noProof/>
                <w:lang w:eastAsia="en-GB"/>
              </w:rPr>
              <w:t>Conclusion</w:t>
            </w:r>
            <w:r>
              <w:rPr>
                <w:noProof/>
                <w:webHidden/>
              </w:rPr>
              <w:tab/>
            </w:r>
            <w:r>
              <w:rPr>
                <w:noProof/>
                <w:webHidden/>
              </w:rPr>
              <w:fldChar w:fldCharType="begin"/>
            </w:r>
            <w:r>
              <w:rPr>
                <w:noProof/>
                <w:webHidden/>
              </w:rPr>
              <w:instrText xml:space="preserve"> PAGEREF _Toc214565378 \h </w:instrText>
            </w:r>
            <w:r>
              <w:rPr>
                <w:noProof/>
                <w:webHidden/>
              </w:rPr>
            </w:r>
            <w:r>
              <w:rPr>
                <w:noProof/>
                <w:webHidden/>
              </w:rPr>
              <w:fldChar w:fldCharType="separate"/>
            </w:r>
            <w:r>
              <w:rPr>
                <w:noProof/>
                <w:webHidden/>
              </w:rPr>
              <w:t>5</w:t>
            </w:r>
            <w:r>
              <w:rPr>
                <w:noProof/>
                <w:webHidden/>
              </w:rPr>
              <w:fldChar w:fldCharType="end"/>
            </w:r>
          </w:hyperlink>
        </w:p>
        <w:p w14:paraId="53D42A87" w14:textId="467F21E8" w:rsidR="009602FE" w:rsidRDefault="009602FE">
          <w:pPr>
            <w:pStyle w:val="TOC2"/>
            <w:tabs>
              <w:tab w:val="right" w:leader="dot" w:pos="9016"/>
            </w:tabs>
            <w:rPr>
              <w:noProof/>
            </w:rPr>
          </w:pPr>
          <w:hyperlink w:anchor="_Toc214565379" w:history="1">
            <w:r w:rsidRPr="00A67391">
              <w:rPr>
                <w:rStyle w:val="Hyperlink"/>
                <w:rFonts w:ascii="Times New Roman" w:eastAsia="Times New Roman" w:hAnsi="Times New Roman" w:cs="Times New Roman"/>
                <w:noProof/>
                <w:lang w:eastAsia="en-GB"/>
              </w:rPr>
              <w:t>Reference List (Harvard)</w:t>
            </w:r>
            <w:r>
              <w:rPr>
                <w:noProof/>
                <w:webHidden/>
              </w:rPr>
              <w:tab/>
            </w:r>
            <w:r>
              <w:rPr>
                <w:noProof/>
                <w:webHidden/>
              </w:rPr>
              <w:fldChar w:fldCharType="begin"/>
            </w:r>
            <w:r>
              <w:rPr>
                <w:noProof/>
                <w:webHidden/>
              </w:rPr>
              <w:instrText xml:space="preserve"> PAGEREF _Toc214565379 \h </w:instrText>
            </w:r>
            <w:r>
              <w:rPr>
                <w:noProof/>
                <w:webHidden/>
              </w:rPr>
            </w:r>
            <w:r>
              <w:rPr>
                <w:noProof/>
                <w:webHidden/>
              </w:rPr>
              <w:fldChar w:fldCharType="separate"/>
            </w:r>
            <w:r>
              <w:rPr>
                <w:noProof/>
                <w:webHidden/>
              </w:rPr>
              <w:t>5</w:t>
            </w:r>
            <w:r>
              <w:rPr>
                <w:noProof/>
                <w:webHidden/>
              </w:rPr>
              <w:fldChar w:fldCharType="end"/>
            </w:r>
          </w:hyperlink>
        </w:p>
        <w:p w14:paraId="5DB663C1" w14:textId="1644A324" w:rsidR="009602FE" w:rsidRDefault="009602FE">
          <w:r>
            <w:rPr>
              <w:b/>
              <w:bCs/>
              <w:noProof/>
            </w:rPr>
            <w:fldChar w:fldCharType="end"/>
          </w:r>
        </w:p>
      </w:sdtContent>
    </w:sdt>
    <w:p w14:paraId="1D94DDD3" w14:textId="77777777"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60FD85C7" w14:textId="27285F0A"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52D2C7DE" w14:textId="7B4A6331"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6FCC3CF1" w14:textId="094AEA5B"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1A0D61D4" w14:textId="0E6EC169"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49FE7FE2" w14:textId="437CD76B"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2761074E" w14:textId="5061F03C"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584A10C7" w14:textId="2C727A1C"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3EC35984" w14:textId="77777777"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5ED9D62F" w14:textId="77777777"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5B7C7A5A" w14:textId="77777777" w:rsid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4B080563" w14:textId="65FAA443" w:rsidR="009602FE" w:rsidRP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0" w:name="_Toc214565374"/>
      <w:r w:rsidRPr="009602FE">
        <w:rPr>
          <w:rFonts w:ascii="Times New Roman" w:eastAsia="Times New Roman" w:hAnsi="Times New Roman" w:cs="Times New Roman"/>
          <w:b/>
          <w:bCs/>
          <w:sz w:val="36"/>
          <w:szCs w:val="36"/>
          <w:lang w:eastAsia="en-GB"/>
        </w:rPr>
        <w:lastRenderedPageBreak/>
        <w:t>Introduction</w:t>
      </w:r>
      <w:bookmarkEnd w:id="0"/>
    </w:p>
    <w:p w14:paraId="0DC38142"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Mrs Mann is an older adult with multiple long-term conditions, including reduced mobility and chronic pain, living alone in a ground-floor council flat with limited family support. English is not her first language, and she primarily communicates in Punjabi, which often creates barriers when accessing health and social care services. Recent home-care visits have highlighted several challenges, including difficulties understanding instructions, incomplete communication between agencies, and inconsistent record keeping. These issues place her at risk of medication errors, social isolation, and unmet care needs.</w:t>
      </w:r>
    </w:p>
    <w:p w14:paraId="2FC53FF6" w14:textId="0E793601"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The purpose of this report is to explore three critical areas within Mrs Mann’s situation: effective communication, administrative skills and record keeping, and multi-agency collaborative working. By examining legal responsibilities, best-practice frameworks, and professional values, the report demonstrates how high-quality care can be delivered to individuals with complex needs, while highlighting the skills practitioners must develop to work safely, ethically, and inclusively.</w:t>
      </w:r>
    </w:p>
    <w:p w14:paraId="3D3390D7" w14:textId="71B786DA" w:rsidR="009602FE" w:rsidRP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1" w:name="_Toc214565375"/>
      <w:r w:rsidRPr="009602FE">
        <w:rPr>
          <w:rFonts w:ascii="Times New Roman" w:eastAsia="Times New Roman" w:hAnsi="Times New Roman" w:cs="Times New Roman"/>
          <w:b/>
          <w:bCs/>
          <w:sz w:val="36"/>
          <w:szCs w:val="36"/>
          <w:lang w:eastAsia="en-GB"/>
        </w:rPr>
        <w:t>Section 1: Effective Communication</w:t>
      </w:r>
      <w:bookmarkEnd w:id="1"/>
    </w:p>
    <w:p w14:paraId="7E486517"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Effective communication is fundamental to safe and person-centred care. In practice, communication enables accurate assessment, shared decision-making, trust-building, and the prevention of harm (Bach &amp; Grant, 2019). For individuals like Mrs Mann—who faces both linguistic and cultural barriers—communication becomes even more essential. As English is not her first language, she may struggle to understand verbal instructions, written information, or complex medical terminology, which increases the risk of misunderstanding medication regimes or appointment details.</w:t>
      </w:r>
    </w:p>
    <w:p w14:paraId="3A5B0D28"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The Equality Act 2010 requires services to make reasonable adjustments for individuals who experience barriers due to language, disability, or cultural background. In Mrs Mann’s case, this means providing appropriately trained interpreters, translated materials, and culturally sensitive communication approaches (Equality Act, 2010). Culturally competent care is essential, as cultural beliefs may influence her views on illness, pain, gender norms, and practitioner relationships (Papadopoulos, 2006).</w:t>
      </w:r>
    </w:p>
    <w:p w14:paraId="52147D4A"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lastRenderedPageBreak/>
        <w:t>The use of professional interpreters—not family members—is considered best practice, as it maintains confidentiality and ensures accuracy (NHS England, 2019). When interpreters are unavailable, staff should use visual aids, diagrams, pictorial medication charts, and simple, jargon-free language. Tools such as Talking Mats or picture boards can support understanding for individuals with language or cognitive barriers.</w:t>
      </w:r>
    </w:p>
    <w:p w14:paraId="77175DD7"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A relevant communication model for this scenario is Argyle’s Communication Cycle (1972), which emphasises the continuous process of encoding, sending, receiving, decoding, and responding. If Mrs Mann does not understand a message, the communication loop breaks, meaning practitioners must check comprehension and adapt their approach. For example, when explaining medication changes, the practitioner should observe Mrs Mann’s non-verbal cues, confirm understanding through teach-back (“Can you show me how you will take this medication?”), and adjust their communication if confusion is evident.</w:t>
      </w:r>
    </w:p>
    <w:p w14:paraId="5677F8C4"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Another useful model is Tuckman’s Stages of Group Interaction (1965</w:t>
      </w:r>
      <w:r w:rsidRPr="009602FE">
        <w:rPr>
          <w:rFonts w:ascii="Times New Roman" w:eastAsia="Times New Roman" w:hAnsi="Times New Roman" w:cs="Times New Roman"/>
          <w:b/>
          <w:bCs/>
          <w:lang w:eastAsia="en-GB"/>
        </w:rPr>
        <w:t>)</w:t>
      </w:r>
      <w:r w:rsidRPr="009602FE">
        <w:rPr>
          <w:rFonts w:ascii="Times New Roman" w:eastAsia="Times New Roman" w:hAnsi="Times New Roman" w:cs="Times New Roman"/>
          <w:lang w:eastAsia="en-GB"/>
        </w:rPr>
        <w:t xml:space="preserve"> when communicating within multidisciplinary teams. Miscommunication between nurses, social workers, and home-carers can lead to duplicated tasks, missed visits, or inconsistent advice. Clear communication processes—such as SBAR (Situation, Background, Assessment, Recommendation)—support safer handovers.</w:t>
      </w:r>
    </w:p>
    <w:p w14:paraId="3C9D9F3D" w14:textId="5B1987CC"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Ultimately, effective communication in Mrs Mann’s case means recognising her language needs, cultural identity, and preferred ways of interacting. By applying inclusive communication strategies and adhering to legal requirements, practitioners can ensure she is fully involved in her care and protected from avoidable risk.</w:t>
      </w:r>
    </w:p>
    <w:p w14:paraId="05F2ACEC" w14:textId="7F1EFDA2" w:rsidR="009602FE" w:rsidRP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2" w:name="_Toc214565376"/>
      <w:r w:rsidRPr="009602FE">
        <w:rPr>
          <w:rFonts w:ascii="Times New Roman" w:eastAsia="Times New Roman" w:hAnsi="Times New Roman" w:cs="Times New Roman"/>
          <w:b/>
          <w:bCs/>
          <w:sz w:val="36"/>
          <w:szCs w:val="36"/>
          <w:lang w:eastAsia="en-GB"/>
        </w:rPr>
        <w:t>Section 2: Administrative Skills &amp; Record Keeping</w:t>
      </w:r>
      <w:bookmarkEnd w:id="2"/>
      <w:r w:rsidRPr="009602FE">
        <w:rPr>
          <w:rFonts w:ascii="Times New Roman" w:eastAsia="Times New Roman" w:hAnsi="Times New Roman" w:cs="Times New Roman"/>
          <w:b/>
          <w:bCs/>
          <w:sz w:val="36"/>
          <w:szCs w:val="36"/>
          <w:lang w:eastAsia="en-GB"/>
        </w:rPr>
        <w:t xml:space="preserve"> </w:t>
      </w:r>
    </w:p>
    <w:p w14:paraId="49E09155"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Accurate documentation is a legal, professional, and ethical requirement in health and social care. Good administrative skills ensure continuity of care, support clinical decision-making, and protect both the service user and the practitioner. In the case of Mrs Mann, poor or inconsistent record keeping can lead to serious consequences such as missed medications, failure to identify deterioration, and duplicated or conflicting care interventions.</w:t>
      </w:r>
    </w:p>
    <w:p w14:paraId="47343B2D" w14:textId="4C3908D9"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lastRenderedPageBreak/>
        <w:t>The Data Protection Act 2018 and the UK</w:t>
      </w:r>
      <w:r w:rsidRPr="009602FE">
        <w:rPr>
          <w:rFonts w:ascii="Times New Roman" w:eastAsia="Times New Roman" w:hAnsi="Times New Roman" w:cs="Times New Roman"/>
          <w:b/>
          <w:bCs/>
          <w:lang w:eastAsia="en-GB"/>
        </w:rPr>
        <w:t xml:space="preserve"> </w:t>
      </w:r>
      <w:r w:rsidRPr="009602FE">
        <w:rPr>
          <w:rFonts w:ascii="Times New Roman" w:eastAsia="Times New Roman" w:hAnsi="Times New Roman" w:cs="Times New Roman"/>
          <w:lang w:eastAsia="en-GB"/>
        </w:rPr>
        <w:t>GDPR govern how personal information is collected, stored, and shared. Health records must be accurate, up-to-date, confidential, and accessible only to authorised staff (ICO, 2018). This is crucial for vulnerable individuals like Mrs Mann, whose information is shared between multiple services, including district nurses, social care teams, physiotherapists, and GPs.</w:t>
      </w:r>
    </w:p>
    <w:p w14:paraId="39CF0A42"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The Caldicott</w:t>
      </w:r>
      <w:r w:rsidRPr="009602FE">
        <w:rPr>
          <w:rFonts w:ascii="Times New Roman" w:eastAsia="Times New Roman" w:hAnsi="Times New Roman" w:cs="Times New Roman"/>
          <w:b/>
          <w:bCs/>
          <w:lang w:eastAsia="en-GB"/>
        </w:rPr>
        <w:t xml:space="preserve"> </w:t>
      </w:r>
      <w:r w:rsidRPr="009602FE">
        <w:rPr>
          <w:rFonts w:ascii="Times New Roman" w:eastAsia="Times New Roman" w:hAnsi="Times New Roman" w:cs="Times New Roman"/>
          <w:lang w:eastAsia="en-GB"/>
        </w:rPr>
        <w:t>Principles</w:t>
      </w:r>
      <w:r w:rsidRPr="009602FE">
        <w:rPr>
          <w:rFonts w:ascii="Times New Roman" w:eastAsia="Times New Roman" w:hAnsi="Times New Roman" w:cs="Times New Roman"/>
          <w:b/>
          <w:bCs/>
          <w:lang w:eastAsia="en-GB"/>
        </w:rPr>
        <w:t xml:space="preserve"> (</w:t>
      </w:r>
      <w:r w:rsidRPr="009602FE">
        <w:rPr>
          <w:rFonts w:ascii="Times New Roman" w:eastAsia="Times New Roman" w:hAnsi="Times New Roman" w:cs="Times New Roman"/>
          <w:lang w:eastAsia="en-GB"/>
        </w:rPr>
        <w:t>2013</w:t>
      </w:r>
      <w:r w:rsidRPr="009602FE">
        <w:rPr>
          <w:rFonts w:ascii="Times New Roman" w:eastAsia="Times New Roman" w:hAnsi="Times New Roman" w:cs="Times New Roman"/>
          <w:b/>
          <w:bCs/>
          <w:lang w:eastAsia="en-GB"/>
        </w:rPr>
        <w:t>)</w:t>
      </w:r>
      <w:r w:rsidRPr="009602FE">
        <w:rPr>
          <w:rFonts w:ascii="Times New Roman" w:eastAsia="Times New Roman" w:hAnsi="Times New Roman" w:cs="Times New Roman"/>
          <w:lang w:eastAsia="en-GB"/>
        </w:rPr>
        <w:t xml:space="preserve"> emphasise that information should only be shared on a ‘need-to-know’ basis and always for the purpose of improving care. Practitioners must justify why they are accessing or sharing records and must ensure secure documentation systems are in place. For example, if Mrs Mann reveals she has stopped taking her pain medication due to misunderstanding instructions, this information must be accurately recorded and shared with the wider team to ensure timely intervention.</w:t>
      </w:r>
    </w:p>
    <w:p w14:paraId="56C968CE"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Professional frameworks reinforce these expectations. The NMC</w:t>
      </w:r>
      <w:r w:rsidRPr="009602FE">
        <w:rPr>
          <w:rFonts w:ascii="Times New Roman" w:eastAsia="Times New Roman" w:hAnsi="Times New Roman" w:cs="Times New Roman"/>
          <w:b/>
          <w:bCs/>
          <w:lang w:eastAsia="en-GB"/>
        </w:rPr>
        <w:t xml:space="preserve"> </w:t>
      </w:r>
      <w:r w:rsidRPr="009602FE">
        <w:rPr>
          <w:rFonts w:ascii="Times New Roman" w:eastAsia="Times New Roman" w:hAnsi="Times New Roman" w:cs="Times New Roman"/>
          <w:lang w:eastAsia="en-GB"/>
        </w:rPr>
        <w:t>Code</w:t>
      </w:r>
      <w:r w:rsidRPr="009602FE">
        <w:rPr>
          <w:rFonts w:ascii="Times New Roman" w:eastAsia="Times New Roman" w:hAnsi="Times New Roman" w:cs="Times New Roman"/>
          <w:b/>
          <w:bCs/>
          <w:lang w:eastAsia="en-GB"/>
        </w:rPr>
        <w:t xml:space="preserve"> (</w:t>
      </w:r>
      <w:r w:rsidRPr="009602FE">
        <w:rPr>
          <w:rFonts w:ascii="Times New Roman" w:eastAsia="Times New Roman" w:hAnsi="Times New Roman" w:cs="Times New Roman"/>
          <w:lang w:eastAsia="en-GB"/>
        </w:rPr>
        <w:t>2018</w:t>
      </w:r>
      <w:r w:rsidRPr="009602FE">
        <w:rPr>
          <w:rFonts w:ascii="Times New Roman" w:eastAsia="Times New Roman" w:hAnsi="Times New Roman" w:cs="Times New Roman"/>
          <w:b/>
          <w:bCs/>
          <w:lang w:eastAsia="en-GB"/>
        </w:rPr>
        <w:t>)</w:t>
      </w:r>
      <w:r w:rsidRPr="009602FE">
        <w:rPr>
          <w:rFonts w:ascii="Times New Roman" w:eastAsia="Times New Roman" w:hAnsi="Times New Roman" w:cs="Times New Roman"/>
          <w:lang w:eastAsia="en-GB"/>
        </w:rPr>
        <w:t xml:space="preserve"> requires nurses to keep clear, accurate, and immediate records, stating that documentation should be factual, objective, and signed. Similarly, CQC</w:t>
      </w:r>
      <w:r w:rsidRPr="009602FE">
        <w:rPr>
          <w:rFonts w:ascii="Times New Roman" w:eastAsia="Times New Roman" w:hAnsi="Times New Roman" w:cs="Times New Roman"/>
          <w:b/>
          <w:bCs/>
          <w:lang w:eastAsia="en-GB"/>
        </w:rPr>
        <w:t xml:space="preserve"> (</w:t>
      </w:r>
      <w:r w:rsidRPr="009602FE">
        <w:rPr>
          <w:rFonts w:ascii="Times New Roman" w:eastAsia="Times New Roman" w:hAnsi="Times New Roman" w:cs="Times New Roman"/>
          <w:lang w:eastAsia="en-GB"/>
        </w:rPr>
        <w:t>Care</w:t>
      </w:r>
      <w:r w:rsidRPr="009602FE">
        <w:rPr>
          <w:rFonts w:ascii="Times New Roman" w:eastAsia="Times New Roman" w:hAnsi="Times New Roman" w:cs="Times New Roman"/>
          <w:b/>
          <w:bCs/>
          <w:lang w:eastAsia="en-GB"/>
        </w:rPr>
        <w:t xml:space="preserve"> </w:t>
      </w:r>
      <w:r w:rsidRPr="009602FE">
        <w:rPr>
          <w:rFonts w:ascii="Times New Roman" w:eastAsia="Times New Roman" w:hAnsi="Times New Roman" w:cs="Times New Roman"/>
          <w:lang w:eastAsia="en-GB"/>
        </w:rPr>
        <w:t>Quality</w:t>
      </w:r>
      <w:r w:rsidRPr="009602FE">
        <w:rPr>
          <w:rFonts w:ascii="Times New Roman" w:eastAsia="Times New Roman" w:hAnsi="Times New Roman" w:cs="Times New Roman"/>
          <w:b/>
          <w:bCs/>
          <w:lang w:eastAsia="en-GB"/>
        </w:rPr>
        <w:t xml:space="preserve"> </w:t>
      </w:r>
      <w:r w:rsidRPr="009602FE">
        <w:rPr>
          <w:rFonts w:ascii="Times New Roman" w:eastAsia="Times New Roman" w:hAnsi="Times New Roman" w:cs="Times New Roman"/>
          <w:lang w:eastAsia="en-GB"/>
        </w:rPr>
        <w:t>Commission</w:t>
      </w:r>
      <w:r w:rsidRPr="009602FE">
        <w:rPr>
          <w:rFonts w:ascii="Times New Roman" w:eastAsia="Times New Roman" w:hAnsi="Times New Roman" w:cs="Times New Roman"/>
          <w:b/>
          <w:bCs/>
          <w:lang w:eastAsia="en-GB"/>
        </w:rPr>
        <w:t xml:space="preserve">) </w:t>
      </w:r>
      <w:r w:rsidRPr="009602FE">
        <w:rPr>
          <w:rFonts w:ascii="Times New Roman" w:eastAsia="Times New Roman" w:hAnsi="Times New Roman" w:cs="Times New Roman"/>
          <w:lang w:eastAsia="en-GB"/>
        </w:rPr>
        <w:t>standards highlight that safe care relies on robust record-keeping systems and accessible, person-centred information.</w:t>
      </w:r>
    </w:p>
    <w:p w14:paraId="07C69715"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 xml:space="preserve">The risks of poor documentation include medication errors, failure to escalate concerns, safeguarding incidents, and legal liability for negligence (Griffith &amp; </w:t>
      </w:r>
      <w:proofErr w:type="spellStart"/>
      <w:r w:rsidRPr="009602FE">
        <w:rPr>
          <w:rFonts w:ascii="Times New Roman" w:eastAsia="Times New Roman" w:hAnsi="Times New Roman" w:cs="Times New Roman"/>
          <w:lang w:eastAsia="en-GB"/>
        </w:rPr>
        <w:t>Tengnah</w:t>
      </w:r>
      <w:proofErr w:type="spellEnd"/>
      <w:r w:rsidRPr="009602FE">
        <w:rPr>
          <w:rFonts w:ascii="Times New Roman" w:eastAsia="Times New Roman" w:hAnsi="Times New Roman" w:cs="Times New Roman"/>
          <w:lang w:eastAsia="en-GB"/>
        </w:rPr>
        <w:t>, 2020). For someone living alone like Mrs Mann, gaps in documentation can lead to serious harm—for example, if a home-carer forgets to record that she refused meals or appeared confused, wider professionals may not recognise the signs of malnutrition or cognitive decline.</w:t>
      </w:r>
    </w:p>
    <w:p w14:paraId="2BFFFB04" w14:textId="7D7B893A"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Effective administrative skills involve attention to detail, timely updates, accurate spelling and terminology, and understanding when and how to use digital systems. Practitioners should also follow organisational policies on incident reporting, risk assessments, and care-plan reviews. In Mrs Mann’s case, clear written records about communication difficulties, interpreter use, and cultural needs ensure her care plan remains appropriate and responsive.</w:t>
      </w:r>
    </w:p>
    <w:p w14:paraId="164D939C" w14:textId="0D968991" w:rsidR="009602FE" w:rsidRP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3" w:name="_Toc214565377"/>
      <w:r w:rsidRPr="009602FE">
        <w:rPr>
          <w:rFonts w:ascii="Times New Roman" w:eastAsia="Times New Roman" w:hAnsi="Times New Roman" w:cs="Times New Roman"/>
          <w:b/>
          <w:bCs/>
          <w:sz w:val="36"/>
          <w:szCs w:val="36"/>
          <w:lang w:eastAsia="en-GB"/>
        </w:rPr>
        <w:t>Section 3: Collaborative Working</w:t>
      </w:r>
      <w:bookmarkEnd w:id="3"/>
      <w:r w:rsidRPr="009602FE">
        <w:rPr>
          <w:rFonts w:ascii="Times New Roman" w:eastAsia="Times New Roman" w:hAnsi="Times New Roman" w:cs="Times New Roman"/>
          <w:b/>
          <w:bCs/>
          <w:sz w:val="36"/>
          <w:szCs w:val="36"/>
          <w:lang w:eastAsia="en-GB"/>
        </w:rPr>
        <w:t xml:space="preserve"> </w:t>
      </w:r>
    </w:p>
    <w:p w14:paraId="39248244"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 xml:space="preserve">Collaborative working is essential in supporting individuals with complex needs, particularly older adults living alone. Mrs Mann requires input from multiple agencies—GPs, community </w:t>
      </w:r>
      <w:r w:rsidRPr="009602FE">
        <w:rPr>
          <w:rFonts w:ascii="Times New Roman" w:eastAsia="Times New Roman" w:hAnsi="Times New Roman" w:cs="Times New Roman"/>
          <w:lang w:eastAsia="en-GB"/>
        </w:rPr>
        <w:lastRenderedPageBreak/>
        <w:t>nurses, social workers, occupational therapists, physiotherapists, and home-care providers. Effective collaboration ensures coordinated, safe, and holistic care.</w:t>
      </w:r>
    </w:p>
    <w:p w14:paraId="48A64631"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Shared care plans are a key tool, allowing all professionals to access up-to-date information about Mrs Mann’s medical history, medication, mobility needs, cultural preferences, and communication requirements. Regular multidisciplinary team (MDT) meetings support collective problem-solving, while shared digital records enable timely updates between visits.</w:t>
      </w:r>
    </w:p>
    <w:p w14:paraId="2DDF9753"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Communication between agencies must be structured and consistent. Frameworks like SBAR or ISBAR support clear interprofessional communication, reducing the risk of duplication or omissions.</w:t>
      </w:r>
    </w:p>
    <w:p w14:paraId="72190EC6" w14:textId="074C7A66"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Challenges often arise, such as role confusion, professional boundaries, different organisational priorities, or delays in information sharing (Glasby &amp; Dickinson, 2014). Language barriers may also affect collaboration if different professionals interpret Mrs Mann’s needs differently. To overcome these challenges, teams must adopt a person-centred approach, agree shared goals, and respect each other’s expertise. Good leadership, shared accountability, and regular case reviews strengthen collaboration and ensure continuity of care.</w:t>
      </w:r>
    </w:p>
    <w:p w14:paraId="4658B372" w14:textId="4773B95E" w:rsidR="009602FE" w:rsidRPr="009602FE" w:rsidRDefault="009602FE" w:rsidP="009602FE">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4" w:name="_Toc214565378"/>
      <w:r w:rsidRPr="009602FE">
        <w:rPr>
          <w:rFonts w:ascii="Times New Roman" w:eastAsia="Times New Roman" w:hAnsi="Times New Roman" w:cs="Times New Roman"/>
          <w:b/>
          <w:bCs/>
          <w:sz w:val="36"/>
          <w:szCs w:val="36"/>
          <w:lang w:eastAsia="en-GB"/>
        </w:rPr>
        <w:t>Conclusion</w:t>
      </w:r>
      <w:bookmarkEnd w:id="4"/>
      <w:r w:rsidRPr="009602FE">
        <w:rPr>
          <w:rFonts w:ascii="Times New Roman" w:eastAsia="Times New Roman" w:hAnsi="Times New Roman" w:cs="Times New Roman"/>
          <w:b/>
          <w:bCs/>
          <w:sz w:val="36"/>
          <w:szCs w:val="36"/>
          <w:lang w:eastAsia="en-GB"/>
        </w:rPr>
        <w:t xml:space="preserve"> </w:t>
      </w:r>
    </w:p>
    <w:p w14:paraId="53E8FD72" w14:textId="77777777" w:rsidR="009602FE" w:rsidRP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The case of Mrs Mann highlights the critical importance of effective communication, accurate administrative skills, and multidisciplinary collaboration in delivering safe, person-centred care. Communication must be culturally sensitive, legally compliant, and adapted to her language needs, ensuring she understands her care and remains actively involved. Strong administrative and record-keeping practices protect her safety, support continuity of care, and fulfil legal and professional responsibilities. Effective collaboration ensures that different agencies work together rather than in isolation, preventing gaps or inconsistencies in her care.</w:t>
      </w:r>
    </w:p>
    <w:p w14:paraId="5B175614" w14:textId="0CB649E7" w:rsidR="009602FE" w:rsidRDefault="009602FE" w:rsidP="009602FE">
      <w:pPr>
        <w:spacing w:before="100" w:beforeAutospacing="1" w:after="100" w:afterAutospacing="1" w:line="360" w:lineRule="auto"/>
        <w:jc w:val="both"/>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Overall, Mrs Mann’s situation demonstrates how poor communication or documentation can place vulnerable individuals at risk, but also how skilled, informed practice promotes dignity, safety, and wellbeing. Practitioners must continue to develop these skills to meet professional standards and ensure high-quality, coordinated support for individuals with complex needs</w:t>
      </w:r>
      <w:r>
        <w:rPr>
          <w:rFonts w:ascii="Times New Roman" w:eastAsia="Times New Roman" w:hAnsi="Times New Roman" w:cs="Times New Roman"/>
          <w:lang w:eastAsia="en-GB"/>
        </w:rPr>
        <w:t>.</w:t>
      </w:r>
    </w:p>
    <w:p w14:paraId="580FE5D0" w14:textId="77777777" w:rsidR="009602FE" w:rsidRPr="009602FE" w:rsidRDefault="009602FE" w:rsidP="009602FE">
      <w:pPr>
        <w:rPr>
          <w:rFonts w:ascii="Times New Roman" w:eastAsia="Times New Roman" w:hAnsi="Times New Roman" w:cs="Times New Roman"/>
          <w:lang w:eastAsia="en-GB"/>
        </w:rPr>
      </w:pPr>
    </w:p>
    <w:p w14:paraId="3A4DE656" w14:textId="0ACEEA68" w:rsidR="009602FE" w:rsidRPr="009602FE" w:rsidRDefault="009602FE" w:rsidP="009602FE">
      <w:pPr>
        <w:spacing w:before="100" w:beforeAutospacing="1" w:after="100" w:afterAutospacing="1"/>
        <w:outlineLvl w:val="1"/>
        <w:rPr>
          <w:rFonts w:ascii="Times New Roman" w:eastAsia="Times New Roman" w:hAnsi="Times New Roman" w:cs="Times New Roman"/>
          <w:b/>
          <w:bCs/>
          <w:sz w:val="36"/>
          <w:szCs w:val="36"/>
          <w:lang w:eastAsia="en-GB"/>
        </w:rPr>
      </w:pPr>
      <w:bookmarkStart w:id="5" w:name="_Toc214565379"/>
      <w:r w:rsidRPr="009602FE">
        <w:rPr>
          <w:rFonts w:ascii="Times New Roman" w:eastAsia="Times New Roman" w:hAnsi="Times New Roman" w:cs="Times New Roman"/>
          <w:b/>
          <w:bCs/>
          <w:sz w:val="36"/>
          <w:szCs w:val="36"/>
          <w:lang w:eastAsia="en-GB"/>
        </w:rPr>
        <w:lastRenderedPageBreak/>
        <w:t>Reference List</w:t>
      </w:r>
      <w:bookmarkEnd w:id="5"/>
    </w:p>
    <w:p w14:paraId="7B3D2239" w14:textId="77777777" w:rsid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t xml:space="preserve">Argyle, M. (1972) </w:t>
      </w:r>
      <w:r w:rsidRPr="009602FE">
        <w:rPr>
          <w:rFonts w:ascii="Times New Roman" w:eastAsia="Times New Roman" w:hAnsi="Times New Roman" w:cs="Times New Roman"/>
          <w:i/>
          <w:iCs/>
          <w:lang w:eastAsia="en-GB"/>
        </w:rPr>
        <w:t>The Psychology of Interpersonal Behaviour.</w:t>
      </w:r>
      <w:r w:rsidRPr="009602FE">
        <w:rPr>
          <w:rFonts w:ascii="Times New Roman" w:eastAsia="Times New Roman" w:hAnsi="Times New Roman" w:cs="Times New Roman"/>
          <w:lang w:eastAsia="en-GB"/>
        </w:rPr>
        <w:t xml:space="preserve"> London: Penguin.</w:t>
      </w:r>
    </w:p>
    <w:p w14:paraId="69225E99" w14:textId="77777777" w:rsid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br/>
        <w:t xml:space="preserve">Bach, S. &amp; Grant, A. (2019) </w:t>
      </w:r>
      <w:r w:rsidRPr="009602FE">
        <w:rPr>
          <w:rFonts w:ascii="Times New Roman" w:eastAsia="Times New Roman" w:hAnsi="Times New Roman" w:cs="Times New Roman"/>
          <w:i/>
          <w:iCs/>
          <w:lang w:eastAsia="en-GB"/>
        </w:rPr>
        <w:t>Communication and interpersonal skills in nursing</w:t>
      </w:r>
      <w:r w:rsidRPr="009602FE">
        <w:rPr>
          <w:rFonts w:ascii="Times New Roman" w:eastAsia="Times New Roman" w:hAnsi="Times New Roman" w:cs="Times New Roman"/>
          <w:lang w:eastAsia="en-GB"/>
        </w:rPr>
        <w:t>. 4th ed. London: Learning Matters.</w:t>
      </w:r>
    </w:p>
    <w:p w14:paraId="559A87CD" w14:textId="77777777" w:rsid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br/>
        <w:t xml:space="preserve">Caldicott Review (2013) </w:t>
      </w:r>
      <w:r w:rsidRPr="009602FE">
        <w:rPr>
          <w:rFonts w:ascii="Times New Roman" w:eastAsia="Times New Roman" w:hAnsi="Times New Roman" w:cs="Times New Roman"/>
          <w:i/>
          <w:iCs/>
          <w:lang w:eastAsia="en-GB"/>
        </w:rPr>
        <w:t>Information Governance Review</w:t>
      </w:r>
      <w:r w:rsidRPr="009602FE">
        <w:rPr>
          <w:rFonts w:ascii="Times New Roman" w:eastAsia="Times New Roman" w:hAnsi="Times New Roman" w:cs="Times New Roman"/>
          <w:lang w:eastAsia="en-GB"/>
        </w:rPr>
        <w:t>. Department of Health.</w:t>
      </w:r>
    </w:p>
    <w:p w14:paraId="764D1B18" w14:textId="77777777" w:rsid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br/>
        <w:t xml:space="preserve">Care Quality Commission (CQC) (2015) </w:t>
      </w:r>
      <w:r w:rsidRPr="009602FE">
        <w:rPr>
          <w:rFonts w:ascii="Times New Roman" w:eastAsia="Times New Roman" w:hAnsi="Times New Roman" w:cs="Times New Roman"/>
          <w:i/>
          <w:iCs/>
          <w:lang w:eastAsia="en-GB"/>
        </w:rPr>
        <w:t>Fundamental Standards</w:t>
      </w:r>
      <w:r w:rsidRPr="009602FE">
        <w:rPr>
          <w:rFonts w:ascii="Times New Roman" w:eastAsia="Times New Roman" w:hAnsi="Times New Roman" w:cs="Times New Roman"/>
          <w:lang w:eastAsia="en-GB"/>
        </w:rPr>
        <w:t>. London: CQC.</w:t>
      </w:r>
      <w:r w:rsidRPr="009602FE">
        <w:rPr>
          <w:rFonts w:ascii="Times New Roman" w:eastAsia="Times New Roman" w:hAnsi="Times New Roman" w:cs="Times New Roman"/>
          <w:lang w:eastAsia="en-GB"/>
        </w:rPr>
        <w:br/>
        <w:t xml:space="preserve">Equality Act (2010) </w:t>
      </w:r>
      <w:r w:rsidRPr="009602FE">
        <w:rPr>
          <w:rFonts w:ascii="Times New Roman" w:eastAsia="Times New Roman" w:hAnsi="Times New Roman" w:cs="Times New Roman"/>
          <w:i/>
          <w:iCs/>
          <w:lang w:eastAsia="en-GB"/>
        </w:rPr>
        <w:t>Equality Act 2010</w:t>
      </w:r>
      <w:r w:rsidRPr="009602FE">
        <w:rPr>
          <w:rFonts w:ascii="Times New Roman" w:eastAsia="Times New Roman" w:hAnsi="Times New Roman" w:cs="Times New Roman"/>
          <w:lang w:eastAsia="en-GB"/>
        </w:rPr>
        <w:t>. London: HMSO.</w:t>
      </w:r>
    </w:p>
    <w:p w14:paraId="59FEA8F7" w14:textId="77777777" w:rsid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br/>
        <w:t xml:space="preserve">Glasby, J. &amp; Dickinson, H. (2014) </w:t>
      </w:r>
      <w:r w:rsidRPr="009602FE">
        <w:rPr>
          <w:rFonts w:ascii="Times New Roman" w:eastAsia="Times New Roman" w:hAnsi="Times New Roman" w:cs="Times New Roman"/>
          <w:i/>
          <w:iCs/>
          <w:lang w:eastAsia="en-GB"/>
        </w:rPr>
        <w:t>Partnership working in health and social care</w:t>
      </w:r>
      <w:r w:rsidRPr="009602FE">
        <w:rPr>
          <w:rFonts w:ascii="Times New Roman" w:eastAsia="Times New Roman" w:hAnsi="Times New Roman" w:cs="Times New Roman"/>
          <w:lang w:eastAsia="en-GB"/>
        </w:rPr>
        <w:t>. 2nd ed. London: Policy Press.</w:t>
      </w:r>
    </w:p>
    <w:p w14:paraId="672FF663" w14:textId="77777777" w:rsid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br/>
        <w:t xml:space="preserve">Griffith, R. &amp; </w:t>
      </w:r>
      <w:proofErr w:type="spellStart"/>
      <w:r w:rsidRPr="009602FE">
        <w:rPr>
          <w:rFonts w:ascii="Times New Roman" w:eastAsia="Times New Roman" w:hAnsi="Times New Roman" w:cs="Times New Roman"/>
          <w:lang w:eastAsia="en-GB"/>
        </w:rPr>
        <w:t>Tengnah</w:t>
      </w:r>
      <w:proofErr w:type="spellEnd"/>
      <w:r w:rsidRPr="009602FE">
        <w:rPr>
          <w:rFonts w:ascii="Times New Roman" w:eastAsia="Times New Roman" w:hAnsi="Times New Roman" w:cs="Times New Roman"/>
          <w:lang w:eastAsia="en-GB"/>
        </w:rPr>
        <w:t xml:space="preserve">, C. (2020) </w:t>
      </w:r>
      <w:r w:rsidRPr="009602FE">
        <w:rPr>
          <w:rFonts w:ascii="Times New Roman" w:eastAsia="Times New Roman" w:hAnsi="Times New Roman" w:cs="Times New Roman"/>
          <w:i/>
          <w:iCs/>
          <w:lang w:eastAsia="en-GB"/>
        </w:rPr>
        <w:t>Law and Professional Issues in Nursing</w:t>
      </w:r>
      <w:r w:rsidRPr="009602FE">
        <w:rPr>
          <w:rFonts w:ascii="Times New Roman" w:eastAsia="Times New Roman" w:hAnsi="Times New Roman" w:cs="Times New Roman"/>
          <w:lang w:eastAsia="en-GB"/>
        </w:rPr>
        <w:t>. 6th ed. London: Learning Matters.</w:t>
      </w:r>
    </w:p>
    <w:p w14:paraId="0CCA0C57" w14:textId="77777777" w:rsid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br/>
        <w:t xml:space="preserve">ICO (2018) </w:t>
      </w:r>
      <w:r w:rsidRPr="009602FE">
        <w:rPr>
          <w:rFonts w:ascii="Times New Roman" w:eastAsia="Times New Roman" w:hAnsi="Times New Roman" w:cs="Times New Roman"/>
          <w:i/>
          <w:iCs/>
          <w:lang w:eastAsia="en-GB"/>
        </w:rPr>
        <w:t>Guide to Data Protection</w:t>
      </w:r>
      <w:r w:rsidRPr="009602FE">
        <w:rPr>
          <w:rFonts w:ascii="Times New Roman" w:eastAsia="Times New Roman" w:hAnsi="Times New Roman" w:cs="Times New Roman"/>
          <w:lang w:eastAsia="en-GB"/>
        </w:rPr>
        <w:t>. Information Commissioner’s Office.</w:t>
      </w:r>
    </w:p>
    <w:p w14:paraId="6FFCA088" w14:textId="77777777" w:rsid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br/>
        <w:t xml:space="preserve">NHS England (2019) </w:t>
      </w:r>
      <w:r w:rsidRPr="009602FE">
        <w:rPr>
          <w:rFonts w:ascii="Times New Roman" w:eastAsia="Times New Roman" w:hAnsi="Times New Roman" w:cs="Times New Roman"/>
          <w:i/>
          <w:iCs/>
          <w:lang w:eastAsia="en-GB"/>
        </w:rPr>
        <w:t>Guidance on Access to Interpreting and Translation Services</w:t>
      </w:r>
      <w:r w:rsidRPr="009602FE">
        <w:rPr>
          <w:rFonts w:ascii="Times New Roman" w:eastAsia="Times New Roman" w:hAnsi="Times New Roman" w:cs="Times New Roman"/>
          <w:lang w:eastAsia="en-GB"/>
        </w:rPr>
        <w:t>.</w:t>
      </w:r>
    </w:p>
    <w:p w14:paraId="359DA377" w14:textId="77777777" w:rsid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br/>
        <w:t xml:space="preserve">NMC (2018) </w:t>
      </w:r>
      <w:r w:rsidRPr="009602FE">
        <w:rPr>
          <w:rFonts w:ascii="Times New Roman" w:eastAsia="Times New Roman" w:hAnsi="Times New Roman" w:cs="Times New Roman"/>
          <w:i/>
          <w:iCs/>
          <w:lang w:eastAsia="en-GB"/>
        </w:rPr>
        <w:t>The Code: Professional standards of practice and behaviour for nurses, midwives and nursing associates.</w:t>
      </w:r>
      <w:r w:rsidRPr="009602FE">
        <w:rPr>
          <w:rFonts w:ascii="Times New Roman" w:eastAsia="Times New Roman" w:hAnsi="Times New Roman" w:cs="Times New Roman"/>
          <w:lang w:eastAsia="en-GB"/>
        </w:rPr>
        <w:t xml:space="preserve"> London: NMC.</w:t>
      </w:r>
    </w:p>
    <w:p w14:paraId="598A4430" w14:textId="49A7636A" w:rsidR="009602FE" w:rsidRPr="009602FE" w:rsidRDefault="009602FE" w:rsidP="009602FE">
      <w:pPr>
        <w:spacing w:before="100" w:beforeAutospacing="1" w:after="100" w:afterAutospacing="1"/>
        <w:rPr>
          <w:rFonts w:ascii="Times New Roman" w:eastAsia="Times New Roman" w:hAnsi="Times New Roman" w:cs="Times New Roman"/>
          <w:lang w:eastAsia="en-GB"/>
        </w:rPr>
      </w:pPr>
      <w:r w:rsidRPr="009602FE">
        <w:rPr>
          <w:rFonts w:ascii="Times New Roman" w:eastAsia="Times New Roman" w:hAnsi="Times New Roman" w:cs="Times New Roman"/>
          <w:lang w:eastAsia="en-GB"/>
        </w:rPr>
        <w:br/>
        <w:t xml:space="preserve">Papadopoulos, I. (2006) </w:t>
      </w:r>
      <w:r w:rsidRPr="009602FE">
        <w:rPr>
          <w:rFonts w:ascii="Times New Roman" w:eastAsia="Times New Roman" w:hAnsi="Times New Roman" w:cs="Times New Roman"/>
          <w:i/>
          <w:iCs/>
          <w:lang w:eastAsia="en-GB"/>
        </w:rPr>
        <w:t>Transcultural Health and Social Care</w:t>
      </w:r>
      <w:r w:rsidRPr="009602FE">
        <w:rPr>
          <w:rFonts w:ascii="Times New Roman" w:eastAsia="Times New Roman" w:hAnsi="Times New Roman" w:cs="Times New Roman"/>
          <w:lang w:eastAsia="en-GB"/>
        </w:rPr>
        <w:t>. Elsevier.</w:t>
      </w:r>
    </w:p>
    <w:p w14:paraId="7A6AC1A5" w14:textId="77777777" w:rsidR="009602FE" w:rsidRDefault="009602FE"/>
    <w:sectPr w:rsidR="009602FE">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DF183" w14:textId="77777777" w:rsidR="00984D68" w:rsidRDefault="00984D68" w:rsidP="009602FE">
      <w:r>
        <w:separator/>
      </w:r>
    </w:p>
  </w:endnote>
  <w:endnote w:type="continuationSeparator" w:id="0">
    <w:p w14:paraId="73B0346D" w14:textId="77777777" w:rsidR="00984D68" w:rsidRDefault="00984D68" w:rsidP="00960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4568019"/>
      <w:docPartObj>
        <w:docPartGallery w:val="Page Numbers (Bottom of Page)"/>
        <w:docPartUnique/>
      </w:docPartObj>
    </w:sdtPr>
    <w:sdtContent>
      <w:p w14:paraId="044269C3" w14:textId="6BB42330" w:rsidR="009602FE" w:rsidRDefault="009602FE"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0F1FC3" w14:textId="77777777" w:rsidR="009602FE" w:rsidRDefault="009602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0001515"/>
      <w:docPartObj>
        <w:docPartGallery w:val="Page Numbers (Bottom of Page)"/>
        <w:docPartUnique/>
      </w:docPartObj>
    </w:sdtPr>
    <w:sdtContent>
      <w:p w14:paraId="5B51D66A" w14:textId="5EB8788B" w:rsidR="009602FE" w:rsidRDefault="009602FE"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C435D4" w14:textId="77777777" w:rsidR="009602FE" w:rsidRDefault="00960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66CE9" w14:textId="77777777" w:rsidR="00984D68" w:rsidRDefault="00984D68" w:rsidP="009602FE">
      <w:r>
        <w:separator/>
      </w:r>
    </w:p>
  </w:footnote>
  <w:footnote w:type="continuationSeparator" w:id="0">
    <w:p w14:paraId="738F7015" w14:textId="77777777" w:rsidR="00984D68" w:rsidRDefault="00984D68" w:rsidP="009602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2FE"/>
    <w:rsid w:val="009602FE"/>
    <w:rsid w:val="00984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3E834"/>
  <w15:chartTrackingRefBased/>
  <w15:docId w15:val="{877FF124-F329-3B45-A0FD-DB2A33392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02F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602F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2F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602F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602FE"/>
    <w:rPr>
      <w:b/>
      <w:bCs/>
    </w:rPr>
  </w:style>
  <w:style w:type="paragraph" w:styleId="NormalWeb">
    <w:name w:val="Normal (Web)"/>
    <w:basedOn w:val="Normal"/>
    <w:uiPriority w:val="99"/>
    <w:semiHidden/>
    <w:unhideWhenUsed/>
    <w:rsid w:val="009602FE"/>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9602FE"/>
    <w:rPr>
      <w:i/>
      <w:iCs/>
    </w:rPr>
  </w:style>
  <w:style w:type="paragraph" w:styleId="TOCHeading">
    <w:name w:val="TOC Heading"/>
    <w:basedOn w:val="Heading1"/>
    <w:next w:val="Normal"/>
    <w:uiPriority w:val="39"/>
    <w:unhideWhenUsed/>
    <w:qFormat/>
    <w:rsid w:val="009602FE"/>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2">
    <w:name w:val="toc 2"/>
    <w:basedOn w:val="Normal"/>
    <w:next w:val="Normal"/>
    <w:autoRedefine/>
    <w:uiPriority w:val="39"/>
    <w:unhideWhenUsed/>
    <w:rsid w:val="009602FE"/>
    <w:pPr>
      <w:spacing w:before="120"/>
      <w:ind w:left="240"/>
    </w:pPr>
    <w:rPr>
      <w:rFonts w:cstheme="minorHAnsi"/>
      <w:b/>
      <w:bCs/>
      <w:sz w:val="22"/>
      <w:szCs w:val="22"/>
    </w:rPr>
  </w:style>
  <w:style w:type="character" w:styleId="Hyperlink">
    <w:name w:val="Hyperlink"/>
    <w:basedOn w:val="DefaultParagraphFont"/>
    <w:uiPriority w:val="99"/>
    <w:unhideWhenUsed/>
    <w:rsid w:val="009602FE"/>
    <w:rPr>
      <w:color w:val="0563C1" w:themeColor="hyperlink"/>
      <w:u w:val="single"/>
    </w:rPr>
  </w:style>
  <w:style w:type="paragraph" w:styleId="TOC1">
    <w:name w:val="toc 1"/>
    <w:basedOn w:val="Normal"/>
    <w:next w:val="Normal"/>
    <w:autoRedefine/>
    <w:uiPriority w:val="39"/>
    <w:semiHidden/>
    <w:unhideWhenUsed/>
    <w:rsid w:val="009602FE"/>
    <w:pPr>
      <w:spacing w:before="120"/>
    </w:pPr>
    <w:rPr>
      <w:rFonts w:cstheme="minorHAnsi"/>
      <w:b/>
      <w:bCs/>
      <w:i/>
      <w:iCs/>
    </w:rPr>
  </w:style>
  <w:style w:type="paragraph" w:styleId="TOC3">
    <w:name w:val="toc 3"/>
    <w:basedOn w:val="Normal"/>
    <w:next w:val="Normal"/>
    <w:autoRedefine/>
    <w:uiPriority w:val="39"/>
    <w:semiHidden/>
    <w:unhideWhenUsed/>
    <w:rsid w:val="009602FE"/>
    <w:pPr>
      <w:ind w:left="480"/>
    </w:pPr>
    <w:rPr>
      <w:rFonts w:cstheme="minorHAnsi"/>
      <w:sz w:val="20"/>
      <w:szCs w:val="20"/>
    </w:rPr>
  </w:style>
  <w:style w:type="paragraph" w:styleId="TOC4">
    <w:name w:val="toc 4"/>
    <w:basedOn w:val="Normal"/>
    <w:next w:val="Normal"/>
    <w:autoRedefine/>
    <w:uiPriority w:val="39"/>
    <w:semiHidden/>
    <w:unhideWhenUsed/>
    <w:rsid w:val="009602FE"/>
    <w:pPr>
      <w:ind w:left="720"/>
    </w:pPr>
    <w:rPr>
      <w:rFonts w:cstheme="minorHAnsi"/>
      <w:sz w:val="20"/>
      <w:szCs w:val="20"/>
    </w:rPr>
  </w:style>
  <w:style w:type="paragraph" w:styleId="TOC5">
    <w:name w:val="toc 5"/>
    <w:basedOn w:val="Normal"/>
    <w:next w:val="Normal"/>
    <w:autoRedefine/>
    <w:uiPriority w:val="39"/>
    <w:semiHidden/>
    <w:unhideWhenUsed/>
    <w:rsid w:val="009602FE"/>
    <w:pPr>
      <w:ind w:left="960"/>
    </w:pPr>
    <w:rPr>
      <w:rFonts w:cstheme="minorHAnsi"/>
      <w:sz w:val="20"/>
      <w:szCs w:val="20"/>
    </w:rPr>
  </w:style>
  <w:style w:type="paragraph" w:styleId="TOC6">
    <w:name w:val="toc 6"/>
    <w:basedOn w:val="Normal"/>
    <w:next w:val="Normal"/>
    <w:autoRedefine/>
    <w:uiPriority w:val="39"/>
    <w:semiHidden/>
    <w:unhideWhenUsed/>
    <w:rsid w:val="009602FE"/>
    <w:pPr>
      <w:ind w:left="1200"/>
    </w:pPr>
    <w:rPr>
      <w:rFonts w:cstheme="minorHAnsi"/>
      <w:sz w:val="20"/>
      <w:szCs w:val="20"/>
    </w:rPr>
  </w:style>
  <w:style w:type="paragraph" w:styleId="TOC7">
    <w:name w:val="toc 7"/>
    <w:basedOn w:val="Normal"/>
    <w:next w:val="Normal"/>
    <w:autoRedefine/>
    <w:uiPriority w:val="39"/>
    <w:semiHidden/>
    <w:unhideWhenUsed/>
    <w:rsid w:val="009602FE"/>
    <w:pPr>
      <w:ind w:left="1440"/>
    </w:pPr>
    <w:rPr>
      <w:rFonts w:cstheme="minorHAnsi"/>
      <w:sz w:val="20"/>
      <w:szCs w:val="20"/>
    </w:rPr>
  </w:style>
  <w:style w:type="paragraph" w:styleId="TOC8">
    <w:name w:val="toc 8"/>
    <w:basedOn w:val="Normal"/>
    <w:next w:val="Normal"/>
    <w:autoRedefine/>
    <w:uiPriority w:val="39"/>
    <w:semiHidden/>
    <w:unhideWhenUsed/>
    <w:rsid w:val="009602FE"/>
    <w:pPr>
      <w:ind w:left="1680"/>
    </w:pPr>
    <w:rPr>
      <w:rFonts w:cstheme="minorHAnsi"/>
      <w:sz w:val="20"/>
      <w:szCs w:val="20"/>
    </w:rPr>
  </w:style>
  <w:style w:type="paragraph" w:styleId="TOC9">
    <w:name w:val="toc 9"/>
    <w:basedOn w:val="Normal"/>
    <w:next w:val="Normal"/>
    <w:autoRedefine/>
    <w:uiPriority w:val="39"/>
    <w:semiHidden/>
    <w:unhideWhenUsed/>
    <w:rsid w:val="009602FE"/>
    <w:pPr>
      <w:ind w:left="1920"/>
    </w:pPr>
    <w:rPr>
      <w:rFonts w:cstheme="minorHAnsi"/>
      <w:sz w:val="20"/>
      <w:szCs w:val="20"/>
    </w:rPr>
  </w:style>
  <w:style w:type="paragraph" w:styleId="Footer">
    <w:name w:val="footer"/>
    <w:basedOn w:val="Normal"/>
    <w:link w:val="FooterChar"/>
    <w:uiPriority w:val="99"/>
    <w:unhideWhenUsed/>
    <w:rsid w:val="009602FE"/>
    <w:pPr>
      <w:tabs>
        <w:tab w:val="center" w:pos="4513"/>
        <w:tab w:val="right" w:pos="9026"/>
      </w:tabs>
    </w:pPr>
  </w:style>
  <w:style w:type="character" w:customStyle="1" w:styleId="FooterChar">
    <w:name w:val="Footer Char"/>
    <w:basedOn w:val="DefaultParagraphFont"/>
    <w:link w:val="Footer"/>
    <w:uiPriority w:val="99"/>
    <w:rsid w:val="009602FE"/>
  </w:style>
  <w:style w:type="character" w:styleId="PageNumber">
    <w:name w:val="page number"/>
    <w:basedOn w:val="DefaultParagraphFont"/>
    <w:uiPriority w:val="99"/>
    <w:semiHidden/>
    <w:unhideWhenUsed/>
    <w:rsid w:val="00960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8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E0AD9-75E7-CA45-996C-0762ECBF6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1633</Words>
  <Characters>9310</Characters>
  <Application>Microsoft Office Word</Application>
  <DocSecurity>0</DocSecurity>
  <Lines>77</Lines>
  <Paragraphs>21</Paragraphs>
  <ScaleCrop>false</ScaleCrop>
  <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Paula Marcu</cp:lastModifiedBy>
  <cp:revision>1</cp:revision>
  <dcterms:created xsi:type="dcterms:W3CDTF">2025-11-20T21:08:00Z</dcterms:created>
  <dcterms:modified xsi:type="dcterms:W3CDTF">2025-11-20T21:12:00Z</dcterms:modified>
</cp:coreProperties>
</file>