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BA02E" w14:textId="45A9702C" w:rsidR="00585E11" w:rsidRDefault="00E1481E">
      <w:r>
        <w:rPr>
          <w:noProof/>
        </w:rPr>
        <w:drawing>
          <wp:inline distT="0" distB="0" distL="0" distR="0" wp14:anchorId="10412007" wp14:editId="2D76706E">
            <wp:extent cx="1844040" cy="1150620"/>
            <wp:effectExtent l="0" t="0" r="3810" b="0"/>
            <wp:docPr id="1683622089"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AAFUapaPI8Xcxc8Pwbv4iAQ_101" descr="University of Wales Trinity Saint David Logo Vector - (.SVG + .PNG) - Tukuz.Co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0693" cy="1154771"/>
                    </a:xfrm>
                    <a:prstGeom prst="rect">
                      <a:avLst/>
                    </a:prstGeom>
                    <a:noFill/>
                    <a:ln>
                      <a:noFill/>
                    </a:ln>
                  </pic:spPr>
                </pic:pic>
              </a:graphicData>
            </a:graphic>
          </wp:inline>
        </w:drawing>
      </w:r>
    </w:p>
    <w:p w14:paraId="62064473" w14:textId="77777777" w:rsidR="00E1481E" w:rsidRDefault="00E1481E" w:rsidP="00E1481E">
      <w:pPr>
        <w:jc w:val="center"/>
      </w:pPr>
    </w:p>
    <w:p w14:paraId="7C1E4955" w14:textId="30F03B6A" w:rsidR="00E1481E" w:rsidRDefault="00E1481E" w:rsidP="00E1481E">
      <w:pPr>
        <w:spacing w:before="120" w:after="120"/>
        <w:jc w:val="center"/>
        <w:rPr>
          <w:rFonts w:ascii="Arial" w:hAnsi="Arial" w:cs="Arial"/>
          <w:b/>
          <w:sz w:val="22"/>
          <w:szCs w:val="22"/>
        </w:rPr>
      </w:pPr>
      <w:r w:rsidRPr="001D2722">
        <w:rPr>
          <w:rStyle w:val="IntenseReference"/>
          <w:rFonts w:ascii="Arial" w:hAnsi="Arial" w:cs="Arial"/>
          <w:b w:val="0"/>
          <w:bCs w:val="0"/>
          <w:smallCaps w:val="0"/>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w:t>
      </w:r>
      <w:r w:rsidRPr="00E1481E">
        <w:rPr>
          <w:rStyle w:val="IntenseReference"/>
          <w:rFonts w:ascii="Arial" w:hAnsi="Arial" w:cs="Arial"/>
          <w:smallCaps w:val="0"/>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1481E">
        <w:rPr>
          <w:rFonts w:ascii="Arial" w:hAnsi="Arial" w:cs="Arial"/>
          <w:sz w:val="28"/>
          <w:szCs w:val="28"/>
        </w:rPr>
        <w:t>BA (Hons) Leadership and Management Skills for the Workplace</w:t>
      </w:r>
    </w:p>
    <w:p w14:paraId="0AED8BDB" w14:textId="561AF44C" w:rsidR="00E1481E" w:rsidRDefault="00E1481E" w:rsidP="00E1481E">
      <w:pPr>
        <w:spacing w:before="120" w:after="120" w:line="360" w:lineRule="auto"/>
        <w:jc w:val="center"/>
        <w:rPr>
          <w:rStyle w:val="IntenseReference"/>
          <w:rFonts w:ascii="Arial" w:hAnsi="Arial" w:cs="Arial"/>
          <w:b w:val="0"/>
          <w:bCs w:val="0"/>
          <w:smallCaps w:val="0"/>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3C951C" w14:textId="76A3F4A6" w:rsidR="00E1481E" w:rsidRPr="001D2722" w:rsidRDefault="00E1481E" w:rsidP="00E1481E">
      <w:pPr>
        <w:spacing w:before="120" w:after="120" w:line="360" w:lineRule="auto"/>
        <w:jc w:val="center"/>
        <w:rPr>
          <w:rFonts w:ascii="Arial" w:hAnsi="Arial" w:cs="Arial"/>
          <w:bCs/>
          <w:sz w:val="28"/>
          <w:szCs w:val="28"/>
        </w:rPr>
      </w:pPr>
      <w:r w:rsidRPr="001D2722">
        <w:rPr>
          <w:rFonts w:ascii="Arial" w:eastAsia="Arial" w:hAnsi="Arial" w:cs="Arial"/>
          <w:kern w:val="0"/>
          <w:sz w:val="28"/>
          <w:szCs w:val="28"/>
          <w14:ligatures w14:val="none"/>
        </w:rPr>
        <w:t xml:space="preserve">Module: </w:t>
      </w:r>
      <w:r w:rsidRPr="00E1481E">
        <w:rPr>
          <w:rFonts w:ascii="Arial" w:eastAsia="Arial" w:hAnsi="Arial" w:cs="Arial"/>
          <w:bCs/>
          <w:kern w:val="0"/>
          <w:sz w:val="28"/>
          <w:szCs w:val="28"/>
          <w14:ligatures w14:val="none"/>
        </w:rPr>
        <w:t xml:space="preserve">Leading and Implementing </w:t>
      </w:r>
      <w:proofErr w:type="gramStart"/>
      <w:r w:rsidRPr="00E1481E">
        <w:rPr>
          <w:rFonts w:ascii="Arial" w:eastAsia="Arial" w:hAnsi="Arial" w:cs="Arial"/>
          <w:bCs/>
          <w:kern w:val="0"/>
          <w:sz w:val="28"/>
          <w:szCs w:val="28"/>
          <w14:ligatures w14:val="none"/>
        </w:rPr>
        <w:t>Change  (</w:t>
      </w:r>
      <w:proofErr w:type="gramEnd"/>
      <w:r w:rsidRPr="00E1481E">
        <w:rPr>
          <w:rFonts w:ascii="Arial" w:eastAsia="Arial" w:hAnsi="Arial" w:cs="Arial"/>
          <w:bCs/>
          <w:kern w:val="0"/>
          <w:sz w:val="28"/>
          <w:szCs w:val="28"/>
          <w14:ligatures w14:val="none"/>
        </w:rPr>
        <w:t>LIC)</w:t>
      </w:r>
    </w:p>
    <w:p w14:paraId="4D311363" w14:textId="77777777" w:rsidR="00E1481E" w:rsidRPr="001D2722" w:rsidRDefault="00E1481E" w:rsidP="00E1481E">
      <w:pPr>
        <w:widowControl w:val="0"/>
        <w:spacing w:after="0" w:line="360" w:lineRule="auto"/>
        <w:jc w:val="center"/>
        <w:rPr>
          <w:rFonts w:ascii="Arial" w:eastAsia="Arial" w:hAnsi="Arial" w:cs="Arial"/>
          <w:bCs/>
          <w:kern w:val="0"/>
          <w:sz w:val="28"/>
          <w:szCs w:val="28"/>
          <w14:ligatures w14:val="none"/>
        </w:rPr>
      </w:pPr>
    </w:p>
    <w:p w14:paraId="6EC189FD" w14:textId="1933F9AB" w:rsidR="00E1481E" w:rsidRPr="001D2722" w:rsidRDefault="00E1481E" w:rsidP="00E1481E">
      <w:pPr>
        <w:widowControl w:val="0"/>
        <w:spacing w:after="0" w:line="360" w:lineRule="auto"/>
        <w:jc w:val="center"/>
        <w:rPr>
          <w:rFonts w:ascii="Arial" w:eastAsia="Arial" w:hAnsi="Arial" w:cs="Arial"/>
          <w:kern w:val="0"/>
          <w:sz w:val="28"/>
          <w:szCs w:val="28"/>
          <w14:ligatures w14:val="none"/>
        </w:rPr>
      </w:pPr>
      <w:r w:rsidRPr="001D2722">
        <w:rPr>
          <w:rFonts w:ascii="Arial" w:eastAsia="Arial" w:hAnsi="Arial" w:cs="Arial"/>
          <w:kern w:val="0"/>
          <w:sz w:val="28"/>
          <w:szCs w:val="28"/>
          <w14:ligatures w14:val="none"/>
        </w:rPr>
        <w:t>Module code: LCLM 600</w:t>
      </w:r>
      <w:r>
        <w:rPr>
          <w:rFonts w:ascii="Arial" w:eastAsia="Arial" w:hAnsi="Arial" w:cs="Arial"/>
          <w:kern w:val="0"/>
          <w:sz w:val="28"/>
          <w:szCs w:val="28"/>
          <w14:ligatures w14:val="none"/>
        </w:rPr>
        <w:t>3</w:t>
      </w:r>
    </w:p>
    <w:p w14:paraId="11D7A4A0" w14:textId="77777777" w:rsidR="00E1481E" w:rsidRPr="001D2722" w:rsidRDefault="00E1481E" w:rsidP="00E1481E">
      <w:pPr>
        <w:widowControl w:val="0"/>
        <w:spacing w:after="0" w:line="360" w:lineRule="auto"/>
        <w:jc w:val="center"/>
        <w:rPr>
          <w:rFonts w:ascii="Arial" w:eastAsia="Arial" w:hAnsi="Arial" w:cs="Arial"/>
          <w:kern w:val="0"/>
          <w:sz w:val="28"/>
          <w:szCs w:val="28"/>
          <w14:ligatures w14:val="none"/>
        </w:rPr>
      </w:pPr>
    </w:p>
    <w:p w14:paraId="18D34F64" w14:textId="5BB4382B" w:rsidR="00E1481E" w:rsidRPr="00E1481E" w:rsidRDefault="00E1481E" w:rsidP="00E1481E">
      <w:pPr>
        <w:spacing w:before="120" w:after="120" w:line="360" w:lineRule="auto"/>
        <w:jc w:val="center"/>
        <w:rPr>
          <w:rFonts w:ascii="Arial" w:eastAsia="Arial" w:hAnsi="Arial" w:cs="Arial"/>
          <w:kern w:val="0"/>
          <w:sz w:val="28"/>
          <w:szCs w:val="28"/>
          <w14:ligatures w14:val="none"/>
        </w:rPr>
      </w:pPr>
      <w:r w:rsidRPr="001D2722">
        <w:rPr>
          <w:rFonts w:ascii="Arial" w:eastAsia="Arial" w:hAnsi="Arial" w:cs="Arial"/>
          <w:kern w:val="0"/>
          <w:sz w:val="28"/>
          <w:szCs w:val="28"/>
          <w14:ligatures w14:val="none"/>
        </w:rPr>
        <w:t xml:space="preserve">Module </w:t>
      </w:r>
      <w:r>
        <w:rPr>
          <w:rFonts w:ascii="Arial" w:eastAsia="Arial" w:hAnsi="Arial" w:cs="Arial"/>
          <w:kern w:val="0"/>
          <w:sz w:val="28"/>
          <w:szCs w:val="28"/>
          <w14:ligatures w14:val="none"/>
        </w:rPr>
        <w:t>l</w:t>
      </w:r>
      <w:r w:rsidRPr="001D2722">
        <w:rPr>
          <w:rFonts w:ascii="Arial" w:eastAsia="Arial" w:hAnsi="Arial" w:cs="Arial"/>
          <w:kern w:val="0"/>
          <w:sz w:val="28"/>
          <w:szCs w:val="28"/>
          <w14:ligatures w14:val="none"/>
        </w:rPr>
        <w:t xml:space="preserve">eader: </w:t>
      </w:r>
      <w:r w:rsidRPr="00E1481E">
        <w:rPr>
          <w:rFonts w:ascii="Arial" w:eastAsia="Arial" w:hAnsi="Arial" w:cs="Arial"/>
          <w:kern w:val="0"/>
          <w:sz w:val="28"/>
          <w:szCs w:val="28"/>
          <w14:ligatures w14:val="none"/>
        </w:rPr>
        <w:t>Md Kalam</w:t>
      </w:r>
      <w:r>
        <w:rPr>
          <w:rFonts w:ascii="Arial" w:eastAsia="Arial" w:hAnsi="Arial" w:cs="Arial"/>
          <w:kern w:val="0"/>
          <w:sz w:val="28"/>
          <w:szCs w:val="28"/>
          <w14:ligatures w14:val="none"/>
        </w:rPr>
        <w:t xml:space="preserve"> </w:t>
      </w:r>
      <w:r w:rsidRPr="00E1481E">
        <w:rPr>
          <w:rFonts w:ascii="Arial" w:eastAsia="Arial" w:hAnsi="Arial" w:cs="Arial"/>
          <w:kern w:val="0"/>
          <w:sz w:val="28"/>
          <w:szCs w:val="28"/>
          <w14:ligatures w14:val="none"/>
        </w:rPr>
        <w:t>Samuel Ofori</w:t>
      </w:r>
    </w:p>
    <w:p w14:paraId="7D996AD1" w14:textId="77777777" w:rsidR="00E1481E" w:rsidRPr="001D2722" w:rsidRDefault="00E1481E" w:rsidP="00E1481E">
      <w:pPr>
        <w:widowControl w:val="0"/>
        <w:spacing w:after="0" w:line="360" w:lineRule="auto"/>
        <w:jc w:val="center"/>
        <w:rPr>
          <w:rFonts w:ascii="Arial" w:eastAsia="Arial" w:hAnsi="Arial" w:cs="Arial"/>
          <w:kern w:val="0"/>
          <w:sz w:val="28"/>
          <w:szCs w:val="28"/>
          <w14:ligatures w14:val="none"/>
        </w:rPr>
      </w:pPr>
    </w:p>
    <w:p w14:paraId="01A3DCAD" w14:textId="77777777" w:rsidR="00E1481E" w:rsidRDefault="00E1481E" w:rsidP="00E1481E">
      <w:pPr>
        <w:spacing w:line="360" w:lineRule="auto"/>
        <w:jc w:val="center"/>
        <w:rPr>
          <w:rFonts w:ascii="Arial" w:eastAsia="Arial" w:hAnsi="Arial" w:cs="Arial"/>
          <w:kern w:val="0"/>
          <w:sz w:val="28"/>
          <w:szCs w:val="28"/>
          <w14:ligatures w14:val="none"/>
        </w:rPr>
      </w:pPr>
      <w:r w:rsidRPr="001D2722">
        <w:rPr>
          <w:rFonts w:ascii="Arial" w:eastAsia="Arial" w:hAnsi="Arial" w:cs="Arial"/>
          <w:kern w:val="0"/>
          <w:sz w:val="28"/>
          <w:szCs w:val="28"/>
          <w14:ligatures w14:val="none"/>
        </w:rPr>
        <w:t>Made by: Ariana-Gabriela Bonea 2314969</w:t>
      </w:r>
    </w:p>
    <w:p w14:paraId="1CF97FE7" w14:textId="77777777" w:rsidR="00E1481E" w:rsidRDefault="00E1481E" w:rsidP="00E1481E">
      <w:pPr>
        <w:spacing w:line="360" w:lineRule="auto"/>
        <w:jc w:val="center"/>
        <w:rPr>
          <w:rFonts w:ascii="Arial" w:eastAsia="Arial" w:hAnsi="Arial" w:cs="Arial"/>
          <w:kern w:val="0"/>
          <w:sz w:val="28"/>
          <w:szCs w:val="28"/>
          <w14:ligatures w14:val="none"/>
        </w:rPr>
      </w:pPr>
    </w:p>
    <w:p w14:paraId="38B18D8F" w14:textId="77777777" w:rsidR="00E1481E" w:rsidRDefault="00E1481E" w:rsidP="00E1481E">
      <w:pPr>
        <w:spacing w:line="360" w:lineRule="auto"/>
        <w:jc w:val="center"/>
        <w:rPr>
          <w:rFonts w:ascii="Arial" w:eastAsia="Arial" w:hAnsi="Arial" w:cs="Arial"/>
          <w:kern w:val="0"/>
          <w:sz w:val="28"/>
          <w:szCs w:val="28"/>
          <w14:ligatures w14:val="none"/>
        </w:rPr>
      </w:pPr>
    </w:p>
    <w:p w14:paraId="55651CB0" w14:textId="77777777" w:rsidR="00E1481E" w:rsidRDefault="00E1481E" w:rsidP="00E1481E">
      <w:pPr>
        <w:spacing w:line="360" w:lineRule="auto"/>
        <w:jc w:val="center"/>
        <w:rPr>
          <w:rFonts w:ascii="Arial" w:eastAsia="Arial" w:hAnsi="Arial" w:cs="Arial"/>
          <w:kern w:val="0"/>
          <w:sz w:val="28"/>
          <w:szCs w:val="28"/>
          <w14:ligatures w14:val="none"/>
        </w:rPr>
      </w:pPr>
    </w:p>
    <w:p w14:paraId="625C648A" w14:textId="77777777" w:rsidR="00E1481E" w:rsidRDefault="00E1481E" w:rsidP="00E1481E">
      <w:pPr>
        <w:spacing w:line="360" w:lineRule="auto"/>
        <w:jc w:val="center"/>
        <w:rPr>
          <w:rFonts w:ascii="Arial" w:eastAsia="Arial" w:hAnsi="Arial" w:cs="Arial"/>
          <w:kern w:val="0"/>
          <w:sz w:val="28"/>
          <w:szCs w:val="28"/>
          <w14:ligatures w14:val="none"/>
        </w:rPr>
      </w:pPr>
    </w:p>
    <w:p w14:paraId="7EC57A3C" w14:textId="77777777" w:rsidR="00E1481E" w:rsidRDefault="00E1481E" w:rsidP="00E1481E">
      <w:pPr>
        <w:spacing w:line="360" w:lineRule="auto"/>
        <w:jc w:val="center"/>
        <w:rPr>
          <w:rFonts w:ascii="Arial" w:eastAsia="Arial" w:hAnsi="Arial" w:cs="Arial"/>
          <w:kern w:val="0"/>
          <w:sz w:val="28"/>
          <w:szCs w:val="28"/>
          <w14:ligatures w14:val="none"/>
        </w:rPr>
      </w:pPr>
    </w:p>
    <w:p w14:paraId="0FB78382" w14:textId="77777777" w:rsidR="00E1481E" w:rsidRDefault="00E1481E" w:rsidP="00E1481E">
      <w:pPr>
        <w:spacing w:line="360" w:lineRule="auto"/>
        <w:jc w:val="center"/>
        <w:rPr>
          <w:rFonts w:ascii="Arial" w:eastAsia="Arial" w:hAnsi="Arial" w:cs="Arial"/>
          <w:kern w:val="0"/>
          <w:sz w:val="28"/>
          <w:szCs w:val="28"/>
          <w14:ligatures w14:val="none"/>
        </w:rPr>
      </w:pPr>
    </w:p>
    <w:p w14:paraId="4B096C9E" w14:textId="77777777" w:rsidR="00E1481E" w:rsidRDefault="00E1481E" w:rsidP="00E1481E">
      <w:pPr>
        <w:spacing w:line="360" w:lineRule="auto"/>
        <w:jc w:val="center"/>
        <w:rPr>
          <w:rFonts w:ascii="Arial" w:eastAsia="Arial" w:hAnsi="Arial" w:cs="Arial"/>
          <w:kern w:val="0"/>
          <w:sz w:val="28"/>
          <w:szCs w:val="28"/>
          <w14:ligatures w14:val="none"/>
        </w:rPr>
      </w:pPr>
    </w:p>
    <w:p w14:paraId="55059E29" w14:textId="77777777" w:rsidR="00E1481E" w:rsidRDefault="00E1481E" w:rsidP="00E1481E">
      <w:pPr>
        <w:spacing w:line="360" w:lineRule="auto"/>
        <w:jc w:val="center"/>
        <w:rPr>
          <w:rFonts w:ascii="Arial" w:eastAsia="Arial" w:hAnsi="Arial" w:cs="Arial"/>
          <w:kern w:val="0"/>
          <w:sz w:val="28"/>
          <w:szCs w:val="28"/>
          <w14:ligatures w14:val="none"/>
        </w:rPr>
      </w:pPr>
    </w:p>
    <w:p w14:paraId="0E05B8A0" w14:textId="77777777" w:rsidR="00E1481E" w:rsidRDefault="00E1481E" w:rsidP="00E1481E">
      <w:pPr>
        <w:spacing w:line="360" w:lineRule="auto"/>
        <w:jc w:val="center"/>
        <w:rPr>
          <w:rFonts w:ascii="Arial" w:eastAsia="Arial" w:hAnsi="Arial" w:cs="Arial"/>
          <w:kern w:val="0"/>
          <w:sz w:val="28"/>
          <w:szCs w:val="28"/>
          <w14:ligatures w14:val="none"/>
        </w:rPr>
      </w:pPr>
    </w:p>
    <w:p w14:paraId="1B466DA5" w14:textId="55E1B8C6" w:rsidR="00E1481E" w:rsidRPr="008F740A" w:rsidRDefault="00E1481E" w:rsidP="00E1481E">
      <w:pPr>
        <w:spacing w:line="360" w:lineRule="auto"/>
        <w:jc w:val="center"/>
        <w:rPr>
          <w:rFonts w:ascii="Arial" w:eastAsia="Arial" w:hAnsi="Arial" w:cs="Arial"/>
          <w:kern w:val="0"/>
          <w:sz w:val="28"/>
          <w:szCs w:val="28"/>
          <w14:ligatures w14:val="none"/>
        </w:rPr>
      </w:pPr>
      <w:r w:rsidRPr="008F740A">
        <w:rPr>
          <w:rFonts w:ascii="Arial" w:eastAsia="Arial" w:hAnsi="Arial" w:cs="Arial"/>
          <w:kern w:val="0"/>
          <w:sz w:val="28"/>
          <w:szCs w:val="28"/>
          <w14:ligatures w14:val="none"/>
        </w:rPr>
        <w:lastRenderedPageBreak/>
        <w:t xml:space="preserve">Table of contents </w:t>
      </w:r>
    </w:p>
    <w:p w14:paraId="24B6DCE1" w14:textId="77777777" w:rsidR="00E1481E" w:rsidRDefault="00E1481E" w:rsidP="00E1481E">
      <w:pPr>
        <w:spacing w:line="360" w:lineRule="auto"/>
        <w:jc w:val="center"/>
        <w:rPr>
          <w:rFonts w:ascii="Arial" w:eastAsia="Arial" w:hAnsi="Arial" w:cs="Arial"/>
          <w:kern w:val="0"/>
          <w:sz w:val="28"/>
          <w:szCs w:val="28"/>
          <w14:ligatures w14:val="none"/>
        </w:rPr>
      </w:pPr>
    </w:p>
    <w:sdt>
      <w:sdtPr>
        <w:id w:val="-50543792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6539F36" w14:textId="1F119D3A" w:rsidR="008F740A" w:rsidRDefault="008F740A">
          <w:pPr>
            <w:pStyle w:val="TOCHeading"/>
          </w:pPr>
        </w:p>
        <w:p w14:paraId="08DDD168" w14:textId="52961022" w:rsidR="008F740A" w:rsidRDefault="008F740A">
          <w:pPr>
            <w:pStyle w:val="TOC2"/>
            <w:tabs>
              <w:tab w:val="right" w:leader="dot" w:pos="9016"/>
            </w:tabs>
            <w:rPr>
              <w:noProof/>
            </w:rPr>
          </w:pPr>
          <w:r>
            <w:fldChar w:fldCharType="begin"/>
          </w:r>
          <w:r>
            <w:instrText xml:space="preserve"> TOC \o "1-3" \h \z \u </w:instrText>
          </w:r>
          <w:r>
            <w:fldChar w:fldCharType="separate"/>
          </w:r>
          <w:hyperlink w:anchor="_Toc235394019" w:history="1">
            <w:r w:rsidRPr="005A56D3">
              <w:rPr>
                <w:rStyle w:val="Hyperlink"/>
                <w:rFonts w:eastAsia="Arial"/>
                <w:noProof/>
              </w:rPr>
              <w:t>Introduction</w:t>
            </w:r>
            <w:r>
              <w:rPr>
                <w:noProof/>
                <w:webHidden/>
              </w:rPr>
              <w:tab/>
            </w:r>
            <w:r>
              <w:rPr>
                <w:noProof/>
                <w:webHidden/>
              </w:rPr>
              <w:fldChar w:fldCharType="begin"/>
            </w:r>
            <w:r>
              <w:rPr>
                <w:noProof/>
                <w:webHidden/>
              </w:rPr>
              <w:instrText xml:space="preserve"> PAGEREF _Toc235394019 \h </w:instrText>
            </w:r>
            <w:r>
              <w:rPr>
                <w:noProof/>
                <w:webHidden/>
              </w:rPr>
            </w:r>
            <w:r>
              <w:rPr>
                <w:noProof/>
                <w:webHidden/>
              </w:rPr>
              <w:fldChar w:fldCharType="separate"/>
            </w:r>
            <w:r>
              <w:rPr>
                <w:noProof/>
                <w:webHidden/>
              </w:rPr>
              <w:t>3</w:t>
            </w:r>
            <w:r>
              <w:rPr>
                <w:noProof/>
                <w:webHidden/>
              </w:rPr>
              <w:fldChar w:fldCharType="end"/>
            </w:r>
          </w:hyperlink>
        </w:p>
        <w:p w14:paraId="40B74339" w14:textId="2EDF442D" w:rsidR="008F740A" w:rsidRDefault="008F740A">
          <w:pPr>
            <w:pStyle w:val="TOC2"/>
            <w:tabs>
              <w:tab w:val="right" w:leader="dot" w:pos="9016"/>
            </w:tabs>
            <w:rPr>
              <w:noProof/>
            </w:rPr>
          </w:pPr>
          <w:hyperlink w:anchor="_Toc235394020" w:history="1">
            <w:r w:rsidRPr="005A56D3">
              <w:rPr>
                <w:rStyle w:val="Hyperlink"/>
                <w:noProof/>
              </w:rPr>
              <w:t>Introduction to Jaguar Land Rover and the Organisation's Recent History</w:t>
            </w:r>
            <w:r>
              <w:rPr>
                <w:noProof/>
                <w:webHidden/>
              </w:rPr>
              <w:tab/>
            </w:r>
            <w:r>
              <w:rPr>
                <w:noProof/>
                <w:webHidden/>
              </w:rPr>
              <w:fldChar w:fldCharType="begin"/>
            </w:r>
            <w:r>
              <w:rPr>
                <w:noProof/>
                <w:webHidden/>
              </w:rPr>
              <w:instrText xml:space="preserve"> PAGEREF _Toc235394020 \h </w:instrText>
            </w:r>
            <w:r>
              <w:rPr>
                <w:noProof/>
                <w:webHidden/>
              </w:rPr>
            </w:r>
            <w:r>
              <w:rPr>
                <w:noProof/>
                <w:webHidden/>
              </w:rPr>
              <w:fldChar w:fldCharType="separate"/>
            </w:r>
            <w:r>
              <w:rPr>
                <w:noProof/>
                <w:webHidden/>
              </w:rPr>
              <w:t>4</w:t>
            </w:r>
            <w:r>
              <w:rPr>
                <w:noProof/>
                <w:webHidden/>
              </w:rPr>
              <w:fldChar w:fldCharType="end"/>
            </w:r>
          </w:hyperlink>
        </w:p>
        <w:p w14:paraId="519AA8C7" w14:textId="38371FA1" w:rsidR="008F740A" w:rsidRDefault="008F740A">
          <w:pPr>
            <w:pStyle w:val="TOC2"/>
            <w:tabs>
              <w:tab w:val="right" w:leader="dot" w:pos="9016"/>
            </w:tabs>
            <w:rPr>
              <w:noProof/>
            </w:rPr>
          </w:pPr>
          <w:hyperlink w:anchor="_Toc235394021" w:history="1">
            <w:r w:rsidRPr="005A56D3">
              <w:rPr>
                <w:rStyle w:val="Hyperlink"/>
                <w:rFonts w:eastAsia="Arial"/>
                <w:noProof/>
              </w:rPr>
              <w:t>Analysis of the Internal and External Business Environment</w:t>
            </w:r>
            <w:r>
              <w:rPr>
                <w:noProof/>
                <w:webHidden/>
              </w:rPr>
              <w:tab/>
            </w:r>
            <w:r>
              <w:rPr>
                <w:noProof/>
                <w:webHidden/>
              </w:rPr>
              <w:fldChar w:fldCharType="begin"/>
            </w:r>
            <w:r>
              <w:rPr>
                <w:noProof/>
                <w:webHidden/>
              </w:rPr>
              <w:instrText xml:space="preserve"> PAGEREF _Toc235394021 \h </w:instrText>
            </w:r>
            <w:r>
              <w:rPr>
                <w:noProof/>
                <w:webHidden/>
              </w:rPr>
            </w:r>
            <w:r>
              <w:rPr>
                <w:noProof/>
                <w:webHidden/>
              </w:rPr>
              <w:fldChar w:fldCharType="separate"/>
            </w:r>
            <w:r>
              <w:rPr>
                <w:noProof/>
                <w:webHidden/>
              </w:rPr>
              <w:t>5</w:t>
            </w:r>
            <w:r>
              <w:rPr>
                <w:noProof/>
                <w:webHidden/>
              </w:rPr>
              <w:fldChar w:fldCharType="end"/>
            </w:r>
          </w:hyperlink>
        </w:p>
        <w:p w14:paraId="3549ABF7" w14:textId="6775F7B9" w:rsidR="008F740A" w:rsidRDefault="008F740A">
          <w:pPr>
            <w:pStyle w:val="TOC2"/>
            <w:tabs>
              <w:tab w:val="right" w:leader="dot" w:pos="9016"/>
            </w:tabs>
            <w:rPr>
              <w:noProof/>
            </w:rPr>
          </w:pPr>
          <w:hyperlink w:anchor="_Toc235394022" w:history="1">
            <w:r w:rsidRPr="005A56D3">
              <w:rPr>
                <w:rStyle w:val="Hyperlink"/>
                <w:rFonts w:eastAsia="Arial"/>
                <w:noProof/>
              </w:rPr>
              <w:t>Evaluation of Change Management, Leadership and Organisational Culture</w:t>
            </w:r>
            <w:r>
              <w:rPr>
                <w:noProof/>
                <w:webHidden/>
              </w:rPr>
              <w:tab/>
            </w:r>
            <w:r>
              <w:rPr>
                <w:noProof/>
                <w:webHidden/>
              </w:rPr>
              <w:fldChar w:fldCharType="begin"/>
            </w:r>
            <w:r>
              <w:rPr>
                <w:noProof/>
                <w:webHidden/>
              </w:rPr>
              <w:instrText xml:space="preserve"> PAGEREF _Toc235394022 \h </w:instrText>
            </w:r>
            <w:r>
              <w:rPr>
                <w:noProof/>
                <w:webHidden/>
              </w:rPr>
            </w:r>
            <w:r>
              <w:rPr>
                <w:noProof/>
                <w:webHidden/>
              </w:rPr>
              <w:fldChar w:fldCharType="separate"/>
            </w:r>
            <w:r>
              <w:rPr>
                <w:noProof/>
                <w:webHidden/>
              </w:rPr>
              <w:t>7</w:t>
            </w:r>
            <w:r>
              <w:rPr>
                <w:noProof/>
                <w:webHidden/>
              </w:rPr>
              <w:fldChar w:fldCharType="end"/>
            </w:r>
          </w:hyperlink>
        </w:p>
        <w:p w14:paraId="6656FC1E" w14:textId="2057B1D2" w:rsidR="008F740A" w:rsidRDefault="008F740A">
          <w:pPr>
            <w:pStyle w:val="TOC2"/>
            <w:tabs>
              <w:tab w:val="right" w:leader="dot" w:pos="9016"/>
            </w:tabs>
            <w:rPr>
              <w:noProof/>
            </w:rPr>
          </w:pPr>
          <w:hyperlink w:anchor="_Toc235394023" w:history="1">
            <w:r w:rsidRPr="005A56D3">
              <w:rPr>
                <w:rStyle w:val="Hyperlink"/>
                <w:noProof/>
              </w:rPr>
              <w:t>Proposed strategic change management plan</w:t>
            </w:r>
            <w:r>
              <w:rPr>
                <w:noProof/>
                <w:webHidden/>
              </w:rPr>
              <w:tab/>
            </w:r>
            <w:r>
              <w:rPr>
                <w:noProof/>
                <w:webHidden/>
              </w:rPr>
              <w:fldChar w:fldCharType="begin"/>
            </w:r>
            <w:r>
              <w:rPr>
                <w:noProof/>
                <w:webHidden/>
              </w:rPr>
              <w:instrText xml:space="preserve"> PAGEREF _Toc235394023 \h </w:instrText>
            </w:r>
            <w:r>
              <w:rPr>
                <w:noProof/>
                <w:webHidden/>
              </w:rPr>
            </w:r>
            <w:r>
              <w:rPr>
                <w:noProof/>
                <w:webHidden/>
              </w:rPr>
              <w:fldChar w:fldCharType="separate"/>
            </w:r>
            <w:r>
              <w:rPr>
                <w:noProof/>
                <w:webHidden/>
              </w:rPr>
              <w:t>9</w:t>
            </w:r>
            <w:r>
              <w:rPr>
                <w:noProof/>
                <w:webHidden/>
              </w:rPr>
              <w:fldChar w:fldCharType="end"/>
            </w:r>
          </w:hyperlink>
        </w:p>
        <w:p w14:paraId="3212FF7D" w14:textId="3A0D89A7" w:rsidR="008F740A" w:rsidRDefault="008F740A">
          <w:pPr>
            <w:pStyle w:val="TOC2"/>
            <w:tabs>
              <w:tab w:val="right" w:leader="dot" w:pos="9016"/>
            </w:tabs>
            <w:rPr>
              <w:noProof/>
            </w:rPr>
          </w:pPr>
          <w:hyperlink w:anchor="_Toc235394024" w:history="1">
            <w:r w:rsidRPr="005A56D3">
              <w:rPr>
                <w:rStyle w:val="Hyperlink"/>
                <w:noProof/>
              </w:rPr>
              <w:t>Proposed strategic change plan</w:t>
            </w:r>
            <w:r>
              <w:rPr>
                <w:noProof/>
                <w:webHidden/>
              </w:rPr>
              <w:tab/>
            </w:r>
            <w:r>
              <w:rPr>
                <w:noProof/>
                <w:webHidden/>
              </w:rPr>
              <w:fldChar w:fldCharType="begin"/>
            </w:r>
            <w:r>
              <w:rPr>
                <w:noProof/>
                <w:webHidden/>
              </w:rPr>
              <w:instrText xml:space="preserve"> PAGEREF _Toc235394024 \h </w:instrText>
            </w:r>
            <w:r>
              <w:rPr>
                <w:noProof/>
                <w:webHidden/>
              </w:rPr>
            </w:r>
            <w:r>
              <w:rPr>
                <w:noProof/>
                <w:webHidden/>
              </w:rPr>
              <w:fldChar w:fldCharType="separate"/>
            </w:r>
            <w:r>
              <w:rPr>
                <w:noProof/>
                <w:webHidden/>
              </w:rPr>
              <w:t>13</w:t>
            </w:r>
            <w:r>
              <w:rPr>
                <w:noProof/>
                <w:webHidden/>
              </w:rPr>
              <w:fldChar w:fldCharType="end"/>
            </w:r>
          </w:hyperlink>
        </w:p>
        <w:p w14:paraId="1DE02A2A" w14:textId="5ECBD636" w:rsidR="008F740A" w:rsidRDefault="008F740A">
          <w:pPr>
            <w:pStyle w:val="TOC2"/>
            <w:tabs>
              <w:tab w:val="right" w:leader="dot" w:pos="9016"/>
            </w:tabs>
            <w:rPr>
              <w:noProof/>
            </w:rPr>
          </w:pPr>
          <w:hyperlink w:anchor="_Toc235394025" w:history="1">
            <w:r w:rsidRPr="005A56D3">
              <w:rPr>
                <w:rStyle w:val="Hyperlink"/>
                <w:noProof/>
              </w:rPr>
              <w:t>Conclusion</w:t>
            </w:r>
            <w:r>
              <w:rPr>
                <w:noProof/>
                <w:webHidden/>
              </w:rPr>
              <w:tab/>
            </w:r>
            <w:r>
              <w:rPr>
                <w:noProof/>
                <w:webHidden/>
              </w:rPr>
              <w:fldChar w:fldCharType="begin"/>
            </w:r>
            <w:r>
              <w:rPr>
                <w:noProof/>
                <w:webHidden/>
              </w:rPr>
              <w:instrText xml:space="preserve"> PAGEREF _Toc235394025 \h </w:instrText>
            </w:r>
            <w:r>
              <w:rPr>
                <w:noProof/>
                <w:webHidden/>
              </w:rPr>
            </w:r>
            <w:r>
              <w:rPr>
                <w:noProof/>
                <w:webHidden/>
              </w:rPr>
              <w:fldChar w:fldCharType="separate"/>
            </w:r>
            <w:r>
              <w:rPr>
                <w:noProof/>
                <w:webHidden/>
              </w:rPr>
              <w:t>14</w:t>
            </w:r>
            <w:r>
              <w:rPr>
                <w:noProof/>
                <w:webHidden/>
              </w:rPr>
              <w:fldChar w:fldCharType="end"/>
            </w:r>
          </w:hyperlink>
        </w:p>
        <w:p w14:paraId="3BBE593C" w14:textId="23972105" w:rsidR="008F740A" w:rsidRDefault="008F740A">
          <w:pPr>
            <w:pStyle w:val="TOC2"/>
            <w:tabs>
              <w:tab w:val="right" w:leader="dot" w:pos="9016"/>
            </w:tabs>
            <w:rPr>
              <w:noProof/>
            </w:rPr>
          </w:pPr>
          <w:hyperlink w:anchor="_Toc235394026" w:history="1">
            <w:r w:rsidRPr="005A56D3">
              <w:rPr>
                <w:rStyle w:val="Hyperlink"/>
                <w:noProof/>
              </w:rPr>
              <w:t>References</w:t>
            </w:r>
            <w:r>
              <w:rPr>
                <w:noProof/>
                <w:webHidden/>
              </w:rPr>
              <w:tab/>
            </w:r>
            <w:r>
              <w:rPr>
                <w:noProof/>
                <w:webHidden/>
              </w:rPr>
              <w:fldChar w:fldCharType="begin"/>
            </w:r>
            <w:r>
              <w:rPr>
                <w:noProof/>
                <w:webHidden/>
              </w:rPr>
              <w:instrText xml:space="preserve"> PAGEREF _Toc235394026 \h </w:instrText>
            </w:r>
            <w:r>
              <w:rPr>
                <w:noProof/>
                <w:webHidden/>
              </w:rPr>
            </w:r>
            <w:r>
              <w:rPr>
                <w:noProof/>
                <w:webHidden/>
              </w:rPr>
              <w:fldChar w:fldCharType="separate"/>
            </w:r>
            <w:r>
              <w:rPr>
                <w:noProof/>
                <w:webHidden/>
              </w:rPr>
              <w:t>15</w:t>
            </w:r>
            <w:r>
              <w:rPr>
                <w:noProof/>
                <w:webHidden/>
              </w:rPr>
              <w:fldChar w:fldCharType="end"/>
            </w:r>
          </w:hyperlink>
        </w:p>
        <w:p w14:paraId="210F942A" w14:textId="77DA9275" w:rsidR="008F740A" w:rsidRDefault="008F740A">
          <w:r>
            <w:rPr>
              <w:b/>
              <w:bCs/>
            </w:rPr>
            <w:fldChar w:fldCharType="end"/>
          </w:r>
        </w:p>
      </w:sdtContent>
    </w:sdt>
    <w:p w14:paraId="57F21DB8" w14:textId="77777777" w:rsidR="00E1481E" w:rsidRDefault="00E1481E" w:rsidP="00E1481E">
      <w:pPr>
        <w:spacing w:line="360" w:lineRule="auto"/>
        <w:jc w:val="center"/>
        <w:rPr>
          <w:rFonts w:ascii="Arial" w:eastAsia="Arial" w:hAnsi="Arial" w:cs="Arial"/>
          <w:kern w:val="0"/>
          <w:sz w:val="28"/>
          <w:szCs w:val="28"/>
          <w14:ligatures w14:val="none"/>
        </w:rPr>
      </w:pPr>
    </w:p>
    <w:p w14:paraId="69CA3BF3" w14:textId="77777777" w:rsidR="00E1481E" w:rsidRDefault="00E1481E" w:rsidP="00E1481E">
      <w:pPr>
        <w:spacing w:line="360" w:lineRule="auto"/>
        <w:jc w:val="center"/>
        <w:rPr>
          <w:rFonts w:ascii="Arial" w:eastAsia="Arial" w:hAnsi="Arial" w:cs="Arial"/>
          <w:kern w:val="0"/>
          <w:sz w:val="28"/>
          <w:szCs w:val="28"/>
          <w14:ligatures w14:val="none"/>
        </w:rPr>
      </w:pPr>
    </w:p>
    <w:p w14:paraId="31013991" w14:textId="77777777" w:rsidR="00E1481E" w:rsidRDefault="00E1481E" w:rsidP="00E1481E">
      <w:pPr>
        <w:spacing w:line="360" w:lineRule="auto"/>
        <w:jc w:val="center"/>
        <w:rPr>
          <w:rFonts w:ascii="Arial" w:eastAsia="Arial" w:hAnsi="Arial" w:cs="Arial"/>
          <w:kern w:val="0"/>
          <w:sz w:val="28"/>
          <w:szCs w:val="28"/>
          <w14:ligatures w14:val="none"/>
        </w:rPr>
      </w:pPr>
    </w:p>
    <w:p w14:paraId="0114DA3B" w14:textId="77777777" w:rsidR="00E1481E" w:rsidRDefault="00E1481E" w:rsidP="00E1481E">
      <w:pPr>
        <w:spacing w:line="360" w:lineRule="auto"/>
        <w:jc w:val="center"/>
        <w:rPr>
          <w:rFonts w:ascii="Arial" w:eastAsia="Arial" w:hAnsi="Arial" w:cs="Arial"/>
          <w:kern w:val="0"/>
          <w:sz w:val="28"/>
          <w:szCs w:val="28"/>
          <w14:ligatures w14:val="none"/>
        </w:rPr>
      </w:pPr>
    </w:p>
    <w:p w14:paraId="0ABE7214" w14:textId="77777777" w:rsidR="00E1481E" w:rsidRDefault="00E1481E" w:rsidP="00E1481E">
      <w:pPr>
        <w:spacing w:line="360" w:lineRule="auto"/>
        <w:jc w:val="center"/>
        <w:rPr>
          <w:rFonts w:ascii="Arial" w:eastAsia="Arial" w:hAnsi="Arial" w:cs="Arial"/>
          <w:kern w:val="0"/>
          <w:sz w:val="28"/>
          <w:szCs w:val="28"/>
          <w14:ligatures w14:val="none"/>
        </w:rPr>
      </w:pPr>
    </w:p>
    <w:p w14:paraId="5AE5132D" w14:textId="77777777" w:rsidR="00E1481E" w:rsidRDefault="00E1481E" w:rsidP="00E1481E">
      <w:pPr>
        <w:spacing w:line="360" w:lineRule="auto"/>
        <w:jc w:val="center"/>
        <w:rPr>
          <w:rFonts w:ascii="Arial" w:eastAsia="Arial" w:hAnsi="Arial" w:cs="Arial"/>
          <w:kern w:val="0"/>
          <w:sz w:val="28"/>
          <w:szCs w:val="28"/>
          <w14:ligatures w14:val="none"/>
        </w:rPr>
      </w:pPr>
    </w:p>
    <w:p w14:paraId="02CD8FD0" w14:textId="77777777" w:rsidR="00E1481E" w:rsidRDefault="00E1481E" w:rsidP="00E1481E">
      <w:pPr>
        <w:spacing w:line="360" w:lineRule="auto"/>
        <w:jc w:val="center"/>
        <w:rPr>
          <w:rFonts w:ascii="Arial" w:eastAsia="Arial" w:hAnsi="Arial" w:cs="Arial"/>
          <w:kern w:val="0"/>
          <w:sz w:val="28"/>
          <w:szCs w:val="28"/>
          <w14:ligatures w14:val="none"/>
        </w:rPr>
      </w:pPr>
    </w:p>
    <w:p w14:paraId="2452B856" w14:textId="77777777" w:rsidR="00E1481E" w:rsidRDefault="00E1481E" w:rsidP="00E1481E">
      <w:pPr>
        <w:spacing w:line="360" w:lineRule="auto"/>
        <w:jc w:val="center"/>
        <w:rPr>
          <w:rFonts w:ascii="Arial" w:eastAsia="Arial" w:hAnsi="Arial" w:cs="Arial"/>
          <w:kern w:val="0"/>
          <w:sz w:val="28"/>
          <w:szCs w:val="28"/>
          <w14:ligatures w14:val="none"/>
        </w:rPr>
      </w:pPr>
    </w:p>
    <w:p w14:paraId="1F2ED2C2" w14:textId="77777777" w:rsidR="00E1481E" w:rsidRDefault="00E1481E" w:rsidP="00E1481E">
      <w:pPr>
        <w:spacing w:line="360" w:lineRule="auto"/>
        <w:jc w:val="center"/>
        <w:rPr>
          <w:rFonts w:ascii="Arial" w:eastAsia="Arial" w:hAnsi="Arial" w:cs="Arial"/>
          <w:kern w:val="0"/>
          <w:sz w:val="28"/>
          <w:szCs w:val="28"/>
          <w14:ligatures w14:val="none"/>
        </w:rPr>
      </w:pPr>
    </w:p>
    <w:p w14:paraId="6A87F15C" w14:textId="77777777" w:rsidR="00E1481E" w:rsidRDefault="00E1481E" w:rsidP="00E1481E">
      <w:pPr>
        <w:spacing w:line="360" w:lineRule="auto"/>
        <w:jc w:val="center"/>
        <w:rPr>
          <w:rFonts w:ascii="Arial" w:eastAsia="Arial" w:hAnsi="Arial" w:cs="Arial"/>
          <w:kern w:val="0"/>
          <w:sz w:val="28"/>
          <w:szCs w:val="28"/>
          <w14:ligatures w14:val="none"/>
        </w:rPr>
      </w:pPr>
    </w:p>
    <w:p w14:paraId="395743BC" w14:textId="77777777" w:rsidR="00E1481E" w:rsidRDefault="00E1481E" w:rsidP="00E1481E">
      <w:pPr>
        <w:spacing w:line="360" w:lineRule="auto"/>
        <w:jc w:val="center"/>
        <w:rPr>
          <w:rFonts w:ascii="Arial" w:eastAsia="Arial" w:hAnsi="Arial" w:cs="Arial"/>
          <w:kern w:val="0"/>
          <w:sz w:val="28"/>
          <w:szCs w:val="28"/>
          <w14:ligatures w14:val="none"/>
        </w:rPr>
      </w:pPr>
    </w:p>
    <w:p w14:paraId="7F8451A0" w14:textId="77777777" w:rsidR="00E1481E" w:rsidRDefault="00E1481E" w:rsidP="00E1481E">
      <w:pPr>
        <w:spacing w:line="360" w:lineRule="auto"/>
        <w:jc w:val="center"/>
        <w:rPr>
          <w:rFonts w:ascii="Arial" w:eastAsia="Arial" w:hAnsi="Arial" w:cs="Arial"/>
          <w:kern w:val="0"/>
          <w:sz w:val="28"/>
          <w:szCs w:val="28"/>
          <w14:ligatures w14:val="none"/>
        </w:rPr>
      </w:pPr>
    </w:p>
    <w:p w14:paraId="2FB43187" w14:textId="77777777" w:rsidR="00E1481E" w:rsidRDefault="00E1481E" w:rsidP="00E1481E">
      <w:pPr>
        <w:spacing w:line="360" w:lineRule="auto"/>
        <w:jc w:val="center"/>
        <w:rPr>
          <w:rFonts w:ascii="Arial" w:eastAsia="Arial" w:hAnsi="Arial" w:cs="Arial"/>
          <w:kern w:val="0"/>
          <w:sz w:val="28"/>
          <w:szCs w:val="28"/>
          <w14:ligatures w14:val="none"/>
        </w:rPr>
      </w:pPr>
    </w:p>
    <w:p w14:paraId="66D5FAAF" w14:textId="77777777" w:rsidR="00E1481E" w:rsidRDefault="00E1481E" w:rsidP="00E1481E">
      <w:pPr>
        <w:spacing w:line="360" w:lineRule="auto"/>
        <w:jc w:val="center"/>
        <w:rPr>
          <w:rFonts w:ascii="Arial" w:eastAsia="Arial" w:hAnsi="Arial" w:cs="Arial"/>
          <w:kern w:val="0"/>
          <w:sz w:val="28"/>
          <w:szCs w:val="28"/>
          <w14:ligatures w14:val="none"/>
        </w:rPr>
      </w:pPr>
    </w:p>
    <w:p w14:paraId="0368FD09" w14:textId="77777777" w:rsidR="00E1481E" w:rsidRDefault="00E1481E" w:rsidP="00E1481E">
      <w:pPr>
        <w:spacing w:line="360" w:lineRule="auto"/>
        <w:jc w:val="center"/>
        <w:rPr>
          <w:rFonts w:ascii="Arial" w:eastAsia="Arial" w:hAnsi="Arial" w:cs="Arial"/>
          <w:kern w:val="0"/>
          <w:sz w:val="28"/>
          <w:szCs w:val="28"/>
          <w14:ligatures w14:val="none"/>
        </w:rPr>
      </w:pPr>
    </w:p>
    <w:p w14:paraId="79884371" w14:textId="77777777" w:rsidR="00E1481E" w:rsidRDefault="00E1481E" w:rsidP="00E1481E">
      <w:pPr>
        <w:spacing w:line="360" w:lineRule="auto"/>
        <w:jc w:val="center"/>
        <w:rPr>
          <w:rFonts w:ascii="Arial" w:eastAsia="Arial" w:hAnsi="Arial" w:cs="Arial"/>
          <w:kern w:val="0"/>
          <w:sz w:val="28"/>
          <w:szCs w:val="28"/>
          <w14:ligatures w14:val="none"/>
        </w:rPr>
      </w:pPr>
    </w:p>
    <w:p w14:paraId="68098730" w14:textId="77777777" w:rsidR="00E1481E" w:rsidRDefault="00E1481E" w:rsidP="00E1481E">
      <w:pPr>
        <w:spacing w:line="360" w:lineRule="auto"/>
        <w:jc w:val="center"/>
        <w:rPr>
          <w:rFonts w:ascii="Arial" w:eastAsia="Arial" w:hAnsi="Arial" w:cs="Arial"/>
          <w:kern w:val="0"/>
          <w:sz w:val="28"/>
          <w:szCs w:val="28"/>
          <w14:ligatures w14:val="none"/>
        </w:rPr>
      </w:pPr>
    </w:p>
    <w:p w14:paraId="5E15DD38" w14:textId="77777777" w:rsidR="00E1481E" w:rsidRDefault="00E1481E" w:rsidP="00E1481E">
      <w:pPr>
        <w:spacing w:line="360" w:lineRule="auto"/>
        <w:jc w:val="center"/>
        <w:rPr>
          <w:rFonts w:ascii="Arial" w:eastAsia="Arial" w:hAnsi="Arial" w:cs="Arial"/>
          <w:kern w:val="0"/>
          <w:sz w:val="28"/>
          <w:szCs w:val="28"/>
          <w14:ligatures w14:val="none"/>
        </w:rPr>
      </w:pPr>
    </w:p>
    <w:p w14:paraId="024405DE" w14:textId="77777777" w:rsidR="00E1481E" w:rsidRDefault="00E1481E" w:rsidP="00E1481E">
      <w:pPr>
        <w:spacing w:line="360" w:lineRule="auto"/>
        <w:jc w:val="center"/>
        <w:rPr>
          <w:rFonts w:ascii="Arial" w:eastAsia="Arial" w:hAnsi="Arial" w:cs="Arial"/>
          <w:kern w:val="0"/>
          <w:sz w:val="28"/>
          <w:szCs w:val="28"/>
          <w14:ligatures w14:val="none"/>
        </w:rPr>
      </w:pPr>
    </w:p>
    <w:p w14:paraId="06C7ACA6" w14:textId="77777777" w:rsidR="00E1481E" w:rsidRDefault="00E1481E" w:rsidP="00E1481E">
      <w:pPr>
        <w:spacing w:line="360" w:lineRule="auto"/>
        <w:jc w:val="center"/>
        <w:rPr>
          <w:rFonts w:ascii="Arial" w:eastAsia="Arial" w:hAnsi="Arial" w:cs="Arial"/>
          <w:kern w:val="0"/>
          <w:sz w:val="28"/>
          <w:szCs w:val="28"/>
          <w14:ligatures w14:val="none"/>
        </w:rPr>
      </w:pPr>
    </w:p>
    <w:p w14:paraId="1D703552" w14:textId="77777777" w:rsidR="00E1481E" w:rsidRPr="00E1481E" w:rsidRDefault="00E1481E" w:rsidP="00E1481E">
      <w:pPr>
        <w:spacing w:line="360" w:lineRule="auto"/>
        <w:jc w:val="center"/>
        <w:rPr>
          <w:rFonts w:ascii="Arial" w:eastAsia="Arial" w:hAnsi="Arial" w:cs="Arial"/>
          <w:kern w:val="0"/>
          <w:sz w:val="28"/>
          <w:szCs w:val="28"/>
          <w14:ligatures w14:val="none"/>
        </w:rPr>
      </w:pPr>
    </w:p>
    <w:p w14:paraId="15B59527" w14:textId="7DD54C27" w:rsidR="00E1481E" w:rsidRPr="00E1481E" w:rsidRDefault="00E1481E" w:rsidP="00E1481E">
      <w:pPr>
        <w:pStyle w:val="Heading2"/>
        <w:jc w:val="center"/>
        <w:rPr>
          <w:rFonts w:eastAsia="Arial"/>
        </w:rPr>
      </w:pPr>
      <w:bookmarkStart w:id="0" w:name="_Toc235394019"/>
      <w:r w:rsidRPr="00E1481E">
        <w:rPr>
          <w:rFonts w:eastAsia="Arial"/>
        </w:rPr>
        <w:t>Introduction</w:t>
      </w:r>
      <w:bookmarkEnd w:id="0"/>
    </w:p>
    <w:p w14:paraId="37616935" w14:textId="2F0DE2C2"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 xml:space="preserve"> </w:t>
      </w:r>
    </w:p>
    <w:p w14:paraId="7C4F6A8E"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The global automotive industry is undergoing one of the most significant periods of transformation in its history. Rapid advances in digital technologies, artificial intelligence (AI), automation, electrification, and connected vehicle systems are reshaping how manufacturers design, produce, and market their products. At the same time, organisations are facing increasing pressure from changing customer expectations, stricter environmental legislation, global economic uncertainty, supply chain disruptions, and growing competition from new electric vehicle (EV) manufacturers. As a result, strategic change has become essential for organisations seeking to remain competitive and achieve sustainable long-term growth.</w:t>
      </w:r>
    </w:p>
    <w:p w14:paraId="0DB7B171"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This report focuses on Jaguar Land Rover (JLR), one of the United Kingdom's largest automotive manufacturers and a globally recognised producer of luxury vehicles. Founded through the merger of Jaguar Cars and Land Rover in 2008 and currently owned by Tata Motors, JLR operates in more than 120 countries and employs thousands of people worldwide. The organisation has built a strong reputation for engineering excellence, premium design, and technological innovation. However, like many traditional automotive manufacturers, JLR has experienced significant challenges in recent years, including declining profitability, semiconductor shortages, Brexit-related uncertainty, increasing environmental regulations, the transition towards electric vehicles, and intensified competition from digitally focused manufacturers such as Tesla and emerging Chinese automotive companies.</w:t>
      </w:r>
    </w:p>
    <w:p w14:paraId="5B1EE63C" w14:textId="62E6ECC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lastRenderedPageBreak/>
        <w:t xml:space="preserve">The purpose of this report is to critically analyse the strategic challenges faced by JLR and evaluate how changes in both the internal and external business environment have influenced the organisation's performance. </w:t>
      </w:r>
      <w:r w:rsidRPr="00E1481E">
        <w:rPr>
          <w:rFonts w:ascii="Arial" w:eastAsia="Arial" w:hAnsi="Arial" w:cs="Arial"/>
          <w:kern w:val="0"/>
          <w:sz w:val="22"/>
          <w:szCs w:val="22"/>
          <w14:ligatures w14:val="none"/>
        </w:rPr>
        <w:t>Attention</w:t>
      </w:r>
      <w:r w:rsidRPr="00E1481E">
        <w:rPr>
          <w:rFonts w:ascii="Arial" w:eastAsia="Arial" w:hAnsi="Arial" w:cs="Arial"/>
          <w:kern w:val="0"/>
          <w:sz w:val="22"/>
          <w:szCs w:val="22"/>
          <w14:ligatures w14:val="none"/>
        </w:rPr>
        <w:t xml:space="preserve"> will be given to the impact of digital disruption, digitalisation, automation, and artificial intelligence on the company's operations and strategic direction. The report will also evaluate relevant change management models, examine the role of leadership and organisational culture in supporting organisational change, and assess how previous strategic changes have been managed.</w:t>
      </w:r>
    </w:p>
    <w:p w14:paraId="4B736FC0"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Finally, the report will propose a strategic change management plan designed to strengthen JLR's competitive position within the rapidly evolving automotive industry. The proposed plan will include clear strategic objectives, financial considerations, communication strategies, implementation recommendations, and evaluation measures to ensure successful organisational transformation and long-term sustainability.</w:t>
      </w:r>
    </w:p>
    <w:p w14:paraId="28344AD1" w14:textId="77777777" w:rsidR="00E1481E" w:rsidRPr="00E1481E" w:rsidRDefault="00E1481E" w:rsidP="00E1481E">
      <w:pPr>
        <w:pStyle w:val="Heading2"/>
        <w:jc w:val="center"/>
        <w:rPr>
          <w:rStyle w:val="SubtleReference"/>
          <w:smallCaps w:val="0"/>
          <w:color w:val="0F4761" w:themeColor="accent1" w:themeShade="BF"/>
        </w:rPr>
      </w:pPr>
      <w:bookmarkStart w:id="1" w:name="_Toc235394020"/>
      <w:r w:rsidRPr="00E1481E">
        <w:rPr>
          <w:rStyle w:val="SubtleReference"/>
          <w:smallCaps w:val="0"/>
          <w:color w:val="0F4761" w:themeColor="accent1" w:themeShade="BF"/>
        </w:rPr>
        <w:t>Introduction to Jaguar Land Rover and the Organisation's Recent History</w:t>
      </w:r>
      <w:bookmarkEnd w:id="1"/>
    </w:p>
    <w:p w14:paraId="7927090B"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Jaguar Land Rover (JLR) is one of the United Kingdom's largest automotive manufacturers, specialising in the design, development, production, and sale of premium luxury vehicles. The company was established in 2008 following the acquisition of the Jaguar and Land Rover brands by Tata Motors, an Indian multinational automotive manufacturer. Headquartered in Coventry, England, JLR operates manufacturing facilities across the United Kingdom and maintains a global presence, exporting vehicles to more than 120 countries. The company's portfolio includes internationally recognised brands such as Range Rover, Defender, Discovery and Jaguar, all of which have developed strong reputations for quality, innovation and luxury.</w:t>
      </w:r>
    </w:p>
    <w:p w14:paraId="6992D205"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Historically, Jaguar Land Rover has been recognised as a leader within the premium automotive market through continuous investment in engineering excellence, advanced technology and product innovation. The organisation has invested heavily in research and development (R&amp;D), focusing on vehicle safety, sustainability, electrification and digital technologies. These investments have enabled JLR to compete with major luxury automotive manufacturers including BMW, Mercedes-Benz, Audi and Volvo while maintaining its distinctive British heritage and premium brand identity.</w:t>
      </w:r>
    </w:p>
    <w:p w14:paraId="6F78C386"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 xml:space="preserve">The organisation has also been significantly affected by a range of external economic and political events. The United Kingdom's withdrawal from the European Union (Brexit) created uncertainty regarding trade agreements, tariffs and supply chain management. Furthermore, the COVID-19 pandemic disrupted manufacturing operations, reduced vehicle production </w:t>
      </w:r>
      <w:r w:rsidRPr="00E1481E">
        <w:rPr>
          <w:rFonts w:ascii="Arial" w:eastAsia="Arial" w:hAnsi="Arial" w:cs="Arial"/>
          <w:kern w:val="0"/>
          <w:sz w:val="22"/>
          <w:szCs w:val="22"/>
          <w14:ligatures w14:val="none"/>
        </w:rPr>
        <w:lastRenderedPageBreak/>
        <w:t>and interrupted global logistics networks. Shortly afterwards, the worldwide semiconductor shortage severely restricted production capacity across the automotive industry, resulting in lower sales volumes and delayed customer deliveries. These factors collectively contributed to increased operational costs and fluctuations in profitability.</w:t>
      </w:r>
    </w:p>
    <w:p w14:paraId="05F97CA2"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Recognising these challenges, Jaguar Land Rover launched its Reimagine Strategy in 2021, representing one of the most significant strategic transformations in the company's history. The strategy focuses on repositioning JLR as a modern luxury automotive business while accelerating the transition towards electrification, digitalisation and sustainability. Under this strategy, the organisation has committed to substantial investment in electric vehicle technology, artificial intelligence, autonomous driving capabilities and software-defined vehicles. The company has also strengthened partnerships with technology firms to improve battery development, cloud computing, connected vehicle services and digital engineering capabilities.</w:t>
      </w:r>
    </w:p>
    <w:p w14:paraId="4F2F0DE5"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In recent years, JLR has increasingly incorporated artificial intelligence throughout its operations. AI technologies are being utilised within manufacturing facilities to improve production efficiency through predictive maintenance, automated quality inspections and supply chain optimisation. In addition, AI supports product development by enhancing vehicle safety systems, driver assistance technologies and personalised customer experiences through connected digital platforms. The integration of digital technologies has enabled JLR to improve operational performance while positioning the organisation to compete more effectively within an increasingly technology-driven automotive market.</w:t>
      </w:r>
    </w:p>
    <w:p w14:paraId="5B34E920" w14:textId="77777777" w:rsidR="00E1481E" w:rsidRPr="00E1481E" w:rsidRDefault="00E1481E" w:rsidP="00E1481E">
      <w:pPr>
        <w:spacing w:line="360" w:lineRule="auto"/>
        <w:jc w:val="center"/>
        <w:rPr>
          <w:rFonts w:ascii="Arial" w:eastAsia="Arial" w:hAnsi="Arial" w:cs="Arial"/>
          <w:kern w:val="0"/>
          <w:sz w:val="22"/>
          <w:szCs w:val="22"/>
          <w14:ligatures w14:val="none"/>
        </w:rPr>
      </w:pPr>
      <w:r w:rsidRPr="00E1481E">
        <w:rPr>
          <w:rFonts w:ascii="Arial" w:eastAsia="Arial" w:hAnsi="Arial" w:cs="Arial"/>
          <w:kern w:val="0"/>
          <w:sz w:val="22"/>
          <w:szCs w:val="22"/>
          <w14:ligatures w14:val="none"/>
        </w:rPr>
        <w:t>Nevertheless, despite these strategic developments, Jaguar Land Rover continues to operate within a highly competitive and volatile business environment. Rising raw material costs, geopolitical uncertainty, intense competition from established manufacturers and emerging electric vehicle companies, together with rapidly changing consumer expectations, continue to present significant strategic challenges. Maintaining competitiveness therefore requires continuous innovation, effective leadership and a structured approach to organisational change. These factors provide the foundation for analysing the internal and external business environment, evaluating previous change initiatives and developing an appropriate strategic change management plan in the following sections of this report.</w:t>
      </w:r>
    </w:p>
    <w:p w14:paraId="7EFA272D" w14:textId="77777777" w:rsidR="00E1481E" w:rsidRPr="001D2722" w:rsidRDefault="00E1481E" w:rsidP="00E1481E">
      <w:pPr>
        <w:spacing w:line="360" w:lineRule="auto"/>
        <w:jc w:val="center"/>
        <w:rPr>
          <w:rFonts w:ascii="Arial" w:eastAsia="Arial" w:hAnsi="Arial" w:cs="Arial"/>
          <w:kern w:val="0"/>
          <w:sz w:val="28"/>
          <w:szCs w:val="28"/>
          <w14:ligatures w14:val="none"/>
        </w:rPr>
      </w:pPr>
    </w:p>
    <w:p w14:paraId="24847964" w14:textId="77777777" w:rsidR="00696BA5" w:rsidRPr="00696BA5" w:rsidRDefault="00696BA5" w:rsidP="00696BA5">
      <w:pPr>
        <w:pStyle w:val="Heading2"/>
        <w:jc w:val="center"/>
        <w:rPr>
          <w:rFonts w:eastAsia="Arial"/>
        </w:rPr>
      </w:pPr>
      <w:bookmarkStart w:id="2" w:name="_Toc235394021"/>
      <w:r w:rsidRPr="00696BA5">
        <w:rPr>
          <w:rFonts w:eastAsia="Arial"/>
        </w:rPr>
        <w:t>Analysis of the Internal and External Business Environment</w:t>
      </w:r>
      <w:bookmarkEnd w:id="2"/>
    </w:p>
    <w:p w14:paraId="7F4BBC43" w14:textId="77777777" w:rsidR="00696BA5" w:rsidRDefault="00696BA5" w:rsidP="00696BA5">
      <w:pPr>
        <w:rPr>
          <w:rFonts w:ascii="Arial" w:eastAsia="Arial" w:hAnsi="Arial" w:cs="Arial"/>
          <w:kern w:val="0"/>
          <w:sz w:val="22"/>
          <w:szCs w:val="22"/>
          <w14:ligatures w14:val="none"/>
        </w:rPr>
      </w:pPr>
    </w:p>
    <w:p w14:paraId="0931B4D8" w14:textId="33FCAB7D"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lastRenderedPageBreak/>
        <w:t>Understanding the internal and external business environment is essential for identifying the strategic challenges facing Jaguar Land Rover (JLR). The automotive industry is experiencing rapid transformation driven by technological innovation, changing consumer preferences, economic uncertainty, and increasing environmental regulations. Strategic management tools such as PESTLE analysis, SWOT analysis and Porter's Five Forces provide a structured approach to evaluating these influences and identifying opportunities and threats affecting JLR's long-term competitiveness.</w:t>
      </w:r>
    </w:p>
    <w:p w14:paraId="52F368D5" w14:textId="0E00E161"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1 PESTLE Analysis</w:t>
      </w:r>
    </w:p>
    <w:p w14:paraId="5F098D37"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A PESTLE analysis examines the political, economic, social, technological, legal and environmental factors influencing organisational performance.</w:t>
      </w:r>
    </w:p>
    <w:p w14:paraId="11F2216B"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Economic Factors</w:t>
      </w:r>
    </w:p>
    <w:p w14:paraId="10F8D1DA"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Economic conditions continue to influence both consumer demand and organisational profitability. Rising inflation, increasing interest rates and fluctuations in disposable income have reduced purchasing power in many markets, affecting demand for premium luxury vehicles. In addition, increases in raw material prices, energy costs and labour expenses have placed pressure on manufacturing costs and profit margins.</w:t>
      </w:r>
    </w:p>
    <w:p w14:paraId="349752B7"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semiconductor shortage experienced after the COVID-19 pandemic also disrupted production schedules, resulting in lower vehicle output and longer customer waiting times. Exchange rate fluctuations further impact JLR because the company purchases components and sells vehicles across numerous international markets.</w:t>
      </w:r>
    </w:p>
    <w:p w14:paraId="3DF2DC98"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Legal Factors</w:t>
      </w:r>
    </w:p>
    <w:p w14:paraId="29057C5A"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automotive industry operates under extensive legal regulation relating to vehicle safety, emissions, cybersecurity, consumer protection and employee welfare. Governments continue introducing stricter environmental legislation requiring manufacturers to reduce fleet emissions and improve vehicle efficiency.</w:t>
      </w:r>
    </w:p>
    <w:p w14:paraId="528046F6"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Data protection legislation, including the UK General Data Protection Regulation (UK GDPR), also affects connected vehicles that collect and process customer information. Consequently, JLR must invest in cybersecurity, software security and compliance systems to protect customer data while maintaining legal compliance.</w:t>
      </w:r>
    </w:p>
    <w:p w14:paraId="1E2F2309"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Environmental Factors</w:t>
      </w:r>
    </w:p>
    <w:p w14:paraId="115FD7AE"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Environmental sustainability has become a major strategic priority across the automotive sector. Increasing concern regarding climate change has encouraged manufacturers to reduce carbon emissions throughout production and vehicle lifecycles.</w:t>
      </w:r>
    </w:p>
    <w:p w14:paraId="24E1E5A9"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JLR has committed to achieving net-zero carbon emissions across its supply chain, products and operations by 2039 through its sustainability strategy. The organisation is increasing the use of renewable energy, recycled materials and electric vehicle production while improving manufacturing efficiency. Although these initiatives require significant financial investment, they strengthen corporate reputation and support long-term sustainability.</w:t>
      </w:r>
    </w:p>
    <w:p w14:paraId="093447C2" w14:textId="03F36573"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2 SWOT Analysis</w:t>
      </w:r>
    </w:p>
    <w:p w14:paraId="35B19C44"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lastRenderedPageBreak/>
        <w:t>SWOT analysis evaluates the organisation's internal strengths and weaknesses alongside external opportunities and threats.</w:t>
      </w:r>
    </w:p>
    <w:p w14:paraId="79C4BEC8"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Strengths</w:t>
      </w:r>
    </w:p>
    <w:p w14:paraId="0BD7F5F2"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Jaguar Land Rover possesses several strategic strengths. The company benefits from globally recognised luxury brands, particularly Range Rover and Defender, which command strong customer loyalty and premium pricing. Significant investment in research and development enables continuous innovation in vehicle design, electrification and digital technologies. JLR also benefits from financial support provided by Tata Motors, allowing substantial long-term investment in transformation initiatives.</w:t>
      </w:r>
    </w:p>
    <w:p w14:paraId="7702FEFB"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Weaknesses</w:t>
      </w:r>
    </w:p>
    <w:p w14:paraId="48FCDA9E"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Despite these strengths, JLR faces several internal challenges. Manufacturing costs remain relatively high compared with some international competitors, reducing profitability. Historically, Jaguar has experienced inconsistent sales performance, while the organisation has faced criticism regarding product reliability. The company's transition towards fully electric vehicles has also progressed more slowly than some competitors, increasing competitive pressure.</w:t>
      </w:r>
    </w:p>
    <w:p w14:paraId="275BCDEB"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Opportunities</w:t>
      </w:r>
    </w:p>
    <w:p w14:paraId="07F78724"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global growth of the electric vehicle market presents substantial opportunities for JLR. Increasing consumer demand for sustainable luxury vehicles supports future expansion within premium EV segments. Artificial intelligence, autonomous driving technologies, connected services and software-defined vehicles also provide opportunities to generate new revenue streams beyond traditional vehicle sales.</w:t>
      </w:r>
    </w:p>
    <w:p w14:paraId="3E083098"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Expansion into emerging international markets and strategic partnerships with technology companies further strengthen opportunities for innovation and long-term growth.</w:t>
      </w:r>
    </w:p>
    <w:p w14:paraId="5B3CF9C1"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Threats</w:t>
      </w:r>
    </w:p>
    <w:p w14:paraId="4D464657"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external environment presents numerous threats. Competition has intensified as companies such as Tesla, BYD, BMW, Mercedes-Benz and Audi continue investing heavily in electrification and digital technologies. Supply chain disruptions, geopolitical instability, inflation and rising raw material costs continue to affect manufacturing operations.</w:t>
      </w:r>
    </w:p>
    <w:p w14:paraId="1C0560A8"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Rapid technological advancement also increases the risk that organisations unable to innovate quickly may lose market share. Furthermore, increasingly strict environmental regulations require continuous investment in research, development and compliance.</w:t>
      </w:r>
    </w:p>
    <w:p w14:paraId="1559D9D6" w14:textId="0AD149AC"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3 Porter's Five Forces Analysis</w:t>
      </w:r>
    </w:p>
    <w:p w14:paraId="3306A130"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Porter's Five Forces framework provides further insight into the competitive environment facing Jaguar Land Rover.</w:t>
      </w:r>
    </w:p>
    <w:p w14:paraId="20627BFE"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threat of new entrants remains moderate. While establishing a traditional automotive manufacturer requires substantial capital investment, newer electric vehicle manufacturers have demonstrated that innovative business models can successfully enter the market. Companies such as Tesla have fundamentally altered competitive dynamics by prioritising software, digital technologies and direct-to-consumer sales.</w:t>
      </w:r>
    </w:p>
    <w:p w14:paraId="6922266A" w14:textId="78C0244E" w:rsid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lastRenderedPageBreak/>
        <w:t>The bargaining power of suppliers is relatively high because specialist automotive components, batteries and semiconductor chips are sourced from a limited number of suppliers. Recent global shortages have highlighted JLR's dependence on these supply chains.</w:t>
      </w:r>
    </w:p>
    <w:p w14:paraId="585B1B72" w14:textId="77777777" w:rsidR="00696BA5" w:rsidRDefault="00696BA5" w:rsidP="00696BA5">
      <w:pPr>
        <w:rPr>
          <w:rFonts w:ascii="Arial" w:eastAsia="Arial" w:hAnsi="Arial" w:cs="Arial"/>
          <w:kern w:val="0"/>
          <w:sz w:val="22"/>
          <w:szCs w:val="22"/>
          <w14:ligatures w14:val="none"/>
        </w:rPr>
      </w:pPr>
    </w:p>
    <w:p w14:paraId="2FB94056" w14:textId="77777777" w:rsidR="00696BA5" w:rsidRDefault="00696BA5" w:rsidP="00696BA5">
      <w:pPr>
        <w:rPr>
          <w:rFonts w:ascii="Arial" w:eastAsia="Arial" w:hAnsi="Arial" w:cs="Arial"/>
          <w:kern w:val="0"/>
          <w:sz w:val="22"/>
          <w:szCs w:val="22"/>
          <w14:ligatures w14:val="none"/>
        </w:rPr>
      </w:pPr>
    </w:p>
    <w:p w14:paraId="1C24A191" w14:textId="77777777" w:rsidR="00696BA5" w:rsidRPr="00696BA5" w:rsidRDefault="00696BA5" w:rsidP="00696BA5">
      <w:pPr>
        <w:pStyle w:val="Heading2"/>
        <w:jc w:val="center"/>
        <w:rPr>
          <w:rFonts w:eastAsia="Arial"/>
        </w:rPr>
      </w:pPr>
      <w:bookmarkStart w:id="3" w:name="_Toc235394022"/>
      <w:r w:rsidRPr="00696BA5">
        <w:rPr>
          <w:rFonts w:eastAsia="Arial"/>
        </w:rPr>
        <w:t>Evaluation of Change Management, Leadership and Organisational Culture</w:t>
      </w:r>
      <w:bookmarkEnd w:id="3"/>
    </w:p>
    <w:p w14:paraId="4456FBEF"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rapid transformation of the automotive industry has required Jaguar Land Rover (JLR) to implement large-scale strategic change. Digitalisation, artificial intelligence (AI), electrification, sustainability targets and changing consumer expectations have fundamentally altered the competitive landscape. In response, JLR introduced its Reimagine Strategy in 2021, which represents a long-term transformation programme aimed at repositioning the organisation as a creator of modern luxury vehicles while accelerating its transition towards electric mobility and digital innovation. The strategy includes a £18 billion investment in electrification, software development, manufacturing transformation and sustainable technologies, while aiming to achieve carbon net zero across its operations, products and supply chain by 2039.</w:t>
      </w:r>
    </w:p>
    <w:p w14:paraId="580BEBDF" w14:textId="0A3181D4" w:rsidR="00696BA5" w:rsidRPr="00696BA5" w:rsidRDefault="00696BA5" w:rsidP="00696BA5">
      <w:pPr>
        <w:rPr>
          <w:rFonts w:ascii="Arial" w:eastAsia="Arial" w:hAnsi="Arial" w:cs="Arial"/>
          <w:b/>
          <w:bCs/>
          <w:kern w:val="0"/>
          <w:sz w:val="22"/>
          <w:szCs w:val="22"/>
          <w14:ligatures w14:val="none"/>
        </w:rPr>
      </w:pPr>
      <w:r w:rsidRPr="00696BA5">
        <w:rPr>
          <w:rFonts w:ascii="Arial" w:eastAsia="Arial" w:hAnsi="Arial" w:cs="Arial"/>
          <w:b/>
          <w:bCs/>
          <w:kern w:val="0"/>
          <w:sz w:val="22"/>
          <w:szCs w:val="22"/>
          <w14:ligatures w14:val="none"/>
        </w:rPr>
        <w:t xml:space="preserve"> </w:t>
      </w:r>
      <w:r w:rsidRPr="00696BA5">
        <w:rPr>
          <w:rFonts w:ascii="Arial" w:eastAsia="Arial" w:hAnsi="Arial" w:cs="Arial"/>
          <w:kern w:val="0"/>
          <w:sz w:val="22"/>
          <w:szCs w:val="22"/>
          <w14:ligatures w14:val="none"/>
        </w:rPr>
        <w:t xml:space="preserve">Evaluation of Kotter's </w:t>
      </w:r>
      <w:proofErr w:type="gramStart"/>
      <w:r>
        <w:rPr>
          <w:rFonts w:ascii="Arial" w:eastAsia="Arial" w:hAnsi="Arial" w:cs="Arial"/>
          <w:kern w:val="0"/>
          <w:sz w:val="22"/>
          <w:szCs w:val="22"/>
          <w14:ligatures w14:val="none"/>
        </w:rPr>
        <w:t>e</w:t>
      </w:r>
      <w:r w:rsidRPr="00696BA5">
        <w:rPr>
          <w:rFonts w:ascii="Arial" w:eastAsia="Arial" w:hAnsi="Arial" w:cs="Arial"/>
          <w:kern w:val="0"/>
          <w:sz w:val="22"/>
          <w:szCs w:val="22"/>
          <w14:ligatures w14:val="none"/>
        </w:rPr>
        <w:t>ight</w:t>
      </w:r>
      <w:proofErr w:type="gramEnd"/>
      <w:r w:rsidRPr="00696BA5">
        <w:rPr>
          <w:rFonts w:ascii="Arial" w:eastAsia="Arial" w:hAnsi="Arial" w:cs="Arial"/>
          <w:kern w:val="0"/>
          <w:sz w:val="22"/>
          <w:szCs w:val="22"/>
          <w14:ligatures w14:val="none"/>
        </w:rPr>
        <w:t xml:space="preserve">-Step </w:t>
      </w:r>
      <w:r>
        <w:rPr>
          <w:rFonts w:ascii="Arial" w:eastAsia="Arial" w:hAnsi="Arial" w:cs="Arial"/>
          <w:kern w:val="0"/>
          <w:sz w:val="22"/>
          <w:szCs w:val="22"/>
          <w14:ligatures w14:val="none"/>
        </w:rPr>
        <w:t>c</w:t>
      </w:r>
      <w:r w:rsidRPr="00696BA5">
        <w:rPr>
          <w:rFonts w:ascii="Arial" w:eastAsia="Arial" w:hAnsi="Arial" w:cs="Arial"/>
          <w:kern w:val="0"/>
          <w:sz w:val="22"/>
          <w:szCs w:val="22"/>
          <w14:ligatures w14:val="none"/>
        </w:rPr>
        <w:t xml:space="preserve">hange </w:t>
      </w:r>
      <w:r>
        <w:rPr>
          <w:rFonts w:ascii="Arial" w:eastAsia="Arial" w:hAnsi="Arial" w:cs="Arial"/>
          <w:kern w:val="0"/>
          <w:sz w:val="22"/>
          <w:szCs w:val="22"/>
          <w14:ligatures w14:val="none"/>
        </w:rPr>
        <w:t>m</w:t>
      </w:r>
      <w:r w:rsidRPr="00696BA5">
        <w:rPr>
          <w:rFonts w:ascii="Arial" w:eastAsia="Arial" w:hAnsi="Arial" w:cs="Arial"/>
          <w:kern w:val="0"/>
          <w:sz w:val="22"/>
          <w:szCs w:val="22"/>
          <w14:ligatures w14:val="none"/>
        </w:rPr>
        <w:t>odel</w:t>
      </w:r>
    </w:p>
    <w:p w14:paraId="5C64A101"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Kotter's (1996) Eight-Step Model provides an appropriate framework for evaluating how JLR has managed strategic change because it focuses on creating urgency, building commitment and embedding change into organisational culture.</w:t>
      </w:r>
    </w:p>
    <w:p w14:paraId="1B8178C9" w14:textId="6B989E24"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 xml:space="preserve">Establishing a </w:t>
      </w:r>
      <w:r>
        <w:rPr>
          <w:rFonts w:ascii="Arial" w:eastAsia="Arial" w:hAnsi="Arial" w:cs="Arial"/>
          <w:kern w:val="0"/>
          <w:sz w:val="22"/>
          <w:szCs w:val="22"/>
          <w14:ligatures w14:val="none"/>
        </w:rPr>
        <w:t>s</w:t>
      </w:r>
      <w:r w:rsidRPr="00696BA5">
        <w:rPr>
          <w:rFonts w:ascii="Arial" w:eastAsia="Arial" w:hAnsi="Arial" w:cs="Arial"/>
          <w:kern w:val="0"/>
          <w:sz w:val="22"/>
          <w:szCs w:val="22"/>
          <w14:ligatures w14:val="none"/>
        </w:rPr>
        <w:t xml:space="preserve">ense of </w:t>
      </w:r>
      <w:r>
        <w:rPr>
          <w:rFonts w:ascii="Arial" w:eastAsia="Arial" w:hAnsi="Arial" w:cs="Arial"/>
          <w:kern w:val="0"/>
          <w:sz w:val="22"/>
          <w:szCs w:val="22"/>
          <w14:ligatures w14:val="none"/>
        </w:rPr>
        <w:t>u</w:t>
      </w:r>
      <w:r w:rsidRPr="00696BA5">
        <w:rPr>
          <w:rFonts w:ascii="Arial" w:eastAsia="Arial" w:hAnsi="Arial" w:cs="Arial"/>
          <w:kern w:val="0"/>
          <w:sz w:val="22"/>
          <w:szCs w:val="22"/>
          <w14:ligatures w14:val="none"/>
        </w:rPr>
        <w:t>rgency</w:t>
      </w:r>
    </w:p>
    <w:p w14:paraId="51036D31"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 xml:space="preserve">Kotter argues that successful change begins when organisational leaders recognise the need for immediate action. JLR clearly demonstrated this urgency through the launch of the Reimagine Strategy following significant industry disruption. The company faced declining profitability, semiconductor shortages, stricter emissions legislation, rapid growth of electric vehicle competitors such as Tesla and </w:t>
      </w:r>
      <w:proofErr w:type="gramStart"/>
      <w:r w:rsidRPr="00696BA5">
        <w:rPr>
          <w:rFonts w:ascii="Arial" w:eastAsia="Arial" w:hAnsi="Arial" w:cs="Arial"/>
          <w:kern w:val="0"/>
          <w:sz w:val="22"/>
          <w:szCs w:val="22"/>
          <w14:ligatures w14:val="none"/>
        </w:rPr>
        <w:t>BYD, and</w:t>
      </w:r>
      <w:proofErr w:type="gramEnd"/>
      <w:r w:rsidRPr="00696BA5">
        <w:rPr>
          <w:rFonts w:ascii="Arial" w:eastAsia="Arial" w:hAnsi="Arial" w:cs="Arial"/>
          <w:kern w:val="0"/>
          <w:sz w:val="22"/>
          <w:szCs w:val="22"/>
          <w14:ligatures w14:val="none"/>
        </w:rPr>
        <w:t xml:space="preserve"> increasing customer demand for digital technologies. These external pressures highlighted that maintaining traditional business practices would threaten long-term competitiveness. JLR publicly acknowledged that the automotive industry was entering a period of fundamental transformation and positioned Reimagine as the organisation's response to these challenges.</w:t>
      </w:r>
    </w:p>
    <w:p w14:paraId="74AF2420" w14:textId="4E4B78BA"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 xml:space="preserve">Critical </w:t>
      </w:r>
      <w:r>
        <w:rPr>
          <w:rFonts w:ascii="Arial" w:eastAsia="Arial" w:hAnsi="Arial" w:cs="Arial"/>
          <w:kern w:val="0"/>
          <w:sz w:val="22"/>
          <w:szCs w:val="22"/>
          <w14:ligatures w14:val="none"/>
        </w:rPr>
        <w:t>e</w:t>
      </w:r>
      <w:r w:rsidRPr="00696BA5">
        <w:rPr>
          <w:rFonts w:ascii="Arial" w:eastAsia="Arial" w:hAnsi="Arial" w:cs="Arial"/>
          <w:kern w:val="0"/>
          <w:sz w:val="22"/>
          <w:szCs w:val="22"/>
          <w14:ligatures w14:val="none"/>
        </w:rPr>
        <w:t xml:space="preserve">valuation of Kotter's </w:t>
      </w:r>
      <w:r>
        <w:rPr>
          <w:rFonts w:ascii="Arial" w:eastAsia="Arial" w:hAnsi="Arial" w:cs="Arial"/>
          <w:kern w:val="0"/>
          <w:sz w:val="22"/>
          <w:szCs w:val="22"/>
          <w14:ligatures w14:val="none"/>
        </w:rPr>
        <w:t>m</w:t>
      </w:r>
      <w:r w:rsidRPr="00696BA5">
        <w:rPr>
          <w:rFonts w:ascii="Arial" w:eastAsia="Arial" w:hAnsi="Arial" w:cs="Arial"/>
          <w:kern w:val="0"/>
          <w:sz w:val="22"/>
          <w:szCs w:val="22"/>
          <w14:ligatures w14:val="none"/>
        </w:rPr>
        <w:t>odel</w:t>
      </w:r>
    </w:p>
    <w:p w14:paraId="7E09D509"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 xml:space="preserve">Although Kotter's framework explains many aspects of JLR's transformation, it also has limitations. The model assumes that organisational change follows a relatively structured sequence of stages. However, the automotive industry operates in a highly dynamic environment where organisations must continually respond to new technologies, geopolitical events, changing legislation and economic uncertainty. Consequently, JLR's transformation is more iterative than linear, requiring continuous adaptation rather than completion of a fixed sequence of change activities. Nevertheless, Kotter's emphasis on leadership, </w:t>
      </w:r>
      <w:r w:rsidRPr="00696BA5">
        <w:rPr>
          <w:rFonts w:ascii="Arial" w:eastAsia="Arial" w:hAnsi="Arial" w:cs="Arial"/>
          <w:kern w:val="0"/>
          <w:sz w:val="22"/>
          <w:szCs w:val="22"/>
          <w14:ligatures w14:val="none"/>
        </w:rPr>
        <w:lastRenderedPageBreak/>
        <w:t>communication and organisational commitment remains highly relevant for managing strategic transformation.</w:t>
      </w:r>
    </w:p>
    <w:p w14:paraId="135F6152"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However, transformational leadership also presents challenges. Large-scale organisational change often creates uncertainty among employees regarding future roles, required skills and organisational restructuring. Maintaining employee engagement therefore requires continuous communication, training and support throughout the transformation process. Failure to address employee concerns may increase resistance to change and reduce organisational commitment.</w:t>
      </w:r>
    </w:p>
    <w:p w14:paraId="4D253F0F" w14:textId="1F35140A"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Organisational Culture and Strategic Change</w:t>
      </w:r>
    </w:p>
    <w:p w14:paraId="28F10C1A"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Organisational culture significantly influences whether strategic change succeeds or fails. Schein's Organisational Culture Model identifies three levels of organisational culture: artefacts, espoused values and underlying assumptions.</w:t>
      </w:r>
    </w:p>
    <w:p w14:paraId="4269F944"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At JLR, visible artefacts include modern manufacturing facilities, investment in digital technologies, collaborative innovation centres and increasing use of automation and robotics. These physical changes demonstrate the organisation's commitment to technological advancement.</w:t>
      </w:r>
    </w:p>
    <w:p w14:paraId="768C8BE7"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The company's espoused values have also evolved significantly through the Reimagine Strategy. Sustainability, innovation, customer experience and modern luxury have become central organisational values. These priorities influence strategic decisions relating to product development, manufacturing investment and environmental responsibility.</w:t>
      </w:r>
    </w:p>
    <w:p w14:paraId="08E013D5"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At the deepest level, JLR's underlying assumptions are gradually shifting from viewing itself primarily as a traditional automotive manufacturer towards becoming a technology-driven mobility organisation. This cultural transformation is particularly important because successful digital transformation requires employees to embrace continuous learning, innovation and adaptability.</w:t>
      </w:r>
    </w:p>
    <w:p w14:paraId="1765900C"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Despite positive progress, changing organisational culture remains one of the most difficult aspects of strategic transformation. Employees accustomed to traditional manufacturing processes may initially resist automation, artificial intelligence and digital working practices. Therefore, leadership must continue reinforcing the desired organisational culture through communication, employee development and recognition of innovative behaviours.</w:t>
      </w:r>
    </w:p>
    <w:p w14:paraId="2E53E2A5" w14:textId="424EBAB2"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 xml:space="preserve"> Overall Evaluation</w:t>
      </w:r>
    </w:p>
    <w:p w14:paraId="632A95F4"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Overall, Jaguar Land Rover has managed strategic change effectively by recognising the urgency created by technological disruption and implementing a long-term transformation strategy centred on electrification, digitalisation and sustainability. The Reimagine Strategy aligns closely with several principles of Kotter's Eight-Step Model, particularly the creation of a clear vision, leadership commitment, investment in organisational capability and reinforcement of long-term change.</w:t>
      </w:r>
    </w:p>
    <w:p w14:paraId="73C78C73"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t>Leadership has demonstrated many characteristics associated with transformational leadership by inspiring organisational change, investing in future technologies and encouraging innovation throughout the business. Furthermore, JLR has begun reshaping its organisational culture to support continuous improvement and digital transformation.</w:t>
      </w:r>
    </w:p>
    <w:p w14:paraId="49641DAD" w14:textId="77777777" w:rsidR="00696BA5" w:rsidRPr="00696BA5" w:rsidRDefault="00696BA5" w:rsidP="00696BA5">
      <w:pPr>
        <w:rPr>
          <w:rFonts w:ascii="Arial" w:eastAsia="Arial" w:hAnsi="Arial" w:cs="Arial"/>
          <w:kern w:val="0"/>
          <w:sz w:val="22"/>
          <w:szCs w:val="22"/>
          <w14:ligatures w14:val="none"/>
        </w:rPr>
      </w:pPr>
      <w:r w:rsidRPr="00696BA5">
        <w:rPr>
          <w:rFonts w:ascii="Arial" w:eastAsia="Arial" w:hAnsi="Arial" w:cs="Arial"/>
          <w:kern w:val="0"/>
          <w:sz w:val="22"/>
          <w:szCs w:val="22"/>
          <w14:ligatures w14:val="none"/>
        </w:rPr>
        <w:lastRenderedPageBreak/>
        <w:t>Nevertheless, the organisation continues to face significant external challenges, including global economic uncertainty, geopolitical instability, rapid technological advancement and increasing competition from established and emerging electric vehicle manufacturers. Consequently, successful organisational transformation will require continuous adaptation rather than a one-time implementation of change. This evaluation therefore provides the foundation for developing a comprehensive strategic change management plan in the following section of this report.</w:t>
      </w:r>
    </w:p>
    <w:p w14:paraId="3FC97BB8" w14:textId="77777777" w:rsidR="00696BA5" w:rsidRPr="00696BA5" w:rsidRDefault="00696BA5" w:rsidP="00696BA5">
      <w:pPr>
        <w:rPr>
          <w:rFonts w:ascii="Arial" w:eastAsia="Arial" w:hAnsi="Arial" w:cs="Arial"/>
          <w:kern w:val="0"/>
          <w:sz w:val="22"/>
          <w:szCs w:val="22"/>
          <w14:ligatures w14:val="none"/>
        </w:rPr>
      </w:pPr>
    </w:p>
    <w:p w14:paraId="065578FF" w14:textId="77777777" w:rsidR="00E1481E" w:rsidRPr="001B6E8E" w:rsidRDefault="00E1481E" w:rsidP="00E1481E">
      <w:pPr>
        <w:rPr>
          <w:rFonts w:ascii="Times New Roman" w:eastAsia="Arial" w:hAnsi="Times New Roman" w:cs="Times New Roman"/>
          <w:kern w:val="0"/>
          <w:sz w:val="28"/>
          <w:szCs w:val="28"/>
          <w14:ligatures w14:val="none"/>
        </w:rPr>
      </w:pPr>
    </w:p>
    <w:p w14:paraId="01F38061" w14:textId="77777777" w:rsidR="00711BD6" w:rsidRPr="00711BD6" w:rsidRDefault="00711BD6" w:rsidP="00711BD6">
      <w:pPr>
        <w:pStyle w:val="Heading2"/>
        <w:jc w:val="center"/>
      </w:pPr>
      <w:bookmarkStart w:id="4" w:name="_Toc235394023"/>
      <w:r w:rsidRPr="00711BD6">
        <w:t>Proposed strategic change management plan</w:t>
      </w:r>
      <w:bookmarkEnd w:id="4"/>
    </w:p>
    <w:p w14:paraId="242172BC" w14:textId="77777777" w:rsidR="00711BD6" w:rsidRDefault="00711BD6" w:rsidP="00711BD6">
      <w:pPr>
        <w:rPr>
          <w:rFonts w:ascii="Arial" w:hAnsi="Arial" w:cs="Arial"/>
          <w:sz w:val="22"/>
          <w:szCs w:val="22"/>
        </w:rPr>
      </w:pPr>
    </w:p>
    <w:p w14:paraId="7590B631" w14:textId="435EBA64" w:rsidR="00711BD6" w:rsidRPr="00711BD6" w:rsidRDefault="00711BD6" w:rsidP="00711BD6">
      <w:pPr>
        <w:rPr>
          <w:rFonts w:ascii="Arial" w:hAnsi="Arial" w:cs="Arial"/>
          <w:sz w:val="22"/>
          <w:szCs w:val="22"/>
        </w:rPr>
      </w:pPr>
      <w:r w:rsidRPr="00711BD6">
        <w:rPr>
          <w:rFonts w:ascii="Arial" w:hAnsi="Arial" w:cs="Arial"/>
          <w:sz w:val="22"/>
          <w:szCs w:val="22"/>
        </w:rPr>
        <w:t>Following the evaluation of Jaguar Land Rover's current transformation programme, this section proposes a strategic change management plan designed to strengthen the organisation's long-term competitiveness. Although the Reimagine Strategy has delivered positive results, the automotive industry continues to evolve rapidly due to advancements in artificial intelligence (AI), digitalisation, sustainability requirements and increasing global competition. Therefore, JLR must continue investing in digital capabilities while ensuring that organisational change is effectively implemented across all business functions (Jaguar Land Rover, 2025).</w:t>
      </w:r>
    </w:p>
    <w:p w14:paraId="4BAA7568" w14:textId="71FD2CA2" w:rsidR="00711BD6" w:rsidRPr="00711BD6" w:rsidRDefault="00711BD6" w:rsidP="00711BD6">
      <w:pPr>
        <w:rPr>
          <w:rFonts w:ascii="Arial" w:hAnsi="Arial" w:cs="Arial"/>
          <w:sz w:val="22"/>
          <w:szCs w:val="22"/>
        </w:rPr>
      </w:pPr>
      <w:r w:rsidRPr="00711BD6">
        <w:rPr>
          <w:rFonts w:ascii="Arial" w:hAnsi="Arial" w:cs="Arial"/>
          <w:sz w:val="22"/>
          <w:szCs w:val="22"/>
        </w:rPr>
        <w:t>Proposed change</w:t>
      </w:r>
    </w:p>
    <w:p w14:paraId="6566EE12" w14:textId="77777777" w:rsidR="00711BD6" w:rsidRPr="00711BD6" w:rsidRDefault="00711BD6" w:rsidP="00711BD6">
      <w:pPr>
        <w:rPr>
          <w:rFonts w:ascii="Arial" w:hAnsi="Arial" w:cs="Arial"/>
          <w:sz w:val="22"/>
          <w:szCs w:val="22"/>
        </w:rPr>
      </w:pPr>
      <w:r w:rsidRPr="00711BD6">
        <w:rPr>
          <w:rFonts w:ascii="Arial" w:hAnsi="Arial" w:cs="Arial"/>
          <w:sz w:val="22"/>
          <w:szCs w:val="22"/>
        </w:rPr>
        <w:t>The proposed strategic change is the implementation of an AI-driven digital transformation programme across Jaguar Land Rover's manufacturing operations, supply chain and customer service functions.</w:t>
      </w:r>
    </w:p>
    <w:p w14:paraId="38C819D5" w14:textId="77777777" w:rsidR="00711BD6" w:rsidRPr="00711BD6" w:rsidRDefault="00711BD6" w:rsidP="00711BD6">
      <w:pPr>
        <w:rPr>
          <w:rFonts w:ascii="Arial" w:hAnsi="Arial" w:cs="Arial"/>
          <w:sz w:val="22"/>
          <w:szCs w:val="22"/>
        </w:rPr>
      </w:pPr>
      <w:r w:rsidRPr="00711BD6">
        <w:rPr>
          <w:rFonts w:ascii="Arial" w:hAnsi="Arial" w:cs="Arial"/>
          <w:sz w:val="22"/>
          <w:szCs w:val="22"/>
        </w:rPr>
        <w:t>The programme aims to integrate advanced AI technologies throughout the organisation to improve operational efficiency, reduce production costs, enhance customer satisfaction and strengthen decision-making through data analytics. The proposed change builds upon JLR's existing Reimagine Strategy by accelerating the adoption of smart manufacturing, predictive maintenance, intelligent supply chain management and personalised digital customer experiences (Jaguar Land Rover, 2025).</w:t>
      </w:r>
    </w:p>
    <w:p w14:paraId="6F93CC6E" w14:textId="77777777" w:rsidR="00711BD6" w:rsidRPr="00711BD6" w:rsidRDefault="00711BD6" w:rsidP="00711BD6">
      <w:pPr>
        <w:rPr>
          <w:rFonts w:ascii="Arial" w:hAnsi="Arial" w:cs="Arial"/>
          <w:sz w:val="22"/>
          <w:szCs w:val="22"/>
        </w:rPr>
      </w:pPr>
      <w:r w:rsidRPr="00711BD6">
        <w:rPr>
          <w:rFonts w:ascii="Arial" w:hAnsi="Arial" w:cs="Arial"/>
          <w:sz w:val="22"/>
          <w:szCs w:val="22"/>
        </w:rPr>
        <w:t>This strategic initiative supports the organisation's long-term ambition of becoming a global leader in modern luxury mobility while improving financial performance and maintaining competitive advantage within the rapidly changing automotive industry.</w:t>
      </w:r>
    </w:p>
    <w:p w14:paraId="14167FD1" w14:textId="31CAAA2D" w:rsidR="00711BD6" w:rsidRPr="00711BD6" w:rsidRDefault="00711BD6" w:rsidP="00711BD6">
      <w:pPr>
        <w:rPr>
          <w:rFonts w:ascii="Arial" w:hAnsi="Arial" w:cs="Arial"/>
          <w:sz w:val="22"/>
          <w:szCs w:val="22"/>
        </w:rPr>
      </w:pPr>
      <w:r w:rsidRPr="00711BD6">
        <w:rPr>
          <w:rFonts w:ascii="Arial" w:hAnsi="Arial" w:cs="Arial"/>
          <w:sz w:val="22"/>
          <w:szCs w:val="22"/>
        </w:rPr>
        <w:t>Strategic objectives</w:t>
      </w:r>
    </w:p>
    <w:p w14:paraId="3E321F1C" w14:textId="77777777" w:rsidR="00711BD6" w:rsidRPr="00711BD6" w:rsidRDefault="00711BD6" w:rsidP="00711BD6">
      <w:pPr>
        <w:rPr>
          <w:rFonts w:ascii="Arial" w:hAnsi="Arial" w:cs="Arial"/>
          <w:sz w:val="22"/>
          <w:szCs w:val="22"/>
        </w:rPr>
      </w:pPr>
      <w:r w:rsidRPr="00711BD6">
        <w:rPr>
          <w:rFonts w:ascii="Arial" w:hAnsi="Arial" w:cs="Arial"/>
          <w:sz w:val="22"/>
          <w:szCs w:val="22"/>
        </w:rPr>
        <w:t>To ensure successful implementation, the proposed change should achieve the following SMART objectives:</w:t>
      </w:r>
    </w:p>
    <w:p w14:paraId="23E05921"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Increase manufacturing efficiency by 15% within three years through AI-supported automation and predictive maintenance.</w:t>
      </w:r>
    </w:p>
    <w:p w14:paraId="70C8064D"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Reduce supply chain disruptions by 20% through AI forecasting and real-time inventory management within two years.</w:t>
      </w:r>
    </w:p>
    <w:p w14:paraId="44A6A478"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lastRenderedPageBreak/>
        <w:t>Improve customer satisfaction scores by 10% through enhanced digital services and personalised customer experiences within three years.</w:t>
      </w:r>
    </w:p>
    <w:p w14:paraId="48006A08"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Reduce operational costs by 10% through increased automation and data-driven decision-making by 2029.</w:t>
      </w:r>
    </w:p>
    <w:p w14:paraId="52F097F6"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Strengthen employee digital competencies by providing AI and digital skills training to all relevant employees during the implementation period.</w:t>
      </w:r>
    </w:p>
    <w:p w14:paraId="73029726" w14:textId="77777777" w:rsidR="00711BD6" w:rsidRPr="00711BD6" w:rsidRDefault="00711BD6" w:rsidP="00711BD6">
      <w:pPr>
        <w:rPr>
          <w:rFonts w:ascii="Arial" w:hAnsi="Arial" w:cs="Arial"/>
          <w:sz w:val="22"/>
          <w:szCs w:val="22"/>
        </w:rPr>
      </w:pPr>
      <w:r w:rsidRPr="00711BD6">
        <w:rPr>
          <w:rFonts w:ascii="Arial" w:hAnsi="Arial" w:cs="Arial"/>
          <w:sz w:val="22"/>
          <w:szCs w:val="22"/>
        </w:rPr>
        <w:t>SMART objectives improve organisational performance because they provide measurable outcomes and clear performance indicators for evaluating progress (Doran, 1981).</w:t>
      </w:r>
    </w:p>
    <w:p w14:paraId="456D8464" w14:textId="4C3F46A1" w:rsidR="00711BD6" w:rsidRPr="00711BD6" w:rsidRDefault="00711BD6" w:rsidP="00711BD6">
      <w:pPr>
        <w:rPr>
          <w:rFonts w:ascii="Arial" w:hAnsi="Arial" w:cs="Arial"/>
          <w:sz w:val="22"/>
          <w:szCs w:val="22"/>
        </w:rPr>
      </w:pPr>
      <w:r w:rsidRPr="00711BD6">
        <w:rPr>
          <w:rFonts w:ascii="Arial" w:hAnsi="Arial" w:cs="Arial"/>
          <w:sz w:val="22"/>
          <w:szCs w:val="22"/>
        </w:rPr>
        <w:t>Financial plan</w:t>
      </w:r>
    </w:p>
    <w:p w14:paraId="157CC646" w14:textId="77777777" w:rsidR="00711BD6" w:rsidRPr="00711BD6" w:rsidRDefault="00711BD6" w:rsidP="00711BD6">
      <w:pPr>
        <w:rPr>
          <w:rFonts w:ascii="Arial" w:hAnsi="Arial" w:cs="Arial"/>
          <w:sz w:val="22"/>
          <w:szCs w:val="22"/>
        </w:rPr>
      </w:pPr>
      <w:r w:rsidRPr="00711BD6">
        <w:rPr>
          <w:rFonts w:ascii="Arial" w:hAnsi="Arial" w:cs="Arial"/>
          <w:sz w:val="22"/>
          <w:szCs w:val="22"/>
        </w:rPr>
        <w:t>Successful digital transformation requires substantial investment. JLR should allocate funding across four key areas:</w:t>
      </w:r>
    </w:p>
    <w:p w14:paraId="6ECF2C04"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AI software development and implementation.</w:t>
      </w:r>
    </w:p>
    <w:p w14:paraId="1CD88553"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Digital manufacturing technologies and automation.</w:t>
      </w:r>
    </w:p>
    <w:p w14:paraId="397F7BF9"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Employee training and professional development.</w:t>
      </w:r>
    </w:p>
    <w:p w14:paraId="6AC3C97C"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Cybersecurity and cloud infrastructure.</w:t>
      </w:r>
    </w:p>
    <w:p w14:paraId="74158591" w14:textId="77777777" w:rsidR="00711BD6" w:rsidRPr="00711BD6" w:rsidRDefault="00711BD6" w:rsidP="00711BD6">
      <w:pPr>
        <w:rPr>
          <w:rFonts w:ascii="Arial" w:hAnsi="Arial" w:cs="Arial"/>
          <w:sz w:val="22"/>
          <w:szCs w:val="22"/>
        </w:rPr>
      </w:pPr>
      <w:r w:rsidRPr="00711BD6">
        <w:rPr>
          <w:rFonts w:ascii="Arial" w:hAnsi="Arial" w:cs="Arial"/>
          <w:sz w:val="22"/>
          <w:szCs w:val="22"/>
        </w:rPr>
        <w:t>Although these investments require significant short-term expenditure, they are expected to generate long-term financial benefits through increased productivity, reduced operational costs, improved production quality and stronger customer retention. According to PwC (2024), AI has significant potential to improve productivity and create long-term business value across manufacturing industries.</w:t>
      </w:r>
    </w:p>
    <w:p w14:paraId="78B1FE9D" w14:textId="77777777" w:rsidR="00711BD6" w:rsidRPr="00711BD6" w:rsidRDefault="00711BD6" w:rsidP="00711BD6">
      <w:pPr>
        <w:rPr>
          <w:rFonts w:ascii="Arial" w:hAnsi="Arial" w:cs="Arial"/>
          <w:sz w:val="22"/>
          <w:szCs w:val="22"/>
        </w:rPr>
      </w:pPr>
      <w:r w:rsidRPr="00711BD6">
        <w:rPr>
          <w:rFonts w:ascii="Arial" w:hAnsi="Arial" w:cs="Arial"/>
          <w:sz w:val="22"/>
          <w:szCs w:val="22"/>
        </w:rPr>
        <w:t>The organisation should monitor return on investment (ROI) by measuring cost savings, productivity improvements, customer satisfaction and revenue growth throughout the implementation process.</w:t>
      </w:r>
    </w:p>
    <w:p w14:paraId="5F81BF73" w14:textId="61040B57" w:rsidR="00711BD6" w:rsidRPr="00711BD6" w:rsidRDefault="00711BD6" w:rsidP="00711BD6">
      <w:pPr>
        <w:rPr>
          <w:rFonts w:ascii="Arial" w:hAnsi="Arial" w:cs="Arial"/>
          <w:sz w:val="22"/>
          <w:szCs w:val="22"/>
        </w:rPr>
      </w:pPr>
      <w:r w:rsidRPr="00711BD6">
        <w:rPr>
          <w:rFonts w:ascii="Arial" w:hAnsi="Arial" w:cs="Arial"/>
          <w:sz w:val="22"/>
          <w:szCs w:val="22"/>
        </w:rPr>
        <w:t>Communication plan</w:t>
      </w:r>
    </w:p>
    <w:p w14:paraId="0F9A86B5" w14:textId="77777777" w:rsidR="00711BD6" w:rsidRPr="00711BD6" w:rsidRDefault="00711BD6" w:rsidP="00711BD6">
      <w:pPr>
        <w:rPr>
          <w:rFonts w:ascii="Arial" w:hAnsi="Arial" w:cs="Arial"/>
          <w:sz w:val="22"/>
          <w:szCs w:val="22"/>
        </w:rPr>
      </w:pPr>
      <w:r w:rsidRPr="00711BD6">
        <w:rPr>
          <w:rFonts w:ascii="Arial" w:hAnsi="Arial" w:cs="Arial"/>
          <w:sz w:val="22"/>
          <w:szCs w:val="22"/>
        </w:rPr>
        <w:t>Effective communication is essential for reducing employee resistance and increasing organisational commitment during change (Kotter, 1996).</w:t>
      </w:r>
    </w:p>
    <w:p w14:paraId="362E7EC2" w14:textId="77777777" w:rsidR="00711BD6" w:rsidRPr="00711BD6" w:rsidRDefault="00711BD6" w:rsidP="00711BD6">
      <w:pPr>
        <w:rPr>
          <w:rFonts w:ascii="Arial" w:hAnsi="Arial" w:cs="Arial"/>
          <w:sz w:val="22"/>
          <w:szCs w:val="22"/>
        </w:rPr>
      </w:pPr>
      <w:r w:rsidRPr="00711BD6">
        <w:rPr>
          <w:rFonts w:ascii="Arial" w:hAnsi="Arial" w:cs="Arial"/>
          <w:sz w:val="22"/>
          <w:szCs w:val="22"/>
        </w:rPr>
        <w:t>JLR should adopt a structured communication strategy involving all stakeholders throughout the implementation process.</w:t>
      </w:r>
    </w:p>
    <w:p w14:paraId="14D68310" w14:textId="77777777" w:rsidR="00711BD6" w:rsidRPr="00711BD6" w:rsidRDefault="00711BD6" w:rsidP="00711BD6">
      <w:pPr>
        <w:rPr>
          <w:rFonts w:ascii="Arial" w:hAnsi="Arial" w:cs="Arial"/>
          <w:sz w:val="22"/>
          <w:szCs w:val="22"/>
        </w:rPr>
      </w:pPr>
      <w:r w:rsidRPr="00711BD6">
        <w:rPr>
          <w:rFonts w:ascii="Arial" w:hAnsi="Arial" w:cs="Arial"/>
          <w:sz w:val="22"/>
          <w:szCs w:val="22"/>
        </w:rPr>
        <w:t>External stakeholders, including investors, suppliers and customers, should also receive regular communication regarding progress towards sustainability, digital innovation and strategic objectives through annual reports and corporate communications.</w:t>
      </w:r>
    </w:p>
    <w:p w14:paraId="046EC9B1" w14:textId="77777777" w:rsidR="00711BD6" w:rsidRPr="00711BD6" w:rsidRDefault="00711BD6" w:rsidP="00711BD6">
      <w:pPr>
        <w:rPr>
          <w:rFonts w:ascii="Arial" w:hAnsi="Arial" w:cs="Arial"/>
          <w:sz w:val="22"/>
          <w:szCs w:val="22"/>
        </w:rPr>
      </w:pPr>
      <w:r w:rsidRPr="00711BD6">
        <w:rPr>
          <w:rFonts w:ascii="Arial" w:hAnsi="Arial" w:cs="Arial"/>
          <w:sz w:val="22"/>
          <w:szCs w:val="22"/>
        </w:rPr>
        <w:t>Transparent communication reduces uncertainty, increases trust and improves employee engagement during organisational change (Kotter, 1996).</w:t>
      </w:r>
    </w:p>
    <w:p w14:paraId="293C4CB7" w14:textId="410C991E" w:rsidR="00711BD6" w:rsidRPr="00711BD6" w:rsidRDefault="00711BD6" w:rsidP="00711BD6">
      <w:pPr>
        <w:rPr>
          <w:rFonts w:ascii="Arial" w:hAnsi="Arial" w:cs="Arial"/>
          <w:sz w:val="22"/>
          <w:szCs w:val="22"/>
        </w:rPr>
      </w:pPr>
      <w:r w:rsidRPr="00711BD6">
        <w:rPr>
          <w:rFonts w:ascii="Arial" w:hAnsi="Arial" w:cs="Arial"/>
          <w:sz w:val="22"/>
          <w:szCs w:val="22"/>
        </w:rPr>
        <w:t>Implementation plan</w:t>
      </w:r>
    </w:p>
    <w:p w14:paraId="0957D1EA" w14:textId="77777777" w:rsidR="00711BD6" w:rsidRPr="00711BD6" w:rsidRDefault="00711BD6" w:rsidP="00711BD6">
      <w:pPr>
        <w:rPr>
          <w:rFonts w:ascii="Arial" w:hAnsi="Arial" w:cs="Arial"/>
          <w:sz w:val="22"/>
          <w:szCs w:val="22"/>
        </w:rPr>
      </w:pPr>
      <w:r w:rsidRPr="00711BD6">
        <w:rPr>
          <w:rFonts w:ascii="Arial" w:hAnsi="Arial" w:cs="Arial"/>
          <w:sz w:val="22"/>
          <w:szCs w:val="22"/>
        </w:rPr>
        <w:t>The proposed change should be implemented over a three-year period using a phased approach.</w:t>
      </w:r>
    </w:p>
    <w:p w14:paraId="091CB1C9" w14:textId="77777777" w:rsidR="00711BD6" w:rsidRPr="00711BD6" w:rsidRDefault="00711BD6" w:rsidP="00711BD6">
      <w:pPr>
        <w:rPr>
          <w:rFonts w:ascii="Arial" w:hAnsi="Arial" w:cs="Arial"/>
          <w:sz w:val="22"/>
          <w:szCs w:val="22"/>
        </w:rPr>
      </w:pPr>
      <w:r w:rsidRPr="00711BD6">
        <w:rPr>
          <w:rFonts w:ascii="Arial" w:hAnsi="Arial" w:cs="Arial"/>
          <w:sz w:val="22"/>
          <w:szCs w:val="22"/>
        </w:rPr>
        <w:t>Phase 1 (Months 1–6): Planning</w:t>
      </w:r>
    </w:p>
    <w:p w14:paraId="2CDD3334" w14:textId="77777777" w:rsidR="00711BD6" w:rsidRPr="00711BD6" w:rsidRDefault="00711BD6" w:rsidP="00711BD6">
      <w:pPr>
        <w:rPr>
          <w:rFonts w:ascii="Arial" w:hAnsi="Arial" w:cs="Arial"/>
          <w:sz w:val="22"/>
          <w:szCs w:val="22"/>
        </w:rPr>
      </w:pPr>
      <w:r w:rsidRPr="00711BD6">
        <w:rPr>
          <w:rFonts w:ascii="Arial" w:hAnsi="Arial" w:cs="Arial"/>
          <w:sz w:val="22"/>
          <w:szCs w:val="22"/>
        </w:rPr>
        <w:lastRenderedPageBreak/>
        <w:t>During the first phase, JLR should identify project teams, allocate financial resources, conduct technology assessments and communicate the strategic vision throughout the organisation.</w:t>
      </w:r>
    </w:p>
    <w:p w14:paraId="3D021ACC" w14:textId="77777777" w:rsidR="00711BD6" w:rsidRPr="00711BD6" w:rsidRDefault="00711BD6" w:rsidP="00711BD6">
      <w:pPr>
        <w:rPr>
          <w:rFonts w:ascii="Arial" w:hAnsi="Arial" w:cs="Arial"/>
          <w:sz w:val="22"/>
          <w:szCs w:val="22"/>
        </w:rPr>
      </w:pPr>
      <w:r w:rsidRPr="00711BD6">
        <w:rPr>
          <w:rFonts w:ascii="Arial" w:hAnsi="Arial" w:cs="Arial"/>
          <w:sz w:val="22"/>
          <w:szCs w:val="22"/>
        </w:rPr>
        <w:t>Phase 2 (Months 7–18): Implementation</w:t>
      </w:r>
    </w:p>
    <w:p w14:paraId="14CAD3D6" w14:textId="77777777" w:rsidR="00711BD6" w:rsidRPr="00711BD6" w:rsidRDefault="00711BD6" w:rsidP="00711BD6">
      <w:pPr>
        <w:rPr>
          <w:rFonts w:ascii="Arial" w:hAnsi="Arial" w:cs="Arial"/>
          <w:sz w:val="22"/>
          <w:szCs w:val="22"/>
        </w:rPr>
      </w:pPr>
      <w:r w:rsidRPr="00711BD6">
        <w:rPr>
          <w:rFonts w:ascii="Arial" w:hAnsi="Arial" w:cs="Arial"/>
          <w:sz w:val="22"/>
          <w:szCs w:val="22"/>
        </w:rPr>
        <w:t>The second phase should involve introducing AI technologies into manufacturing facilities, upgrading digital infrastructure, integrating predictive analytics and delivering employee training programmes.</w:t>
      </w:r>
    </w:p>
    <w:p w14:paraId="442D7669" w14:textId="77777777" w:rsidR="00711BD6" w:rsidRPr="00711BD6" w:rsidRDefault="00711BD6" w:rsidP="00711BD6">
      <w:pPr>
        <w:rPr>
          <w:rFonts w:ascii="Arial" w:hAnsi="Arial" w:cs="Arial"/>
          <w:sz w:val="22"/>
          <w:szCs w:val="22"/>
        </w:rPr>
      </w:pPr>
      <w:r w:rsidRPr="00711BD6">
        <w:rPr>
          <w:rFonts w:ascii="Arial" w:hAnsi="Arial" w:cs="Arial"/>
          <w:sz w:val="22"/>
          <w:szCs w:val="22"/>
        </w:rPr>
        <w:t>Phase 3 (Months 19–36): Evaluation and continuous improvement</w:t>
      </w:r>
    </w:p>
    <w:p w14:paraId="1F24606E" w14:textId="77777777" w:rsidR="00711BD6" w:rsidRPr="00711BD6" w:rsidRDefault="00711BD6" w:rsidP="00711BD6">
      <w:pPr>
        <w:rPr>
          <w:rFonts w:ascii="Arial" w:hAnsi="Arial" w:cs="Arial"/>
          <w:sz w:val="22"/>
          <w:szCs w:val="22"/>
        </w:rPr>
      </w:pPr>
      <w:r w:rsidRPr="00711BD6">
        <w:rPr>
          <w:rFonts w:ascii="Arial" w:hAnsi="Arial" w:cs="Arial"/>
          <w:sz w:val="22"/>
          <w:szCs w:val="22"/>
        </w:rPr>
        <w:t>The final phase should focus on monitoring organisational performance, evaluating key performance indicators (KPIs), collecting employee feedback and identifying further opportunities for continuous improvement.</w:t>
      </w:r>
    </w:p>
    <w:p w14:paraId="51941DF9" w14:textId="77777777" w:rsidR="00711BD6" w:rsidRPr="00711BD6" w:rsidRDefault="00711BD6" w:rsidP="00711BD6">
      <w:pPr>
        <w:rPr>
          <w:rFonts w:ascii="Arial" w:hAnsi="Arial" w:cs="Arial"/>
          <w:sz w:val="22"/>
          <w:szCs w:val="22"/>
        </w:rPr>
      </w:pPr>
      <w:r w:rsidRPr="00711BD6">
        <w:rPr>
          <w:rFonts w:ascii="Arial" w:hAnsi="Arial" w:cs="Arial"/>
          <w:sz w:val="22"/>
          <w:szCs w:val="22"/>
        </w:rPr>
        <w:t>A phased implementation approach reduces operational disruption while allowing management to identify and resolve issues before expanding implementation across the organisation (Burnes, 2020).</w:t>
      </w:r>
    </w:p>
    <w:p w14:paraId="3A4EB445" w14:textId="77777777" w:rsidR="00711BD6" w:rsidRPr="00711BD6" w:rsidRDefault="00711BD6" w:rsidP="00711BD6">
      <w:pPr>
        <w:rPr>
          <w:rFonts w:ascii="Arial" w:hAnsi="Arial" w:cs="Arial"/>
          <w:sz w:val="22"/>
          <w:szCs w:val="22"/>
        </w:rPr>
      </w:pPr>
      <w:r w:rsidRPr="00711BD6">
        <w:rPr>
          <w:rFonts w:ascii="Arial" w:hAnsi="Arial" w:cs="Arial"/>
          <w:sz w:val="22"/>
          <w:szCs w:val="22"/>
        </w:rPr>
        <w:t>5.6 Evaluation plan</w:t>
      </w:r>
    </w:p>
    <w:p w14:paraId="78669A99" w14:textId="77777777" w:rsidR="00711BD6" w:rsidRPr="00711BD6" w:rsidRDefault="00711BD6" w:rsidP="00711BD6">
      <w:pPr>
        <w:rPr>
          <w:rFonts w:ascii="Arial" w:hAnsi="Arial" w:cs="Arial"/>
          <w:sz w:val="22"/>
          <w:szCs w:val="22"/>
        </w:rPr>
      </w:pPr>
      <w:r w:rsidRPr="00711BD6">
        <w:rPr>
          <w:rFonts w:ascii="Arial" w:hAnsi="Arial" w:cs="Arial"/>
          <w:sz w:val="22"/>
          <w:szCs w:val="22"/>
        </w:rPr>
        <w:t>Evaluating the success of the proposed change is essential to ensure that organisational objectives are achieved.</w:t>
      </w:r>
    </w:p>
    <w:p w14:paraId="1345D021" w14:textId="77777777" w:rsidR="00711BD6" w:rsidRPr="00711BD6" w:rsidRDefault="00711BD6" w:rsidP="00711BD6">
      <w:pPr>
        <w:rPr>
          <w:rFonts w:ascii="Arial" w:hAnsi="Arial" w:cs="Arial"/>
          <w:sz w:val="22"/>
          <w:szCs w:val="22"/>
        </w:rPr>
      </w:pPr>
      <w:r w:rsidRPr="00711BD6">
        <w:rPr>
          <w:rFonts w:ascii="Arial" w:hAnsi="Arial" w:cs="Arial"/>
          <w:sz w:val="22"/>
          <w:szCs w:val="22"/>
        </w:rPr>
        <w:t>JLR should monitor performance using a range of key performance indicators, including:</w:t>
      </w:r>
    </w:p>
    <w:p w14:paraId="784E2EDE"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Manufacturing productivity.</w:t>
      </w:r>
    </w:p>
    <w:p w14:paraId="6A68F348"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Production costs.</w:t>
      </w:r>
    </w:p>
    <w:p w14:paraId="5749FC14"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Vehicle quality performance.</w:t>
      </w:r>
    </w:p>
    <w:p w14:paraId="4C586CD2"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Customer satisfaction scores.</w:t>
      </w:r>
    </w:p>
    <w:p w14:paraId="7753A128"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Employee engagement levels.</w:t>
      </w:r>
    </w:p>
    <w:p w14:paraId="5E5A78CF"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AI system performance.</w:t>
      </w:r>
    </w:p>
    <w:p w14:paraId="4FD99203"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Supply chain efficiency.</w:t>
      </w:r>
    </w:p>
    <w:p w14:paraId="68C35DBF"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Revenue growth.</w:t>
      </w:r>
    </w:p>
    <w:p w14:paraId="29F04E5E" w14:textId="77777777" w:rsidR="00711BD6" w:rsidRPr="00711BD6" w:rsidRDefault="00711BD6" w:rsidP="00711BD6">
      <w:pPr>
        <w:ind w:left="720"/>
        <w:rPr>
          <w:rFonts w:ascii="Arial" w:hAnsi="Arial" w:cs="Arial"/>
          <w:sz w:val="22"/>
          <w:szCs w:val="22"/>
        </w:rPr>
      </w:pPr>
      <w:r w:rsidRPr="00711BD6">
        <w:rPr>
          <w:rFonts w:ascii="Arial" w:hAnsi="Arial" w:cs="Arial"/>
          <w:sz w:val="22"/>
          <w:szCs w:val="22"/>
        </w:rPr>
        <w:t>Return on investment.</w:t>
      </w:r>
    </w:p>
    <w:p w14:paraId="02FB27CC"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Quarterly performance reviews should compare actual results against the SMART objectives established at the beginning of the project. </w:t>
      </w:r>
      <w:proofErr w:type="gramStart"/>
      <w:r w:rsidRPr="00711BD6">
        <w:rPr>
          <w:rFonts w:ascii="Arial" w:hAnsi="Arial" w:cs="Arial"/>
          <w:sz w:val="22"/>
          <w:szCs w:val="22"/>
        </w:rPr>
        <w:t>Where</w:t>
      </w:r>
      <w:proofErr w:type="gramEnd"/>
      <w:r w:rsidRPr="00711BD6">
        <w:rPr>
          <w:rFonts w:ascii="Arial" w:hAnsi="Arial" w:cs="Arial"/>
          <w:sz w:val="22"/>
          <w:szCs w:val="22"/>
        </w:rPr>
        <w:t xml:space="preserve"> performance falls below expectations, corrective actions should be implemented promptly.</w:t>
      </w:r>
    </w:p>
    <w:p w14:paraId="783260B2" w14:textId="77777777" w:rsidR="00711BD6" w:rsidRPr="00711BD6" w:rsidRDefault="00711BD6" w:rsidP="00711BD6">
      <w:pPr>
        <w:rPr>
          <w:rFonts w:ascii="Arial" w:hAnsi="Arial" w:cs="Arial"/>
          <w:sz w:val="22"/>
          <w:szCs w:val="22"/>
        </w:rPr>
      </w:pPr>
      <w:r w:rsidRPr="00711BD6">
        <w:rPr>
          <w:rFonts w:ascii="Arial" w:hAnsi="Arial" w:cs="Arial"/>
          <w:sz w:val="22"/>
          <w:szCs w:val="22"/>
        </w:rPr>
        <w:t>In addition to quantitative measures, employee interviews and customer feedback surveys should be conducted regularly to evaluate organisational acceptance of the new technologies and identify areas requiring further improvement.</w:t>
      </w:r>
    </w:p>
    <w:p w14:paraId="3FB49795" w14:textId="77777777" w:rsidR="00711BD6" w:rsidRPr="00711BD6" w:rsidRDefault="00711BD6" w:rsidP="00711BD6">
      <w:pPr>
        <w:rPr>
          <w:rFonts w:ascii="Arial" w:hAnsi="Arial" w:cs="Arial"/>
          <w:sz w:val="22"/>
          <w:szCs w:val="22"/>
        </w:rPr>
      </w:pPr>
      <w:r w:rsidRPr="00711BD6">
        <w:rPr>
          <w:rFonts w:ascii="Arial" w:hAnsi="Arial" w:cs="Arial"/>
          <w:sz w:val="22"/>
          <w:szCs w:val="22"/>
        </w:rPr>
        <w:t>Continuous evaluation enables organisations to adapt their strategies as business environments continue to evolve, ensuring that strategic change remains aligned with organisational objectives (Johnson, Scholes and Whittington, 2020).</w:t>
      </w:r>
    </w:p>
    <w:p w14:paraId="0E2816E8" w14:textId="5D3CA1CA" w:rsidR="00711BD6" w:rsidRPr="00711BD6" w:rsidRDefault="00711BD6" w:rsidP="00711BD6">
      <w:pPr>
        <w:rPr>
          <w:rFonts w:ascii="Arial" w:hAnsi="Arial" w:cs="Arial"/>
          <w:sz w:val="22"/>
          <w:szCs w:val="22"/>
        </w:rPr>
      </w:pPr>
      <w:r w:rsidRPr="00711BD6">
        <w:rPr>
          <w:rFonts w:ascii="Arial" w:hAnsi="Arial" w:cs="Arial"/>
          <w:sz w:val="22"/>
          <w:szCs w:val="22"/>
        </w:rPr>
        <w:lastRenderedPageBreak/>
        <w:t>Overall recommendation</w:t>
      </w:r>
    </w:p>
    <w:p w14:paraId="33038BB6" w14:textId="77777777" w:rsidR="00711BD6" w:rsidRPr="00711BD6" w:rsidRDefault="00711BD6" w:rsidP="00711BD6">
      <w:pPr>
        <w:rPr>
          <w:rFonts w:ascii="Arial" w:hAnsi="Arial" w:cs="Arial"/>
          <w:sz w:val="22"/>
          <w:szCs w:val="22"/>
        </w:rPr>
      </w:pPr>
      <w:r w:rsidRPr="00711BD6">
        <w:rPr>
          <w:rFonts w:ascii="Arial" w:hAnsi="Arial" w:cs="Arial"/>
          <w:sz w:val="22"/>
          <w:szCs w:val="22"/>
        </w:rPr>
        <w:t>The proposed AI-driven digital transformation programme provides Jaguar Land Rover with an opportunity to strengthen its competitive position while supporting its long-term sustainability objectives. By combining investment in artificial intelligence, employee development, digital manufacturing and effective communication, the organisation can improve operational efficiency and enhance customer value.</w:t>
      </w:r>
    </w:p>
    <w:p w14:paraId="2A139F42" w14:textId="77777777" w:rsidR="00711BD6" w:rsidRPr="00711BD6" w:rsidRDefault="00711BD6" w:rsidP="00711BD6">
      <w:pPr>
        <w:rPr>
          <w:rFonts w:ascii="Arial" w:hAnsi="Arial" w:cs="Arial"/>
          <w:sz w:val="22"/>
          <w:szCs w:val="22"/>
        </w:rPr>
      </w:pPr>
      <w:r w:rsidRPr="00711BD6">
        <w:rPr>
          <w:rFonts w:ascii="Arial" w:hAnsi="Arial" w:cs="Arial"/>
          <w:sz w:val="22"/>
          <w:szCs w:val="22"/>
        </w:rPr>
        <w:t>However, successful implementation will depend upon strong leadership, continuous employee engagement and regular performance evaluation. Given the pace of technological change within the automotive industry, organisational learning and continuous improvement should become permanent features of JLR's strategic management approach rather than one-time initiatives. This will enable the organisation to remain competitive within an increasingly digital and technology-driven global market (Jaguar Land Rover, 2025; Burnes, 2020).</w:t>
      </w:r>
    </w:p>
    <w:p w14:paraId="4157CCAA" w14:textId="507558C9" w:rsidR="00E1481E" w:rsidRDefault="00711BD6">
      <w:r>
        <w:t xml:space="preserve">   </w:t>
      </w:r>
    </w:p>
    <w:p w14:paraId="66C45656" w14:textId="77777777" w:rsidR="00711BD6" w:rsidRPr="00711BD6" w:rsidRDefault="00711BD6" w:rsidP="00711BD6">
      <w:pPr>
        <w:pStyle w:val="Heading2"/>
        <w:jc w:val="center"/>
      </w:pPr>
      <w:bookmarkStart w:id="5" w:name="_Toc235394024"/>
      <w:r w:rsidRPr="00711BD6">
        <w:t>Proposed strategic change plan</w:t>
      </w:r>
      <w:bookmarkEnd w:id="5"/>
    </w:p>
    <w:p w14:paraId="1AEB0F21" w14:textId="77777777" w:rsidR="00711BD6" w:rsidRDefault="00711BD6" w:rsidP="00711BD6">
      <w:pPr>
        <w:rPr>
          <w:rFonts w:ascii="Arial" w:hAnsi="Arial" w:cs="Arial"/>
          <w:sz w:val="22"/>
          <w:szCs w:val="22"/>
        </w:rPr>
      </w:pPr>
    </w:p>
    <w:p w14:paraId="15311CE0" w14:textId="29C8E44C" w:rsidR="00711BD6" w:rsidRPr="00711BD6" w:rsidRDefault="00711BD6" w:rsidP="00711BD6">
      <w:pPr>
        <w:rPr>
          <w:rFonts w:ascii="Arial" w:hAnsi="Arial" w:cs="Arial"/>
          <w:sz w:val="22"/>
          <w:szCs w:val="22"/>
        </w:rPr>
      </w:pPr>
      <w:r w:rsidRPr="00711BD6">
        <w:rPr>
          <w:rFonts w:ascii="Arial" w:hAnsi="Arial" w:cs="Arial"/>
          <w:sz w:val="22"/>
          <w:szCs w:val="22"/>
        </w:rPr>
        <w:t>Jaguar Land Rover (JLR) should implement an AI-driven digital transformation programme to strengthen its competitive position and support the company's long-term strategic objectives. Although the Reimagine Strategy has accelerated the transition towards electrification and sustainability, additional investment in artificial intelligence, data analytics and digital manufacturing will improve operational efficiency, customer satisfaction and business performance (Jaguar Land Rover, 2025).</w:t>
      </w:r>
    </w:p>
    <w:p w14:paraId="182D8BFA" w14:textId="77777777" w:rsidR="00711BD6" w:rsidRPr="00711BD6" w:rsidRDefault="00711BD6" w:rsidP="00711BD6">
      <w:pPr>
        <w:rPr>
          <w:rFonts w:ascii="Arial" w:hAnsi="Arial" w:cs="Arial"/>
          <w:sz w:val="22"/>
          <w:szCs w:val="22"/>
        </w:rPr>
      </w:pPr>
      <w:r w:rsidRPr="00711BD6">
        <w:rPr>
          <w:rFonts w:ascii="Arial" w:hAnsi="Arial" w:cs="Arial"/>
          <w:sz w:val="22"/>
          <w:szCs w:val="22"/>
        </w:rPr>
        <w:t>Objectives</w:t>
      </w:r>
    </w:p>
    <w:p w14:paraId="265FBE0E" w14:textId="77777777" w:rsidR="00711BD6" w:rsidRPr="00711BD6" w:rsidRDefault="00711BD6" w:rsidP="00711BD6">
      <w:pPr>
        <w:rPr>
          <w:rFonts w:ascii="Arial" w:hAnsi="Arial" w:cs="Arial"/>
          <w:sz w:val="22"/>
          <w:szCs w:val="22"/>
        </w:rPr>
      </w:pPr>
      <w:r w:rsidRPr="00711BD6">
        <w:rPr>
          <w:rFonts w:ascii="Arial" w:hAnsi="Arial" w:cs="Arial"/>
          <w:sz w:val="22"/>
          <w:szCs w:val="22"/>
        </w:rPr>
        <w:t>The proposed change aims to improve JLR's operational and financial performance while supporting sustainable growth. The organisation should achieve the following SMART objectives within three years: increase manufacturing efficiency by 15%, reduce supply chain disruptions by 20%, improve customer satisfaction by 10%, decrease operational costs by 10% and provide AI and digital skills training for all employees involved in manufacturing and engineering. Establishing clear and measurable objectives enables managers to monitor progress and evaluate whether the change programme has achieved its intended outcomes (Doran, 1981).</w:t>
      </w:r>
    </w:p>
    <w:p w14:paraId="420AD675" w14:textId="77777777" w:rsidR="00711BD6" w:rsidRPr="00711BD6" w:rsidRDefault="00711BD6" w:rsidP="00711BD6">
      <w:pPr>
        <w:rPr>
          <w:rFonts w:ascii="Arial" w:hAnsi="Arial" w:cs="Arial"/>
          <w:sz w:val="22"/>
          <w:szCs w:val="22"/>
        </w:rPr>
      </w:pPr>
      <w:r w:rsidRPr="00711BD6">
        <w:rPr>
          <w:rFonts w:ascii="Arial" w:hAnsi="Arial" w:cs="Arial"/>
          <w:sz w:val="22"/>
          <w:szCs w:val="22"/>
        </w:rPr>
        <w:t>Financial implications</w:t>
      </w:r>
    </w:p>
    <w:p w14:paraId="34D22943" w14:textId="77777777" w:rsidR="00711BD6" w:rsidRPr="00711BD6" w:rsidRDefault="00711BD6" w:rsidP="00711BD6">
      <w:pPr>
        <w:rPr>
          <w:rFonts w:ascii="Arial" w:hAnsi="Arial" w:cs="Arial"/>
          <w:sz w:val="22"/>
          <w:szCs w:val="22"/>
        </w:rPr>
      </w:pPr>
      <w:r w:rsidRPr="00711BD6">
        <w:rPr>
          <w:rFonts w:ascii="Arial" w:hAnsi="Arial" w:cs="Arial"/>
          <w:sz w:val="22"/>
          <w:szCs w:val="22"/>
        </w:rPr>
        <w:t>Implementing AI technologies will require significant initial investment in software, automation systems, cloud infrastructure, employee training and cybersecurity. However, these costs should be viewed as long-term investments rather than short-term expenses. AI can improve production efficiency through predictive maintenance, reduce waste, optimise inventory management and improve product quality, resulting in lower operational costs over time (PwC, 2024). JLR should allocate funding in phases to minimise financial risk while monitoring return on investment (ROI) throughout implementation. Regular financial reviews should compare implementation costs with productivity improvements, revenue growth and cost savings to ensure the programme remains financially viable.</w:t>
      </w:r>
    </w:p>
    <w:p w14:paraId="7D85B23F" w14:textId="77777777" w:rsidR="00711BD6" w:rsidRPr="00711BD6" w:rsidRDefault="00711BD6" w:rsidP="00711BD6">
      <w:pPr>
        <w:rPr>
          <w:rFonts w:ascii="Arial" w:hAnsi="Arial" w:cs="Arial"/>
          <w:sz w:val="22"/>
          <w:szCs w:val="22"/>
        </w:rPr>
      </w:pPr>
      <w:r w:rsidRPr="00711BD6">
        <w:rPr>
          <w:rFonts w:ascii="Arial" w:hAnsi="Arial" w:cs="Arial"/>
          <w:sz w:val="22"/>
          <w:szCs w:val="22"/>
        </w:rPr>
        <w:lastRenderedPageBreak/>
        <w:t>Communication plan</w:t>
      </w:r>
    </w:p>
    <w:p w14:paraId="0D1422F6" w14:textId="77777777" w:rsidR="00711BD6" w:rsidRPr="00711BD6" w:rsidRDefault="00711BD6" w:rsidP="00711BD6">
      <w:pPr>
        <w:rPr>
          <w:rFonts w:ascii="Arial" w:hAnsi="Arial" w:cs="Arial"/>
          <w:sz w:val="22"/>
          <w:szCs w:val="22"/>
        </w:rPr>
      </w:pPr>
      <w:r w:rsidRPr="00711BD6">
        <w:rPr>
          <w:rFonts w:ascii="Arial" w:hAnsi="Arial" w:cs="Arial"/>
          <w:sz w:val="22"/>
          <w:szCs w:val="22"/>
        </w:rPr>
        <w:t>Successful organisational change depends on effective communication between leadership, employees and external stakeholders. Senior leaders should clearly communicate the purpose of the proposed change, explaining how AI technologies will improve organisational performance rather than replace employees. Regular updates should be provided through staff meetings, internal newsletters, training workshops and digital communication platforms. Managers should encourage employee feedback through surveys and discussion sessions to reduce resistance and improve engagement. Maintaining transparent communication throughout the implementation process helps build trust and increases employee commitment to organisational change (Kotter, 1996).</w:t>
      </w:r>
    </w:p>
    <w:p w14:paraId="588DE572" w14:textId="77777777" w:rsidR="00711BD6" w:rsidRPr="00711BD6" w:rsidRDefault="00711BD6" w:rsidP="00711BD6">
      <w:pPr>
        <w:rPr>
          <w:rFonts w:ascii="Arial" w:hAnsi="Arial" w:cs="Arial"/>
          <w:sz w:val="22"/>
          <w:szCs w:val="22"/>
        </w:rPr>
      </w:pPr>
      <w:r w:rsidRPr="00711BD6">
        <w:rPr>
          <w:rFonts w:ascii="Arial" w:hAnsi="Arial" w:cs="Arial"/>
          <w:sz w:val="22"/>
          <w:szCs w:val="22"/>
        </w:rPr>
        <w:t>Implementation timeline</w:t>
      </w:r>
    </w:p>
    <w:p w14:paraId="56A83B73" w14:textId="77777777" w:rsidR="00711BD6" w:rsidRPr="00711BD6" w:rsidRDefault="00711BD6" w:rsidP="00711BD6">
      <w:pPr>
        <w:rPr>
          <w:rFonts w:ascii="Arial" w:hAnsi="Arial" w:cs="Arial"/>
          <w:sz w:val="22"/>
          <w:szCs w:val="22"/>
        </w:rPr>
      </w:pPr>
      <w:r w:rsidRPr="00711BD6">
        <w:rPr>
          <w:rFonts w:ascii="Arial" w:hAnsi="Arial" w:cs="Arial"/>
          <w:sz w:val="22"/>
          <w:szCs w:val="22"/>
        </w:rPr>
        <w:t>The proposed change should be implemented over a three-year period. During the first six months, JLR should complete project planning, allocate financial resources, select technology partners and begin employee awareness programmes. Between months seven and eighteen, AI systems should be introduced across manufacturing operations, supply chain management and customer service, alongside comprehensive employee training. The final phase, covering months nineteen to thirty-six, should focus on evaluating performance, refining AI systems and identifying further opportunities for continuous improvement. A phased implementation approach reduces operational disruption while allowing the organisation to respond effectively to unforeseen challenges (Burnes, 2020).</w:t>
      </w:r>
    </w:p>
    <w:p w14:paraId="0EFDA058" w14:textId="77777777" w:rsidR="00711BD6" w:rsidRPr="00711BD6" w:rsidRDefault="00711BD6" w:rsidP="00711BD6">
      <w:pPr>
        <w:rPr>
          <w:rFonts w:ascii="Arial" w:hAnsi="Arial" w:cs="Arial"/>
          <w:sz w:val="22"/>
          <w:szCs w:val="22"/>
        </w:rPr>
      </w:pPr>
      <w:r w:rsidRPr="00711BD6">
        <w:rPr>
          <w:rFonts w:ascii="Arial" w:hAnsi="Arial" w:cs="Arial"/>
          <w:sz w:val="22"/>
          <w:szCs w:val="22"/>
        </w:rPr>
        <w:t>Key performance indicators (KPIs)</w:t>
      </w:r>
    </w:p>
    <w:p w14:paraId="32FD0339" w14:textId="77777777" w:rsidR="00711BD6" w:rsidRPr="00711BD6" w:rsidRDefault="00711BD6" w:rsidP="00711BD6">
      <w:pPr>
        <w:rPr>
          <w:rFonts w:ascii="Arial" w:hAnsi="Arial" w:cs="Arial"/>
          <w:sz w:val="22"/>
          <w:szCs w:val="22"/>
        </w:rPr>
      </w:pPr>
      <w:r w:rsidRPr="00711BD6">
        <w:rPr>
          <w:rFonts w:ascii="Arial" w:hAnsi="Arial" w:cs="Arial"/>
          <w:sz w:val="22"/>
          <w:szCs w:val="22"/>
        </w:rPr>
        <w:t>The success of the proposed change should be measured using clearly defined KPIs. These should include manufacturing productivity, production costs, customer satisfaction scores, employee engagement, system reliability, supply chain efficiency, vehicle quality performance, revenue growth and return on investment. Monitoring these indicators on a quarterly basis will allow senior management to identify performance gaps and implement corrective actions where necessary (Johnson, Scholes and Whittington, 2020).</w:t>
      </w:r>
    </w:p>
    <w:p w14:paraId="2F715E7A" w14:textId="77777777" w:rsidR="00711BD6" w:rsidRPr="00711BD6" w:rsidRDefault="00711BD6" w:rsidP="00711BD6">
      <w:pPr>
        <w:rPr>
          <w:rFonts w:ascii="Arial" w:hAnsi="Arial" w:cs="Arial"/>
          <w:sz w:val="22"/>
          <w:szCs w:val="22"/>
        </w:rPr>
      </w:pPr>
      <w:r w:rsidRPr="00711BD6">
        <w:rPr>
          <w:rFonts w:ascii="Arial" w:hAnsi="Arial" w:cs="Arial"/>
          <w:sz w:val="22"/>
          <w:szCs w:val="22"/>
        </w:rPr>
        <w:t>Evaluation</w:t>
      </w:r>
    </w:p>
    <w:p w14:paraId="2B422DB6" w14:textId="46B01E75" w:rsidR="00711BD6" w:rsidRDefault="00711BD6" w:rsidP="00711BD6">
      <w:pPr>
        <w:rPr>
          <w:rFonts w:ascii="Arial" w:hAnsi="Arial" w:cs="Arial"/>
          <w:sz w:val="22"/>
          <w:szCs w:val="22"/>
        </w:rPr>
      </w:pPr>
      <w:r w:rsidRPr="00711BD6">
        <w:rPr>
          <w:rFonts w:ascii="Arial" w:hAnsi="Arial" w:cs="Arial"/>
          <w:sz w:val="22"/>
          <w:szCs w:val="22"/>
        </w:rPr>
        <w:t>The effectiveness of the strategic change plan should be reviewed continuously throughout implementation. Performance data should be compared against the established SMART objectives using quarterly management reviews and annual strategic evaluations. In addition to quantitative measures, employee feedback, customer surveys and stakeholder reviews should be used to assess how successfully the organisation has adopted AI technologies and digital working practices. Continuous evaluation will enable JLR to adapt its strategy in response to technological developments and changing market conditions, ensuring that the organisation remains competitive within the rapidly evolving automotive industry (Burnes, 2020; Jaguar Land Rover, 2025).</w:t>
      </w:r>
      <w:r>
        <w:rPr>
          <w:rFonts w:ascii="Arial" w:hAnsi="Arial" w:cs="Arial"/>
          <w:sz w:val="22"/>
          <w:szCs w:val="22"/>
        </w:rPr>
        <w:t xml:space="preserve"> </w:t>
      </w:r>
    </w:p>
    <w:p w14:paraId="61F1B48F" w14:textId="77777777" w:rsidR="00711BD6" w:rsidRDefault="00711BD6" w:rsidP="00711BD6">
      <w:pPr>
        <w:rPr>
          <w:rFonts w:ascii="Arial" w:hAnsi="Arial" w:cs="Arial"/>
          <w:sz w:val="22"/>
          <w:szCs w:val="22"/>
        </w:rPr>
      </w:pPr>
    </w:p>
    <w:p w14:paraId="09145444" w14:textId="77777777" w:rsidR="00711BD6" w:rsidRPr="00711BD6" w:rsidRDefault="00711BD6" w:rsidP="00711BD6">
      <w:pPr>
        <w:pStyle w:val="Heading2"/>
        <w:jc w:val="center"/>
      </w:pPr>
      <w:bookmarkStart w:id="6" w:name="_Toc235394025"/>
      <w:r w:rsidRPr="00711BD6">
        <w:t>Conclusion</w:t>
      </w:r>
      <w:bookmarkEnd w:id="6"/>
    </w:p>
    <w:p w14:paraId="11D7B1C7" w14:textId="77777777" w:rsidR="00711BD6" w:rsidRDefault="00711BD6" w:rsidP="00711BD6">
      <w:pPr>
        <w:rPr>
          <w:rFonts w:ascii="Arial" w:hAnsi="Arial" w:cs="Arial"/>
          <w:sz w:val="22"/>
          <w:szCs w:val="22"/>
        </w:rPr>
      </w:pPr>
    </w:p>
    <w:p w14:paraId="6BF16E2C" w14:textId="5A47DC35" w:rsidR="00711BD6" w:rsidRPr="00711BD6" w:rsidRDefault="00711BD6" w:rsidP="00711BD6">
      <w:pPr>
        <w:rPr>
          <w:rFonts w:ascii="Arial" w:hAnsi="Arial" w:cs="Arial"/>
          <w:sz w:val="22"/>
          <w:szCs w:val="22"/>
        </w:rPr>
      </w:pPr>
      <w:r w:rsidRPr="00711BD6">
        <w:rPr>
          <w:rFonts w:ascii="Arial" w:hAnsi="Arial" w:cs="Arial"/>
          <w:sz w:val="22"/>
          <w:szCs w:val="22"/>
        </w:rPr>
        <w:lastRenderedPageBreak/>
        <w:t>This report has examined the strategic challenges facing Jaguar Land Rover (JLR) within the rapidly evolving automotive industry. The analysis demonstrated that the organisation has been significantly affected by digital disruption, artificial intelligence (AI), changing consumer expectations, stricter environmental regulations and increasing global competition. These factors have required JLR to adapt its business model and invest in innovative technologies to maintain its competitive advantage and achieve long-term sustainability (Johnson, Scholes and Whittington, 2020).</w:t>
      </w:r>
    </w:p>
    <w:p w14:paraId="281C740A" w14:textId="77777777" w:rsidR="00711BD6" w:rsidRPr="00711BD6" w:rsidRDefault="00711BD6" w:rsidP="00711BD6">
      <w:pPr>
        <w:rPr>
          <w:rFonts w:ascii="Arial" w:hAnsi="Arial" w:cs="Arial"/>
          <w:sz w:val="22"/>
          <w:szCs w:val="22"/>
        </w:rPr>
      </w:pPr>
      <w:r w:rsidRPr="00711BD6">
        <w:rPr>
          <w:rFonts w:ascii="Arial" w:hAnsi="Arial" w:cs="Arial"/>
          <w:sz w:val="22"/>
          <w:szCs w:val="22"/>
        </w:rPr>
        <w:t>The report found that JLR has responded positively through the implementation of its Reimagine Strategy, which focuses on electrification, digitalisation and modern luxury. The evaluation of Kotter's Eight-Step Change Model showed that the organisation has successfully established a clear vision, invested in technological innovation and encouraged organisational transformation. In addition, transformational leadership and a supportive organisational culture have played important roles in facilitating change and improving employee engagement throughout the transformation process (Kotter, 1996; Schein and Schein, 2021).</w:t>
      </w:r>
    </w:p>
    <w:p w14:paraId="669C6664" w14:textId="77777777" w:rsidR="00711BD6" w:rsidRPr="00711BD6" w:rsidRDefault="00711BD6" w:rsidP="00711BD6">
      <w:pPr>
        <w:rPr>
          <w:rFonts w:ascii="Arial" w:hAnsi="Arial" w:cs="Arial"/>
          <w:sz w:val="22"/>
          <w:szCs w:val="22"/>
        </w:rPr>
      </w:pPr>
      <w:r w:rsidRPr="00711BD6">
        <w:rPr>
          <w:rFonts w:ascii="Arial" w:hAnsi="Arial" w:cs="Arial"/>
          <w:sz w:val="22"/>
          <w:szCs w:val="22"/>
        </w:rPr>
        <w:t>Based on the findings, the report proposed an AI-driven strategic change management plan to further strengthen JLR's operational efficiency, customer experience and long-term competitiveness. The proposed plan included clear objectives, financial considerations, a structured communication strategy, an implementation timeline, key performance indicators and an evaluation framework to ensure successful implementation and continuous improvement. These recommendations provide a practical approach for supporting JLR's future growth while responding effectively to technological and market developments (Burnes, 2020).</w:t>
      </w:r>
    </w:p>
    <w:p w14:paraId="19110477" w14:textId="77777777" w:rsidR="00711BD6" w:rsidRDefault="00711BD6" w:rsidP="00711BD6">
      <w:pPr>
        <w:rPr>
          <w:rFonts w:ascii="Arial" w:hAnsi="Arial" w:cs="Arial"/>
          <w:sz w:val="22"/>
          <w:szCs w:val="22"/>
        </w:rPr>
      </w:pPr>
      <w:r w:rsidRPr="00711BD6">
        <w:rPr>
          <w:rFonts w:ascii="Arial" w:hAnsi="Arial" w:cs="Arial"/>
          <w:sz w:val="22"/>
          <w:szCs w:val="22"/>
        </w:rPr>
        <w:t>In conclusion, continuous innovation, effective leadership and well-planned strategic change will be essential for Jaguar Land Rover to remain competitive within the global automotive industry. By continuing to invest in digital technologies, artificial intelligence and employee development, JLR will be well positioned to achieve sustainable growth and strengthen its position as a leading manufacturer of modern luxury vehicles (Jaguar Land Rover, 2025).</w:t>
      </w:r>
    </w:p>
    <w:p w14:paraId="17C0A87C" w14:textId="77777777" w:rsidR="00711BD6" w:rsidRDefault="00711BD6" w:rsidP="00711BD6">
      <w:pPr>
        <w:rPr>
          <w:rFonts w:ascii="Arial" w:hAnsi="Arial" w:cs="Arial"/>
          <w:sz w:val="22"/>
          <w:szCs w:val="22"/>
        </w:rPr>
      </w:pPr>
    </w:p>
    <w:p w14:paraId="547FB618" w14:textId="77777777" w:rsidR="00711BD6" w:rsidRDefault="00711BD6" w:rsidP="00711BD6">
      <w:pPr>
        <w:rPr>
          <w:rFonts w:ascii="Arial" w:hAnsi="Arial" w:cs="Arial"/>
          <w:sz w:val="22"/>
          <w:szCs w:val="22"/>
        </w:rPr>
      </w:pPr>
    </w:p>
    <w:p w14:paraId="4B5E1E9F" w14:textId="77777777" w:rsidR="00711BD6" w:rsidRDefault="00711BD6" w:rsidP="00711BD6">
      <w:pPr>
        <w:rPr>
          <w:rFonts w:ascii="Arial" w:hAnsi="Arial" w:cs="Arial"/>
          <w:sz w:val="22"/>
          <w:szCs w:val="22"/>
        </w:rPr>
      </w:pPr>
    </w:p>
    <w:p w14:paraId="76C56EDF" w14:textId="77777777" w:rsidR="00711BD6" w:rsidRDefault="00711BD6" w:rsidP="00711BD6">
      <w:pPr>
        <w:rPr>
          <w:rFonts w:ascii="Arial" w:hAnsi="Arial" w:cs="Arial"/>
          <w:sz w:val="22"/>
          <w:szCs w:val="22"/>
        </w:rPr>
      </w:pPr>
    </w:p>
    <w:p w14:paraId="65DB4889" w14:textId="77777777" w:rsidR="00711BD6" w:rsidRPr="00711BD6" w:rsidRDefault="00711BD6" w:rsidP="00711BD6">
      <w:pPr>
        <w:pStyle w:val="Heading2"/>
        <w:jc w:val="center"/>
      </w:pPr>
      <w:bookmarkStart w:id="7" w:name="_Toc235394026"/>
      <w:r w:rsidRPr="00711BD6">
        <w:t>References</w:t>
      </w:r>
      <w:bookmarkEnd w:id="7"/>
    </w:p>
    <w:p w14:paraId="3E1E5D3C" w14:textId="77777777" w:rsidR="00711BD6" w:rsidRDefault="00711BD6" w:rsidP="00711BD6">
      <w:pPr>
        <w:rPr>
          <w:rFonts w:ascii="Arial" w:hAnsi="Arial" w:cs="Arial"/>
          <w:sz w:val="22"/>
          <w:szCs w:val="22"/>
        </w:rPr>
      </w:pPr>
    </w:p>
    <w:p w14:paraId="287AA602" w14:textId="4048A63E" w:rsidR="00711BD6" w:rsidRPr="00711BD6" w:rsidRDefault="00711BD6" w:rsidP="00711BD6">
      <w:pPr>
        <w:rPr>
          <w:rFonts w:ascii="Arial" w:hAnsi="Arial" w:cs="Arial"/>
          <w:sz w:val="22"/>
          <w:szCs w:val="22"/>
        </w:rPr>
      </w:pPr>
      <w:r w:rsidRPr="00711BD6">
        <w:rPr>
          <w:rFonts w:ascii="Arial" w:hAnsi="Arial" w:cs="Arial"/>
          <w:sz w:val="22"/>
          <w:szCs w:val="22"/>
        </w:rPr>
        <w:t xml:space="preserve">Bass, B.M. and Avolio, B.J. (1994) </w:t>
      </w:r>
      <w:r w:rsidRPr="00711BD6">
        <w:rPr>
          <w:rFonts w:ascii="Arial" w:hAnsi="Arial" w:cs="Arial"/>
          <w:i/>
          <w:iCs/>
          <w:sz w:val="22"/>
          <w:szCs w:val="22"/>
        </w:rPr>
        <w:t>Improving organizational effectiveness through transformational leadership</w:t>
      </w:r>
      <w:r w:rsidRPr="00711BD6">
        <w:rPr>
          <w:rFonts w:ascii="Arial" w:hAnsi="Arial" w:cs="Arial"/>
          <w:sz w:val="22"/>
          <w:szCs w:val="22"/>
        </w:rPr>
        <w:t>. Thousand Oaks: Sage.</w:t>
      </w:r>
    </w:p>
    <w:p w14:paraId="043F6655"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Burnes, B. (2020) </w:t>
      </w:r>
      <w:r w:rsidRPr="00711BD6">
        <w:rPr>
          <w:rFonts w:ascii="Arial" w:hAnsi="Arial" w:cs="Arial"/>
          <w:i/>
          <w:iCs/>
          <w:sz w:val="22"/>
          <w:szCs w:val="22"/>
        </w:rPr>
        <w:t>Managing change</w:t>
      </w:r>
      <w:r w:rsidRPr="00711BD6">
        <w:rPr>
          <w:rFonts w:ascii="Arial" w:hAnsi="Arial" w:cs="Arial"/>
          <w:sz w:val="22"/>
          <w:szCs w:val="22"/>
        </w:rPr>
        <w:t xml:space="preserve">. 8th </w:t>
      </w:r>
      <w:proofErr w:type="spellStart"/>
      <w:r w:rsidRPr="00711BD6">
        <w:rPr>
          <w:rFonts w:ascii="Arial" w:hAnsi="Arial" w:cs="Arial"/>
          <w:sz w:val="22"/>
          <w:szCs w:val="22"/>
        </w:rPr>
        <w:t>edn</w:t>
      </w:r>
      <w:proofErr w:type="spellEnd"/>
      <w:r w:rsidRPr="00711BD6">
        <w:rPr>
          <w:rFonts w:ascii="Arial" w:hAnsi="Arial" w:cs="Arial"/>
          <w:sz w:val="22"/>
          <w:szCs w:val="22"/>
        </w:rPr>
        <w:t>. Harlow: Pearson.</w:t>
      </w:r>
    </w:p>
    <w:p w14:paraId="0F4588EC"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Doran, G.T. (1981) ‘There's a S.M.A.R.T. way to write management's goals and objectives’, </w:t>
      </w:r>
      <w:r w:rsidRPr="00711BD6">
        <w:rPr>
          <w:rFonts w:ascii="Arial" w:hAnsi="Arial" w:cs="Arial"/>
          <w:i/>
          <w:iCs/>
          <w:sz w:val="22"/>
          <w:szCs w:val="22"/>
        </w:rPr>
        <w:t>Management Review</w:t>
      </w:r>
      <w:r w:rsidRPr="00711BD6">
        <w:rPr>
          <w:rFonts w:ascii="Arial" w:hAnsi="Arial" w:cs="Arial"/>
          <w:sz w:val="22"/>
          <w:szCs w:val="22"/>
        </w:rPr>
        <w:t>, 70(11), pp. 35–36.</w:t>
      </w:r>
    </w:p>
    <w:p w14:paraId="79A2887E" w14:textId="68A06E82" w:rsidR="00711BD6" w:rsidRPr="00711BD6" w:rsidRDefault="00711BD6" w:rsidP="00711BD6">
      <w:pPr>
        <w:rPr>
          <w:rFonts w:ascii="Arial" w:hAnsi="Arial" w:cs="Arial"/>
          <w:sz w:val="22"/>
          <w:szCs w:val="22"/>
        </w:rPr>
      </w:pPr>
      <w:r w:rsidRPr="00711BD6">
        <w:rPr>
          <w:rFonts w:ascii="Arial" w:hAnsi="Arial" w:cs="Arial"/>
          <w:sz w:val="22"/>
          <w:szCs w:val="22"/>
        </w:rPr>
        <w:t xml:space="preserve">Jaguar Land Rover (2025) </w:t>
      </w:r>
      <w:r w:rsidRPr="00711BD6">
        <w:rPr>
          <w:rFonts w:ascii="Arial" w:hAnsi="Arial" w:cs="Arial"/>
          <w:i/>
          <w:iCs/>
          <w:sz w:val="22"/>
          <w:szCs w:val="22"/>
        </w:rPr>
        <w:t>Annual report 2024/25</w:t>
      </w:r>
      <w:r w:rsidRPr="00711BD6">
        <w:rPr>
          <w:rFonts w:ascii="Arial" w:hAnsi="Arial" w:cs="Arial"/>
          <w:sz w:val="22"/>
          <w:szCs w:val="22"/>
        </w:rPr>
        <w:t>. (Accessed: 19 July 2026).</w:t>
      </w:r>
    </w:p>
    <w:p w14:paraId="6B5B43E7" w14:textId="77777777" w:rsidR="00711BD6" w:rsidRPr="00711BD6" w:rsidRDefault="00711BD6" w:rsidP="00711BD6">
      <w:pPr>
        <w:rPr>
          <w:rFonts w:ascii="Arial" w:hAnsi="Arial" w:cs="Arial"/>
          <w:sz w:val="22"/>
          <w:szCs w:val="22"/>
        </w:rPr>
      </w:pPr>
      <w:r w:rsidRPr="00711BD6">
        <w:rPr>
          <w:rFonts w:ascii="Arial" w:hAnsi="Arial" w:cs="Arial"/>
          <w:sz w:val="22"/>
          <w:szCs w:val="22"/>
        </w:rPr>
        <w:lastRenderedPageBreak/>
        <w:t xml:space="preserve">Johnson, G., Scholes, K., Whittington, R., Angwin, D. and </w:t>
      </w:r>
      <w:proofErr w:type="spellStart"/>
      <w:r w:rsidRPr="00711BD6">
        <w:rPr>
          <w:rFonts w:ascii="Arial" w:hAnsi="Arial" w:cs="Arial"/>
          <w:sz w:val="22"/>
          <w:szCs w:val="22"/>
        </w:rPr>
        <w:t>Regnér</w:t>
      </w:r>
      <w:proofErr w:type="spellEnd"/>
      <w:r w:rsidRPr="00711BD6">
        <w:rPr>
          <w:rFonts w:ascii="Arial" w:hAnsi="Arial" w:cs="Arial"/>
          <w:sz w:val="22"/>
          <w:szCs w:val="22"/>
        </w:rPr>
        <w:t xml:space="preserve">, P. (2020) </w:t>
      </w:r>
      <w:r w:rsidRPr="00711BD6">
        <w:rPr>
          <w:rFonts w:ascii="Arial" w:hAnsi="Arial" w:cs="Arial"/>
          <w:i/>
          <w:iCs/>
          <w:sz w:val="22"/>
          <w:szCs w:val="22"/>
        </w:rPr>
        <w:t>Exploring strategy</w:t>
      </w:r>
      <w:r w:rsidRPr="00711BD6">
        <w:rPr>
          <w:rFonts w:ascii="Arial" w:hAnsi="Arial" w:cs="Arial"/>
          <w:sz w:val="22"/>
          <w:szCs w:val="22"/>
        </w:rPr>
        <w:t xml:space="preserve">. 12th </w:t>
      </w:r>
      <w:proofErr w:type="spellStart"/>
      <w:r w:rsidRPr="00711BD6">
        <w:rPr>
          <w:rFonts w:ascii="Arial" w:hAnsi="Arial" w:cs="Arial"/>
          <w:sz w:val="22"/>
          <w:szCs w:val="22"/>
        </w:rPr>
        <w:t>edn</w:t>
      </w:r>
      <w:proofErr w:type="spellEnd"/>
      <w:r w:rsidRPr="00711BD6">
        <w:rPr>
          <w:rFonts w:ascii="Arial" w:hAnsi="Arial" w:cs="Arial"/>
          <w:sz w:val="22"/>
          <w:szCs w:val="22"/>
        </w:rPr>
        <w:t>. Harlow: Pearson.</w:t>
      </w:r>
    </w:p>
    <w:p w14:paraId="2748F81F"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Kotter, J.P. (1996) </w:t>
      </w:r>
      <w:r w:rsidRPr="00711BD6">
        <w:rPr>
          <w:rFonts w:ascii="Arial" w:hAnsi="Arial" w:cs="Arial"/>
          <w:i/>
          <w:iCs/>
          <w:sz w:val="22"/>
          <w:szCs w:val="22"/>
        </w:rPr>
        <w:t>Leading change</w:t>
      </w:r>
      <w:r w:rsidRPr="00711BD6">
        <w:rPr>
          <w:rFonts w:ascii="Arial" w:hAnsi="Arial" w:cs="Arial"/>
          <w:sz w:val="22"/>
          <w:szCs w:val="22"/>
        </w:rPr>
        <w:t>. Boston: Harvard Business School Press.</w:t>
      </w:r>
    </w:p>
    <w:p w14:paraId="356372D6"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Kotter, J.P. (2012) </w:t>
      </w:r>
      <w:r w:rsidRPr="00711BD6">
        <w:rPr>
          <w:rFonts w:ascii="Arial" w:hAnsi="Arial" w:cs="Arial"/>
          <w:i/>
          <w:iCs/>
          <w:sz w:val="22"/>
          <w:szCs w:val="22"/>
        </w:rPr>
        <w:t>Leading change</w:t>
      </w:r>
      <w:r w:rsidRPr="00711BD6">
        <w:rPr>
          <w:rFonts w:ascii="Arial" w:hAnsi="Arial" w:cs="Arial"/>
          <w:sz w:val="22"/>
          <w:szCs w:val="22"/>
        </w:rPr>
        <w:t xml:space="preserve">. Revised </w:t>
      </w:r>
      <w:proofErr w:type="spellStart"/>
      <w:r w:rsidRPr="00711BD6">
        <w:rPr>
          <w:rFonts w:ascii="Arial" w:hAnsi="Arial" w:cs="Arial"/>
          <w:sz w:val="22"/>
          <w:szCs w:val="22"/>
        </w:rPr>
        <w:t>edn</w:t>
      </w:r>
      <w:proofErr w:type="spellEnd"/>
      <w:r w:rsidRPr="00711BD6">
        <w:rPr>
          <w:rFonts w:ascii="Arial" w:hAnsi="Arial" w:cs="Arial"/>
          <w:sz w:val="22"/>
          <w:szCs w:val="22"/>
        </w:rPr>
        <w:t>. Boston: Harvard Business Review Press.</w:t>
      </w:r>
    </w:p>
    <w:p w14:paraId="433950B6"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Porter, M.E. (1980) </w:t>
      </w:r>
      <w:r w:rsidRPr="00711BD6">
        <w:rPr>
          <w:rFonts w:ascii="Arial" w:hAnsi="Arial" w:cs="Arial"/>
          <w:i/>
          <w:iCs/>
          <w:sz w:val="22"/>
          <w:szCs w:val="22"/>
        </w:rPr>
        <w:t>Competitive strategy: Techniques for analysing industries and competitors</w:t>
      </w:r>
      <w:r w:rsidRPr="00711BD6">
        <w:rPr>
          <w:rFonts w:ascii="Arial" w:hAnsi="Arial" w:cs="Arial"/>
          <w:sz w:val="22"/>
          <w:szCs w:val="22"/>
        </w:rPr>
        <w:t>. New York: Free Press.</w:t>
      </w:r>
    </w:p>
    <w:p w14:paraId="08DA2F36"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Porter, M.E. (1985) </w:t>
      </w:r>
      <w:r w:rsidRPr="00711BD6">
        <w:rPr>
          <w:rFonts w:ascii="Arial" w:hAnsi="Arial" w:cs="Arial"/>
          <w:i/>
          <w:iCs/>
          <w:sz w:val="22"/>
          <w:szCs w:val="22"/>
        </w:rPr>
        <w:t>Competitive advantage: Creating and sustaining superior performance</w:t>
      </w:r>
      <w:r w:rsidRPr="00711BD6">
        <w:rPr>
          <w:rFonts w:ascii="Arial" w:hAnsi="Arial" w:cs="Arial"/>
          <w:sz w:val="22"/>
          <w:szCs w:val="22"/>
        </w:rPr>
        <w:t>. New York: Free Press.</w:t>
      </w:r>
    </w:p>
    <w:p w14:paraId="3551DCF8" w14:textId="0244E268" w:rsidR="00711BD6" w:rsidRPr="00711BD6" w:rsidRDefault="00711BD6" w:rsidP="00711BD6">
      <w:pPr>
        <w:rPr>
          <w:rFonts w:ascii="Arial" w:hAnsi="Arial" w:cs="Arial"/>
          <w:sz w:val="22"/>
          <w:szCs w:val="22"/>
        </w:rPr>
      </w:pPr>
      <w:r w:rsidRPr="00711BD6">
        <w:rPr>
          <w:rFonts w:ascii="Arial" w:hAnsi="Arial" w:cs="Arial"/>
          <w:sz w:val="22"/>
          <w:szCs w:val="22"/>
        </w:rPr>
        <w:t xml:space="preserve">PwC (2024) </w:t>
      </w:r>
      <w:r w:rsidRPr="00711BD6">
        <w:rPr>
          <w:rFonts w:ascii="Arial" w:hAnsi="Arial" w:cs="Arial"/>
          <w:i/>
          <w:iCs/>
          <w:sz w:val="22"/>
          <w:szCs w:val="22"/>
        </w:rPr>
        <w:t>AI predictions 2024</w:t>
      </w:r>
      <w:r w:rsidRPr="00711BD6">
        <w:rPr>
          <w:rFonts w:ascii="Arial" w:hAnsi="Arial" w:cs="Arial"/>
          <w:sz w:val="22"/>
          <w:szCs w:val="22"/>
        </w:rPr>
        <w:t>. (Accessed: 19 July 2026).</w:t>
      </w:r>
    </w:p>
    <w:p w14:paraId="2096F255"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Schein, E.H. and Schein, P. (2021) </w:t>
      </w:r>
      <w:r w:rsidRPr="00711BD6">
        <w:rPr>
          <w:rFonts w:ascii="Arial" w:hAnsi="Arial" w:cs="Arial"/>
          <w:i/>
          <w:iCs/>
          <w:sz w:val="22"/>
          <w:szCs w:val="22"/>
        </w:rPr>
        <w:t>Organizational culture and leadership</w:t>
      </w:r>
      <w:r w:rsidRPr="00711BD6">
        <w:rPr>
          <w:rFonts w:ascii="Arial" w:hAnsi="Arial" w:cs="Arial"/>
          <w:sz w:val="22"/>
          <w:szCs w:val="22"/>
        </w:rPr>
        <w:t xml:space="preserve">. 6th </w:t>
      </w:r>
      <w:proofErr w:type="spellStart"/>
      <w:r w:rsidRPr="00711BD6">
        <w:rPr>
          <w:rFonts w:ascii="Arial" w:hAnsi="Arial" w:cs="Arial"/>
          <w:sz w:val="22"/>
          <w:szCs w:val="22"/>
        </w:rPr>
        <w:t>edn</w:t>
      </w:r>
      <w:proofErr w:type="spellEnd"/>
      <w:r w:rsidRPr="00711BD6">
        <w:rPr>
          <w:rFonts w:ascii="Arial" w:hAnsi="Arial" w:cs="Arial"/>
          <w:sz w:val="22"/>
          <w:szCs w:val="22"/>
        </w:rPr>
        <w:t>. Hoboken: Wiley.</w:t>
      </w:r>
    </w:p>
    <w:p w14:paraId="59DB715B" w14:textId="15119715" w:rsidR="00711BD6" w:rsidRPr="00711BD6" w:rsidRDefault="00711BD6" w:rsidP="00711BD6">
      <w:pPr>
        <w:rPr>
          <w:rFonts w:ascii="Arial" w:hAnsi="Arial" w:cs="Arial"/>
          <w:sz w:val="22"/>
          <w:szCs w:val="22"/>
        </w:rPr>
      </w:pPr>
      <w:r w:rsidRPr="00711BD6">
        <w:rPr>
          <w:rFonts w:ascii="Arial" w:hAnsi="Arial" w:cs="Arial"/>
          <w:sz w:val="22"/>
          <w:szCs w:val="22"/>
        </w:rPr>
        <w:t xml:space="preserve">Tata Motors (2025) </w:t>
      </w:r>
      <w:r w:rsidRPr="00711BD6">
        <w:rPr>
          <w:rFonts w:ascii="Arial" w:hAnsi="Arial" w:cs="Arial"/>
          <w:i/>
          <w:iCs/>
          <w:sz w:val="22"/>
          <w:szCs w:val="22"/>
        </w:rPr>
        <w:t>Integrated annual report 2024–25</w:t>
      </w:r>
      <w:r w:rsidRPr="00711BD6">
        <w:rPr>
          <w:rFonts w:ascii="Arial" w:hAnsi="Arial" w:cs="Arial"/>
          <w:sz w:val="22"/>
          <w:szCs w:val="22"/>
        </w:rPr>
        <w:t>. (Accessed: 19 July 2026).</w:t>
      </w:r>
    </w:p>
    <w:p w14:paraId="52989F07"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Teece, D.J. (2018) </w:t>
      </w:r>
      <w:r w:rsidRPr="00711BD6">
        <w:rPr>
          <w:rFonts w:ascii="Arial" w:hAnsi="Arial" w:cs="Arial"/>
          <w:i/>
          <w:iCs/>
          <w:sz w:val="22"/>
          <w:szCs w:val="22"/>
        </w:rPr>
        <w:t>Business models and dynamic capabilities</w:t>
      </w:r>
      <w:r w:rsidRPr="00711BD6">
        <w:rPr>
          <w:rFonts w:ascii="Arial" w:hAnsi="Arial" w:cs="Arial"/>
          <w:sz w:val="22"/>
          <w:szCs w:val="22"/>
        </w:rPr>
        <w:t xml:space="preserve">. </w:t>
      </w:r>
      <w:r w:rsidRPr="00711BD6">
        <w:rPr>
          <w:rFonts w:ascii="Arial" w:hAnsi="Arial" w:cs="Arial"/>
          <w:i/>
          <w:iCs/>
          <w:sz w:val="22"/>
          <w:szCs w:val="22"/>
        </w:rPr>
        <w:t>Long Range Planning</w:t>
      </w:r>
      <w:r w:rsidRPr="00711BD6">
        <w:rPr>
          <w:rFonts w:ascii="Arial" w:hAnsi="Arial" w:cs="Arial"/>
          <w:sz w:val="22"/>
          <w:szCs w:val="22"/>
        </w:rPr>
        <w:t>, 51(1), pp. 40–49.</w:t>
      </w:r>
    </w:p>
    <w:p w14:paraId="4419A9C2"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Vial, G. (2019) ‘Understanding digital transformation: A review and a research agenda’, </w:t>
      </w:r>
      <w:r w:rsidRPr="00711BD6">
        <w:rPr>
          <w:rFonts w:ascii="Arial" w:hAnsi="Arial" w:cs="Arial"/>
          <w:i/>
          <w:iCs/>
          <w:sz w:val="22"/>
          <w:szCs w:val="22"/>
        </w:rPr>
        <w:t>The Journal of Strategic Information Systems</w:t>
      </w:r>
      <w:r w:rsidRPr="00711BD6">
        <w:rPr>
          <w:rFonts w:ascii="Arial" w:hAnsi="Arial" w:cs="Arial"/>
          <w:sz w:val="22"/>
          <w:szCs w:val="22"/>
        </w:rPr>
        <w:t>, 28(2), pp. 118–144.</w:t>
      </w:r>
    </w:p>
    <w:p w14:paraId="279245A1"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Westerman, G., Bonnet, D. and McAfee, A. (2014) </w:t>
      </w:r>
      <w:r w:rsidRPr="00711BD6">
        <w:rPr>
          <w:rFonts w:ascii="Arial" w:hAnsi="Arial" w:cs="Arial"/>
          <w:i/>
          <w:iCs/>
          <w:sz w:val="22"/>
          <w:szCs w:val="22"/>
        </w:rPr>
        <w:t>Leading digital: Turning technology into business transformation</w:t>
      </w:r>
      <w:r w:rsidRPr="00711BD6">
        <w:rPr>
          <w:rFonts w:ascii="Arial" w:hAnsi="Arial" w:cs="Arial"/>
          <w:sz w:val="22"/>
          <w:szCs w:val="22"/>
        </w:rPr>
        <w:t>. Boston: Harvard Business Review Press.</w:t>
      </w:r>
    </w:p>
    <w:p w14:paraId="3185F646"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Yukl, G. (2013) </w:t>
      </w:r>
      <w:r w:rsidRPr="00711BD6">
        <w:rPr>
          <w:rFonts w:ascii="Arial" w:hAnsi="Arial" w:cs="Arial"/>
          <w:i/>
          <w:iCs/>
          <w:sz w:val="22"/>
          <w:szCs w:val="22"/>
        </w:rPr>
        <w:t>Leadership in organizations</w:t>
      </w:r>
      <w:r w:rsidRPr="00711BD6">
        <w:rPr>
          <w:rFonts w:ascii="Arial" w:hAnsi="Arial" w:cs="Arial"/>
          <w:sz w:val="22"/>
          <w:szCs w:val="22"/>
        </w:rPr>
        <w:t xml:space="preserve">. 8th </w:t>
      </w:r>
      <w:proofErr w:type="spellStart"/>
      <w:r w:rsidRPr="00711BD6">
        <w:rPr>
          <w:rFonts w:ascii="Arial" w:hAnsi="Arial" w:cs="Arial"/>
          <w:sz w:val="22"/>
          <w:szCs w:val="22"/>
        </w:rPr>
        <w:t>edn</w:t>
      </w:r>
      <w:proofErr w:type="spellEnd"/>
      <w:r w:rsidRPr="00711BD6">
        <w:rPr>
          <w:rFonts w:ascii="Arial" w:hAnsi="Arial" w:cs="Arial"/>
          <w:sz w:val="22"/>
          <w:szCs w:val="22"/>
        </w:rPr>
        <w:t>. Harlow: Pearson.</w:t>
      </w:r>
    </w:p>
    <w:p w14:paraId="7B45AB86" w14:textId="3835473F" w:rsidR="00711BD6" w:rsidRPr="00711BD6" w:rsidRDefault="00711BD6" w:rsidP="00711BD6">
      <w:pPr>
        <w:rPr>
          <w:rFonts w:ascii="Arial" w:hAnsi="Arial" w:cs="Arial"/>
          <w:sz w:val="22"/>
          <w:szCs w:val="22"/>
        </w:rPr>
      </w:pPr>
      <w:r w:rsidRPr="00711BD6">
        <w:rPr>
          <w:rFonts w:ascii="Arial" w:hAnsi="Arial" w:cs="Arial"/>
          <w:sz w:val="22"/>
          <w:szCs w:val="22"/>
        </w:rPr>
        <w:t xml:space="preserve">Deloitte (2024) </w:t>
      </w:r>
      <w:r w:rsidRPr="00711BD6">
        <w:rPr>
          <w:rFonts w:ascii="Arial" w:hAnsi="Arial" w:cs="Arial"/>
          <w:i/>
          <w:iCs/>
          <w:sz w:val="22"/>
          <w:szCs w:val="22"/>
        </w:rPr>
        <w:t>2024 global automotive consumer study</w:t>
      </w:r>
      <w:r w:rsidRPr="00711BD6">
        <w:rPr>
          <w:rFonts w:ascii="Arial" w:hAnsi="Arial" w:cs="Arial"/>
          <w:sz w:val="22"/>
          <w:szCs w:val="22"/>
        </w:rPr>
        <w:t>. (Accessed: 19 July 2026).</w:t>
      </w:r>
    </w:p>
    <w:p w14:paraId="3AD23A8D" w14:textId="167F99A0" w:rsidR="00711BD6" w:rsidRPr="00711BD6" w:rsidRDefault="00711BD6" w:rsidP="00711BD6">
      <w:pPr>
        <w:rPr>
          <w:rFonts w:ascii="Arial" w:hAnsi="Arial" w:cs="Arial"/>
          <w:sz w:val="22"/>
          <w:szCs w:val="22"/>
        </w:rPr>
      </w:pPr>
      <w:r w:rsidRPr="00711BD6">
        <w:rPr>
          <w:rFonts w:ascii="Arial" w:hAnsi="Arial" w:cs="Arial"/>
          <w:sz w:val="22"/>
          <w:szCs w:val="22"/>
        </w:rPr>
        <w:t xml:space="preserve">McKinsey &amp; Company (2024) </w:t>
      </w:r>
      <w:r w:rsidRPr="00711BD6">
        <w:rPr>
          <w:rFonts w:ascii="Arial" w:hAnsi="Arial" w:cs="Arial"/>
          <w:i/>
          <w:iCs/>
          <w:sz w:val="22"/>
          <w:szCs w:val="22"/>
        </w:rPr>
        <w:t>The future of mobility</w:t>
      </w:r>
      <w:r w:rsidRPr="00711BD6">
        <w:rPr>
          <w:rFonts w:ascii="Arial" w:hAnsi="Arial" w:cs="Arial"/>
          <w:sz w:val="22"/>
          <w:szCs w:val="22"/>
        </w:rPr>
        <w:t xml:space="preserve">. (Accessed: 19 July </w:t>
      </w:r>
      <w:r>
        <w:rPr>
          <w:rFonts w:ascii="Arial" w:hAnsi="Arial" w:cs="Arial"/>
          <w:sz w:val="22"/>
          <w:szCs w:val="22"/>
        </w:rPr>
        <w:t>2026)</w:t>
      </w:r>
    </w:p>
    <w:p w14:paraId="2E1D0B44" w14:textId="16426C0E" w:rsidR="00711BD6" w:rsidRPr="00711BD6" w:rsidRDefault="00711BD6" w:rsidP="00711BD6">
      <w:pPr>
        <w:rPr>
          <w:rFonts w:ascii="Arial" w:hAnsi="Arial" w:cs="Arial"/>
          <w:sz w:val="22"/>
          <w:szCs w:val="22"/>
        </w:rPr>
      </w:pPr>
      <w:r w:rsidRPr="00711BD6">
        <w:rPr>
          <w:rFonts w:ascii="Arial" w:hAnsi="Arial" w:cs="Arial"/>
          <w:sz w:val="22"/>
          <w:szCs w:val="22"/>
        </w:rPr>
        <w:t xml:space="preserve">International Energy Agency (2024) </w:t>
      </w:r>
      <w:r w:rsidRPr="00711BD6">
        <w:rPr>
          <w:rFonts w:ascii="Arial" w:hAnsi="Arial" w:cs="Arial"/>
          <w:i/>
          <w:iCs/>
          <w:sz w:val="22"/>
          <w:szCs w:val="22"/>
        </w:rPr>
        <w:t>Global EV outlook 2024</w:t>
      </w:r>
      <w:r w:rsidRPr="00711BD6">
        <w:rPr>
          <w:rFonts w:ascii="Arial" w:hAnsi="Arial" w:cs="Arial"/>
          <w:sz w:val="22"/>
          <w:szCs w:val="22"/>
        </w:rPr>
        <w:t>. (Accessed: 19 July 2026).</w:t>
      </w:r>
    </w:p>
    <w:p w14:paraId="2B45F397" w14:textId="77777777" w:rsidR="00711BD6" w:rsidRPr="00711BD6" w:rsidRDefault="00711BD6" w:rsidP="00711BD6">
      <w:pPr>
        <w:rPr>
          <w:rFonts w:ascii="Arial" w:hAnsi="Arial" w:cs="Arial"/>
          <w:sz w:val="22"/>
          <w:szCs w:val="22"/>
        </w:rPr>
      </w:pPr>
      <w:r w:rsidRPr="00711BD6">
        <w:rPr>
          <w:rFonts w:ascii="Arial" w:hAnsi="Arial" w:cs="Arial"/>
          <w:sz w:val="22"/>
          <w:szCs w:val="22"/>
        </w:rPr>
        <w:t xml:space="preserve">Burnes, B. and </w:t>
      </w:r>
      <w:proofErr w:type="spellStart"/>
      <w:r w:rsidRPr="00711BD6">
        <w:rPr>
          <w:rFonts w:ascii="Arial" w:hAnsi="Arial" w:cs="Arial"/>
          <w:sz w:val="22"/>
          <w:szCs w:val="22"/>
        </w:rPr>
        <w:t>Bargal</w:t>
      </w:r>
      <w:proofErr w:type="spellEnd"/>
      <w:r w:rsidRPr="00711BD6">
        <w:rPr>
          <w:rFonts w:ascii="Arial" w:hAnsi="Arial" w:cs="Arial"/>
          <w:sz w:val="22"/>
          <w:szCs w:val="22"/>
        </w:rPr>
        <w:t xml:space="preserve">, D. (2017) </w:t>
      </w:r>
      <w:r w:rsidRPr="00711BD6">
        <w:rPr>
          <w:rFonts w:ascii="Arial" w:hAnsi="Arial" w:cs="Arial"/>
          <w:i/>
          <w:iCs/>
          <w:sz w:val="22"/>
          <w:szCs w:val="22"/>
        </w:rPr>
        <w:t>Kurt Lewin: 70 years on</w:t>
      </w:r>
      <w:r w:rsidRPr="00711BD6">
        <w:rPr>
          <w:rFonts w:ascii="Arial" w:hAnsi="Arial" w:cs="Arial"/>
          <w:sz w:val="22"/>
          <w:szCs w:val="22"/>
        </w:rPr>
        <w:t xml:space="preserve">, </w:t>
      </w:r>
      <w:r w:rsidRPr="00711BD6">
        <w:rPr>
          <w:rFonts w:ascii="Arial" w:hAnsi="Arial" w:cs="Arial"/>
          <w:i/>
          <w:iCs/>
          <w:sz w:val="22"/>
          <w:szCs w:val="22"/>
        </w:rPr>
        <w:t>Journal of Change Management</w:t>
      </w:r>
      <w:r w:rsidRPr="00711BD6">
        <w:rPr>
          <w:rFonts w:ascii="Arial" w:hAnsi="Arial" w:cs="Arial"/>
          <w:sz w:val="22"/>
          <w:szCs w:val="22"/>
        </w:rPr>
        <w:t>, 17(2), pp. 91–100.</w:t>
      </w:r>
    </w:p>
    <w:p w14:paraId="6B313918" w14:textId="77777777" w:rsidR="00711BD6" w:rsidRPr="00711BD6" w:rsidRDefault="00711BD6" w:rsidP="00711BD6">
      <w:pPr>
        <w:rPr>
          <w:rFonts w:ascii="Arial" w:hAnsi="Arial" w:cs="Arial"/>
          <w:sz w:val="22"/>
          <w:szCs w:val="22"/>
        </w:rPr>
      </w:pPr>
    </w:p>
    <w:p w14:paraId="3496563E" w14:textId="77777777" w:rsidR="00711BD6" w:rsidRPr="00711BD6" w:rsidRDefault="00711BD6" w:rsidP="00711BD6">
      <w:pPr>
        <w:rPr>
          <w:rFonts w:ascii="Arial" w:hAnsi="Arial" w:cs="Arial"/>
          <w:sz w:val="22"/>
          <w:szCs w:val="22"/>
        </w:rPr>
      </w:pPr>
    </w:p>
    <w:p w14:paraId="51F58147" w14:textId="77777777" w:rsidR="00711BD6" w:rsidRDefault="00711BD6"/>
    <w:sectPr w:rsidR="00711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228B7"/>
    <w:multiLevelType w:val="multilevel"/>
    <w:tmpl w:val="599A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CA557B"/>
    <w:multiLevelType w:val="multilevel"/>
    <w:tmpl w:val="0CBE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E49F5"/>
    <w:multiLevelType w:val="multilevel"/>
    <w:tmpl w:val="F10C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91998">
    <w:abstractNumId w:val="2"/>
  </w:num>
  <w:num w:numId="2" w16cid:durableId="1987278292">
    <w:abstractNumId w:val="1"/>
  </w:num>
  <w:num w:numId="3" w16cid:durableId="2085250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81E"/>
    <w:rsid w:val="0021492A"/>
    <w:rsid w:val="00585E11"/>
    <w:rsid w:val="00696BA5"/>
    <w:rsid w:val="00703B09"/>
    <w:rsid w:val="00711BD6"/>
    <w:rsid w:val="008F740A"/>
    <w:rsid w:val="00930DDE"/>
    <w:rsid w:val="00E14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7CB5C"/>
  <w15:chartTrackingRefBased/>
  <w15:docId w15:val="{8018798E-DF2D-4826-BBCE-CC9A1090F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8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8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8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8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8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8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8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8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8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8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8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8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8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8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8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8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8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81E"/>
    <w:rPr>
      <w:rFonts w:eastAsiaTheme="majorEastAsia" w:cstheme="majorBidi"/>
      <w:color w:val="272727" w:themeColor="text1" w:themeTint="D8"/>
    </w:rPr>
  </w:style>
  <w:style w:type="paragraph" w:styleId="Title">
    <w:name w:val="Title"/>
    <w:basedOn w:val="Normal"/>
    <w:next w:val="Normal"/>
    <w:link w:val="TitleChar"/>
    <w:uiPriority w:val="10"/>
    <w:qFormat/>
    <w:rsid w:val="00E148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8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8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81E"/>
    <w:pPr>
      <w:spacing w:before="160"/>
      <w:jc w:val="center"/>
    </w:pPr>
    <w:rPr>
      <w:i/>
      <w:iCs/>
      <w:color w:val="404040" w:themeColor="text1" w:themeTint="BF"/>
    </w:rPr>
  </w:style>
  <w:style w:type="character" w:customStyle="1" w:styleId="QuoteChar">
    <w:name w:val="Quote Char"/>
    <w:basedOn w:val="DefaultParagraphFont"/>
    <w:link w:val="Quote"/>
    <w:uiPriority w:val="29"/>
    <w:rsid w:val="00E1481E"/>
    <w:rPr>
      <w:i/>
      <w:iCs/>
      <w:color w:val="404040" w:themeColor="text1" w:themeTint="BF"/>
    </w:rPr>
  </w:style>
  <w:style w:type="paragraph" w:styleId="ListParagraph">
    <w:name w:val="List Paragraph"/>
    <w:basedOn w:val="Normal"/>
    <w:uiPriority w:val="34"/>
    <w:qFormat/>
    <w:rsid w:val="00E1481E"/>
    <w:pPr>
      <w:ind w:left="720"/>
      <w:contextualSpacing/>
    </w:pPr>
  </w:style>
  <w:style w:type="character" w:styleId="IntenseEmphasis">
    <w:name w:val="Intense Emphasis"/>
    <w:basedOn w:val="DefaultParagraphFont"/>
    <w:uiPriority w:val="21"/>
    <w:qFormat/>
    <w:rsid w:val="00E1481E"/>
    <w:rPr>
      <w:i/>
      <w:iCs/>
      <w:color w:val="0F4761" w:themeColor="accent1" w:themeShade="BF"/>
    </w:rPr>
  </w:style>
  <w:style w:type="paragraph" w:styleId="IntenseQuote">
    <w:name w:val="Intense Quote"/>
    <w:basedOn w:val="Normal"/>
    <w:next w:val="Normal"/>
    <w:link w:val="IntenseQuoteChar"/>
    <w:uiPriority w:val="30"/>
    <w:qFormat/>
    <w:rsid w:val="00E148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81E"/>
    <w:rPr>
      <w:i/>
      <w:iCs/>
      <w:color w:val="0F4761" w:themeColor="accent1" w:themeShade="BF"/>
    </w:rPr>
  </w:style>
  <w:style w:type="character" w:styleId="IntenseReference">
    <w:name w:val="Intense Reference"/>
    <w:basedOn w:val="DefaultParagraphFont"/>
    <w:uiPriority w:val="32"/>
    <w:qFormat/>
    <w:rsid w:val="00E1481E"/>
    <w:rPr>
      <w:b/>
      <w:bCs/>
      <w:smallCaps/>
      <w:color w:val="0F4761" w:themeColor="accent1" w:themeShade="BF"/>
      <w:spacing w:val="5"/>
    </w:rPr>
  </w:style>
  <w:style w:type="character" w:styleId="SubtleReference">
    <w:name w:val="Subtle Reference"/>
    <w:basedOn w:val="DefaultParagraphFont"/>
    <w:uiPriority w:val="31"/>
    <w:qFormat/>
    <w:rsid w:val="00E1481E"/>
    <w:rPr>
      <w:smallCaps/>
      <w:color w:val="5A5A5A" w:themeColor="text1" w:themeTint="A5"/>
    </w:rPr>
  </w:style>
  <w:style w:type="character" w:styleId="Hyperlink">
    <w:name w:val="Hyperlink"/>
    <w:basedOn w:val="DefaultParagraphFont"/>
    <w:uiPriority w:val="99"/>
    <w:unhideWhenUsed/>
    <w:rsid w:val="00711BD6"/>
    <w:rPr>
      <w:color w:val="467886" w:themeColor="hyperlink"/>
      <w:u w:val="single"/>
    </w:rPr>
  </w:style>
  <w:style w:type="character" w:styleId="UnresolvedMention">
    <w:name w:val="Unresolved Mention"/>
    <w:basedOn w:val="DefaultParagraphFont"/>
    <w:uiPriority w:val="99"/>
    <w:semiHidden/>
    <w:unhideWhenUsed/>
    <w:rsid w:val="00711BD6"/>
    <w:rPr>
      <w:color w:val="605E5C"/>
      <w:shd w:val="clear" w:color="auto" w:fill="E1DFDD"/>
    </w:rPr>
  </w:style>
  <w:style w:type="paragraph" w:styleId="TOCHeading">
    <w:name w:val="TOC Heading"/>
    <w:basedOn w:val="Heading1"/>
    <w:next w:val="Normal"/>
    <w:uiPriority w:val="39"/>
    <w:unhideWhenUsed/>
    <w:qFormat/>
    <w:rsid w:val="008F740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F740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248D7-300B-4C0A-B06B-729B54AA2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5498</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Ariana-Gabriela Bonea (2314969)</dc:creator>
  <cp:keywords/>
  <dc:description/>
  <cp:lastModifiedBy>Ariana-Gabriela Bonea (2314969)</cp:lastModifiedBy>
  <cp:revision>1</cp:revision>
  <dcterms:created xsi:type="dcterms:W3CDTF">2026-07-19T21:21:00Z</dcterms:created>
  <dcterms:modified xsi:type="dcterms:W3CDTF">2026-07-19T21:54:00Z</dcterms:modified>
</cp:coreProperties>
</file>