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D7920" w14:textId="7F5723DA" w:rsidR="000634E2" w:rsidRPr="00050DAE" w:rsidRDefault="00201780" w:rsidP="005314D7">
      <w:pPr>
        <w:pStyle w:val="Title"/>
        <w:jc w:val="center"/>
        <w:rPr>
          <w:rFonts w:asciiTheme="majorBidi" w:hAnsiTheme="majorBidi"/>
        </w:rPr>
      </w:pPr>
      <w:r w:rsidRPr="00050DAE">
        <w:rPr>
          <w:rFonts w:asciiTheme="majorBidi" w:hAnsiTheme="majorBidi"/>
        </w:rPr>
        <w:t>Descent</w:t>
      </w:r>
      <w:r w:rsidR="000634E2" w:rsidRPr="00050DAE">
        <w:rPr>
          <w:rFonts w:asciiTheme="majorBidi" w:hAnsiTheme="majorBidi"/>
        </w:rPr>
        <w:t xml:space="preserve"> </w:t>
      </w:r>
      <w:r w:rsidR="00616D5B" w:rsidRPr="00050DAE">
        <w:rPr>
          <w:rFonts w:asciiTheme="majorBidi" w:hAnsiTheme="majorBidi"/>
        </w:rPr>
        <w:t>A</w:t>
      </w:r>
      <w:r w:rsidR="00F65F10" w:rsidRPr="00050DAE">
        <w:rPr>
          <w:rFonts w:asciiTheme="majorBidi" w:hAnsiTheme="majorBidi"/>
        </w:rPr>
        <w:t xml:space="preserve">cross </w:t>
      </w:r>
      <w:r w:rsidR="000634E2" w:rsidRPr="00050DAE">
        <w:rPr>
          <w:rFonts w:asciiTheme="majorBidi" w:hAnsiTheme="majorBidi"/>
        </w:rPr>
        <w:t>Time and Space</w:t>
      </w:r>
    </w:p>
    <w:p w14:paraId="6FF90945" w14:textId="77777777" w:rsidR="0068461D" w:rsidRPr="00050DAE" w:rsidRDefault="0068461D" w:rsidP="0068461D">
      <w:pPr>
        <w:rPr>
          <w:rFonts w:asciiTheme="majorBidi" w:hAnsiTheme="majorBidi" w:cstheme="majorBidi"/>
          <w:sz w:val="28"/>
          <w:szCs w:val="28"/>
        </w:rPr>
      </w:pPr>
    </w:p>
    <w:p w14:paraId="633EFC20" w14:textId="54A5B9B0" w:rsidR="0068461D" w:rsidRPr="00050DAE" w:rsidRDefault="0068461D" w:rsidP="0068461D">
      <w:pPr>
        <w:jc w:val="center"/>
        <w:rPr>
          <w:rFonts w:asciiTheme="majorBidi" w:hAnsiTheme="majorBidi" w:cstheme="majorBidi"/>
          <w:sz w:val="28"/>
          <w:szCs w:val="28"/>
        </w:rPr>
      </w:pPr>
      <w:r w:rsidRPr="00050DAE">
        <w:rPr>
          <w:rFonts w:asciiTheme="majorBidi" w:hAnsiTheme="majorBidi" w:cstheme="majorBidi"/>
          <w:sz w:val="28"/>
          <w:szCs w:val="28"/>
        </w:rPr>
        <w:t>Kyle T. Cobb, Jr.</w:t>
      </w:r>
    </w:p>
    <w:p w14:paraId="5DC76DC8" w14:textId="77777777" w:rsidR="0034442B" w:rsidRPr="00050DAE" w:rsidRDefault="0034442B" w:rsidP="0034442B">
      <w:pPr>
        <w:rPr>
          <w:rFonts w:asciiTheme="majorBidi" w:hAnsiTheme="majorBidi" w:cstheme="majorBidi"/>
        </w:rPr>
      </w:pPr>
    </w:p>
    <w:p w14:paraId="748589AE" w14:textId="27C92EE0" w:rsidR="00CD1520" w:rsidRPr="00050DAE" w:rsidRDefault="0034442B" w:rsidP="00ED6AE8">
      <w:pPr>
        <w:jc w:val="center"/>
        <w:rPr>
          <w:rFonts w:asciiTheme="majorBidi" w:hAnsiTheme="majorBidi" w:cstheme="majorBidi"/>
        </w:rPr>
      </w:pPr>
      <w:r w:rsidRPr="00050DAE">
        <w:rPr>
          <w:rFonts w:asciiTheme="majorBidi" w:hAnsiTheme="majorBidi" w:cstheme="majorBidi"/>
          <w:noProof/>
        </w:rPr>
        <w:drawing>
          <wp:inline distT="0" distB="0" distL="0" distR="0" wp14:anchorId="040D8D90" wp14:editId="2DFDF841">
            <wp:extent cx="3277490" cy="3219450"/>
            <wp:effectExtent l="0" t="0" r="0" b="0"/>
            <wp:docPr id="1178132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32419" name="Picture 1178132419"/>
                    <pic:cNvPicPr/>
                  </pic:nvPicPr>
                  <pic:blipFill rotWithShape="1">
                    <a:blip r:embed="rId8" cstate="print">
                      <a:extLst>
                        <a:ext uri="{BEBA8EAE-BF5A-486C-A8C5-ECC9F3942E4B}">
                          <a14:imgProps xmlns:a14="http://schemas.microsoft.com/office/drawing/2010/main">
                            <a14:imgLayer r:embed="rId9">
                              <a14:imgEffect>
                                <a14:backgroundRemoval t="0" b="100000" l="0" r="100000">
                                  <a14:foregroundMark x1="25490" y1="95880" x2="15931" y2="82022"/>
                                  <a14:foregroundMark x1="15931" y1="82022" x2="9926" y2="51436"/>
                                  <a14:foregroundMark x1="9926" y1="51436" x2="16176" y2="34956"/>
                                  <a14:foregroundMark x1="16176" y1="34956" x2="24387" y2="25968"/>
                                  <a14:foregroundMark x1="24387" y1="25968" x2="29902" y2="24095"/>
                                  <a14:foregroundMark x1="3799" y1="31086" x2="3554" y2="12484"/>
                                  <a14:foregroundMark x1="3554" y1="12484" x2="25613" y2="2996"/>
                                  <a14:foregroundMark x1="11642" y1="2372" x2="0" y2="8240"/>
                                  <a14:foregroundMark x1="10417" y1="96005" x2="1716" y2="76654"/>
                                  <a14:foregroundMark x1="1716" y1="76654" x2="3186" y2="35081"/>
                                  <a14:foregroundMark x1="99020" y1="98627" x2="38848" y2="95006"/>
                                  <a14:foregroundMark x1="38725" y1="95006" x2="22672" y2="99750"/>
                                  <a14:foregroundMark x1="7721" y1="98127" x2="22549" y2="99750"/>
                                  <a14:foregroundMark x1="7721" y1="98127" x2="3064" y2="85019"/>
                                  <a14:foregroundMark x1="3064" y1="85019" x2="2574" y2="73408"/>
                                  <a14:foregroundMark x1="1716" y1="93758" x2="858" y2="47815"/>
                                  <a14:foregroundMark x1="2819" y1="999" x2="0" y2="6242"/>
                                  <a14:foregroundMark x1="19363" y1="0" x2="2941" y2="874"/>
                                  <a14:foregroundMark x1="79779" y1="0" x2="99877" y2="4494"/>
                                  <a14:foregroundMark x1="28064" y1="99625" x2="35539" y2="99875"/>
                                  <a14:foregroundMark x1="73897" y1="98752" x2="64216" y2="99875"/>
                                  <a14:foregroundMark x1="74020" y1="98752" x2="82966" y2="99875"/>
                                  <a14:foregroundMark x1="0" y1="93508" x2="5515" y2="99875"/>
                                  <a14:foregroundMark x1="490" y1="93883" x2="490" y2="9987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296019" cy="3237651"/>
                    </a:xfrm>
                    <a:prstGeom prst="rect">
                      <a:avLst/>
                    </a:prstGeom>
                    <a:ln>
                      <a:noFill/>
                    </a:ln>
                    <a:extLst>
                      <a:ext uri="{53640926-AAD7-44D8-BBD7-CCE9431645EC}">
                        <a14:shadowObscured xmlns:a14="http://schemas.microsoft.com/office/drawing/2010/main"/>
                      </a:ext>
                    </a:extLst>
                  </pic:spPr>
                </pic:pic>
              </a:graphicData>
            </a:graphic>
          </wp:inline>
        </w:drawing>
      </w:r>
    </w:p>
    <w:p w14:paraId="36C036D2" w14:textId="77777777" w:rsidR="00B32F99" w:rsidRPr="00050DAE" w:rsidRDefault="00B32F99" w:rsidP="00B32F99">
      <w:pPr>
        <w:rPr>
          <w:rFonts w:asciiTheme="majorBidi" w:hAnsiTheme="majorBidi" w:cstheme="majorBidi"/>
        </w:rPr>
      </w:pPr>
    </w:p>
    <w:p w14:paraId="782CF870" w14:textId="77777777" w:rsidR="00B32F99" w:rsidRPr="00050DAE" w:rsidRDefault="00B32F99" w:rsidP="00B32F99">
      <w:pPr>
        <w:jc w:val="center"/>
        <w:rPr>
          <w:rFonts w:asciiTheme="majorBidi" w:hAnsiTheme="majorBidi" w:cstheme="majorBidi"/>
        </w:rPr>
      </w:pPr>
      <w:r w:rsidRPr="00050DAE">
        <w:rPr>
          <w:rFonts w:asciiTheme="majorBidi" w:hAnsiTheme="majorBidi" w:cstheme="majorBidi"/>
        </w:rPr>
        <w:t>2317833</w:t>
      </w:r>
    </w:p>
    <w:p w14:paraId="75039492" w14:textId="77777777" w:rsidR="00B32F99" w:rsidRPr="00050DAE" w:rsidRDefault="00B32F99" w:rsidP="00B32F99">
      <w:pPr>
        <w:jc w:val="center"/>
        <w:rPr>
          <w:rFonts w:asciiTheme="majorBidi" w:hAnsiTheme="majorBidi" w:cstheme="majorBidi"/>
        </w:rPr>
      </w:pPr>
    </w:p>
    <w:p w14:paraId="2B155D9C" w14:textId="76671E8C" w:rsidR="00B32F99" w:rsidRPr="00050DAE" w:rsidRDefault="00B32F99" w:rsidP="00B32F99">
      <w:pPr>
        <w:jc w:val="center"/>
        <w:rPr>
          <w:rFonts w:asciiTheme="majorBidi" w:hAnsiTheme="majorBidi" w:cstheme="majorBidi"/>
          <w:b/>
          <w:bCs/>
          <w:u w:val="single"/>
        </w:rPr>
        <w:sectPr w:rsidR="00B32F99" w:rsidRPr="00050DAE" w:rsidSect="00504FF2">
          <w:footerReference w:type="default" r:id="rId10"/>
          <w:pgSz w:w="11906" w:h="16838"/>
          <w:pgMar w:top="1440" w:right="1440" w:bottom="1440" w:left="1440" w:header="720" w:footer="720" w:gutter="0"/>
          <w:cols w:space="720"/>
          <w:docGrid w:linePitch="360"/>
        </w:sectPr>
      </w:pPr>
      <w:r w:rsidRPr="00050DAE">
        <w:rPr>
          <w:rFonts w:asciiTheme="majorBidi" w:hAnsiTheme="majorBidi" w:cstheme="majorBidi"/>
        </w:rPr>
        <w:t xml:space="preserve">Submitted </w:t>
      </w:r>
      <w:r w:rsidR="00D121B1">
        <w:rPr>
          <w:rFonts w:asciiTheme="majorBidi" w:hAnsiTheme="majorBidi" w:cstheme="majorBidi"/>
        </w:rPr>
        <w:t xml:space="preserve">July </w:t>
      </w:r>
      <w:r w:rsidRPr="00050DAE">
        <w:rPr>
          <w:rFonts w:asciiTheme="majorBidi" w:hAnsiTheme="majorBidi" w:cstheme="majorBidi"/>
        </w:rPr>
        <w:t>2026</w:t>
      </w:r>
    </w:p>
    <w:p w14:paraId="71FE1598" w14:textId="0C247034" w:rsidR="00DF319B" w:rsidRPr="00050DAE" w:rsidRDefault="00DF319B" w:rsidP="00DF319B">
      <w:pPr>
        <w:pStyle w:val="UWTSDindent"/>
      </w:pPr>
      <w:r w:rsidRPr="00050DAE">
        <w:rPr>
          <w:noProof/>
        </w:rPr>
        <w:lastRenderedPageBreak/>
        <w:drawing>
          <wp:inline distT="0" distB="0" distL="0" distR="0" wp14:anchorId="40595241" wp14:editId="59218F70">
            <wp:extent cx="1858010" cy="760730"/>
            <wp:effectExtent l="0" t="0" r="0" b="1270"/>
            <wp:docPr id="1939485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8010" cy="760730"/>
                    </a:xfrm>
                    <a:prstGeom prst="rect">
                      <a:avLst/>
                    </a:prstGeom>
                    <a:noFill/>
                    <a:ln>
                      <a:noFill/>
                    </a:ln>
                  </pic:spPr>
                </pic:pic>
              </a:graphicData>
            </a:graphic>
          </wp:inline>
        </w:drawing>
      </w:r>
    </w:p>
    <w:p w14:paraId="3B8F66FF"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jc w:val="center"/>
        <w:rPr>
          <w:rFonts w:asciiTheme="majorBidi" w:hAnsiTheme="majorBidi" w:cstheme="majorBidi"/>
          <w:sz w:val="24"/>
          <w:szCs w:val="24"/>
        </w:rPr>
      </w:pPr>
      <w:r w:rsidRPr="00050DAE">
        <w:rPr>
          <w:rFonts w:asciiTheme="majorBidi" w:hAnsiTheme="majorBidi" w:cstheme="majorBidi"/>
          <w:b/>
          <w:sz w:val="24"/>
          <w:szCs w:val="24"/>
        </w:rPr>
        <w:t>Master’s Degrees by Examination and Dissertation</w:t>
      </w:r>
    </w:p>
    <w:p w14:paraId="076F2B5E"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jc w:val="center"/>
        <w:rPr>
          <w:rFonts w:asciiTheme="majorBidi" w:hAnsiTheme="majorBidi" w:cstheme="majorBidi"/>
          <w:sz w:val="24"/>
          <w:szCs w:val="24"/>
        </w:rPr>
      </w:pPr>
      <w:r w:rsidRPr="00050DAE">
        <w:rPr>
          <w:rFonts w:asciiTheme="majorBidi" w:hAnsiTheme="majorBidi" w:cstheme="majorBidi"/>
          <w:b/>
          <w:sz w:val="24"/>
          <w:szCs w:val="24"/>
        </w:rPr>
        <w:t>Declaration Form</w:t>
      </w:r>
    </w:p>
    <w:p w14:paraId="4EDF69BF"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r w:rsidRPr="00050DAE">
        <w:rPr>
          <w:rFonts w:asciiTheme="majorBidi" w:hAnsiTheme="majorBidi" w:cstheme="majorBidi"/>
          <w:sz w:val="24"/>
          <w:szCs w:val="24"/>
        </w:rPr>
        <w:t>1. This work has not previously been accepted in substance for any degree and is not being concurrently submitted in candidature for any degree.</w:t>
      </w:r>
    </w:p>
    <w:p w14:paraId="6BE8B1DB"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 xml:space="preserve">Name  </w:t>
      </w:r>
      <w:r w:rsidRPr="00050DAE">
        <w:rPr>
          <w:rFonts w:asciiTheme="majorBidi" w:hAnsiTheme="majorBidi" w:cstheme="majorBidi"/>
          <w:sz w:val="24"/>
          <w:szCs w:val="24"/>
          <w:u w:val="single"/>
        </w:rPr>
        <w:t>Kyle Truman, Cobb, Jr.</w:t>
      </w:r>
    </w:p>
    <w:p w14:paraId="58FC06DC"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 xml:space="preserve">Date </w:t>
      </w:r>
      <w:r w:rsidRPr="00050DAE">
        <w:rPr>
          <w:rFonts w:asciiTheme="majorBidi" w:hAnsiTheme="majorBidi" w:cstheme="majorBidi"/>
          <w:sz w:val="24"/>
          <w:szCs w:val="24"/>
          <w:u w:val="single"/>
        </w:rPr>
        <w:t>4 July 2026</w:t>
      </w:r>
    </w:p>
    <w:p w14:paraId="2F3DB7DC"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r w:rsidRPr="00050DAE">
        <w:rPr>
          <w:rFonts w:asciiTheme="majorBidi" w:hAnsiTheme="majorBidi" w:cstheme="majorBidi"/>
          <w:sz w:val="24"/>
          <w:szCs w:val="24"/>
        </w:rPr>
        <w:t xml:space="preserve">2. This dissertation is being submitted in partial fulfilment of the requirements for the degree of </w:t>
      </w:r>
    </w:p>
    <w:p w14:paraId="6DC33CB9"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jc w:val="center"/>
        <w:rPr>
          <w:rFonts w:asciiTheme="majorBidi" w:hAnsiTheme="majorBidi" w:cstheme="majorBidi"/>
          <w:b/>
          <w:bCs/>
          <w:sz w:val="24"/>
          <w:szCs w:val="24"/>
        </w:rPr>
      </w:pPr>
      <w:r w:rsidRPr="00050DAE">
        <w:rPr>
          <w:rFonts w:asciiTheme="majorBidi" w:hAnsiTheme="majorBidi" w:cstheme="majorBidi"/>
          <w:b/>
          <w:bCs/>
          <w:sz w:val="24"/>
          <w:szCs w:val="24"/>
        </w:rPr>
        <w:t>Masters of the Arts in Ancient Religions</w:t>
      </w:r>
    </w:p>
    <w:p w14:paraId="75FD822F"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 xml:space="preserve">Name  </w:t>
      </w:r>
      <w:r w:rsidRPr="00050DAE">
        <w:rPr>
          <w:rFonts w:asciiTheme="majorBidi" w:hAnsiTheme="majorBidi" w:cstheme="majorBidi"/>
          <w:sz w:val="24"/>
          <w:szCs w:val="24"/>
          <w:u w:val="single"/>
        </w:rPr>
        <w:t>Kyle Truman, Cobb, Jr.</w:t>
      </w:r>
    </w:p>
    <w:p w14:paraId="19784461"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 xml:space="preserve">Date   </w:t>
      </w:r>
      <w:r w:rsidRPr="00050DAE">
        <w:rPr>
          <w:rFonts w:asciiTheme="majorBidi" w:hAnsiTheme="majorBidi" w:cstheme="majorBidi"/>
          <w:sz w:val="24"/>
          <w:szCs w:val="24"/>
          <w:u w:val="single"/>
        </w:rPr>
        <w:t>4 July 2026</w:t>
      </w:r>
    </w:p>
    <w:p w14:paraId="35E40818"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r w:rsidRPr="00050DAE">
        <w:rPr>
          <w:rFonts w:asciiTheme="majorBidi" w:hAnsiTheme="majorBidi" w:cstheme="majorBidi"/>
          <w:sz w:val="24"/>
          <w:szCs w:val="24"/>
        </w:rPr>
        <w:t>3. This dissertation is the result of my own independent work/investigation, except where otherwise stated.</w:t>
      </w:r>
    </w:p>
    <w:p w14:paraId="081745CE"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r w:rsidRPr="00050DAE">
        <w:rPr>
          <w:rFonts w:asciiTheme="majorBidi" w:hAnsiTheme="majorBidi" w:cstheme="majorBidi"/>
          <w:sz w:val="24"/>
          <w:szCs w:val="24"/>
        </w:rPr>
        <w:t xml:space="preserve">Other sources are acknowledged by footnotes giving explicit references. </w:t>
      </w:r>
    </w:p>
    <w:p w14:paraId="7FDDB571"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r w:rsidRPr="00050DAE">
        <w:rPr>
          <w:rFonts w:asciiTheme="majorBidi" w:hAnsiTheme="majorBidi" w:cstheme="majorBidi"/>
          <w:sz w:val="24"/>
          <w:szCs w:val="24"/>
        </w:rPr>
        <w:t>A bibliography is appended.</w:t>
      </w:r>
    </w:p>
    <w:p w14:paraId="7786A66F"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 xml:space="preserve">Name  </w:t>
      </w:r>
      <w:r w:rsidRPr="00050DAE">
        <w:rPr>
          <w:rFonts w:asciiTheme="majorBidi" w:hAnsiTheme="majorBidi" w:cstheme="majorBidi"/>
          <w:sz w:val="24"/>
          <w:szCs w:val="24"/>
          <w:u w:val="single"/>
        </w:rPr>
        <w:t>Kyle Truman, Cobb, Jr.</w:t>
      </w:r>
    </w:p>
    <w:p w14:paraId="03ABF03B"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 xml:space="preserve">Date:  </w:t>
      </w:r>
      <w:r w:rsidRPr="00050DAE">
        <w:rPr>
          <w:rFonts w:asciiTheme="majorBidi" w:hAnsiTheme="majorBidi" w:cstheme="majorBidi"/>
          <w:sz w:val="24"/>
          <w:szCs w:val="24"/>
          <w:u w:val="single"/>
        </w:rPr>
        <w:t>4 July 2026</w:t>
      </w:r>
      <w:r w:rsidRPr="00050DAE">
        <w:rPr>
          <w:rFonts w:asciiTheme="majorBidi" w:hAnsiTheme="majorBidi" w:cstheme="majorBidi"/>
          <w:sz w:val="24"/>
          <w:szCs w:val="24"/>
        </w:rPr>
        <w:t xml:space="preserve">  </w:t>
      </w:r>
    </w:p>
    <w:p w14:paraId="762BBD4E"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r w:rsidRPr="00050DAE">
        <w:rPr>
          <w:rFonts w:asciiTheme="majorBidi" w:hAnsiTheme="majorBidi" w:cstheme="majorBidi"/>
          <w:sz w:val="24"/>
          <w:szCs w:val="24"/>
        </w:rPr>
        <w:t xml:space="preserve">4. I hereby give consent for my dissertation, if accepted, to be available for photocopying, inter- library loan, and for deposit in the University’s digital repository </w:t>
      </w:r>
    </w:p>
    <w:p w14:paraId="070A4A2F" w14:textId="3F705949"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 xml:space="preserve">Name  </w:t>
      </w:r>
      <w:r w:rsidRPr="00050DAE">
        <w:rPr>
          <w:rFonts w:asciiTheme="majorBidi" w:hAnsiTheme="majorBidi" w:cstheme="majorBidi"/>
          <w:sz w:val="24"/>
          <w:szCs w:val="24"/>
          <w:u w:val="single"/>
        </w:rPr>
        <w:t>Kyle Truman, Cobb, Jr.</w:t>
      </w:r>
      <w:r w:rsidRPr="00050DAE">
        <w:rPr>
          <w:rFonts w:asciiTheme="majorBidi" w:hAnsiTheme="majorBidi" w:cstheme="majorBidi"/>
          <w:noProof/>
        </w:rPr>
        <w:t xml:space="preserve"> </w:t>
      </w:r>
      <w:r w:rsidRPr="00050DAE">
        <w:rPr>
          <w:rFonts w:asciiTheme="majorBidi" w:hAnsiTheme="majorBidi" w:cstheme="majorBidi"/>
          <w:noProof/>
        </w:rPr>
        <w:drawing>
          <wp:inline distT="0" distB="0" distL="0" distR="0" wp14:anchorId="0E0479AB" wp14:editId="4A8FAACD">
            <wp:extent cx="818702" cy="406915"/>
            <wp:effectExtent l="0" t="0" r="635" b="0"/>
            <wp:docPr id="812929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2642" cy="413844"/>
                    </a:xfrm>
                    <a:prstGeom prst="rect">
                      <a:avLst/>
                    </a:prstGeom>
                    <a:noFill/>
                    <a:ln>
                      <a:noFill/>
                    </a:ln>
                  </pic:spPr>
                </pic:pic>
              </a:graphicData>
            </a:graphic>
          </wp:inline>
        </w:drawing>
      </w:r>
    </w:p>
    <w:p w14:paraId="30CC8F78"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 xml:space="preserve">Date  </w:t>
      </w:r>
      <w:r w:rsidRPr="00050DAE">
        <w:rPr>
          <w:rFonts w:asciiTheme="majorBidi" w:hAnsiTheme="majorBidi" w:cstheme="majorBidi"/>
          <w:sz w:val="24"/>
          <w:szCs w:val="24"/>
          <w:u w:val="single"/>
        </w:rPr>
        <w:t>4 July 2026</w:t>
      </w:r>
      <w:r w:rsidRPr="00050DAE">
        <w:rPr>
          <w:rFonts w:asciiTheme="majorBidi" w:hAnsiTheme="majorBidi" w:cstheme="majorBidi"/>
          <w:sz w:val="24"/>
          <w:szCs w:val="24"/>
        </w:rPr>
        <w:t xml:space="preserve">  </w:t>
      </w:r>
    </w:p>
    <w:p w14:paraId="32A8B062"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r w:rsidRPr="00050DAE">
        <w:rPr>
          <w:rFonts w:asciiTheme="majorBidi" w:hAnsiTheme="majorBidi" w:cstheme="majorBidi"/>
          <w:b/>
          <w:sz w:val="24"/>
          <w:szCs w:val="24"/>
        </w:rPr>
        <w:t>Supervisor’s Declaration</w:t>
      </w:r>
      <w:r w:rsidRPr="00050DAE">
        <w:rPr>
          <w:rFonts w:asciiTheme="majorBidi" w:hAnsiTheme="majorBidi" w:cstheme="majorBidi"/>
          <w:sz w:val="24"/>
          <w:szCs w:val="24"/>
        </w:rPr>
        <w:t>.</w:t>
      </w:r>
    </w:p>
    <w:p w14:paraId="0C836583"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r w:rsidRPr="00050DAE">
        <w:rPr>
          <w:rFonts w:asciiTheme="majorBidi" w:hAnsiTheme="majorBidi" w:cstheme="majorBidi"/>
          <w:sz w:val="24"/>
          <w:szCs w:val="24"/>
        </w:rPr>
        <w:t>I am satisfied that this work is the result of the student’s own efforts.</w:t>
      </w:r>
    </w:p>
    <w:p w14:paraId="641E6EA7"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rPr>
          <w:rFonts w:asciiTheme="majorBidi" w:hAnsiTheme="majorBidi" w:cstheme="majorBidi"/>
          <w:sz w:val="24"/>
          <w:szCs w:val="24"/>
        </w:rPr>
      </w:pPr>
    </w:p>
    <w:p w14:paraId="27DA1820"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rPr>
          <w:rFonts w:asciiTheme="majorBidi" w:hAnsiTheme="majorBidi" w:cstheme="majorBidi"/>
          <w:sz w:val="24"/>
          <w:szCs w:val="24"/>
        </w:rPr>
      </w:pPr>
      <w:r w:rsidRPr="00050DAE">
        <w:rPr>
          <w:rFonts w:asciiTheme="majorBidi" w:hAnsiTheme="majorBidi" w:cstheme="majorBidi"/>
          <w:sz w:val="24"/>
          <w:szCs w:val="24"/>
        </w:rPr>
        <w:t>Signed:  …………………………………………………………………………...</w:t>
      </w:r>
    </w:p>
    <w:p w14:paraId="74DC4CAD" w14:textId="77777777" w:rsidR="00DF319B" w:rsidRPr="00050DAE" w:rsidRDefault="00DF319B" w:rsidP="00DF319B">
      <w:pPr>
        <w:pBdr>
          <w:top w:val="single" w:sz="4" w:space="1" w:color="auto"/>
          <w:left w:val="single" w:sz="4" w:space="4" w:color="auto"/>
          <w:bottom w:val="single" w:sz="4" w:space="1" w:color="auto"/>
          <w:right w:val="single" w:sz="4" w:space="4" w:color="auto"/>
        </w:pBdr>
        <w:spacing w:after="120" w:line="360" w:lineRule="auto"/>
        <w:jc w:val="both"/>
        <w:rPr>
          <w:rFonts w:asciiTheme="majorBidi" w:hAnsiTheme="majorBidi" w:cstheme="majorBidi"/>
          <w:sz w:val="24"/>
          <w:szCs w:val="24"/>
        </w:rPr>
      </w:pPr>
      <w:r w:rsidRPr="00050DAE">
        <w:rPr>
          <w:rFonts w:asciiTheme="majorBidi" w:hAnsiTheme="majorBidi" w:cstheme="majorBidi"/>
          <w:sz w:val="24"/>
          <w:szCs w:val="24"/>
        </w:rPr>
        <w:t>Date: …………………………………………………………………………..</w:t>
      </w:r>
    </w:p>
    <w:p w14:paraId="3E4197BE" w14:textId="77777777" w:rsidR="004F128E" w:rsidRPr="00050DAE" w:rsidRDefault="004F128E">
      <w:pPr>
        <w:rPr>
          <w:rFonts w:asciiTheme="majorBidi" w:hAnsiTheme="majorBidi" w:cstheme="majorBidi"/>
          <w:u w:val="single"/>
        </w:rPr>
      </w:pPr>
      <w:r w:rsidRPr="00050DAE">
        <w:rPr>
          <w:rFonts w:asciiTheme="majorBidi" w:hAnsiTheme="majorBidi" w:cstheme="majorBidi"/>
          <w:u w:val="single"/>
        </w:rPr>
        <w:br w:type="page"/>
      </w:r>
    </w:p>
    <w:p w14:paraId="13E3269C" w14:textId="77777777" w:rsidR="0034442B" w:rsidRPr="00050DAE" w:rsidRDefault="0034442B" w:rsidP="004F128E">
      <w:pPr>
        <w:rPr>
          <w:rFonts w:asciiTheme="majorBidi" w:hAnsiTheme="majorBidi" w:cstheme="majorBidi"/>
          <w:b/>
        </w:rPr>
        <w:sectPr w:rsidR="0034442B" w:rsidRPr="00050DAE" w:rsidSect="00504FF2">
          <w:headerReference w:type="default" r:id="rId13"/>
          <w:pgSz w:w="11906" w:h="16838"/>
          <w:pgMar w:top="1440" w:right="1440" w:bottom="1440" w:left="1440" w:header="720" w:footer="720" w:gutter="0"/>
          <w:cols w:space="720"/>
          <w:docGrid w:linePitch="360"/>
        </w:sectPr>
      </w:pPr>
    </w:p>
    <w:p w14:paraId="32687DA0" w14:textId="6966FA5B" w:rsidR="00F65F10" w:rsidRPr="00050DAE" w:rsidRDefault="00F65F10" w:rsidP="00E80646">
      <w:pPr>
        <w:pStyle w:val="Title"/>
        <w:jc w:val="center"/>
        <w:rPr>
          <w:rFonts w:asciiTheme="majorBidi" w:hAnsiTheme="majorBidi"/>
        </w:rPr>
      </w:pPr>
      <w:r w:rsidRPr="00050DAE">
        <w:rPr>
          <w:rFonts w:asciiTheme="majorBidi" w:hAnsiTheme="majorBidi"/>
        </w:rPr>
        <w:t xml:space="preserve">Descent </w:t>
      </w:r>
      <w:r w:rsidR="00616D5B" w:rsidRPr="00050DAE">
        <w:rPr>
          <w:rFonts w:asciiTheme="majorBidi" w:hAnsiTheme="majorBidi"/>
        </w:rPr>
        <w:t>A</w:t>
      </w:r>
      <w:r w:rsidRPr="00050DAE">
        <w:rPr>
          <w:rFonts w:asciiTheme="majorBidi" w:hAnsiTheme="majorBidi"/>
        </w:rPr>
        <w:t>cross Time and Space</w:t>
      </w:r>
    </w:p>
    <w:p w14:paraId="1885223D" w14:textId="53AD176C" w:rsidR="00504FF2" w:rsidRPr="00050DAE" w:rsidRDefault="00504FF2" w:rsidP="000634E2">
      <w:pPr>
        <w:pStyle w:val="Subtitle"/>
        <w:rPr>
          <w:rFonts w:asciiTheme="majorBidi" w:hAnsiTheme="majorBidi"/>
          <w:color w:val="auto"/>
        </w:rPr>
      </w:pPr>
      <w:r w:rsidRPr="00050DAE">
        <w:rPr>
          <w:rStyle w:val="FootnoteReference"/>
          <w:rFonts w:asciiTheme="majorBidi" w:hAnsiTheme="majorBidi"/>
          <w:vanish/>
          <w:color w:val="auto"/>
          <w:u w:val="single"/>
        </w:rPr>
        <w:footnoteReference w:id="1"/>
      </w:r>
    </w:p>
    <w:p w14:paraId="0382A855" w14:textId="1C22C101" w:rsidR="001F6D2A" w:rsidRPr="00050DAE" w:rsidRDefault="008D36D3">
      <w:pPr>
        <w:pStyle w:val="TOC1"/>
        <w:rPr>
          <w:rFonts w:asciiTheme="majorBidi" w:eastAsiaTheme="minorEastAsia" w:hAnsiTheme="majorBidi" w:cstheme="majorBidi"/>
          <w:sz w:val="24"/>
          <w:szCs w:val="24"/>
          <w:lang w:eastAsia="en-GB"/>
        </w:rPr>
      </w:pPr>
      <w:r w:rsidRPr="00050DAE">
        <w:rPr>
          <w:rFonts w:asciiTheme="majorBidi" w:hAnsiTheme="majorBidi" w:cstheme="majorBidi"/>
        </w:rPr>
        <w:fldChar w:fldCharType="begin"/>
      </w:r>
      <w:r w:rsidRPr="00050DAE">
        <w:rPr>
          <w:rFonts w:asciiTheme="majorBidi" w:hAnsiTheme="majorBidi" w:cstheme="majorBidi"/>
        </w:rPr>
        <w:instrText xml:space="preserve"> TOC \o "1-1" \h \z \u </w:instrText>
      </w:r>
      <w:r w:rsidRPr="00050DAE">
        <w:rPr>
          <w:rFonts w:asciiTheme="majorBidi" w:hAnsiTheme="majorBidi" w:cstheme="majorBidi"/>
        </w:rPr>
        <w:fldChar w:fldCharType="separate"/>
      </w:r>
      <w:hyperlink w:anchor="_Toc234154364" w:history="1">
        <w:r w:rsidR="001F6D2A" w:rsidRPr="00050DAE">
          <w:rPr>
            <w:rStyle w:val="Hyperlink"/>
            <w:rFonts w:asciiTheme="majorBidi" w:hAnsiTheme="majorBidi" w:cstheme="majorBidi"/>
          </w:rPr>
          <w:t>Introduction</w:t>
        </w:r>
        <w:r w:rsidR="001F6D2A" w:rsidRPr="00050DAE">
          <w:rPr>
            <w:rFonts w:asciiTheme="majorBidi" w:hAnsiTheme="majorBidi" w:cstheme="majorBidi"/>
            <w:webHidden/>
          </w:rPr>
          <w:tab/>
        </w:r>
        <w:r w:rsidR="001F6D2A" w:rsidRPr="00050DAE">
          <w:rPr>
            <w:rFonts w:asciiTheme="majorBidi" w:hAnsiTheme="majorBidi" w:cstheme="majorBidi"/>
            <w:webHidden/>
          </w:rPr>
          <w:fldChar w:fldCharType="begin"/>
        </w:r>
        <w:r w:rsidR="001F6D2A" w:rsidRPr="00050DAE">
          <w:rPr>
            <w:rFonts w:asciiTheme="majorBidi" w:hAnsiTheme="majorBidi" w:cstheme="majorBidi"/>
            <w:webHidden/>
          </w:rPr>
          <w:instrText xml:space="preserve"> PAGEREF _Toc234154364 \h </w:instrText>
        </w:r>
        <w:r w:rsidR="001F6D2A" w:rsidRPr="00050DAE">
          <w:rPr>
            <w:rFonts w:asciiTheme="majorBidi" w:hAnsiTheme="majorBidi" w:cstheme="majorBidi"/>
            <w:webHidden/>
          </w:rPr>
        </w:r>
        <w:r w:rsidR="001F6D2A" w:rsidRPr="00050DAE">
          <w:rPr>
            <w:rFonts w:asciiTheme="majorBidi" w:hAnsiTheme="majorBidi" w:cstheme="majorBidi"/>
            <w:webHidden/>
          </w:rPr>
          <w:fldChar w:fldCharType="separate"/>
        </w:r>
        <w:r w:rsidR="009D2921">
          <w:rPr>
            <w:rFonts w:asciiTheme="majorBidi" w:hAnsiTheme="majorBidi" w:cstheme="majorBidi"/>
            <w:webHidden/>
          </w:rPr>
          <w:t>1</w:t>
        </w:r>
        <w:r w:rsidR="001F6D2A" w:rsidRPr="00050DAE">
          <w:rPr>
            <w:rFonts w:asciiTheme="majorBidi" w:hAnsiTheme="majorBidi" w:cstheme="majorBidi"/>
            <w:webHidden/>
          </w:rPr>
          <w:fldChar w:fldCharType="end"/>
        </w:r>
      </w:hyperlink>
    </w:p>
    <w:p w14:paraId="46807B47" w14:textId="2C2E3E06" w:rsidR="001F6D2A" w:rsidRPr="00050DAE" w:rsidRDefault="001F6D2A">
      <w:pPr>
        <w:pStyle w:val="TOC1"/>
        <w:rPr>
          <w:rFonts w:asciiTheme="majorBidi" w:eastAsiaTheme="minorEastAsia" w:hAnsiTheme="majorBidi" w:cstheme="majorBidi"/>
          <w:sz w:val="24"/>
          <w:szCs w:val="24"/>
          <w:lang w:eastAsia="en-GB"/>
        </w:rPr>
      </w:pPr>
      <w:hyperlink w:anchor="_Toc234154365" w:history="1">
        <w:r w:rsidRPr="00050DAE">
          <w:rPr>
            <w:rStyle w:val="Hyperlink"/>
            <w:rFonts w:asciiTheme="majorBidi" w:hAnsiTheme="majorBidi" w:cstheme="majorBidi"/>
          </w:rPr>
          <w:t>Chapter 1. Inanna</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_Toc234154365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6</w:t>
        </w:r>
        <w:r w:rsidRPr="00050DAE">
          <w:rPr>
            <w:rFonts w:asciiTheme="majorBidi" w:hAnsiTheme="majorBidi" w:cstheme="majorBidi"/>
            <w:webHidden/>
          </w:rPr>
          <w:fldChar w:fldCharType="end"/>
        </w:r>
      </w:hyperlink>
    </w:p>
    <w:p w14:paraId="4A063EAE" w14:textId="230074A6" w:rsidR="001F6D2A" w:rsidRPr="00050DAE" w:rsidRDefault="001F6D2A">
      <w:pPr>
        <w:pStyle w:val="TOC1"/>
        <w:rPr>
          <w:rFonts w:asciiTheme="majorBidi" w:eastAsiaTheme="minorEastAsia" w:hAnsiTheme="majorBidi" w:cstheme="majorBidi"/>
          <w:sz w:val="24"/>
          <w:szCs w:val="24"/>
          <w:lang w:eastAsia="en-GB"/>
        </w:rPr>
      </w:pPr>
      <w:hyperlink w:anchor="_Toc234154366" w:history="1">
        <w:r w:rsidRPr="00050DAE">
          <w:rPr>
            <w:rStyle w:val="Hyperlink"/>
            <w:rFonts w:asciiTheme="majorBidi" w:hAnsiTheme="majorBidi" w:cstheme="majorBidi"/>
          </w:rPr>
          <w:t>Chapter 2. Ištar</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_Toc234154366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13</w:t>
        </w:r>
        <w:r w:rsidRPr="00050DAE">
          <w:rPr>
            <w:rFonts w:asciiTheme="majorBidi" w:hAnsiTheme="majorBidi" w:cstheme="majorBidi"/>
            <w:webHidden/>
          </w:rPr>
          <w:fldChar w:fldCharType="end"/>
        </w:r>
      </w:hyperlink>
    </w:p>
    <w:p w14:paraId="6C9F7957" w14:textId="0FF2C81D" w:rsidR="001F6D2A" w:rsidRPr="00050DAE" w:rsidRDefault="001F6D2A">
      <w:pPr>
        <w:pStyle w:val="TOC1"/>
        <w:rPr>
          <w:rFonts w:asciiTheme="majorBidi" w:eastAsiaTheme="minorEastAsia" w:hAnsiTheme="majorBidi" w:cstheme="majorBidi"/>
          <w:sz w:val="24"/>
          <w:szCs w:val="24"/>
          <w:lang w:eastAsia="en-GB"/>
        </w:rPr>
      </w:pPr>
      <w:hyperlink w:anchor="_Toc234154367" w:history="1">
        <w:r w:rsidRPr="00050DAE">
          <w:rPr>
            <w:rStyle w:val="Hyperlink"/>
            <w:rFonts w:asciiTheme="majorBidi" w:eastAsiaTheme="majorEastAsia" w:hAnsiTheme="majorBidi" w:cstheme="majorBidi"/>
          </w:rPr>
          <w:t>Chapter 3. Descent to the Netherworld</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_Toc234154367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21</w:t>
        </w:r>
        <w:r w:rsidRPr="00050DAE">
          <w:rPr>
            <w:rFonts w:asciiTheme="majorBidi" w:hAnsiTheme="majorBidi" w:cstheme="majorBidi"/>
            <w:webHidden/>
          </w:rPr>
          <w:fldChar w:fldCharType="end"/>
        </w:r>
      </w:hyperlink>
    </w:p>
    <w:p w14:paraId="3CFF0088" w14:textId="43E07428" w:rsidR="001F6D2A" w:rsidRPr="00050DAE" w:rsidRDefault="001F6D2A">
      <w:pPr>
        <w:pStyle w:val="TOC1"/>
        <w:rPr>
          <w:rFonts w:asciiTheme="majorBidi" w:eastAsiaTheme="minorEastAsia" w:hAnsiTheme="majorBidi" w:cstheme="majorBidi"/>
          <w:sz w:val="24"/>
          <w:szCs w:val="24"/>
          <w:lang w:eastAsia="en-GB"/>
        </w:rPr>
      </w:pPr>
      <w:hyperlink w:anchor="_Toc234154368" w:history="1">
        <w:r w:rsidRPr="00050DAE">
          <w:rPr>
            <w:rStyle w:val="Hyperlink"/>
            <w:rFonts w:asciiTheme="majorBidi" w:hAnsiTheme="majorBidi" w:cstheme="majorBidi"/>
          </w:rPr>
          <w:t>Chapter 4. Anat</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_Toc234154368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34</w:t>
        </w:r>
        <w:r w:rsidRPr="00050DAE">
          <w:rPr>
            <w:rFonts w:asciiTheme="majorBidi" w:hAnsiTheme="majorBidi" w:cstheme="majorBidi"/>
            <w:webHidden/>
          </w:rPr>
          <w:fldChar w:fldCharType="end"/>
        </w:r>
      </w:hyperlink>
    </w:p>
    <w:p w14:paraId="1DC43A0D" w14:textId="20DB011C" w:rsidR="001F6D2A" w:rsidRPr="00050DAE" w:rsidRDefault="001F6D2A">
      <w:pPr>
        <w:pStyle w:val="TOC1"/>
        <w:rPr>
          <w:rFonts w:asciiTheme="majorBidi" w:eastAsiaTheme="minorEastAsia" w:hAnsiTheme="majorBidi" w:cstheme="majorBidi"/>
          <w:sz w:val="24"/>
          <w:szCs w:val="24"/>
          <w:lang w:eastAsia="en-GB"/>
        </w:rPr>
      </w:pPr>
      <w:hyperlink w:anchor="_Toc234154369" w:history="1">
        <w:r w:rsidRPr="00050DAE">
          <w:rPr>
            <w:rStyle w:val="Hyperlink"/>
            <w:rFonts w:asciiTheme="majorBidi" w:hAnsiTheme="majorBidi" w:cstheme="majorBidi"/>
          </w:rPr>
          <w:t>Chapter 5. Demeter and Persephone</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_Toc234154369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45</w:t>
        </w:r>
        <w:r w:rsidRPr="00050DAE">
          <w:rPr>
            <w:rFonts w:asciiTheme="majorBidi" w:hAnsiTheme="majorBidi" w:cstheme="majorBidi"/>
            <w:webHidden/>
          </w:rPr>
          <w:fldChar w:fldCharType="end"/>
        </w:r>
      </w:hyperlink>
    </w:p>
    <w:p w14:paraId="0BF3B3A2" w14:textId="172DEF22" w:rsidR="001F6D2A" w:rsidRPr="00050DAE" w:rsidRDefault="001F6D2A">
      <w:pPr>
        <w:pStyle w:val="TOC1"/>
        <w:rPr>
          <w:rFonts w:asciiTheme="majorBidi" w:eastAsiaTheme="minorEastAsia" w:hAnsiTheme="majorBidi" w:cstheme="majorBidi"/>
          <w:sz w:val="24"/>
          <w:szCs w:val="24"/>
          <w:lang w:eastAsia="en-GB"/>
        </w:rPr>
      </w:pPr>
      <w:hyperlink w:anchor="_Toc234154370" w:history="1">
        <w:r w:rsidRPr="00050DAE">
          <w:rPr>
            <w:rStyle w:val="Hyperlink"/>
            <w:rFonts w:asciiTheme="majorBidi" w:hAnsiTheme="majorBidi" w:cstheme="majorBidi"/>
          </w:rPr>
          <w:t>Chapter 6. Descent and Return</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_Toc234154370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59</w:t>
        </w:r>
        <w:r w:rsidRPr="00050DAE">
          <w:rPr>
            <w:rFonts w:asciiTheme="majorBidi" w:hAnsiTheme="majorBidi" w:cstheme="majorBidi"/>
            <w:webHidden/>
          </w:rPr>
          <w:fldChar w:fldCharType="end"/>
        </w:r>
      </w:hyperlink>
    </w:p>
    <w:p w14:paraId="1F3EF617" w14:textId="14AACFA5" w:rsidR="001F6D2A" w:rsidRPr="00050DAE" w:rsidRDefault="001F6D2A">
      <w:pPr>
        <w:pStyle w:val="TOC1"/>
        <w:rPr>
          <w:rFonts w:asciiTheme="majorBidi" w:eastAsiaTheme="minorEastAsia" w:hAnsiTheme="majorBidi" w:cstheme="majorBidi"/>
          <w:sz w:val="24"/>
          <w:szCs w:val="24"/>
          <w:lang w:eastAsia="en-GB"/>
        </w:rPr>
      </w:pPr>
      <w:hyperlink w:anchor="_Toc234154371" w:history="1">
        <w:r w:rsidRPr="00050DAE">
          <w:rPr>
            <w:rStyle w:val="Hyperlink"/>
            <w:rFonts w:asciiTheme="majorBidi" w:hAnsiTheme="majorBidi" w:cstheme="majorBidi"/>
          </w:rPr>
          <w:t>Conclusion</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_Toc234154371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63</w:t>
        </w:r>
        <w:r w:rsidRPr="00050DAE">
          <w:rPr>
            <w:rFonts w:asciiTheme="majorBidi" w:hAnsiTheme="majorBidi" w:cstheme="majorBidi"/>
            <w:webHidden/>
          </w:rPr>
          <w:fldChar w:fldCharType="end"/>
        </w:r>
      </w:hyperlink>
    </w:p>
    <w:p w14:paraId="4D739896" w14:textId="5DCCAEF1" w:rsidR="001F6D2A" w:rsidRPr="00050DAE" w:rsidRDefault="001F6D2A">
      <w:pPr>
        <w:pStyle w:val="TOC1"/>
        <w:rPr>
          <w:rFonts w:asciiTheme="majorBidi" w:eastAsiaTheme="minorEastAsia" w:hAnsiTheme="majorBidi" w:cstheme="majorBidi"/>
          <w:sz w:val="24"/>
          <w:szCs w:val="24"/>
          <w:lang w:eastAsia="en-GB"/>
        </w:rPr>
      </w:pPr>
      <w:hyperlink w:anchor="_Toc234154372" w:history="1">
        <w:r w:rsidRPr="00050DAE">
          <w:rPr>
            <w:rStyle w:val="Hyperlink"/>
            <w:rFonts w:asciiTheme="majorBidi" w:hAnsiTheme="majorBidi" w:cstheme="majorBidi"/>
          </w:rPr>
          <w:t>Appendix</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_Toc234154372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66</w:t>
        </w:r>
        <w:r w:rsidRPr="00050DAE">
          <w:rPr>
            <w:rFonts w:asciiTheme="majorBidi" w:hAnsiTheme="majorBidi" w:cstheme="majorBidi"/>
            <w:webHidden/>
          </w:rPr>
          <w:fldChar w:fldCharType="end"/>
        </w:r>
      </w:hyperlink>
    </w:p>
    <w:p w14:paraId="66B1903A" w14:textId="3D314375" w:rsidR="001F6D2A" w:rsidRPr="00050DAE" w:rsidRDefault="001F6D2A">
      <w:pPr>
        <w:pStyle w:val="TOC1"/>
        <w:rPr>
          <w:rFonts w:asciiTheme="majorBidi" w:eastAsiaTheme="minorEastAsia" w:hAnsiTheme="majorBidi" w:cstheme="majorBidi"/>
          <w:sz w:val="24"/>
          <w:szCs w:val="24"/>
          <w:lang w:eastAsia="en-GB"/>
        </w:rPr>
      </w:pPr>
      <w:hyperlink w:anchor="_Toc234154373" w:history="1">
        <w:r w:rsidRPr="00050DAE">
          <w:rPr>
            <w:rStyle w:val="Hyperlink"/>
            <w:rFonts w:asciiTheme="majorBidi" w:hAnsiTheme="majorBidi" w:cstheme="majorBidi"/>
          </w:rPr>
          <w:t>Bibliography of Works Cited</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_Toc234154373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105</w:t>
        </w:r>
        <w:r w:rsidRPr="00050DAE">
          <w:rPr>
            <w:rFonts w:asciiTheme="majorBidi" w:hAnsiTheme="majorBidi" w:cstheme="majorBidi"/>
            <w:webHidden/>
          </w:rPr>
          <w:fldChar w:fldCharType="end"/>
        </w:r>
      </w:hyperlink>
    </w:p>
    <w:p w14:paraId="1BD906C6" w14:textId="44F6E3D3" w:rsidR="00906A3A" w:rsidRPr="00050DAE" w:rsidRDefault="008D36D3" w:rsidP="00906A3A">
      <w:pPr>
        <w:rPr>
          <w:rFonts w:asciiTheme="majorBidi" w:hAnsiTheme="majorBidi" w:cstheme="majorBidi"/>
        </w:rPr>
      </w:pPr>
      <w:r w:rsidRPr="00050DAE">
        <w:rPr>
          <w:rFonts w:asciiTheme="majorBidi" w:hAnsiTheme="majorBidi" w:cstheme="majorBidi"/>
        </w:rPr>
        <w:fldChar w:fldCharType="end"/>
      </w:r>
    </w:p>
    <w:p w14:paraId="1AC4855E" w14:textId="77777777" w:rsidR="005E0E6E" w:rsidRPr="00050DAE" w:rsidRDefault="005E0E6E" w:rsidP="00C035CA">
      <w:pPr>
        <w:keepNext/>
        <w:jc w:val="center"/>
        <w:rPr>
          <w:rFonts w:asciiTheme="majorBidi" w:hAnsiTheme="majorBidi" w:cstheme="majorBidi"/>
        </w:rPr>
      </w:pPr>
    </w:p>
    <w:p w14:paraId="43AED83C" w14:textId="77777777" w:rsidR="005E0E6E" w:rsidRPr="00050DAE" w:rsidRDefault="005E0E6E" w:rsidP="00C035CA">
      <w:pPr>
        <w:keepNext/>
        <w:jc w:val="center"/>
        <w:rPr>
          <w:rFonts w:asciiTheme="majorBidi" w:hAnsiTheme="majorBidi" w:cstheme="majorBidi"/>
        </w:rPr>
      </w:pPr>
    </w:p>
    <w:p w14:paraId="73AA59CC" w14:textId="003D1DDA" w:rsidR="00C035CA" w:rsidRPr="00050DAE" w:rsidRDefault="00C035CA" w:rsidP="00C035CA">
      <w:pPr>
        <w:keepNext/>
        <w:jc w:val="center"/>
        <w:rPr>
          <w:rFonts w:asciiTheme="majorBidi" w:hAnsiTheme="majorBidi" w:cstheme="majorBidi"/>
        </w:rPr>
      </w:pPr>
      <w:r w:rsidRPr="00050DAE">
        <w:rPr>
          <w:rFonts w:asciiTheme="majorBidi" w:hAnsiTheme="majorBidi" w:cstheme="majorBidi"/>
          <w:noProof/>
        </w:rPr>
        <w:drawing>
          <wp:inline distT="0" distB="0" distL="0" distR="0" wp14:anchorId="21CE2282" wp14:editId="57994521">
            <wp:extent cx="2092185" cy="2055136"/>
            <wp:effectExtent l="0" t="0" r="3810" b="2540"/>
            <wp:docPr id="2032688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32419" name="Picture 1178132419"/>
                    <pic:cNvPicPr/>
                  </pic:nvPicPr>
                  <pic:blipFill rotWithShape="1">
                    <a:blip r:embed="rId14" cstate="print">
                      <a:extLst>
                        <a:ext uri="{BEBA8EAE-BF5A-486C-A8C5-ECC9F3942E4B}">
                          <a14:imgProps xmlns:a14="http://schemas.microsoft.com/office/drawing/2010/main">
                            <a14:imgLayer r:embed="rId15">
                              <a14:imgEffect>
                                <a14:backgroundRemoval t="0" b="100000" l="0" r="100000">
                                  <a14:foregroundMark x1="25494" y1="95976" x2="16008" y2="82093"/>
                                  <a14:foregroundMark x1="16008" y1="82093" x2="10079" y2="51509"/>
                                  <a14:foregroundMark x1="10079" y1="51509" x2="16206" y2="34809"/>
                                  <a14:foregroundMark x1="16206" y1="34809" x2="24506" y2="25956"/>
                                  <a14:foregroundMark x1="24506" y1="25956" x2="30040" y2="24145"/>
                                  <a14:foregroundMark x1="3953" y1="31187" x2="3755" y2="12475"/>
                                  <a14:foregroundMark x1="3755" y1="12475" x2="25692" y2="3018"/>
                                  <a14:foregroundMark x1="11660" y1="2213" x2="0" y2="8249"/>
                                  <a14:foregroundMark x1="10474" y1="95976" x2="1779" y2="76660"/>
                                  <a14:foregroundMark x1="1779" y1="76660" x2="3360" y2="35211"/>
                                  <a14:foregroundMark x1="99012" y1="98592" x2="38933" y2="94970"/>
                                  <a14:foregroundMark x1="38735" y1="94970" x2="23320" y2="99799"/>
                                  <a14:foregroundMark x1="7708" y1="98189" x2="21146" y2="99799"/>
                                  <a14:foregroundMark x1="7708" y1="98189" x2="3162" y2="84909"/>
                                  <a14:foregroundMark x1="3162" y1="84909" x2="2569" y2="73441"/>
                                  <a14:foregroundMark x1="1779" y1="93763" x2="988" y2="47686"/>
                                  <a14:foregroundMark x1="2767" y1="1006" x2="0" y2="6439"/>
                                  <a14:foregroundMark x1="18972" y1="0" x2="2964" y2="805"/>
                                  <a14:foregroundMark x1="80237" y1="0" x2="99802" y2="4427"/>
                                  <a14:foregroundMark x1="28261" y1="99598" x2="34190" y2="99799"/>
                                  <a14:foregroundMark x1="73913" y1="98793" x2="65020" y2="99799"/>
                                  <a14:foregroundMark x1="74111" y1="98793" x2="82213" y2="99799"/>
                                  <a14:foregroundMark x1="0" y1="93360" x2="5534" y2="99799"/>
                                  <a14:foregroundMark x1="593" y1="93763" x2="593" y2="9979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103389" cy="2066141"/>
                    </a:xfrm>
                    <a:prstGeom prst="rect">
                      <a:avLst/>
                    </a:prstGeom>
                    <a:ln>
                      <a:noFill/>
                    </a:ln>
                    <a:extLst>
                      <a:ext uri="{53640926-AAD7-44D8-BBD7-CCE9431645EC}">
                        <a14:shadowObscured xmlns:a14="http://schemas.microsoft.com/office/drawing/2010/main"/>
                      </a:ext>
                    </a:extLst>
                  </pic:spPr>
                </pic:pic>
              </a:graphicData>
            </a:graphic>
          </wp:inline>
        </w:drawing>
      </w:r>
    </w:p>
    <w:p w14:paraId="06220866" w14:textId="72FAB29C" w:rsidR="007944AC" w:rsidRPr="00050DAE" w:rsidRDefault="00C035CA" w:rsidP="001F73A8">
      <w:pPr>
        <w:pStyle w:val="Caption"/>
        <w:rPr>
          <w:rFonts w:asciiTheme="majorBidi" w:hAnsiTheme="majorBidi" w:cstheme="majorBidi"/>
          <w:color w:val="auto"/>
        </w:rPr>
        <w:sectPr w:rsidR="007944AC" w:rsidRPr="00050DAE" w:rsidSect="005F508B">
          <w:headerReference w:type="default" r:id="rId16"/>
          <w:footerReference w:type="default" r:id="rId17"/>
          <w:footnotePr>
            <w:numFmt w:val="lowerRoman"/>
            <w:numRestart w:val="eachPage"/>
          </w:footnotePr>
          <w:type w:val="continuous"/>
          <w:pgSz w:w="11906" w:h="16838"/>
          <w:pgMar w:top="1440" w:right="1440" w:bottom="1440" w:left="1440" w:header="720" w:footer="720" w:gutter="0"/>
          <w:cols w:space="720"/>
          <w:docGrid w:linePitch="360"/>
        </w:sect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1</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Front Image of Inanna from the Warka Vase. Note the early Inanna pictographs</w:t>
      </w:r>
      <w:r w:rsidR="0034442B" w:rsidRPr="00050DAE">
        <w:rPr>
          <w:rFonts w:asciiTheme="majorBidi" w:hAnsiTheme="majorBidi" w:cstheme="majorBidi"/>
          <w:color w:val="auto"/>
        </w:rPr>
        <w:t xml:space="preserve"> on the righ</w:t>
      </w:r>
      <w:r w:rsidR="001F73A8" w:rsidRPr="00050DAE">
        <w:rPr>
          <w:rFonts w:asciiTheme="majorBidi" w:hAnsiTheme="majorBidi" w:cstheme="majorBidi"/>
          <w:color w:val="auto"/>
        </w:rPr>
        <w:t>t.</w:t>
      </w:r>
      <w:r w:rsidR="002175E1" w:rsidRPr="00050DAE">
        <w:rPr>
          <w:rStyle w:val="FootnoteReference"/>
          <w:rFonts w:asciiTheme="majorBidi" w:hAnsiTheme="majorBidi" w:cstheme="majorBidi"/>
          <w:color w:val="auto"/>
        </w:rPr>
        <w:footnoteReference w:id="2"/>
      </w:r>
    </w:p>
    <w:p w14:paraId="723F39CC" w14:textId="5C0F431B" w:rsidR="00B32F99" w:rsidRPr="00050DAE" w:rsidRDefault="00B32F99" w:rsidP="00DA365D">
      <w:pPr>
        <w:rPr>
          <w:rFonts w:asciiTheme="majorBidi" w:eastAsiaTheme="majorEastAsia" w:hAnsiTheme="majorBidi" w:cstheme="majorBidi"/>
          <w:color w:val="0F4761" w:themeColor="accent1" w:themeShade="BF"/>
          <w:sz w:val="40"/>
          <w:szCs w:val="40"/>
        </w:rPr>
      </w:pPr>
      <w:bookmarkStart w:id="0" w:name="_Toc234140222"/>
      <w:bookmarkStart w:id="1" w:name="_Toc234140473"/>
      <w:bookmarkStart w:id="2" w:name="_Toc234143653"/>
    </w:p>
    <w:p w14:paraId="1C45CB1E" w14:textId="60C4A01C" w:rsidR="00B32F99" w:rsidRPr="00050DAE" w:rsidRDefault="00B32F99" w:rsidP="00794E2B">
      <w:pPr>
        <w:jc w:val="center"/>
        <w:rPr>
          <w:rFonts w:asciiTheme="majorBidi" w:hAnsiTheme="majorBidi" w:cstheme="majorBidi"/>
          <w:b/>
          <w:bCs/>
          <w:u w:val="single"/>
        </w:rPr>
      </w:pPr>
      <w:r w:rsidRPr="00050DAE">
        <w:rPr>
          <w:rFonts w:asciiTheme="majorBidi" w:hAnsiTheme="majorBidi" w:cstheme="majorBidi"/>
          <w:b/>
          <w:bCs/>
          <w:u w:val="single"/>
        </w:rPr>
        <w:t>Abstract</w:t>
      </w:r>
    </w:p>
    <w:p w14:paraId="3C8E071B" w14:textId="77777777" w:rsidR="00B32F99" w:rsidRPr="00050DAE" w:rsidRDefault="00B32F99" w:rsidP="00B32F99">
      <w:pPr>
        <w:pStyle w:val="UWTSDindent"/>
      </w:pPr>
      <w:r w:rsidRPr="00050DAE">
        <w:t>This dissertation examines accounts of descent and return from Mesopotamian, Ugaritic, and Greek religious literature through comparative and literary analysis. Focusing on Inanna, Ištar, Anat, Demeter, and Persephone, it explores how ancient cultures understood the relationship between life, death, loss, and renewal.</w:t>
      </w:r>
    </w:p>
    <w:p w14:paraId="2FB35C0B" w14:textId="77777777" w:rsidR="00B32F99" w:rsidRPr="00050DAE" w:rsidRDefault="00B32F99" w:rsidP="00B32F99">
      <w:pPr>
        <w:pStyle w:val="UWTSDindent"/>
      </w:pPr>
      <w:r w:rsidRPr="00050DAE">
        <w:t xml:space="preserve">Drawing upon </w:t>
      </w:r>
      <w:r w:rsidRPr="00050DAE">
        <w:rPr>
          <w:i/>
          <w:iCs/>
        </w:rPr>
        <w:t>Inanna’s Descent to the Netherworld</w:t>
      </w:r>
      <w:r w:rsidRPr="00050DAE">
        <w:t xml:space="preserve">, the </w:t>
      </w:r>
      <w:r w:rsidRPr="00050DAE">
        <w:rPr>
          <w:i/>
          <w:iCs/>
        </w:rPr>
        <w:t>Descent of Ištar to the Netherworld</w:t>
      </w:r>
      <w:r w:rsidRPr="00050DAE">
        <w:t xml:space="preserve">, the Ugaritic </w:t>
      </w:r>
      <w:r w:rsidRPr="00050DAE">
        <w:rPr>
          <w:i/>
          <w:iCs/>
        </w:rPr>
        <w:t>Baal Cycle</w:t>
      </w:r>
      <w:r w:rsidRPr="00050DAE">
        <w:t xml:space="preserve">, and the </w:t>
      </w:r>
      <w:r w:rsidRPr="00050DAE">
        <w:rPr>
          <w:i/>
          <w:iCs/>
        </w:rPr>
        <w:t>Homeric Hymn to Demeter</w:t>
      </w:r>
      <w:r w:rsidRPr="00050DAE">
        <w:t>, the study identifies three distinct approaches to the problem of continuity in the face of death. In the Mesopotamian descent traditions examined here, return from the Netherworld is governed by obligation and substitution, requiring one life to replace another. In Ugarit, death is confronted directly through conflict, allowing temporary restoration but never permanent victory over mortality. In Greece, restoration emerges through mediation and compromise, producing a recurring cycle of absence and return associated with fertility and seasonal change.</w:t>
      </w:r>
    </w:p>
    <w:p w14:paraId="5EF9C42A" w14:textId="77777777" w:rsidR="00865517" w:rsidRPr="00050DAE" w:rsidRDefault="00B32F99" w:rsidP="00DA365D">
      <w:pPr>
        <w:pStyle w:val="UWTSDindent"/>
        <w:sectPr w:rsidR="00865517" w:rsidRPr="00050DAE" w:rsidSect="00DA365D">
          <w:headerReference w:type="default" r:id="rId18"/>
          <w:footerReference w:type="default" r:id="rId19"/>
          <w:footnotePr>
            <w:numRestart w:val="eachSect"/>
          </w:footnotePr>
          <w:pgSz w:w="11906" w:h="16838"/>
          <w:pgMar w:top="1206" w:right="1440" w:bottom="1440" w:left="1440" w:header="720" w:footer="720" w:gutter="0"/>
          <w:pgNumType w:start="0"/>
          <w:cols w:space="720"/>
          <w:docGrid w:linePitch="360"/>
        </w:sectPr>
      </w:pPr>
      <w:r w:rsidRPr="00050DAE">
        <w:t>The study argues that similarities between these accounts do not indicate a common origin. Instead, each culture develops its own explanation for how continuity persists despite mortality, reflecting different understandings of divine authority, loss, and restoration. By comparing these approaches, the dissertation demonstrates that descent accounts provide valuable insight into ancient attempts to explain death while preserving the possibility of renewal.</w:t>
      </w:r>
    </w:p>
    <w:p w14:paraId="028CBE41" w14:textId="0AF4B90B" w:rsidR="00B32F99" w:rsidRPr="00050DAE" w:rsidRDefault="00B32F99" w:rsidP="00DA365D">
      <w:pPr>
        <w:pStyle w:val="UWTSDindent"/>
      </w:pPr>
    </w:p>
    <w:p w14:paraId="2FA7053B" w14:textId="1DA69857" w:rsidR="003235BA" w:rsidRPr="00050DAE" w:rsidRDefault="003235BA" w:rsidP="00050DAE">
      <w:pPr>
        <w:pStyle w:val="Title"/>
        <w:jc w:val="center"/>
        <w:rPr>
          <w:rFonts w:asciiTheme="majorBidi" w:hAnsiTheme="majorBidi"/>
        </w:rPr>
      </w:pPr>
      <w:r w:rsidRPr="00050DAE">
        <w:rPr>
          <w:rFonts w:asciiTheme="majorBidi" w:hAnsiTheme="majorBidi"/>
        </w:rPr>
        <w:t>Descent Across Time and Space</w:t>
      </w:r>
    </w:p>
    <w:p w14:paraId="00F6BC76" w14:textId="77777777" w:rsidR="00B32F99" w:rsidRPr="00050DAE" w:rsidRDefault="00B32F99" w:rsidP="00B32F99">
      <w:pPr>
        <w:rPr>
          <w:rFonts w:asciiTheme="majorBidi" w:hAnsiTheme="majorBidi" w:cstheme="majorBidi"/>
        </w:rPr>
      </w:pPr>
    </w:p>
    <w:p w14:paraId="290BB9E1" w14:textId="2E132609" w:rsidR="007856DB" w:rsidRPr="00050DAE" w:rsidRDefault="007856DB" w:rsidP="005F508B">
      <w:pPr>
        <w:pStyle w:val="Heading1"/>
        <w:rPr>
          <w:rFonts w:asciiTheme="majorBidi" w:hAnsiTheme="majorBidi"/>
        </w:rPr>
      </w:pPr>
      <w:bookmarkStart w:id="3" w:name="_Toc234154282"/>
      <w:bookmarkStart w:id="4" w:name="_Toc234154364"/>
      <w:r w:rsidRPr="00050DAE">
        <w:rPr>
          <w:rFonts w:asciiTheme="majorBidi" w:hAnsiTheme="majorBidi"/>
        </w:rPr>
        <w:t>Introduction</w:t>
      </w:r>
      <w:bookmarkEnd w:id="0"/>
      <w:bookmarkEnd w:id="1"/>
      <w:bookmarkEnd w:id="2"/>
      <w:bookmarkEnd w:id="3"/>
      <w:bookmarkEnd w:id="4"/>
    </w:p>
    <w:p w14:paraId="41E6AD54" w14:textId="77777777" w:rsidR="007856DB" w:rsidRPr="00050DAE" w:rsidRDefault="007856DB" w:rsidP="000634E2">
      <w:pPr>
        <w:pStyle w:val="NoSpacing"/>
        <w:jc w:val="center"/>
        <w:rPr>
          <w:rFonts w:asciiTheme="majorBidi" w:hAnsiTheme="majorBidi" w:cstheme="majorBidi"/>
          <w:i/>
          <w:iCs/>
        </w:rPr>
      </w:pPr>
      <w:r w:rsidRPr="00050DAE">
        <w:rPr>
          <w:rFonts w:asciiTheme="majorBidi" w:hAnsiTheme="majorBidi" w:cstheme="majorBidi"/>
          <w:i/>
          <w:iCs/>
        </w:rPr>
        <w:t>From the great heaven she set her mind on the great below.</w:t>
      </w:r>
    </w:p>
    <w:p w14:paraId="49943905" w14:textId="77777777" w:rsidR="007856DB" w:rsidRPr="00050DAE" w:rsidRDefault="007856DB" w:rsidP="000634E2">
      <w:pPr>
        <w:pStyle w:val="NoSpacing"/>
        <w:jc w:val="center"/>
        <w:rPr>
          <w:rFonts w:asciiTheme="majorBidi" w:hAnsiTheme="majorBidi" w:cstheme="majorBidi"/>
          <w:i/>
          <w:iCs/>
        </w:rPr>
      </w:pPr>
      <w:r w:rsidRPr="00050DAE">
        <w:rPr>
          <w:rFonts w:asciiTheme="majorBidi" w:hAnsiTheme="majorBidi" w:cstheme="majorBidi"/>
          <w:i/>
          <w:iCs/>
        </w:rPr>
        <w:t>From the great heaven the goddess set her mind on the great below.</w:t>
      </w:r>
    </w:p>
    <w:p w14:paraId="565C55EC" w14:textId="77777777" w:rsidR="007856DB" w:rsidRPr="00050DAE" w:rsidRDefault="007856DB" w:rsidP="000634E2">
      <w:pPr>
        <w:pStyle w:val="NoSpacing"/>
        <w:jc w:val="center"/>
        <w:rPr>
          <w:rFonts w:asciiTheme="majorBidi" w:hAnsiTheme="majorBidi" w:cstheme="majorBidi"/>
          <w:i/>
          <w:iCs/>
        </w:rPr>
      </w:pPr>
      <w:r w:rsidRPr="00050DAE">
        <w:rPr>
          <w:rFonts w:asciiTheme="majorBidi" w:hAnsiTheme="majorBidi" w:cstheme="majorBidi"/>
          <w:i/>
          <w:iCs/>
        </w:rPr>
        <w:t>From the great heaven Inana set her mind on the great below.</w:t>
      </w:r>
    </w:p>
    <w:p w14:paraId="2F592829" w14:textId="77777777" w:rsidR="007856DB" w:rsidRPr="00050DAE" w:rsidRDefault="007856DB" w:rsidP="000634E2">
      <w:pPr>
        <w:pStyle w:val="NoSpacing"/>
        <w:jc w:val="center"/>
        <w:rPr>
          <w:rFonts w:asciiTheme="majorBidi" w:hAnsiTheme="majorBidi" w:cstheme="majorBidi"/>
          <w:i/>
          <w:iCs/>
        </w:rPr>
      </w:pPr>
      <w:r w:rsidRPr="00050DAE">
        <w:rPr>
          <w:rFonts w:asciiTheme="majorBidi" w:hAnsiTheme="majorBidi" w:cstheme="majorBidi"/>
          <w:i/>
          <w:iCs/>
        </w:rPr>
        <w:t>My mistress abandoned heaven, abandoned earth, and descended to the underworld.</w:t>
      </w:r>
    </w:p>
    <w:p w14:paraId="0A66762E" w14:textId="43A665CE" w:rsidR="00504FF2" w:rsidRPr="00050DAE" w:rsidRDefault="007856DB" w:rsidP="007944AC">
      <w:pPr>
        <w:pStyle w:val="NoSpacing"/>
        <w:jc w:val="center"/>
        <w:rPr>
          <w:rFonts w:asciiTheme="majorBidi" w:hAnsiTheme="majorBidi" w:cstheme="majorBidi"/>
        </w:rPr>
      </w:pPr>
      <w:r w:rsidRPr="00050DAE">
        <w:rPr>
          <w:rFonts w:asciiTheme="majorBidi" w:hAnsiTheme="majorBidi" w:cstheme="majorBidi"/>
          <w:i/>
          <w:iCs/>
        </w:rPr>
        <w:t>Inana abandoned heaven, abandoned earth, and descended to the underworld</w:t>
      </w:r>
      <w:r w:rsidRPr="00050DAE">
        <w:rPr>
          <w:rFonts w:asciiTheme="majorBidi" w:hAnsiTheme="majorBidi" w:cstheme="majorBidi"/>
        </w:rPr>
        <w:t>.</w:t>
      </w:r>
      <w:r w:rsidR="00504FF2" w:rsidRPr="00050DAE">
        <w:rPr>
          <w:rStyle w:val="FootnoteReference"/>
          <w:rFonts w:asciiTheme="majorBidi" w:hAnsiTheme="majorBidi" w:cstheme="majorBidi"/>
        </w:rPr>
        <w:footnoteReference w:id="3"/>
      </w:r>
    </w:p>
    <w:p w14:paraId="17D0688D" w14:textId="77777777" w:rsidR="007856DB" w:rsidRPr="00050DAE" w:rsidRDefault="007856DB" w:rsidP="000634E2">
      <w:pPr>
        <w:rPr>
          <w:rFonts w:asciiTheme="majorBidi" w:hAnsiTheme="majorBidi" w:cstheme="majorBidi"/>
        </w:rPr>
      </w:pPr>
    </w:p>
    <w:p w14:paraId="37FC33F2" w14:textId="6CBAED9B" w:rsidR="006C0E3A" w:rsidRPr="00050DAE" w:rsidRDefault="00D15DF2" w:rsidP="00005304">
      <w:pPr>
        <w:pStyle w:val="UWTSDindent"/>
      </w:pPr>
      <w:r w:rsidRPr="00050DAE">
        <w:t xml:space="preserve">With these lines, </w:t>
      </w:r>
      <w:r w:rsidRPr="00050DAE">
        <w:rPr>
          <w:i/>
          <w:iCs/>
        </w:rPr>
        <w:t>Ina</w:t>
      </w:r>
      <w:r w:rsidR="004D2970" w:rsidRPr="00050DAE">
        <w:rPr>
          <w:i/>
          <w:iCs/>
        </w:rPr>
        <w:t>n</w:t>
      </w:r>
      <w:r w:rsidRPr="00050DAE">
        <w:rPr>
          <w:i/>
          <w:iCs/>
        </w:rPr>
        <w:t>na</w:t>
      </w:r>
      <w:r w:rsidR="008301DC" w:rsidRPr="00050DAE">
        <w:rPr>
          <w:i/>
          <w:iCs/>
        </w:rPr>
        <w:t>’</w:t>
      </w:r>
      <w:r w:rsidRPr="00050DAE">
        <w:rPr>
          <w:i/>
          <w:iCs/>
        </w:rPr>
        <w:t>s Descent to the Netherworld</w:t>
      </w:r>
      <w:r w:rsidRPr="00050DAE">
        <w:t xml:space="preserve"> offers one of the earliest surviving literary explorations of what it means to cross from life into death and attempt to return. The earliest surviving manuscripts of the poem belong to the Old Babylonian period and were copied around 1700 BCE, although the composition itself is generally regarded as considerably older</w:t>
      </w:r>
      <w:r w:rsidR="003C7602" w:rsidRPr="00050DAE">
        <w:t>,</w:t>
      </w:r>
      <w:r w:rsidRPr="00050DAE">
        <w:t xml:space="preserve"> </w:t>
      </w:r>
      <w:r w:rsidR="00085DC3" w:rsidRPr="00050DAE">
        <w:t xml:space="preserve">with a possible </w:t>
      </w:r>
      <w:r w:rsidRPr="00050DAE">
        <w:t>late third millennium BCE</w:t>
      </w:r>
      <w:r w:rsidR="00085DC3" w:rsidRPr="00050DAE">
        <w:t xml:space="preserve"> genesis</w:t>
      </w:r>
      <w:r w:rsidR="009135CF" w:rsidRPr="00050DAE">
        <w:t>.</w:t>
      </w:r>
      <w:r w:rsidRPr="00050DAE">
        <w:rPr>
          <w:rStyle w:val="FootnoteReference"/>
        </w:rPr>
        <w:footnoteReference w:id="4"/>
      </w:r>
      <w:r w:rsidR="009135CF" w:rsidRPr="00050DAE">
        <w:t xml:space="preserve"> In the stark and uncompromising narrative, Inanna deliberately enters the Netherworld knowing the dangers associated with it. At each gate, she surrenders part of her regalia and authority before facing </w:t>
      </w:r>
      <w:r w:rsidR="00C020C4" w:rsidRPr="00050DAE">
        <w:t>judgement</w:t>
      </w:r>
      <w:r w:rsidR="009135CF" w:rsidRPr="00050DAE">
        <w:t xml:space="preserve"> and death below. Her restoration, however, does not occur freely. Return from the Netherworld requires substitution, and another deity must descend in her place.</w:t>
      </w:r>
      <w:r w:rsidR="006C0E3A" w:rsidRPr="00050DAE">
        <w:rPr>
          <w:rStyle w:val="FootnoteReference"/>
        </w:rPr>
        <w:footnoteReference w:id="5"/>
      </w:r>
    </w:p>
    <w:p w14:paraId="02D1ABDA" w14:textId="2013CEA0" w:rsidR="006C0E3A" w:rsidRPr="00050DAE" w:rsidRDefault="00B25C3E" w:rsidP="00EE6050">
      <w:pPr>
        <w:pStyle w:val="UWTSDindent"/>
      </w:pPr>
      <w:r w:rsidRPr="00050DAE">
        <w:t xml:space="preserve">Her descent is framed not as a dream or purely symbolic episode, but as a direct encounter with death itself. The journey unfolds within a cosmos where the boundary between life and death is treated as rigid and difficult to cross. </w:t>
      </w:r>
      <w:r w:rsidR="006100C1" w:rsidRPr="00050DAE">
        <w:t xml:space="preserve">For ordinary gods and mortals, the warning inscribed above the gates of the Netherworld by Dante millennia later, </w:t>
      </w:r>
      <w:r w:rsidR="008301DC" w:rsidRPr="00050DAE">
        <w:t>“</w:t>
      </w:r>
      <w:r w:rsidR="00005304" w:rsidRPr="00050DAE">
        <w:rPr>
          <w:i/>
          <w:iCs/>
        </w:rPr>
        <w:t>Lasciate ogne speranza, voi ch</w:t>
      </w:r>
      <w:r w:rsidR="008301DC" w:rsidRPr="00050DAE">
        <w:rPr>
          <w:i/>
          <w:iCs/>
        </w:rPr>
        <w:t>’</w:t>
      </w:r>
      <w:r w:rsidR="00005304" w:rsidRPr="00050DAE">
        <w:rPr>
          <w:i/>
          <w:iCs/>
        </w:rPr>
        <w:t>intrate</w:t>
      </w:r>
      <w:r w:rsidR="008301DC" w:rsidRPr="00050DAE">
        <w:t>”</w:t>
      </w:r>
      <w:r w:rsidR="00D600F2" w:rsidRPr="00050DAE">
        <w:t xml:space="preserve"> always applies.</w:t>
      </w:r>
      <w:r w:rsidR="00D600F2" w:rsidRPr="00050DAE">
        <w:rPr>
          <w:rStyle w:val="FootnoteReference"/>
        </w:rPr>
        <w:footnoteReference w:id="6"/>
      </w:r>
      <w:r w:rsidR="00D600F2" w:rsidRPr="00050DAE">
        <w:t xml:space="preserve"> In this case, however,</w:t>
      </w:r>
      <w:r w:rsidR="006F3C84" w:rsidRPr="00050DAE">
        <w:t xml:space="preserve"> Inanna is no ordinary deity. </w:t>
      </w:r>
      <w:r w:rsidR="00C308DA" w:rsidRPr="00050DAE">
        <w:t>For even a goddess as powerful as Inanna, there is a price for her return</w:t>
      </w:r>
      <w:r w:rsidR="004A4B17" w:rsidRPr="00050DAE">
        <w:t>,</w:t>
      </w:r>
      <w:r w:rsidR="001471AF" w:rsidRPr="00050DAE">
        <w:t xml:space="preserve"> and that price requires the sacrifice of another living god.</w:t>
      </w:r>
      <w:r w:rsidR="006F3C84" w:rsidRPr="00050DAE">
        <w:t xml:space="preserve"> The Mesopotamian Nether</w:t>
      </w:r>
      <w:r w:rsidR="00EE3C6F" w:rsidRPr="00050DAE">
        <w:t>world does not release its dead freely.</w:t>
      </w:r>
      <w:r w:rsidR="001C23CD" w:rsidRPr="00050DAE">
        <w:rPr>
          <w:rStyle w:val="FootnoteReference"/>
        </w:rPr>
        <w:footnoteReference w:id="7"/>
      </w:r>
    </w:p>
    <w:p w14:paraId="574A916A" w14:textId="1388296E" w:rsidR="00041A19" w:rsidRPr="00050DAE" w:rsidRDefault="00B16135" w:rsidP="00EE6050">
      <w:pPr>
        <w:pStyle w:val="UWTSDindent"/>
      </w:pPr>
      <w:r w:rsidRPr="00050DAE">
        <w:t xml:space="preserve">The same underlying </w:t>
      </w:r>
      <w:r w:rsidR="00262E8E" w:rsidRPr="00050DAE">
        <w:t>pattern</w:t>
      </w:r>
      <w:r w:rsidRPr="00050DAE">
        <w:t xml:space="preserve"> </w:t>
      </w:r>
      <w:r w:rsidR="00041A19" w:rsidRPr="00050DAE">
        <w:t>arises</w:t>
      </w:r>
      <w:r w:rsidRPr="00050DAE">
        <w:t xml:space="preserve"> in the Akkadian </w:t>
      </w:r>
      <w:r w:rsidR="00C3030A" w:rsidRPr="00050DAE">
        <w:rPr>
          <w:i/>
          <w:iCs/>
        </w:rPr>
        <w:t>Descent of Ištar to the Netherworld</w:t>
      </w:r>
      <w:r w:rsidRPr="00050DAE">
        <w:t xml:space="preserve">, where </w:t>
      </w:r>
      <w:r w:rsidR="0001447C" w:rsidRPr="00050DAE">
        <w:t>the sequence is preserved with greater rhetorical and emotional intensity</w:t>
      </w:r>
      <w:r w:rsidRPr="00050DAE">
        <w:t>.</w:t>
      </w:r>
      <w:r w:rsidR="006C0E3A" w:rsidRPr="00050DAE">
        <w:rPr>
          <w:vertAlign w:val="superscript"/>
        </w:rPr>
        <w:footnoteReference w:id="8"/>
      </w:r>
      <w:r w:rsidR="006C0E3A" w:rsidRPr="00050DAE">
        <w:t xml:space="preserve"> </w:t>
      </w:r>
      <w:r w:rsidR="001471AF" w:rsidRPr="00050DAE">
        <w:t>Where Inanna approaches the Netherworld with measured authority</w:t>
      </w:r>
      <w:r w:rsidR="00041A19" w:rsidRPr="00050DAE">
        <w:t xml:space="preserve">, Ištar carries the threat that her journey into the Netherworld will happen whether she is accepted or not. </w:t>
      </w:r>
    </w:p>
    <w:p w14:paraId="442AD5A3" w14:textId="5D8FB74B" w:rsidR="00996232" w:rsidRPr="00050DAE" w:rsidRDefault="00996232" w:rsidP="0096793F">
      <w:pPr>
        <w:pStyle w:val="UWTSDindent"/>
      </w:pPr>
      <w:r w:rsidRPr="00050DAE">
        <w:t xml:space="preserve">When placed alongside other ancient cultures, the structural coherence of the Mesopotamian descent pattern begins to fracture. In the Ugaritic </w:t>
      </w:r>
      <w:r w:rsidRPr="00050DAE">
        <w:rPr>
          <w:i/>
          <w:iCs/>
        </w:rPr>
        <w:t>Baal Cycle</w:t>
      </w:r>
      <w:r w:rsidRPr="00050DAE">
        <w:t xml:space="preserve">, Anat does not submit to death but confronts it directly </w:t>
      </w:r>
      <w:r w:rsidR="00EE1D02" w:rsidRPr="00050DAE">
        <w:t>to</w:t>
      </w:r>
      <w:r w:rsidRPr="00050DAE">
        <w:t xml:space="preserve"> disrupt or destroy it. In the Greek account of Persephone, by contrast, descent is neither voluntary nor governed by substitution; Persephone is abducted, and her return is secured through mediation and negotiated compromise. Although these narratives share movement between the worlds of the living and the dead, they do not preserve a single inherited model of descent.</w:t>
      </w:r>
      <w:r w:rsidRPr="00050DAE">
        <w:rPr>
          <w:rStyle w:val="FootnoteReference"/>
        </w:rPr>
        <w:footnoteReference w:id="9"/>
      </w:r>
      <w:r w:rsidRPr="00050DAE">
        <w:t xml:space="preserve"> Rather, they represent distinct cultural expressions that address the same problem of continuity in the face of death while arriving at markedly different solutions.</w:t>
      </w:r>
    </w:p>
    <w:p w14:paraId="3BF61880" w14:textId="12C847D4" w:rsidR="001754AC" w:rsidRPr="00050DAE" w:rsidRDefault="001754AC" w:rsidP="000F1F28">
      <w:pPr>
        <w:pStyle w:val="Heading2"/>
        <w:rPr>
          <w:rFonts w:asciiTheme="majorBidi" w:hAnsiTheme="majorBidi"/>
          <w:color w:val="auto"/>
        </w:rPr>
      </w:pPr>
      <w:bookmarkStart w:id="5" w:name="_Toc234140223"/>
      <w:bookmarkStart w:id="6" w:name="_Toc234140474"/>
      <w:bookmarkStart w:id="7" w:name="_Toc234143654"/>
      <w:bookmarkStart w:id="8" w:name="_Toc234154283"/>
      <w:r w:rsidRPr="00050DAE">
        <w:rPr>
          <w:rFonts w:asciiTheme="majorBidi" w:hAnsiTheme="majorBidi"/>
          <w:color w:val="auto"/>
        </w:rPr>
        <w:t xml:space="preserve">Methodological </w:t>
      </w:r>
      <w:r w:rsidR="00872DCB" w:rsidRPr="00050DAE">
        <w:rPr>
          <w:rFonts w:asciiTheme="majorBidi" w:hAnsiTheme="majorBidi"/>
          <w:color w:val="auto"/>
        </w:rPr>
        <w:t>Construction</w:t>
      </w:r>
      <w:bookmarkEnd w:id="5"/>
      <w:bookmarkEnd w:id="6"/>
      <w:bookmarkEnd w:id="7"/>
      <w:bookmarkEnd w:id="8"/>
    </w:p>
    <w:p w14:paraId="495311BE" w14:textId="0E8CCBE0" w:rsidR="00393B77" w:rsidRPr="00050DAE" w:rsidRDefault="002865DB" w:rsidP="00EE6050">
      <w:pPr>
        <w:pStyle w:val="UWTSDindent"/>
      </w:pPr>
      <w:r w:rsidRPr="00050DAE">
        <w:t>This dissertation relies on structuralism as well as comparative religion and literary analysis to interpret the descent narratives across Mesopotamian, Ugaritic, and Greek belief systems. Drawing on approaches associated with Lévi-Strauss, comparative mythology, and narrative analysis, the study examines how different traditions construct and interpret descent as a response to mortality, loss, and renewal</w:t>
      </w:r>
      <w:r w:rsidR="00393B77" w:rsidRPr="00050DAE">
        <w:t>.</w:t>
      </w:r>
      <w:r w:rsidR="00393B77" w:rsidRPr="00050DAE">
        <w:rPr>
          <w:rStyle w:val="FootnoteReference"/>
        </w:rPr>
        <w:footnoteReference w:id="10"/>
      </w:r>
    </w:p>
    <w:p w14:paraId="3B4CC0D3" w14:textId="73543A52" w:rsidR="005B637A" w:rsidRPr="00050DAE" w:rsidRDefault="0096793F" w:rsidP="00712C29">
      <w:pPr>
        <w:pStyle w:val="UWTSDindent"/>
      </w:pPr>
      <w:r w:rsidRPr="00050DAE">
        <w:t xml:space="preserve">Following structural approaches associated with Lévi-Strauss, </w:t>
      </w:r>
      <w:r w:rsidR="00B357DE" w:rsidRPr="00050DAE">
        <w:t xml:space="preserve">the present analysis </w:t>
      </w:r>
      <w:r w:rsidRPr="00050DAE">
        <w:t xml:space="preserve">examines how each </w:t>
      </w:r>
      <w:r w:rsidR="00085DC3" w:rsidRPr="00050DAE">
        <w:t>culture</w:t>
      </w:r>
      <w:r w:rsidRPr="00050DAE">
        <w:t xml:space="preserve"> </w:t>
      </w:r>
      <w:r w:rsidR="0091193A" w:rsidRPr="00050DAE">
        <w:t xml:space="preserve">organises </w:t>
      </w:r>
      <w:r w:rsidRPr="00050DAE">
        <w:t xml:space="preserve">recurring oppositions surrounding mortality, continuity, and divine limitation. Rather than treating these oppositions as universal patterns, the analysis evaluates how they are resolved within distinct cosmological </w:t>
      </w:r>
      <w:r w:rsidR="00C0249D" w:rsidRPr="00050DAE">
        <w:t>rules</w:t>
      </w:r>
      <w:r w:rsidRPr="00050DAE">
        <w:t xml:space="preserve"> and how those resolutions shape the </w:t>
      </w:r>
      <w:r w:rsidR="00262E8E" w:rsidRPr="00050DAE">
        <w:t>patterns</w:t>
      </w:r>
      <w:r w:rsidRPr="00050DAE">
        <w:t xml:space="preserve"> of descent, death, and return.</w:t>
      </w:r>
    </w:p>
    <w:p w14:paraId="5DB0B04F" w14:textId="4B99759B" w:rsidR="00712C29" w:rsidRPr="00050DAE" w:rsidRDefault="00C01899" w:rsidP="00712C29">
      <w:pPr>
        <w:pStyle w:val="UWTSDindent"/>
      </w:pPr>
      <w:r w:rsidRPr="00050DAE">
        <w:t xml:space="preserve">Our understanding of ancient religion is limited by the evidence that survives. Texts are often fragmentary, </w:t>
      </w:r>
      <w:r w:rsidR="005166F7" w:rsidRPr="00050DAE">
        <w:t>rituals</w:t>
      </w:r>
      <w:r w:rsidRPr="00050DAE">
        <w:t xml:space="preserve"> changed over time, and local practices frequently differed from one region to another. The older and more widespread a religious </w:t>
      </w:r>
      <w:r w:rsidR="005166F7" w:rsidRPr="00050DAE">
        <w:t>devotion</w:t>
      </w:r>
      <w:r w:rsidRPr="00050DAE">
        <w:t xml:space="preserve"> became, the more difficult </w:t>
      </w:r>
      <w:r w:rsidR="00796F8A" w:rsidRPr="00050DAE">
        <w:t xml:space="preserve">it becomes </w:t>
      </w:r>
      <w:r w:rsidRPr="00050DAE">
        <w:t xml:space="preserve">to recover </w:t>
      </w:r>
      <w:r w:rsidR="003C7602" w:rsidRPr="00050DAE">
        <w:t xml:space="preserve">an </w:t>
      </w:r>
      <w:r w:rsidR="00712C29" w:rsidRPr="00050DAE">
        <w:t>understanding of the actual beliefs</w:t>
      </w:r>
      <w:r w:rsidRPr="00050DAE">
        <w:t xml:space="preserve">. This is especially true in the ancient Near East, where deities evolved across shifting cultural and political boundaries. Inanna, for example, is better understood today because of the growing Sumerian and Akkadian corpus, yet that same evidence often blurs the line between Inanna and her later identification with Ištar. Anat presents the opposite </w:t>
      </w:r>
      <w:r w:rsidR="00991402" w:rsidRPr="00050DAE">
        <w:t>problem since</w:t>
      </w:r>
      <w:r w:rsidRPr="00050DAE">
        <w:t xml:space="preserve"> the surviving Ugaritic material remains comparatively limited. By contrast, </w:t>
      </w:r>
      <w:r w:rsidR="00BE6640" w:rsidRPr="00050DAE">
        <w:t xml:space="preserve">Greek and Roman religion survives in such a wide variety of competing myths, local cult practices, and theological interpretations </w:t>
      </w:r>
      <w:r w:rsidRPr="00050DAE">
        <w:t>that it is likewise impossible to reduce their beliefs to a single unified system.</w:t>
      </w:r>
      <w:r w:rsidR="00712C29" w:rsidRPr="00050DAE">
        <w:t xml:space="preserve"> </w:t>
      </w:r>
      <w:r w:rsidR="00B357DE" w:rsidRPr="00050DAE">
        <w:t xml:space="preserve">This dissertation </w:t>
      </w:r>
      <w:r w:rsidR="000E4B2C" w:rsidRPr="00050DAE">
        <w:t xml:space="preserve">examines how each </w:t>
      </w:r>
      <w:r w:rsidR="005166F7" w:rsidRPr="00050DAE">
        <w:t xml:space="preserve">culture reconciles </w:t>
      </w:r>
      <w:r w:rsidR="000E4B2C" w:rsidRPr="00050DAE">
        <w:t xml:space="preserve">descent, loss, and restoration as part of a broader attempt to explain continuity in the </w:t>
      </w:r>
      <w:r w:rsidR="003C7602" w:rsidRPr="00050DAE">
        <w:t>face</w:t>
      </w:r>
      <w:r w:rsidR="000E4B2C" w:rsidRPr="00050DAE">
        <w:t xml:space="preserve"> of death.</w:t>
      </w:r>
    </w:p>
    <w:p w14:paraId="6F6EAC41" w14:textId="0ACBE0E9" w:rsidR="00CE4240" w:rsidRPr="00050DAE" w:rsidRDefault="00712C29" w:rsidP="009D2921">
      <w:pPr>
        <w:pStyle w:val="UWTSDindent"/>
      </w:pPr>
      <w:r w:rsidRPr="00050DAE">
        <w:t>To this extent, w</w:t>
      </w:r>
      <w:r w:rsidR="001754AC" w:rsidRPr="00050DAE">
        <w:t xml:space="preserve">ithin </w:t>
      </w:r>
      <w:r w:rsidRPr="00050DAE">
        <w:t xml:space="preserve">the </w:t>
      </w:r>
      <w:r w:rsidR="00C0249D" w:rsidRPr="00050DAE">
        <w:t>frame</w:t>
      </w:r>
      <w:r w:rsidRPr="00050DAE">
        <w:t xml:space="preserve"> of </w:t>
      </w:r>
      <w:r w:rsidR="001754AC" w:rsidRPr="00050DAE">
        <w:t xml:space="preserve">comparative religion, </w:t>
      </w:r>
      <w:r w:rsidR="005433B2" w:rsidRPr="00050DAE">
        <w:t>the scope of this dissertation is limited to</w:t>
      </w:r>
      <w:r w:rsidR="001754AC" w:rsidRPr="00050DAE">
        <w:t xml:space="preserve"> a defined corpus</w:t>
      </w:r>
      <w:r w:rsidRPr="00050DAE">
        <w:t xml:space="preserve"> of primary texts:</w:t>
      </w:r>
      <w:r w:rsidR="001754AC" w:rsidRPr="00050DAE">
        <w:t xml:space="preserve"> </w:t>
      </w:r>
      <w:r w:rsidR="001754AC" w:rsidRPr="00050DAE">
        <w:rPr>
          <w:i/>
          <w:iCs/>
        </w:rPr>
        <w:t>Ina</w:t>
      </w:r>
      <w:r w:rsidR="00E844B5" w:rsidRPr="00050DAE">
        <w:rPr>
          <w:i/>
          <w:iCs/>
        </w:rPr>
        <w:t>n</w:t>
      </w:r>
      <w:r w:rsidR="001754AC" w:rsidRPr="00050DAE">
        <w:rPr>
          <w:i/>
          <w:iCs/>
        </w:rPr>
        <w:t>na</w:t>
      </w:r>
      <w:r w:rsidR="008301DC" w:rsidRPr="00050DAE">
        <w:rPr>
          <w:i/>
          <w:iCs/>
        </w:rPr>
        <w:t>’</w:t>
      </w:r>
      <w:r w:rsidR="001754AC" w:rsidRPr="00050DAE">
        <w:rPr>
          <w:i/>
          <w:iCs/>
        </w:rPr>
        <w:t>s Descent to the Netherworld</w:t>
      </w:r>
      <w:r w:rsidR="001754AC" w:rsidRPr="00050DAE">
        <w:t xml:space="preserve">, the </w:t>
      </w:r>
      <w:r w:rsidR="00C3030A" w:rsidRPr="00050DAE">
        <w:rPr>
          <w:i/>
          <w:iCs/>
        </w:rPr>
        <w:t>Descent of Ištar to the Netherworld</w:t>
      </w:r>
      <w:r w:rsidR="001754AC" w:rsidRPr="00050DAE">
        <w:t xml:space="preserve">, the Ugaritic </w:t>
      </w:r>
      <w:r w:rsidR="001754AC" w:rsidRPr="00050DAE">
        <w:rPr>
          <w:i/>
          <w:iCs/>
        </w:rPr>
        <w:t>Baal Cycle</w:t>
      </w:r>
      <w:r w:rsidR="001754AC" w:rsidRPr="00050DAE">
        <w:t xml:space="preserve">, and the </w:t>
      </w:r>
      <w:r w:rsidR="001754AC" w:rsidRPr="00050DAE">
        <w:rPr>
          <w:i/>
          <w:iCs/>
        </w:rPr>
        <w:t>Homeric Hymn to Demeter</w:t>
      </w:r>
      <w:r w:rsidR="001754AC" w:rsidRPr="00050DAE">
        <w:t>.</w:t>
      </w:r>
      <w:r w:rsidR="00602547" w:rsidRPr="00050DAE">
        <w:t xml:space="preserve"> </w:t>
      </w:r>
      <w:r w:rsidR="00B84D2A" w:rsidRPr="00050DAE">
        <w:t>Comparison serves to examine how different cultures addressed shared concerns surrounding death, fertility, and renewal, while also revealing the structural relationships that emerge across the narratives.</w:t>
      </w:r>
      <w:r w:rsidR="000F1F28" w:rsidRPr="00050DAE">
        <w:rPr>
          <w:rStyle w:val="FootnoteReference"/>
        </w:rPr>
        <w:footnoteReference w:id="11"/>
      </w:r>
      <w:r w:rsidR="00F73793" w:rsidRPr="00050DAE">
        <w:t xml:space="preserve"> Beyond these fundamental texts, </w:t>
      </w:r>
      <w:r w:rsidR="00F04C55" w:rsidRPr="00050DAE">
        <w:t>a c</w:t>
      </w:r>
      <w:r w:rsidRPr="00050DAE">
        <w:t>urate</w:t>
      </w:r>
      <w:r w:rsidR="00F04C55" w:rsidRPr="00050DAE">
        <w:t>d</w:t>
      </w:r>
      <w:r w:rsidRPr="00050DAE">
        <w:t xml:space="preserve"> sample of supporting</w:t>
      </w:r>
      <w:r w:rsidR="00F73793" w:rsidRPr="00050DAE">
        <w:t xml:space="preserve"> narratives will also be incorporated to better understand the protagonists of each </w:t>
      </w:r>
      <w:r w:rsidR="000C318E" w:rsidRPr="00050DAE">
        <w:t>katabatic journey</w:t>
      </w:r>
      <w:r w:rsidR="00F73793" w:rsidRPr="00050DAE">
        <w:t>.</w:t>
      </w:r>
      <w:r w:rsidR="00CE4240" w:rsidRPr="00050DAE">
        <w:t xml:space="preserve"> </w:t>
      </w:r>
    </w:p>
    <w:p w14:paraId="7C27DA73" w14:textId="77777777" w:rsidR="009D2921" w:rsidRDefault="00CE4240" w:rsidP="009D2921">
      <w:pPr>
        <w:pStyle w:val="UWTSDindent"/>
      </w:pPr>
      <w:r w:rsidRPr="00050DAE">
        <w:t xml:space="preserve">Literary analysis grounds the study in close reading of the texts, with attention to </w:t>
      </w:r>
      <w:r w:rsidR="00262E8E" w:rsidRPr="00050DAE">
        <w:t>composition</w:t>
      </w:r>
      <w:r w:rsidRPr="00050DAE">
        <w:t xml:space="preserve">, rhetoric, and thematic emphasis. Variations between versions, such as the Sumerian and Akkadian descent narratives, are treated as meaningful developments </w:t>
      </w:r>
      <w:r w:rsidR="00796F8A" w:rsidRPr="00050DAE">
        <w:t xml:space="preserve">rather than </w:t>
      </w:r>
      <w:r w:rsidRPr="00050DAE">
        <w:t>deviations.</w:t>
      </w:r>
    </w:p>
    <w:p w14:paraId="788499AB" w14:textId="281E5701" w:rsidR="00686D1C" w:rsidRPr="00050DAE" w:rsidRDefault="00686D1C" w:rsidP="009D2921">
      <w:pPr>
        <w:pStyle w:val="Caption"/>
      </w:pPr>
      <w:r w:rsidRPr="00050DAE">
        <w:t xml:space="preserve">Table </w:t>
      </w:r>
      <w:r w:rsidRPr="00050DAE">
        <w:fldChar w:fldCharType="begin"/>
      </w:r>
      <w:r w:rsidRPr="00050DAE">
        <w:instrText xml:space="preserve"> SEQ Table \* ARABIC </w:instrText>
      </w:r>
      <w:r w:rsidRPr="00050DAE">
        <w:fldChar w:fldCharType="separate"/>
      </w:r>
      <w:r w:rsidR="009D2921">
        <w:rPr>
          <w:noProof/>
        </w:rPr>
        <w:t>1</w:t>
      </w:r>
      <w:r w:rsidRPr="00050DAE">
        <w:fldChar w:fldCharType="end"/>
      </w:r>
      <w:r w:rsidRPr="00050DAE">
        <w:t xml:space="preserve"> Structural Comparison by </w:t>
      </w:r>
      <w:r w:rsidR="0058522B" w:rsidRPr="00050DAE">
        <w:t>R</w:t>
      </w:r>
      <w:r w:rsidRPr="00050DAE">
        <w:t>egion.</w:t>
      </w:r>
    </w:p>
    <w:tbl>
      <w:tblPr>
        <w:tblW w:w="5000" w:type="pct"/>
        <w:tblLook w:val="04A0" w:firstRow="1" w:lastRow="0" w:firstColumn="1" w:lastColumn="0" w:noHBand="0" w:noVBand="1"/>
      </w:tblPr>
      <w:tblGrid>
        <w:gridCol w:w="2254"/>
        <w:gridCol w:w="2254"/>
        <w:gridCol w:w="2254"/>
        <w:gridCol w:w="2254"/>
      </w:tblGrid>
      <w:tr w:rsidR="00686D1C" w:rsidRPr="00050DAE" w14:paraId="6A0C932E" w14:textId="77777777" w:rsidTr="002232D4">
        <w:trPr>
          <w:trHeight w:val="300"/>
        </w:trPr>
        <w:tc>
          <w:tcPr>
            <w:tcW w:w="1250"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7B96E5F" w14:textId="77777777" w:rsidR="00686D1C" w:rsidRPr="00050DAE" w:rsidRDefault="00686D1C" w:rsidP="00686D1C">
            <w:pPr>
              <w:spacing w:after="0" w:line="240" w:lineRule="auto"/>
              <w:jc w:val="center"/>
              <w:rPr>
                <w:rFonts w:asciiTheme="majorBidi" w:eastAsia="Times New Roman" w:hAnsiTheme="majorBidi" w:cstheme="majorBidi"/>
                <w:b/>
                <w:bCs/>
                <w:color w:val="FFFFFF" w:themeColor="background1"/>
                <w:kern w:val="0"/>
                <w:lang w:eastAsia="en-GB"/>
                <w14:ligatures w14:val="none"/>
              </w:rPr>
            </w:pPr>
            <w:r w:rsidRPr="00050DAE">
              <w:rPr>
                <w:rFonts w:asciiTheme="majorBidi" w:eastAsia="Times New Roman" w:hAnsiTheme="majorBidi" w:cstheme="majorBidi"/>
                <w:b/>
                <w:bCs/>
                <w:color w:val="FFFFFF" w:themeColor="background1"/>
                <w:kern w:val="0"/>
                <w:lang w:eastAsia="en-GB"/>
                <w14:ligatures w14:val="none"/>
              </w:rPr>
              <w:t>Structural Element</w:t>
            </w:r>
          </w:p>
        </w:tc>
        <w:tc>
          <w:tcPr>
            <w:tcW w:w="1250" w:type="pct"/>
            <w:tcBorders>
              <w:top w:val="single" w:sz="4" w:space="0" w:color="auto"/>
              <w:left w:val="nil"/>
              <w:bottom w:val="single" w:sz="4" w:space="0" w:color="auto"/>
              <w:right w:val="single" w:sz="4" w:space="0" w:color="auto"/>
            </w:tcBorders>
            <w:shd w:val="clear" w:color="auto" w:fill="000000" w:themeFill="text1"/>
            <w:vAlign w:val="center"/>
            <w:hideMark/>
          </w:tcPr>
          <w:p w14:paraId="4FCC2D8B" w14:textId="77777777" w:rsidR="00686D1C" w:rsidRPr="00050DAE" w:rsidRDefault="00686D1C" w:rsidP="00686D1C">
            <w:pPr>
              <w:spacing w:after="0" w:line="240" w:lineRule="auto"/>
              <w:jc w:val="center"/>
              <w:rPr>
                <w:rFonts w:asciiTheme="majorBidi" w:eastAsia="Times New Roman" w:hAnsiTheme="majorBidi" w:cstheme="majorBidi"/>
                <w:b/>
                <w:bCs/>
                <w:color w:val="FFFFFF" w:themeColor="background1"/>
                <w:kern w:val="0"/>
                <w:lang w:eastAsia="en-GB"/>
                <w14:ligatures w14:val="none"/>
              </w:rPr>
            </w:pPr>
            <w:r w:rsidRPr="00050DAE">
              <w:rPr>
                <w:rFonts w:asciiTheme="majorBidi" w:eastAsia="Times New Roman" w:hAnsiTheme="majorBidi" w:cstheme="majorBidi"/>
                <w:b/>
                <w:bCs/>
                <w:color w:val="FFFFFF" w:themeColor="background1"/>
                <w:kern w:val="0"/>
                <w:lang w:eastAsia="en-GB"/>
                <w14:ligatures w14:val="none"/>
              </w:rPr>
              <w:t>Mesopotamian</w:t>
            </w:r>
          </w:p>
        </w:tc>
        <w:tc>
          <w:tcPr>
            <w:tcW w:w="1250" w:type="pct"/>
            <w:tcBorders>
              <w:top w:val="single" w:sz="4" w:space="0" w:color="auto"/>
              <w:left w:val="nil"/>
              <w:bottom w:val="single" w:sz="4" w:space="0" w:color="auto"/>
              <w:right w:val="single" w:sz="4" w:space="0" w:color="auto"/>
            </w:tcBorders>
            <w:shd w:val="clear" w:color="auto" w:fill="000000" w:themeFill="text1"/>
            <w:vAlign w:val="center"/>
            <w:hideMark/>
          </w:tcPr>
          <w:p w14:paraId="66FC1113" w14:textId="77777777" w:rsidR="00686D1C" w:rsidRPr="00050DAE" w:rsidRDefault="00686D1C" w:rsidP="00686D1C">
            <w:pPr>
              <w:spacing w:after="0" w:line="240" w:lineRule="auto"/>
              <w:jc w:val="center"/>
              <w:rPr>
                <w:rFonts w:asciiTheme="majorBidi" w:eastAsia="Times New Roman" w:hAnsiTheme="majorBidi" w:cstheme="majorBidi"/>
                <w:b/>
                <w:bCs/>
                <w:color w:val="FFFFFF" w:themeColor="background1"/>
                <w:kern w:val="0"/>
                <w:lang w:eastAsia="en-GB"/>
                <w14:ligatures w14:val="none"/>
              </w:rPr>
            </w:pPr>
            <w:r w:rsidRPr="00050DAE">
              <w:rPr>
                <w:rFonts w:asciiTheme="majorBidi" w:eastAsia="Times New Roman" w:hAnsiTheme="majorBidi" w:cstheme="majorBidi"/>
                <w:b/>
                <w:bCs/>
                <w:color w:val="FFFFFF" w:themeColor="background1"/>
                <w:kern w:val="0"/>
                <w:lang w:eastAsia="en-GB"/>
                <w14:ligatures w14:val="none"/>
              </w:rPr>
              <w:t>Ugaritic</w:t>
            </w:r>
          </w:p>
        </w:tc>
        <w:tc>
          <w:tcPr>
            <w:tcW w:w="1250" w:type="pct"/>
            <w:tcBorders>
              <w:top w:val="single" w:sz="4" w:space="0" w:color="auto"/>
              <w:left w:val="nil"/>
              <w:bottom w:val="single" w:sz="4" w:space="0" w:color="auto"/>
              <w:right w:val="single" w:sz="4" w:space="0" w:color="auto"/>
            </w:tcBorders>
            <w:shd w:val="clear" w:color="auto" w:fill="000000" w:themeFill="text1"/>
            <w:vAlign w:val="center"/>
            <w:hideMark/>
          </w:tcPr>
          <w:p w14:paraId="6F27EF19" w14:textId="093E6CEC" w:rsidR="00686D1C" w:rsidRPr="00050DAE" w:rsidRDefault="00686D1C" w:rsidP="00686D1C">
            <w:pPr>
              <w:spacing w:after="0" w:line="240" w:lineRule="auto"/>
              <w:jc w:val="center"/>
              <w:rPr>
                <w:rFonts w:asciiTheme="majorBidi" w:eastAsia="Times New Roman" w:hAnsiTheme="majorBidi" w:cstheme="majorBidi"/>
                <w:b/>
                <w:bCs/>
                <w:color w:val="FFFFFF" w:themeColor="background1"/>
                <w:kern w:val="0"/>
                <w:lang w:eastAsia="en-GB"/>
                <w14:ligatures w14:val="none"/>
              </w:rPr>
            </w:pPr>
            <w:r w:rsidRPr="00050DAE">
              <w:rPr>
                <w:rFonts w:asciiTheme="majorBidi" w:eastAsia="Times New Roman" w:hAnsiTheme="majorBidi" w:cstheme="majorBidi"/>
                <w:b/>
                <w:bCs/>
                <w:color w:val="FFFFFF" w:themeColor="background1"/>
                <w:kern w:val="0"/>
                <w:lang w:eastAsia="en-GB"/>
                <w14:ligatures w14:val="none"/>
              </w:rPr>
              <w:t>Greek</w:t>
            </w:r>
            <w:r w:rsidR="007A0D78" w:rsidRPr="00050DAE">
              <w:rPr>
                <w:rStyle w:val="FootnoteReference"/>
                <w:rFonts w:asciiTheme="majorBidi" w:eastAsia="Times New Roman" w:hAnsiTheme="majorBidi" w:cstheme="majorBidi"/>
                <w:b/>
                <w:bCs/>
                <w:color w:val="FFFFFF" w:themeColor="background1"/>
                <w:kern w:val="0"/>
                <w:lang w:eastAsia="en-GB"/>
                <w14:ligatures w14:val="none"/>
              </w:rPr>
              <w:footnoteReference w:id="12"/>
            </w:r>
          </w:p>
        </w:tc>
      </w:tr>
      <w:tr w:rsidR="00686D1C" w:rsidRPr="00050DAE" w14:paraId="0503CC9E" w14:textId="77777777" w:rsidTr="00686D1C">
        <w:trPr>
          <w:trHeight w:val="300"/>
        </w:trPr>
        <w:tc>
          <w:tcPr>
            <w:tcW w:w="1250" w:type="pct"/>
            <w:tcBorders>
              <w:top w:val="nil"/>
              <w:left w:val="single" w:sz="4" w:space="0" w:color="auto"/>
              <w:bottom w:val="single" w:sz="4" w:space="0" w:color="auto"/>
              <w:right w:val="single" w:sz="4" w:space="0" w:color="auto"/>
            </w:tcBorders>
            <w:vAlign w:val="center"/>
            <w:hideMark/>
          </w:tcPr>
          <w:p w14:paraId="7F774AB6"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Cause of Descent</w:t>
            </w:r>
          </w:p>
        </w:tc>
        <w:tc>
          <w:tcPr>
            <w:tcW w:w="1250" w:type="pct"/>
            <w:tcBorders>
              <w:top w:val="nil"/>
              <w:left w:val="nil"/>
              <w:bottom w:val="single" w:sz="4" w:space="0" w:color="auto"/>
              <w:right w:val="single" w:sz="4" w:space="0" w:color="auto"/>
            </w:tcBorders>
            <w:vAlign w:val="center"/>
            <w:hideMark/>
          </w:tcPr>
          <w:p w14:paraId="1E7A23C0" w14:textId="3781CA66"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Voluntary</w:t>
            </w:r>
          </w:p>
        </w:tc>
        <w:tc>
          <w:tcPr>
            <w:tcW w:w="1250" w:type="pct"/>
            <w:tcBorders>
              <w:top w:val="nil"/>
              <w:left w:val="nil"/>
              <w:bottom w:val="single" w:sz="4" w:space="0" w:color="auto"/>
              <w:right w:val="single" w:sz="4" w:space="0" w:color="auto"/>
            </w:tcBorders>
            <w:vAlign w:val="center"/>
            <w:hideMark/>
          </w:tcPr>
          <w:p w14:paraId="4EBA4B80"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Confrontation with death</w:t>
            </w:r>
          </w:p>
        </w:tc>
        <w:tc>
          <w:tcPr>
            <w:tcW w:w="1250" w:type="pct"/>
            <w:tcBorders>
              <w:top w:val="nil"/>
              <w:left w:val="nil"/>
              <w:bottom w:val="single" w:sz="4" w:space="0" w:color="auto"/>
              <w:right w:val="single" w:sz="4" w:space="0" w:color="auto"/>
            </w:tcBorders>
            <w:vAlign w:val="center"/>
            <w:hideMark/>
          </w:tcPr>
          <w:p w14:paraId="5BEF43AB"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Abduction</w:t>
            </w:r>
          </w:p>
        </w:tc>
      </w:tr>
      <w:tr w:rsidR="00686D1C" w:rsidRPr="00050DAE" w14:paraId="53A85237" w14:textId="77777777" w:rsidTr="00686D1C">
        <w:trPr>
          <w:trHeight w:val="300"/>
        </w:trPr>
        <w:tc>
          <w:tcPr>
            <w:tcW w:w="1250" w:type="pct"/>
            <w:tcBorders>
              <w:top w:val="nil"/>
              <w:left w:val="single" w:sz="4" w:space="0" w:color="auto"/>
              <w:bottom w:val="single" w:sz="4" w:space="0" w:color="auto"/>
              <w:right w:val="single" w:sz="4" w:space="0" w:color="auto"/>
            </w:tcBorders>
            <w:vAlign w:val="center"/>
            <w:hideMark/>
          </w:tcPr>
          <w:p w14:paraId="7DCD8689"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Nature of Death</w:t>
            </w:r>
          </w:p>
        </w:tc>
        <w:tc>
          <w:tcPr>
            <w:tcW w:w="1250" w:type="pct"/>
            <w:tcBorders>
              <w:top w:val="nil"/>
              <w:left w:val="nil"/>
              <w:bottom w:val="single" w:sz="4" w:space="0" w:color="auto"/>
              <w:right w:val="single" w:sz="4" w:space="0" w:color="auto"/>
            </w:tcBorders>
            <w:vAlign w:val="center"/>
            <w:hideMark/>
          </w:tcPr>
          <w:p w14:paraId="50AF3E5D"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Juridical/fixed</w:t>
            </w:r>
          </w:p>
        </w:tc>
        <w:tc>
          <w:tcPr>
            <w:tcW w:w="1250" w:type="pct"/>
            <w:tcBorders>
              <w:top w:val="nil"/>
              <w:left w:val="nil"/>
              <w:bottom w:val="single" w:sz="4" w:space="0" w:color="auto"/>
              <w:right w:val="single" w:sz="4" w:space="0" w:color="auto"/>
            </w:tcBorders>
            <w:vAlign w:val="center"/>
            <w:hideMark/>
          </w:tcPr>
          <w:p w14:paraId="6DF854B8"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Violent/oppositional</w:t>
            </w:r>
          </w:p>
        </w:tc>
        <w:tc>
          <w:tcPr>
            <w:tcW w:w="1250" w:type="pct"/>
            <w:tcBorders>
              <w:top w:val="nil"/>
              <w:left w:val="nil"/>
              <w:bottom w:val="single" w:sz="4" w:space="0" w:color="auto"/>
              <w:right w:val="single" w:sz="4" w:space="0" w:color="auto"/>
            </w:tcBorders>
            <w:vAlign w:val="center"/>
            <w:hideMark/>
          </w:tcPr>
          <w:p w14:paraId="6AD6F600"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Mediated/relational</w:t>
            </w:r>
          </w:p>
        </w:tc>
      </w:tr>
      <w:tr w:rsidR="00686D1C" w:rsidRPr="00050DAE" w14:paraId="5405356A" w14:textId="77777777" w:rsidTr="00686D1C">
        <w:trPr>
          <w:trHeight w:val="300"/>
        </w:trPr>
        <w:tc>
          <w:tcPr>
            <w:tcW w:w="1250" w:type="pct"/>
            <w:tcBorders>
              <w:top w:val="nil"/>
              <w:left w:val="single" w:sz="4" w:space="0" w:color="auto"/>
              <w:bottom w:val="single" w:sz="4" w:space="0" w:color="auto"/>
              <w:right w:val="single" w:sz="4" w:space="0" w:color="auto"/>
            </w:tcBorders>
            <w:vAlign w:val="center"/>
            <w:hideMark/>
          </w:tcPr>
          <w:p w14:paraId="7B66D754"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Mechanism of Return</w:t>
            </w:r>
          </w:p>
        </w:tc>
        <w:tc>
          <w:tcPr>
            <w:tcW w:w="1250" w:type="pct"/>
            <w:tcBorders>
              <w:top w:val="nil"/>
              <w:left w:val="nil"/>
              <w:bottom w:val="single" w:sz="4" w:space="0" w:color="auto"/>
              <w:right w:val="single" w:sz="4" w:space="0" w:color="auto"/>
            </w:tcBorders>
            <w:vAlign w:val="center"/>
            <w:hideMark/>
          </w:tcPr>
          <w:p w14:paraId="335F9911"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Substitution</w:t>
            </w:r>
          </w:p>
        </w:tc>
        <w:tc>
          <w:tcPr>
            <w:tcW w:w="1250" w:type="pct"/>
            <w:tcBorders>
              <w:top w:val="nil"/>
              <w:left w:val="nil"/>
              <w:bottom w:val="single" w:sz="4" w:space="0" w:color="auto"/>
              <w:right w:val="single" w:sz="4" w:space="0" w:color="auto"/>
            </w:tcBorders>
            <w:vAlign w:val="center"/>
            <w:hideMark/>
          </w:tcPr>
          <w:p w14:paraId="757FFC36"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Disruption of death</w:t>
            </w:r>
          </w:p>
        </w:tc>
        <w:tc>
          <w:tcPr>
            <w:tcW w:w="1250" w:type="pct"/>
            <w:tcBorders>
              <w:top w:val="nil"/>
              <w:left w:val="nil"/>
              <w:bottom w:val="single" w:sz="4" w:space="0" w:color="auto"/>
              <w:right w:val="single" w:sz="4" w:space="0" w:color="auto"/>
            </w:tcBorders>
            <w:vAlign w:val="center"/>
            <w:hideMark/>
          </w:tcPr>
          <w:p w14:paraId="49FB980E"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Negotiation</w:t>
            </w:r>
          </w:p>
        </w:tc>
      </w:tr>
      <w:tr w:rsidR="00686D1C" w:rsidRPr="00050DAE" w14:paraId="63AD5551" w14:textId="77777777" w:rsidTr="00686D1C">
        <w:trPr>
          <w:trHeight w:val="300"/>
        </w:trPr>
        <w:tc>
          <w:tcPr>
            <w:tcW w:w="1250" w:type="pct"/>
            <w:tcBorders>
              <w:top w:val="nil"/>
              <w:left w:val="single" w:sz="4" w:space="0" w:color="auto"/>
              <w:bottom w:val="single" w:sz="4" w:space="0" w:color="auto"/>
              <w:right w:val="single" w:sz="4" w:space="0" w:color="auto"/>
            </w:tcBorders>
            <w:vAlign w:val="center"/>
            <w:hideMark/>
          </w:tcPr>
          <w:p w14:paraId="66DF05A9"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Role of Divine Authority</w:t>
            </w:r>
          </w:p>
        </w:tc>
        <w:tc>
          <w:tcPr>
            <w:tcW w:w="1250" w:type="pct"/>
            <w:tcBorders>
              <w:top w:val="nil"/>
              <w:left w:val="nil"/>
              <w:bottom w:val="single" w:sz="4" w:space="0" w:color="auto"/>
              <w:right w:val="single" w:sz="4" w:space="0" w:color="auto"/>
            </w:tcBorders>
            <w:vAlign w:val="center"/>
            <w:hideMark/>
          </w:tcPr>
          <w:p w14:paraId="14E922A7"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Constrained by Netherworld law</w:t>
            </w:r>
          </w:p>
        </w:tc>
        <w:tc>
          <w:tcPr>
            <w:tcW w:w="1250" w:type="pct"/>
            <w:tcBorders>
              <w:top w:val="nil"/>
              <w:left w:val="nil"/>
              <w:bottom w:val="single" w:sz="4" w:space="0" w:color="auto"/>
              <w:right w:val="single" w:sz="4" w:space="0" w:color="auto"/>
            </w:tcBorders>
            <w:vAlign w:val="center"/>
            <w:hideMark/>
          </w:tcPr>
          <w:p w14:paraId="4EE3169E"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Asserted through violence</w:t>
            </w:r>
          </w:p>
        </w:tc>
        <w:tc>
          <w:tcPr>
            <w:tcW w:w="1250" w:type="pct"/>
            <w:tcBorders>
              <w:top w:val="nil"/>
              <w:left w:val="nil"/>
              <w:bottom w:val="single" w:sz="4" w:space="0" w:color="auto"/>
              <w:right w:val="single" w:sz="4" w:space="0" w:color="auto"/>
            </w:tcBorders>
            <w:vAlign w:val="center"/>
            <w:hideMark/>
          </w:tcPr>
          <w:p w14:paraId="78E77CD8"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Distributed through mediation</w:t>
            </w:r>
          </w:p>
        </w:tc>
      </w:tr>
      <w:tr w:rsidR="00686D1C" w:rsidRPr="00050DAE" w14:paraId="1F8F38A5" w14:textId="77777777" w:rsidTr="00686D1C">
        <w:trPr>
          <w:trHeight w:val="300"/>
        </w:trPr>
        <w:tc>
          <w:tcPr>
            <w:tcW w:w="1250" w:type="pct"/>
            <w:tcBorders>
              <w:top w:val="nil"/>
              <w:left w:val="single" w:sz="4" w:space="0" w:color="auto"/>
              <w:bottom w:val="single" w:sz="4" w:space="0" w:color="auto"/>
              <w:right w:val="single" w:sz="4" w:space="0" w:color="auto"/>
            </w:tcBorders>
            <w:vAlign w:val="center"/>
            <w:hideMark/>
          </w:tcPr>
          <w:p w14:paraId="0BAEDF2B"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Cosmological Result</w:t>
            </w:r>
          </w:p>
        </w:tc>
        <w:tc>
          <w:tcPr>
            <w:tcW w:w="1250" w:type="pct"/>
            <w:tcBorders>
              <w:top w:val="nil"/>
              <w:left w:val="nil"/>
              <w:bottom w:val="single" w:sz="4" w:space="0" w:color="auto"/>
              <w:right w:val="single" w:sz="4" w:space="0" w:color="auto"/>
            </w:tcBorders>
            <w:vAlign w:val="center"/>
            <w:hideMark/>
          </w:tcPr>
          <w:p w14:paraId="4EB426D3"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Exchange and continuity</w:t>
            </w:r>
          </w:p>
        </w:tc>
        <w:tc>
          <w:tcPr>
            <w:tcW w:w="1250" w:type="pct"/>
            <w:tcBorders>
              <w:top w:val="nil"/>
              <w:left w:val="nil"/>
              <w:bottom w:val="single" w:sz="4" w:space="0" w:color="auto"/>
              <w:right w:val="single" w:sz="4" w:space="0" w:color="auto"/>
            </w:tcBorders>
            <w:vAlign w:val="center"/>
            <w:hideMark/>
          </w:tcPr>
          <w:p w14:paraId="70423AF3"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Temporary restoration</w:t>
            </w:r>
          </w:p>
        </w:tc>
        <w:tc>
          <w:tcPr>
            <w:tcW w:w="1250" w:type="pct"/>
            <w:tcBorders>
              <w:top w:val="nil"/>
              <w:left w:val="nil"/>
              <w:bottom w:val="single" w:sz="4" w:space="0" w:color="auto"/>
              <w:right w:val="single" w:sz="4" w:space="0" w:color="auto"/>
            </w:tcBorders>
            <w:vAlign w:val="center"/>
            <w:hideMark/>
          </w:tcPr>
          <w:p w14:paraId="37DC755D" w14:textId="77777777" w:rsidR="00686D1C" w:rsidRPr="00050DAE" w:rsidRDefault="00686D1C" w:rsidP="00686D1C">
            <w:pPr>
              <w:spacing w:after="0" w:line="240" w:lineRule="auto"/>
              <w:rPr>
                <w:rFonts w:asciiTheme="majorBidi" w:eastAsia="Times New Roman" w:hAnsiTheme="majorBidi" w:cstheme="majorBidi"/>
                <w:color w:val="000000"/>
                <w:kern w:val="0"/>
                <w:lang w:eastAsia="en-GB"/>
                <w14:ligatures w14:val="none"/>
              </w:rPr>
            </w:pPr>
            <w:r w:rsidRPr="00050DAE">
              <w:rPr>
                <w:rFonts w:asciiTheme="majorBidi" w:eastAsia="Times New Roman" w:hAnsiTheme="majorBidi" w:cstheme="majorBidi"/>
                <w:color w:val="000000"/>
                <w:kern w:val="0"/>
                <w:lang w:eastAsia="en-GB"/>
                <w14:ligatures w14:val="none"/>
              </w:rPr>
              <w:t>Cyclical balance</w:t>
            </w:r>
          </w:p>
        </w:tc>
      </w:tr>
    </w:tbl>
    <w:p w14:paraId="2924B3C0" w14:textId="77777777" w:rsidR="00686D1C" w:rsidRPr="00050DAE" w:rsidRDefault="00686D1C" w:rsidP="00686D1C">
      <w:pPr>
        <w:pStyle w:val="UWTSDindent"/>
      </w:pPr>
    </w:p>
    <w:p w14:paraId="0DF8DBE3" w14:textId="1F183F9A" w:rsidR="0053349F" w:rsidRPr="00050DAE" w:rsidRDefault="0053349F" w:rsidP="0053349F">
      <w:pPr>
        <w:pStyle w:val="UWTSDindent"/>
      </w:pPr>
      <w:r w:rsidRPr="00050DAE">
        <w:t>The comparison undertaken here examines descent narratives through the oppositions that structure them. Life and death function as the central polarity within each myth, while the descent serves as the point at which that opposition is tested. Analysis therefore focuses on the organisation of this polarity and the mechanisms through which each tradition resolves the tensions it creates.</w:t>
      </w:r>
    </w:p>
    <w:p w14:paraId="730CE703" w14:textId="1919CDCC" w:rsidR="00686D1C" w:rsidRPr="00050DAE" w:rsidRDefault="000C318E" w:rsidP="00C91F8D">
      <w:pPr>
        <w:pStyle w:val="UWTSDindent"/>
      </w:pPr>
      <w:r w:rsidRPr="00050DAE">
        <w:t xml:space="preserve">The scope of this approach is deliberately limited. Although cultural interaction between these religious communities almost certainly occurred, the present study focuses on reconstructing how each </w:t>
      </w:r>
      <w:r w:rsidR="001B180F" w:rsidRPr="00050DAE">
        <w:t xml:space="preserve">cosmological </w:t>
      </w:r>
      <w:r w:rsidRPr="00050DAE">
        <w:t xml:space="preserve">model independently </w:t>
      </w:r>
      <w:r w:rsidR="005433B2" w:rsidRPr="00050DAE">
        <w:t xml:space="preserve">articulates </w:t>
      </w:r>
      <w:r w:rsidRPr="00050DAE">
        <w:t>the relationship between death, renewal, and continuity within its own worldview</w:t>
      </w:r>
      <w:r w:rsidR="00686D1C" w:rsidRPr="00050DAE">
        <w:t>.</w:t>
      </w:r>
    </w:p>
    <w:p w14:paraId="7E78F1D7" w14:textId="77777777" w:rsidR="001754AC" w:rsidRPr="00050DAE" w:rsidRDefault="001754AC" w:rsidP="000F1F28">
      <w:pPr>
        <w:pStyle w:val="Heading2"/>
        <w:rPr>
          <w:rFonts w:asciiTheme="majorBidi" w:hAnsiTheme="majorBidi"/>
          <w:color w:val="auto"/>
        </w:rPr>
      </w:pPr>
      <w:bookmarkStart w:id="9" w:name="_Toc234140224"/>
      <w:bookmarkStart w:id="10" w:name="_Toc234140475"/>
      <w:bookmarkStart w:id="11" w:name="_Toc234143655"/>
      <w:bookmarkStart w:id="12" w:name="_Toc234154284"/>
      <w:r w:rsidRPr="00050DAE">
        <w:rPr>
          <w:rFonts w:asciiTheme="majorBidi" w:hAnsiTheme="majorBidi"/>
          <w:color w:val="auto"/>
        </w:rPr>
        <w:t>Transition to Chapter 1</w:t>
      </w:r>
      <w:bookmarkEnd w:id="9"/>
      <w:bookmarkEnd w:id="10"/>
      <w:bookmarkEnd w:id="11"/>
      <w:bookmarkEnd w:id="12"/>
    </w:p>
    <w:p w14:paraId="01AF20B3" w14:textId="25F8BC6C" w:rsidR="00913A4C" w:rsidRPr="00050DAE" w:rsidRDefault="00E74950" w:rsidP="00E74950">
      <w:pPr>
        <w:pStyle w:val="UWTSDindent"/>
      </w:pPr>
      <w:r w:rsidRPr="00050DAE">
        <w:t xml:space="preserve">The Mesopotamian material provides the clearest and most fully articulated model of descent as a </w:t>
      </w:r>
      <w:r w:rsidR="00C0249D" w:rsidRPr="00050DAE">
        <w:t>boundary</w:t>
      </w:r>
      <w:r w:rsidRPr="00050DAE">
        <w:t xml:space="preserve"> governed by cosmic law that only releases its dead for a price. Chapter 1 therefore examines how Inanna</w:t>
      </w:r>
      <w:r w:rsidR="008301DC" w:rsidRPr="00050DAE">
        <w:t>’</w:t>
      </w:r>
      <w:r w:rsidRPr="00050DAE">
        <w:t xml:space="preserve">s broader corpus establishes the cosmological conditions later </w:t>
      </w:r>
      <w:r w:rsidR="00F321A5" w:rsidRPr="00050DAE">
        <w:t xml:space="preserve">formalised </w:t>
      </w:r>
      <w:r w:rsidRPr="00050DAE">
        <w:t xml:space="preserve">in the descent tradition. </w:t>
      </w:r>
      <w:r w:rsidR="00B357DE" w:rsidRPr="00050DAE">
        <w:t>T</w:t>
      </w:r>
      <w:r w:rsidRPr="00050DAE">
        <w:t xml:space="preserve">his </w:t>
      </w:r>
      <w:r w:rsidR="00B357DE" w:rsidRPr="00050DAE">
        <w:t>analysis</w:t>
      </w:r>
      <w:r w:rsidRPr="00050DAE">
        <w:t xml:space="preserve"> presents her as more than an early descent goddess, instead positioning her as the central expression of a cosmological model in which divine authority across multiple domains remains inherently constrained by Netherworld law. By examining the broader corpus of Inanna texts alongside the descent narrative, this chapter reconstructs the underlying conditions that make substitution a necessary feature of the system rather than an isolated narrative detail. </w:t>
      </w:r>
    </w:p>
    <w:p w14:paraId="7784FCED" w14:textId="3418E421" w:rsidR="00D5107C" w:rsidRPr="00050DAE" w:rsidRDefault="00AD5E7F" w:rsidP="00913A4C">
      <w:pPr>
        <w:pStyle w:val="UWTSDindent"/>
      </w:pPr>
      <w:r w:rsidRPr="00050DAE">
        <w:t>Fundamentally,</w:t>
      </w:r>
      <w:r w:rsidR="00913A4C" w:rsidRPr="00050DAE">
        <w:t xml:space="preserve"> Mesopotamian, Ugaritic, and Greek descent</w:t>
      </w:r>
      <w:r w:rsidR="000C318E" w:rsidRPr="00050DAE">
        <w:t>s</w:t>
      </w:r>
      <w:r w:rsidR="00913A4C" w:rsidRPr="00050DAE">
        <w:t xml:space="preserve"> address the same problem of how continuity persists despite death, while resolving it through distinct theological </w:t>
      </w:r>
      <w:r w:rsidR="000C318E" w:rsidRPr="00050DAE">
        <w:t>solutions</w:t>
      </w:r>
      <w:r w:rsidR="00913A4C" w:rsidRPr="00050DAE">
        <w:t xml:space="preserve">. Chapters 1-3 establish the Mesopotamian model of descent, substitution, and Netherworld law. Chapter 4 examines the Ugaritic confrontation with death through Anat and Baal. Chapter 5 analyses a Greek model of mediated return through Demeter and Persephone. </w:t>
      </w:r>
      <w:r w:rsidR="00862B4E" w:rsidRPr="00050DAE">
        <w:t>Chapter 6 compares these depictions of descent to demonstrate that shared motifs</w:t>
      </w:r>
      <w:r w:rsidR="00913A4C" w:rsidRPr="00050DAE">
        <w:t xml:space="preserve"> do not imply a </w:t>
      </w:r>
      <w:r w:rsidR="00862B4E" w:rsidRPr="00050DAE">
        <w:t>common origin</w:t>
      </w:r>
      <w:r w:rsidR="00913A4C" w:rsidRPr="00050DAE">
        <w:t>.</w:t>
      </w:r>
      <w:r w:rsidR="00D5107C" w:rsidRPr="00050DAE">
        <w:br w:type="page"/>
      </w:r>
    </w:p>
    <w:p w14:paraId="636FCC0B" w14:textId="0B272361" w:rsidR="0099463E" w:rsidRPr="00050DAE" w:rsidRDefault="0099463E" w:rsidP="0099463E">
      <w:pPr>
        <w:pStyle w:val="Heading1"/>
        <w:rPr>
          <w:rFonts w:asciiTheme="majorBidi" w:hAnsiTheme="majorBidi"/>
          <w:color w:val="auto"/>
        </w:rPr>
      </w:pPr>
      <w:bookmarkStart w:id="13" w:name="_Toc234140225"/>
      <w:bookmarkStart w:id="14" w:name="_Toc234140476"/>
      <w:bookmarkStart w:id="15" w:name="_Toc234143656"/>
      <w:bookmarkStart w:id="16" w:name="_Toc234154285"/>
      <w:bookmarkStart w:id="17" w:name="_Toc234154365"/>
      <w:r w:rsidRPr="00050DAE">
        <w:rPr>
          <w:rFonts w:asciiTheme="majorBidi" w:hAnsiTheme="majorBidi"/>
          <w:color w:val="auto"/>
        </w:rPr>
        <w:t>Chapter 1. Inanna</w:t>
      </w:r>
      <w:bookmarkEnd w:id="13"/>
      <w:bookmarkEnd w:id="14"/>
      <w:bookmarkEnd w:id="15"/>
      <w:bookmarkEnd w:id="16"/>
      <w:bookmarkEnd w:id="17"/>
    </w:p>
    <w:p w14:paraId="450DB4CC" w14:textId="11EA4543" w:rsidR="007856DB" w:rsidRPr="00050DAE" w:rsidRDefault="002E7976" w:rsidP="000634E2">
      <w:pPr>
        <w:pStyle w:val="Heading2"/>
        <w:rPr>
          <w:rFonts w:asciiTheme="majorBidi" w:hAnsiTheme="majorBidi"/>
          <w:color w:val="auto"/>
        </w:rPr>
      </w:pPr>
      <w:bookmarkStart w:id="18" w:name="_Toc234140226"/>
      <w:bookmarkStart w:id="19" w:name="_Toc234140477"/>
      <w:bookmarkStart w:id="20" w:name="_Toc234143657"/>
      <w:bookmarkStart w:id="21" w:name="_Toc234154286"/>
      <w:r w:rsidRPr="00050DAE">
        <w:rPr>
          <w:rFonts w:asciiTheme="majorBidi" w:hAnsiTheme="majorBidi"/>
          <w:color w:val="auto"/>
        </w:rPr>
        <w:t>1</w:t>
      </w:r>
      <w:r w:rsidR="007856DB" w:rsidRPr="00050DAE">
        <w:rPr>
          <w:rFonts w:asciiTheme="majorBidi" w:hAnsiTheme="majorBidi"/>
          <w:color w:val="auto"/>
        </w:rPr>
        <w:t>.1 Uruk and Emergence</w:t>
      </w:r>
      <w:bookmarkEnd w:id="18"/>
      <w:bookmarkEnd w:id="19"/>
      <w:bookmarkEnd w:id="20"/>
      <w:bookmarkEnd w:id="21"/>
    </w:p>
    <w:p w14:paraId="39DDCD67" w14:textId="6D0BE508" w:rsidR="00504FF2" w:rsidRPr="00050DAE" w:rsidRDefault="003C7602" w:rsidP="00323CEE">
      <w:pPr>
        <w:pStyle w:val="UWTSDindent"/>
      </w:pPr>
      <w:r w:rsidRPr="00050DAE">
        <w:t>Possibly originating in the fifth millennium BCE</w:t>
      </w:r>
      <w:r w:rsidR="006860A6" w:rsidRPr="00050DAE">
        <w:t xml:space="preserve">, </w:t>
      </w:r>
      <w:r w:rsidR="007856DB" w:rsidRPr="00050DAE">
        <w:t xml:space="preserve">the earliest extant attestations of Inanna emerge </w:t>
      </w:r>
      <w:r w:rsidR="008301DC" w:rsidRPr="00050DAE">
        <w:t>“</w:t>
      </w:r>
      <w:r w:rsidR="007856DB" w:rsidRPr="00050DAE">
        <w:t xml:space="preserve">stamped in baked clay and on carved seals… at her temple site at </w:t>
      </w:r>
      <w:r w:rsidR="007856DB" w:rsidRPr="00050DAE">
        <w:rPr>
          <w:i/>
          <w:iCs/>
        </w:rPr>
        <w:t>Kulaba</w:t>
      </w:r>
      <w:r w:rsidR="008301DC" w:rsidRPr="00050DAE">
        <w:t>”</w:t>
      </w:r>
      <w:r w:rsidR="007856DB" w:rsidRPr="00050DAE">
        <w:t xml:space="preserve"> from the late fourth millennium BCE (c. 3400 to 3000 BCE), during the rise of Uruk as a dominant urban, political, and economic centre in southern Mesopotamia.</w:t>
      </w:r>
      <w:r w:rsidR="00504FF2" w:rsidRPr="00050DAE">
        <w:rPr>
          <w:vertAlign w:val="superscript"/>
        </w:rPr>
        <w:footnoteReference w:id="13"/>
      </w:r>
      <w:r w:rsidR="00504FF2" w:rsidRPr="00050DAE">
        <w:t xml:space="preserve"> </w:t>
      </w:r>
      <w:r w:rsidR="007856DB" w:rsidRPr="00050DAE">
        <w:t>Administrative tablets, early literary compositions, and later retrospective sources converge in locating Inanna</w:t>
      </w:r>
      <w:r w:rsidR="008301DC" w:rsidRPr="00050DAE">
        <w:t>’</w:t>
      </w:r>
      <w:r w:rsidR="007856DB" w:rsidRPr="00050DAE">
        <w:t>s primary cult at Uruk, indicating that her identity developed in tandem with the city</w:t>
      </w:r>
      <w:r w:rsidR="008301DC" w:rsidRPr="00050DAE">
        <w:t>’</w:t>
      </w:r>
      <w:r w:rsidR="007856DB" w:rsidRPr="00050DAE">
        <w:t>s claims to primacy and innovation within emerging systems of surplus control.</w:t>
      </w:r>
      <w:r w:rsidR="00504FF2" w:rsidRPr="00050DAE">
        <w:rPr>
          <w:vertAlign w:val="superscript"/>
        </w:rPr>
        <w:footnoteReference w:id="14"/>
      </w:r>
    </w:p>
    <w:p w14:paraId="0D1DB35A" w14:textId="60B2EB7C" w:rsidR="00504FF2" w:rsidRPr="00050DAE" w:rsidRDefault="007856DB" w:rsidP="00EE6050">
      <w:pPr>
        <w:pStyle w:val="UWTSDindent"/>
      </w:pPr>
      <w:r w:rsidRPr="00050DAE">
        <w:t xml:space="preserve">Jacobsen </w:t>
      </w:r>
      <w:r w:rsidR="001B5C3B" w:rsidRPr="00050DAE">
        <w:t xml:space="preserve">suggests </w:t>
      </w:r>
      <w:r w:rsidRPr="00050DAE">
        <w:t>that:</w:t>
      </w:r>
      <w:r w:rsidR="00504FF2" w:rsidRPr="00050DAE">
        <w:rPr>
          <w:rStyle w:val="FootnoteReference"/>
        </w:rPr>
        <w:footnoteReference w:id="15"/>
      </w:r>
    </w:p>
    <w:p w14:paraId="47762962" w14:textId="625D4FEE" w:rsidR="007856DB" w:rsidRPr="00050DAE" w:rsidRDefault="007856DB" w:rsidP="00582567">
      <w:pPr>
        <w:pStyle w:val="Quote"/>
        <w:rPr>
          <w:rFonts w:asciiTheme="majorBidi" w:hAnsiTheme="majorBidi" w:cstheme="majorBidi"/>
          <w:color w:val="auto"/>
        </w:rPr>
      </w:pPr>
      <w:r w:rsidRPr="00050DAE">
        <w:rPr>
          <w:rFonts w:asciiTheme="majorBidi" w:hAnsiTheme="majorBidi" w:cstheme="majorBidi"/>
          <w:color w:val="auto"/>
        </w:rPr>
        <w:t>the concept of the gods evolved through several stages that reflected changes in society.</w:t>
      </w:r>
      <w:r w:rsidR="00254A8E" w:rsidRPr="00050DAE">
        <w:rPr>
          <w:rFonts w:asciiTheme="majorBidi" w:hAnsiTheme="majorBidi" w:cstheme="majorBidi"/>
          <w:color w:val="auto"/>
        </w:rPr>
        <w:t xml:space="preserve"> </w:t>
      </w:r>
      <w:r w:rsidRPr="00050DAE">
        <w:rPr>
          <w:rFonts w:asciiTheme="majorBidi" w:hAnsiTheme="majorBidi" w:cstheme="majorBidi"/>
          <w:color w:val="auto"/>
        </w:rPr>
        <w:t>In the fourth millennium, the gods were seen primarily as the vital power in natural phenomena</w:t>
      </w:r>
      <w:r w:rsidR="006E6090" w:rsidRPr="00050DAE">
        <w:rPr>
          <w:rFonts w:asciiTheme="majorBidi" w:hAnsiTheme="majorBidi" w:cstheme="majorBidi"/>
          <w:color w:val="auto"/>
        </w:rPr>
        <w:t xml:space="preserve"> -</w:t>
      </w:r>
      <w:r w:rsidR="006E6090" w:rsidRPr="00050DAE">
        <w:rPr>
          <w:rFonts w:asciiTheme="majorBidi" w:hAnsiTheme="majorBidi" w:cstheme="majorBidi"/>
          <w:color w:val="auto"/>
        </w:rPr>
        <w:tab/>
      </w:r>
      <w:r w:rsidRPr="00050DAE">
        <w:rPr>
          <w:rFonts w:asciiTheme="majorBidi" w:hAnsiTheme="majorBidi" w:cstheme="majorBidi"/>
          <w:color w:val="auto"/>
        </w:rPr>
        <w:t>sky and earth, the power of the spring rains, the fertilizing power of the rivers, the sap that rises in growing plants, the shaping of the embryo in the womb, the sexual attraction that generates life. Each local village and region had its own array of deities that embodied the natural powers around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3"/>
        <w:gridCol w:w="4603"/>
      </w:tblGrid>
      <w:tr w:rsidR="00F133A0" w:rsidRPr="00050DAE" w14:paraId="0DF4D21A" w14:textId="77777777" w:rsidTr="00D17F07">
        <w:tc>
          <w:tcPr>
            <w:tcW w:w="4413" w:type="dxa"/>
          </w:tcPr>
          <w:p w14:paraId="06A1F160" w14:textId="6F2AA7BE" w:rsidR="00F133A0" w:rsidRPr="00050DAE" w:rsidRDefault="00F133A0" w:rsidP="00EA7E13">
            <w:pPr>
              <w:keepNext/>
              <w:jc w:val="center"/>
              <w:rPr>
                <w:rFonts w:asciiTheme="majorBidi" w:hAnsiTheme="majorBidi" w:cstheme="majorBidi"/>
              </w:rPr>
            </w:pPr>
            <w:r w:rsidRPr="00050DAE">
              <w:rPr>
                <w:rFonts w:asciiTheme="majorBidi" w:hAnsiTheme="majorBidi" w:cstheme="majorBidi"/>
                <w:noProof/>
              </w:rPr>
              <w:drawing>
                <wp:inline distT="0" distB="0" distL="0" distR="0" wp14:anchorId="1629A6A3" wp14:editId="56EA6E51">
                  <wp:extent cx="331363" cy="714473"/>
                  <wp:effectExtent l="0" t="0" r="0" b="0"/>
                  <wp:docPr id="18565330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7173" cy="727001"/>
                          </a:xfrm>
                          <a:prstGeom prst="rect">
                            <a:avLst/>
                          </a:prstGeom>
                          <a:noFill/>
                        </pic:spPr>
                      </pic:pic>
                    </a:graphicData>
                  </a:graphic>
                </wp:inline>
              </w:drawing>
            </w:r>
            <w:r w:rsidRPr="00050DAE">
              <w:rPr>
                <w:rFonts w:asciiTheme="majorBidi" w:hAnsiTheme="majorBidi" w:cstheme="majorBidi"/>
                <w:noProof/>
              </w:rPr>
              <w:drawing>
                <wp:inline distT="0" distB="0" distL="0" distR="0" wp14:anchorId="52720581" wp14:editId="011A0076">
                  <wp:extent cx="2251836" cy="1054249"/>
                  <wp:effectExtent l="0" t="0" r="0" b="0"/>
                  <wp:docPr id="672114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62438" cy="1059213"/>
                          </a:xfrm>
                          <a:prstGeom prst="rect">
                            <a:avLst/>
                          </a:prstGeom>
                          <a:noFill/>
                        </pic:spPr>
                      </pic:pic>
                    </a:graphicData>
                  </a:graphic>
                </wp:inline>
              </w:drawing>
            </w:r>
          </w:p>
        </w:tc>
        <w:tc>
          <w:tcPr>
            <w:tcW w:w="4603" w:type="dxa"/>
          </w:tcPr>
          <w:p w14:paraId="0DB5AE85" w14:textId="1D577911" w:rsidR="00F133A0" w:rsidRPr="00050DAE" w:rsidRDefault="00D17F07" w:rsidP="00EA7E13">
            <w:pPr>
              <w:keepNext/>
              <w:jc w:val="center"/>
              <w:rPr>
                <w:rFonts w:asciiTheme="majorBidi" w:hAnsiTheme="majorBidi" w:cstheme="majorBidi"/>
              </w:rPr>
            </w:pPr>
            <w:r w:rsidRPr="00050DAE">
              <w:rPr>
                <w:rFonts w:asciiTheme="majorBidi" w:hAnsiTheme="majorBidi" w:cstheme="majorBidi"/>
                <w:noProof/>
              </w:rPr>
              <w:drawing>
                <wp:inline distT="0" distB="0" distL="0" distR="0" wp14:anchorId="3FCC4C8E" wp14:editId="33DD9B3D">
                  <wp:extent cx="2042024" cy="947516"/>
                  <wp:effectExtent l="0" t="0" r="0" b="5080"/>
                  <wp:docPr id="117928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64515" name="Picture 258464515"/>
                          <pic:cNvPicPr/>
                        </pic:nvPicPr>
                        <pic:blipFill rotWithShape="1">
                          <a:blip r:embed="rId22" cstate="print">
                            <a:extLst>
                              <a:ext uri="{BEBA8EAE-BF5A-486C-A8C5-ECC9F3942E4B}">
                                <a14:imgProps xmlns:a14="http://schemas.microsoft.com/office/drawing/2010/main">
                                  <a14:imgLayer r:embed="rId23">
                                    <a14:imgEffect>
                                      <a14:backgroundRemoval t="0" b="93627" l="4328" r="100000">
                                        <a14:foregroundMark x1="1595" y1="89706" x2="4328" y2="24020"/>
                                        <a14:foregroundMark x1="4328" y1="24020" x2="12301" y2="1225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097772" cy="973383"/>
                          </a:xfrm>
                          <a:prstGeom prst="rect">
                            <a:avLst/>
                          </a:prstGeom>
                          <a:ln>
                            <a:noFill/>
                          </a:ln>
                          <a:extLst>
                            <a:ext uri="{53640926-AAD7-44D8-BBD7-CCE9431645EC}">
                              <a14:shadowObscured xmlns:a14="http://schemas.microsoft.com/office/drawing/2010/main"/>
                            </a:ext>
                          </a:extLst>
                        </pic:spPr>
                      </pic:pic>
                    </a:graphicData>
                  </a:graphic>
                </wp:inline>
              </w:drawing>
            </w:r>
            <w:r w:rsidRPr="00050DAE">
              <w:rPr>
                <w:rFonts w:asciiTheme="majorBidi" w:hAnsiTheme="majorBidi" w:cstheme="majorBidi"/>
                <w:noProof/>
              </w:rPr>
              <w:drawing>
                <wp:inline distT="0" distB="0" distL="0" distR="0" wp14:anchorId="19E215B5" wp14:editId="100BE85B">
                  <wp:extent cx="660762" cy="1061085"/>
                  <wp:effectExtent l="0" t="0" r="6350" b="5715"/>
                  <wp:docPr id="258464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64515" name="Picture 258464515"/>
                          <pic:cNvPicPr/>
                        </pic:nvPicPr>
                        <pic:blipFill rotWithShape="1">
                          <a:blip r:embed="rId24" cstate="print">
                            <a:extLst>
                              <a:ext uri="{BEBA8EAE-BF5A-486C-A8C5-ECC9F3942E4B}">
                                <a14:imgProps xmlns:a14="http://schemas.microsoft.com/office/drawing/2010/main">
                                  <a14:imgLayer r:embed="rId25">
                                    <a14:imgEffect>
                                      <a14:backgroundRemoval t="6589" b="94961" l="0" r="81366">
                                        <a14:foregroundMark x1="24224" y1="86434" x2="49068" y2="30233"/>
                                        <a14:foregroundMark x1="49068" y1="30233" x2="49068" y2="11628"/>
                                        <a14:foregroundMark x1="36025" y1="94961" x2="72671" y2="45349"/>
                                        <a14:foregroundMark x1="72671" y1="45349" x2="57764" y2="14729"/>
                                        <a14:foregroundMark x1="86957" y1="41860" x2="74534" y2="89147"/>
                                        <a14:foregroundMark x1="74534" y1="89147" x2="59627" y2="95349"/>
                                        <a14:foregroundMark x1="80745" y1="94961" x2="81988" y2="5271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67762" cy="1072326"/>
                          </a:xfrm>
                          <a:prstGeom prst="rect">
                            <a:avLst/>
                          </a:prstGeom>
                          <a:ln>
                            <a:noFill/>
                          </a:ln>
                          <a:extLst>
                            <a:ext uri="{53640926-AAD7-44D8-BBD7-CCE9431645EC}">
                              <a14:shadowObscured xmlns:a14="http://schemas.microsoft.com/office/drawing/2010/main"/>
                            </a:ext>
                          </a:extLst>
                        </pic:spPr>
                      </pic:pic>
                    </a:graphicData>
                  </a:graphic>
                </wp:inline>
              </w:drawing>
            </w:r>
          </w:p>
        </w:tc>
      </w:tr>
      <w:tr w:rsidR="00F133A0" w:rsidRPr="00050DAE" w14:paraId="29B4357E" w14:textId="77777777" w:rsidTr="00D17F07">
        <w:tc>
          <w:tcPr>
            <w:tcW w:w="9016" w:type="dxa"/>
            <w:gridSpan w:val="2"/>
          </w:tcPr>
          <w:p w14:paraId="6FE7C66D" w14:textId="4F161221" w:rsidR="00F133A0" w:rsidRPr="00050DAE" w:rsidRDefault="00F133A0" w:rsidP="00F133A0">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2</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Early pictographic signs for the goddess Inanna (left).</w:t>
            </w:r>
            <w:r w:rsidRPr="00050DAE">
              <w:rPr>
                <w:rStyle w:val="FootnoteReference"/>
                <w:rFonts w:asciiTheme="majorBidi" w:hAnsiTheme="majorBidi" w:cstheme="majorBidi"/>
                <w:color w:val="auto"/>
              </w:rPr>
              <w:footnoteReference w:id="16"/>
            </w:r>
            <w:r w:rsidRPr="00050DAE">
              <w:rPr>
                <w:rFonts w:asciiTheme="majorBidi" w:hAnsiTheme="majorBidi" w:cstheme="majorBidi"/>
                <w:color w:val="auto"/>
              </w:rPr>
              <w:t xml:space="preserve"> </w:t>
            </w:r>
            <w:r w:rsidR="00E8122F" w:rsidRPr="00050DAE">
              <w:rPr>
                <w:rFonts w:asciiTheme="majorBidi" w:hAnsiTheme="majorBidi" w:cstheme="majorBidi"/>
                <w:color w:val="auto"/>
              </w:rPr>
              <w:t>Late Uruk c</w:t>
            </w:r>
            <w:r w:rsidRPr="00050DAE">
              <w:rPr>
                <w:rFonts w:asciiTheme="majorBidi" w:hAnsiTheme="majorBidi" w:cstheme="majorBidi"/>
                <w:color w:val="auto"/>
              </w:rPr>
              <w:t>alcite cylinder seal of priest-</w:t>
            </w:r>
            <w:r w:rsidR="00725797" w:rsidRPr="00050DAE">
              <w:rPr>
                <w:rFonts w:asciiTheme="majorBidi" w:hAnsiTheme="majorBidi" w:cstheme="majorBidi"/>
                <w:color w:val="auto"/>
              </w:rPr>
              <w:t>king (</w:t>
            </w:r>
            <w:r w:rsidR="00D17F07" w:rsidRPr="00050DAE">
              <w:rPr>
                <w:rFonts w:asciiTheme="majorBidi" w:hAnsiTheme="majorBidi" w:cstheme="majorBidi"/>
                <w:color w:val="auto"/>
              </w:rPr>
              <w:t>Dumuzi?)</w:t>
            </w:r>
            <w:r w:rsidRPr="00050DAE">
              <w:rPr>
                <w:rFonts w:asciiTheme="majorBidi" w:hAnsiTheme="majorBidi" w:cstheme="majorBidi"/>
                <w:color w:val="auto"/>
              </w:rPr>
              <w:t xml:space="preserve"> feeding flowers to a pair of ewes</w:t>
            </w:r>
            <w:r w:rsidR="00E8122F" w:rsidRPr="00050DAE">
              <w:rPr>
                <w:rFonts w:asciiTheme="majorBidi" w:hAnsiTheme="majorBidi" w:cstheme="majorBidi"/>
                <w:color w:val="auto"/>
              </w:rPr>
              <w:t xml:space="preserve"> with Inanna pictographs (right).</w:t>
            </w:r>
            <w:r w:rsidR="00E8122F" w:rsidRPr="00050DAE">
              <w:rPr>
                <w:rStyle w:val="FootnoteReference"/>
                <w:rFonts w:asciiTheme="majorBidi" w:hAnsiTheme="majorBidi" w:cstheme="majorBidi"/>
                <w:color w:val="auto"/>
              </w:rPr>
              <w:footnoteReference w:id="17"/>
            </w:r>
          </w:p>
        </w:tc>
      </w:tr>
    </w:tbl>
    <w:p w14:paraId="13DD47D5" w14:textId="1D6D8018" w:rsidR="005E0E6E" w:rsidRPr="00050DAE" w:rsidRDefault="005E0E6E" w:rsidP="005E0E6E">
      <w:pPr>
        <w:pStyle w:val="UWTSDindent"/>
        <w:ind w:firstLine="0"/>
      </w:pPr>
      <w:r w:rsidRPr="00050DAE">
        <w:t>This developmental model helps explain why later descent narratives emerge from a divine system already associated with natural processes and cyclical renewal.</w:t>
      </w:r>
    </w:p>
    <w:p w14:paraId="1B1E7C74" w14:textId="08E874BF" w:rsidR="00504FF2" w:rsidRPr="00050DAE" w:rsidRDefault="00810041" w:rsidP="00EE6050">
      <w:pPr>
        <w:pStyle w:val="UWTSDindent"/>
        <w:rPr>
          <w:lang w:eastAsia="en-GB"/>
        </w:rPr>
      </w:pPr>
      <w:r w:rsidRPr="00050DAE">
        <w:t xml:space="preserve">Instead </w:t>
      </w:r>
      <w:r w:rsidR="00D11498" w:rsidRPr="00050DAE">
        <w:t>of</w:t>
      </w:r>
      <w:r w:rsidRPr="00050DAE">
        <w:t xml:space="preserve"> being a derivative figure from an earlier deity, </w:t>
      </w:r>
      <w:r w:rsidR="001D7FB2" w:rsidRPr="00050DAE">
        <w:t xml:space="preserve">several recent scholars argue </w:t>
      </w:r>
      <w:r w:rsidR="007856DB" w:rsidRPr="00050DAE">
        <w:t xml:space="preserve">that Inanna developed independently, parallel </w:t>
      </w:r>
      <w:r w:rsidR="001B5C3B" w:rsidRPr="00050DAE">
        <w:t>with</w:t>
      </w:r>
      <w:r w:rsidR="007856DB" w:rsidRPr="00050DAE">
        <w:t xml:space="preserve"> the rise of Uruk. Meador asserts that</w:t>
      </w:r>
      <w:r w:rsidR="00200EC2" w:rsidRPr="00050DAE">
        <w:t xml:space="preserve"> there is thus far no extant evidence of an earlier origin.</w:t>
      </w:r>
      <w:r w:rsidR="007856DB" w:rsidRPr="00050DAE">
        <w:t xml:space="preserve"> </w:t>
      </w:r>
      <w:r w:rsidR="007856DB" w:rsidRPr="00050DAE">
        <w:rPr>
          <w:rFonts w:eastAsia="Times New Roman"/>
          <w:kern w:val="0"/>
          <w:szCs w:val="24"/>
          <w:lang w:eastAsia="en-GB"/>
          <w14:ligatures w14:val="none"/>
        </w:rPr>
        <w:t>Kramer buttresses the idea of an Uruk origin with the early prominence of Inanna in the archaeological</w:t>
      </w:r>
      <w:r w:rsidR="006860A6" w:rsidRPr="00050DAE">
        <w:rPr>
          <w:rFonts w:eastAsia="Times New Roman"/>
          <w:kern w:val="0"/>
          <w:szCs w:val="24"/>
          <w:lang w:eastAsia="en-GB"/>
          <w14:ligatures w14:val="none"/>
        </w:rPr>
        <w:t xml:space="preserve"> data</w:t>
      </w:r>
      <w:r w:rsidR="007856DB" w:rsidRPr="00050DAE">
        <w:rPr>
          <w:rFonts w:eastAsia="Times New Roman"/>
          <w:kern w:val="0"/>
          <w:szCs w:val="24"/>
          <w:lang w:eastAsia="en-GB"/>
          <w14:ligatures w14:val="none"/>
        </w:rPr>
        <w:t>.</w:t>
      </w:r>
      <w:r w:rsidR="00504FF2" w:rsidRPr="00050DAE">
        <w:rPr>
          <w:rFonts w:eastAsia="Times New Roman"/>
          <w:kern w:val="0"/>
          <w:szCs w:val="24"/>
          <w:vertAlign w:val="superscript"/>
          <w:lang w:eastAsia="en-GB"/>
          <w14:ligatures w14:val="none"/>
        </w:rPr>
        <w:footnoteReference w:id="18"/>
      </w:r>
      <w:r w:rsidR="00504FF2" w:rsidRPr="00050DAE">
        <w:rPr>
          <w:rFonts w:eastAsia="Times New Roman"/>
          <w:kern w:val="0"/>
          <w:szCs w:val="24"/>
          <w:lang w:eastAsia="en-GB"/>
          <w14:ligatures w14:val="none"/>
        </w:rPr>
        <w:t xml:space="preserve"> </w:t>
      </w:r>
      <w:r w:rsidR="006E6090" w:rsidRPr="00050DAE">
        <w:rPr>
          <w:rFonts w:eastAsia="Times New Roman"/>
          <w:kern w:val="0"/>
          <w:szCs w:val="24"/>
          <w:lang w:eastAsia="en-GB"/>
          <w14:ligatures w14:val="none"/>
        </w:rPr>
        <w:t xml:space="preserve">In contrast, </w:t>
      </w:r>
      <w:r w:rsidR="007856DB" w:rsidRPr="00050DAE">
        <w:rPr>
          <w:rFonts w:eastAsia="Times New Roman"/>
          <w:kern w:val="0"/>
          <w:szCs w:val="24"/>
          <w:lang w:eastAsia="en-GB"/>
          <w14:ligatures w14:val="none"/>
        </w:rPr>
        <w:t xml:space="preserve">Jacobsen suggests </w:t>
      </w:r>
      <w:r w:rsidR="00CC621C" w:rsidRPr="00050DAE">
        <w:rPr>
          <w:rFonts w:eastAsia="Times New Roman"/>
          <w:kern w:val="0"/>
          <w:szCs w:val="24"/>
          <w:lang w:eastAsia="en-GB"/>
          <w14:ligatures w14:val="none"/>
        </w:rPr>
        <w:t xml:space="preserve">Inanna evolved from </w:t>
      </w:r>
      <w:r w:rsidR="008301DC" w:rsidRPr="00050DAE">
        <w:rPr>
          <w:rFonts w:eastAsia="Times New Roman"/>
          <w:kern w:val="0"/>
          <w:szCs w:val="24"/>
          <w:lang w:eastAsia="en-GB"/>
          <w14:ligatures w14:val="none"/>
        </w:rPr>
        <w:t>“</w:t>
      </w:r>
      <w:r w:rsidR="007856DB" w:rsidRPr="00050DAE">
        <w:rPr>
          <w:rFonts w:eastAsia="Times New Roman"/>
          <w:kern w:val="0"/>
          <w:szCs w:val="24"/>
          <w:lang w:eastAsia="en-GB"/>
          <w14:ligatures w14:val="none"/>
        </w:rPr>
        <w:t>the numen of the date storehouse</w:t>
      </w:r>
      <w:r w:rsidR="008301DC" w:rsidRPr="00050DAE">
        <w:rPr>
          <w:rFonts w:eastAsia="Times New Roman"/>
          <w:kern w:val="0"/>
          <w:szCs w:val="24"/>
          <w:lang w:eastAsia="en-GB"/>
          <w14:ligatures w14:val="none"/>
        </w:rPr>
        <w:t>”</w:t>
      </w:r>
      <w:r w:rsidR="00CC621C" w:rsidRPr="00050DAE">
        <w:rPr>
          <w:rFonts w:eastAsia="Times New Roman"/>
          <w:kern w:val="0"/>
          <w:szCs w:val="24"/>
          <w:lang w:eastAsia="en-GB"/>
          <w14:ligatures w14:val="none"/>
        </w:rPr>
        <w:t xml:space="preserve"> and annually </w:t>
      </w:r>
      <w:r w:rsidR="007856DB" w:rsidRPr="00050DAE">
        <w:rPr>
          <w:rFonts w:eastAsia="Times New Roman"/>
          <w:kern w:val="0"/>
          <w:szCs w:val="24"/>
          <w:lang w:eastAsia="en-GB"/>
          <w14:ligatures w14:val="none"/>
        </w:rPr>
        <w:t xml:space="preserve">married </w:t>
      </w:r>
      <w:r w:rsidR="002C4473" w:rsidRPr="00050DAE">
        <w:rPr>
          <w:rFonts w:eastAsia="Times New Roman"/>
          <w:kern w:val="0"/>
          <w:szCs w:val="24"/>
          <w:lang w:eastAsia="en-GB"/>
          <w14:ligatures w14:val="none"/>
        </w:rPr>
        <w:t>Dumuzi</w:t>
      </w:r>
      <w:r w:rsidR="00CC621C" w:rsidRPr="00050DAE">
        <w:rPr>
          <w:rFonts w:eastAsia="Times New Roman"/>
          <w:kern w:val="0"/>
          <w:szCs w:val="24"/>
          <w:lang w:eastAsia="en-GB"/>
          <w14:ligatures w14:val="none"/>
        </w:rPr>
        <w:t xml:space="preserve"> (</w:t>
      </w:r>
      <w:r w:rsidR="007856DB" w:rsidRPr="00050DAE">
        <w:rPr>
          <w:rFonts w:eastAsia="Times New Roman"/>
          <w:kern w:val="0"/>
          <w:szCs w:val="24"/>
          <w:lang w:eastAsia="en-GB"/>
          <w14:ligatures w14:val="none"/>
        </w:rPr>
        <w:t>Amaushumgalanna</w:t>
      </w:r>
      <w:r w:rsidR="00CC621C" w:rsidRPr="00050DAE">
        <w:rPr>
          <w:rFonts w:eastAsia="Times New Roman"/>
          <w:kern w:val="0"/>
          <w:szCs w:val="24"/>
          <w:lang w:eastAsia="en-GB"/>
          <w14:ligatures w14:val="none"/>
        </w:rPr>
        <w:t>), the god of the date harvest.</w:t>
      </w:r>
      <w:r w:rsidR="00504FF2" w:rsidRPr="00050DAE">
        <w:rPr>
          <w:rFonts w:eastAsia="Times New Roman"/>
          <w:kern w:val="0"/>
          <w:szCs w:val="24"/>
          <w:vertAlign w:val="superscript"/>
          <w:lang w:eastAsia="en-GB"/>
          <w14:ligatures w14:val="none"/>
        </w:rPr>
        <w:footnoteReference w:id="19"/>
      </w:r>
      <w:r w:rsidR="00504FF2" w:rsidRPr="00050DAE">
        <w:rPr>
          <w:rFonts w:eastAsia="Times New Roman"/>
          <w:kern w:val="0"/>
          <w:szCs w:val="24"/>
          <w:lang w:eastAsia="en-GB"/>
          <w14:ligatures w14:val="none"/>
        </w:rPr>
        <w:t xml:space="preserve"> </w:t>
      </w:r>
      <w:r w:rsidR="007942A2" w:rsidRPr="00050DAE">
        <w:rPr>
          <w:lang w:eastAsia="en-GB"/>
        </w:rPr>
        <w:t xml:space="preserve">Akulov presents a case for questioning a Sumerian origin for Inanna based on the structure of her name </w:t>
      </w:r>
      <w:r w:rsidR="0015108F" w:rsidRPr="00050DAE">
        <w:rPr>
          <w:lang w:eastAsia="en-GB"/>
        </w:rPr>
        <w:t xml:space="preserve">by noting that </w:t>
      </w:r>
      <w:r w:rsidR="00C54251" w:rsidRPr="00050DAE">
        <w:rPr>
          <w:lang w:eastAsia="en-GB"/>
        </w:rPr>
        <w:t>even though</w:t>
      </w:r>
      <w:r w:rsidR="0015108F" w:rsidRPr="00050DAE">
        <w:rPr>
          <w:lang w:eastAsia="en-GB"/>
        </w:rPr>
        <w:t xml:space="preserve"> </w:t>
      </w:r>
      <w:r w:rsidR="0015108F" w:rsidRPr="00050DAE">
        <w:rPr>
          <w:i/>
          <w:iCs/>
          <w:lang w:eastAsia="en-GB"/>
        </w:rPr>
        <w:t>nin-an-ak</w:t>
      </w:r>
      <w:r w:rsidR="0015108F" w:rsidRPr="00050DAE">
        <w:rPr>
          <w:lang w:eastAsia="en-GB"/>
        </w:rPr>
        <w:t xml:space="preserve"> </w:t>
      </w:r>
      <w:r w:rsidR="007D498A" w:rsidRPr="00050DAE">
        <w:rPr>
          <w:lang w:eastAsia="en-GB"/>
        </w:rPr>
        <w:t>has been interpreted as</w:t>
      </w:r>
      <w:r w:rsidR="0015108F" w:rsidRPr="00050DAE">
        <w:rPr>
          <w:lang w:eastAsia="en-GB"/>
        </w:rPr>
        <w:t xml:space="preserve"> </w:t>
      </w:r>
      <w:r w:rsidR="008301DC" w:rsidRPr="00050DAE">
        <w:rPr>
          <w:lang w:eastAsia="en-GB"/>
        </w:rPr>
        <w:t>“</w:t>
      </w:r>
      <w:r w:rsidR="0015108F" w:rsidRPr="00050DAE">
        <w:rPr>
          <w:lang w:eastAsia="en-GB"/>
        </w:rPr>
        <w:t>Lady of Heaven,</w:t>
      </w:r>
      <w:r w:rsidR="008301DC" w:rsidRPr="00050DAE">
        <w:rPr>
          <w:lang w:eastAsia="en-GB"/>
        </w:rPr>
        <w:t>”</w:t>
      </w:r>
      <w:r w:rsidR="0015108F" w:rsidRPr="00050DAE">
        <w:rPr>
          <w:lang w:eastAsia="en-GB"/>
        </w:rPr>
        <w:t xml:space="preserve"> </w:t>
      </w:r>
      <w:r w:rsidR="007D498A" w:rsidRPr="00050DAE">
        <w:rPr>
          <w:lang w:eastAsia="en-GB"/>
        </w:rPr>
        <w:t>and the o</w:t>
      </w:r>
      <w:r w:rsidR="0015108F" w:rsidRPr="00050DAE">
        <w:rPr>
          <w:lang w:eastAsia="en-GB"/>
        </w:rPr>
        <w:t>rigin of Inanna</w:t>
      </w:r>
      <w:r w:rsidR="008301DC" w:rsidRPr="00050DAE">
        <w:rPr>
          <w:lang w:eastAsia="en-GB"/>
        </w:rPr>
        <w:t>’</w:t>
      </w:r>
      <w:r w:rsidR="0015108F" w:rsidRPr="00050DAE">
        <w:rPr>
          <w:lang w:eastAsia="en-GB"/>
        </w:rPr>
        <w:t>s name</w:t>
      </w:r>
      <w:r w:rsidR="007D498A" w:rsidRPr="00050DAE">
        <w:rPr>
          <w:lang w:eastAsia="en-GB"/>
        </w:rPr>
        <w:t xml:space="preserve">, the </w:t>
      </w:r>
      <w:r w:rsidR="008301DC" w:rsidRPr="00050DAE">
        <w:rPr>
          <w:lang w:eastAsia="en-GB"/>
        </w:rPr>
        <w:t>“</w:t>
      </w:r>
      <w:r w:rsidR="007D498A" w:rsidRPr="00050DAE">
        <w:rPr>
          <w:lang w:eastAsia="en-GB"/>
        </w:rPr>
        <w:t>ligature of the signs</w:t>
      </w:r>
      <w:r w:rsidR="008301DC" w:rsidRPr="00050DAE">
        <w:rPr>
          <w:lang w:eastAsia="en-GB"/>
        </w:rPr>
        <w:t>”</w:t>
      </w:r>
      <w:r w:rsidR="007D498A" w:rsidRPr="00050DAE">
        <w:rPr>
          <w:lang w:eastAsia="en-GB"/>
        </w:rPr>
        <w:t xml:space="preserve"> </w:t>
      </w:r>
      <w:r w:rsidR="0015108F" w:rsidRPr="00050DAE">
        <w:rPr>
          <w:rFonts w:ascii="Segoe UI Historic" w:hAnsi="Segoe UI Historic" w:cs="Segoe UI Historic"/>
          <w:lang w:eastAsia="en-GB"/>
        </w:rPr>
        <w:t>𒈹</w:t>
      </w:r>
      <w:r w:rsidR="00CC621C" w:rsidRPr="00050DAE">
        <w:rPr>
          <w:lang w:eastAsia="en-GB"/>
        </w:rPr>
        <w:t xml:space="preserve"> </w:t>
      </w:r>
      <w:r w:rsidR="007D498A" w:rsidRPr="00050DAE">
        <w:rPr>
          <w:lang w:eastAsia="en-GB"/>
        </w:rPr>
        <w:t xml:space="preserve">does not contain the term </w:t>
      </w:r>
      <w:r w:rsidR="008301DC" w:rsidRPr="00050DAE">
        <w:rPr>
          <w:lang w:eastAsia="en-GB"/>
        </w:rPr>
        <w:t>“</w:t>
      </w:r>
      <w:r w:rsidR="00297A6F" w:rsidRPr="00050DAE">
        <w:rPr>
          <w:lang w:eastAsia="en-GB"/>
        </w:rPr>
        <w:t>L</w:t>
      </w:r>
      <w:r w:rsidR="007D498A" w:rsidRPr="00050DAE">
        <w:rPr>
          <w:lang w:eastAsia="en-GB"/>
        </w:rPr>
        <w:t>ady</w:t>
      </w:r>
      <w:r w:rsidR="008301DC" w:rsidRPr="00050DAE">
        <w:rPr>
          <w:lang w:eastAsia="en-GB"/>
        </w:rPr>
        <w:t>”</w:t>
      </w:r>
      <w:r w:rsidR="007D498A" w:rsidRPr="00050DAE">
        <w:rPr>
          <w:lang w:eastAsia="en-GB"/>
        </w:rPr>
        <w:t xml:space="preserve"> such as in the case of composite signs for other Sumerian deities. </w:t>
      </w:r>
      <w:r w:rsidR="00707AD8" w:rsidRPr="00050DAE">
        <w:rPr>
          <w:lang w:eastAsia="en-GB"/>
        </w:rPr>
        <w:t xml:space="preserve">Alternatively, he suggests that based on the sign </w:t>
      </w:r>
      <w:r w:rsidR="00707AD8" w:rsidRPr="00050DAE">
        <w:rPr>
          <w:b/>
          <w:bCs/>
          <w:lang w:eastAsia="en-GB"/>
        </w:rPr>
        <w:t>MUŠ</w:t>
      </w:r>
      <w:r w:rsidR="00707AD8" w:rsidRPr="00050DAE">
        <w:rPr>
          <w:vertAlign w:val="subscript"/>
          <w:lang w:eastAsia="en-GB"/>
        </w:rPr>
        <w:t>3</w:t>
      </w:r>
      <w:r w:rsidR="00707AD8" w:rsidRPr="00050DAE">
        <w:rPr>
          <w:lang w:eastAsia="en-GB"/>
        </w:rPr>
        <w:t>, Inanna</w:t>
      </w:r>
      <w:r w:rsidR="008301DC" w:rsidRPr="00050DAE">
        <w:rPr>
          <w:lang w:eastAsia="en-GB"/>
        </w:rPr>
        <w:t>’</w:t>
      </w:r>
      <w:r w:rsidR="00707AD8" w:rsidRPr="00050DAE">
        <w:rPr>
          <w:lang w:eastAsia="en-GB"/>
        </w:rPr>
        <w:t xml:space="preserve">s earlier name was </w:t>
      </w:r>
      <w:r w:rsidR="00707AD8" w:rsidRPr="00050DAE">
        <w:rPr>
          <w:i/>
          <w:iCs/>
          <w:lang w:eastAsia="en-GB"/>
        </w:rPr>
        <w:t>Gi</w:t>
      </w:r>
      <w:r w:rsidR="00707AD8" w:rsidRPr="00050DAE">
        <w:rPr>
          <w:lang w:eastAsia="en-GB"/>
        </w:rPr>
        <w:t xml:space="preserve">, meaning </w:t>
      </w:r>
      <w:r w:rsidR="008301DC" w:rsidRPr="00050DAE">
        <w:rPr>
          <w:lang w:eastAsia="en-GB"/>
        </w:rPr>
        <w:t>“</w:t>
      </w:r>
      <w:r w:rsidR="00707AD8" w:rsidRPr="00050DAE">
        <w:rPr>
          <w:lang w:eastAsia="en-GB"/>
        </w:rPr>
        <w:t>cane</w:t>
      </w:r>
      <w:r w:rsidR="008301DC" w:rsidRPr="00050DAE">
        <w:rPr>
          <w:lang w:eastAsia="en-GB"/>
        </w:rPr>
        <w:t>”</w:t>
      </w:r>
      <w:r w:rsidR="00707AD8" w:rsidRPr="00050DAE">
        <w:rPr>
          <w:lang w:eastAsia="en-GB"/>
        </w:rPr>
        <w:t xml:space="preserve"> or </w:t>
      </w:r>
      <w:r w:rsidR="008301DC" w:rsidRPr="00050DAE">
        <w:rPr>
          <w:lang w:eastAsia="en-GB"/>
        </w:rPr>
        <w:t>“</w:t>
      </w:r>
      <w:r w:rsidR="00707AD8" w:rsidRPr="00050DAE">
        <w:rPr>
          <w:lang w:eastAsia="en-GB"/>
        </w:rPr>
        <w:t>reed stalk.</w:t>
      </w:r>
      <w:r w:rsidR="008301DC" w:rsidRPr="00050DAE">
        <w:rPr>
          <w:lang w:eastAsia="en-GB"/>
        </w:rPr>
        <w:t>”</w:t>
      </w:r>
      <w:r w:rsidR="00504FF2" w:rsidRPr="00050DAE">
        <w:rPr>
          <w:rStyle w:val="FootnoteReference"/>
          <w:rFonts w:eastAsia="Times New Roman"/>
          <w:kern w:val="0"/>
          <w:szCs w:val="24"/>
          <w:lang w:eastAsia="en-GB"/>
          <w14:ligatures w14:val="none"/>
        </w:rPr>
        <w:footnoteReference w:id="20"/>
      </w:r>
      <w:r w:rsidR="00200EC2" w:rsidRPr="00050DAE">
        <w:rPr>
          <w:lang w:eastAsia="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E1920" w:rsidRPr="00050DAE" w14:paraId="582FFACB" w14:textId="77777777" w:rsidTr="00AF3740">
        <w:tc>
          <w:tcPr>
            <w:tcW w:w="4508" w:type="dxa"/>
          </w:tcPr>
          <w:p w14:paraId="58CC061E" w14:textId="51FFE685" w:rsidR="00EA7E13" w:rsidRPr="00050DAE" w:rsidRDefault="00EA7E13" w:rsidP="00EA7E13">
            <w:pPr>
              <w:jc w:val="center"/>
              <w:rPr>
                <w:rFonts w:asciiTheme="majorBidi" w:eastAsia="Times New Roman" w:hAnsiTheme="majorBidi" w:cstheme="majorBidi"/>
                <w:kern w:val="0"/>
                <w:sz w:val="24"/>
                <w:szCs w:val="24"/>
                <w:lang w:eastAsia="en-GB"/>
                <w14:ligatures w14:val="none"/>
              </w:rPr>
            </w:pPr>
            <w:r w:rsidRPr="00050DAE">
              <w:rPr>
                <w:rFonts w:asciiTheme="majorBidi" w:hAnsiTheme="majorBidi" w:cstheme="majorBidi"/>
                <w:noProof/>
                <w:sz w:val="20"/>
              </w:rPr>
              <w:drawing>
                <wp:inline distT="0" distB="0" distL="0" distR="0" wp14:anchorId="613B510F" wp14:editId="1BB39C96">
                  <wp:extent cx="690284" cy="880741"/>
                  <wp:effectExtent l="0" t="0" r="0" b="0"/>
                  <wp:docPr id="393041449" name="Image 5" descr="A black and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black and white text&#10;&#10;AI-generated content may be incorrect."/>
                          <pic:cNvPicPr/>
                        </pic:nvPicPr>
                        <pic:blipFill rotWithShape="1">
                          <a:blip r:embed="rId26" cstate="print"/>
                          <a:srcRect l="7877" t="4226" r="71568" b="30374"/>
                          <a:stretch>
                            <a:fillRect/>
                          </a:stretch>
                        </pic:blipFill>
                        <pic:spPr bwMode="auto">
                          <a:xfrm>
                            <a:off x="0" y="0"/>
                            <a:ext cx="701196" cy="894664"/>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26139460" w14:textId="72A9DCCB" w:rsidR="00EA7E13" w:rsidRPr="00050DAE" w:rsidRDefault="00EA7E13" w:rsidP="00EA7E13">
            <w:pPr>
              <w:jc w:val="center"/>
              <w:rPr>
                <w:rFonts w:asciiTheme="majorBidi" w:eastAsia="Times New Roman" w:hAnsiTheme="majorBidi" w:cstheme="majorBidi"/>
                <w:kern w:val="0"/>
                <w:sz w:val="24"/>
                <w:szCs w:val="24"/>
                <w:lang w:eastAsia="en-GB"/>
                <w14:ligatures w14:val="none"/>
              </w:rPr>
            </w:pPr>
            <w:r w:rsidRPr="00050DAE">
              <w:rPr>
                <w:rFonts w:asciiTheme="majorBidi" w:hAnsiTheme="majorBidi" w:cstheme="majorBidi"/>
                <w:noProof/>
                <w:sz w:val="20"/>
              </w:rPr>
              <w:drawing>
                <wp:inline distT="0" distB="0" distL="0" distR="0" wp14:anchorId="79885C97" wp14:editId="11FE1B9C">
                  <wp:extent cx="706290" cy="920010"/>
                  <wp:effectExtent l="0" t="0" r="0" b="0"/>
                  <wp:docPr id="5" name="Image 5" descr="A black and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black and white text&#10;&#10;AI-generated content may be incorrect."/>
                          <pic:cNvPicPr/>
                        </pic:nvPicPr>
                        <pic:blipFill rotWithShape="1">
                          <a:blip r:embed="rId26" cstate="print"/>
                          <a:srcRect l="59365" t="4226" r="20501" b="30374"/>
                          <a:stretch>
                            <a:fillRect/>
                          </a:stretch>
                        </pic:blipFill>
                        <pic:spPr bwMode="auto">
                          <a:xfrm>
                            <a:off x="0" y="0"/>
                            <a:ext cx="722856" cy="941589"/>
                          </a:xfrm>
                          <a:prstGeom prst="rect">
                            <a:avLst/>
                          </a:prstGeom>
                          <a:ln>
                            <a:noFill/>
                          </a:ln>
                          <a:extLst>
                            <a:ext uri="{53640926-AAD7-44D8-BBD7-CCE9431645EC}">
                              <a14:shadowObscured xmlns:a14="http://schemas.microsoft.com/office/drawing/2010/main"/>
                            </a:ext>
                          </a:extLst>
                        </pic:spPr>
                      </pic:pic>
                    </a:graphicData>
                  </a:graphic>
                </wp:inline>
              </w:drawing>
            </w:r>
          </w:p>
        </w:tc>
      </w:tr>
      <w:tr w:rsidR="00AE1920" w:rsidRPr="00050DAE" w14:paraId="00909825" w14:textId="77777777" w:rsidTr="00AF3740">
        <w:tc>
          <w:tcPr>
            <w:tcW w:w="9016" w:type="dxa"/>
            <w:gridSpan w:val="2"/>
          </w:tcPr>
          <w:p w14:paraId="37101F61" w14:textId="0792721C" w:rsidR="00EA7E13" w:rsidRPr="00050DAE" w:rsidRDefault="00EA7E13" w:rsidP="00EA7E13">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3</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w:t>
            </w:r>
            <w:r w:rsidR="001B5C3B" w:rsidRPr="00050DAE">
              <w:rPr>
                <w:rFonts w:asciiTheme="majorBidi" w:hAnsiTheme="majorBidi" w:cstheme="majorBidi"/>
                <w:color w:val="auto"/>
              </w:rPr>
              <w:t xml:space="preserve">The </w:t>
            </w:r>
            <w:r w:rsidRPr="00050DAE">
              <w:rPr>
                <w:rFonts w:asciiTheme="majorBidi" w:hAnsiTheme="majorBidi" w:cstheme="majorBidi"/>
                <w:color w:val="auto"/>
              </w:rPr>
              <w:t>Signs G</w:t>
            </w:r>
            <w:r w:rsidR="00906A3A" w:rsidRPr="00050DAE">
              <w:rPr>
                <w:rFonts w:asciiTheme="majorBidi" w:hAnsiTheme="majorBidi" w:cstheme="majorBidi"/>
                <w:color w:val="auto"/>
              </w:rPr>
              <w:t>i</w:t>
            </w:r>
            <w:r w:rsidRPr="00050DAE">
              <w:rPr>
                <w:rFonts w:asciiTheme="majorBidi" w:hAnsiTheme="majorBidi" w:cstheme="majorBidi"/>
                <w:color w:val="auto"/>
              </w:rPr>
              <w:t xml:space="preserve"> </w:t>
            </w:r>
            <w:r w:rsidR="001B5C3B" w:rsidRPr="00050DAE">
              <w:rPr>
                <w:rFonts w:asciiTheme="majorBidi" w:hAnsiTheme="majorBidi" w:cstheme="majorBidi"/>
                <w:color w:val="auto"/>
              </w:rPr>
              <w:t>meaning</w:t>
            </w:r>
            <w:r w:rsidR="00DA31B3" w:rsidRPr="00050DAE">
              <w:rPr>
                <w:rFonts w:asciiTheme="majorBidi" w:hAnsiTheme="majorBidi" w:cstheme="majorBidi"/>
                <w:color w:val="auto"/>
              </w:rPr>
              <w:t xml:space="preserve"> “</w:t>
            </w:r>
            <w:r w:rsidRPr="00050DAE">
              <w:rPr>
                <w:rFonts w:asciiTheme="majorBidi" w:hAnsiTheme="majorBidi" w:cstheme="majorBidi"/>
                <w:color w:val="auto"/>
              </w:rPr>
              <w:t>reed</w:t>
            </w:r>
            <w:r w:rsidR="00DA31B3" w:rsidRPr="00050DAE">
              <w:rPr>
                <w:rFonts w:asciiTheme="majorBidi" w:hAnsiTheme="majorBidi" w:cstheme="majorBidi"/>
                <w:color w:val="auto"/>
              </w:rPr>
              <w:t>”</w:t>
            </w:r>
            <w:r w:rsidR="001B5C3B" w:rsidRPr="00050DAE">
              <w:rPr>
                <w:rFonts w:asciiTheme="majorBidi" w:hAnsiTheme="majorBidi" w:cstheme="majorBidi"/>
                <w:color w:val="auto"/>
              </w:rPr>
              <w:t xml:space="preserve"> (left) </w:t>
            </w:r>
            <w:r w:rsidRPr="00050DAE">
              <w:rPr>
                <w:rFonts w:asciiTheme="majorBidi" w:hAnsiTheme="majorBidi" w:cstheme="majorBidi"/>
                <w:color w:val="auto"/>
              </w:rPr>
              <w:t xml:space="preserve">and </w:t>
            </w:r>
            <w:r w:rsidRPr="00050DAE">
              <w:rPr>
                <w:rFonts w:asciiTheme="majorBidi" w:hAnsiTheme="majorBidi" w:cstheme="majorBidi"/>
                <w:b/>
                <w:bCs/>
                <w:color w:val="auto"/>
              </w:rPr>
              <w:t>MUŠ</w:t>
            </w:r>
            <w:r w:rsidRPr="00050DAE">
              <w:rPr>
                <w:rFonts w:asciiTheme="majorBidi" w:hAnsiTheme="majorBidi" w:cstheme="majorBidi"/>
                <w:color w:val="auto"/>
                <w:vertAlign w:val="subscript"/>
              </w:rPr>
              <w:t xml:space="preserve">3 </w:t>
            </w:r>
            <w:r w:rsidRPr="00050DAE">
              <w:rPr>
                <w:rFonts w:asciiTheme="majorBidi" w:hAnsiTheme="majorBidi" w:cstheme="majorBidi"/>
                <w:color w:val="auto"/>
              </w:rPr>
              <w:t>meaning Inanna</w:t>
            </w:r>
            <w:r w:rsidRPr="00050DAE">
              <w:rPr>
                <w:rFonts w:asciiTheme="majorBidi" w:hAnsiTheme="majorBidi" w:cstheme="majorBidi"/>
                <w:color w:val="auto"/>
                <w:vertAlign w:val="subscript"/>
              </w:rPr>
              <w:t>.</w:t>
            </w:r>
            <w:r w:rsidRPr="00050DAE">
              <w:rPr>
                <w:rStyle w:val="FootnoteReference"/>
                <w:rFonts w:asciiTheme="majorBidi" w:hAnsiTheme="majorBidi" w:cstheme="majorBidi"/>
                <w:color w:val="auto"/>
              </w:rPr>
              <w:footnoteReference w:id="21"/>
            </w:r>
          </w:p>
        </w:tc>
      </w:tr>
    </w:tbl>
    <w:p w14:paraId="2E8A06BF" w14:textId="6BBD0F15" w:rsidR="00EE6050" w:rsidRPr="00050DAE" w:rsidRDefault="00EE6050" w:rsidP="00EE6050">
      <w:pPr>
        <w:pStyle w:val="UWTSDindent"/>
        <w:ind w:firstLine="0"/>
        <w:rPr>
          <w:lang w:eastAsia="en-GB"/>
        </w:rPr>
      </w:pPr>
      <w:r w:rsidRPr="00050DAE">
        <w:rPr>
          <w:lang w:eastAsia="en-GB"/>
        </w:rPr>
        <w:t>At present, resolution of this debate remains contingent upon the recovery of additional archaeological and textual evidence, given the fragmentary nature of the record and the continuing expansion of archaeological work at Uruk and across southern Mesopotamia.</w:t>
      </w:r>
      <w:r w:rsidRPr="00050DAE">
        <w:rPr>
          <w:rStyle w:val="FootnoteReference"/>
          <w:lang w:eastAsia="en-GB"/>
        </w:rPr>
        <w:footnoteReference w:id="22"/>
      </w:r>
    </w:p>
    <w:p w14:paraId="7B993E89" w14:textId="6F69019C" w:rsidR="00DC0EC9" w:rsidRPr="00050DAE" w:rsidRDefault="00BA4326" w:rsidP="009223B1">
      <w:pPr>
        <w:pStyle w:val="UWTSDindent"/>
        <w:rPr>
          <w:lang w:eastAsia="en-GB"/>
        </w:rPr>
      </w:pPr>
      <w:r w:rsidRPr="00050DAE">
        <w:rPr>
          <w:lang w:eastAsia="en-GB"/>
        </w:rPr>
        <w:t xml:space="preserve">From a narrative perspective, the acquisition of the </w:t>
      </w:r>
      <w:r w:rsidRPr="00050DAE">
        <w:rPr>
          <w:b/>
          <w:bCs/>
          <w:i/>
          <w:iCs/>
          <w:lang w:eastAsia="en-GB"/>
        </w:rPr>
        <w:t>me</w:t>
      </w:r>
      <w:r w:rsidRPr="00050DAE">
        <w:rPr>
          <w:i/>
          <w:iCs/>
          <w:lang w:eastAsia="en-GB"/>
        </w:rPr>
        <w:t>s</w:t>
      </w:r>
      <w:r w:rsidRPr="00050DAE">
        <w:rPr>
          <w:lang w:eastAsia="en-GB"/>
        </w:rPr>
        <w:t xml:space="preserve"> significantly expands Inanna</w:t>
      </w:r>
      <w:r w:rsidR="008301DC" w:rsidRPr="00050DAE">
        <w:rPr>
          <w:lang w:eastAsia="en-GB"/>
        </w:rPr>
        <w:t>’</w:t>
      </w:r>
      <w:r w:rsidRPr="00050DAE">
        <w:rPr>
          <w:lang w:eastAsia="en-GB"/>
        </w:rPr>
        <w:t>s authority, transforming her from a more localized goddess into a central figure within the ordering of divine and human society.</w:t>
      </w:r>
      <w:r w:rsidR="00252628" w:rsidRPr="00050DAE">
        <w:rPr>
          <w:rStyle w:val="FootnoteReference"/>
          <w:rFonts w:eastAsia="Times New Roman"/>
          <w:kern w:val="0"/>
          <w:szCs w:val="24"/>
          <w:lang w:eastAsia="en-GB"/>
          <w14:ligatures w14:val="none"/>
        </w:rPr>
        <w:footnoteReference w:id="23"/>
      </w:r>
      <w:r w:rsidR="007856DB" w:rsidRPr="00050DAE">
        <w:rPr>
          <w:lang w:eastAsia="en-GB"/>
        </w:rPr>
        <w:t xml:space="preserve"> </w:t>
      </w:r>
      <w:r w:rsidRPr="00050DAE">
        <w:rPr>
          <w:lang w:eastAsia="en-GB"/>
        </w:rPr>
        <w:t xml:space="preserve">As </w:t>
      </w:r>
      <w:r w:rsidR="00862B4E" w:rsidRPr="00050DAE">
        <w:rPr>
          <w:lang w:eastAsia="en-GB"/>
        </w:rPr>
        <w:t>Inanna</w:t>
      </w:r>
      <w:r w:rsidR="008301DC" w:rsidRPr="00050DAE">
        <w:rPr>
          <w:lang w:eastAsia="en-GB"/>
        </w:rPr>
        <w:t>’</w:t>
      </w:r>
      <w:r w:rsidR="00862B4E" w:rsidRPr="00050DAE">
        <w:rPr>
          <w:lang w:eastAsia="en-GB"/>
        </w:rPr>
        <w:t>s influence evolves</w:t>
      </w:r>
      <w:r w:rsidRPr="00050DAE">
        <w:rPr>
          <w:lang w:eastAsia="en-GB"/>
        </w:rPr>
        <w:t xml:space="preserve">, her </w:t>
      </w:r>
      <w:r w:rsidR="00862B4E" w:rsidRPr="00050DAE">
        <w:rPr>
          <w:lang w:eastAsia="en-GB"/>
        </w:rPr>
        <w:t>power</w:t>
      </w:r>
      <w:r w:rsidRPr="00050DAE">
        <w:rPr>
          <w:lang w:eastAsia="en-GB"/>
        </w:rPr>
        <w:t xml:space="preserve"> encompass</w:t>
      </w:r>
      <w:r w:rsidR="00862B4E" w:rsidRPr="00050DAE">
        <w:rPr>
          <w:lang w:eastAsia="en-GB"/>
        </w:rPr>
        <w:t>es</w:t>
      </w:r>
      <w:r w:rsidRPr="00050DAE">
        <w:rPr>
          <w:lang w:eastAsia="en-GB"/>
        </w:rPr>
        <w:t xml:space="preserve"> kingship, warfare, sexuality, fertility, astral symbolism, and eventually even the Netherworld itself.</w:t>
      </w:r>
      <w:r w:rsidR="001A6E3E" w:rsidRPr="00050DAE">
        <w:rPr>
          <w:rStyle w:val="FootnoteReference"/>
          <w:lang w:eastAsia="en-GB"/>
        </w:rPr>
        <w:footnoteReference w:id="24"/>
      </w:r>
      <w:r w:rsidR="007856DB" w:rsidRPr="00050DAE">
        <w:rPr>
          <w:lang w:eastAsia="en-GB"/>
        </w:rPr>
        <w:t xml:space="preserve"> </w:t>
      </w:r>
      <w:r w:rsidR="009366A2" w:rsidRPr="00050DAE">
        <w:rPr>
          <w:lang w:eastAsia="en-GB"/>
        </w:rPr>
        <w:t xml:space="preserve">At times, </w:t>
      </w:r>
      <w:r w:rsidR="00862B4E" w:rsidRPr="00050DAE">
        <w:rPr>
          <w:lang w:eastAsia="en-GB"/>
        </w:rPr>
        <w:t>there are</w:t>
      </w:r>
      <w:r w:rsidR="009366A2" w:rsidRPr="00050DAE">
        <w:rPr>
          <w:lang w:eastAsia="en-GB"/>
        </w:rPr>
        <w:t xml:space="preserve"> strikingly different aspects of the goddess, ranging from youthful intimacy to overwhelming divine force. </w:t>
      </w:r>
      <w:r w:rsidR="007856DB" w:rsidRPr="00050DAE">
        <w:rPr>
          <w:lang w:eastAsia="en-GB"/>
        </w:rPr>
        <w:t xml:space="preserve">As Matsushima points out, there are </w:t>
      </w:r>
      <w:r w:rsidR="008301DC" w:rsidRPr="00050DAE">
        <w:rPr>
          <w:lang w:eastAsia="en-GB"/>
        </w:rPr>
        <w:t>“</w:t>
      </w:r>
      <w:r w:rsidR="007856DB" w:rsidRPr="00050DAE">
        <w:rPr>
          <w:lang w:eastAsia="en-GB"/>
        </w:rPr>
        <w:t>two types of Inanna: a great and powerful goddess and a young naïve girl.</w:t>
      </w:r>
      <w:r w:rsidR="008301DC" w:rsidRPr="00050DAE">
        <w:rPr>
          <w:lang w:eastAsia="en-GB"/>
        </w:rPr>
        <w:t>”</w:t>
      </w:r>
      <w:r w:rsidR="00DC0EC9" w:rsidRPr="00050DAE">
        <w:rPr>
          <w:rStyle w:val="FootnoteReference"/>
          <w:rFonts w:eastAsia="Times New Roman"/>
          <w:kern w:val="0"/>
          <w:szCs w:val="24"/>
          <w:lang w:eastAsia="en-GB"/>
          <w14:ligatures w14:val="none"/>
        </w:rPr>
        <w:footnoteReference w:id="25"/>
      </w:r>
    </w:p>
    <w:p w14:paraId="704A14A4" w14:textId="3310E99E" w:rsidR="00252628" w:rsidRPr="00050DAE" w:rsidRDefault="001B5C3B" w:rsidP="00EE6050">
      <w:pPr>
        <w:pStyle w:val="UWTSDindent"/>
        <w:rPr>
          <w:lang w:eastAsia="en-GB"/>
        </w:rPr>
      </w:pPr>
      <w:r w:rsidRPr="00050DAE">
        <w:rPr>
          <w:lang w:eastAsia="en-GB"/>
        </w:rPr>
        <w:t>Inanna shares a</w:t>
      </w:r>
      <w:r w:rsidR="00027FC6" w:rsidRPr="00050DAE">
        <w:rPr>
          <w:lang w:eastAsia="en-GB"/>
        </w:rPr>
        <w:t xml:space="preserve"> tender moment in </w:t>
      </w:r>
      <w:r w:rsidR="00027FC6" w:rsidRPr="00050DAE">
        <w:rPr>
          <w:i/>
          <w:iCs/>
          <w:lang w:eastAsia="en-GB"/>
        </w:rPr>
        <w:t>Dumuzi</w:t>
      </w:r>
      <w:r w:rsidR="008301DC" w:rsidRPr="00050DAE">
        <w:rPr>
          <w:i/>
          <w:iCs/>
          <w:lang w:eastAsia="en-GB"/>
        </w:rPr>
        <w:t>’</w:t>
      </w:r>
      <w:r w:rsidR="00027FC6" w:rsidRPr="00050DAE">
        <w:rPr>
          <w:i/>
          <w:iCs/>
          <w:lang w:eastAsia="en-GB"/>
        </w:rPr>
        <w:t>s Wedding</w:t>
      </w:r>
      <w:r w:rsidR="00027FC6" w:rsidRPr="00050DAE">
        <w:rPr>
          <w:lang w:eastAsia="en-GB"/>
        </w:rPr>
        <w:t xml:space="preserve"> text</w:t>
      </w:r>
      <w:r w:rsidR="00D11498" w:rsidRPr="00050DAE">
        <w:rPr>
          <w:lang w:eastAsia="en-GB"/>
        </w:rPr>
        <w:t xml:space="preserve"> </w:t>
      </w:r>
      <w:r w:rsidRPr="00050DAE">
        <w:rPr>
          <w:lang w:eastAsia="en-GB"/>
        </w:rPr>
        <w:t>with</w:t>
      </w:r>
      <w:r w:rsidR="00027FC6" w:rsidRPr="00050DAE">
        <w:rPr>
          <w:lang w:eastAsia="en-GB"/>
        </w:rPr>
        <w:t>:</w:t>
      </w:r>
      <w:r w:rsidR="00027FC6" w:rsidRPr="00050DAE">
        <w:rPr>
          <w:rStyle w:val="FootnoteReference"/>
          <w:rFonts w:eastAsia="Times New Roman"/>
          <w:kern w:val="0"/>
          <w:szCs w:val="24"/>
          <w:lang w:eastAsia="en-GB"/>
          <w14:ligatures w14:val="none"/>
        </w:rPr>
        <w:footnoteReference w:id="26"/>
      </w:r>
    </w:p>
    <w:p w14:paraId="4167456C" w14:textId="77777777" w:rsidR="00027FC6" w:rsidRPr="00050DAE" w:rsidRDefault="00027FC6" w:rsidP="00582567">
      <w:pPr>
        <w:pStyle w:val="Quote"/>
        <w:rPr>
          <w:rFonts w:asciiTheme="majorBidi" w:hAnsiTheme="majorBidi" w:cstheme="majorBidi"/>
          <w:color w:val="auto"/>
        </w:rPr>
      </w:pPr>
      <w:r w:rsidRPr="00050DAE">
        <w:rPr>
          <w:rFonts w:asciiTheme="majorBidi" w:hAnsiTheme="majorBidi" w:cstheme="majorBidi"/>
          <w:color w:val="auto"/>
        </w:rPr>
        <w:t>O that they have my Amaushumgalanna come in to me,</w:t>
      </w:r>
    </w:p>
    <w:p w14:paraId="31DF25B0" w14:textId="77777777" w:rsidR="00027FC6" w:rsidRPr="00050DAE" w:rsidRDefault="00027FC6" w:rsidP="00582567">
      <w:pPr>
        <w:pStyle w:val="Quote"/>
        <w:rPr>
          <w:rFonts w:asciiTheme="majorBidi" w:hAnsiTheme="majorBidi" w:cstheme="majorBidi"/>
          <w:color w:val="auto"/>
        </w:rPr>
      </w:pPr>
      <w:r w:rsidRPr="00050DAE">
        <w:rPr>
          <w:rFonts w:asciiTheme="majorBidi" w:hAnsiTheme="majorBidi" w:cstheme="majorBidi"/>
          <w:color w:val="auto"/>
        </w:rPr>
        <w:t>O that they put his hand in my hand for me,</w:t>
      </w:r>
    </w:p>
    <w:p w14:paraId="58B5A887" w14:textId="77777777" w:rsidR="00027FC6" w:rsidRPr="00050DAE" w:rsidRDefault="00027FC6" w:rsidP="00582567">
      <w:pPr>
        <w:pStyle w:val="Quote"/>
        <w:rPr>
          <w:rFonts w:asciiTheme="majorBidi" w:hAnsiTheme="majorBidi" w:cstheme="majorBidi"/>
          <w:color w:val="auto"/>
        </w:rPr>
      </w:pPr>
      <w:r w:rsidRPr="00050DAE">
        <w:rPr>
          <w:rFonts w:asciiTheme="majorBidi" w:hAnsiTheme="majorBidi" w:cstheme="majorBidi"/>
          <w:color w:val="auto"/>
        </w:rPr>
        <w:t>O that they put his heart next to my heart for me.</w:t>
      </w:r>
    </w:p>
    <w:p w14:paraId="4C0F29D8" w14:textId="77777777" w:rsidR="00027FC6" w:rsidRPr="00050DAE" w:rsidRDefault="00027FC6" w:rsidP="00582567">
      <w:pPr>
        <w:pStyle w:val="Quote"/>
        <w:rPr>
          <w:rFonts w:asciiTheme="majorBidi" w:hAnsiTheme="majorBidi" w:cstheme="majorBidi"/>
          <w:color w:val="auto"/>
        </w:rPr>
      </w:pPr>
      <w:r w:rsidRPr="00050DAE">
        <w:rPr>
          <w:rFonts w:asciiTheme="majorBidi" w:hAnsiTheme="majorBidi" w:cstheme="majorBidi"/>
          <w:color w:val="auto"/>
        </w:rPr>
        <w:t>Not only is it sweet to sleep hand in hand with him,</w:t>
      </w:r>
    </w:p>
    <w:p w14:paraId="4E27384D" w14:textId="7CC52566" w:rsidR="00252628" w:rsidRPr="00050DAE" w:rsidRDefault="00027FC6" w:rsidP="00582567">
      <w:pPr>
        <w:pStyle w:val="Quote"/>
        <w:rPr>
          <w:rFonts w:asciiTheme="majorBidi" w:hAnsiTheme="majorBidi" w:cstheme="majorBidi"/>
          <w:color w:val="auto"/>
        </w:rPr>
      </w:pPr>
      <w:r w:rsidRPr="00050DAE">
        <w:rPr>
          <w:rFonts w:asciiTheme="majorBidi" w:hAnsiTheme="majorBidi" w:cstheme="majorBidi"/>
          <w:color w:val="auto"/>
        </w:rPr>
        <w:t>sweetest of sweet is too the loveliness of joining heart to heart with him.</w:t>
      </w:r>
    </w:p>
    <w:p w14:paraId="13301F72" w14:textId="0D026D92" w:rsidR="00967CD7" w:rsidRPr="00050DAE" w:rsidRDefault="00967CD7" w:rsidP="000634E2">
      <w:pPr>
        <w:rPr>
          <w:rFonts w:asciiTheme="majorBidi" w:eastAsia="Times New Roman" w:hAnsiTheme="majorBidi" w:cstheme="majorBidi"/>
          <w:kern w:val="0"/>
          <w:sz w:val="24"/>
          <w:szCs w:val="24"/>
          <w:lang w:eastAsia="en-GB"/>
          <w14:ligatures w14:val="none"/>
        </w:rPr>
      </w:pPr>
      <w:r w:rsidRPr="00050DAE">
        <w:rPr>
          <w:rFonts w:asciiTheme="majorBidi" w:eastAsia="Times New Roman" w:hAnsiTheme="majorBidi" w:cstheme="majorBidi"/>
          <w:kern w:val="0"/>
          <w:sz w:val="24"/>
          <w:szCs w:val="24"/>
          <w:lang w:eastAsia="en-GB"/>
          <w14:ligatures w14:val="none"/>
        </w:rPr>
        <w:t xml:space="preserve">Contrast this </w:t>
      </w:r>
      <w:r w:rsidR="00077223" w:rsidRPr="00050DAE">
        <w:rPr>
          <w:rFonts w:asciiTheme="majorBidi" w:eastAsia="Times New Roman" w:hAnsiTheme="majorBidi" w:cstheme="majorBidi"/>
          <w:kern w:val="0"/>
          <w:sz w:val="24"/>
          <w:szCs w:val="24"/>
          <w:lang w:eastAsia="en-GB"/>
          <w14:ligatures w14:val="none"/>
        </w:rPr>
        <w:t xml:space="preserve">affection </w:t>
      </w:r>
      <w:r w:rsidRPr="00050DAE">
        <w:rPr>
          <w:rFonts w:asciiTheme="majorBidi" w:eastAsia="Times New Roman" w:hAnsiTheme="majorBidi" w:cstheme="majorBidi"/>
          <w:kern w:val="0"/>
          <w:sz w:val="24"/>
          <w:szCs w:val="24"/>
          <w:lang w:eastAsia="en-GB"/>
          <w14:ligatures w14:val="none"/>
        </w:rPr>
        <w:t xml:space="preserve">to the ferocity of her revenge in the tale of </w:t>
      </w:r>
      <w:r w:rsidRPr="00050DAE">
        <w:rPr>
          <w:rFonts w:asciiTheme="majorBidi" w:eastAsia="Times New Roman" w:hAnsiTheme="majorBidi" w:cstheme="majorBidi"/>
          <w:i/>
          <w:iCs/>
          <w:kern w:val="0"/>
          <w:sz w:val="24"/>
          <w:szCs w:val="24"/>
          <w:lang w:eastAsia="en-GB"/>
          <w14:ligatures w14:val="none"/>
        </w:rPr>
        <w:t>Inana and Shu-kale-tuda</w:t>
      </w:r>
      <w:r w:rsidRPr="00050DAE">
        <w:rPr>
          <w:rFonts w:asciiTheme="majorBidi" w:eastAsia="Times New Roman" w:hAnsiTheme="majorBidi" w:cstheme="majorBidi"/>
          <w:kern w:val="0"/>
          <w:sz w:val="24"/>
          <w:szCs w:val="24"/>
          <w:lang w:eastAsia="en-GB"/>
          <w14:ligatures w14:val="none"/>
        </w:rPr>
        <w:t>:</w:t>
      </w:r>
      <w:r w:rsidRPr="00050DAE">
        <w:rPr>
          <w:rStyle w:val="FootnoteReference"/>
          <w:rFonts w:asciiTheme="majorBidi" w:eastAsia="Times New Roman" w:hAnsiTheme="majorBidi" w:cstheme="majorBidi"/>
          <w:kern w:val="0"/>
          <w:sz w:val="24"/>
          <w:szCs w:val="24"/>
          <w:lang w:eastAsia="en-GB"/>
          <w14:ligatures w14:val="none"/>
        </w:rPr>
        <w:footnoteReference w:id="27"/>
      </w:r>
    </w:p>
    <w:p w14:paraId="4EB207CC" w14:textId="19F6E198" w:rsidR="00967CD7" w:rsidRPr="00050DAE" w:rsidRDefault="00967CD7" w:rsidP="00582567">
      <w:pPr>
        <w:pStyle w:val="Quote"/>
        <w:rPr>
          <w:rFonts w:asciiTheme="majorBidi" w:hAnsiTheme="majorBidi" w:cstheme="majorBidi"/>
          <w:color w:val="auto"/>
        </w:rPr>
      </w:pPr>
      <w:r w:rsidRPr="00050DAE">
        <w:rPr>
          <w:rFonts w:asciiTheme="majorBidi" w:hAnsiTheme="majorBidi" w:cstheme="majorBidi"/>
          <w:color w:val="auto"/>
        </w:rPr>
        <w:t xml:space="preserve">She (?) determined his destiny ......, holy Inana spoke to Cu-kale-tuda: </w:t>
      </w:r>
      <w:r w:rsidR="008301DC" w:rsidRPr="00050DAE">
        <w:rPr>
          <w:rFonts w:asciiTheme="majorBidi" w:hAnsiTheme="majorBidi" w:cstheme="majorBidi"/>
          <w:color w:val="auto"/>
        </w:rPr>
        <w:t>“</w:t>
      </w:r>
      <w:r w:rsidRPr="00050DAE">
        <w:rPr>
          <w:rFonts w:asciiTheme="majorBidi" w:hAnsiTheme="majorBidi" w:cstheme="majorBidi"/>
          <w:color w:val="auto"/>
        </w:rPr>
        <w:t>So! You shall die! What is that to me? Your name, however, shall not be forgotten.</w:t>
      </w:r>
    </w:p>
    <w:p w14:paraId="40471965" w14:textId="0E8CD3DB" w:rsidR="00ED11FE" w:rsidRPr="00050DAE" w:rsidRDefault="00ED11FE" w:rsidP="00ED11FE">
      <w:pPr>
        <w:pStyle w:val="Heading2"/>
        <w:rPr>
          <w:rFonts w:asciiTheme="majorBidi" w:eastAsia="Times New Roman" w:hAnsiTheme="majorBidi"/>
          <w:color w:val="auto"/>
          <w:lang w:eastAsia="en-GB"/>
        </w:rPr>
      </w:pPr>
      <w:bookmarkStart w:id="22" w:name="_Toc234140227"/>
      <w:bookmarkStart w:id="23" w:name="_Toc234140478"/>
      <w:bookmarkStart w:id="24" w:name="_Toc234143658"/>
      <w:bookmarkStart w:id="25" w:name="_Toc234154287"/>
      <w:r w:rsidRPr="00050DAE">
        <w:rPr>
          <w:rFonts w:asciiTheme="majorBidi" w:eastAsia="Times New Roman" w:hAnsiTheme="majorBidi"/>
          <w:color w:val="auto"/>
          <w:lang w:eastAsia="en-GB"/>
        </w:rPr>
        <w:t xml:space="preserve">1.2 </w:t>
      </w:r>
      <w:r w:rsidR="00FB741B" w:rsidRPr="00050DAE">
        <w:rPr>
          <w:rFonts w:asciiTheme="majorBidi" w:eastAsia="Times New Roman" w:hAnsiTheme="majorBidi"/>
          <w:color w:val="auto"/>
          <w:lang w:eastAsia="en-GB"/>
        </w:rPr>
        <w:t xml:space="preserve">Select </w:t>
      </w:r>
      <w:r w:rsidRPr="00050DAE">
        <w:rPr>
          <w:rFonts w:asciiTheme="majorBidi" w:eastAsia="Times New Roman" w:hAnsiTheme="majorBidi"/>
          <w:color w:val="auto"/>
          <w:lang w:eastAsia="en-GB"/>
        </w:rPr>
        <w:t>Corpus of Inanna</w:t>
      </w:r>
      <w:bookmarkEnd w:id="22"/>
      <w:bookmarkEnd w:id="23"/>
      <w:bookmarkEnd w:id="24"/>
      <w:bookmarkEnd w:id="25"/>
    </w:p>
    <w:p w14:paraId="4317FB9D" w14:textId="7489D296" w:rsidR="00FC6098" w:rsidRPr="00050DAE" w:rsidRDefault="00FC6098" w:rsidP="00DB7070">
      <w:pPr>
        <w:pStyle w:val="UWTSDindent"/>
        <w:rPr>
          <w:lang w:eastAsia="en-GB"/>
        </w:rPr>
      </w:pPr>
      <w:r w:rsidRPr="00050DAE">
        <w:rPr>
          <w:lang w:eastAsia="en-GB"/>
        </w:rPr>
        <w:t xml:space="preserve">One of the challenges in evaluating Inanna is her endurance as a key Mesopotamian goddess across several millennia, much of which overlaps with her later identification with the Akkadian Ištar. The difficulty of separating these figures is compounded by the nature of the textual record itself where the surviving narratives may be derived from scribal compositions </w:t>
      </w:r>
      <w:r w:rsidR="00862B4E" w:rsidRPr="00050DAE">
        <w:rPr>
          <w:lang w:eastAsia="en-GB"/>
        </w:rPr>
        <w:t xml:space="preserve">that </w:t>
      </w:r>
      <w:r w:rsidRPr="00050DAE">
        <w:rPr>
          <w:lang w:eastAsia="en-GB"/>
        </w:rPr>
        <w:t>were copied, curated, and transmitted within institutional contexts, often long after the cultural settings they describe.</w:t>
      </w:r>
      <w:r w:rsidRPr="00050DAE">
        <w:rPr>
          <w:rStyle w:val="FootnoteReference"/>
          <w:lang w:eastAsia="en-GB"/>
        </w:rPr>
        <w:footnoteReference w:id="28"/>
      </w:r>
      <w:r w:rsidR="000C1E20" w:rsidRPr="00050DAE">
        <w:rPr>
          <w:lang w:eastAsia="en-GB"/>
        </w:rPr>
        <w:t xml:space="preserve"> </w:t>
      </w:r>
      <w:r w:rsidR="00DB7070" w:rsidRPr="00050DAE">
        <w:rPr>
          <w:lang w:eastAsia="en-GB"/>
        </w:rPr>
        <w:t>For the purposes of this dissertation, t</w:t>
      </w:r>
      <w:r w:rsidR="000C1E20" w:rsidRPr="00050DAE">
        <w:rPr>
          <w:lang w:eastAsia="en-GB"/>
        </w:rPr>
        <w:t xml:space="preserve">hese texts are read as a coherent </w:t>
      </w:r>
      <w:r w:rsidR="00F8657B" w:rsidRPr="00050DAE">
        <w:rPr>
          <w:lang w:eastAsia="en-GB"/>
        </w:rPr>
        <w:t xml:space="preserve">evolutionary </w:t>
      </w:r>
      <w:r w:rsidR="000C1E20" w:rsidRPr="00050DAE">
        <w:rPr>
          <w:lang w:eastAsia="en-GB"/>
        </w:rPr>
        <w:t>sequence through which Inanna</w:t>
      </w:r>
      <w:r w:rsidR="008301DC" w:rsidRPr="00050DAE">
        <w:rPr>
          <w:lang w:eastAsia="en-GB"/>
        </w:rPr>
        <w:t>’</w:t>
      </w:r>
      <w:r w:rsidR="000C1E20" w:rsidRPr="00050DAE">
        <w:rPr>
          <w:lang w:eastAsia="en-GB"/>
        </w:rPr>
        <w:t xml:space="preserve">s authority </w:t>
      </w:r>
      <w:r w:rsidR="00077223" w:rsidRPr="00050DAE">
        <w:rPr>
          <w:lang w:eastAsia="en-GB"/>
        </w:rPr>
        <w:t xml:space="preserve">progressively expands </w:t>
      </w:r>
      <w:r w:rsidR="0091193A" w:rsidRPr="00050DAE">
        <w:rPr>
          <w:lang w:eastAsia="en-GB"/>
        </w:rPr>
        <w:t>towards</w:t>
      </w:r>
      <w:r w:rsidR="00077223" w:rsidRPr="00050DAE">
        <w:rPr>
          <w:lang w:eastAsia="en-GB"/>
        </w:rPr>
        <w:t xml:space="preserve"> the descent narrative</w:t>
      </w:r>
      <w:r w:rsidR="000C1E20" w:rsidRPr="00050DAE">
        <w:rPr>
          <w:lang w:eastAsia="en-GB"/>
        </w:rPr>
        <w:t>.</w:t>
      </w:r>
      <w:r w:rsidR="00F8657B" w:rsidRPr="00050DAE">
        <w:rPr>
          <w:rStyle w:val="FootnoteReference"/>
          <w:lang w:eastAsia="en-GB"/>
        </w:rPr>
        <w:footnoteReference w:id="29"/>
      </w:r>
    </w:p>
    <w:p w14:paraId="772537FC" w14:textId="5C1DAC90" w:rsidR="00A1507C" w:rsidRPr="00050DAE" w:rsidRDefault="00A1507C" w:rsidP="00A1507C">
      <w:pPr>
        <w:pStyle w:val="Heading3"/>
        <w:rPr>
          <w:rFonts w:asciiTheme="majorBidi" w:eastAsia="Times New Roman" w:hAnsiTheme="majorBidi"/>
          <w:i/>
          <w:iCs/>
          <w:color w:val="auto"/>
          <w:lang w:eastAsia="en-GB"/>
        </w:rPr>
      </w:pPr>
      <w:bookmarkStart w:id="26" w:name="_Toc234140228"/>
      <w:bookmarkStart w:id="27" w:name="_Toc234140479"/>
      <w:bookmarkStart w:id="28" w:name="_Toc234143659"/>
      <w:bookmarkStart w:id="29" w:name="_Toc234154288"/>
      <w:r w:rsidRPr="00050DAE">
        <w:rPr>
          <w:rFonts w:asciiTheme="majorBidi" w:eastAsia="Times New Roman" w:hAnsiTheme="majorBidi"/>
          <w:i/>
          <w:iCs/>
          <w:color w:val="auto"/>
          <w:lang w:eastAsia="en-GB"/>
        </w:rPr>
        <w:t>The Huluppu-Tree</w:t>
      </w:r>
      <w:bookmarkEnd w:id="26"/>
      <w:bookmarkEnd w:id="27"/>
      <w:bookmarkEnd w:id="28"/>
      <w:bookmarkEnd w:id="29"/>
    </w:p>
    <w:p w14:paraId="0EE8ED03" w14:textId="77777777" w:rsidR="00A1507C" w:rsidRPr="00050DAE" w:rsidRDefault="00A1507C" w:rsidP="00582567">
      <w:pPr>
        <w:pStyle w:val="Quote"/>
        <w:rPr>
          <w:rFonts w:asciiTheme="majorBidi" w:hAnsiTheme="majorBidi" w:cstheme="majorBidi"/>
          <w:color w:val="auto"/>
        </w:rPr>
      </w:pPr>
      <w:r w:rsidRPr="00050DAE">
        <w:rPr>
          <w:rFonts w:asciiTheme="majorBidi" w:hAnsiTheme="majorBidi" w:cstheme="majorBidi"/>
          <w:color w:val="auto"/>
        </w:rPr>
        <w:t>In the first days, in the very first days,</w:t>
      </w:r>
    </w:p>
    <w:p w14:paraId="18D95140" w14:textId="77777777" w:rsidR="00A1507C" w:rsidRPr="00050DAE" w:rsidRDefault="00A1507C" w:rsidP="00582567">
      <w:pPr>
        <w:pStyle w:val="Quote"/>
        <w:rPr>
          <w:rFonts w:asciiTheme="majorBidi" w:hAnsiTheme="majorBidi" w:cstheme="majorBidi"/>
          <w:color w:val="auto"/>
        </w:rPr>
      </w:pPr>
      <w:r w:rsidRPr="00050DAE">
        <w:rPr>
          <w:rFonts w:asciiTheme="majorBidi" w:hAnsiTheme="majorBidi" w:cstheme="majorBidi"/>
          <w:color w:val="auto"/>
        </w:rPr>
        <w:t>In the first nights, in the very first nights,</w:t>
      </w:r>
    </w:p>
    <w:p w14:paraId="01A3AD18" w14:textId="0C06F415" w:rsidR="00A1507C" w:rsidRPr="00050DAE" w:rsidRDefault="00A1507C" w:rsidP="008968CD">
      <w:pPr>
        <w:pStyle w:val="Quote"/>
        <w:rPr>
          <w:rFonts w:asciiTheme="majorBidi" w:hAnsiTheme="majorBidi" w:cstheme="majorBidi"/>
          <w:color w:val="auto"/>
        </w:rPr>
      </w:pPr>
      <w:r w:rsidRPr="00050DAE">
        <w:rPr>
          <w:rFonts w:asciiTheme="majorBidi" w:hAnsiTheme="majorBidi" w:cstheme="majorBidi"/>
          <w:color w:val="auto"/>
        </w:rPr>
        <w:t>In the first years, in the very first years</w:t>
      </w:r>
      <w:r w:rsidR="008968CD" w:rsidRPr="00050DAE">
        <w:rPr>
          <w:rFonts w:asciiTheme="majorBidi" w:hAnsiTheme="majorBidi" w:cstheme="majorBidi"/>
          <w:color w:val="auto"/>
        </w:rPr>
        <w:t>…</w:t>
      </w:r>
      <w:r w:rsidR="0040094C" w:rsidRPr="00050DAE">
        <w:rPr>
          <w:rStyle w:val="FootnoteReference"/>
          <w:rFonts w:asciiTheme="majorBidi" w:hAnsiTheme="majorBidi" w:cstheme="majorBidi"/>
          <w:color w:val="auto"/>
        </w:rPr>
        <w:footnoteReference w:id="30"/>
      </w:r>
    </w:p>
    <w:p w14:paraId="61B006AD" w14:textId="4837B715" w:rsidR="00341167" w:rsidRPr="00050DAE" w:rsidRDefault="00341167" w:rsidP="00341167">
      <w:pPr>
        <w:pStyle w:val="UWTSDindent"/>
        <w:rPr>
          <w:lang w:eastAsia="en-GB"/>
        </w:rPr>
      </w:pPr>
      <w:r w:rsidRPr="00050DAE">
        <w:rPr>
          <w:lang w:eastAsia="en-GB"/>
        </w:rPr>
        <w:t xml:space="preserve">In </w:t>
      </w:r>
      <w:r w:rsidRPr="00050DAE">
        <w:rPr>
          <w:i/>
          <w:iCs/>
          <w:lang w:eastAsia="en-GB"/>
        </w:rPr>
        <w:t>The Huluppu-Tree</w:t>
      </w:r>
      <w:r w:rsidRPr="00050DAE">
        <w:rPr>
          <w:lang w:eastAsia="en-GB"/>
        </w:rPr>
        <w:t xml:space="preserve">, Inanna cultivates a primordial tree </w:t>
      </w:r>
      <w:r w:rsidR="00D11498" w:rsidRPr="00050DAE">
        <w:rPr>
          <w:lang w:eastAsia="en-GB"/>
        </w:rPr>
        <w:t>to create</w:t>
      </w:r>
      <w:r w:rsidRPr="00050DAE">
        <w:rPr>
          <w:lang w:eastAsia="en-GB"/>
        </w:rPr>
        <w:t xml:space="preserve"> her throne and bed, but its occupation by disruptive beings prevents her from realizing </w:t>
      </w:r>
      <w:r w:rsidR="00D11498" w:rsidRPr="00050DAE">
        <w:rPr>
          <w:lang w:eastAsia="en-GB"/>
        </w:rPr>
        <w:t xml:space="preserve">her </w:t>
      </w:r>
      <w:r w:rsidRPr="00050DAE">
        <w:rPr>
          <w:lang w:eastAsia="en-GB"/>
        </w:rPr>
        <w:t>sovereign authority. Only through Gilgamesh</w:t>
      </w:r>
      <w:r w:rsidR="008301DC" w:rsidRPr="00050DAE">
        <w:rPr>
          <w:lang w:eastAsia="en-GB"/>
        </w:rPr>
        <w:t>’</w:t>
      </w:r>
      <w:r w:rsidRPr="00050DAE">
        <w:rPr>
          <w:lang w:eastAsia="en-GB"/>
        </w:rPr>
        <w:t>s intervention is the tree cleared and transformed into instruments of kingship, establishing authority as dependent on mediation and exchange.</w:t>
      </w:r>
      <w:r w:rsidRPr="00050DAE">
        <w:rPr>
          <w:rStyle w:val="FootnoteReference"/>
          <w:rFonts w:eastAsia="Times New Roman"/>
          <w:kern w:val="0"/>
          <w:szCs w:val="24"/>
          <w:lang w:eastAsia="en-GB"/>
          <w14:ligatures w14:val="none"/>
        </w:rPr>
        <w:footnoteReference w:id="31"/>
      </w:r>
    </w:p>
    <w:p w14:paraId="7E21F0CC" w14:textId="2DD32894" w:rsidR="00341167" w:rsidRPr="00050DAE" w:rsidRDefault="000E4B2C" w:rsidP="00AA5168">
      <w:pPr>
        <w:pStyle w:val="UWTSDindent"/>
        <w:rPr>
          <w:lang w:eastAsia="en-GB"/>
        </w:rPr>
      </w:pPr>
      <w:r w:rsidRPr="00050DAE">
        <w:rPr>
          <w:lang w:eastAsia="en-GB"/>
        </w:rPr>
        <w:t>This episode reflects an early stage in the development of Inanna</w:t>
      </w:r>
      <w:r w:rsidR="008301DC" w:rsidRPr="00050DAE">
        <w:rPr>
          <w:lang w:eastAsia="en-GB"/>
        </w:rPr>
        <w:t>’</w:t>
      </w:r>
      <w:r w:rsidRPr="00050DAE">
        <w:rPr>
          <w:lang w:eastAsia="en-GB"/>
        </w:rPr>
        <w:t xml:space="preserve">s authority, when her position still depends upon mediation, exchange, and negotiated recognition. </w:t>
      </w:r>
      <w:r w:rsidR="00DB28D4" w:rsidRPr="00050DAE">
        <w:rPr>
          <w:lang w:eastAsia="en-GB"/>
        </w:rPr>
        <w:t xml:space="preserve">Here, </w:t>
      </w:r>
      <w:r w:rsidRPr="00050DAE">
        <w:rPr>
          <w:lang w:eastAsia="en-GB"/>
        </w:rPr>
        <w:t xml:space="preserve">divine authority </w:t>
      </w:r>
      <w:r w:rsidR="00DB28D4" w:rsidRPr="00050DAE">
        <w:rPr>
          <w:lang w:eastAsia="en-GB"/>
        </w:rPr>
        <w:t>is</w:t>
      </w:r>
      <w:r w:rsidRPr="00050DAE">
        <w:rPr>
          <w:lang w:eastAsia="en-GB"/>
        </w:rPr>
        <w:t xml:space="preserve"> something acquired and negotiated rather than simply inherited.</w:t>
      </w:r>
    </w:p>
    <w:p w14:paraId="6DBDFD0E" w14:textId="7911FA56" w:rsidR="00405BB1" w:rsidRPr="00050DAE" w:rsidRDefault="00405BB1" w:rsidP="00405BB1">
      <w:pPr>
        <w:pStyle w:val="Heading3"/>
        <w:rPr>
          <w:rFonts w:asciiTheme="majorBidi" w:eastAsia="Times New Roman" w:hAnsiTheme="majorBidi"/>
          <w:i/>
          <w:iCs/>
          <w:color w:val="auto"/>
          <w:lang w:eastAsia="en-GB"/>
        </w:rPr>
      </w:pPr>
      <w:bookmarkStart w:id="30" w:name="_Toc234140229"/>
      <w:bookmarkStart w:id="31" w:name="_Toc234140480"/>
      <w:bookmarkStart w:id="32" w:name="_Toc234143660"/>
      <w:bookmarkStart w:id="33" w:name="_Toc234154289"/>
      <w:r w:rsidRPr="00050DAE">
        <w:rPr>
          <w:rFonts w:asciiTheme="majorBidi" w:eastAsia="Times New Roman" w:hAnsiTheme="majorBidi"/>
          <w:i/>
          <w:iCs/>
          <w:color w:val="auto"/>
          <w:lang w:eastAsia="en-GB"/>
        </w:rPr>
        <w:t>Inana and An</w:t>
      </w:r>
      <w:bookmarkEnd w:id="30"/>
      <w:bookmarkEnd w:id="31"/>
      <w:bookmarkEnd w:id="32"/>
      <w:bookmarkEnd w:id="33"/>
    </w:p>
    <w:p w14:paraId="275B14F4" w14:textId="48EB50D3" w:rsidR="00341167" w:rsidRPr="00050DAE" w:rsidRDefault="00357FD8" w:rsidP="00357FD8">
      <w:pPr>
        <w:pStyle w:val="UWTSDindent"/>
        <w:rPr>
          <w:rFonts w:eastAsia="Times New Roman"/>
          <w:kern w:val="0"/>
          <w:szCs w:val="24"/>
          <w:lang w:eastAsia="en-GB"/>
          <w14:ligatures w14:val="none"/>
        </w:rPr>
      </w:pPr>
      <w:r w:rsidRPr="00050DAE">
        <w:rPr>
          <w:lang w:eastAsia="en-GB"/>
        </w:rPr>
        <w:t xml:space="preserve">In </w:t>
      </w:r>
      <w:r w:rsidRPr="00050DAE">
        <w:rPr>
          <w:i/>
          <w:iCs/>
          <w:lang w:eastAsia="en-GB"/>
        </w:rPr>
        <w:t>Inana and An</w:t>
      </w:r>
      <w:r w:rsidRPr="00050DAE">
        <w:rPr>
          <w:lang w:eastAsia="en-GB"/>
        </w:rPr>
        <w:t xml:space="preserve">, the goddess secures control of the </w:t>
      </w:r>
      <w:r w:rsidRPr="00050DAE">
        <w:rPr>
          <w:i/>
          <w:iCs/>
          <w:lang w:eastAsia="en-GB"/>
        </w:rPr>
        <w:t>E-an</w:t>
      </w:r>
      <w:r w:rsidR="003A1888" w:rsidRPr="00050DAE">
        <w:rPr>
          <w:i/>
          <w:iCs/>
          <w:lang w:eastAsia="en-GB"/>
        </w:rPr>
        <w:t>n</w:t>
      </w:r>
      <w:r w:rsidRPr="00050DAE">
        <w:rPr>
          <w:i/>
          <w:iCs/>
          <w:lang w:eastAsia="en-GB"/>
        </w:rPr>
        <w:t>a</w:t>
      </w:r>
      <w:r w:rsidRPr="00050DAE">
        <w:rPr>
          <w:lang w:eastAsia="en-GB"/>
        </w:rPr>
        <w:t xml:space="preserve"> temple through </w:t>
      </w:r>
      <w:r w:rsidR="00093263" w:rsidRPr="00050DAE">
        <w:rPr>
          <w:lang w:eastAsia="en-GB"/>
        </w:rPr>
        <w:t>direct seizure instead of inherited authority, compelling An to acknowledge her claim and thereby confirming her elevated status.</w:t>
      </w:r>
      <w:r w:rsidRPr="00050DAE">
        <w:rPr>
          <w:lang w:eastAsia="en-GB"/>
        </w:rPr>
        <w:t xml:space="preserve"> The text presents a reordering of divine hierarchy, </w:t>
      </w:r>
      <w:r w:rsidR="003A1888" w:rsidRPr="00050DAE">
        <w:rPr>
          <w:lang w:eastAsia="en-GB"/>
        </w:rPr>
        <w:t>where</w:t>
      </w:r>
      <w:r w:rsidRPr="00050DAE">
        <w:rPr>
          <w:lang w:eastAsia="en-GB"/>
        </w:rPr>
        <w:t xml:space="preserve"> sovereignty is constituted through appropriation and </w:t>
      </w:r>
      <w:r w:rsidR="003A1888" w:rsidRPr="00050DAE">
        <w:rPr>
          <w:lang w:eastAsia="en-GB"/>
        </w:rPr>
        <w:t xml:space="preserve">then </w:t>
      </w:r>
      <w:r w:rsidRPr="00050DAE">
        <w:rPr>
          <w:lang w:eastAsia="en-GB"/>
        </w:rPr>
        <w:t>only subsequently legitimized.</w:t>
      </w:r>
      <w:r w:rsidRPr="00050DAE">
        <w:rPr>
          <w:rStyle w:val="FootnoteReference"/>
          <w:rFonts w:eastAsia="Times New Roman"/>
          <w:kern w:val="0"/>
          <w:szCs w:val="24"/>
          <w:lang w:eastAsia="en-GB"/>
          <w14:ligatures w14:val="none"/>
        </w:rPr>
        <w:footnoteReference w:id="32"/>
      </w:r>
      <w:r w:rsidRPr="00050DAE">
        <w:rPr>
          <w:rFonts w:eastAsia="Times New Roman"/>
          <w:kern w:val="0"/>
          <w:szCs w:val="24"/>
          <w:lang w:eastAsia="en-GB"/>
          <w14:ligatures w14:val="none"/>
        </w:rPr>
        <w:t xml:space="preserve"> </w:t>
      </w:r>
    </w:p>
    <w:p w14:paraId="471EA8C0" w14:textId="5F118F79" w:rsidR="0089704C" w:rsidRPr="00050DAE" w:rsidRDefault="000E4B2C" w:rsidP="0089704C">
      <w:pPr>
        <w:pStyle w:val="UWTSDindent"/>
        <w:rPr>
          <w:lang w:eastAsia="en-GB"/>
        </w:rPr>
      </w:pPr>
      <w:r w:rsidRPr="00050DAE">
        <w:rPr>
          <w:lang w:eastAsia="en-GB"/>
        </w:rPr>
        <w:t xml:space="preserve">Her authority emerges through acts of appropriation that only later receive divine recognition, a pattern that contrasts with the rigid </w:t>
      </w:r>
      <w:r w:rsidR="00262E8E" w:rsidRPr="00050DAE">
        <w:rPr>
          <w:lang w:eastAsia="en-GB"/>
        </w:rPr>
        <w:t>mechanisms</w:t>
      </w:r>
      <w:r w:rsidRPr="00050DAE">
        <w:rPr>
          <w:lang w:eastAsia="en-GB"/>
        </w:rPr>
        <w:t xml:space="preserve"> of exchange and obligation visible in the descent.</w:t>
      </w:r>
    </w:p>
    <w:p w14:paraId="0F6C3AEB" w14:textId="6DEE7E06" w:rsidR="00613320" w:rsidRPr="00050DAE" w:rsidRDefault="00613320" w:rsidP="004F2CB8">
      <w:pPr>
        <w:pStyle w:val="Heading3"/>
        <w:rPr>
          <w:rFonts w:asciiTheme="majorBidi" w:eastAsia="Times New Roman" w:hAnsiTheme="majorBidi"/>
          <w:i/>
          <w:iCs/>
          <w:color w:val="auto"/>
          <w:lang w:eastAsia="en-GB"/>
        </w:rPr>
      </w:pPr>
      <w:bookmarkStart w:id="34" w:name="_Toc234140230"/>
      <w:bookmarkStart w:id="35" w:name="_Toc234140481"/>
      <w:bookmarkStart w:id="36" w:name="_Toc234143661"/>
      <w:bookmarkStart w:id="37" w:name="_Toc234154290"/>
      <w:r w:rsidRPr="00050DAE">
        <w:rPr>
          <w:rFonts w:asciiTheme="majorBidi" w:eastAsia="Times New Roman" w:hAnsiTheme="majorBidi"/>
          <w:i/>
          <w:iCs/>
          <w:color w:val="auto"/>
          <w:lang w:eastAsia="en-GB"/>
        </w:rPr>
        <w:t>Inana and Enki</w:t>
      </w:r>
      <w:bookmarkEnd w:id="34"/>
      <w:bookmarkEnd w:id="35"/>
      <w:bookmarkEnd w:id="36"/>
      <w:bookmarkEnd w:id="37"/>
    </w:p>
    <w:p w14:paraId="63524F7D" w14:textId="4504EFBF" w:rsidR="00E70813" w:rsidRPr="00050DAE" w:rsidRDefault="00E70813" w:rsidP="00E70813">
      <w:pPr>
        <w:pStyle w:val="UWTSDindent"/>
        <w:rPr>
          <w:lang w:eastAsia="en-GB"/>
        </w:rPr>
      </w:pPr>
      <w:r w:rsidRPr="00050DAE">
        <w:rPr>
          <w:lang w:eastAsia="en-GB"/>
        </w:rPr>
        <w:t xml:space="preserve">In </w:t>
      </w:r>
      <w:r w:rsidRPr="00050DAE">
        <w:rPr>
          <w:i/>
          <w:iCs/>
          <w:lang w:eastAsia="en-GB"/>
        </w:rPr>
        <w:t>Inana and Enki</w:t>
      </w:r>
      <w:r w:rsidRPr="00050DAE">
        <w:rPr>
          <w:lang w:eastAsia="en-GB"/>
        </w:rPr>
        <w:t xml:space="preserve">, Inanna journeys to Eridu and, through a </w:t>
      </w:r>
      <w:r w:rsidR="00C020C4" w:rsidRPr="00050DAE">
        <w:rPr>
          <w:lang w:eastAsia="en-GB"/>
        </w:rPr>
        <w:t>ritualised</w:t>
      </w:r>
      <w:r w:rsidRPr="00050DAE">
        <w:rPr>
          <w:lang w:eastAsia="en-GB"/>
        </w:rPr>
        <w:t xml:space="preserve"> exchange in which Enki becomes inebriated, receives from him the </w:t>
      </w:r>
      <w:r w:rsidRPr="00050DAE">
        <w:rPr>
          <w:b/>
          <w:bCs/>
          <w:i/>
          <w:iCs/>
          <w:lang w:eastAsia="en-GB"/>
        </w:rPr>
        <w:t>me</w:t>
      </w:r>
      <w:r w:rsidR="008B2F8A" w:rsidRPr="00050DAE">
        <w:rPr>
          <w:lang w:eastAsia="en-GB"/>
        </w:rPr>
        <w:t>s</w:t>
      </w:r>
      <w:r w:rsidRPr="00050DAE">
        <w:rPr>
          <w:lang w:eastAsia="en-GB"/>
        </w:rPr>
        <w:t xml:space="preserve">, the ordered powers that </w:t>
      </w:r>
      <w:r w:rsidR="00262E8E" w:rsidRPr="00050DAE">
        <w:rPr>
          <w:lang w:eastAsia="en-GB"/>
        </w:rPr>
        <w:t>control</w:t>
      </w:r>
      <w:r w:rsidRPr="00050DAE">
        <w:rPr>
          <w:lang w:eastAsia="en-GB"/>
        </w:rPr>
        <w:t xml:space="preserve"> kingship, cult, and civilization. When Enki later attempts to reverse the transfer, Inanna successfully transports the </w:t>
      </w:r>
      <w:r w:rsidRPr="00050DAE">
        <w:rPr>
          <w:b/>
          <w:bCs/>
          <w:i/>
          <w:iCs/>
          <w:lang w:eastAsia="en-GB"/>
        </w:rPr>
        <w:t>me</w:t>
      </w:r>
      <w:r w:rsidR="008B2F8A" w:rsidRPr="00050DAE">
        <w:rPr>
          <w:lang w:eastAsia="en-GB"/>
        </w:rPr>
        <w:t xml:space="preserve">s </w:t>
      </w:r>
      <w:r w:rsidRPr="00050DAE">
        <w:rPr>
          <w:lang w:eastAsia="en-GB"/>
        </w:rPr>
        <w:t>to Uruk, establishing their relocation as both irreversible and constitutive of her authority.</w:t>
      </w:r>
      <w:r w:rsidRPr="00050DAE">
        <w:rPr>
          <w:rStyle w:val="FootnoteReference"/>
          <w:rFonts w:eastAsia="Times New Roman"/>
          <w:kern w:val="0"/>
          <w:szCs w:val="24"/>
          <w:lang w:eastAsia="en-GB"/>
          <w14:ligatures w14:val="none"/>
        </w:rPr>
        <w:footnoteReference w:id="33"/>
      </w:r>
    </w:p>
    <w:p w14:paraId="1724BEBD" w14:textId="33249D4D" w:rsidR="00E70813" w:rsidRPr="00050DAE" w:rsidRDefault="00BB3024" w:rsidP="00E70813">
      <w:pPr>
        <w:pStyle w:val="UWTSDindent"/>
        <w:rPr>
          <w:lang w:eastAsia="en-GB"/>
        </w:rPr>
      </w:pPr>
      <w:r w:rsidRPr="00050DAE">
        <w:rPr>
          <w:lang w:eastAsia="en-GB"/>
        </w:rPr>
        <w:t xml:space="preserve">The acquisition of the </w:t>
      </w:r>
      <w:r w:rsidRPr="00050DAE">
        <w:rPr>
          <w:b/>
          <w:bCs/>
          <w:i/>
          <w:iCs/>
          <w:lang w:eastAsia="en-GB"/>
        </w:rPr>
        <w:t>me</w:t>
      </w:r>
      <w:r w:rsidRPr="00050DAE">
        <w:rPr>
          <w:i/>
          <w:iCs/>
          <w:lang w:eastAsia="en-GB"/>
        </w:rPr>
        <w:t>s</w:t>
      </w:r>
      <w:r w:rsidRPr="00050DAE">
        <w:rPr>
          <w:lang w:eastAsia="en-GB"/>
        </w:rPr>
        <w:t xml:space="preserve"> marks a turning point in </w:t>
      </w:r>
      <w:r w:rsidR="00862B4E" w:rsidRPr="00050DAE">
        <w:rPr>
          <w:lang w:eastAsia="en-GB"/>
        </w:rPr>
        <w:t>her development</w:t>
      </w:r>
      <w:r w:rsidRPr="00050DAE">
        <w:rPr>
          <w:lang w:eastAsia="en-GB"/>
        </w:rPr>
        <w:t xml:space="preserve"> by linking Inanna directly to the maintenance of cosmic and social order. Her later descent therefore carries consequences extending beyond the Netherworld itself.</w:t>
      </w:r>
    </w:p>
    <w:p w14:paraId="2BF16084" w14:textId="77777777" w:rsidR="0078165B" w:rsidRPr="00050DAE" w:rsidRDefault="0078165B" w:rsidP="0078165B">
      <w:pPr>
        <w:keepNext/>
        <w:jc w:val="center"/>
        <w:rPr>
          <w:rFonts w:asciiTheme="majorBidi" w:hAnsiTheme="majorBidi" w:cstheme="majorBidi"/>
        </w:rPr>
      </w:pPr>
      <w:r w:rsidRPr="00050DAE">
        <w:rPr>
          <w:rFonts w:asciiTheme="majorBidi" w:eastAsia="Times New Roman" w:hAnsiTheme="majorBidi" w:cstheme="majorBidi"/>
          <w:noProof/>
          <w:kern w:val="0"/>
          <w:sz w:val="24"/>
          <w:szCs w:val="24"/>
          <w:lang w:eastAsia="en-GB"/>
        </w:rPr>
        <w:drawing>
          <wp:inline distT="0" distB="0" distL="0" distR="0" wp14:anchorId="1EAFBB32" wp14:editId="090F1D8B">
            <wp:extent cx="1867916" cy="2553043"/>
            <wp:effectExtent l="0" t="0" r="0" b="0"/>
            <wp:docPr id="1586989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89020" name="Picture 1586989020"/>
                    <pic:cNvPicPr/>
                  </pic:nvPicPr>
                  <pic:blipFill rotWithShape="1">
                    <a:blip r:embed="rId27" cstate="print">
                      <a:extLst>
                        <a:ext uri="{BEBA8EAE-BF5A-486C-A8C5-ECC9F3942E4B}">
                          <a14:imgProps xmlns:a14="http://schemas.microsoft.com/office/drawing/2010/main">
                            <a14:imgLayer r:embed="rId28">
                              <a14:imgEffect>
                                <a14:backgroundRemoval t="1135" b="99676" l="0" r="100000">
                                  <a14:foregroundMark x1="30752" y1="4052" x2="52212" y2="3728"/>
                                  <a14:foregroundMark x1="52212" y1="3728" x2="65708" y2="3890"/>
                                  <a14:foregroundMark x1="52655" y1="2917" x2="68142" y2="2917"/>
                                  <a14:foregroundMark x1="36062" y1="2431" x2="41814" y2="1135"/>
                                  <a14:backgroundMark x1="3761" y1="59157" x2="2655" y2="47812"/>
                                  <a14:backgroundMark x1="39602" y1="972" x2="39602" y2="972"/>
                                  <a14:backgroundMark x1="40265" y1="972" x2="40265" y2="97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77154" cy="2565669"/>
                    </a:xfrm>
                    <a:prstGeom prst="rect">
                      <a:avLst/>
                    </a:prstGeom>
                    <a:ln>
                      <a:noFill/>
                    </a:ln>
                    <a:extLst>
                      <a:ext uri="{53640926-AAD7-44D8-BBD7-CCE9431645EC}">
                        <a14:shadowObscured xmlns:a14="http://schemas.microsoft.com/office/drawing/2010/main"/>
                      </a:ext>
                    </a:extLst>
                  </pic:spPr>
                </pic:pic>
              </a:graphicData>
            </a:graphic>
          </wp:inline>
        </w:drawing>
      </w:r>
    </w:p>
    <w:p w14:paraId="66106997" w14:textId="5CDB701C" w:rsidR="0078165B" w:rsidRPr="00050DAE" w:rsidRDefault="0078165B" w:rsidP="0078165B">
      <w:pPr>
        <w:pStyle w:val="Caption"/>
        <w:jc w:val="center"/>
        <w:rPr>
          <w:rFonts w:asciiTheme="majorBidi" w:eastAsia="Times New Roman" w:hAnsiTheme="majorBidi" w:cstheme="majorBidi"/>
          <w:color w:val="auto"/>
          <w:kern w:val="0"/>
          <w:sz w:val="24"/>
          <w:szCs w:val="24"/>
          <w:lang w:eastAsia="en-GB"/>
          <w14:ligatures w14:val="none"/>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4</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Mask of Warka, considered earliest full-size representation of a face and possibly from a statue of</w:t>
      </w:r>
      <w:r w:rsidR="00DB0939" w:rsidRPr="00050DAE">
        <w:rPr>
          <w:rFonts w:asciiTheme="majorBidi" w:hAnsiTheme="majorBidi" w:cstheme="majorBidi"/>
          <w:color w:val="auto"/>
        </w:rPr>
        <w:t xml:space="preserve"> </w:t>
      </w:r>
      <w:r w:rsidRPr="00050DAE">
        <w:rPr>
          <w:rFonts w:asciiTheme="majorBidi" w:hAnsiTheme="majorBidi" w:cstheme="majorBidi"/>
          <w:color w:val="auto"/>
        </w:rPr>
        <w:t>Inanna.</w:t>
      </w:r>
      <w:r w:rsidRPr="00050DAE">
        <w:rPr>
          <w:rStyle w:val="FootnoteReference"/>
          <w:rFonts w:asciiTheme="majorBidi" w:hAnsiTheme="majorBidi" w:cstheme="majorBidi"/>
          <w:color w:val="auto"/>
        </w:rPr>
        <w:footnoteReference w:id="34"/>
      </w:r>
    </w:p>
    <w:p w14:paraId="19F32900" w14:textId="0A89D276" w:rsidR="00612E29" w:rsidRPr="00050DAE" w:rsidRDefault="00612E29" w:rsidP="004A2398">
      <w:pPr>
        <w:pStyle w:val="Heading3"/>
        <w:rPr>
          <w:rFonts w:asciiTheme="majorBidi" w:hAnsiTheme="majorBidi"/>
          <w:i/>
          <w:iCs/>
          <w:color w:val="auto"/>
          <w:lang w:eastAsia="en-GB"/>
        </w:rPr>
      </w:pPr>
      <w:bookmarkStart w:id="38" w:name="_Toc234140231"/>
      <w:bookmarkStart w:id="39" w:name="_Toc234140482"/>
      <w:bookmarkStart w:id="40" w:name="_Toc234143662"/>
      <w:bookmarkStart w:id="41" w:name="_Toc234154291"/>
      <w:r w:rsidRPr="00050DAE">
        <w:rPr>
          <w:rFonts w:asciiTheme="majorBidi" w:hAnsiTheme="majorBidi"/>
          <w:i/>
          <w:iCs/>
          <w:color w:val="auto"/>
          <w:lang w:eastAsia="en-GB"/>
        </w:rPr>
        <w:t>Courtship of Inanna and Dumuzi</w:t>
      </w:r>
      <w:bookmarkEnd w:id="38"/>
      <w:bookmarkEnd w:id="39"/>
      <w:bookmarkEnd w:id="40"/>
      <w:bookmarkEnd w:id="41"/>
    </w:p>
    <w:p w14:paraId="318A832C" w14:textId="5FA1D158" w:rsidR="00220EAC" w:rsidRPr="00050DAE" w:rsidRDefault="00220EAC" w:rsidP="00220EAC">
      <w:pPr>
        <w:pStyle w:val="UWTSDindent"/>
        <w:rPr>
          <w:lang w:eastAsia="en-GB"/>
        </w:rPr>
      </w:pPr>
      <w:r w:rsidRPr="00050DAE">
        <w:rPr>
          <w:lang w:eastAsia="en-GB"/>
        </w:rPr>
        <w:t xml:space="preserve">In </w:t>
      </w:r>
      <w:r w:rsidRPr="00050DAE">
        <w:rPr>
          <w:i/>
          <w:iCs/>
          <w:lang w:eastAsia="en-GB"/>
        </w:rPr>
        <w:t>The Courtship of Inanna and Dumuzi</w:t>
      </w:r>
      <w:r w:rsidRPr="00050DAE">
        <w:rPr>
          <w:lang w:eastAsia="en-GB"/>
        </w:rPr>
        <w:t>, the narrative stages a competitive dialogue between Dumuzi and the farmer that culminates in Inanna</w:t>
      </w:r>
      <w:r w:rsidR="008301DC" w:rsidRPr="00050DAE">
        <w:rPr>
          <w:lang w:eastAsia="en-GB"/>
        </w:rPr>
        <w:t>’</w:t>
      </w:r>
      <w:r w:rsidRPr="00050DAE">
        <w:rPr>
          <w:lang w:eastAsia="en-GB"/>
        </w:rPr>
        <w:t xml:space="preserve">s deliberate choice of Dumuzi, transforming rivalry into sanctioned union. Their consummation is expressed through fertility imagery that links erotic desire with agricultural abundance, establishing Dumuzi as </w:t>
      </w:r>
      <w:r w:rsidR="0089704C" w:rsidRPr="00050DAE">
        <w:rPr>
          <w:lang w:eastAsia="en-GB"/>
        </w:rPr>
        <w:t>a</w:t>
      </w:r>
      <w:r w:rsidRPr="00050DAE">
        <w:rPr>
          <w:lang w:eastAsia="en-GB"/>
        </w:rPr>
        <w:t xml:space="preserve"> lover and </w:t>
      </w:r>
      <w:r w:rsidR="0089704C" w:rsidRPr="00050DAE">
        <w:rPr>
          <w:lang w:eastAsia="en-GB"/>
        </w:rPr>
        <w:t xml:space="preserve">a </w:t>
      </w:r>
      <w:r w:rsidRPr="00050DAE">
        <w:rPr>
          <w:lang w:eastAsia="en-GB"/>
        </w:rPr>
        <w:t xml:space="preserve">king </w:t>
      </w:r>
      <w:r w:rsidR="00C0249D" w:rsidRPr="00050DAE">
        <w:rPr>
          <w:lang w:eastAsia="en-GB"/>
        </w:rPr>
        <w:t xml:space="preserve">empowered by </w:t>
      </w:r>
      <w:r w:rsidRPr="00050DAE">
        <w:rPr>
          <w:lang w:eastAsia="en-GB"/>
        </w:rPr>
        <w:t xml:space="preserve">sexuality, kingship, and cosmic </w:t>
      </w:r>
      <w:r w:rsidR="0089704C" w:rsidRPr="00050DAE">
        <w:rPr>
          <w:lang w:eastAsia="en-GB"/>
        </w:rPr>
        <w:t>alignment</w:t>
      </w:r>
      <w:r w:rsidRPr="00050DAE">
        <w:rPr>
          <w:lang w:eastAsia="en-GB"/>
        </w:rPr>
        <w:t>.</w:t>
      </w:r>
      <w:r w:rsidR="00EC4672" w:rsidRPr="00050DAE">
        <w:rPr>
          <w:rStyle w:val="FootnoteReference"/>
          <w:lang w:eastAsia="en-GB"/>
        </w:rPr>
        <w:footnoteReference w:id="35"/>
      </w:r>
    </w:p>
    <w:p w14:paraId="41AAD746" w14:textId="388236B8" w:rsidR="00220EAC" w:rsidRPr="00050DAE" w:rsidRDefault="00220EAC" w:rsidP="00220EAC">
      <w:pPr>
        <w:pStyle w:val="UWTSDindent"/>
        <w:rPr>
          <w:lang w:eastAsia="en-GB"/>
        </w:rPr>
      </w:pPr>
      <w:r w:rsidRPr="00050DAE">
        <w:rPr>
          <w:lang w:eastAsia="en-GB"/>
        </w:rPr>
        <w:t>Th</w:t>
      </w:r>
      <w:r w:rsidR="003A1888" w:rsidRPr="00050DAE">
        <w:rPr>
          <w:lang w:eastAsia="en-GB"/>
        </w:rPr>
        <w:t>is</w:t>
      </w:r>
      <w:r w:rsidRPr="00050DAE">
        <w:rPr>
          <w:lang w:eastAsia="en-GB"/>
        </w:rPr>
        <w:t xml:space="preserve"> text provides the necessary foundation for the later inversion seen in </w:t>
      </w:r>
      <w:r w:rsidR="00F31E7F" w:rsidRPr="00050DAE">
        <w:rPr>
          <w:lang w:eastAsia="en-GB"/>
        </w:rPr>
        <w:t xml:space="preserve">the </w:t>
      </w:r>
      <w:r w:rsidR="00F31E7F" w:rsidRPr="00050DAE">
        <w:rPr>
          <w:i/>
          <w:iCs/>
          <w:lang w:eastAsia="en-GB"/>
        </w:rPr>
        <w:t xml:space="preserve">Epic of </w:t>
      </w:r>
      <w:r w:rsidRPr="00050DAE">
        <w:rPr>
          <w:i/>
          <w:iCs/>
          <w:lang w:eastAsia="en-GB"/>
        </w:rPr>
        <w:t>Gilgamesh</w:t>
      </w:r>
      <w:r w:rsidR="00F31E7F" w:rsidRPr="00050DAE">
        <w:rPr>
          <w:lang w:eastAsia="en-GB"/>
        </w:rPr>
        <w:t>,</w:t>
      </w:r>
      <w:r w:rsidRPr="00050DAE">
        <w:rPr>
          <w:lang w:eastAsia="en-GB"/>
        </w:rPr>
        <w:t xml:space="preserve"> Tablet VI, where Ištar</w:t>
      </w:r>
      <w:r w:rsidR="008301DC" w:rsidRPr="00050DAE">
        <w:rPr>
          <w:lang w:eastAsia="en-GB"/>
        </w:rPr>
        <w:t>’</w:t>
      </w:r>
      <w:r w:rsidRPr="00050DAE">
        <w:rPr>
          <w:lang w:eastAsia="en-GB"/>
        </w:rPr>
        <w:t>s relationships with her lovers, including Dumuzi, are recast as destructive</w:t>
      </w:r>
      <w:r w:rsidR="00326E3D" w:rsidRPr="00050DAE">
        <w:rPr>
          <w:lang w:eastAsia="en-GB"/>
        </w:rPr>
        <w:t>.</w:t>
      </w:r>
      <w:r w:rsidRPr="00050DAE">
        <w:rPr>
          <w:lang w:eastAsia="en-GB"/>
        </w:rPr>
        <w:t xml:space="preserve"> It also anticipates the logic of </w:t>
      </w:r>
      <w:r w:rsidRPr="00050DAE">
        <w:rPr>
          <w:i/>
          <w:iCs/>
          <w:lang w:eastAsia="en-GB"/>
        </w:rPr>
        <w:t>Inanna</w:t>
      </w:r>
      <w:r w:rsidR="008301DC" w:rsidRPr="00050DAE">
        <w:rPr>
          <w:i/>
          <w:iCs/>
          <w:lang w:eastAsia="en-GB"/>
        </w:rPr>
        <w:t>’</w:t>
      </w:r>
      <w:r w:rsidRPr="00050DAE">
        <w:rPr>
          <w:i/>
          <w:iCs/>
          <w:lang w:eastAsia="en-GB"/>
        </w:rPr>
        <w:t>s Descent</w:t>
      </w:r>
      <w:r w:rsidRPr="00050DAE">
        <w:rPr>
          <w:lang w:eastAsia="en-GB"/>
        </w:rPr>
        <w:t xml:space="preserve">, where </w:t>
      </w:r>
      <w:r w:rsidR="008D22CD" w:rsidRPr="00050DAE">
        <w:rPr>
          <w:lang w:eastAsia="en-GB"/>
        </w:rPr>
        <w:t>the relationship that once elevated Dumuzi later contributes to his punishment</w:t>
      </w:r>
      <w:r w:rsidRPr="00050DAE">
        <w:rPr>
          <w:lang w:eastAsia="en-GB"/>
        </w:rPr>
        <w:t xml:space="preserve"> in the Netherworld.</w:t>
      </w:r>
      <w:r w:rsidRPr="00050DAE">
        <w:rPr>
          <w:rStyle w:val="FootnoteReference"/>
          <w:lang w:eastAsia="en-GB"/>
        </w:rPr>
        <w:t xml:space="preserve"> </w:t>
      </w:r>
    </w:p>
    <w:p w14:paraId="2FCDCB85" w14:textId="4482DF0A" w:rsidR="00ED11FE" w:rsidRPr="00050DAE" w:rsidRDefault="00335F71" w:rsidP="00FC6098">
      <w:pPr>
        <w:pStyle w:val="Heading3"/>
        <w:rPr>
          <w:rFonts w:asciiTheme="majorBidi" w:hAnsiTheme="majorBidi"/>
          <w:color w:val="auto"/>
        </w:rPr>
      </w:pPr>
      <w:bookmarkStart w:id="42" w:name="_Toc234140232"/>
      <w:bookmarkStart w:id="43" w:name="_Toc234140483"/>
      <w:bookmarkStart w:id="44" w:name="_Toc234143663"/>
      <w:bookmarkStart w:id="45" w:name="_Toc234154292"/>
      <w:r w:rsidRPr="00050DAE">
        <w:rPr>
          <w:rFonts w:asciiTheme="majorBidi" w:hAnsiTheme="majorBidi"/>
          <w:color w:val="auto"/>
        </w:rPr>
        <w:t xml:space="preserve">Foundations </w:t>
      </w:r>
      <w:r w:rsidR="00725797" w:rsidRPr="00050DAE">
        <w:rPr>
          <w:rFonts w:asciiTheme="majorBidi" w:hAnsiTheme="majorBidi"/>
          <w:color w:val="auto"/>
        </w:rPr>
        <w:t xml:space="preserve">of </w:t>
      </w:r>
      <w:r w:rsidR="00725797" w:rsidRPr="00050DAE">
        <w:rPr>
          <w:rFonts w:asciiTheme="majorBidi" w:hAnsiTheme="majorBidi"/>
          <w:i/>
          <w:color w:val="auto"/>
        </w:rPr>
        <w:t>Inanna</w:t>
      </w:r>
      <w:r w:rsidR="008301DC" w:rsidRPr="00050DAE">
        <w:rPr>
          <w:rFonts w:asciiTheme="majorBidi" w:hAnsiTheme="majorBidi"/>
          <w:i/>
          <w:color w:val="auto"/>
        </w:rPr>
        <w:t>’</w:t>
      </w:r>
      <w:r w:rsidR="00725797" w:rsidRPr="00050DAE">
        <w:rPr>
          <w:rFonts w:asciiTheme="majorBidi" w:hAnsiTheme="majorBidi"/>
          <w:i/>
          <w:color w:val="auto"/>
        </w:rPr>
        <w:t>s</w:t>
      </w:r>
      <w:r w:rsidR="00DB0939" w:rsidRPr="00050DAE">
        <w:rPr>
          <w:rFonts w:asciiTheme="majorBidi" w:hAnsiTheme="majorBidi"/>
          <w:i/>
          <w:color w:val="auto"/>
        </w:rPr>
        <w:t xml:space="preserve"> Descent</w:t>
      </w:r>
      <w:bookmarkEnd w:id="42"/>
      <w:bookmarkEnd w:id="43"/>
      <w:bookmarkEnd w:id="44"/>
      <w:bookmarkEnd w:id="45"/>
      <w:r w:rsidR="00DB0939" w:rsidRPr="00050DAE">
        <w:rPr>
          <w:rFonts w:asciiTheme="majorBidi" w:hAnsiTheme="majorBidi"/>
          <w:i/>
          <w:color w:val="auto"/>
        </w:rPr>
        <w:t xml:space="preserve"> </w:t>
      </w:r>
    </w:p>
    <w:p w14:paraId="356CD4FB" w14:textId="5C4E0FDA" w:rsidR="00FC6098" w:rsidRPr="00050DAE" w:rsidRDefault="00DC5629" w:rsidP="00487C42">
      <w:pPr>
        <w:pStyle w:val="UWTSDindent"/>
        <w:rPr>
          <w:lang w:eastAsia="en-GB"/>
        </w:rPr>
      </w:pPr>
      <w:r w:rsidRPr="00050DAE">
        <w:rPr>
          <w:lang w:eastAsia="en-GB"/>
        </w:rPr>
        <w:t>Collectively, these narratives establish Inanna</w:t>
      </w:r>
      <w:r w:rsidR="008301DC" w:rsidRPr="00050DAE">
        <w:rPr>
          <w:lang w:eastAsia="en-GB"/>
        </w:rPr>
        <w:t>’</w:t>
      </w:r>
      <w:r w:rsidRPr="00050DAE">
        <w:rPr>
          <w:lang w:eastAsia="en-GB"/>
        </w:rPr>
        <w:t>s authority across multiple domains while exposing its limits. The descent reveals that even such authority remains subject to death, substitution, and return.</w:t>
      </w:r>
    </w:p>
    <w:p w14:paraId="6064FE3D" w14:textId="63AB5B82" w:rsidR="007856DB" w:rsidRPr="00050DAE" w:rsidRDefault="00ED11FE" w:rsidP="000634E2">
      <w:pPr>
        <w:pStyle w:val="Heading2"/>
        <w:rPr>
          <w:rFonts w:asciiTheme="majorBidi" w:eastAsia="Times New Roman" w:hAnsiTheme="majorBidi"/>
          <w:color w:val="auto"/>
          <w:lang w:eastAsia="en-GB"/>
        </w:rPr>
      </w:pPr>
      <w:bookmarkStart w:id="46" w:name="_Toc234140233"/>
      <w:bookmarkStart w:id="47" w:name="_Toc234140484"/>
      <w:bookmarkStart w:id="48" w:name="_Toc234143664"/>
      <w:bookmarkStart w:id="49" w:name="_Toc234154293"/>
      <w:r w:rsidRPr="00050DAE">
        <w:rPr>
          <w:rFonts w:asciiTheme="majorBidi" w:eastAsia="Times New Roman" w:hAnsiTheme="majorBidi"/>
          <w:color w:val="auto"/>
          <w:lang w:eastAsia="en-GB"/>
        </w:rPr>
        <w:t>1.</w:t>
      </w:r>
      <w:r w:rsidR="002B57FC" w:rsidRPr="00050DAE">
        <w:rPr>
          <w:rFonts w:asciiTheme="majorBidi" w:eastAsia="Times New Roman" w:hAnsiTheme="majorBidi"/>
          <w:color w:val="auto"/>
          <w:lang w:eastAsia="en-GB"/>
        </w:rPr>
        <w:t>3</w:t>
      </w:r>
      <w:r w:rsidRPr="00050DAE">
        <w:rPr>
          <w:rFonts w:asciiTheme="majorBidi" w:eastAsia="Times New Roman" w:hAnsiTheme="majorBidi"/>
          <w:color w:val="auto"/>
          <w:lang w:eastAsia="en-GB"/>
        </w:rPr>
        <w:t xml:space="preserve"> </w:t>
      </w:r>
      <w:r w:rsidR="007856DB" w:rsidRPr="00050DAE">
        <w:rPr>
          <w:rFonts w:asciiTheme="majorBidi" w:eastAsia="Times New Roman" w:hAnsiTheme="majorBidi"/>
          <w:color w:val="auto"/>
          <w:lang w:eastAsia="en-GB"/>
        </w:rPr>
        <w:t>Death Before Descent</w:t>
      </w:r>
      <w:bookmarkEnd w:id="46"/>
      <w:bookmarkEnd w:id="47"/>
      <w:bookmarkEnd w:id="48"/>
      <w:bookmarkEnd w:id="49"/>
    </w:p>
    <w:p w14:paraId="1D7A4C3E" w14:textId="5E4B4F9C" w:rsidR="007856DB" w:rsidRPr="00050DAE" w:rsidRDefault="00615608" w:rsidP="00EE6050">
      <w:pPr>
        <w:pStyle w:val="UWTSDindent"/>
        <w:rPr>
          <w:lang w:eastAsia="en-GB"/>
        </w:rPr>
      </w:pPr>
      <w:r w:rsidRPr="00050DAE">
        <w:rPr>
          <w:lang w:eastAsia="en-GB"/>
        </w:rPr>
        <w:t>Modern scholarship sometimes treats Inanna</w:t>
      </w:r>
      <w:r w:rsidR="008301DC" w:rsidRPr="00050DAE">
        <w:rPr>
          <w:lang w:eastAsia="en-GB"/>
        </w:rPr>
        <w:t>’</w:t>
      </w:r>
      <w:r w:rsidRPr="00050DAE">
        <w:rPr>
          <w:lang w:eastAsia="en-GB"/>
        </w:rPr>
        <w:t>s association with death primarily through the lens of the descent narrative, which can create the impression of a relatively stable divine identity. The broader corpus suggests a more complex development. Inanna</w:t>
      </w:r>
      <w:r w:rsidR="008301DC" w:rsidRPr="00050DAE">
        <w:rPr>
          <w:lang w:eastAsia="en-GB"/>
        </w:rPr>
        <w:t>’</w:t>
      </w:r>
      <w:r w:rsidRPr="00050DAE">
        <w:rPr>
          <w:lang w:eastAsia="en-GB"/>
        </w:rPr>
        <w:t xml:space="preserve">s connection to death is understood not as the product of a single myth, but as the cumulative result of </w:t>
      </w:r>
      <w:r w:rsidR="00DE1475" w:rsidRPr="00050DAE">
        <w:rPr>
          <w:lang w:eastAsia="en-GB"/>
        </w:rPr>
        <w:t>aspects</w:t>
      </w:r>
      <w:r w:rsidRPr="00050DAE">
        <w:rPr>
          <w:lang w:eastAsia="en-GB"/>
        </w:rPr>
        <w:t xml:space="preserve"> involving love, loss, lamentation, and the fate of Dumuzi. </w:t>
      </w:r>
      <w:r w:rsidR="00126F4D" w:rsidRPr="00050DAE">
        <w:rPr>
          <w:lang w:eastAsia="en-GB"/>
        </w:rPr>
        <w:t>Inanna is inherently associated with</w:t>
      </w:r>
      <w:r w:rsidRPr="00050DAE">
        <w:rPr>
          <w:lang w:eastAsia="en-GB"/>
        </w:rPr>
        <w:t xml:space="preserve"> death, mourning, and boundary crossing.</w:t>
      </w:r>
      <w:r w:rsidR="00F458E7" w:rsidRPr="00050DAE">
        <w:rPr>
          <w:rStyle w:val="FootnoteReference"/>
        </w:rPr>
        <w:footnoteReference w:id="36"/>
      </w:r>
      <w:r w:rsidR="00F458E7" w:rsidRPr="00050DAE">
        <w:rPr>
          <w:lang w:eastAsia="en-GB"/>
        </w:rPr>
        <w:t xml:space="preserve"> </w:t>
      </w:r>
    </w:p>
    <w:p w14:paraId="77CBB771" w14:textId="0E4D1602" w:rsidR="007856DB" w:rsidRPr="00050DAE" w:rsidRDefault="00DB0939" w:rsidP="00DB0939">
      <w:pPr>
        <w:pStyle w:val="UWTSDindent"/>
        <w:rPr>
          <w:lang w:eastAsia="en-GB"/>
        </w:rPr>
      </w:pPr>
      <w:r w:rsidRPr="00050DAE">
        <w:rPr>
          <w:lang w:eastAsia="en-GB"/>
        </w:rPr>
        <w:t xml:space="preserve">Although </w:t>
      </w:r>
      <w:r w:rsidR="003A1888" w:rsidRPr="00050DAE">
        <w:rPr>
          <w:i/>
          <w:iCs/>
          <w:lang w:eastAsia="en-GB"/>
        </w:rPr>
        <w:t>Inanna</w:t>
      </w:r>
      <w:r w:rsidR="008301DC" w:rsidRPr="00050DAE">
        <w:rPr>
          <w:i/>
          <w:iCs/>
          <w:lang w:eastAsia="en-GB"/>
        </w:rPr>
        <w:t>’</w:t>
      </w:r>
      <w:r w:rsidR="003A1888" w:rsidRPr="00050DAE">
        <w:rPr>
          <w:i/>
          <w:iCs/>
          <w:lang w:eastAsia="en-GB"/>
        </w:rPr>
        <w:t xml:space="preserve">s </w:t>
      </w:r>
      <w:r w:rsidR="007856DB" w:rsidRPr="00050DAE">
        <w:rPr>
          <w:i/>
          <w:iCs/>
          <w:lang w:eastAsia="en-GB"/>
        </w:rPr>
        <w:t>Descent</w:t>
      </w:r>
      <w:r w:rsidR="007856DB" w:rsidRPr="00050DAE">
        <w:rPr>
          <w:lang w:eastAsia="en-GB"/>
        </w:rPr>
        <w:t xml:space="preserve"> grabs the </w:t>
      </w:r>
      <w:r w:rsidR="003C7602" w:rsidRPr="00050DAE">
        <w:rPr>
          <w:lang w:eastAsia="en-GB"/>
        </w:rPr>
        <w:t xml:space="preserve">attention of </w:t>
      </w:r>
      <w:r w:rsidR="007856DB" w:rsidRPr="00050DAE">
        <w:rPr>
          <w:lang w:eastAsia="en-GB"/>
        </w:rPr>
        <w:t>modern</w:t>
      </w:r>
      <w:r w:rsidR="003C7602" w:rsidRPr="00050DAE">
        <w:rPr>
          <w:lang w:eastAsia="en-GB"/>
        </w:rPr>
        <w:t xml:space="preserve"> scholars</w:t>
      </w:r>
      <w:r w:rsidR="007856DB" w:rsidRPr="00050DAE">
        <w:rPr>
          <w:lang w:eastAsia="en-GB"/>
        </w:rPr>
        <w:t xml:space="preserve">, before her domination of the Netherworld, </w:t>
      </w:r>
      <w:r w:rsidR="00E249FB" w:rsidRPr="00050DAE">
        <w:rPr>
          <w:lang w:eastAsia="en-GB"/>
        </w:rPr>
        <w:t xml:space="preserve">as demonstrated earlier, </w:t>
      </w:r>
      <w:r w:rsidR="00491E01" w:rsidRPr="00050DAE">
        <w:rPr>
          <w:lang w:eastAsia="en-GB"/>
        </w:rPr>
        <w:t>there existed a substantial corpus of texts focused on her adventures</w:t>
      </w:r>
      <w:r w:rsidR="007856DB" w:rsidRPr="00050DAE">
        <w:rPr>
          <w:lang w:eastAsia="en-GB"/>
        </w:rPr>
        <w:t xml:space="preserve">. </w:t>
      </w:r>
      <w:r w:rsidR="00E249FB" w:rsidRPr="00050DAE">
        <w:rPr>
          <w:lang w:eastAsia="en-GB"/>
        </w:rPr>
        <w:t>Variations within</w:t>
      </w:r>
      <w:r w:rsidR="007856DB" w:rsidRPr="00050DAE">
        <w:rPr>
          <w:lang w:eastAsia="en-GB"/>
        </w:rPr>
        <w:t xml:space="preserve"> her corpus </w:t>
      </w:r>
      <w:r w:rsidR="00E249FB" w:rsidRPr="00050DAE">
        <w:rPr>
          <w:lang w:eastAsia="en-GB"/>
        </w:rPr>
        <w:t>expand tales of</w:t>
      </w:r>
      <w:r w:rsidR="007856DB" w:rsidRPr="00050DAE">
        <w:rPr>
          <w:lang w:eastAsia="en-GB"/>
        </w:rPr>
        <w:t xml:space="preserve"> courtship, marriage, and mourning the death of Dumuzi.</w:t>
      </w:r>
      <w:r w:rsidR="00E249FB" w:rsidRPr="00050DAE">
        <w:rPr>
          <w:rStyle w:val="FootnoteReference"/>
          <w:rFonts w:eastAsia="Times New Roman"/>
          <w:kern w:val="0"/>
          <w:szCs w:val="24"/>
          <w:lang w:eastAsia="en-GB"/>
          <w14:ligatures w14:val="none"/>
        </w:rPr>
        <w:footnoteReference w:id="37"/>
      </w:r>
      <w:r w:rsidR="00E249FB" w:rsidRPr="00050DAE">
        <w:rPr>
          <w:lang w:eastAsia="en-GB"/>
        </w:rPr>
        <w:t xml:space="preserve"> In </w:t>
      </w:r>
      <w:r w:rsidR="00E249FB" w:rsidRPr="00050DAE">
        <w:rPr>
          <w:i/>
          <w:iCs/>
          <w:lang w:eastAsia="en-GB"/>
        </w:rPr>
        <w:t>The Sister</w:t>
      </w:r>
      <w:r w:rsidR="008301DC" w:rsidRPr="00050DAE">
        <w:rPr>
          <w:i/>
          <w:iCs/>
          <w:lang w:eastAsia="en-GB"/>
        </w:rPr>
        <w:t>’</w:t>
      </w:r>
      <w:r w:rsidR="00E249FB" w:rsidRPr="00050DAE">
        <w:rPr>
          <w:i/>
          <w:iCs/>
          <w:lang w:eastAsia="en-GB"/>
        </w:rPr>
        <w:t>s Message</w:t>
      </w:r>
      <w:r w:rsidR="00E249FB" w:rsidRPr="00050DAE">
        <w:rPr>
          <w:lang w:eastAsia="en-GB"/>
        </w:rPr>
        <w:t xml:space="preserve">, </w:t>
      </w:r>
      <w:r w:rsidR="007856DB" w:rsidRPr="00050DAE">
        <w:rPr>
          <w:lang w:eastAsia="en-GB"/>
        </w:rPr>
        <w:t xml:space="preserve">Inanna decides that Dumuzi </w:t>
      </w:r>
      <w:r w:rsidR="008301DC" w:rsidRPr="00050DAE">
        <w:rPr>
          <w:lang w:eastAsia="en-GB"/>
        </w:rPr>
        <w:t>“</w:t>
      </w:r>
      <w:r w:rsidR="007856DB" w:rsidRPr="00050DAE">
        <w:rPr>
          <w:lang w:eastAsia="en-GB"/>
        </w:rPr>
        <w:t>is the man of [her] heart,</w:t>
      </w:r>
      <w:r w:rsidR="008301DC" w:rsidRPr="00050DAE">
        <w:rPr>
          <w:lang w:eastAsia="en-GB"/>
        </w:rPr>
        <w:t>”</w:t>
      </w:r>
      <w:r w:rsidR="007856DB" w:rsidRPr="00050DAE">
        <w:rPr>
          <w:lang w:eastAsia="en-GB"/>
        </w:rPr>
        <w:t xml:space="preserve"> and tells Geshtinanna that she </w:t>
      </w:r>
      <w:r w:rsidR="008301DC" w:rsidRPr="00050DAE">
        <w:rPr>
          <w:lang w:eastAsia="en-GB"/>
        </w:rPr>
        <w:t>“</w:t>
      </w:r>
      <w:r w:rsidR="007856DB" w:rsidRPr="00050DAE">
        <w:rPr>
          <w:lang w:eastAsia="en-GB"/>
        </w:rPr>
        <w:t>delighted in you [Dumuzi]</w:t>
      </w:r>
      <w:r w:rsidR="008301DC" w:rsidRPr="00050DAE">
        <w:rPr>
          <w:lang w:eastAsia="en-GB"/>
        </w:rPr>
        <w:t>”</w:t>
      </w:r>
      <w:r w:rsidR="00E249FB" w:rsidRPr="00050DAE">
        <w:rPr>
          <w:rStyle w:val="FootnoteReference"/>
          <w:rFonts w:eastAsia="Times New Roman"/>
          <w:kern w:val="0"/>
          <w:szCs w:val="24"/>
          <w:lang w:eastAsia="en-GB"/>
          <w14:ligatures w14:val="none"/>
        </w:rPr>
        <w:footnoteReference w:id="38"/>
      </w:r>
      <w:r w:rsidR="00E249FB" w:rsidRPr="00050DAE">
        <w:rPr>
          <w:lang w:eastAsia="en-GB"/>
        </w:rPr>
        <w:t xml:space="preserve"> </w:t>
      </w:r>
      <w:r w:rsidR="00491E01" w:rsidRPr="00050DAE">
        <w:rPr>
          <w:lang w:eastAsia="en-GB"/>
        </w:rPr>
        <w:t>In what may be interpreted as an unintended act of foreshadowing</w:t>
      </w:r>
      <w:r w:rsidR="007856DB" w:rsidRPr="00050DAE">
        <w:rPr>
          <w:lang w:eastAsia="en-GB"/>
        </w:rPr>
        <w:t>, this action could very well set the stage for Geshtinanna</w:t>
      </w:r>
      <w:r w:rsidR="008301DC" w:rsidRPr="00050DAE">
        <w:rPr>
          <w:lang w:eastAsia="en-GB"/>
        </w:rPr>
        <w:t>’</w:t>
      </w:r>
      <w:r w:rsidR="007856DB" w:rsidRPr="00050DAE">
        <w:rPr>
          <w:lang w:eastAsia="en-GB"/>
        </w:rPr>
        <w:t xml:space="preserve">s sacrifice in the Descent. In </w:t>
      </w:r>
      <w:r w:rsidR="007856DB" w:rsidRPr="00050DAE">
        <w:rPr>
          <w:i/>
          <w:iCs/>
          <w:lang w:eastAsia="en-GB"/>
        </w:rPr>
        <w:t>Dumuzi</w:t>
      </w:r>
      <w:r w:rsidR="008301DC" w:rsidRPr="00050DAE">
        <w:rPr>
          <w:i/>
          <w:iCs/>
          <w:lang w:eastAsia="en-GB"/>
        </w:rPr>
        <w:t>’</w:t>
      </w:r>
      <w:r w:rsidR="007856DB" w:rsidRPr="00050DAE">
        <w:rPr>
          <w:i/>
          <w:iCs/>
          <w:lang w:eastAsia="en-GB"/>
        </w:rPr>
        <w:t>s Wedding</w:t>
      </w:r>
      <w:r w:rsidR="007856DB" w:rsidRPr="00050DAE">
        <w:rPr>
          <w:lang w:eastAsia="en-GB"/>
        </w:rPr>
        <w:t xml:space="preserve">, the Sumerian wedding ritual </w:t>
      </w:r>
      <w:r w:rsidR="00404DCF" w:rsidRPr="00050DAE">
        <w:rPr>
          <w:lang w:eastAsia="en-GB"/>
        </w:rPr>
        <w:t>emerges</w:t>
      </w:r>
      <w:r w:rsidR="007856DB" w:rsidRPr="00050DAE">
        <w:rPr>
          <w:lang w:eastAsia="en-GB"/>
        </w:rPr>
        <w:t>. After a ritual bath,</w:t>
      </w:r>
      <w:r w:rsidR="00724A68" w:rsidRPr="00050DAE">
        <w:rPr>
          <w:rStyle w:val="FootnoteReference"/>
          <w:lang w:eastAsia="en-GB"/>
        </w:rPr>
        <w:footnoteReference w:id="39"/>
      </w:r>
      <w:r w:rsidR="007856DB" w:rsidRPr="00050DAE">
        <w:rPr>
          <w:lang w:eastAsia="en-GB"/>
        </w:rPr>
        <w:t xml:space="preserve"> </w:t>
      </w:r>
      <w:r w:rsidR="008301DC" w:rsidRPr="00050DAE">
        <w:rPr>
          <w:lang w:eastAsia="en-GB"/>
        </w:rPr>
        <w:t>“</w:t>
      </w:r>
      <w:r w:rsidR="007856DB" w:rsidRPr="00050DAE">
        <w:rPr>
          <w:lang w:eastAsia="en-GB"/>
        </w:rPr>
        <w:t>Dumuzi pushed (open) the door. And like a moonbeam she came forth to him out of the house, he looked at her, rejoiced in her, took her in his arms and kissed her.</w:t>
      </w:r>
      <w:r w:rsidR="008301DC" w:rsidRPr="00050DAE">
        <w:rPr>
          <w:lang w:eastAsia="en-GB"/>
        </w:rPr>
        <w:t>”</w:t>
      </w:r>
      <w:r w:rsidR="00D6354A" w:rsidRPr="00050DAE">
        <w:rPr>
          <w:rStyle w:val="FootnoteReference"/>
          <w:rFonts w:eastAsia="Times New Roman"/>
          <w:kern w:val="0"/>
          <w:szCs w:val="24"/>
          <w:lang w:eastAsia="en-GB"/>
          <w14:ligatures w14:val="none"/>
        </w:rPr>
        <w:footnoteReference w:id="40"/>
      </w:r>
      <w:r w:rsidR="00D6354A" w:rsidRPr="00050DAE">
        <w:rPr>
          <w:lang w:eastAsia="en-GB"/>
        </w:rPr>
        <w:t xml:space="preserve"> </w:t>
      </w:r>
      <w:r w:rsidR="007856DB" w:rsidRPr="00050DAE">
        <w:rPr>
          <w:lang w:eastAsia="en-GB"/>
        </w:rPr>
        <w:t>To truly mourn the pain of death, there must be an expression of true love.</w:t>
      </w:r>
    </w:p>
    <w:p w14:paraId="5D4970D8" w14:textId="2A92D409" w:rsidR="00F442C0" w:rsidRPr="00050DAE" w:rsidRDefault="008301DC" w:rsidP="00EE6050">
      <w:pPr>
        <w:pStyle w:val="UWTSDindent"/>
        <w:rPr>
          <w:lang w:eastAsia="en-GB"/>
        </w:rPr>
      </w:pPr>
      <w:r w:rsidRPr="00050DAE">
        <w:rPr>
          <w:lang w:eastAsia="en-GB"/>
        </w:rPr>
        <w:t>“</w:t>
      </w:r>
      <w:r w:rsidR="009E3F06" w:rsidRPr="00050DAE">
        <w:rPr>
          <w:lang w:eastAsia="en-GB"/>
        </w:rPr>
        <w:t>Given birth by the flowing water…</w:t>
      </w:r>
      <w:r w:rsidR="005C3802" w:rsidRPr="00050DAE">
        <w:rPr>
          <w:lang w:eastAsia="en-GB"/>
        </w:rPr>
        <w:t>,</w:t>
      </w:r>
      <w:r w:rsidRPr="00050DAE">
        <w:rPr>
          <w:lang w:eastAsia="en-GB"/>
        </w:rPr>
        <w:t>”</w:t>
      </w:r>
      <w:r w:rsidR="005C3802" w:rsidRPr="00050DAE">
        <w:rPr>
          <w:rStyle w:val="FootnoteReference"/>
          <w:lang w:eastAsia="en-GB"/>
        </w:rPr>
        <w:footnoteReference w:id="41"/>
      </w:r>
      <w:r w:rsidR="009E3F06" w:rsidRPr="00050DAE">
        <w:rPr>
          <w:lang w:eastAsia="en-GB"/>
        </w:rPr>
        <w:t xml:space="preserve"> the </w:t>
      </w:r>
      <w:r w:rsidR="005C3802" w:rsidRPr="00050DAE">
        <w:rPr>
          <w:lang w:eastAsia="en-GB"/>
        </w:rPr>
        <w:t xml:space="preserve">green </w:t>
      </w:r>
      <w:r w:rsidR="009E3F06" w:rsidRPr="00050DAE">
        <w:rPr>
          <w:lang w:eastAsia="en-GB"/>
        </w:rPr>
        <w:t>barley sprigs reach to</w:t>
      </w:r>
      <w:r w:rsidR="005C3802" w:rsidRPr="00050DAE">
        <w:rPr>
          <w:lang w:eastAsia="en-GB"/>
        </w:rPr>
        <w:t xml:space="preserve"> the spring skies, where inevitably they are cut down to reach their greater potential as beerbread. </w:t>
      </w:r>
      <w:r w:rsidR="006565EE" w:rsidRPr="00050DAE">
        <w:rPr>
          <w:lang w:eastAsia="en-GB"/>
        </w:rPr>
        <w:t>Like the harvested barley itself, Dumuzi</w:t>
      </w:r>
      <w:r w:rsidRPr="00050DAE">
        <w:rPr>
          <w:lang w:eastAsia="en-GB"/>
        </w:rPr>
        <w:t>’</w:t>
      </w:r>
      <w:r w:rsidR="006565EE" w:rsidRPr="00050DAE">
        <w:rPr>
          <w:lang w:eastAsia="en-GB"/>
        </w:rPr>
        <w:t xml:space="preserve">s role within the agricultural cycle becomes closely tied to death, seasonal loss, and ritual lamentation. </w:t>
      </w:r>
      <w:r w:rsidR="005C3802" w:rsidRPr="00050DAE">
        <w:rPr>
          <w:lang w:eastAsia="en-GB"/>
        </w:rPr>
        <w:t xml:space="preserve">Some of the </w:t>
      </w:r>
      <w:r w:rsidR="00491E01" w:rsidRPr="00050DAE">
        <w:rPr>
          <w:lang w:eastAsia="en-GB"/>
        </w:rPr>
        <w:t xml:space="preserve">numerous </w:t>
      </w:r>
      <w:r w:rsidR="005C3802" w:rsidRPr="00050DAE">
        <w:rPr>
          <w:lang w:eastAsia="en-GB"/>
        </w:rPr>
        <w:t xml:space="preserve">Dumuzi </w:t>
      </w:r>
      <w:r w:rsidR="00174BB3" w:rsidRPr="00050DAE">
        <w:rPr>
          <w:lang w:eastAsia="en-GB"/>
        </w:rPr>
        <w:t>d</w:t>
      </w:r>
      <w:r w:rsidR="005C3802" w:rsidRPr="00050DAE">
        <w:rPr>
          <w:lang w:eastAsia="en-GB"/>
        </w:rPr>
        <w:t xml:space="preserve">eath stories </w:t>
      </w:r>
      <w:r w:rsidR="007856DB" w:rsidRPr="00050DAE">
        <w:rPr>
          <w:lang w:eastAsia="en-GB"/>
        </w:rPr>
        <w:t>are later integrated in</w:t>
      </w:r>
      <w:r w:rsidR="00FA489B" w:rsidRPr="00050DAE">
        <w:rPr>
          <w:lang w:eastAsia="en-GB"/>
        </w:rPr>
        <w:t>to</w:t>
      </w:r>
      <w:r w:rsidR="007856DB" w:rsidRPr="00050DAE">
        <w:rPr>
          <w:lang w:eastAsia="en-GB"/>
        </w:rPr>
        <w:t xml:space="preserve"> </w:t>
      </w:r>
      <w:r w:rsidR="007856DB" w:rsidRPr="00050DAE">
        <w:rPr>
          <w:i/>
          <w:iCs/>
          <w:lang w:eastAsia="en-GB"/>
        </w:rPr>
        <w:t>Inanna</w:t>
      </w:r>
      <w:r w:rsidRPr="00050DAE">
        <w:rPr>
          <w:i/>
          <w:iCs/>
          <w:lang w:eastAsia="en-GB"/>
        </w:rPr>
        <w:t>’</w:t>
      </w:r>
      <w:r w:rsidR="007856DB" w:rsidRPr="00050DAE">
        <w:rPr>
          <w:i/>
          <w:iCs/>
          <w:lang w:eastAsia="en-GB"/>
        </w:rPr>
        <w:t>s Descent</w:t>
      </w:r>
      <w:r w:rsidR="007856DB" w:rsidRPr="00050DAE">
        <w:rPr>
          <w:lang w:eastAsia="en-GB"/>
        </w:rPr>
        <w:t xml:space="preserve">, for instance </w:t>
      </w:r>
      <w:r w:rsidR="007856DB" w:rsidRPr="00050DAE">
        <w:rPr>
          <w:i/>
          <w:iCs/>
          <w:lang w:eastAsia="en-GB"/>
        </w:rPr>
        <w:t>Dumuzi and the Galla</w:t>
      </w:r>
      <w:r w:rsidR="007856DB" w:rsidRPr="00050DAE">
        <w:rPr>
          <w:lang w:eastAsia="en-GB"/>
        </w:rPr>
        <w:t xml:space="preserve"> where he is hunted and killed by demons.</w:t>
      </w:r>
      <w:r w:rsidR="000A5A5C" w:rsidRPr="00050DAE">
        <w:rPr>
          <w:rStyle w:val="FootnoteReference"/>
          <w:rFonts w:eastAsia="Times New Roman"/>
          <w:kern w:val="0"/>
          <w:szCs w:val="24"/>
          <w:lang w:eastAsia="en-GB"/>
          <w14:ligatures w14:val="none"/>
        </w:rPr>
        <w:footnoteReference w:id="42"/>
      </w:r>
      <w:r w:rsidR="00254A8E" w:rsidRPr="00050DAE">
        <w:rPr>
          <w:lang w:eastAsia="en-GB"/>
        </w:rPr>
        <w:t xml:space="preserve"> </w:t>
      </w:r>
      <w:r w:rsidR="007856DB" w:rsidRPr="00050DAE">
        <w:rPr>
          <w:lang w:eastAsia="en-GB"/>
        </w:rPr>
        <w:t xml:space="preserve">In </w:t>
      </w:r>
      <w:r w:rsidR="007856DB" w:rsidRPr="00050DAE">
        <w:rPr>
          <w:i/>
          <w:iCs/>
          <w:lang w:eastAsia="en-GB"/>
        </w:rPr>
        <w:t>Inana and Bilulu</w:t>
      </w:r>
      <w:r w:rsidR="007856DB" w:rsidRPr="00050DAE">
        <w:rPr>
          <w:lang w:eastAsia="en-GB"/>
        </w:rPr>
        <w:t>, Dumuzi is killed by a bandit woman and her son.</w:t>
      </w:r>
      <w:r w:rsidR="00D6354A" w:rsidRPr="00050DAE">
        <w:rPr>
          <w:rStyle w:val="FootnoteReference"/>
          <w:rFonts w:eastAsia="Times New Roman"/>
          <w:kern w:val="0"/>
          <w:szCs w:val="24"/>
          <w:lang w:eastAsia="en-GB"/>
          <w14:ligatures w14:val="none"/>
        </w:rPr>
        <w:footnoteReference w:id="43"/>
      </w:r>
      <w:r w:rsidR="00D6354A" w:rsidRPr="00050DAE">
        <w:rPr>
          <w:lang w:eastAsia="en-GB"/>
        </w:rPr>
        <w:t xml:space="preserve"> </w:t>
      </w:r>
      <w:r w:rsidR="007D6E25" w:rsidRPr="00050DAE">
        <w:rPr>
          <w:lang w:eastAsia="en-GB"/>
        </w:rPr>
        <w:t xml:space="preserve">In an alternative tale, </w:t>
      </w:r>
      <w:r w:rsidRPr="00050DAE">
        <w:rPr>
          <w:lang w:eastAsia="en-GB"/>
        </w:rPr>
        <w:t>“</w:t>
      </w:r>
      <w:r w:rsidR="007D6E25" w:rsidRPr="00050DAE">
        <w:rPr>
          <w:lang w:eastAsia="en-GB"/>
        </w:rPr>
        <w:t>the</w:t>
      </w:r>
      <w:r w:rsidR="007856DB" w:rsidRPr="00050DAE">
        <w:rPr>
          <w:lang w:eastAsia="en-GB"/>
        </w:rPr>
        <w:t xml:space="preserve"> shepherd-man, he who practised sorcery, broke into the ground… At the side of the corpse the dog lay.</w:t>
      </w:r>
      <w:r w:rsidRPr="00050DAE">
        <w:rPr>
          <w:lang w:eastAsia="en-GB"/>
        </w:rPr>
        <w:t>”</w:t>
      </w:r>
      <w:r w:rsidR="00F442C0" w:rsidRPr="00050DAE">
        <w:rPr>
          <w:rStyle w:val="FootnoteReference"/>
          <w:rFonts w:eastAsia="Times New Roman"/>
          <w:kern w:val="0"/>
          <w:szCs w:val="24"/>
          <w:lang w:eastAsia="en-GB"/>
          <w14:ligatures w14:val="none"/>
        </w:rPr>
        <w:footnoteReference w:id="44"/>
      </w:r>
      <w:r w:rsidR="00F442C0" w:rsidRPr="00050DAE">
        <w:rPr>
          <w:lang w:eastAsia="en-GB"/>
        </w:rPr>
        <w:t xml:space="preserve"> </w:t>
      </w:r>
      <w:r w:rsidR="007856DB" w:rsidRPr="00050DAE">
        <w:rPr>
          <w:lang w:eastAsia="en-GB"/>
        </w:rPr>
        <w:t>Another lament finds Inanna mourning Dumuzi</w:t>
      </w:r>
      <w:r w:rsidRPr="00050DAE">
        <w:rPr>
          <w:lang w:eastAsia="en-GB"/>
        </w:rPr>
        <w:t>’</w:t>
      </w:r>
      <w:r w:rsidR="00F442C0" w:rsidRPr="00050DAE">
        <w:rPr>
          <w:lang w:eastAsia="en-GB"/>
        </w:rPr>
        <w:t>s</w:t>
      </w:r>
      <w:r w:rsidR="007856DB" w:rsidRPr="00050DAE">
        <w:rPr>
          <w:lang w:eastAsia="en-GB"/>
        </w:rPr>
        <w:t xml:space="preserve"> death by </w:t>
      </w:r>
      <w:r w:rsidRPr="00050DAE">
        <w:rPr>
          <w:lang w:eastAsia="en-GB"/>
        </w:rPr>
        <w:t>“</w:t>
      </w:r>
      <w:r w:rsidR="007856DB" w:rsidRPr="00050DAE">
        <w:rPr>
          <w:lang w:eastAsia="en-GB"/>
        </w:rPr>
        <w:t>a bison with mottled eyes and crushing teeth.</w:t>
      </w:r>
      <w:r w:rsidRPr="00050DAE">
        <w:rPr>
          <w:lang w:eastAsia="en-GB"/>
        </w:rPr>
        <w:t>”</w:t>
      </w:r>
      <w:r w:rsidR="00F442C0" w:rsidRPr="00050DAE">
        <w:rPr>
          <w:rStyle w:val="FootnoteReference"/>
          <w:rFonts w:eastAsia="Times New Roman"/>
          <w:kern w:val="0"/>
          <w:szCs w:val="24"/>
          <w:lang w:eastAsia="en-GB"/>
          <w14:ligatures w14:val="none"/>
        </w:rPr>
        <w:footnoteReference w:id="45"/>
      </w:r>
    </w:p>
    <w:p w14:paraId="657B05FA" w14:textId="694BA802" w:rsidR="00F442C0" w:rsidRPr="00050DAE" w:rsidRDefault="006565EE" w:rsidP="00EE6050">
      <w:pPr>
        <w:pStyle w:val="UWTSDindent"/>
        <w:rPr>
          <w:lang w:eastAsia="en-GB"/>
        </w:rPr>
      </w:pPr>
      <w:r w:rsidRPr="00050DAE">
        <w:rPr>
          <w:lang w:eastAsia="en-GB"/>
        </w:rPr>
        <w:t>Inanna</w:t>
      </w:r>
      <w:r w:rsidR="008301DC" w:rsidRPr="00050DAE">
        <w:rPr>
          <w:lang w:eastAsia="en-GB"/>
        </w:rPr>
        <w:t>’</w:t>
      </w:r>
      <w:r w:rsidR="00DE1475" w:rsidRPr="00050DAE">
        <w:rPr>
          <w:lang w:eastAsia="en-GB"/>
        </w:rPr>
        <w:t>s relationship with Dumuzi suggests membership into the</w:t>
      </w:r>
      <w:r w:rsidRPr="00050DAE">
        <w:rPr>
          <w:lang w:eastAsia="en-GB"/>
        </w:rPr>
        <w:t xml:space="preserve"> broader Near Eastern pattern often described by Kramer as the </w:t>
      </w:r>
      <w:r w:rsidR="008301DC" w:rsidRPr="00050DAE">
        <w:rPr>
          <w:lang w:eastAsia="en-GB"/>
        </w:rPr>
        <w:t>“</w:t>
      </w:r>
      <w:r w:rsidRPr="00050DAE">
        <w:rPr>
          <w:lang w:eastAsia="en-GB"/>
        </w:rPr>
        <w:t>weeping goddess</w:t>
      </w:r>
      <w:r w:rsidR="008301DC" w:rsidRPr="00050DAE">
        <w:rPr>
          <w:lang w:eastAsia="en-GB"/>
        </w:rPr>
        <w:t>”</w:t>
      </w:r>
      <w:r w:rsidRPr="00050DAE">
        <w:rPr>
          <w:lang w:eastAsia="en-GB"/>
        </w:rPr>
        <w:t xml:space="preserve"> motif.</w:t>
      </w:r>
      <w:r w:rsidR="007856DB" w:rsidRPr="00050DAE">
        <w:rPr>
          <w:rStyle w:val="FootnoteReference"/>
          <w:rFonts w:eastAsia="Times New Roman"/>
          <w:kern w:val="0"/>
          <w:szCs w:val="24"/>
          <w:lang w:eastAsia="en-GB"/>
          <w14:ligatures w14:val="none"/>
        </w:rPr>
        <w:footnoteReference w:id="46"/>
      </w:r>
      <w:r w:rsidR="007856DB" w:rsidRPr="00050DAE">
        <w:rPr>
          <w:lang w:eastAsia="en-GB"/>
        </w:rPr>
        <w:t xml:space="preserve"> Here Inanna cries, </w:t>
      </w:r>
      <w:r w:rsidR="008301DC" w:rsidRPr="00050DAE">
        <w:rPr>
          <w:lang w:eastAsia="en-GB"/>
        </w:rPr>
        <w:t>“</w:t>
      </w:r>
      <w:r w:rsidR="007856DB" w:rsidRPr="00050DAE">
        <w:rPr>
          <w:lang w:eastAsia="en-GB"/>
        </w:rPr>
        <w:t>The day the sweet husband, my husband, went away,</w:t>
      </w:r>
      <w:r w:rsidR="009320E2" w:rsidRPr="00050DAE">
        <w:rPr>
          <w:lang w:eastAsia="en-GB"/>
        </w:rPr>
        <w:t xml:space="preserve"> </w:t>
      </w:r>
      <w:r w:rsidR="007856DB" w:rsidRPr="00050DAE">
        <w:rPr>
          <w:lang w:eastAsia="en-GB"/>
        </w:rPr>
        <w:t>the day the sweet young man, my young man, went away,</w:t>
      </w:r>
      <w:r w:rsidR="009320E2" w:rsidRPr="00050DAE">
        <w:rPr>
          <w:lang w:eastAsia="en-GB"/>
        </w:rPr>
        <w:t xml:space="preserve"> </w:t>
      </w:r>
      <w:r w:rsidR="007856DB" w:rsidRPr="00050DAE">
        <w:rPr>
          <w:lang w:eastAsia="en-GB"/>
        </w:rPr>
        <w:t>you went - O my husband - into the early pastures,</w:t>
      </w:r>
      <w:r w:rsidR="009320E2" w:rsidRPr="00050DAE">
        <w:rPr>
          <w:lang w:eastAsia="en-GB"/>
        </w:rPr>
        <w:t xml:space="preserve"> </w:t>
      </w:r>
      <w:r w:rsidR="007856DB" w:rsidRPr="00050DAE">
        <w:rPr>
          <w:lang w:eastAsia="en-GB"/>
        </w:rPr>
        <w:t>you went - O my young man - into the later pastures.</w:t>
      </w:r>
      <w:r w:rsidR="009320E2" w:rsidRPr="00050DAE">
        <w:rPr>
          <w:lang w:eastAsia="en-GB"/>
        </w:rPr>
        <w:t xml:space="preserve"> </w:t>
      </w:r>
      <w:r w:rsidR="007856DB" w:rsidRPr="00050DAE">
        <w:rPr>
          <w:lang w:eastAsia="en-GB"/>
        </w:rPr>
        <w:t>My husband, seeking pasture, was killed in the pastures.</w:t>
      </w:r>
      <w:r w:rsidR="008301DC" w:rsidRPr="00050DAE">
        <w:rPr>
          <w:lang w:eastAsia="en-GB"/>
        </w:rPr>
        <w:t>”</w:t>
      </w:r>
      <w:r w:rsidR="00F442C0" w:rsidRPr="00050DAE">
        <w:rPr>
          <w:rStyle w:val="FootnoteReference"/>
          <w:rFonts w:eastAsia="Times New Roman"/>
          <w:kern w:val="0"/>
          <w:szCs w:val="24"/>
          <w:lang w:eastAsia="en-GB"/>
          <w14:ligatures w14:val="none"/>
        </w:rPr>
        <w:footnoteReference w:id="47"/>
      </w:r>
    </w:p>
    <w:p w14:paraId="3BA13D29" w14:textId="375A6530" w:rsidR="003B3EFF" w:rsidRPr="00050DAE" w:rsidRDefault="007856DB" w:rsidP="00EE6050">
      <w:pPr>
        <w:pStyle w:val="UWTSDindent"/>
        <w:rPr>
          <w:lang w:eastAsia="en-GB"/>
        </w:rPr>
      </w:pPr>
      <w:r w:rsidRPr="00050DAE">
        <w:rPr>
          <w:lang w:eastAsia="en-GB"/>
        </w:rPr>
        <w:t xml:space="preserve">Following </w:t>
      </w:r>
      <w:r w:rsidR="004F39C8" w:rsidRPr="00050DAE">
        <w:rPr>
          <w:lang w:eastAsia="en-GB"/>
        </w:rPr>
        <w:t>Dumuzi</w:t>
      </w:r>
      <w:r w:rsidR="008301DC" w:rsidRPr="00050DAE">
        <w:rPr>
          <w:lang w:eastAsia="en-GB"/>
        </w:rPr>
        <w:t>’</w:t>
      </w:r>
      <w:r w:rsidR="004F39C8" w:rsidRPr="00050DAE">
        <w:rPr>
          <w:lang w:eastAsia="en-GB"/>
        </w:rPr>
        <w:t>s</w:t>
      </w:r>
      <w:r w:rsidRPr="00050DAE">
        <w:rPr>
          <w:lang w:eastAsia="en-GB"/>
        </w:rPr>
        <w:t xml:space="preserve"> death, there is an example of a lament presented as a dirge from </w:t>
      </w:r>
      <w:r w:rsidRPr="00050DAE">
        <w:rPr>
          <w:i/>
          <w:iCs/>
          <w:lang w:eastAsia="en-GB"/>
        </w:rPr>
        <w:t>The Most Bitter Cry</w:t>
      </w:r>
      <w:r w:rsidRPr="00050DAE">
        <w:rPr>
          <w:lang w:eastAsia="en-GB"/>
        </w:rPr>
        <w:t xml:space="preserve">, that has Geshtinanna singing </w:t>
      </w:r>
      <w:r w:rsidR="008301DC" w:rsidRPr="00050DAE">
        <w:rPr>
          <w:lang w:eastAsia="en-GB"/>
        </w:rPr>
        <w:t>“</w:t>
      </w:r>
      <w:r w:rsidRPr="00050DAE">
        <w:rPr>
          <w:lang w:eastAsia="en-GB"/>
        </w:rPr>
        <w:t>when he sat among fellows as a comrade</w:t>
      </w:r>
      <w:r w:rsidR="009320E2" w:rsidRPr="00050DAE">
        <w:rPr>
          <w:lang w:eastAsia="en-GB"/>
        </w:rPr>
        <w:t xml:space="preserve"> </w:t>
      </w:r>
      <w:r w:rsidRPr="00050DAE">
        <w:rPr>
          <w:lang w:eastAsia="en-GB"/>
        </w:rPr>
        <w:t>when he was only a young soldier -</w:t>
      </w:r>
      <w:r w:rsidR="009320E2" w:rsidRPr="00050DAE">
        <w:rPr>
          <w:lang w:eastAsia="en-GB"/>
        </w:rPr>
        <w:t xml:space="preserve"> </w:t>
      </w:r>
      <w:r w:rsidRPr="00050DAE">
        <w:rPr>
          <w:lang w:eastAsia="en-GB"/>
        </w:rPr>
        <w:t>(then) did (the powers) pass sentence upon him,</w:t>
      </w:r>
      <w:r w:rsidR="00254A8E" w:rsidRPr="00050DAE">
        <w:rPr>
          <w:lang w:eastAsia="en-GB"/>
        </w:rPr>
        <w:t xml:space="preserve"> </w:t>
      </w:r>
      <w:r w:rsidRPr="00050DAE">
        <w:rPr>
          <w:lang w:eastAsia="en-GB"/>
        </w:rPr>
        <w:t>on the high, noble, (young) lord;</w:t>
      </w:r>
      <w:r w:rsidR="009320E2" w:rsidRPr="00050DAE">
        <w:rPr>
          <w:lang w:eastAsia="en-GB"/>
        </w:rPr>
        <w:t xml:space="preserve"> </w:t>
      </w:r>
      <w:r w:rsidRPr="00050DAE">
        <w:rPr>
          <w:lang w:eastAsia="en-GB"/>
        </w:rPr>
        <w:t>and his god let the sentence befall him</w:t>
      </w:r>
      <w:r w:rsidR="00B37155" w:rsidRPr="00050DAE">
        <w:rPr>
          <w:lang w:eastAsia="en-GB"/>
        </w:rPr>
        <w:t>…</w:t>
      </w:r>
      <w:r w:rsidR="008301DC" w:rsidRPr="00050DAE">
        <w:rPr>
          <w:lang w:eastAsia="en-GB"/>
        </w:rPr>
        <w:t>”</w:t>
      </w:r>
      <w:r w:rsidR="003B3EFF" w:rsidRPr="00050DAE">
        <w:rPr>
          <w:rStyle w:val="FootnoteReference"/>
          <w:rFonts w:eastAsia="Times New Roman"/>
          <w:kern w:val="0"/>
          <w:szCs w:val="24"/>
          <w:lang w:eastAsia="en-GB"/>
          <w14:ligatures w14:val="none"/>
        </w:rPr>
        <w:footnoteReference w:id="48"/>
      </w:r>
    </w:p>
    <w:p w14:paraId="33B4129B" w14:textId="469DE1DF" w:rsidR="003B3EFF" w:rsidRPr="00050DAE" w:rsidRDefault="003B3EFF" w:rsidP="00EE6050">
      <w:pPr>
        <w:pStyle w:val="UWTSDindent"/>
        <w:rPr>
          <w:lang w:eastAsia="en-GB"/>
        </w:rPr>
      </w:pPr>
      <w:r w:rsidRPr="00050DAE">
        <w:rPr>
          <w:lang w:eastAsia="en-GB"/>
        </w:rPr>
        <w:t>Unfortunately, the exact understanding of the</w:t>
      </w:r>
      <w:r w:rsidR="00174BB3" w:rsidRPr="00050DAE">
        <w:rPr>
          <w:lang w:eastAsia="en-GB"/>
        </w:rPr>
        <w:t xml:space="preserve"> Mesopotamian</w:t>
      </w:r>
      <w:r w:rsidRPr="00050DAE">
        <w:rPr>
          <w:lang w:eastAsia="en-GB"/>
        </w:rPr>
        <w:t xml:space="preserve"> afterlife and the Netherworld</w:t>
      </w:r>
      <w:r w:rsidR="00404DCF" w:rsidRPr="00050DAE">
        <w:rPr>
          <w:lang w:eastAsia="en-GB"/>
        </w:rPr>
        <w:t xml:space="preserve"> exists</w:t>
      </w:r>
      <w:r w:rsidRPr="00050DAE">
        <w:rPr>
          <w:lang w:eastAsia="en-GB"/>
        </w:rPr>
        <w:t xml:space="preserve"> only in tiny fragments and when viewed over centuries, modern conceptualization is incomplete. Kramer suggests that </w:t>
      </w:r>
      <w:r w:rsidR="004F7CB8" w:rsidRPr="00050DAE">
        <w:rPr>
          <w:lang w:eastAsia="en-GB"/>
        </w:rPr>
        <w:t xml:space="preserve">while </w:t>
      </w:r>
      <w:r w:rsidR="00326E3D" w:rsidRPr="00050DAE">
        <w:rPr>
          <w:lang w:eastAsia="en-GB"/>
        </w:rPr>
        <w:t>impressions of a</w:t>
      </w:r>
      <w:r w:rsidRPr="00050DAE">
        <w:rPr>
          <w:lang w:eastAsia="en-GB"/>
        </w:rPr>
        <w:t xml:space="preserve"> Netherworld</w:t>
      </w:r>
      <w:r w:rsidR="004F7CB8" w:rsidRPr="00050DAE">
        <w:rPr>
          <w:lang w:eastAsia="en-GB"/>
        </w:rPr>
        <w:t xml:space="preserve"> are</w:t>
      </w:r>
      <w:r w:rsidRPr="00050DAE">
        <w:rPr>
          <w:lang w:eastAsia="en-GB"/>
        </w:rPr>
        <w:t>:</w:t>
      </w:r>
      <w:r w:rsidRPr="00050DAE">
        <w:rPr>
          <w:rStyle w:val="FootnoteReference"/>
          <w:rFonts w:eastAsia="Times New Roman"/>
          <w:kern w:val="0"/>
          <w:szCs w:val="24"/>
          <w:lang w:eastAsia="en-GB"/>
          <w14:ligatures w14:val="none"/>
        </w:rPr>
        <w:footnoteReference w:id="49"/>
      </w:r>
    </w:p>
    <w:p w14:paraId="1E3A8D71" w14:textId="0C0F053A" w:rsidR="007856DB" w:rsidRPr="00050DAE" w:rsidRDefault="007856DB" w:rsidP="003B3EFF">
      <w:pPr>
        <w:pStyle w:val="Quote"/>
        <w:rPr>
          <w:rStyle w:val="QuoteChar"/>
          <w:rFonts w:asciiTheme="majorBidi" w:hAnsiTheme="majorBidi" w:cstheme="majorBidi"/>
          <w:i/>
          <w:iCs/>
          <w:color w:val="auto"/>
        </w:rPr>
      </w:pPr>
      <w:r w:rsidRPr="00050DAE">
        <w:rPr>
          <w:rStyle w:val="QuoteChar"/>
          <w:rFonts w:asciiTheme="majorBidi" w:hAnsiTheme="majorBidi" w:cstheme="majorBidi"/>
          <w:i/>
          <w:iCs/>
          <w:color w:val="auto"/>
        </w:rPr>
        <w:t xml:space="preserve">dark and dreary </w:t>
      </w:r>
      <w:r w:rsidR="00326E3D" w:rsidRPr="00050DAE">
        <w:rPr>
          <w:rStyle w:val="QuoteChar"/>
          <w:rFonts w:asciiTheme="majorBidi" w:hAnsiTheme="majorBidi" w:cstheme="majorBidi"/>
          <w:i/>
          <w:iCs/>
          <w:color w:val="auto"/>
        </w:rPr>
        <w:t>…</w:t>
      </w:r>
      <w:r w:rsidRPr="00050DAE">
        <w:rPr>
          <w:rStyle w:val="QuoteChar"/>
          <w:rFonts w:asciiTheme="majorBidi" w:hAnsiTheme="majorBidi" w:cstheme="majorBidi"/>
          <w:i/>
          <w:iCs/>
          <w:color w:val="auto"/>
        </w:rPr>
        <w:t xml:space="preserve"> </w:t>
      </w:r>
      <w:r w:rsidR="004F7CB8" w:rsidRPr="00050DAE">
        <w:rPr>
          <w:rStyle w:val="QuoteChar"/>
          <w:rFonts w:asciiTheme="majorBidi" w:hAnsiTheme="majorBidi" w:cstheme="majorBidi"/>
          <w:i/>
          <w:iCs/>
          <w:color w:val="auto"/>
        </w:rPr>
        <w:t xml:space="preserve">[it] </w:t>
      </w:r>
      <w:r w:rsidRPr="00050DAE">
        <w:rPr>
          <w:rStyle w:val="QuoteChar"/>
          <w:rFonts w:asciiTheme="majorBidi" w:hAnsiTheme="majorBidi" w:cstheme="majorBidi"/>
          <w:i/>
          <w:iCs/>
          <w:color w:val="auto"/>
        </w:rPr>
        <w:t xml:space="preserve">would seem to be true only of </w:t>
      </w:r>
      <w:r w:rsidR="008301DC" w:rsidRPr="00050DAE">
        <w:rPr>
          <w:rStyle w:val="QuoteChar"/>
          <w:rFonts w:asciiTheme="majorBidi" w:hAnsiTheme="majorBidi" w:cstheme="majorBidi"/>
          <w:i/>
          <w:iCs/>
          <w:color w:val="auto"/>
        </w:rPr>
        <w:t>“</w:t>
      </w:r>
      <w:r w:rsidR="008454E6" w:rsidRPr="00050DAE">
        <w:rPr>
          <w:rStyle w:val="QuoteChar"/>
          <w:rFonts w:asciiTheme="majorBidi" w:hAnsiTheme="majorBidi" w:cstheme="majorBidi"/>
          <w:i/>
          <w:iCs/>
          <w:color w:val="auto"/>
        </w:rPr>
        <w:t>daytime</w:t>
      </w:r>
      <w:r w:rsidR="008301DC" w:rsidRPr="00050DAE">
        <w:rPr>
          <w:rStyle w:val="QuoteChar"/>
          <w:rFonts w:asciiTheme="majorBidi" w:hAnsiTheme="majorBidi" w:cstheme="majorBidi"/>
          <w:i/>
          <w:iCs/>
          <w:color w:val="auto"/>
        </w:rPr>
        <w:t>”</w:t>
      </w:r>
      <w:r w:rsidR="008454E6" w:rsidRPr="00050DAE">
        <w:rPr>
          <w:rStyle w:val="QuoteChar"/>
          <w:rFonts w:asciiTheme="majorBidi" w:hAnsiTheme="majorBidi" w:cstheme="majorBidi"/>
          <w:i/>
          <w:iCs/>
          <w:color w:val="auto"/>
        </w:rPr>
        <w:t xml:space="preserve"> …</w:t>
      </w:r>
      <w:r w:rsidRPr="00050DAE">
        <w:rPr>
          <w:rStyle w:val="QuoteChar"/>
          <w:rFonts w:asciiTheme="majorBidi" w:hAnsiTheme="majorBidi" w:cstheme="majorBidi"/>
          <w:i/>
          <w:iCs/>
          <w:color w:val="auto"/>
        </w:rPr>
        <w:t xml:space="preserve"> at </w:t>
      </w:r>
      <w:r w:rsidR="008301DC" w:rsidRPr="00050DAE">
        <w:rPr>
          <w:rStyle w:val="QuoteChar"/>
          <w:rFonts w:asciiTheme="majorBidi" w:hAnsiTheme="majorBidi" w:cstheme="majorBidi"/>
          <w:i/>
          <w:iCs/>
          <w:color w:val="auto"/>
        </w:rPr>
        <w:t>“</w:t>
      </w:r>
      <w:r w:rsidRPr="00050DAE">
        <w:rPr>
          <w:rStyle w:val="QuoteChar"/>
          <w:rFonts w:asciiTheme="majorBidi" w:hAnsiTheme="majorBidi" w:cstheme="majorBidi"/>
          <w:i/>
          <w:iCs/>
          <w:color w:val="auto"/>
        </w:rPr>
        <w:t>night</w:t>
      </w:r>
      <w:r w:rsidR="008301DC" w:rsidRPr="00050DAE">
        <w:rPr>
          <w:rStyle w:val="QuoteChar"/>
          <w:rFonts w:asciiTheme="majorBidi" w:hAnsiTheme="majorBidi" w:cstheme="majorBidi"/>
          <w:i/>
          <w:iCs/>
          <w:color w:val="auto"/>
        </w:rPr>
        <w:t>”</w:t>
      </w:r>
      <w:r w:rsidRPr="00050DAE">
        <w:rPr>
          <w:rStyle w:val="QuoteChar"/>
          <w:rFonts w:asciiTheme="majorBidi" w:hAnsiTheme="majorBidi" w:cstheme="majorBidi"/>
          <w:i/>
          <w:iCs/>
          <w:color w:val="auto"/>
        </w:rPr>
        <w:t xml:space="preserve"> the sun brought light to it, and on the last day of the month it was even joined by the moon. The deceased were not treated all alike; there was a judgement of the dead by Utu and to a certain extent even by Nanna, and if the judgement was favourable, presumably the dead man</w:t>
      </w:r>
      <w:r w:rsidR="008301DC" w:rsidRPr="00050DAE">
        <w:rPr>
          <w:rStyle w:val="QuoteChar"/>
          <w:rFonts w:asciiTheme="majorBidi" w:hAnsiTheme="majorBidi" w:cstheme="majorBidi"/>
          <w:i/>
          <w:iCs/>
          <w:color w:val="auto"/>
        </w:rPr>
        <w:t>’</w:t>
      </w:r>
      <w:r w:rsidRPr="00050DAE">
        <w:rPr>
          <w:rStyle w:val="QuoteChar"/>
          <w:rFonts w:asciiTheme="majorBidi" w:hAnsiTheme="majorBidi" w:cstheme="majorBidi"/>
          <w:i/>
          <w:iCs/>
          <w:color w:val="auto"/>
        </w:rPr>
        <w:t xml:space="preserve">s soul would live in happiness and contentment, and have all its </w:t>
      </w:r>
      <w:r w:rsidR="008301DC" w:rsidRPr="00050DAE">
        <w:rPr>
          <w:rStyle w:val="QuoteChar"/>
          <w:rFonts w:asciiTheme="majorBidi" w:hAnsiTheme="majorBidi" w:cstheme="majorBidi"/>
          <w:i/>
          <w:iCs/>
          <w:color w:val="auto"/>
        </w:rPr>
        <w:t>“</w:t>
      </w:r>
      <w:r w:rsidRPr="00050DAE">
        <w:rPr>
          <w:rStyle w:val="QuoteChar"/>
          <w:rFonts w:asciiTheme="majorBidi" w:hAnsiTheme="majorBidi" w:cstheme="majorBidi"/>
          <w:i/>
          <w:iCs/>
          <w:color w:val="auto"/>
        </w:rPr>
        <w:t>heart desires</w:t>
      </w:r>
      <w:r w:rsidR="00BB18ED" w:rsidRPr="00050DAE">
        <w:rPr>
          <w:rStyle w:val="QuoteChar"/>
          <w:rFonts w:asciiTheme="majorBidi" w:hAnsiTheme="majorBidi" w:cstheme="majorBidi"/>
          <w:i/>
          <w:iCs/>
          <w:color w:val="auto"/>
        </w:rPr>
        <w:t>”</w:t>
      </w:r>
    </w:p>
    <w:p w14:paraId="02AA3DBC" w14:textId="6E0590BD" w:rsidR="007856DB" w:rsidRPr="00050DAE" w:rsidRDefault="00ED11FE" w:rsidP="000634E2">
      <w:pPr>
        <w:pStyle w:val="Heading2"/>
        <w:rPr>
          <w:rFonts w:asciiTheme="majorBidi" w:hAnsiTheme="majorBidi"/>
          <w:color w:val="auto"/>
        </w:rPr>
      </w:pPr>
      <w:bookmarkStart w:id="50" w:name="_Toc234140234"/>
      <w:bookmarkStart w:id="51" w:name="_Toc234140485"/>
      <w:bookmarkStart w:id="52" w:name="_Toc234143665"/>
      <w:bookmarkStart w:id="53" w:name="_Toc234154294"/>
      <w:r w:rsidRPr="00050DAE">
        <w:rPr>
          <w:rFonts w:asciiTheme="majorBidi" w:hAnsiTheme="majorBidi"/>
          <w:color w:val="auto"/>
        </w:rPr>
        <w:t>1.</w:t>
      </w:r>
      <w:r w:rsidR="002B57FC" w:rsidRPr="00050DAE">
        <w:rPr>
          <w:rFonts w:asciiTheme="majorBidi" w:hAnsiTheme="majorBidi"/>
          <w:color w:val="auto"/>
        </w:rPr>
        <w:t>4</w:t>
      </w:r>
      <w:r w:rsidR="007856DB" w:rsidRPr="00050DAE">
        <w:rPr>
          <w:rFonts w:asciiTheme="majorBidi" w:hAnsiTheme="majorBidi"/>
          <w:color w:val="auto"/>
        </w:rPr>
        <w:t xml:space="preserve"> Fragmentation</w:t>
      </w:r>
      <w:bookmarkEnd w:id="50"/>
      <w:bookmarkEnd w:id="51"/>
      <w:bookmarkEnd w:id="52"/>
      <w:bookmarkEnd w:id="53"/>
    </w:p>
    <w:p w14:paraId="3026AA1F" w14:textId="6441A977" w:rsidR="00BB3024" w:rsidRPr="00050DAE" w:rsidRDefault="00BB3024" w:rsidP="00BB3024">
      <w:pPr>
        <w:pStyle w:val="UWTSDindent"/>
      </w:pPr>
      <w:r w:rsidRPr="00050DAE">
        <w:t>The same qualities that made Inanna adaptable across multiple political and religious settings also complicated the preservation of a single stable identity.</w:t>
      </w:r>
      <w:r w:rsidRPr="00050DAE">
        <w:rPr>
          <w:rStyle w:val="FootnoteReference"/>
        </w:rPr>
        <w:footnoteReference w:id="50"/>
      </w:r>
      <w:r w:rsidRPr="00050DAE">
        <w:t xml:space="preserve"> Even at the peak of early worship of the pre-Ištar form of Inanna, there were local variations. For example, in Kish, she was called Inanna-GAR. In other cities, she bore epithets with the city or regional names such as in the case of Inanna-Zabala.</w:t>
      </w:r>
      <w:r w:rsidRPr="00050DAE">
        <w:rPr>
          <w:rStyle w:val="FootnoteReference"/>
        </w:rPr>
        <w:t xml:space="preserve"> </w:t>
      </w:r>
      <w:r w:rsidRPr="00050DAE">
        <w:rPr>
          <w:rStyle w:val="FootnoteReference"/>
        </w:rPr>
        <w:footnoteReference w:id="51"/>
      </w:r>
    </w:p>
    <w:p w14:paraId="351882AD" w14:textId="0C866950" w:rsidR="00BB3024" w:rsidRPr="00050DAE" w:rsidRDefault="00BB3024" w:rsidP="00BB3024">
      <w:pPr>
        <w:pStyle w:val="UWTSDindent"/>
      </w:pPr>
      <w:r w:rsidRPr="00050DAE">
        <w:t xml:space="preserve">As political authority and legal </w:t>
      </w:r>
      <w:r w:rsidR="00262E8E" w:rsidRPr="00050DAE">
        <w:t>governance</w:t>
      </w:r>
      <w:r w:rsidRPr="00050DAE">
        <w:t xml:space="preserve"> became increasingly </w:t>
      </w:r>
      <w:r w:rsidR="007D6735" w:rsidRPr="00050DAE">
        <w:t>centralised</w:t>
      </w:r>
      <w:r w:rsidRPr="00050DAE">
        <w:t>, Inanna-Ištar appear</w:t>
      </w:r>
      <w:r w:rsidR="00DE1475" w:rsidRPr="00050DAE">
        <w:t>s</w:t>
      </w:r>
      <w:r w:rsidRPr="00050DAE">
        <w:t xml:space="preserve"> to place greater emphasis on mediation, hierarchy, and regulated divine order.</w:t>
      </w:r>
      <w:r w:rsidRPr="00050DAE">
        <w:rPr>
          <w:rStyle w:val="FootnoteReference"/>
        </w:rPr>
        <w:footnoteReference w:id="52"/>
      </w:r>
      <w:r w:rsidRPr="00050DAE">
        <w:t xml:space="preserve"> The shift from Inanna to Ištar reflects changing political and theological contexts rather than the emergence of an entirely new divine figure.</w:t>
      </w:r>
      <w:r w:rsidRPr="00050DAE">
        <w:rPr>
          <w:rStyle w:val="FootnoteReference"/>
        </w:rPr>
        <w:footnoteReference w:id="53"/>
      </w:r>
    </w:p>
    <w:p w14:paraId="580F0D31" w14:textId="0B99BC86" w:rsidR="000634E2" w:rsidRPr="00050DAE" w:rsidRDefault="00BB3024" w:rsidP="00BB3024">
      <w:pPr>
        <w:pStyle w:val="UWTSDindent"/>
      </w:pPr>
      <w:r w:rsidRPr="00050DAE">
        <w:t>From the earliest material onward, volatility and liminality remain central to Inanna</w:t>
      </w:r>
      <w:r w:rsidR="008301DC" w:rsidRPr="00050DAE">
        <w:t>’</w:t>
      </w:r>
      <w:r w:rsidRPr="00050DAE">
        <w:t xml:space="preserve">s </w:t>
      </w:r>
      <w:r w:rsidR="00D60948" w:rsidRPr="00050DAE">
        <w:t>characterisation</w:t>
      </w:r>
      <w:r w:rsidRPr="00050DAE">
        <w:t xml:space="preserve">. Urban life, kingship, cult administration, erotic sovereignty, violence, and death are intertwined from the beginning, while later traditions reorganize these characteristics within new political and theological </w:t>
      </w:r>
      <w:r w:rsidR="00C0249D" w:rsidRPr="00050DAE">
        <w:t>governance</w:t>
      </w:r>
      <w:r w:rsidRPr="00050DAE">
        <w:t xml:space="preserve"> rather than replacing them. </w:t>
      </w:r>
      <w:r w:rsidR="000634E2" w:rsidRPr="00050DAE">
        <w:t>Understanding this origin is essential in understanding everything that follows.</w:t>
      </w:r>
    </w:p>
    <w:p w14:paraId="2CF1E21E" w14:textId="77777777" w:rsidR="000634E2" w:rsidRPr="00050DAE" w:rsidRDefault="000634E2" w:rsidP="000634E2">
      <w:pPr>
        <w:rPr>
          <w:rFonts w:asciiTheme="majorBidi" w:hAnsiTheme="majorBidi" w:cstheme="majorBidi"/>
        </w:rPr>
      </w:pPr>
    </w:p>
    <w:p w14:paraId="3983E32F" w14:textId="77777777" w:rsidR="00D5107C" w:rsidRPr="00050DAE" w:rsidRDefault="00D5107C">
      <w:pPr>
        <w:rPr>
          <w:rFonts w:asciiTheme="majorBidi" w:eastAsiaTheme="majorEastAsia" w:hAnsiTheme="majorBidi" w:cstheme="majorBidi"/>
          <w:sz w:val="40"/>
          <w:szCs w:val="40"/>
        </w:rPr>
      </w:pPr>
      <w:r w:rsidRPr="00050DAE">
        <w:rPr>
          <w:rFonts w:asciiTheme="majorBidi" w:hAnsiTheme="majorBidi" w:cstheme="majorBidi"/>
        </w:rPr>
        <w:br w:type="page"/>
      </w:r>
    </w:p>
    <w:p w14:paraId="18B8FEBB" w14:textId="43E8153F" w:rsidR="000634E2" w:rsidRPr="00050DAE" w:rsidRDefault="00801A6D" w:rsidP="00801A6D">
      <w:pPr>
        <w:pStyle w:val="Heading1"/>
        <w:rPr>
          <w:rFonts w:asciiTheme="majorBidi" w:hAnsiTheme="majorBidi"/>
          <w:color w:val="auto"/>
        </w:rPr>
      </w:pPr>
      <w:bookmarkStart w:id="54" w:name="_Toc234140235"/>
      <w:bookmarkStart w:id="55" w:name="_Toc234140486"/>
      <w:bookmarkStart w:id="56" w:name="_Toc234143666"/>
      <w:bookmarkStart w:id="57" w:name="_Toc234154295"/>
      <w:bookmarkStart w:id="58" w:name="_Toc234154366"/>
      <w:r w:rsidRPr="00050DAE">
        <w:rPr>
          <w:rFonts w:asciiTheme="majorBidi" w:hAnsiTheme="majorBidi"/>
          <w:color w:val="auto"/>
        </w:rPr>
        <w:t xml:space="preserve">Chapter 2. </w:t>
      </w:r>
      <w:r w:rsidR="002D0060" w:rsidRPr="00050DAE">
        <w:rPr>
          <w:rFonts w:asciiTheme="majorBidi" w:hAnsiTheme="majorBidi"/>
          <w:color w:val="auto"/>
        </w:rPr>
        <w:t>Ištar</w:t>
      </w:r>
      <w:bookmarkEnd w:id="54"/>
      <w:bookmarkEnd w:id="55"/>
      <w:bookmarkEnd w:id="56"/>
      <w:bookmarkEnd w:id="57"/>
      <w:bookmarkEnd w:id="58"/>
    </w:p>
    <w:p w14:paraId="4DBEE2EF" w14:textId="3E92DD4E" w:rsidR="001D749D" w:rsidRPr="00050DAE" w:rsidRDefault="00330906" w:rsidP="001D749D">
      <w:pPr>
        <w:pStyle w:val="Heading2"/>
        <w:rPr>
          <w:rFonts w:asciiTheme="majorBidi" w:eastAsia="Times New Roman" w:hAnsiTheme="majorBidi"/>
          <w:color w:val="auto"/>
          <w:lang w:eastAsia="en-GB"/>
        </w:rPr>
      </w:pPr>
      <w:bookmarkStart w:id="59" w:name="_Toc234140236"/>
      <w:bookmarkStart w:id="60" w:name="_Toc234140487"/>
      <w:bookmarkStart w:id="61" w:name="_Toc234143667"/>
      <w:bookmarkStart w:id="62" w:name="_Toc234154296"/>
      <w:r w:rsidRPr="00050DAE">
        <w:rPr>
          <w:rFonts w:asciiTheme="majorBidi" w:eastAsia="Times New Roman" w:hAnsiTheme="majorBidi"/>
          <w:color w:val="auto"/>
          <w:lang w:eastAsia="en-GB"/>
        </w:rPr>
        <w:t>2</w:t>
      </w:r>
      <w:r w:rsidR="001D749D" w:rsidRPr="00050DAE">
        <w:rPr>
          <w:rFonts w:asciiTheme="majorBidi" w:eastAsia="Times New Roman" w:hAnsiTheme="majorBidi"/>
          <w:color w:val="auto"/>
          <w:lang w:eastAsia="en-GB"/>
        </w:rPr>
        <w:t>.</w:t>
      </w:r>
      <w:r w:rsidRPr="00050DAE">
        <w:rPr>
          <w:rFonts w:asciiTheme="majorBidi" w:eastAsia="Times New Roman" w:hAnsiTheme="majorBidi"/>
          <w:color w:val="auto"/>
          <w:lang w:eastAsia="en-GB"/>
        </w:rPr>
        <w:t>1</w:t>
      </w:r>
      <w:r w:rsidR="001D749D" w:rsidRPr="00050DAE">
        <w:rPr>
          <w:rFonts w:asciiTheme="majorBidi" w:eastAsia="Times New Roman" w:hAnsiTheme="majorBidi"/>
          <w:color w:val="auto"/>
          <w:lang w:eastAsia="en-GB"/>
        </w:rPr>
        <w:t xml:space="preserve"> Transformation and Continuity</w:t>
      </w:r>
      <w:bookmarkEnd w:id="59"/>
      <w:bookmarkEnd w:id="60"/>
      <w:bookmarkEnd w:id="61"/>
      <w:bookmarkEnd w:id="62"/>
    </w:p>
    <w:p w14:paraId="5495E2CF" w14:textId="753DFB4B" w:rsidR="005E3B6D" w:rsidRPr="00050DAE" w:rsidRDefault="00174BB3" w:rsidP="006565EE">
      <w:pPr>
        <w:pStyle w:val="UWTSDindent"/>
        <w:rPr>
          <w:lang w:eastAsia="en-GB"/>
        </w:rPr>
      </w:pPr>
      <w:r w:rsidRPr="00050DAE">
        <w:t xml:space="preserve">Like Inanna, Ištar is not a single, stable figure, but a composite divine authority articulated over hundreds of years through multiple literary and theological </w:t>
      </w:r>
      <w:r w:rsidR="00C90DDC" w:rsidRPr="00050DAE">
        <w:t>transformations</w:t>
      </w:r>
      <w:r w:rsidRPr="00050DAE">
        <w:t xml:space="preserve">. </w:t>
      </w:r>
      <w:r w:rsidR="00B64986" w:rsidRPr="00050DAE">
        <w:t xml:space="preserve">Taken together, these sources trace the expansion of </w:t>
      </w:r>
      <w:r w:rsidR="006565EE" w:rsidRPr="00050DAE">
        <w:t xml:space="preserve">Ištar from localized cultic expressions into a far broader divine figure whose connections to warfare, kingship, sexuality, and cosmic order become increasingly elaborate, systematized, and occasionally unstable. </w:t>
      </w:r>
      <w:r w:rsidR="00896730" w:rsidRPr="00050DAE">
        <w:rPr>
          <w:lang w:eastAsia="en-GB"/>
        </w:rPr>
        <w:t>T</w:t>
      </w:r>
      <w:r w:rsidR="00D27CE8" w:rsidRPr="00050DAE">
        <w:rPr>
          <w:lang w:eastAsia="en-GB"/>
        </w:rPr>
        <w:t xml:space="preserve">he origin and history of Ištar remain a </w:t>
      </w:r>
      <w:r w:rsidR="003C7602" w:rsidRPr="00050DAE">
        <w:rPr>
          <w:lang w:eastAsia="en-GB"/>
        </w:rPr>
        <w:t>mystery</w:t>
      </w:r>
      <w:r w:rsidR="00D27CE8" w:rsidRPr="00050DAE">
        <w:rPr>
          <w:lang w:eastAsia="en-GB"/>
        </w:rPr>
        <w:t xml:space="preserve">. </w:t>
      </w:r>
      <w:r w:rsidR="00DB0939" w:rsidRPr="00050DAE">
        <w:rPr>
          <w:lang w:eastAsia="en-GB"/>
        </w:rPr>
        <w:t>Though</w:t>
      </w:r>
      <w:r w:rsidR="00D27CE8" w:rsidRPr="00050DAE">
        <w:rPr>
          <w:lang w:eastAsia="en-GB"/>
        </w:rPr>
        <w:t xml:space="preserve"> Ištar is often considered Akkadian, archaeological evidence from the Temple to Ištar in Ashur suggests an Early Dynastic </w:t>
      </w:r>
      <w:r w:rsidR="007B3ED7" w:rsidRPr="00050DAE">
        <w:rPr>
          <w:lang w:eastAsia="en-GB"/>
        </w:rPr>
        <w:t xml:space="preserve">I </w:t>
      </w:r>
      <w:r w:rsidR="005E3B6D" w:rsidRPr="00050DAE">
        <w:rPr>
          <w:lang w:eastAsia="en-GB"/>
        </w:rPr>
        <w:t>origin</w:t>
      </w:r>
      <w:r w:rsidR="00D27CE8" w:rsidRPr="00050DAE">
        <w:rPr>
          <w:lang w:eastAsia="en-GB"/>
        </w:rPr>
        <w:t xml:space="preserve"> </w:t>
      </w:r>
      <w:r w:rsidR="007B3ED7" w:rsidRPr="00050DAE">
        <w:rPr>
          <w:lang w:eastAsia="en-GB"/>
        </w:rPr>
        <w:t>between 2896–2702 cal</w:t>
      </w:r>
      <w:r w:rsidR="00467014" w:rsidRPr="00050DAE">
        <w:rPr>
          <w:lang w:eastAsia="en-GB"/>
        </w:rPr>
        <w:t xml:space="preserve">. </w:t>
      </w:r>
      <w:r w:rsidR="007B3ED7" w:rsidRPr="00050DAE">
        <w:rPr>
          <w:lang w:eastAsia="en-GB"/>
        </w:rPr>
        <w:t>BCE</w:t>
      </w:r>
      <w:r w:rsidR="00D27CE8" w:rsidRPr="00050DAE">
        <w:rPr>
          <w:lang w:eastAsia="en-GB"/>
        </w:rPr>
        <w:t>.</w:t>
      </w:r>
      <w:r w:rsidR="00D27CE8" w:rsidRPr="00050DAE">
        <w:rPr>
          <w:rStyle w:val="FootnoteReference"/>
          <w:lang w:eastAsia="en-GB"/>
        </w:rPr>
        <w:footnoteReference w:id="54"/>
      </w:r>
    </w:p>
    <w:p w14:paraId="00C30994" w14:textId="34616754" w:rsidR="00471C25" w:rsidRPr="00050DAE" w:rsidRDefault="001873A7" w:rsidP="00EE6050">
      <w:pPr>
        <w:pStyle w:val="UWTSDindent"/>
        <w:rPr>
          <w:lang w:eastAsia="en-GB"/>
        </w:rPr>
      </w:pPr>
      <w:r w:rsidRPr="00050DAE">
        <w:rPr>
          <w:lang w:eastAsia="en-GB"/>
        </w:rPr>
        <w:t>T</w:t>
      </w:r>
      <w:r w:rsidR="0008738F" w:rsidRPr="00050DAE">
        <w:rPr>
          <w:lang w:eastAsia="en-GB"/>
        </w:rPr>
        <w:t xml:space="preserve">he boundaries between Ištar and Inanna are so blurred that scholars such as Jacobsen note the impossibility of determining </w:t>
      </w:r>
      <w:r w:rsidR="00197C9C" w:rsidRPr="00050DAE">
        <w:rPr>
          <w:lang w:eastAsia="en-GB"/>
        </w:rPr>
        <w:t xml:space="preserve">an origin and </w:t>
      </w:r>
      <w:r w:rsidR="0008738F" w:rsidRPr="00050DAE">
        <w:rPr>
          <w:lang w:eastAsia="en-GB"/>
        </w:rPr>
        <w:t>a clear separation</w:t>
      </w:r>
      <w:r w:rsidR="00906E65" w:rsidRPr="00050DAE">
        <w:rPr>
          <w:lang w:eastAsia="en-GB"/>
        </w:rPr>
        <w:t>.</w:t>
      </w:r>
      <w:r w:rsidR="00906E65" w:rsidRPr="00050DAE">
        <w:rPr>
          <w:rStyle w:val="FootnoteReference"/>
          <w:lang w:eastAsia="en-GB"/>
        </w:rPr>
        <w:footnoteReference w:id="55"/>
      </w:r>
      <w:r w:rsidR="00906E65" w:rsidRPr="00050DAE">
        <w:rPr>
          <w:lang w:eastAsia="en-GB"/>
        </w:rPr>
        <w:t xml:space="preserve"> </w:t>
      </w:r>
      <w:r w:rsidRPr="00050DAE">
        <w:rPr>
          <w:lang w:eastAsia="en-GB"/>
        </w:rPr>
        <w:t>Haupt asserts that rather than initially being the name of a goddess, “Ištar” is a title similar to “Baal,” which is “an old feminine form of Aššur,” meaning to be “kindly and benevolent.”</w:t>
      </w:r>
      <w:r w:rsidRPr="00050DAE">
        <w:rPr>
          <w:rStyle w:val="FootnoteReference"/>
          <w:lang w:eastAsia="en-GB"/>
        </w:rPr>
        <w:footnoteReference w:id="56"/>
      </w:r>
      <w:r w:rsidRPr="00050DAE">
        <w:rPr>
          <w:lang w:eastAsia="en-GB"/>
        </w:rPr>
        <w:t xml:space="preserve"> </w:t>
      </w:r>
      <w:r w:rsidR="00197C9C" w:rsidRPr="00050DAE">
        <w:rPr>
          <w:lang w:eastAsia="en-GB"/>
        </w:rPr>
        <w:t>Parpola supports the argument of Ištar as a manifestation of Aššur.</w:t>
      </w:r>
      <w:r w:rsidR="00197C9C" w:rsidRPr="00050DAE">
        <w:rPr>
          <w:rStyle w:val="FootnoteReference"/>
          <w:lang w:eastAsia="en-GB"/>
        </w:rPr>
        <w:footnoteReference w:id="57"/>
      </w:r>
      <w:r w:rsidR="00197C9C" w:rsidRPr="00050DAE">
        <w:rPr>
          <w:lang w:eastAsia="en-GB"/>
        </w:rPr>
        <w:t xml:space="preserve"> </w:t>
      </w:r>
      <w:r w:rsidR="00906E65" w:rsidRPr="00050DAE">
        <w:rPr>
          <w:lang w:eastAsia="en-GB"/>
        </w:rPr>
        <w:t xml:space="preserve">Harris notes that </w:t>
      </w:r>
      <w:r w:rsidR="008301DC" w:rsidRPr="00050DAE">
        <w:rPr>
          <w:lang w:eastAsia="en-GB"/>
        </w:rPr>
        <w:t>“</w:t>
      </w:r>
      <w:r w:rsidR="00906E65" w:rsidRPr="00050DAE">
        <w:t xml:space="preserve">The history of the syncretism and fusion of the Sumerian Inanna with the Akkadian </w:t>
      </w:r>
      <w:r w:rsidR="00276FD5" w:rsidRPr="00050DAE">
        <w:t>Ištar</w:t>
      </w:r>
      <w:r w:rsidR="00906E65" w:rsidRPr="00050DAE">
        <w:t xml:space="preserve"> is complex and problematic.</w:t>
      </w:r>
      <w:r w:rsidR="008301DC" w:rsidRPr="00050DAE">
        <w:rPr>
          <w:lang w:eastAsia="en-GB"/>
        </w:rPr>
        <w:t>”</w:t>
      </w:r>
      <w:r w:rsidR="003E7D77" w:rsidRPr="00050DAE">
        <w:rPr>
          <w:rStyle w:val="FootnoteReference"/>
          <w:lang w:eastAsia="en-GB"/>
        </w:rPr>
        <w:footnoteReference w:id="58"/>
      </w:r>
      <w:r w:rsidR="003E7D77" w:rsidRPr="00050DAE">
        <w:rPr>
          <w:lang w:eastAsia="en-GB"/>
        </w:rPr>
        <w:t xml:space="preserve"> Considering the Temple evidence, it appears that for some extended period, Inanna and Ištar may have coexisted independently.</w:t>
      </w:r>
    </w:p>
    <w:p w14:paraId="2F14CE68" w14:textId="0B24263A" w:rsidR="001B6996" w:rsidRPr="00050DAE" w:rsidRDefault="001D749D" w:rsidP="00EE6050">
      <w:pPr>
        <w:pStyle w:val="UWTSDindent"/>
        <w:rPr>
          <w:lang w:eastAsia="en-GB"/>
        </w:rPr>
      </w:pPr>
      <w:r w:rsidRPr="00050DAE">
        <w:rPr>
          <w:lang w:eastAsia="en-GB"/>
        </w:rPr>
        <w:t xml:space="preserve">During the Ur III period (c. 2112-2004 BCE), sacred marriage and royal </w:t>
      </w:r>
      <w:r w:rsidR="00254A8E" w:rsidRPr="00050DAE">
        <w:rPr>
          <w:lang w:eastAsia="en-GB"/>
        </w:rPr>
        <w:t xml:space="preserve">hymnographies </w:t>
      </w:r>
      <w:r w:rsidRPr="00050DAE">
        <w:rPr>
          <w:lang w:eastAsia="en-GB"/>
        </w:rPr>
        <w:t>intensified, formalizing Inanna</w:t>
      </w:r>
      <w:r w:rsidR="008301DC" w:rsidRPr="00050DAE">
        <w:rPr>
          <w:lang w:eastAsia="en-GB"/>
        </w:rPr>
        <w:t>’</w:t>
      </w:r>
      <w:r w:rsidRPr="00050DAE">
        <w:rPr>
          <w:lang w:eastAsia="en-GB"/>
        </w:rPr>
        <w:t>s relationship to sovereignty and to fertility.</w:t>
      </w:r>
      <w:r w:rsidR="001B6996" w:rsidRPr="00050DAE">
        <w:rPr>
          <w:rStyle w:val="FootnoteReference"/>
          <w:rFonts w:eastAsia="Times New Roman"/>
          <w:kern w:val="0"/>
          <w:szCs w:val="24"/>
          <w:lang w:eastAsia="en-GB"/>
          <w14:ligatures w14:val="none"/>
        </w:rPr>
        <w:footnoteReference w:id="59"/>
      </w:r>
      <w:r w:rsidR="001B6996" w:rsidRPr="00050DAE">
        <w:rPr>
          <w:lang w:eastAsia="en-GB"/>
        </w:rPr>
        <w:t xml:space="preserve"> During this period, Sargon of Akkad (2334-2279 BCE) founded the Akkadian dynasty. </w:t>
      </w:r>
      <w:r w:rsidR="0008738F" w:rsidRPr="00050DAE">
        <w:rPr>
          <w:lang w:eastAsia="en-GB"/>
        </w:rPr>
        <w:t xml:space="preserve">Having worked as a gardener and believing that his devotion to Ištar had facilitated his rise to kingship, Sargon </w:t>
      </w:r>
      <w:r w:rsidR="001B6996" w:rsidRPr="00050DAE">
        <w:rPr>
          <w:lang w:eastAsia="en-GB"/>
        </w:rPr>
        <w:t xml:space="preserve">elevates Ištar </w:t>
      </w:r>
      <w:r w:rsidR="008301DC" w:rsidRPr="00050DAE">
        <w:rPr>
          <w:lang w:eastAsia="en-GB"/>
        </w:rPr>
        <w:t>“</w:t>
      </w:r>
      <w:r w:rsidR="001B6996" w:rsidRPr="00050DAE">
        <w:rPr>
          <w:lang w:eastAsia="en-GB"/>
        </w:rPr>
        <w:t>as the main referent of the Mesopotamian pantheon.</w:t>
      </w:r>
      <w:r w:rsidR="008301DC" w:rsidRPr="00050DAE">
        <w:rPr>
          <w:lang w:eastAsia="en-GB"/>
        </w:rPr>
        <w:t>”</w:t>
      </w:r>
      <w:r w:rsidR="001B6996" w:rsidRPr="00050DAE">
        <w:rPr>
          <w:rStyle w:val="FootnoteReference"/>
          <w:rFonts w:eastAsia="Times New Roman"/>
          <w:kern w:val="0"/>
          <w:szCs w:val="24"/>
          <w:lang w:eastAsia="en-GB"/>
          <w14:ligatures w14:val="none"/>
        </w:rPr>
        <w:footnoteReference w:id="60"/>
      </w:r>
      <w:r w:rsidR="001B6996" w:rsidRPr="00050DAE">
        <w:rPr>
          <w:lang w:eastAsia="en-GB"/>
        </w:rPr>
        <w:t xml:space="preserve"> Enheduana, the gifted poet and daughter of Sargon, in addition to being a priestess of the moon god Nanna, championed Inanna-Ištar with at least forty-two hymns, establishing </w:t>
      </w:r>
      <w:r w:rsidR="008301DC" w:rsidRPr="00050DAE">
        <w:rPr>
          <w:lang w:eastAsia="en-GB"/>
        </w:rPr>
        <w:t>“</w:t>
      </w:r>
      <w:r w:rsidR="001B6996" w:rsidRPr="00050DAE">
        <w:rPr>
          <w:lang w:eastAsia="en-GB"/>
        </w:rPr>
        <w:t>Inanna as the caretaker of the universe and a ruling goddess.</w:t>
      </w:r>
      <w:r w:rsidR="008301DC" w:rsidRPr="00050DAE">
        <w:rPr>
          <w:lang w:eastAsia="en-GB"/>
        </w:rPr>
        <w:t>”</w:t>
      </w:r>
      <w:r w:rsidR="001B6996" w:rsidRPr="00050DAE">
        <w:rPr>
          <w:rStyle w:val="FootnoteReference"/>
          <w:rFonts w:eastAsia="Times New Roman"/>
          <w:kern w:val="0"/>
          <w:szCs w:val="24"/>
          <w:lang w:eastAsia="en-GB"/>
          <w14:ligatures w14:val="none"/>
        </w:rPr>
        <w:footnoteReference w:id="61"/>
      </w:r>
      <w:r w:rsidR="001B6996" w:rsidRPr="00050DAE">
        <w:rPr>
          <w:lang w:eastAsia="en-GB"/>
        </w:rPr>
        <w:t xml:space="preserve"> Enheduana</w:t>
      </w:r>
      <w:r w:rsidR="008301DC" w:rsidRPr="00050DAE">
        <w:rPr>
          <w:lang w:eastAsia="en-GB"/>
        </w:rPr>
        <w:t>’</w:t>
      </w:r>
      <w:r w:rsidR="001B6996" w:rsidRPr="00050DAE">
        <w:rPr>
          <w:lang w:eastAsia="en-GB"/>
        </w:rPr>
        <w:t xml:space="preserve">s </w:t>
      </w:r>
      <w:r w:rsidR="001B6996" w:rsidRPr="00050DAE">
        <w:rPr>
          <w:i/>
          <w:iCs/>
          <w:lang w:eastAsia="en-GB"/>
        </w:rPr>
        <w:t>Temple Hymns</w:t>
      </w:r>
      <w:r w:rsidR="001B6996" w:rsidRPr="00050DAE">
        <w:rPr>
          <w:lang w:eastAsia="en-GB"/>
        </w:rPr>
        <w:t xml:space="preserve"> became so important, that they remained in use for hundreds of years and were incorporated into </w:t>
      </w:r>
      <w:r w:rsidR="008301DC" w:rsidRPr="00050DAE">
        <w:rPr>
          <w:lang w:eastAsia="en-GB"/>
        </w:rPr>
        <w:t>“</w:t>
      </w:r>
      <w:r w:rsidR="001B6996" w:rsidRPr="00050DAE">
        <w:rPr>
          <w:lang w:eastAsia="en-GB"/>
        </w:rPr>
        <w:t>the literary canon of Ancient Babylonia.</w:t>
      </w:r>
      <w:r w:rsidR="008301DC" w:rsidRPr="00050DAE">
        <w:rPr>
          <w:lang w:eastAsia="en-GB"/>
        </w:rPr>
        <w:t>”</w:t>
      </w:r>
      <w:r w:rsidR="001B6996" w:rsidRPr="00050DAE">
        <w:rPr>
          <w:rStyle w:val="FootnoteReference"/>
          <w:rFonts w:eastAsia="Times New Roman"/>
          <w:kern w:val="0"/>
          <w:szCs w:val="24"/>
          <w:lang w:eastAsia="en-GB"/>
          <w14:ligatures w14:val="none"/>
        </w:rPr>
        <w:footnoteReference w:id="62"/>
      </w:r>
    </w:p>
    <w:p w14:paraId="4A138B32" w14:textId="34E95E0B" w:rsidR="00254A8E" w:rsidRPr="00050DAE" w:rsidRDefault="00980766" w:rsidP="00EE6050">
      <w:pPr>
        <w:pStyle w:val="UWTSDindent"/>
        <w:rPr>
          <w:lang w:eastAsia="en-GB"/>
        </w:rPr>
      </w:pPr>
      <w:r w:rsidRPr="00050DAE">
        <w:rPr>
          <w:lang w:eastAsia="en-GB"/>
        </w:rPr>
        <w:t xml:space="preserve">In trying to determine when Inanna and Ištar became a composite, </w:t>
      </w:r>
      <w:r w:rsidR="00254A8E" w:rsidRPr="00050DAE">
        <w:rPr>
          <w:lang w:eastAsia="en-GB"/>
        </w:rPr>
        <w:t xml:space="preserve">Matsushima explains one complication </w:t>
      </w:r>
      <w:r w:rsidRPr="00050DAE">
        <w:rPr>
          <w:lang w:eastAsia="en-GB"/>
        </w:rPr>
        <w:t>is that</w:t>
      </w:r>
      <w:r w:rsidR="00326F36" w:rsidRPr="00050DAE">
        <w:rPr>
          <w:lang w:eastAsia="en-GB"/>
        </w:rPr>
        <w:t>:</w:t>
      </w:r>
      <w:r w:rsidR="00254A8E" w:rsidRPr="00050DAE">
        <w:rPr>
          <w:rStyle w:val="FootnoteReference"/>
          <w:lang w:eastAsia="en-GB"/>
        </w:rPr>
        <w:footnoteReference w:id="63"/>
      </w:r>
    </w:p>
    <w:p w14:paraId="6ACFE649" w14:textId="32665C6E" w:rsidR="00254A8E" w:rsidRPr="00050DAE" w:rsidRDefault="00254A8E" w:rsidP="00254A8E">
      <w:pPr>
        <w:pStyle w:val="Quote"/>
        <w:rPr>
          <w:rFonts w:asciiTheme="majorBidi" w:hAnsiTheme="majorBidi" w:cstheme="majorBidi"/>
          <w:color w:val="auto"/>
        </w:rPr>
      </w:pPr>
      <w:r w:rsidRPr="00050DAE">
        <w:rPr>
          <w:rFonts w:asciiTheme="majorBidi" w:hAnsiTheme="majorBidi" w:cstheme="majorBidi"/>
          <w:color w:val="auto"/>
        </w:rPr>
        <w:t xml:space="preserve">in Akkadian texts, ištar(u) may be either a proper name or a common noun that simply means </w:t>
      </w:r>
      <w:r w:rsidR="008301DC" w:rsidRPr="00050DAE">
        <w:rPr>
          <w:rFonts w:asciiTheme="majorBidi" w:hAnsiTheme="majorBidi" w:cstheme="majorBidi"/>
          <w:color w:val="auto"/>
        </w:rPr>
        <w:t>“</w:t>
      </w:r>
      <w:r w:rsidRPr="00050DAE">
        <w:rPr>
          <w:rFonts w:asciiTheme="majorBidi" w:hAnsiTheme="majorBidi" w:cstheme="majorBidi"/>
          <w:color w:val="auto"/>
        </w:rPr>
        <w:t>goddess.</w:t>
      </w:r>
      <w:r w:rsidR="008301DC" w:rsidRPr="00050DAE">
        <w:rPr>
          <w:rFonts w:asciiTheme="majorBidi" w:hAnsiTheme="majorBidi" w:cstheme="majorBidi"/>
          <w:color w:val="auto"/>
        </w:rPr>
        <w:t>”</w:t>
      </w:r>
      <w:r w:rsidRPr="00050DAE">
        <w:rPr>
          <w:rFonts w:asciiTheme="majorBidi" w:hAnsiTheme="majorBidi" w:cstheme="majorBidi"/>
          <w:color w:val="auto"/>
        </w:rPr>
        <w:t xml:space="preserve"> Furthermore, as the cuneiform scripts for the proper name Ištar are the same for the common noun ištaru, only the context enables us to distinguish one from the other.</w:t>
      </w:r>
    </w:p>
    <w:p w14:paraId="006C5D25" w14:textId="144DFC08" w:rsidR="001058BE" w:rsidRPr="00050DAE" w:rsidRDefault="00C84915" w:rsidP="001058BE">
      <w:pPr>
        <w:pStyle w:val="UWTSDindent"/>
        <w:ind w:firstLine="0"/>
      </w:pPr>
      <w:r w:rsidRPr="00050DAE">
        <w:t>Anthonioz concurs and extends his evaluation by stating that he is unsure whether the name of the goddess or the meaning of the word came first</w:t>
      </w:r>
      <w:r w:rsidR="00393BDA" w:rsidRPr="00050DAE">
        <w:t>.</w:t>
      </w:r>
      <w:r w:rsidR="00393BDA" w:rsidRPr="00050DAE">
        <w:rPr>
          <w:rStyle w:val="FootnoteReference"/>
          <w:szCs w:val="24"/>
        </w:rPr>
        <w:footnoteReference w:id="64"/>
      </w:r>
      <w:r w:rsidR="00393BDA" w:rsidRPr="00050DAE">
        <w:t xml:space="preserve"> </w:t>
      </w:r>
    </w:p>
    <w:p w14:paraId="1FC0CD4F" w14:textId="4427D00F" w:rsidR="00FC4310" w:rsidRDefault="00980766" w:rsidP="00EE6050">
      <w:pPr>
        <w:pStyle w:val="UWTSDindent"/>
      </w:pPr>
      <w:r w:rsidRPr="00050DAE">
        <w:t>While Inanna</w:t>
      </w:r>
      <w:r w:rsidR="008301DC" w:rsidRPr="00050DAE">
        <w:t>’</w:t>
      </w:r>
      <w:r w:rsidRPr="00050DAE">
        <w:t>s name and attributes transform in the Akkadian context, her structural core identity remains stable.</w:t>
      </w:r>
      <w:r w:rsidRPr="00050DAE">
        <w:rPr>
          <w:rStyle w:val="FootnoteReference"/>
          <w:szCs w:val="24"/>
        </w:rPr>
        <w:footnoteReference w:id="65"/>
      </w:r>
      <w:r w:rsidRPr="00050DAE">
        <w:t xml:space="preserve"> </w:t>
      </w:r>
      <w:r w:rsidR="00913CD3" w:rsidRPr="00050DAE">
        <w:t xml:space="preserve">Across the Akkadian </w:t>
      </w:r>
      <w:r w:rsidR="00DE1475" w:rsidRPr="00050DAE">
        <w:t>texts</w:t>
      </w:r>
      <w:r w:rsidR="00913CD3" w:rsidRPr="00050DAE">
        <w:t>, Ištar retains many of the functions already associated with Inanna, including warfare, fertility, sexuality, sacred kingship, healing, and magic.</w:t>
      </w:r>
      <w:r w:rsidR="0075227D" w:rsidRPr="00050DAE">
        <w:rPr>
          <w:rStyle w:val="FootnoteReference"/>
          <w:szCs w:val="24"/>
        </w:rPr>
        <w:footnoteReference w:id="66"/>
      </w:r>
      <w:r w:rsidR="002879EE" w:rsidRPr="00050DAE">
        <w:t xml:space="preserve"> She </w:t>
      </w:r>
      <w:r w:rsidR="00B5588C" w:rsidRPr="00050DAE">
        <w:t>repeatedly appears as a</w:t>
      </w:r>
      <w:r w:rsidR="0075227D" w:rsidRPr="00050DAE">
        <w:t xml:space="preserve"> goddess of order and</w:t>
      </w:r>
      <w:r w:rsidR="002879EE" w:rsidRPr="00050DAE">
        <w:t xml:space="preserve"> </w:t>
      </w:r>
      <w:r w:rsidR="00B85852" w:rsidRPr="00050DAE">
        <w:t>a goddess of chaos</w:t>
      </w:r>
      <w:r w:rsidR="00950448" w:rsidRPr="00050DAE">
        <w:t>.</w:t>
      </w:r>
      <w:r w:rsidR="0075227D" w:rsidRPr="00050DAE">
        <w:rPr>
          <w:rStyle w:val="FootnoteReference"/>
          <w:szCs w:val="24"/>
        </w:rPr>
        <w:footnoteReference w:id="67"/>
      </w:r>
      <w:r w:rsidR="00950448" w:rsidRPr="00050DAE">
        <w:t xml:space="preserve"> </w:t>
      </w:r>
      <w:r w:rsidR="00913CD3" w:rsidRPr="00050DAE">
        <w:t xml:space="preserve">Her association with warfare becomes especially pronounced in later Akkadian material, where battle itself is sometimes described as </w:t>
      </w:r>
      <w:r w:rsidR="008301DC" w:rsidRPr="00050DAE">
        <w:t>“</w:t>
      </w:r>
      <w:r w:rsidR="00913CD3" w:rsidRPr="00050DAE">
        <w:t>the playground of Ištar.</w:t>
      </w:r>
      <w:r w:rsidR="008301DC" w:rsidRPr="00050DAE">
        <w:t>”</w:t>
      </w:r>
      <w:r w:rsidR="00FC4310" w:rsidRPr="00050DAE">
        <w:rPr>
          <w:rStyle w:val="FootnoteReference"/>
          <w:szCs w:val="24"/>
        </w:rPr>
        <w:footnoteReference w:id="68"/>
      </w:r>
      <w:r w:rsidR="00F71EB0" w:rsidRPr="00050DAE">
        <w:t xml:space="preserve"> Oppenheim describes Ištar as possessing </w:t>
      </w:r>
      <w:r w:rsidR="008301DC" w:rsidRPr="00050DAE">
        <w:t>“</w:t>
      </w:r>
      <w:r w:rsidR="00F71EB0" w:rsidRPr="00050DAE">
        <w:t>divine qualities which are extremely difficult to characterize.</w:t>
      </w:r>
      <w:r w:rsidR="008301DC" w:rsidRPr="00050DAE">
        <w:t>”</w:t>
      </w:r>
      <w:r w:rsidR="00F71EB0" w:rsidRPr="00050DAE">
        <w:rPr>
          <w:rStyle w:val="FootnoteReference"/>
          <w:szCs w:val="24"/>
        </w:rPr>
        <w:footnoteReference w:id="69"/>
      </w:r>
    </w:p>
    <w:p w14:paraId="4756BC32" w14:textId="77777777" w:rsidR="009D2921" w:rsidRPr="00050DAE" w:rsidRDefault="009D2921" w:rsidP="009D2921">
      <w:pPr>
        <w:pStyle w:val="UWTSDindent"/>
      </w:pPr>
      <w:r w:rsidRPr="00050DAE">
        <w:t>As Mesopotamian political authority expanded, the increasingly syncretized Inanna-Ištar composite spreads across the region, often under the celestial title “Queen of Heaven.”</w:t>
      </w:r>
      <w:r w:rsidRPr="00050DAE">
        <w:rPr>
          <w:rStyle w:val="FootnoteReference"/>
          <w:szCs w:val="24"/>
        </w:rPr>
        <w:footnoteReference w:id="70"/>
      </w:r>
      <w:r w:rsidRPr="00050DAE">
        <w:t xml:space="preserve"> This wider geographical and political reach coincided with literary works that increasingly emphasised her volatility, particularly in relation to warfare, rage, and erotic coercion.</w:t>
      </w:r>
      <w:r w:rsidRPr="00050DAE">
        <w:rPr>
          <w:rStyle w:val="FootnoteReference"/>
          <w:szCs w:val="24"/>
        </w:rPr>
        <w:footnoteReference w:id="71"/>
      </w:r>
      <w:r w:rsidRPr="00050DAE">
        <w:t xml:space="preserve"> This emphasis is especially visible in the iconographic record, where Ištar is often depicted armed and standing upon or surrounded by lions.</w:t>
      </w:r>
      <w:r w:rsidRPr="00050DAE">
        <w:rPr>
          <w:rStyle w:val="FootnoteReference"/>
          <w:szCs w:val="24"/>
        </w:rPr>
        <w:footnoteReference w:id="72"/>
      </w:r>
      <w:r w:rsidRPr="00050DAE">
        <w:t xml:space="preserve"> Early depictions of Inanna-Ištar present her as “a long-haired woman wearing a horned headdress and a long robe” and, in many cases, carrying weapons on her back, which “signify her character as the goddess of war.”</w:t>
      </w:r>
      <w:r w:rsidRPr="00050DAE">
        <w:rPr>
          <w:rStyle w:val="FootnoteReference"/>
          <w:szCs w:val="24"/>
        </w:rPr>
        <w:footnoteReference w:id="73"/>
      </w:r>
    </w:p>
    <w:p w14:paraId="591CCA6E" w14:textId="77777777" w:rsidR="009D2921" w:rsidRPr="00050DAE" w:rsidRDefault="009D2921" w:rsidP="00EE6050">
      <w:pPr>
        <w:pStyle w:val="UWTSDindent"/>
      </w:pPr>
    </w:p>
    <w:p w14:paraId="16989D07" w14:textId="77777777" w:rsidR="00BC28FC" w:rsidRPr="00050DAE" w:rsidRDefault="00BC28FC" w:rsidP="002169FA">
      <w:pPr>
        <w:pStyle w:val="UWTSDindent"/>
        <w:jc w:val="center"/>
      </w:pPr>
      <w:r w:rsidRPr="00050DAE">
        <w:rPr>
          <w:noProof/>
        </w:rPr>
        <w:drawing>
          <wp:inline distT="0" distB="0" distL="0" distR="0" wp14:anchorId="335CCD89" wp14:editId="400D0AEE">
            <wp:extent cx="1946630" cy="2767519"/>
            <wp:effectExtent l="0" t="0" r="0" b="0"/>
            <wp:docPr id="6296952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36730" name="Picture 863336730"/>
                    <pic:cNvPicPr/>
                  </pic:nvPicPr>
                  <pic:blipFill rotWithShape="1">
                    <a:blip r:embed="rId29" cstate="print">
                      <a:extLst>
                        <a:ext uri="{BEBA8EAE-BF5A-486C-A8C5-ECC9F3942E4B}">
                          <a14:imgProps xmlns:a14="http://schemas.microsoft.com/office/drawing/2010/main">
                            <a14:imgLayer r:embed="rId30">
                              <a14:imgEffect>
                                <a14:backgroundRemoval t="894" b="99553" l="847" r="96610">
                                  <a14:foregroundMark x1="11864" y1="95231" x2="6568" y2="12817"/>
                                  <a14:foregroundMark x1="6568" y1="12817" x2="28390" y2="6408"/>
                                  <a14:foregroundMark x1="28390" y1="6408" x2="61229" y2="5961"/>
                                  <a14:foregroundMark x1="61229" y1="5961" x2="85169" y2="8942"/>
                                  <a14:foregroundMark x1="85169" y1="8942" x2="86864" y2="22802"/>
                                  <a14:foregroundMark x1="86864" y1="22802" x2="86441" y2="23845"/>
                                  <a14:foregroundMark x1="89831" y1="19225" x2="84534" y2="4173"/>
                                  <a14:foregroundMark x1="84534" y1="4173" x2="62288" y2="4769"/>
                                  <a14:foregroundMark x1="62288" y1="4769" x2="62288" y2="4769"/>
                                  <a14:foregroundMark x1="10381" y1="97466" x2="39619" y2="95976"/>
                                  <a14:foregroundMark x1="49153" y1="93443" x2="60805" y2="90164"/>
                                  <a14:foregroundMark x1="60805" y1="90164" x2="66949" y2="86438"/>
                                  <a14:foregroundMark x1="78602" y1="97019" x2="57839" y2="96274"/>
                                  <a14:foregroundMark x1="44492" y1="92101" x2="44068" y2="91952"/>
                                  <a14:foregroundMark x1="57839" y1="96274" x2="49153" y2="93443"/>
                                  <a14:foregroundMark x1="8686" y1="97317" x2="3602" y2="9836"/>
                                  <a14:foregroundMark x1="3602" y1="9836" x2="8263" y2="8346"/>
                                  <a14:foregroundMark x1="2754" y1="23249" x2="3602" y2="9538"/>
                                  <a14:foregroundMark x1="3602" y1="9538" x2="13136" y2="5365"/>
                                  <a14:foregroundMark x1="37712" y1="98808" x2="12500" y2="99106"/>
                                  <a14:foregroundMark x1="12500" y1="99106" x2="7415" y2="96423"/>
                                  <a14:foregroundMark x1="91525" y1="19076" x2="95127" y2="4620"/>
                                  <a14:foregroundMark x1="95127" y1="4620" x2="81780" y2="2534"/>
                                  <a14:foregroundMark x1="80932" y1="2385" x2="72669" y2="2086"/>
                                  <a14:foregroundMark x1="82839" y1="1639" x2="75212" y2="2235"/>
                                  <a14:foregroundMark x1="78602" y1="1937" x2="88559" y2="1043"/>
                                  <a14:foregroundMark x1="86229" y1="1341" x2="76907" y2="1937"/>
                                  <a14:foregroundMark x1="66949" y1="2534" x2="55932" y2="3428"/>
                                  <a14:foregroundMark x1="74788" y1="2086" x2="73941" y2="2235"/>
                                  <a14:foregroundMark x1="2331" y1="20417" x2="6992" y2="6259"/>
                                  <a14:foregroundMark x1="6992" y1="6259" x2="13983" y2="5365"/>
                                  <a14:foregroundMark x1="1907" y1="19821" x2="6144" y2="5812"/>
                                  <a14:foregroundMark x1="6144" y1="5812" x2="7627" y2="5663"/>
                                  <a14:foregroundMark x1="1271" y1="16393" x2="2331" y2="9836"/>
                                  <a14:foregroundMark x1="45551" y1="4173" x2="31780" y2="4322"/>
                                  <a14:foregroundMark x1="42585" y1="3279" x2="71822" y2="1788"/>
                                  <a14:foregroundMark x1="71822" y1="1788" x2="72246" y2="1788"/>
                                  <a14:foregroundMark x1="14831" y1="99404" x2="31780" y2="99702"/>
                                  <a14:foregroundMark x1="94915" y1="3130" x2="89619" y2="2385"/>
                                  <a14:foregroundMark x1="17797" y1="5663" x2="35805" y2="4620"/>
                                  <a14:foregroundMark x1="96822" y1="4918" x2="92585" y2="3875"/>
                                  <a14:foregroundMark x1="25847" y1="4769" x2="17161" y2="5067"/>
                                  <a14:foregroundMark x1="4025" y1="8495" x2="6568" y2="5812"/>
                                  <a14:foregroundMark x1="1483" y1="12519" x2="4025" y2="7303"/>
                                  <a14:backgroundMark x1="47458" y1="97168" x2="45339" y2="97615"/>
                                  <a14:backgroundMark x1="40466" y1="98659" x2="48093" y2="98212"/>
                                  <a14:backgroundMark x1="47881" y1="98957" x2="44915" y2="97168"/>
                                  <a14:backgroundMark x1="40466" y1="98808" x2="48729" y2="97019"/>
                                  <a14:backgroundMark x1="45975" y1="94188" x2="39619" y2="98808"/>
                                  <a14:backgroundMark x1="39619" y1="98808" x2="40890" y2="95827"/>
                                  <a14:backgroundMark x1="39407" y1="96274" x2="39407" y2="96274"/>
                                  <a14:backgroundMark x1="39619" y1="96274" x2="40042" y2="95678"/>
                                  <a14:backgroundMark x1="47034" y1="97019" x2="44703" y2="94635"/>
                                  <a14:backgroundMark x1="47246" y1="96423" x2="45551" y2="94188"/>
                                  <a14:backgroundMark x1="48729" y1="96423" x2="45763" y2="93592"/>
                                  <a14:backgroundMark x1="47458" y1="94784" x2="46186" y2="93592"/>
                                  <a14:backgroundMark x1="47034" y1="94784" x2="47881" y2="94784"/>
                                  <a14:backgroundMark x1="48093" y1="94784" x2="45551" y2="92996"/>
                                  <a14:backgroundMark x1="45551" y1="93443" x2="47034" y2="94188"/>
                                  <a14:backgroundMark x1="46186" y1="93145" x2="46186" y2="93145"/>
                                  <a14:backgroundMark x1="39195" y1="96274" x2="39195" y2="96274"/>
                                  <a14:backgroundMark x1="38983" y1="96870" x2="39619" y2="95827"/>
                                  <a14:backgroundMark x1="47246" y1="94039" x2="44915" y2="9269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962208" cy="2789666"/>
                    </a:xfrm>
                    <a:prstGeom prst="rect">
                      <a:avLst/>
                    </a:prstGeom>
                    <a:ln>
                      <a:noFill/>
                    </a:ln>
                    <a:extLst>
                      <a:ext uri="{53640926-AAD7-44D8-BBD7-CCE9431645EC}">
                        <a14:shadowObscured xmlns:a14="http://schemas.microsoft.com/office/drawing/2010/main"/>
                      </a:ext>
                    </a:extLst>
                  </pic:spPr>
                </pic:pic>
              </a:graphicData>
            </a:graphic>
          </wp:inline>
        </w:drawing>
      </w:r>
    </w:p>
    <w:p w14:paraId="13466EA9" w14:textId="148A83CB" w:rsidR="00272CFF" w:rsidRPr="00050DAE" w:rsidRDefault="00BC28FC" w:rsidP="00BC28FC">
      <w:pPr>
        <w:pStyle w:val="Caption"/>
        <w:jc w:val="center"/>
        <w:rPr>
          <w:rFonts w:asciiTheme="majorBidi" w:hAnsiTheme="majorBidi" w:cstheme="majorBidi"/>
          <w:color w:val="auto"/>
        </w:rPr>
      </w:pPr>
      <w:r w:rsidRPr="00050DAE">
        <w:rPr>
          <w:rFonts w:asciiTheme="majorBidi" w:hAnsiTheme="majorBidi" w:cstheme="majorBidi"/>
          <w:color w:val="auto"/>
        </w:rPr>
        <w:t xml:space="preserve">Figure </w:t>
      </w:r>
      <w:r w:rsidR="002F398F" w:rsidRPr="00050DAE">
        <w:rPr>
          <w:rFonts w:asciiTheme="majorBidi" w:hAnsiTheme="majorBidi" w:cstheme="majorBidi"/>
          <w:color w:val="auto"/>
        </w:rPr>
        <w:fldChar w:fldCharType="begin"/>
      </w:r>
      <w:r w:rsidR="002F398F" w:rsidRPr="00050DAE">
        <w:rPr>
          <w:rFonts w:asciiTheme="majorBidi" w:hAnsiTheme="majorBidi" w:cstheme="majorBidi"/>
          <w:color w:val="auto"/>
        </w:rPr>
        <w:instrText xml:space="preserve"> SEQ Figure \* ARABIC </w:instrText>
      </w:r>
      <w:r w:rsidR="002F398F" w:rsidRPr="00050DAE">
        <w:rPr>
          <w:rFonts w:asciiTheme="majorBidi" w:hAnsiTheme="majorBidi" w:cstheme="majorBidi"/>
          <w:color w:val="auto"/>
        </w:rPr>
        <w:fldChar w:fldCharType="separate"/>
      </w:r>
      <w:r w:rsidR="009D2921">
        <w:rPr>
          <w:rFonts w:asciiTheme="majorBidi" w:hAnsiTheme="majorBidi" w:cstheme="majorBidi"/>
          <w:noProof/>
          <w:color w:val="auto"/>
        </w:rPr>
        <w:t>5</w:t>
      </w:r>
      <w:r w:rsidR="002F398F" w:rsidRPr="00050DAE">
        <w:rPr>
          <w:rFonts w:asciiTheme="majorBidi" w:hAnsiTheme="majorBidi" w:cstheme="majorBidi"/>
          <w:color w:val="auto"/>
        </w:rPr>
        <w:fldChar w:fldCharType="end"/>
      </w:r>
      <w:r w:rsidRPr="00050DAE">
        <w:rPr>
          <w:rFonts w:asciiTheme="majorBidi" w:hAnsiTheme="majorBidi" w:cstheme="majorBidi"/>
          <w:color w:val="auto"/>
        </w:rPr>
        <w:t xml:space="preserve"> </w:t>
      </w:r>
      <w:r w:rsidR="007D6735" w:rsidRPr="00050DAE">
        <w:rPr>
          <w:rFonts w:asciiTheme="majorBidi" w:hAnsiTheme="majorBidi" w:cstheme="majorBidi"/>
          <w:color w:val="auto"/>
        </w:rPr>
        <w:t>Terracotta plaque of Ištar standing on a lion, with Venus iconography in the upper right.</w:t>
      </w:r>
      <w:r w:rsidRPr="00050DAE">
        <w:rPr>
          <w:rStyle w:val="FootnoteReference"/>
          <w:rFonts w:asciiTheme="majorBidi" w:hAnsiTheme="majorBidi" w:cstheme="majorBidi"/>
          <w:color w:val="auto"/>
        </w:rPr>
        <w:footnoteReference w:id="74"/>
      </w:r>
    </w:p>
    <w:p w14:paraId="4C3F2E9E" w14:textId="2280D067" w:rsidR="001B6996" w:rsidRPr="00050DAE" w:rsidRDefault="00B73905" w:rsidP="00EE6050">
      <w:pPr>
        <w:pStyle w:val="UWTSDindent"/>
      </w:pPr>
      <w:r w:rsidRPr="00050DAE">
        <w:t xml:space="preserve">In battle, </w:t>
      </w:r>
      <w:r w:rsidR="001568F3" w:rsidRPr="00050DAE">
        <w:t>Ištar</w:t>
      </w:r>
      <w:r w:rsidRPr="00050DAE">
        <w:t xml:space="preserve"> </w:t>
      </w:r>
      <w:r w:rsidR="00C83036" w:rsidRPr="00050DAE">
        <w:t xml:space="preserve">flies </w:t>
      </w:r>
      <w:r w:rsidR="008301DC" w:rsidRPr="00050DAE">
        <w:t>“</w:t>
      </w:r>
      <w:r w:rsidRPr="00050DAE">
        <w:t>around like a swallow,</w:t>
      </w:r>
      <w:r w:rsidR="008301DC" w:rsidRPr="00050DAE">
        <w:t>”</w:t>
      </w:r>
      <w:r w:rsidRPr="00050DAE">
        <w:t xml:space="preserve"> and </w:t>
      </w:r>
      <w:r w:rsidR="001568F3" w:rsidRPr="00050DAE">
        <w:t xml:space="preserve">she offers her protection with </w:t>
      </w:r>
      <w:r w:rsidR="008301DC" w:rsidRPr="00050DAE">
        <w:t>“</w:t>
      </w:r>
      <w:r w:rsidR="001568F3" w:rsidRPr="00050DAE">
        <w:t>I am your father and mother.</w:t>
      </w:r>
      <w:r w:rsidR="009320E2" w:rsidRPr="00050DAE">
        <w:t xml:space="preserve"> </w:t>
      </w:r>
      <w:r w:rsidR="001568F3" w:rsidRPr="00050DAE">
        <w:t>Between my wings I have brought you up.</w:t>
      </w:r>
      <w:r w:rsidR="008301DC" w:rsidRPr="00050DAE">
        <w:t>”</w:t>
      </w:r>
      <w:r w:rsidR="001568F3" w:rsidRPr="00050DAE">
        <w:rPr>
          <w:rStyle w:val="FootnoteReference"/>
          <w:szCs w:val="24"/>
        </w:rPr>
        <w:footnoteReference w:id="75"/>
      </w:r>
      <w:r w:rsidR="001568F3" w:rsidRPr="00050DAE">
        <w:t xml:space="preserve"> </w:t>
      </w:r>
      <w:r w:rsidR="00913CD3" w:rsidRPr="00050DAE">
        <w:t xml:space="preserve">Although some references to flight may remain symbolic, later Akkadian </w:t>
      </w:r>
      <w:r w:rsidR="00DE1475" w:rsidRPr="00050DAE">
        <w:t>representations</w:t>
      </w:r>
      <w:r w:rsidR="00913CD3" w:rsidRPr="00050DAE">
        <w:t xml:space="preserve"> increasingly </w:t>
      </w:r>
      <w:r w:rsidR="00C020C4" w:rsidRPr="00050DAE">
        <w:t>emphasise</w:t>
      </w:r>
      <w:r w:rsidR="00913CD3" w:rsidRPr="00050DAE">
        <w:t xml:space="preserve"> winged imagery as part of Ištar</w:t>
      </w:r>
      <w:r w:rsidR="008301DC" w:rsidRPr="00050DAE">
        <w:t>’</w:t>
      </w:r>
      <w:r w:rsidR="00913CD3" w:rsidRPr="00050DAE">
        <w:t>s divine iconography.</w:t>
      </w:r>
      <w:r w:rsidR="001227E7" w:rsidRPr="00050DAE">
        <w:rPr>
          <w:rStyle w:val="FootnoteReference"/>
          <w:szCs w:val="24"/>
        </w:rPr>
        <w:footnoteReference w:id="76"/>
      </w:r>
    </w:p>
    <w:p w14:paraId="38189D48" w14:textId="42B8FE6C" w:rsidR="001B6996" w:rsidRPr="00050DAE" w:rsidRDefault="001B6996" w:rsidP="00EE6050">
      <w:pPr>
        <w:pStyle w:val="UWTSDindent"/>
      </w:pPr>
      <w:r w:rsidRPr="00050DAE">
        <w:t>Even though Inanna</w:t>
      </w:r>
      <w:r w:rsidR="001058BE" w:rsidRPr="00050DAE">
        <w:t>-Ištar</w:t>
      </w:r>
      <w:r w:rsidR="008301DC" w:rsidRPr="00050DAE">
        <w:t>’</w:t>
      </w:r>
      <w:r w:rsidRPr="00050DAE">
        <w:t>s internal logic remains stable, the interpretive strategies applied to her evolve.</w:t>
      </w:r>
      <w:r w:rsidRPr="00050DAE">
        <w:rPr>
          <w:rStyle w:val="FootnoteReference"/>
          <w:szCs w:val="24"/>
        </w:rPr>
        <w:footnoteReference w:id="77"/>
      </w:r>
      <w:r w:rsidRPr="00050DAE">
        <w:t xml:space="preserve"> </w:t>
      </w:r>
      <w:r w:rsidR="00913CD3" w:rsidRPr="00050DAE">
        <w:t xml:space="preserve">Neo-Assyrian </w:t>
      </w:r>
      <w:r w:rsidR="005D2188" w:rsidRPr="00050DAE">
        <w:t>treatments</w:t>
      </w:r>
      <w:r w:rsidR="00913CD3" w:rsidRPr="00050DAE">
        <w:t xml:space="preserve"> further </w:t>
      </w:r>
      <w:r w:rsidR="005D2188" w:rsidRPr="00050DAE">
        <w:t>underscore</w:t>
      </w:r>
      <w:r w:rsidR="00913CD3" w:rsidRPr="00050DAE">
        <w:t xml:space="preserve"> these themes, presenting Ištar through increasingly imperial and locally differentiated forms.</w:t>
      </w:r>
      <w:r w:rsidRPr="00050DAE">
        <w:rPr>
          <w:rStyle w:val="FootnoteReference"/>
          <w:szCs w:val="24"/>
        </w:rPr>
        <w:footnoteReference w:id="78"/>
      </w:r>
      <w:r w:rsidRPr="00050DAE">
        <w:t xml:space="preserve"> This is most notable in the cult</w:t>
      </w:r>
      <w:r w:rsidR="00393BDA" w:rsidRPr="00050DAE">
        <w:t>s</w:t>
      </w:r>
      <w:r w:rsidRPr="00050DAE">
        <w:t xml:space="preserve"> of the martial </w:t>
      </w:r>
      <w:r w:rsidR="004F3A17" w:rsidRPr="00050DAE">
        <w:t xml:space="preserve">Ištar </w:t>
      </w:r>
      <w:r w:rsidRPr="00050DAE">
        <w:t>of Arbela</w:t>
      </w:r>
      <w:r w:rsidR="00393BDA" w:rsidRPr="00050DAE">
        <w:t xml:space="preserve">, of Nineveh, of Assur, </w:t>
      </w:r>
      <w:r w:rsidR="00150135" w:rsidRPr="00050DAE">
        <w:t xml:space="preserve">of Babylon, </w:t>
      </w:r>
      <w:r w:rsidR="00393BDA" w:rsidRPr="00050DAE">
        <w:t xml:space="preserve">and </w:t>
      </w:r>
      <w:r w:rsidR="00150135" w:rsidRPr="00050DAE">
        <w:t xml:space="preserve">of </w:t>
      </w:r>
      <w:r w:rsidR="00393BDA" w:rsidRPr="00050DAE">
        <w:t>Mari</w:t>
      </w:r>
      <w:r w:rsidRPr="00050DAE">
        <w:t>.</w:t>
      </w:r>
      <w:r w:rsidRPr="00050DAE">
        <w:rPr>
          <w:rStyle w:val="FootnoteReference"/>
          <w:szCs w:val="24"/>
        </w:rPr>
        <w:footnoteReference w:id="79"/>
      </w:r>
      <w:r w:rsidRPr="00050DAE">
        <w:t xml:space="preserve"> </w:t>
      </w:r>
      <w:r w:rsidR="00AF08E1" w:rsidRPr="00050DAE">
        <w:t xml:space="preserve">Although these local manifestations preserve core associations with kingship, warfare, and divine authority, each </w:t>
      </w:r>
      <w:r w:rsidR="00C020C4" w:rsidRPr="00050DAE">
        <w:t>emphasise</w:t>
      </w:r>
      <w:r w:rsidR="00AF08E1" w:rsidRPr="00050DAE">
        <w:t>s different aspects of the goddess</w:t>
      </w:r>
      <w:r w:rsidR="008301DC" w:rsidRPr="00050DAE">
        <w:t>’</w:t>
      </w:r>
      <w:r w:rsidR="00AF08E1" w:rsidRPr="00050DAE">
        <w:t>s character.</w:t>
      </w:r>
      <w:r w:rsidR="004F3A17" w:rsidRPr="00050DAE">
        <w:t xml:space="preserve"> For example, </w:t>
      </w:r>
      <w:r w:rsidR="00FF1886" w:rsidRPr="00050DAE">
        <w:t xml:space="preserve">the </w:t>
      </w:r>
      <w:r w:rsidR="004F3A17" w:rsidRPr="00050DAE">
        <w:t>Ištar of Arbela</w:t>
      </w:r>
      <w:r w:rsidR="00150135" w:rsidRPr="00050DAE">
        <w:t xml:space="preserve"> </w:t>
      </w:r>
      <w:r w:rsidR="00FF1886" w:rsidRPr="00050DAE">
        <w:t>and the Ištar of Nineveh are</w:t>
      </w:r>
      <w:r w:rsidR="004F3A17" w:rsidRPr="00050DAE">
        <w:t xml:space="preserve"> the source</w:t>
      </w:r>
      <w:r w:rsidR="00FF1886" w:rsidRPr="00050DAE">
        <w:t>s</w:t>
      </w:r>
      <w:r w:rsidR="004F3A17" w:rsidRPr="00050DAE">
        <w:t xml:space="preserve"> of </w:t>
      </w:r>
      <w:r w:rsidRPr="00050DAE">
        <w:t>royal prophetic discourse preserved from the reign of Esarhaddon, articulat</w:t>
      </w:r>
      <w:r w:rsidR="004F3A17" w:rsidRPr="00050DAE">
        <w:t>ing and affirming</w:t>
      </w:r>
      <w:r w:rsidR="00FF1886" w:rsidRPr="00050DAE">
        <w:t xml:space="preserve"> </w:t>
      </w:r>
      <w:r w:rsidR="004F3A17" w:rsidRPr="00050DAE">
        <w:t>royal authority as it aligns with</w:t>
      </w:r>
      <w:r w:rsidRPr="00050DAE">
        <w:t xml:space="preserve"> the goddess</w:t>
      </w:r>
      <w:r w:rsidR="008301DC" w:rsidRPr="00050DAE">
        <w:t>’</w:t>
      </w:r>
      <w:r w:rsidRPr="00050DAE">
        <w:t>s will.</w:t>
      </w:r>
      <w:r w:rsidRPr="00050DAE">
        <w:rPr>
          <w:rStyle w:val="FootnoteReference"/>
          <w:szCs w:val="24"/>
        </w:rPr>
        <w:footnoteReference w:id="80"/>
      </w:r>
    </w:p>
    <w:p w14:paraId="4B473034" w14:textId="39E2FE2A" w:rsidR="00EB4BC4" w:rsidRPr="00050DAE" w:rsidRDefault="00A831DC" w:rsidP="00A831DC">
      <w:pPr>
        <w:pStyle w:val="UWTSDindent"/>
        <w:rPr>
          <w:lang w:eastAsia="en-GB"/>
        </w:rPr>
      </w:pPr>
      <w:r w:rsidRPr="00050DAE">
        <w:t>Inanna-Ištar</w:t>
      </w:r>
      <w:r w:rsidR="008301DC" w:rsidRPr="00050DAE">
        <w:t>’</w:t>
      </w:r>
      <w:r w:rsidRPr="00050DAE">
        <w:t>s cult</w:t>
      </w:r>
      <w:r w:rsidR="005D2188" w:rsidRPr="00050DAE">
        <w:t xml:space="preserve">ic </w:t>
      </w:r>
      <w:r w:rsidR="00262E8E" w:rsidRPr="00050DAE">
        <w:t>institutions</w:t>
      </w:r>
      <w:r w:rsidR="005D2188" w:rsidRPr="00050DAE">
        <w:t xml:space="preserve"> </w:t>
      </w:r>
      <w:r w:rsidRPr="00050DAE">
        <w:t>became increasingly intertwined with imperial administration, state ritual, and royal ideology,</w:t>
      </w:r>
      <w:r w:rsidR="0076289F" w:rsidRPr="00050DAE">
        <w:rPr>
          <w:lang w:eastAsia="en-GB"/>
        </w:rPr>
        <w:t xml:space="preserve"> </w:t>
      </w:r>
      <w:r w:rsidRPr="00050DAE">
        <w:rPr>
          <w:lang w:eastAsia="en-GB"/>
        </w:rPr>
        <w:t>highlighted by</w:t>
      </w:r>
      <w:r w:rsidR="001B6996" w:rsidRPr="00050DAE">
        <w:rPr>
          <w:lang w:eastAsia="en-GB"/>
        </w:rPr>
        <w:t xml:space="preserve"> state festivals and </w:t>
      </w:r>
      <w:r w:rsidR="00262E8E" w:rsidRPr="00050DAE">
        <w:rPr>
          <w:lang w:eastAsia="en-GB"/>
        </w:rPr>
        <w:t>ritual calendars</w:t>
      </w:r>
      <w:r w:rsidR="001B6996" w:rsidRPr="00050DAE">
        <w:rPr>
          <w:lang w:eastAsia="en-GB"/>
        </w:rPr>
        <w:t>.</w:t>
      </w:r>
      <w:r w:rsidR="001B6996" w:rsidRPr="00050DAE">
        <w:rPr>
          <w:rStyle w:val="FootnoteReference"/>
          <w:rFonts w:eastAsia="Times New Roman"/>
          <w:kern w:val="0"/>
          <w:szCs w:val="24"/>
          <w:lang w:eastAsia="en-GB"/>
          <w14:ligatures w14:val="none"/>
        </w:rPr>
        <w:footnoteReference w:id="81"/>
      </w:r>
      <w:r w:rsidRPr="00050DAE">
        <w:rPr>
          <w:sz w:val="22"/>
        </w:rPr>
        <w:t xml:space="preserve"> </w:t>
      </w:r>
      <w:r w:rsidRPr="00050DAE">
        <w:rPr>
          <w:lang w:eastAsia="en-GB"/>
        </w:rPr>
        <w:t>Within th</w:t>
      </w:r>
      <w:r w:rsidR="005D2188" w:rsidRPr="00050DAE">
        <w:rPr>
          <w:lang w:eastAsia="en-GB"/>
        </w:rPr>
        <w:t>is union</w:t>
      </w:r>
      <w:r w:rsidRPr="00050DAE">
        <w:rPr>
          <w:lang w:eastAsia="en-GB"/>
        </w:rPr>
        <w:t>, kingship frequently depends upon divine favour embodied in a goddess whose authority remains both powerful and potentially unstable.</w:t>
      </w:r>
      <w:r w:rsidR="001B6996" w:rsidRPr="00050DAE">
        <w:rPr>
          <w:rStyle w:val="FootnoteReference"/>
          <w:rFonts w:eastAsia="Times New Roman"/>
          <w:kern w:val="0"/>
          <w:szCs w:val="24"/>
          <w:lang w:eastAsia="en-GB"/>
          <w14:ligatures w14:val="none"/>
        </w:rPr>
        <w:footnoteReference w:id="82"/>
      </w:r>
      <w:r w:rsidR="00EB4BC4" w:rsidRPr="00050DAE">
        <w:rPr>
          <w:lang w:eastAsia="en-GB"/>
        </w:rPr>
        <w:t xml:space="preserve"> In sharp contrast</w:t>
      </w:r>
      <w:r w:rsidR="0076289F" w:rsidRPr="00050DAE">
        <w:rPr>
          <w:lang w:eastAsia="en-GB"/>
        </w:rPr>
        <w:t xml:space="preserve"> to the constraints of the state</w:t>
      </w:r>
      <w:r w:rsidR="00EB4BC4" w:rsidRPr="00050DAE">
        <w:rPr>
          <w:lang w:eastAsia="en-GB"/>
        </w:rPr>
        <w:t>, Harris suggests that:</w:t>
      </w:r>
      <w:r w:rsidR="00EB4BC4" w:rsidRPr="00050DAE">
        <w:rPr>
          <w:rStyle w:val="FootnoteReference"/>
          <w:rFonts w:eastAsia="Times New Roman"/>
          <w:kern w:val="0"/>
          <w:szCs w:val="24"/>
          <w:lang w:eastAsia="en-GB"/>
          <w14:ligatures w14:val="none"/>
        </w:rPr>
        <w:footnoteReference w:id="83"/>
      </w:r>
    </w:p>
    <w:p w14:paraId="4D7CD839" w14:textId="4B98412C" w:rsidR="001B6996" w:rsidRPr="00050DAE" w:rsidRDefault="00EB4BC4" w:rsidP="00EB4BC4">
      <w:pPr>
        <w:pStyle w:val="Quote"/>
        <w:rPr>
          <w:rFonts w:asciiTheme="majorBidi" w:eastAsia="Times New Roman" w:hAnsiTheme="majorBidi" w:cstheme="majorBidi"/>
          <w:color w:val="auto"/>
          <w:kern w:val="0"/>
          <w:sz w:val="24"/>
          <w:szCs w:val="24"/>
          <w14:ligatures w14:val="none"/>
        </w:rPr>
      </w:pPr>
      <w:r w:rsidRPr="00050DAE">
        <w:rPr>
          <w:rStyle w:val="QuoteChar"/>
          <w:rFonts w:asciiTheme="majorBidi" w:hAnsiTheme="majorBidi" w:cstheme="majorBidi"/>
          <w:color w:val="auto"/>
        </w:rPr>
        <w:t>the cultic celebrations enacted in worship of the goddess shattered and confused the boundaries that separated the generations, for on these occasions adults played at children</w:t>
      </w:r>
      <w:r w:rsidR="008301DC" w:rsidRPr="00050DAE">
        <w:rPr>
          <w:rStyle w:val="QuoteChar"/>
          <w:rFonts w:asciiTheme="majorBidi" w:hAnsiTheme="majorBidi" w:cstheme="majorBidi"/>
          <w:color w:val="auto"/>
        </w:rPr>
        <w:t>’</w:t>
      </w:r>
      <w:r w:rsidRPr="00050DAE">
        <w:rPr>
          <w:rStyle w:val="QuoteChar"/>
          <w:rFonts w:asciiTheme="majorBidi" w:hAnsiTheme="majorBidi" w:cstheme="majorBidi"/>
          <w:color w:val="auto"/>
        </w:rPr>
        <w:t>s games. The festivals of the goddess were the time for disorder and antistructure, when reversals in categories of age, species, status, and sex all came into play. Inanna-Ishtar</w:t>
      </w:r>
      <w:r w:rsidR="008301DC" w:rsidRPr="00050DAE">
        <w:rPr>
          <w:rStyle w:val="QuoteChar"/>
          <w:rFonts w:asciiTheme="majorBidi" w:hAnsiTheme="majorBidi" w:cstheme="majorBidi"/>
          <w:color w:val="auto"/>
        </w:rPr>
        <w:t>’</w:t>
      </w:r>
      <w:r w:rsidRPr="00050DAE">
        <w:rPr>
          <w:rStyle w:val="QuoteChar"/>
          <w:rFonts w:asciiTheme="majorBidi" w:hAnsiTheme="majorBidi" w:cstheme="majorBidi"/>
          <w:color w:val="auto"/>
        </w:rPr>
        <w:t>s cultic celebrations and cultic personnel above all reflect her anomalousness and liminality. She is, one might say, externalized into unordered, carnivalesque celebration that demonstrates a reaching beyond the normal order of things and the breakdown of norms.</w:t>
      </w:r>
    </w:p>
    <w:p w14:paraId="00993B24" w14:textId="5308F243" w:rsidR="00801A6D" w:rsidRPr="00050DAE" w:rsidRDefault="00801A6D" w:rsidP="00801A6D">
      <w:pPr>
        <w:pStyle w:val="Heading2"/>
        <w:rPr>
          <w:rFonts w:asciiTheme="majorBidi" w:hAnsiTheme="majorBidi"/>
          <w:color w:val="auto"/>
        </w:rPr>
      </w:pPr>
      <w:bookmarkStart w:id="63" w:name="_Toc234140237"/>
      <w:bookmarkStart w:id="64" w:name="_Toc234140488"/>
      <w:bookmarkStart w:id="65" w:name="_Toc234143668"/>
      <w:bookmarkStart w:id="66" w:name="_Toc234154297"/>
      <w:r w:rsidRPr="00050DAE">
        <w:rPr>
          <w:rFonts w:asciiTheme="majorBidi" w:hAnsiTheme="majorBidi"/>
          <w:color w:val="auto"/>
        </w:rPr>
        <w:t xml:space="preserve">2.2 </w:t>
      </w:r>
      <w:r w:rsidR="00FB741B" w:rsidRPr="00050DAE">
        <w:rPr>
          <w:rFonts w:asciiTheme="majorBidi" w:hAnsiTheme="majorBidi"/>
          <w:color w:val="auto"/>
        </w:rPr>
        <w:t xml:space="preserve">Select </w:t>
      </w:r>
      <w:r w:rsidRPr="00050DAE">
        <w:rPr>
          <w:rFonts w:asciiTheme="majorBidi" w:hAnsiTheme="majorBidi"/>
          <w:color w:val="auto"/>
        </w:rPr>
        <w:t xml:space="preserve">Corpus of </w:t>
      </w:r>
      <w:r w:rsidR="00570AFF" w:rsidRPr="00050DAE">
        <w:rPr>
          <w:rFonts w:asciiTheme="majorBidi" w:hAnsiTheme="majorBidi"/>
          <w:color w:val="auto"/>
        </w:rPr>
        <w:t>Ištar</w:t>
      </w:r>
      <w:bookmarkEnd w:id="63"/>
      <w:bookmarkEnd w:id="64"/>
      <w:bookmarkEnd w:id="65"/>
      <w:bookmarkEnd w:id="66"/>
    </w:p>
    <w:p w14:paraId="0C110E8C" w14:textId="010DCDE5" w:rsidR="000634E2" w:rsidRPr="00050DAE" w:rsidRDefault="0068351B" w:rsidP="0068351B">
      <w:pPr>
        <w:pStyle w:val="Heading3"/>
        <w:rPr>
          <w:rFonts w:asciiTheme="majorBidi" w:hAnsiTheme="majorBidi"/>
          <w:i/>
          <w:iCs/>
          <w:color w:val="auto"/>
        </w:rPr>
      </w:pPr>
      <w:bookmarkStart w:id="67" w:name="_Toc234140238"/>
      <w:bookmarkStart w:id="68" w:name="_Toc234140489"/>
      <w:bookmarkStart w:id="69" w:name="_Toc234143669"/>
      <w:bookmarkStart w:id="70" w:name="_Toc234154298"/>
      <w:r w:rsidRPr="00050DAE">
        <w:rPr>
          <w:rFonts w:asciiTheme="majorBidi" w:hAnsiTheme="majorBidi"/>
          <w:i/>
          <w:iCs/>
          <w:color w:val="auto"/>
        </w:rPr>
        <w:t>Hymn to Ištar</w:t>
      </w:r>
      <w:bookmarkEnd w:id="67"/>
      <w:bookmarkEnd w:id="68"/>
      <w:bookmarkEnd w:id="69"/>
      <w:bookmarkEnd w:id="70"/>
    </w:p>
    <w:p w14:paraId="199405F3" w14:textId="42A08831" w:rsidR="002F0546" w:rsidRPr="00050DAE" w:rsidRDefault="002F0546" w:rsidP="002F0546">
      <w:pPr>
        <w:pStyle w:val="UWTSDindent"/>
      </w:pPr>
      <w:r w:rsidRPr="00050DAE">
        <w:t xml:space="preserve">In the </w:t>
      </w:r>
      <w:r w:rsidRPr="00050DAE">
        <w:rPr>
          <w:i/>
          <w:iCs/>
        </w:rPr>
        <w:t>Hymn to Ištar</w:t>
      </w:r>
      <w:r w:rsidRPr="00050DAE">
        <w:t xml:space="preserve"> (</w:t>
      </w:r>
      <w:r w:rsidR="008301DC" w:rsidRPr="00050DAE">
        <w:t>“</w:t>
      </w:r>
      <w:r w:rsidRPr="00050DAE">
        <w:t>Ištar 2</w:t>
      </w:r>
      <w:r w:rsidR="008301DC" w:rsidRPr="00050DAE">
        <w:t>”</w:t>
      </w:r>
      <w:r w:rsidRPr="00050DAE">
        <w:t xml:space="preserve">), Ištar is exalted as a supreme and multifaceted goddess whose authority encompasses kingship, </w:t>
      </w:r>
      <w:r w:rsidR="00C020C4" w:rsidRPr="00050DAE">
        <w:t>judgement</w:t>
      </w:r>
      <w:r w:rsidRPr="00050DAE">
        <w:t xml:space="preserve">, war, fertility, and cosmic order, while </w:t>
      </w:r>
      <w:r w:rsidR="00A831DC" w:rsidRPr="00050DAE">
        <w:t>the hymn repeatedly shifts between destructive and restorative dimensions of Ištar</w:t>
      </w:r>
      <w:r w:rsidR="008301DC" w:rsidRPr="00050DAE">
        <w:t>’</w:t>
      </w:r>
      <w:r w:rsidR="00A831DC" w:rsidRPr="00050DAE">
        <w:t xml:space="preserve">s authority. </w:t>
      </w:r>
      <w:r w:rsidRPr="00050DAE">
        <w:t>The text intensifies her martial and elemental dimensions through storm imagery associated with Adad,</w:t>
      </w:r>
      <w:r w:rsidRPr="00050DAE">
        <w:rPr>
          <w:rStyle w:val="FootnoteReference"/>
        </w:rPr>
        <w:footnoteReference w:id="84"/>
      </w:r>
      <w:r w:rsidRPr="00050DAE">
        <w:t xml:space="preserve"> </w:t>
      </w:r>
      <w:r w:rsidR="00A831DC" w:rsidRPr="00050DAE">
        <w:t>portraying her as a divine force capable both of afflicting humanity through wrath and of restoring fertility, order, and royal legitimacy through favour.</w:t>
      </w:r>
      <w:r w:rsidRPr="00050DAE">
        <w:rPr>
          <w:rStyle w:val="FootnoteReference"/>
        </w:rPr>
        <w:footnoteReference w:id="85"/>
      </w:r>
    </w:p>
    <w:p w14:paraId="071C95EF" w14:textId="50D660DD" w:rsidR="0082036C" w:rsidRPr="00050DAE" w:rsidRDefault="00B5588C" w:rsidP="00902680">
      <w:pPr>
        <w:pStyle w:val="UWTSDindent"/>
      </w:pPr>
      <w:r w:rsidRPr="00050DAE">
        <w:t xml:space="preserve">The hymn reflects a mature Akkadian vision of Ištar whose authority extends beyond localized sovereignty into broader claims of divine </w:t>
      </w:r>
      <w:r w:rsidR="00C020C4" w:rsidRPr="00050DAE">
        <w:t>judgement</w:t>
      </w:r>
      <w:r w:rsidRPr="00050DAE">
        <w:t xml:space="preserve"> and cosmic power.</w:t>
      </w:r>
      <w:r w:rsidR="0082036C" w:rsidRPr="00050DAE">
        <w:t xml:space="preserve"> </w:t>
      </w:r>
      <w:r w:rsidR="00A76B73" w:rsidRPr="00050DAE">
        <w:t>This</w:t>
      </w:r>
      <w:r w:rsidR="0082036C" w:rsidRPr="00050DAE">
        <w:t xml:space="preserve"> helps explain why the </w:t>
      </w:r>
      <w:r w:rsidR="00C3030A" w:rsidRPr="00050DAE">
        <w:rPr>
          <w:i/>
          <w:iCs/>
        </w:rPr>
        <w:t>Descent of Ištar to the Netherworld</w:t>
      </w:r>
      <w:r w:rsidR="0082036C" w:rsidRPr="00050DAE">
        <w:t xml:space="preserve"> carries greater rhetorical and systemic intensity than the earlier Sumerian </w:t>
      </w:r>
      <w:r w:rsidR="004526F8" w:rsidRPr="00050DAE">
        <w:t>version</w:t>
      </w:r>
      <w:r w:rsidR="0082036C" w:rsidRPr="00050DAE">
        <w:t xml:space="preserve">. </w:t>
      </w:r>
      <w:r w:rsidR="00A831DC" w:rsidRPr="00050DAE">
        <w:t xml:space="preserve">In the Akkadian </w:t>
      </w:r>
      <w:r w:rsidR="004526F8" w:rsidRPr="00050DAE">
        <w:t>corpus</w:t>
      </w:r>
      <w:r w:rsidR="00A831DC" w:rsidRPr="00050DAE">
        <w:t xml:space="preserve">, the descending goddess appears not simply as the bearer of the </w:t>
      </w:r>
      <w:r w:rsidR="00A831DC" w:rsidRPr="00050DAE">
        <w:rPr>
          <w:b/>
          <w:bCs/>
          <w:i/>
          <w:iCs/>
        </w:rPr>
        <w:t>me</w:t>
      </w:r>
      <w:r w:rsidR="00A831DC" w:rsidRPr="00050DAE">
        <w:t>, but as a figure whose absence threatens the broader stability of both divine and human order.</w:t>
      </w:r>
      <w:r w:rsidR="009F539E" w:rsidRPr="00050DAE">
        <w:t xml:space="preserve"> </w:t>
      </w:r>
      <w:r w:rsidR="004526F8" w:rsidRPr="00050DAE">
        <w:t>T</w:t>
      </w:r>
      <w:r w:rsidR="009F539E" w:rsidRPr="00050DAE">
        <w:t>his expansion is significant because it sharpens the central tension of the descent: even a goddess whose authority approaches cosmic scope cannot return from death without submitting to the conditions that govern the Netherworld.</w:t>
      </w:r>
    </w:p>
    <w:p w14:paraId="4114BFF8" w14:textId="3F42892F" w:rsidR="00A44D94" w:rsidRPr="00050DAE" w:rsidRDefault="00A44D94" w:rsidP="00A44D94">
      <w:pPr>
        <w:pStyle w:val="Heading3"/>
        <w:rPr>
          <w:rFonts w:asciiTheme="majorBidi" w:hAnsiTheme="majorBidi"/>
          <w:i/>
          <w:iCs/>
          <w:color w:val="auto"/>
        </w:rPr>
      </w:pPr>
      <w:bookmarkStart w:id="71" w:name="_Toc234140239"/>
      <w:bookmarkStart w:id="72" w:name="_Toc234140490"/>
      <w:bookmarkStart w:id="73" w:name="_Toc234143670"/>
      <w:bookmarkStart w:id="74" w:name="_Toc234154299"/>
      <w:r w:rsidRPr="00050DAE">
        <w:rPr>
          <w:rFonts w:asciiTheme="majorBidi" w:hAnsiTheme="majorBidi"/>
          <w:i/>
          <w:iCs/>
          <w:color w:val="auto"/>
        </w:rPr>
        <w:t>Syncretistic Hymn to Ištar</w:t>
      </w:r>
      <w:bookmarkEnd w:id="71"/>
      <w:bookmarkEnd w:id="72"/>
      <w:bookmarkEnd w:id="73"/>
      <w:bookmarkEnd w:id="74"/>
      <w:r w:rsidRPr="00050DAE">
        <w:rPr>
          <w:rFonts w:asciiTheme="majorBidi" w:hAnsiTheme="majorBidi"/>
          <w:i/>
          <w:iCs/>
          <w:color w:val="auto"/>
        </w:rPr>
        <w:tab/>
      </w:r>
    </w:p>
    <w:p w14:paraId="332D3C47" w14:textId="48BDF6AA" w:rsidR="0082036C" w:rsidRPr="00050DAE" w:rsidRDefault="0082036C" w:rsidP="0082036C">
      <w:pPr>
        <w:pStyle w:val="UWTSDindent"/>
      </w:pPr>
      <w:r w:rsidRPr="00050DAE">
        <w:t xml:space="preserve">The </w:t>
      </w:r>
      <w:r w:rsidRPr="00050DAE">
        <w:rPr>
          <w:i/>
          <w:iCs/>
        </w:rPr>
        <w:t>Syncretistic Hymn to Ištar</w:t>
      </w:r>
      <w:r w:rsidRPr="00050DAE">
        <w:t xml:space="preserve"> presents Ištar as a universalized goddess who subsumes numerous </w:t>
      </w:r>
      <w:r w:rsidR="006F68FF" w:rsidRPr="00050DAE">
        <w:t>aspects of other divinities</w:t>
      </w:r>
      <w:r w:rsidRPr="00050DAE">
        <w:t xml:space="preserve"> into a single divine identity, collapsing distinctions between cult </w:t>
      </w:r>
      <w:r w:rsidR="004526F8" w:rsidRPr="00050DAE">
        <w:t xml:space="preserve">identities </w:t>
      </w:r>
      <w:r w:rsidRPr="00050DAE">
        <w:t xml:space="preserve">through a sequence of epithets, functions, and manifestations. By identifying figures such as Zarpānītu, Tašmētu, Ninlil, and Ereškigal as expressions of Ištar, the hymn constructs her as a totalizing cosmic force whose authority spans kingship, warfare, </w:t>
      </w:r>
      <w:r w:rsidR="00C020C4" w:rsidRPr="00050DAE">
        <w:t>judgement</w:t>
      </w:r>
      <w:r w:rsidRPr="00050DAE">
        <w:t>, fertility, and the Netherworld itself.</w:t>
      </w:r>
    </w:p>
    <w:p w14:paraId="2905F664" w14:textId="09C565EB" w:rsidR="00D36A32" w:rsidRPr="00050DAE" w:rsidRDefault="000929C6" w:rsidP="009D2921">
      <w:pPr>
        <w:pStyle w:val="UWTSDindent"/>
      </w:pPr>
      <w:r w:rsidRPr="00050DAE">
        <w:t>This late theological consolidation of Ištar's identity presents her as a goddess who absorbs multiple local and regional powers into a single divine authority. Sharpening the contrast with the earlier Sumerian material, it frames her influence as extending across kingship, warfare, fertility, judgement, and the Netherworld. This is significant because it represents the furthest extension of Ištar's authority before the descent, demonstrating that even expansive divine power remains subject to the constraints of death and the Netherworld.</w:t>
      </w:r>
      <w:r w:rsidRPr="00050DAE">
        <w:rPr>
          <w:rStyle w:val="FootnoteReference"/>
        </w:rPr>
        <w:footnoteReference w:id="86"/>
      </w:r>
    </w:p>
    <w:p w14:paraId="74F340AA" w14:textId="0D0B0E27" w:rsidR="002D0060" w:rsidRPr="00050DAE" w:rsidRDefault="001B5C3B" w:rsidP="002D0060">
      <w:pPr>
        <w:pStyle w:val="Heading3"/>
        <w:rPr>
          <w:rFonts w:asciiTheme="majorBidi" w:hAnsiTheme="majorBidi"/>
          <w:i/>
          <w:iCs/>
          <w:color w:val="auto"/>
        </w:rPr>
      </w:pPr>
      <w:bookmarkStart w:id="75" w:name="_Toc234140240"/>
      <w:bookmarkStart w:id="76" w:name="_Toc234140491"/>
      <w:bookmarkStart w:id="77" w:name="_Toc234143671"/>
      <w:bookmarkStart w:id="78" w:name="_Toc234154300"/>
      <w:r w:rsidRPr="00050DAE">
        <w:rPr>
          <w:rFonts w:asciiTheme="majorBidi" w:hAnsiTheme="majorBidi"/>
          <w:i/>
          <w:iCs/>
          <w:color w:val="auto"/>
        </w:rPr>
        <w:t xml:space="preserve">Epic of </w:t>
      </w:r>
      <w:r w:rsidR="002D0060" w:rsidRPr="00050DAE">
        <w:rPr>
          <w:rFonts w:asciiTheme="majorBidi" w:hAnsiTheme="majorBidi"/>
          <w:i/>
          <w:iCs/>
          <w:color w:val="auto"/>
        </w:rPr>
        <w:t>Gilgamesh</w:t>
      </w:r>
      <w:r w:rsidRPr="00050DAE">
        <w:rPr>
          <w:rFonts w:asciiTheme="majorBidi" w:hAnsiTheme="majorBidi"/>
          <w:color w:val="auto"/>
        </w:rPr>
        <w:t>,</w:t>
      </w:r>
      <w:r w:rsidR="002D0060" w:rsidRPr="00050DAE">
        <w:rPr>
          <w:rFonts w:asciiTheme="majorBidi" w:hAnsiTheme="majorBidi"/>
          <w:i/>
          <w:iCs/>
          <w:color w:val="auto"/>
        </w:rPr>
        <w:t xml:space="preserve"> </w:t>
      </w:r>
      <w:r w:rsidR="00CC53E2" w:rsidRPr="00050DAE">
        <w:rPr>
          <w:rFonts w:asciiTheme="majorBidi" w:hAnsiTheme="majorBidi"/>
          <w:color w:val="auto"/>
        </w:rPr>
        <w:t xml:space="preserve">Tablet </w:t>
      </w:r>
      <w:r w:rsidR="002D0060" w:rsidRPr="00050DAE">
        <w:rPr>
          <w:rFonts w:asciiTheme="majorBidi" w:hAnsiTheme="majorBidi"/>
          <w:color w:val="auto"/>
        </w:rPr>
        <w:t>VI</w:t>
      </w:r>
      <w:bookmarkEnd w:id="75"/>
      <w:bookmarkEnd w:id="76"/>
      <w:bookmarkEnd w:id="77"/>
      <w:bookmarkEnd w:id="78"/>
    </w:p>
    <w:p w14:paraId="349C8B55" w14:textId="79476E24" w:rsidR="00CE4240" w:rsidRPr="00050DAE" w:rsidRDefault="00CC53E2" w:rsidP="00CE4240">
      <w:pPr>
        <w:pStyle w:val="UWTSDindent"/>
      </w:pPr>
      <w:r w:rsidRPr="00050DAE">
        <w:t xml:space="preserve">In </w:t>
      </w:r>
      <w:r w:rsidR="001B5C3B" w:rsidRPr="00050DAE">
        <w:t xml:space="preserve">the </w:t>
      </w:r>
      <w:r w:rsidR="001B5C3B" w:rsidRPr="00050DAE">
        <w:rPr>
          <w:i/>
          <w:iCs/>
        </w:rPr>
        <w:t xml:space="preserve">Epic of </w:t>
      </w:r>
      <w:r w:rsidRPr="00050DAE">
        <w:rPr>
          <w:i/>
          <w:iCs/>
        </w:rPr>
        <w:t>Gilgamesh</w:t>
      </w:r>
      <w:r w:rsidR="001B5C3B" w:rsidRPr="00050DAE">
        <w:t>,</w:t>
      </w:r>
      <w:r w:rsidRPr="00050DAE">
        <w:t xml:space="preserve"> Tablet VI, the episode begins with a </w:t>
      </w:r>
      <w:r w:rsidR="000A2EC6" w:rsidRPr="00050DAE">
        <w:t>recognisable</w:t>
      </w:r>
      <w:r w:rsidRPr="00050DAE">
        <w:t xml:space="preserve"> but deliberately subverted divine courtship scene.</w:t>
      </w:r>
      <w:r w:rsidRPr="00050DAE">
        <w:rPr>
          <w:rStyle w:val="FootnoteReference"/>
        </w:rPr>
        <w:footnoteReference w:id="87"/>
      </w:r>
      <w:r w:rsidRPr="00050DAE">
        <w:t xml:space="preserve"> </w:t>
      </w:r>
      <w:r w:rsidR="00F04582" w:rsidRPr="00050DAE">
        <w:t>Ištar</w:t>
      </w:r>
      <w:r w:rsidR="008301DC" w:rsidRPr="00050DAE">
        <w:t>’</w:t>
      </w:r>
      <w:r w:rsidRPr="00050DAE">
        <w:t>s proposal to Gilgamesh reflects a familiar sacred marriage pattern in which the goddess offers kingship, prosperity, and universal dominion, with the expectation that all secular authority will pay homage to him.</w:t>
      </w:r>
      <w:r w:rsidRPr="00050DAE">
        <w:rPr>
          <w:rStyle w:val="FootnoteReference"/>
        </w:rPr>
        <w:footnoteReference w:id="88"/>
      </w:r>
      <w:r w:rsidRPr="00050DAE">
        <w:t xml:space="preserve"> George </w:t>
      </w:r>
      <w:r w:rsidR="00C020C4" w:rsidRPr="00050DAE">
        <w:t>emphasise</w:t>
      </w:r>
      <w:r w:rsidRPr="00050DAE">
        <w:t xml:space="preserve">s that this is not simply narrative but a literary reuse of earlier cultic and poetic </w:t>
      </w:r>
      <w:r w:rsidR="000A2EC6" w:rsidRPr="00050DAE">
        <w:t>material</w:t>
      </w:r>
      <w:r w:rsidRPr="00050DAE">
        <w:t>, especially those surrounding Inanna and royal ideology.</w:t>
      </w:r>
      <w:r w:rsidR="00FF45DE" w:rsidRPr="00050DAE">
        <w:rPr>
          <w:rStyle w:val="FootnoteReference"/>
        </w:rPr>
        <w:footnoteReference w:id="89"/>
      </w:r>
      <w:r w:rsidR="00CE4240" w:rsidRPr="00050DAE">
        <w:t xml:space="preserve"> </w:t>
      </w:r>
    </w:p>
    <w:p w14:paraId="26CCBAE2" w14:textId="0851A27A" w:rsidR="00CE4240" w:rsidRPr="00050DAE" w:rsidRDefault="00CE4240" w:rsidP="00CE4240">
      <w:pPr>
        <w:pStyle w:val="UWTSDindent"/>
      </w:pPr>
      <w:r w:rsidRPr="00050DAE">
        <w:t>However, the expected outcome is overturned when Gilgamesh refuses and responds with a structured denunciation of Ištar</w:t>
      </w:r>
      <w:r w:rsidR="008301DC" w:rsidRPr="00050DAE">
        <w:t>’</w:t>
      </w:r>
      <w:r w:rsidRPr="00050DAE">
        <w:t>s past lovers, transforming what should be praise into critique.</w:t>
      </w:r>
      <w:r w:rsidRPr="00050DAE">
        <w:rPr>
          <w:rStyle w:val="FootnoteReference"/>
        </w:rPr>
        <w:footnoteReference w:id="90"/>
      </w:r>
      <w:r w:rsidRPr="00050DAE">
        <w:t xml:space="preserve"> This inversion is central to George</w:t>
      </w:r>
      <w:r w:rsidR="008301DC" w:rsidRPr="00050DAE">
        <w:t>’</w:t>
      </w:r>
      <w:r w:rsidRPr="00050DAE">
        <w:t xml:space="preserve">s interpretation, since the speech </w:t>
      </w:r>
      <w:r w:rsidR="00BD1510" w:rsidRPr="00050DAE">
        <w:t>functions</w:t>
      </w:r>
      <w:r w:rsidR="00434F48" w:rsidRPr="00050DAE">
        <w:t xml:space="preserve"> as an anti-hymn that replaces praise with rejection</w:t>
      </w:r>
      <w:r w:rsidRPr="00050DAE">
        <w:t>. Ištar</w:t>
      </w:r>
      <w:r w:rsidR="008301DC" w:rsidRPr="00050DAE">
        <w:t>’</w:t>
      </w:r>
      <w:r w:rsidRPr="00050DAE">
        <w:t>s unilateral marriage formula, unveiled with the</w:t>
      </w:r>
      <w:r w:rsidR="00F31E7F" w:rsidRPr="00050DAE">
        <w:t xml:space="preserve"> </w:t>
      </w:r>
      <w:r w:rsidR="00F31E7F" w:rsidRPr="00050DAE">
        <w:rPr>
          <w:i/>
          <w:iCs/>
        </w:rPr>
        <w:t xml:space="preserve">Epic of </w:t>
      </w:r>
      <w:r w:rsidRPr="00050DAE">
        <w:rPr>
          <w:i/>
          <w:iCs/>
        </w:rPr>
        <w:t>Gilgamesh</w:t>
      </w:r>
      <w:r w:rsidRPr="00050DAE">
        <w:t xml:space="preserve"> narrative, </w:t>
      </w:r>
      <w:r w:rsidR="00BD1510" w:rsidRPr="00050DAE">
        <w:t xml:space="preserve">may </w:t>
      </w:r>
      <w:r w:rsidRPr="00050DAE">
        <w:t>impl</w:t>
      </w:r>
      <w:r w:rsidR="00BD1510" w:rsidRPr="00050DAE">
        <w:t xml:space="preserve">y </w:t>
      </w:r>
      <w:r w:rsidRPr="00050DAE">
        <w:t>both infernal incorporation and finality. Even though fundamentally different, like Persephone</w:t>
      </w:r>
      <w:r w:rsidR="008301DC" w:rsidRPr="00050DAE">
        <w:t>’</w:t>
      </w:r>
      <w:r w:rsidRPr="00050DAE">
        <w:t>s union with Hādēs, intimacy with a chthonic ruler carries implications that extend beyond marriage alone, linking the union to an altered existence caused by the proximity to death.</w:t>
      </w:r>
      <w:r w:rsidRPr="00050DAE">
        <w:rPr>
          <w:rStyle w:val="FootnoteReference"/>
        </w:rPr>
        <w:footnoteReference w:id="91"/>
      </w:r>
    </w:p>
    <w:p w14:paraId="300ADFDA" w14:textId="172A2617" w:rsidR="00C55702" w:rsidRPr="00050DAE" w:rsidRDefault="00C55702" w:rsidP="00EE6050">
      <w:pPr>
        <w:pStyle w:val="UWTSDinden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53"/>
        <w:gridCol w:w="3373"/>
      </w:tblGrid>
      <w:tr w:rsidR="0082036C" w:rsidRPr="00050DAE" w14:paraId="7BAA814E" w14:textId="77777777" w:rsidTr="00185965">
        <w:tc>
          <w:tcPr>
            <w:tcW w:w="4508" w:type="dxa"/>
          </w:tcPr>
          <w:p w14:paraId="0FD9C357" w14:textId="77777777" w:rsidR="0082036C" w:rsidRPr="00050DAE" w:rsidRDefault="0082036C" w:rsidP="00185965">
            <w:pPr>
              <w:keepNext/>
              <w:jc w:val="center"/>
              <w:rPr>
                <w:rFonts w:asciiTheme="majorBidi" w:hAnsiTheme="majorBidi" w:cstheme="majorBidi"/>
              </w:rPr>
            </w:pPr>
            <w:r w:rsidRPr="00050DAE">
              <w:rPr>
                <w:rFonts w:asciiTheme="majorBidi" w:hAnsiTheme="majorBidi" w:cstheme="majorBidi"/>
                <w:noProof/>
              </w:rPr>
              <w:drawing>
                <wp:inline distT="0" distB="0" distL="0" distR="0" wp14:anchorId="16A77FC1" wp14:editId="0645D51A">
                  <wp:extent cx="3452774" cy="2252345"/>
                  <wp:effectExtent l="0" t="0" r="0" b="0"/>
                  <wp:docPr id="148779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794059" name="Picture 1487794059"/>
                          <pic:cNvPicPr/>
                        </pic:nvPicPr>
                        <pic:blipFill rotWithShape="1">
                          <a:blip r:embed="rId31" cstate="print">
                            <a:extLst>
                              <a:ext uri="{BEBA8EAE-BF5A-486C-A8C5-ECC9F3942E4B}">
                                <a14:imgProps xmlns:a14="http://schemas.microsoft.com/office/drawing/2010/main">
                                  <a14:imgLayer r:embed="rId32">
                                    <a14:imgEffect>
                                      <a14:backgroundRemoval t="183" b="97441" l="0" r="98570">
                                        <a14:foregroundMark x1="4529" y1="97623" x2="7032" y2="11700"/>
                                        <a14:foregroundMark x1="7032" y1="11700" x2="21216" y2="4936"/>
                                        <a14:foregroundMark x1="86770" y1="97806" x2="1907" y2="94881"/>
                                        <a14:foregroundMark x1="95828" y1="97806" x2="93802" y2="4022"/>
                                        <a14:foregroundMark x1="93802" y1="4022" x2="93445" y2="4205"/>
                                        <a14:foregroundMark x1="98927" y1="98537" x2="98570" y2="6399"/>
                                        <a14:foregroundMark x1="98570" y1="6399" x2="97020" y2="475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481911" cy="2271352"/>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3027A325" w14:textId="77777777" w:rsidR="0082036C" w:rsidRPr="00050DAE" w:rsidRDefault="0082036C" w:rsidP="00185965">
            <w:pPr>
              <w:keepNext/>
              <w:jc w:val="center"/>
              <w:rPr>
                <w:rFonts w:asciiTheme="majorBidi" w:hAnsiTheme="majorBidi" w:cstheme="majorBidi"/>
              </w:rPr>
            </w:pPr>
            <w:r w:rsidRPr="00050DAE">
              <w:rPr>
                <w:rFonts w:asciiTheme="majorBidi" w:hAnsiTheme="majorBidi" w:cstheme="majorBidi"/>
                <w:noProof/>
              </w:rPr>
              <w:drawing>
                <wp:inline distT="0" distB="0" distL="0" distR="0" wp14:anchorId="5CCE0DBF" wp14:editId="307EA9D3">
                  <wp:extent cx="908390" cy="1948645"/>
                  <wp:effectExtent l="0" t="0" r="6350" b="0"/>
                  <wp:docPr id="358789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794059" name="Picture 1487794059"/>
                          <pic:cNvPicPr/>
                        </pic:nvPicPr>
                        <pic:blipFill rotWithShape="1">
                          <a:blip r:embed="rId33" cstate="print">
                            <a:extLst>
                              <a:ext uri="{28A0092B-C50C-407E-A947-70E740481C1C}">
                                <a14:useLocalDpi xmlns:a14="http://schemas.microsoft.com/office/drawing/2010/main" val="0"/>
                              </a:ext>
                            </a:extLst>
                          </a:blip>
                          <a:srcRect/>
                          <a:stretch>
                            <a:fillRect/>
                          </a:stretch>
                        </pic:blipFill>
                        <pic:spPr bwMode="auto">
                          <a:xfrm>
                            <a:off x="0" y="0"/>
                            <a:ext cx="919624" cy="1972744"/>
                          </a:xfrm>
                          <a:prstGeom prst="rect">
                            <a:avLst/>
                          </a:prstGeom>
                          <a:ln>
                            <a:noFill/>
                          </a:ln>
                          <a:extLst>
                            <a:ext uri="{53640926-AAD7-44D8-BBD7-CCE9431645EC}">
                              <a14:shadowObscured xmlns:a14="http://schemas.microsoft.com/office/drawing/2010/main"/>
                            </a:ext>
                          </a:extLst>
                        </pic:spPr>
                      </pic:pic>
                    </a:graphicData>
                  </a:graphic>
                </wp:inline>
              </w:drawing>
            </w:r>
          </w:p>
        </w:tc>
      </w:tr>
      <w:tr w:rsidR="0082036C" w:rsidRPr="00050DAE" w14:paraId="52DD80EA" w14:textId="77777777" w:rsidTr="00185965">
        <w:tc>
          <w:tcPr>
            <w:tcW w:w="9016" w:type="dxa"/>
            <w:gridSpan w:val="2"/>
          </w:tcPr>
          <w:p w14:paraId="572F7662" w14:textId="31E6E07C" w:rsidR="0082036C" w:rsidRPr="00050DAE" w:rsidRDefault="0082036C" w:rsidP="00185965">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6</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w:t>
            </w:r>
            <w:r w:rsidR="00C0126D" w:rsidRPr="00050DAE">
              <w:rPr>
                <w:rFonts w:asciiTheme="majorBidi" w:hAnsiTheme="majorBidi" w:cstheme="majorBidi"/>
                <w:color w:val="auto"/>
              </w:rPr>
              <w:t xml:space="preserve">Cylinder image of </w:t>
            </w:r>
            <w:r w:rsidRPr="00050DAE">
              <w:rPr>
                <w:rFonts w:asciiTheme="majorBidi" w:hAnsiTheme="majorBidi" w:cstheme="majorBidi"/>
                <w:color w:val="auto"/>
              </w:rPr>
              <w:t>Gilgamesh (left) and Enkidu (right) fighting the Bull of Heaven.</w:t>
            </w:r>
            <w:r w:rsidRPr="00050DAE">
              <w:rPr>
                <w:rStyle w:val="FootnoteReference"/>
                <w:rFonts w:asciiTheme="majorBidi" w:hAnsiTheme="majorBidi" w:cstheme="majorBidi"/>
                <w:color w:val="auto"/>
              </w:rPr>
              <w:footnoteReference w:id="92"/>
            </w:r>
          </w:p>
        </w:tc>
      </w:tr>
    </w:tbl>
    <w:p w14:paraId="29BD2A1C" w14:textId="338982BC" w:rsidR="00C55702" w:rsidRPr="00050DAE" w:rsidRDefault="00C55702" w:rsidP="00E4651F">
      <w:pPr>
        <w:pStyle w:val="UWTSDindent"/>
      </w:pPr>
      <w:r w:rsidRPr="00050DAE">
        <w:t xml:space="preserve">According to Abusch, </w:t>
      </w:r>
      <w:r w:rsidR="008301DC" w:rsidRPr="00050DAE">
        <w:t>“</w:t>
      </w:r>
      <w:r w:rsidRPr="00050DAE">
        <w:t>What seems to have been overlooked is that the marriage formula in the three literary passages that have been cited in support of the formula is also unilateral.</w:t>
      </w:r>
      <w:r w:rsidR="008301DC" w:rsidRPr="00050DAE">
        <w:t>”</w:t>
      </w:r>
      <w:r w:rsidRPr="00050DAE">
        <w:t xml:space="preserve"> He then compares a portion of a speech between </w:t>
      </w:r>
      <w:r w:rsidR="00C020C4" w:rsidRPr="00050DAE">
        <w:t>Ereškigal</w:t>
      </w:r>
      <w:r w:rsidRPr="00050DAE">
        <w:t>, queen of the Netherworld, to her future and forever spouse Nergal which structurally parallels Ištar:</w:t>
      </w:r>
      <w:r w:rsidRPr="00050DAE">
        <w:rPr>
          <w:rStyle w:val="FootnoteReference"/>
        </w:rPr>
        <w:footnoteReference w:id="93"/>
      </w:r>
    </w:p>
    <w:p w14:paraId="3CACDB78" w14:textId="45BE2F55" w:rsidR="00C55702" w:rsidRPr="00050DAE" w:rsidRDefault="00C55702" w:rsidP="00C55702">
      <w:pPr>
        <w:pStyle w:val="Quote"/>
        <w:rPr>
          <w:rFonts w:asciiTheme="majorBidi" w:hAnsiTheme="majorBidi" w:cstheme="majorBidi"/>
          <w:color w:val="auto"/>
        </w:rPr>
      </w:pPr>
      <w:r w:rsidRPr="00050DAE">
        <w:rPr>
          <w:rFonts w:asciiTheme="majorBidi" w:hAnsiTheme="majorBidi" w:cstheme="majorBidi"/>
          <w:color w:val="auto"/>
        </w:rPr>
        <w:t>to Gilgamesh in our text. The unilateral formulation suggests finality and control. The use of this formulation rather than the mundane mutual and the contexts of these offers suggest that the proposal has its setting in the infernal regions, that Ishtar is inviting Gilgamesh to become her husband and thereby formally to join the denizens of the netherworld.</w:t>
      </w:r>
    </w:p>
    <w:p w14:paraId="25EDEB20" w14:textId="550EFE4B" w:rsidR="00F57F6C" w:rsidRPr="00050DAE" w:rsidRDefault="00F57F6C" w:rsidP="00F57F6C">
      <w:pPr>
        <w:pStyle w:val="UWTSDindent"/>
        <w:ind w:firstLine="0"/>
      </w:pPr>
      <w:r w:rsidRPr="00050DAE">
        <w:t>Although Abusch</w:t>
      </w:r>
      <w:r w:rsidR="008301DC" w:rsidRPr="00050DAE">
        <w:t>’</w:t>
      </w:r>
      <w:r w:rsidRPr="00050DAE">
        <w:t xml:space="preserve">s argument rests upon a limited set of literary parallels, it offers a useful </w:t>
      </w:r>
      <w:r w:rsidR="00C0249D" w:rsidRPr="00050DAE">
        <w:t>basis</w:t>
      </w:r>
      <w:r w:rsidRPr="00050DAE">
        <w:t xml:space="preserve"> for understanding Gilgamesh</w:t>
      </w:r>
      <w:r w:rsidR="008301DC" w:rsidRPr="00050DAE">
        <w:t>’</w:t>
      </w:r>
      <w:r w:rsidRPr="00050DAE">
        <w:t>s response.</w:t>
      </w:r>
      <w:r w:rsidR="00517346" w:rsidRPr="00050DAE">
        <w:rPr>
          <w:rStyle w:val="FootnoteReference"/>
        </w:rPr>
        <w:footnoteReference w:id="94"/>
      </w:r>
      <w:r w:rsidRPr="00050DAE">
        <w:t xml:space="preserve"> Read in this light, his rejection is directed not simply </w:t>
      </w:r>
      <w:r w:rsidR="0091193A" w:rsidRPr="00050DAE">
        <w:t>towards</w:t>
      </w:r>
      <w:r w:rsidRPr="00050DAE">
        <w:t xml:space="preserve"> marriage itself but </w:t>
      </w:r>
      <w:r w:rsidR="0091193A" w:rsidRPr="00050DAE">
        <w:t>towards</w:t>
      </w:r>
      <w:r w:rsidRPr="00050DAE">
        <w:t xml:space="preserve"> the altered state of existence implied by union with a fundamentally chthonic power.</w:t>
      </w:r>
    </w:p>
    <w:p w14:paraId="4F71C97A" w14:textId="1B24CEAC" w:rsidR="0035227E" w:rsidRPr="00050DAE" w:rsidRDefault="00A831DC" w:rsidP="0035227E">
      <w:pPr>
        <w:pStyle w:val="UWTSDindent"/>
      </w:pPr>
      <w:r w:rsidRPr="00050DAE">
        <w:t xml:space="preserve">The episode then reworks earlier Inanna </w:t>
      </w:r>
      <w:r w:rsidR="000A2EC6" w:rsidRPr="00050DAE">
        <w:t>texts</w:t>
      </w:r>
      <w:r w:rsidRPr="00050DAE">
        <w:t xml:space="preserve"> surrounding</w:t>
      </w:r>
      <w:r w:rsidR="0035227E" w:rsidRPr="00050DAE">
        <w:t xml:space="preserve"> </w:t>
      </w:r>
      <w:r w:rsidR="0035227E" w:rsidRPr="00050DAE">
        <w:rPr>
          <w:i/>
          <w:iCs/>
        </w:rPr>
        <w:t>Gilgamesh and the Bull of Heaven</w:t>
      </w:r>
      <w:r w:rsidR="0035227E" w:rsidRPr="00050DAE">
        <w:t xml:space="preserve">. In Tablet VI, after Ištar secures the Bull from Anu, its release brings immediate devastation, opening pits that swallow hundreds. Gilgamesh and Enkidu kill the Bull and present its heart to </w:t>
      </w:r>
      <w:r w:rsidR="00F31E7F" w:rsidRPr="00050DAE">
        <w:t>Š</w:t>
      </w:r>
      <w:r w:rsidR="0035227E" w:rsidRPr="00050DAE">
        <w:t>ama</w:t>
      </w:r>
      <w:r w:rsidR="00F31E7F" w:rsidRPr="00050DAE">
        <w:t>š</w:t>
      </w:r>
      <w:r w:rsidR="0035227E" w:rsidRPr="00050DAE">
        <w:t xml:space="preserve">, an act that still acknowledges divine hierarchy even in defiance. </w:t>
      </w:r>
    </w:p>
    <w:p w14:paraId="11CF75E1" w14:textId="64043576" w:rsidR="00CC53E2" w:rsidRPr="00050DAE" w:rsidRDefault="00A831DC" w:rsidP="0035227E">
      <w:pPr>
        <w:pStyle w:val="UWTSDindent"/>
      </w:pPr>
      <w:r w:rsidRPr="00050DAE">
        <w:t xml:space="preserve">The conclusion of the tablet shifts the epic decisively </w:t>
      </w:r>
      <w:r w:rsidR="0091193A" w:rsidRPr="00050DAE">
        <w:t>towards</w:t>
      </w:r>
      <w:r w:rsidRPr="00050DAE">
        <w:t xml:space="preserve"> divine </w:t>
      </w:r>
      <w:r w:rsidR="00C020C4" w:rsidRPr="00050DAE">
        <w:t>judgement</w:t>
      </w:r>
      <w:r w:rsidRPr="00050DAE">
        <w:t xml:space="preserve"> and mortality. </w:t>
      </w:r>
      <w:r w:rsidR="0035227E" w:rsidRPr="00050DAE">
        <w:t>Gilgamesh celebrates</w:t>
      </w:r>
      <w:r w:rsidR="00B27516" w:rsidRPr="00050DAE">
        <w:t xml:space="preserve"> while </w:t>
      </w:r>
      <w:r w:rsidR="0035227E" w:rsidRPr="00050DAE">
        <w:t>Enkidu dreams</w:t>
      </w:r>
      <w:r w:rsidR="00B27516" w:rsidRPr="00050DAE">
        <w:t>. T</w:t>
      </w:r>
      <w:r w:rsidR="0035227E" w:rsidRPr="00050DAE">
        <w:t>he narrative shifts toward</w:t>
      </w:r>
      <w:r w:rsidR="00463762" w:rsidRPr="00050DAE">
        <w:t>s</w:t>
      </w:r>
      <w:r w:rsidR="0035227E" w:rsidRPr="00050DAE">
        <w:t xml:space="preserve"> divine </w:t>
      </w:r>
      <w:r w:rsidR="00C020C4" w:rsidRPr="00050DAE">
        <w:t>judgement</w:t>
      </w:r>
      <w:r w:rsidR="0035227E" w:rsidRPr="00050DAE">
        <w:t xml:space="preserve">, opening Tablet VII with, </w:t>
      </w:r>
      <w:r w:rsidR="008301DC" w:rsidRPr="00050DAE">
        <w:t>“</w:t>
      </w:r>
      <w:r w:rsidR="0035227E" w:rsidRPr="00050DAE">
        <w:t>My friend, for what reason were the great gods taking counsel?</w:t>
      </w:r>
      <w:r w:rsidR="008301DC" w:rsidRPr="00050DAE">
        <w:t>”</w:t>
      </w:r>
      <w:r w:rsidR="0035227E" w:rsidRPr="00050DAE">
        <w:t xml:space="preserve"> George </w:t>
      </w:r>
      <w:r w:rsidR="00C020C4" w:rsidRPr="00050DAE">
        <w:t>emphasise</w:t>
      </w:r>
      <w:r w:rsidR="0035227E" w:rsidRPr="00050DAE">
        <w:t>s that the Babylonian version integrates this episode into the epic</w:t>
      </w:r>
      <w:r w:rsidR="008301DC" w:rsidRPr="00050DAE">
        <w:t>’</w:t>
      </w:r>
      <w:r w:rsidR="0035227E" w:rsidRPr="00050DAE">
        <w:t xml:space="preserve">s larger </w:t>
      </w:r>
      <w:r w:rsidR="00262E8E" w:rsidRPr="00050DAE">
        <w:t>matrix</w:t>
      </w:r>
      <w:r w:rsidR="0035227E" w:rsidRPr="00050DAE">
        <w:t>, so that the killing of the Bull and the insult to Ištar become the direct cause of Enkidu</w:t>
      </w:r>
      <w:r w:rsidR="008301DC" w:rsidRPr="00050DAE">
        <w:t>’</w:t>
      </w:r>
      <w:r w:rsidR="0035227E" w:rsidRPr="00050DAE">
        <w:t>s impending death</w:t>
      </w:r>
      <w:r w:rsidR="00587E80" w:rsidRPr="00050DAE">
        <w:t>.</w:t>
      </w:r>
      <w:r w:rsidR="00504E70" w:rsidRPr="00050DAE">
        <w:rPr>
          <w:rStyle w:val="FootnoteReference"/>
        </w:rPr>
        <w:footnoteReference w:id="95"/>
      </w:r>
    </w:p>
    <w:p w14:paraId="49DBCC61" w14:textId="4324B281" w:rsidR="00D5107C" w:rsidRPr="00050DAE" w:rsidRDefault="00E84FA0" w:rsidP="003B424A">
      <w:pPr>
        <w:pStyle w:val="UWTSDindent"/>
        <w:rPr>
          <w:rFonts w:eastAsiaTheme="majorEastAsia"/>
          <w:sz w:val="40"/>
          <w:szCs w:val="40"/>
        </w:rPr>
      </w:pPr>
      <w:bookmarkStart w:id="79" w:name="_Toc223805114"/>
      <w:r w:rsidRPr="00050DAE">
        <w:t>The descent provide</w:t>
      </w:r>
      <w:r w:rsidR="000A2F64" w:rsidRPr="00050DAE">
        <w:t>s</w:t>
      </w:r>
      <w:r w:rsidRPr="00050DAE">
        <w:t xml:space="preserve"> the clearest test of Akkadian conceptions of divine authority. Ištar</w:t>
      </w:r>
      <w:r w:rsidR="008301DC" w:rsidRPr="00050DAE">
        <w:t>’</w:t>
      </w:r>
      <w:r w:rsidRPr="00050DAE">
        <w:t>s power encounters the constraints imposed by death and the Netherworld, revealing the limits of even the most expansive divine sovereignty.</w:t>
      </w:r>
      <w:r w:rsidR="00D5107C" w:rsidRPr="00050DAE">
        <w:rPr>
          <w:rFonts w:eastAsiaTheme="majorEastAsia"/>
          <w:sz w:val="40"/>
          <w:szCs w:val="40"/>
        </w:rPr>
        <w:br w:type="page"/>
      </w:r>
    </w:p>
    <w:p w14:paraId="78714375" w14:textId="59E9CE92" w:rsidR="0006016B" w:rsidRPr="00050DAE" w:rsidRDefault="0006016B" w:rsidP="0006016B">
      <w:pPr>
        <w:keepNext/>
        <w:keepLines/>
        <w:spacing w:before="360" w:after="80"/>
        <w:outlineLvl w:val="0"/>
        <w:rPr>
          <w:rFonts w:asciiTheme="majorBidi" w:eastAsiaTheme="majorEastAsia" w:hAnsiTheme="majorBidi" w:cstheme="majorBidi"/>
          <w:sz w:val="40"/>
          <w:szCs w:val="40"/>
        </w:rPr>
      </w:pPr>
      <w:bookmarkStart w:id="80" w:name="_Toc234140241"/>
      <w:bookmarkStart w:id="81" w:name="_Toc234140492"/>
      <w:bookmarkStart w:id="82" w:name="_Toc234143672"/>
      <w:bookmarkStart w:id="83" w:name="_Toc234154301"/>
      <w:bookmarkStart w:id="84" w:name="_Toc234154367"/>
      <w:r w:rsidRPr="00050DAE">
        <w:rPr>
          <w:rFonts w:asciiTheme="majorBidi" w:eastAsiaTheme="majorEastAsia" w:hAnsiTheme="majorBidi" w:cstheme="majorBidi"/>
          <w:sz w:val="40"/>
          <w:szCs w:val="40"/>
        </w:rPr>
        <w:t xml:space="preserve">Chapter </w:t>
      </w:r>
      <w:r w:rsidR="009B7970" w:rsidRPr="00050DAE">
        <w:rPr>
          <w:rFonts w:asciiTheme="majorBidi" w:eastAsiaTheme="majorEastAsia" w:hAnsiTheme="majorBidi" w:cstheme="majorBidi"/>
          <w:sz w:val="40"/>
          <w:szCs w:val="40"/>
        </w:rPr>
        <w:t>3</w:t>
      </w:r>
      <w:r w:rsidR="0058522B" w:rsidRPr="00050DAE">
        <w:rPr>
          <w:rFonts w:asciiTheme="majorBidi" w:eastAsiaTheme="majorEastAsia" w:hAnsiTheme="majorBidi" w:cstheme="majorBidi"/>
          <w:sz w:val="40"/>
          <w:szCs w:val="40"/>
        </w:rPr>
        <w:t>.</w:t>
      </w:r>
      <w:r w:rsidRPr="00050DAE">
        <w:rPr>
          <w:rFonts w:asciiTheme="majorBidi" w:eastAsiaTheme="majorEastAsia" w:hAnsiTheme="majorBidi" w:cstheme="majorBidi"/>
          <w:sz w:val="40"/>
          <w:szCs w:val="40"/>
        </w:rPr>
        <w:t xml:space="preserve"> Descent to the Netherworld</w:t>
      </w:r>
      <w:bookmarkEnd w:id="79"/>
      <w:bookmarkEnd w:id="80"/>
      <w:bookmarkEnd w:id="81"/>
      <w:bookmarkEnd w:id="82"/>
      <w:bookmarkEnd w:id="83"/>
      <w:bookmarkEnd w:id="84"/>
    </w:p>
    <w:p w14:paraId="59D0A728" w14:textId="728B3128" w:rsidR="00FE4B77" w:rsidRPr="00050DAE" w:rsidRDefault="00F433BA" w:rsidP="00FE4B77">
      <w:pPr>
        <w:keepNext/>
        <w:jc w:val="center"/>
        <w:rPr>
          <w:rFonts w:asciiTheme="majorBidi" w:hAnsiTheme="majorBidi" w:cstheme="majorBidi"/>
        </w:rPr>
      </w:pPr>
      <w:r w:rsidRPr="00050DAE">
        <w:rPr>
          <w:rFonts w:asciiTheme="majorBidi" w:hAnsiTheme="majorBidi" w:cstheme="majorBidi"/>
          <w:noProof/>
        </w:rPr>
        <w:drawing>
          <wp:inline distT="0" distB="0" distL="0" distR="0" wp14:anchorId="60E9CBF5" wp14:editId="49EB42DD">
            <wp:extent cx="1043086" cy="2753903"/>
            <wp:effectExtent l="0" t="0" r="5080" b="8890"/>
            <wp:docPr id="136195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5203" name="Picture 136195203"/>
                    <pic:cNvPicPr/>
                  </pic:nvPicPr>
                  <pic:blipFill rotWithShape="1">
                    <a:blip r:embed="rId34" cstate="print">
                      <a:extLst>
                        <a:ext uri="{28A0092B-C50C-407E-A947-70E740481C1C}">
                          <a14:useLocalDpi xmlns:a14="http://schemas.microsoft.com/office/drawing/2010/main" val="0"/>
                        </a:ext>
                      </a:extLst>
                    </a:blip>
                    <a:srcRect/>
                    <a:stretch>
                      <a:fillRect/>
                    </a:stretch>
                  </pic:blipFill>
                  <pic:spPr bwMode="auto">
                    <a:xfrm>
                      <a:off x="0" y="0"/>
                      <a:ext cx="1077519" cy="2844811"/>
                    </a:xfrm>
                    <a:prstGeom prst="rect">
                      <a:avLst/>
                    </a:prstGeom>
                    <a:ln>
                      <a:noFill/>
                    </a:ln>
                    <a:extLst>
                      <a:ext uri="{53640926-AAD7-44D8-BBD7-CCE9431645EC}">
                        <a14:shadowObscured xmlns:a14="http://schemas.microsoft.com/office/drawing/2010/main"/>
                      </a:ext>
                    </a:extLst>
                  </pic:spPr>
                </pic:pic>
              </a:graphicData>
            </a:graphic>
          </wp:inline>
        </w:drawing>
      </w:r>
    </w:p>
    <w:p w14:paraId="4EC34D2D" w14:textId="3430436A" w:rsidR="002212F1" w:rsidRPr="00050DAE" w:rsidRDefault="00FE4B77" w:rsidP="00FE4B77">
      <w:pPr>
        <w:pStyle w:val="Caption"/>
        <w:jc w:val="center"/>
        <w:rPr>
          <w:rFonts w:asciiTheme="majorBidi" w:hAnsiTheme="majorBidi" w:cstheme="majorBidi"/>
          <w:color w:val="auto"/>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7</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Akkadian </w:t>
      </w:r>
      <w:r w:rsidR="00C3030A" w:rsidRPr="00050DAE">
        <w:rPr>
          <w:rFonts w:asciiTheme="majorBidi" w:hAnsiTheme="majorBidi" w:cstheme="majorBidi"/>
          <w:color w:val="auto"/>
        </w:rPr>
        <w:t>Descent of Ištar to the Netherworld</w:t>
      </w:r>
      <w:r w:rsidR="00E06125" w:rsidRPr="00050DAE">
        <w:rPr>
          <w:rFonts w:asciiTheme="majorBidi" w:hAnsiTheme="majorBidi" w:cstheme="majorBidi"/>
          <w:color w:val="auto"/>
        </w:rPr>
        <w:t xml:space="preserve"> tablet </w:t>
      </w:r>
      <w:r w:rsidRPr="00050DAE">
        <w:rPr>
          <w:rFonts w:asciiTheme="majorBidi" w:hAnsiTheme="majorBidi" w:cstheme="majorBidi"/>
          <w:color w:val="auto"/>
        </w:rPr>
        <w:t>from the Library of Assurbanipal, British Museum</w:t>
      </w:r>
      <w:r w:rsidR="00F433BA" w:rsidRPr="00050DAE">
        <w:rPr>
          <w:rFonts w:asciiTheme="majorBidi" w:hAnsiTheme="majorBidi" w:cstheme="majorBidi"/>
          <w:color w:val="auto"/>
        </w:rPr>
        <w:t xml:space="preserve"> K.162</w:t>
      </w:r>
      <w:r w:rsidR="00FE0AB4" w:rsidRPr="00050DAE">
        <w:rPr>
          <w:rFonts w:asciiTheme="majorBidi" w:hAnsiTheme="majorBidi" w:cstheme="majorBidi"/>
          <w:color w:val="auto"/>
        </w:rPr>
        <w:t>.</w:t>
      </w:r>
      <w:r w:rsidR="00FE0AB4" w:rsidRPr="00050DAE">
        <w:rPr>
          <w:rStyle w:val="FootnoteReference"/>
          <w:rFonts w:asciiTheme="majorBidi" w:hAnsiTheme="majorBidi" w:cstheme="majorBidi"/>
          <w:color w:val="auto"/>
        </w:rPr>
        <w:footnoteReference w:id="96"/>
      </w:r>
    </w:p>
    <w:p w14:paraId="2C35D3CB" w14:textId="602035F8" w:rsidR="0006016B" w:rsidRPr="00050DAE" w:rsidRDefault="009B7970" w:rsidP="0006016B">
      <w:pPr>
        <w:keepNext/>
        <w:keepLines/>
        <w:spacing w:before="160" w:after="80"/>
        <w:outlineLvl w:val="1"/>
        <w:rPr>
          <w:rFonts w:asciiTheme="majorBidi" w:eastAsiaTheme="majorEastAsia" w:hAnsiTheme="majorBidi" w:cstheme="majorBidi"/>
          <w:sz w:val="32"/>
          <w:szCs w:val="32"/>
        </w:rPr>
      </w:pPr>
      <w:bookmarkStart w:id="85" w:name="_Toc234140242"/>
      <w:bookmarkStart w:id="86" w:name="_Toc234140493"/>
      <w:bookmarkStart w:id="87" w:name="_Toc234143673"/>
      <w:bookmarkStart w:id="88" w:name="_Toc234154302"/>
      <w:r w:rsidRPr="00050DAE">
        <w:rPr>
          <w:rFonts w:asciiTheme="majorBidi" w:eastAsiaTheme="majorEastAsia" w:hAnsiTheme="majorBidi" w:cstheme="majorBidi"/>
          <w:sz w:val="32"/>
          <w:szCs w:val="32"/>
        </w:rPr>
        <w:t>3</w:t>
      </w:r>
      <w:r w:rsidR="0006016B" w:rsidRPr="00050DAE">
        <w:rPr>
          <w:rFonts w:asciiTheme="majorBidi" w:eastAsiaTheme="majorEastAsia" w:hAnsiTheme="majorBidi" w:cstheme="majorBidi"/>
          <w:sz w:val="32"/>
          <w:szCs w:val="32"/>
        </w:rPr>
        <w:t>.1 Voluntary Descent and Intentional Transgression</w:t>
      </w:r>
      <w:bookmarkEnd w:id="85"/>
      <w:bookmarkEnd w:id="86"/>
      <w:bookmarkEnd w:id="87"/>
      <w:bookmarkEnd w:id="88"/>
    </w:p>
    <w:p w14:paraId="280AE8FE" w14:textId="72FFA7A9" w:rsidR="0006016B" w:rsidRPr="00050DAE" w:rsidRDefault="008A38ED" w:rsidP="00EE6050">
      <w:pPr>
        <w:pStyle w:val="UWTSDindent"/>
      </w:pPr>
      <w:r w:rsidRPr="00050DAE">
        <w:rPr>
          <w:lang w:eastAsia="en-GB"/>
        </w:rPr>
        <w:t xml:space="preserve">The </w:t>
      </w:r>
      <w:r w:rsidR="00126F4D" w:rsidRPr="00050DAE">
        <w:rPr>
          <w:lang w:eastAsia="en-GB"/>
        </w:rPr>
        <w:t>O</w:t>
      </w:r>
      <w:r w:rsidRPr="00050DAE">
        <w:rPr>
          <w:lang w:eastAsia="en-GB"/>
        </w:rPr>
        <w:t>ld Babylonian period (c. 1894</w:t>
      </w:r>
      <w:r w:rsidR="004C6764" w:rsidRPr="00050DAE">
        <w:rPr>
          <w:lang w:eastAsia="en-GB"/>
        </w:rPr>
        <w:t>-</w:t>
      </w:r>
      <w:r w:rsidRPr="00050DAE">
        <w:rPr>
          <w:lang w:eastAsia="en-GB"/>
        </w:rPr>
        <w:t xml:space="preserve">1595 BCE) establishes a narrative </w:t>
      </w:r>
      <w:r w:rsidR="00C84915" w:rsidRPr="00050DAE">
        <w:rPr>
          <w:lang w:eastAsia="en-GB"/>
        </w:rPr>
        <w:t>standardisation</w:t>
      </w:r>
      <w:r w:rsidRPr="00050DAE">
        <w:rPr>
          <w:lang w:eastAsia="en-GB"/>
        </w:rPr>
        <w:t xml:space="preserve"> of the descent and the substitution, consolidating earlier ritual and mythic materials into sustained literary compositions.</w:t>
      </w:r>
      <w:r w:rsidRPr="00050DAE">
        <w:rPr>
          <w:rStyle w:val="FootnoteReference"/>
          <w:rFonts w:eastAsia="Times New Roman"/>
          <w:kern w:val="0"/>
          <w:szCs w:val="24"/>
          <w:lang w:eastAsia="en-GB"/>
          <w14:ligatures w14:val="none"/>
        </w:rPr>
        <w:footnoteReference w:id="97"/>
      </w:r>
      <w:r w:rsidRPr="00050DAE">
        <w:rPr>
          <w:lang w:eastAsia="en-GB"/>
        </w:rPr>
        <w:t xml:space="preserve"> </w:t>
      </w:r>
      <w:r w:rsidR="0006016B" w:rsidRPr="00050DAE">
        <w:rPr>
          <w:i/>
          <w:iCs/>
        </w:rPr>
        <w:t>Ina</w:t>
      </w:r>
      <w:r w:rsidR="00E844B5" w:rsidRPr="00050DAE">
        <w:rPr>
          <w:i/>
          <w:iCs/>
        </w:rPr>
        <w:t>n</w:t>
      </w:r>
      <w:r w:rsidR="0006016B" w:rsidRPr="00050DAE">
        <w:rPr>
          <w:i/>
          <w:iCs/>
        </w:rPr>
        <w:t>na</w:t>
      </w:r>
      <w:r w:rsidR="008301DC" w:rsidRPr="00050DAE">
        <w:rPr>
          <w:i/>
          <w:iCs/>
        </w:rPr>
        <w:t>’</w:t>
      </w:r>
      <w:r w:rsidR="0006016B" w:rsidRPr="00050DAE">
        <w:rPr>
          <w:i/>
          <w:iCs/>
        </w:rPr>
        <w:t xml:space="preserve">s </w:t>
      </w:r>
      <w:r w:rsidR="00710926" w:rsidRPr="00050DAE">
        <w:rPr>
          <w:i/>
          <w:iCs/>
        </w:rPr>
        <w:t>D</w:t>
      </w:r>
      <w:r w:rsidR="0006016B" w:rsidRPr="00050DAE">
        <w:rPr>
          <w:i/>
          <w:iCs/>
        </w:rPr>
        <w:t>escent to the Netherworld</w:t>
      </w:r>
      <w:r w:rsidR="0006016B" w:rsidRPr="00050DAE">
        <w:t xml:space="preserve"> is initiated by deliberate choice</w:t>
      </w:r>
      <w:r w:rsidR="00393B77" w:rsidRPr="00050DAE">
        <w:t>,</w:t>
      </w:r>
      <w:r w:rsidR="0006016B" w:rsidRPr="00050DAE">
        <w:t xml:space="preserve"> </w:t>
      </w:r>
      <w:r w:rsidR="004C6764" w:rsidRPr="00050DAE">
        <w:t>rather than</w:t>
      </w:r>
      <w:r w:rsidR="0006016B" w:rsidRPr="00050DAE">
        <w:t xml:space="preserve"> by accident, coercion, or punishment.</w:t>
      </w:r>
      <w:r w:rsidR="0006016B" w:rsidRPr="00050DAE">
        <w:rPr>
          <w:vertAlign w:val="superscript"/>
        </w:rPr>
        <w:footnoteReference w:id="98"/>
      </w:r>
      <w:r w:rsidR="0006016B" w:rsidRPr="00050DAE">
        <w:t xml:space="preserve"> </w:t>
      </w:r>
      <w:r w:rsidR="00872DCB" w:rsidRPr="00050DAE">
        <w:t>A</w:t>
      </w:r>
      <w:r w:rsidR="00B64986" w:rsidRPr="00050DAE">
        <w:t>cross both the Sumerian and Akkadian versions</w:t>
      </w:r>
      <w:r w:rsidR="00FF4E7B" w:rsidRPr="00050DAE">
        <w:t>, the goddess openly announces her intention, prepares for the possibility of failure, and knowingly enters the realm of the dead.</w:t>
      </w:r>
      <w:r w:rsidR="0006016B" w:rsidRPr="00050DAE">
        <w:rPr>
          <w:vertAlign w:val="superscript"/>
        </w:rPr>
        <w:footnoteReference w:id="99"/>
      </w:r>
      <w:r w:rsidR="0006016B" w:rsidRPr="00050DAE">
        <w:t xml:space="preserve"> </w:t>
      </w:r>
      <w:r w:rsidR="00596777" w:rsidRPr="00050DAE">
        <w:t xml:space="preserve">The Akkadian </w:t>
      </w:r>
      <w:r w:rsidR="00C3030A" w:rsidRPr="00050DAE">
        <w:rPr>
          <w:i/>
          <w:iCs/>
        </w:rPr>
        <w:t>Descent of Ištar to the Netherworld</w:t>
      </w:r>
      <w:r w:rsidR="00596777" w:rsidRPr="00050DAE">
        <w:t xml:space="preserve"> opens with</w:t>
      </w:r>
      <w:r w:rsidR="0006016B" w:rsidRPr="00050DAE">
        <w:t>:</w:t>
      </w:r>
      <w:r w:rsidR="0006016B" w:rsidRPr="00050DAE">
        <w:rPr>
          <w:vertAlign w:val="superscript"/>
        </w:rPr>
        <w:footnoteReference w:id="100"/>
      </w:r>
    </w:p>
    <w:p w14:paraId="74935B66" w14:textId="77777777" w:rsidR="0084473F" w:rsidRPr="00050DAE" w:rsidRDefault="0084473F" w:rsidP="0084473F">
      <w:pPr>
        <w:pStyle w:val="Quote"/>
        <w:rPr>
          <w:rFonts w:asciiTheme="majorBidi" w:hAnsiTheme="majorBidi" w:cstheme="majorBidi"/>
          <w:color w:val="auto"/>
        </w:rPr>
      </w:pPr>
      <w:r w:rsidRPr="00050DAE">
        <w:rPr>
          <w:rFonts w:asciiTheme="majorBidi" w:hAnsiTheme="majorBidi" w:cstheme="majorBidi"/>
          <w:color w:val="auto"/>
        </w:rPr>
        <w:t>To the netherworld, land of no return,</w:t>
      </w:r>
    </w:p>
    <w:p w14:paraId="54263C02" w14:textId="77777777" w:rsidR="0084473F" w:rsidRPr="00050DAE" w:rsidRDefault="0084473F" w:rsidP="0084473F">
      <w:pPr>
        <w:pStyle w:val="Quote"/>
        <w:rPr>
          <w:rFonts w:asciiTheme="majorBidi" w:hAnsiTheme="majorBidi" w:cstheme="majorBidi"/>
          <w:color w:val="auto"/>
        </w:rPr>
      </w:pPr>
      <w:r w:rsidRPr="00050DAE">
        <w:rPr>
          <w:rFonts w:asciiTheme="majorBidi" w:hAnsiTheme="majorBidi" w:cstheme="majorBidi"/>
          <w:color w:val="auto"/>
        </w:rPr>
        <w:t>Ishtar, daughter of Sin, set her mind.</w:t>
      </w:r>
    </w:p>
    <w:p w14:paraId="59D8FE8E" w14:textId="77777777" w:rsidR="0084473F" w:rsidRPr="00050DAE" w:rsidRDefault="0084473F" w:rsidP="0084473F">
      <w:pPr>
        <w:pStyle w:val="Quote"/>
        <w:rPr>
          <w:rFonts w:asciiTheme="majorBidi" w:hAnsiTheme="majorBidi" w:cstheme="majorBidi"/>
          <w:color w:val="auto"/>
        </w:rPr>
      </w:pPr>
      <w:r w:rsidRPr="00050DAE">
        <w:rPr>
          <w:rFonts w:asciiTheme="majorBidi" w:hAnsiTheme="majorBidi" w:cstheme="majorBidi"/>
          <w:color w:val="auto"/>
        </w:rPr>
        <w:t>Indeed, the daughter of Sin did set her mind</w:t>
      </w:r>
    </w:p>
    <w:p w14:paraId="74AA61A7" w14:textId="77777777" w:rsidR="0084473F" w:rsidRPr="00050DAE" w:rsidRDefault="0084473F" w:rsidP="0084473F">
      <w:pPr>
        <w:pStyle w:val="Quote"/>
        <w:rPr>
          <w:rFonts w:asciiTheme="majorBidi" w:hAnsiTheme="majorBidi" w:cstheme="majorBidi"/>
          <w:color w:val="auto"/>
        </w:rPr>
      </w:pPr>
      <w:r w:rsidRPr="00050DAE">
        <w:rPr>
          <w:rFonts w:asciiTheme="majorBidi" w:hAnsiTheme="majorBidi" w:cstheme="majorBidi"/>
          <w:color w:val="auto"/>
        </w:rPr>
        <w:t>To the gloomy house, the seat of the netherworld,</w:t>
      </w:r>
    </w:p>
    <w:p w14:paraId="47713C3A" w14:textId="77777777" w:rsidR="0084473F" w:rsidRPr="00050DAE" w:rsidRDefault="0084473F" w:rsidP="0084473F">
      <w:pPr>
        <w:pStyle w:val="Quote"/>
        <w:rPr>
          <w:rFonts w:asciiTheme="majorBidi" w:hAnsiTheme="majorBidi" w:cstheme="majorBidi"/>
          <w:color w:val="auto"/>
        </w:rPr>
      </w:pPr>
      <w:r w:rsidRPr="00050DAE">
        <w:rPr>
          <w:rFonts w:asciiTheme="majorBidi" w:hAnsiTheme="majorBidi" w:cstheme="majorBidi"/>
          <w:color w:val="auto"/>
        </w:rPr>
        <w:t>To the house that none leaves who enters,</w:t>
      </w:r>
    </w:p>
    <w:p w14:paraId="5E2060F3" w14:textId="77777777" w:rsidR="0084473F" w:rsidRPr="00050DAE" w:rsidRDefault="0084473F" w:rsidP="0084473F">
      <w:pPr>
        <w:pStyle w:val="Quote"/>
        <w:rPr>
          <w:rFonts w:asciiTheme="majorBidi" w:hAnsiTheme="majorBidi" w:cstheme="majorBidi"/>
          <w:color w:val="auto"/>
        </w:rPr>
      </w:pPr>
      <w:r w:rsidRPr="00050DAE">
        <w:rPr>
          <w:rFonts w:asciiTheme="majorBidi" w:hAnsiTheme="majorBidi" w:cstheme="majorBidi"/>
          <w:color w:val="auto"/>
        </w:rPr>
        <w:t>To the road whose journey has no return,</w:t>
      </w:r>
    </w:p>
    <w:p w14:paraId="1B3428FD" w14:textId="77777777" w:rsidR="0084473F" w:rsidRPr="00050DAE" w:rsidRDefault="0084473F" w:rsidP="0084473F">
      <w:pPr>
        <w:pStyle w:val="Quote"/>
        <w:rPr>
          <w:rFonts w:asciiTheme="majorBidi" w:hAnsiTheme="majorBidi" w:cstheme="majorBidi"/>
          <w:color w:val="auto"/>
        </w:rPr>
      </w:pPr>
      <w:r w:rsidRPr="00050DAE">
        <w:rPr>
          <w:rFonts w:asciiTheme="majorBidi" w:hAnsiTheme="majorBidi" w:cstheme="majorBidi"/>
          <w:color w:val="auto"/>
        </w:rPr>
        <w:t>To the house whose entrants are bereft of light,</w:t>
      </w:r>
    </w:p>
    <w:p w14:paraId="5327FB7B" w14:textId="3B153C2A" w:rsidR="0006016B" w:rsidRPr="00050DAE" w:rsidRDefault="0084473F" w:rsidP="0084473F">
      <w:pPr>
        <w:pStyle w:val="Quote"/>
        <w:rPr>
          <w:rFonts w:asciiTheme="majorBidi" w:hAnsiTheme="majorBidi" w:cstheme="majorBidi"/>
          <w:color w:val="auto"/>
        </w:rPr>
      </w:pPr>
      <w:r w:rsidRPr="00050DAE">
        <w:rPr>
          <w:rFonts w:asciiTheme="majorBidi" w:hAnsiTheme="majorBidi" w:cstheme="majorBidi"/>
          <w:color w:val="auto"/>
        </w:rPr>
        <w:t>Where dust is their sustenance and clay their food.</w:t>
      </w:r>
    </w:p>
    <w:p w14:paraId="3FE77367" w14:textId="6B201B64" w:rsidR="0006016B" w:rsidRPr="00050DAE" w:rsidRDefault="00FF4E7B" w:rsidP="00FF4E7B">
      <w:pPr>
        <w:pStyle w:val="UWTSDindent"/>
      </w:pPr>
      <w:r w:rsidRPr="00050DAE">
        <w:t>Unlike Persephone, whose descent begins through abduction, Inanna enters the Netherworld voluntarily, making the act itself an expression of divine initiative and authority</w:t>
      </w:r>
      <w:r w:rsidR="00901870" w:rsidRPr="00050DAE">
        <w:t xml:space="preserve"> </w:t>
      </w:r>
      <w:r w:rsidR="008301DC" w:rsidRPr="00050DAE">
        <w:t>“</w:t>
      </w:r>
      <w:r w:rsidR="005E2390" w:rsidRPr="00050DAE">
        <w:t>to extend her power over the underworld.</w:t>
      </w:r>
      <w:r w:rsidR="008301DC" w:rsidRPr="00050DAE">
        <w:t>”</w:t>
      </w:r>
      <w:r w:rsidR="005E2390" w:rsidRPr="00050DAE">
        <w:rPr>
          <w:rStyle w:val="FootnoteReference"/>
        </w:rPr>
        <w:footnoteReference w:id="101"/>
      </w:r>
      <w:r w:rsidR="00BE1565" w:rsidRPr="00050DAE">
        <w:t xml:space="preserve"> </w:t>
      </w:r>
      <w:r w:rsidR="0006016B" w:rsidRPr="00050DAE">
        <w:t xml:space="preserve">To underscore the voluntary nature of the descent, </w:t>
      </w:r>
      <w:r w:rsidR="006B60A6" w:rsidRPr="00050DAE">
        <w:t>when</w:t>
      </w:r>
      <w:r w:rsidR="0006016B" w:rsidRPr="00050DAE">
        <w:t xml:space="preserve"> </w:t>
      </w:r>
      <w:r w:rsidR="00064013" w:rsidRPr="00050DAE">
        <w:t>Ištar</w:t>
      </w:r>
      <w:r w:rsidR="0006016B" w:rsidRPr="00050DAE">
        <w:t xml:space="preserve"> rage</w:t>
      </w:r>
      <w:r w:rsidR="006B60A6" w:rsidRPr="00050DAE">
        <w:t>s</w:t>
      </w:r>
      <w:r w:rsidR="0006016B" w:rsidRPr="00050DAE">
        <w:t xml:space="preserve"> against Gilgamesh</w:t>
      </w:r>
      <w:r w:rsidR="008301DC" w:rsidRPr="00050DAE">
        <w:t>’</w:t>
      </w:r>
      <w:r w:rsidR="0006016B" w:rsidRPr="00050DAE">
        <w:t xml:space="preserve">s rejection, she clearly states that she has the power to </w:t>
      </w:r>
      <w:r w:rsidR="008301DC" w:rsidRPr="00050DAE">
        <w:t>“</w:t>
      </w:r>
      <w:r w:rsidR="0006016B" w:rsidRPr="00050DAE">
        <w:t>knock down the Gates of the Netherworld,</w:t>
      </w:r>
      <w:r w:rsidR="008301DC" w:rsidRPr="00050DAE">
        <w:t>”</w:t>
      </w:r>
      <w:r w:rsidR="0006016B" w:rsidRPr="00050DAE">
        <w:t xml:space="preserve"> </w:t>
      </w:r>
      <w:r w:rsidR="008301DC" w:rsidRPr="00050DAE">
        <w:t>“</w:t>
      </w:r>
      <w:r w:rsidR="0006016B" w:rsidRPr="00050DAE">
        <w:t>smash the door posts,</w:t>
      </w:r>
      <w:r w:rsidR="008301DC" w:rsidRPr="00050DAE">
        <w:t>”</w:t>
      </w:r>
      <w:r w:rsidR="0006016B" w:rsidRPr="00050DAE">
        <w:t xml:space="preserve"> </w:t>
      </w:r>
      <w:r w:rsidR="008301DC" w:rsidRPr="00050DAE">
        <w:t>“</w:t>
      </w:r>
      <w:r w:rsidR="0006016B" w:rsidRPr="00050DAE">
        <w:t>leave the doors flat down,</w:t>
      </w:r>
      <w:r w:rsidR="008301DC" w:rsidRPr="00050DAE">
        <w:t>”</w:t>
      </w:r>
      <w:r w:rsidR="0006016B" w:rsidRPr="00050DAE">
        <w:t xml:space="preserve"> and allow </w:t>
      </w:r>
      <w:r w:rsidR="008301DC" w:rsidRPr="00050DAE">
        <w:t>“</w:t>
      </w:r>
      <w:r w:rsidR="0006016B" w:rsidRPr="00050DAE">
        <w:t>the dead go up to eat the living!</w:t>
      </w:r>
      <w:r w:rsidR="008301DC" w:rsidRPr="00050DAE">
        <w:t>”</w:t>
      </w:r>
      <w:r w:rsidR="0006016B" w:rsidRPr="00050DAE">
        <w:rPr>
          <w:vertAlign w:val="superscript"/>
        </w:rPr>
        <w:footnoteReference w:id="102"/>
      </w:r>
    </w:p>
    <w:p w14:paraId="7FA89318" w14:textId="25082B17" w:rsidR="0006016B" w:rsidRPr="00050DAE" w:rsidRDefault="00DC5629" w:rsidP="00DC5629">
      <w:pPr>
        <w:pStyle w:val="UWTSDindent"/>
      </w:pPr>
      <w:r w:rsidRPr="00050DAE">
        <w:t xml:space="preserve">Inanna and Ištar abandon heaven and earth to enter the Netherworld, exposing their authority to </w:t>
      </w:r>
      <w:r w:rsidR="00C020C4" w:rsidRPr="00050DAE">
        <w:t>judgement</w:t>
      </w:r>
      <w:r w:rsidRPr="00050DAE">
        <w:t xml:space="preserve"> rather than exercising it unilaterally.</w:t>
      </w:r>
      <w:r w:rsidR="002F40FA" w:rsidRPr="00050DAE">
        <w:rPr>
          <w:rStyle w:val="FootnoteReference"/>
        </w:rPr>
        <w:footnoteReference w:id="103"/>
      </w:r>
      <w:r w:rsidRPr="00050DAE">
        <w:t xml:space="preserve"> </w:t>
      </w:r>
      <w:r w:rsidR="00064013" w:rsidRPr="00050DAE">
        <w:t>The</w:t>
      </w:r>
      <w:r w:rsidR="0006016B" w:rsidRPr="00050DAE">
        <w:t xml:space="preserve"> passage through the Netherworld is governed by a sequence of seven gates</w:t>
      </w:r>
      <w:r w:rsidR="00596777" w:rsidRPr="00050DAE">
        <w:t xml:space="preserve">, </w:t>
      </w:r>
      <w:r w:rsidR="00D77CEE" w:rsidRPr="00050DAE">
        <w:t>and t</w:t>
      </w:r>
      <w:r w:rsidR="00B76AC3" w:rsidRPr="00050DAE">
        <w:t>ransit</w:t>
      </w:r>
      <w:r w:rsidR="0006016B" w:rsidRPr="00050DAE">
        <w:t xml:space="preserve"> through each portal requires her to be stripped of a clothing component or regalia.</w:t>
      </w:r>
      <w:bookmarkStart w:id="89" w:name="InannaStrips"/>
      <w:r w:rsidR="0006016B" w:rsidRPr="00050DAE">
        <w:rPr>
          <w:vertAlign w:val="superscript"/>
        </w:rPr>
        <w:footnoteReference w:id="104"/>
      </w:r>
      <w:bookmarkEnd w:id="89"/>
      <w:r w:rsidR="0006016B" w:rsidRPr="00050DAE">
        <w:t xml:space="preserve"> </w:t>
      </w:r>
      <w:r w:rsidR="00B76AC3" w:rsidRPr="00050DAE">
        <w:t xml:space="preserve">The sequence unfolds as a highly </w:t>
      </w:r>
      <w:r w:rsidR="00C020C4" w:rsidRPr="00050DAE">
        <w:t>ritualised</w:t>
      </w:r>
      <w:r w:rsidR="00B76AC3" w:rsidRPr="00050DAE">
        <w:t xml:space="preserve"> process in which each removal strips away status, power, and identity</w:t>
      </w:r>
      <w:r w:rsidR="00D77CEE" w:rsidRPr="00050DAE">
        <w:t>, making the</w:t>
      </w:r>
      <w:r w:rsidR="00B76AC3" w:rsidRPr="00050DAE">
        <w:t xml:space="preserve"> gates function as ritual stages rather than simple narrative obstacles</w:t>
      </w:r>
      <w:r w:rsidR="00D77CEE" w:rsidRPr="00050DAE">
        <w:t xml:space="preserve"> and</w:t>
      </w:r>
      <w:r w:rsidR="00B76AC3" w:rsidRPr="00050DAE">
        <w:t xml:space="preserve"> marking the gradual dismantling of the goddess</w:t>
      </w:r>
      <w:r w:rsidR="008301DC" w:rsidRPr="00050DAE">
        <w:t>’</w:t>
      </w:r>
      <w:r w:rsidR="00B76AC3" w:rsidRPr="00050DAE">
        <w:t>s visible sovereignty before her encounter with death below.</w:t>
      </w:r>
      <w:r w:rsidR="00D77CEE" w:rsidRPr="00050DAE">
        <w:rPr>
          <w:vertAlign w:val="superscript"/>
        </w:rPr>
        <w:footnoteReference w:id="105"/>
      </w:r>
    </w:p>
    <w:p w14:paraId="693B3536" w14:textId="26DAFB2F" w:rsidR="00B76AC3" w:rsidRPr="00050DAE" w:rsidRDefault="00B76AC3" w:rsidP="00EE6050">
      <w:pPr>
        <w:pStyle w:val="UWTSDindent"/>
      </w:pPr>
      <w:r w:rsidRPr="00050DAE">
        <w:t xml:space="preserve">Structurally, the gate sequence stages a progressive inversion of divine power. </w:t>
      </w:r>
      <w:r w:rsidR="00A33FF2" w:rsidRPr="00050DAE">
        <w:t>Each gate diminishes Inanna</w:t>
      </w:r>
      <w:r w:rsidR="008301DC" w:rsidRPr="00050DAE">
        <w:t>’</w:t>
      </w:r>
      <w:r w:rsidR="00A33FF2" w:rsidRPr="00050DAE">
        <w:t xml:space="preserve">s visible sovereignty until the opposition between celestial authority and Netherworld law is resolved through the collapse of her former status. </w:t>
      </w:r>
      <w:r w:rsidRPr="00050DAE">
        <w:t>Descent is therefore transformed from movement between locations into an ontological transition governed by ritual divestment.</w:t>
      </w:r>
    </w:p>
    <w:p w14:paraId="0FE02C3A" w14:textId="53EAD2EF" w:rsidR="00901870" w:rsidRPr="00050DAE" w:rsidRDefault="00B468C7" w:rsidP="005E54E1">
      <w:pPr>
        <w:pStyle w:val="UWTSDindent"/>
      </w:pPr>
      <w:r w:rsidRPr="00050DAE">
        <w:t>Like a burial, the stripping gradually removes Inanna</w:t>
      </w:r>
      <w:r w:rsidR="008301DC" w:rsidRPr="00050DAE">
        <w:t>’</w:t>
      </w:r>
      <w:r w:rsidRPr="00050DAE">
        <w:t>s identity and authority</w:t>
      </w:r>
      <w:r w:rsidR="0006016B" w:rsidRPr="00050DAE">
        <w:t>.</w:t>
      </w:r>
      <w:r w:rsidR="0006016B" w:rsidRPr="00050DAE">
        <w:rPr>
          <w:vertAlign w:val="superscript"/>
        </w:rPr>
        <w:footnoteReference w:id="106"/>
      </w:r>
      <w:r w:rsidR="0006016B" w:rsidRPr="00050DAE">
        <w:t xml:space="preserve"> The evidentiary record repeatedly frames this divestment as necessary for entry into the realm of death. Inanna enters the Netherworld not as a queen but as a subject.</w:t>
      </w:r>
      <w:r w:rsidR="00AC09E4" w:rsidRPr="00050DAE">
        <w:rPr>
          <w:rStyle w:val="FootnoteReference"/>
        </w:rPr>
        <w:footnoteReference w:id="107"/>
      </w:r>
      <w:r w:rsidR="0006016B" w:rsidRPr="00050DAE">
        <w:t xml:space="preserve"> </w:t>
      </w:r>
      <w:r w:rsidR="005E2390" w:rsidRPr="00050DAE">
        <w:t xml:space="preserve">This </w:t>
      </w:r>
      <w:r w:rsidR="00C020C4" w:rsidRPr="00050DAE">
        <w:t>ritualised</w:t>
      </w:r>
      <w:r w:rsidR="005E2390" w:rsidRPr="00050DAE">
        <w:t xml:space="preserve"> reduction parallels initiation rites in which the removal of status precedes transformation into a new ontological state, in which candidates are symbolically emptied before transformation.</w:t>
      </w:r>
      <w:r w:rsidR="005E54E1" w:rsidRPr="00050DAE">
        <w:t xml:space="preserve"> </w:t>
      </w:r>
    </w:p>
    <w:p w14:paraId="449587E0" w14:textId="63E8ED82" w:rsidR="0006016B" w:rsidRPr="00050DAE" w:rsidRDefault="009B7970" w:rsidP="0006016B">
      <w:pPr>
        <w:keepNext/>
        <w:keepLines/>
        <w:spacing w:before="160" w:after="80"/>
        <w:outlineLvl w:val="1"/>
        <w:rPr>
          <w:rFonts w:asciiTheme="majorBidi" w:eastAsiaTheme="majorEastAsia" w:hAnsiTheme="majorBidi" w:cstheme="majorBidi"/>
          <w:sz w:val="32"/>
          <w:szCs w:val="32"/>
        </w:rPr>
      </w:pPr>
      <w:bookmarkStart w:id="90" w:name="_Toc234140243"/>
      <w:bookmarkStart w:id="91" w:name="_Toc234140494"/>
      <w:bookmarkStart w:id="92" w:name="_Toc234143674"/>
      <w:bookmarkStart w:id="93" w:name="_Toc234154303"/>
      <w:r w:rsidRPr="00050DAE">
        <w:rPr>
          <w:rFonts w:asciiTheme="majorBidi" w:eastAsiaTheme="majorEastAsia" w:hAnsiTheme="majorBidi" w:cstheme="majorBidi"/>
          <w:sz w:val="32"/>
          <w:szCs w:val="32"/>
        </w:rPr>
        <w:t>3</w:t>
      </w:r>
      <w:r w:rsidR="0006016B" w:rsidRPr="00050DAE">
        <w:rPr>
          <w:rFonts w:asciiTheme="majorBidi" w:eastAsiaTheme="majorEastAsia" w:hAnsiTheme="majorBidi" w:cstheme="majorBidi"/>
          <w:sz w:val="32"/>
          <w:szCs w:val="32"/>
        </w:rPr>
        <w:t>.2 The Undiscovered Country</w:t>
      </w:r>
      <w:bookmarkEnd w:id="90"/>
      <w:bookmarkEnd w:id="91"/>
      <w:bookmarkEnd w:id="92"/>
      <w:bookmarkEnd w:id="93"/>
    </w:p>
    <w:p w14:paraId="378A8414" w14:textId="22B36CEA" w:rsidR="0006016B" w:rsidRPr="00050DAE" w:rsidRDefault="00FF4E7B" w:rsidP="00EE6050">
      <w:pPr>
        <w:pStyle w:val="UWTSDindent"/>
        <w:rPr>
          <w:rFonts w:eastAsia="Times New Roman"/>
          <w:kern w:val="0"/>
          <w:szCs w:val="24"/>
          <w:lang w:eastAsia="en-GB"/>
          <w14:ligatures w14:val="none"/>
        </w:rPr>
      </w:pPr>
      <w:r w:rsidRPr="00050DAE">
        <w:t xml:space="preserve">The descent </w:t>
      </w:r>
      <w:r w:rsidR="006E0FED" w:rsidRPr="00050DAE">
        <w:t>tablets</w:t>
      </w:r>
      <w:r w:rsidRPr="00050DAE">
        <w:t xml:space="preserve"> consistently portray Ereškigal as an autonomous ruler whose authority within the Netherworld operates independently of the gods above.</w:t>
      </w:r>
      <w:r w:rsidR="0006016B" w:rsidRPr="00050DAE">
        <w:rPr>
          <w:vertAlign w:val="superscript"/>
        </w:rPr>
        <w:footnoteReference w:id="108"/>
      </w:r>
      <w:r w:rsidR="0006016B" w:rsidRPr="00050DAE">
        <w:t xml:space="preserve"> </w:t>
      </w:r>
      <w:r w:rsidR="003C5597" w:rsidRPr="00050DAE">
        <w:t xml:space="preserve">Mesopotamian cosmology depicts the Netherworld as governed by a fixed and </w:t>
      </w:r>
      <w:r w:rsidR="00EE1D02" w:rsidRPr="00050DAE">
        <w:t>unassailable</w:t>
      </w:r>
      <w:r w:rsidR="003C5597" w:rsidRPr="00050DAE">
        <w:t xml:space="preserve"> authority.</w:t>
      </w:r>
      <w:r w:rsidR="005E2390" w:rsidRPr="00050DAE">
        <w:t xml:space="preserve"> </w:t>
      </w:r>
      <w:r w:rsidR="00064242" w:rsidRPr="00050DAE">
        <w:t>Inanna</w:t>
      </w:r>
      <w:r w:rsidR="008301DC" w:rsidRPr="00050DAE">
        <w:t>’</w:t>
      </w:r>
      <w:r w:rsidR="00064242" w:rsidRPr="00050DAE">
        <w:t>s encounter with Ereškigal brings two distinct forms of divine authority into direct tension: celestial sovereignty and chthonic rule.</w:t>
      </w:r>
      <w:r w:rsidR="0006016B" w:rsidRPr="00050DAE">
        <w:rPr>
          <w:rFonts w:eastAsia="Times New Roman"/>
          <w:kern w:val="0"/>
          <w:szCs w:val="24"/>
          <w:lang w:eastAsia="en-GB"/>
          <w14:ligatures w14:val="none"/>
        </w:rPr>
        <w:t xml:space="preserve"> </w:t>
      </w:r>
      <w:r w:rsidR="00064242" w:rsidRPr="00050DAE">
        <w:rPr>
          <w:rFonts w:eastAsia="Times New Roman"/>
          <w:kern w:val="0"/>
          <w:szCs w:val="24"/>
          <w:lang w:eastAsia="en-GB"/>
          <w14:ligatures w14:val="none"/>
        </w:rPr>
        <w:t xml:space="preserve">The narrative leaves little indication that Netherworld </w:t>
      </w:r>
      <w:r w:rsidR="00C020C4" w:rsidRPr="00050DAE">
        <w:rPr>
          <w:rFonts w:eastAsia="Times New Roman"/>
          <w:kern w:val="0"/>
          <w:szCs w:val="24"/>
          <w:lang w:eastAsia="en-GB"/>
          <w14:ligatures w14:val="none"/>
        </w:rPr>
        <w:t>judgement</w:t>
      </w:r>
      <w:r w:rsidR="00064242" w:rsidRPr="00050DAE">
        <w:rPr>
          <w:rFonts w:eastAsia="Times New Roman"/>
          <w:kern w:val="0"/>
          <w:szCs w:val="24"/>
          <w:lang w:eastAsia="en-GB"/>
          <w14:ligatures w14:val="none"/>
        </w:rPr>
        <w:t xml:space="preserve"> can be appealed or reversed once imposed.</w:t>
      </w:r>
      <w:r w:rsidR="0006016B" w:rsidRPr="00050DAE">
        <w:rPr>
          <w:rFonts w:eastAsia="Times New Roman"/>
          <w:kern w:val="0"/>
          <w:szCs w:val="24"/>
          <w:lang w:eastAsia="en-GB"/>
          <w14:ligatures w14:val="none"/>
        </w:rPr>
        <w:t xml:space="preserve"> Inanna is subjected to the </w:t>
      </w:r>
      <w:r w:rsidR="008301DC" w:rsidRPr="00050DAE">
        <w:rPr>
          <w:rFonts w:eastAsia="Times New Roman"/>
          <w:kern w:val="0"/>
          <w:szCs w:val="24"/>
          <w:lang w:eastAsia="en-GB"/>
          <w14:ligatures w14:val="none"/>
        </w:rPr>
        <w:t>“</w:t>
      </w:r>
      <w:r w:rsidR="0006016B" w:rsidRPr="00050DAE">
        <w:rPr>
          <w:rFonts w:eastAsia="Times New Roman"/>
          <w:kern w:val="0"/>
          <w:szCs w:val="24"/>
          <w:lang w:eastAsia="en-GB"/>
          <w14:ligatures w14:val="none"/>
        </w:rPr>
        <w:t>eye of death,</w:t>
      </w:r>
      <w:r w:rsidR="008301DC" w:rsidRPr="00050DAE">
        <w:rPr>
          <w:rFonts w:eastAsia="Times New Roman"/>
          <w:kern w:val="0"/>
          <w:szCs w:val="24"/>
          <w:lang w:eastAsia="en-GB"/>
          <w14:ligatures w14:val="none"/>
        </w:rPr>
        <w:t>”</w:t>
      </w:r>
      <w:r w:rsidR="0006016B" w:rsidRPr="00050DAE">
        <w:rPr>
          <w:rFonts w:eastAsia="Times New Roman"/>
          <w:kern w:val="0"/>
          <w:szCs w:val="24"/>
          <w:lang w:eastAsia="en-GB"/>
          <w14:ligatures w14:val="none"/>
        </w:rPr>
        <w:t xml:space="preserve"> struck down, and transformed into a corpse. </w:t>
      </w:r>
      <w:r w:rsidR="00064242" w:rsidRPr="00050DAE">
        <w:rPr>
          <w:rFonts w:eastAsia="Times New Roman"/>
          <w:kern w:val="0"/>
          <w:szCs w:val="24"/>
          <w:lang w:eastAsia="en-GB"/>
          <w14:ligatures w14:val="none"/>
        </w:rPr>
        <w:t>Inanna</w:t>
      </w:r>
      <w:r w:rsidR="008301DC" w:rsidRPr="00050DAE">
        <w:rPr>
          <w:rFonts w:eastAsia="Times New Roman"/>
          <w:kern w:val="0"/>
          <w:szCs w:val="24"/>
          <w:lang w:eastAsia="en-GB"/>
          <w14:ligatures w14:val="none"/>
        </w:rPr>
        <w:t>’</w:t>
      </w:r>
      <w:r w:rsidR="00064242" w:rsidRPr="00050DAE">
        <w:rPr>
          <w:rFonts w:eastAsia="Times New Roman"/>
          <w:kern w:val="0"/>
          <w:szCs w:val="24"/>
          <w:lang w:eastAsia="en-GB"/>
          <w14:ligatures w14:val="none"/>
        </w:rPr>
        <w:t xml:space="preserve">s corpse is suspended publicly within the Netherworld, reinforcing both the finality of </w:t>
      </w:r>
      <w:r w:rsidR="00C020C4" w:rsidRPr="00050DAE">
        <w:rPr>
          <w:rFonts w:eastAsia="Times New Roman"/>
          <w:kern w:val="0"/>
          <w:szCs w:val="24"/>
          <w:lang w:eastAsia="en-GB"/>
          <w14:ligatures w14:val="none"/>
        </w:rPr>
        <w:t>judgement</w:t>
      </w:r>
      <w:r w:rsidR="00064242" w:rsidRPr="00050DAE">
        <w:rPr>
          <w:rFonts w:eastAsia="Times New Roman"/>
          <w:kern w:val="0"/>
          <w:szCs w:val="24"/>
          <w:lang w:eastAsia="en-GB"/>
          <w14:ligatures w14:val="none"/>
        </w:rPr>
        <w:t xml:space="preserve"> and the complete collapse of her former authority.</w:t>
      </w:r>
      <w:r w:rsidR="0006016B" w:rsidRPr="00050DAE">
        <w:rPr>
          <w:rFonts w:eastAsia="Times New Roman"/>
          <w:kern w:val="0"/>
          <w:szCs w:val="24"/>
          <w:vertAlign w:val="superscript"/>
          <w:lang w:eastAsia="en-GB"/>
          <w14:ligatures w14:val="none"/>
        </w:rPr>
        <w:footnoteReference w:id="109"/>
      </w:r>
    </w:p>
    <w:p w14:paraId="57F9C131" w14:textId="1679DB69" w:rsidR="0006016B" w:rsidRPr="00050DAE" w:rsidRDefault="00587E80" w:rsidP="00126F4D">
      <w:pPr>
        <w:pStyle w:val="UWTSDindent"/>
        <w:rPr>
          <w:lang w:eastAsia="en-GB"/>
        </w:rPr>
      </w:pPr>
      <w:r w:rsidRPr="00050DAE">
        <w:rPr>
          <w:lang w:eastAsia="en-GB"/>
        </w:rPr>
        <w:t>Here, d</w:t>
      </w:r>
      <w:r w:rsidR="0006016B" w:rsidRPr="00050DAE">
        <w:rPr>
          <w:lang w:eastAsia="en-GB"/>
        </w:rPr>
        <w:t>eath is absolute.</w:t>
      </w:r>
      <w:r w:rsidR="0006016B" w:rsidRPr="00050DAE">
        <w:rPr>
          <w:vertAlign w:val="superscript"/>
          <w:lang w:eastAsia="en-GB"/>
        </w:rPr>
        <w:footnoteReference w:id="110"/>
      </w:r>
      <w:r w:rsidR="0006016B" w:rsidRPr="00050DAE">
        <w:rPr>
          <w:lang w:eastAsia="en-GB"/>
        </w:rPr>
        <w:t xml:space="preserve"> </w:t>
      </w:r>
      <w:r w:rsidR="00AF08E1" w:rsidRPr="00050DAE">
        <w:rPr>
          <w:lang w:eastAsia="en-GB"/>
        </w:rPr>
        <w:t xml:space="preserve">Unlike </w:t>
      </w:r>
      <w:r w:rsidR="006E0FED" w:rsidRPr="00050DAE">
        <w:rPr>
          <w:lang w:eastAsia="en-GB"/>
        </w:rPr>
        <w:t>some</w:t>
      </w:r>
      <w:r w:rsidR="00AF08E1" w:rsidRPr="00050DAE">
        <w:rPr>
          <w:lang w:eastAsia="en-GB"/>
        </w:rPr>
        <w:t xml:space="preserve"> Greek </w:t>
      </w:r>
      <w:r w:rsidR="006E0FED" w:rsidRPr="00050DAE">
        <w:rPr>
          <w:lang w:eastAsia="en-GB"/>
        </w:rPr>
        <w:t>conceptions</w:t>
      </w:r>
      <w:r w:rsidR="00AF08E1" w:rsidRPr="00050DAE">
        <w:rPr>
          <w:lang w:eastAsia="en-GB"/>
        </w:rPr>
        <w:t xml:space="preserve">, where return emerges through negotiation, or the Ugaritic </w:t>
      </w:r>
      <w:r w:rsidR="006E0FED" w:rsidRPr="00050DAE">
        <w:rPr>
          <w:lang w:eastAsia="en-GB"/>
        </w:rPr>
        <w:t>conception</w:t>
      </w:r>
      <w:r w:rsidR="00AF08E1" w:rsidRPr="00050DAE">
        <w:rPr>
          <w:lang w:eastAsia="en-GB"/>
        </w:rPr>
        <w:t xml:space="preserve">, where death is confronted directly, the Mesopotamian descent </w:t>
      </w:r>
      <w:r w:rsidR="006E0FED" w:rsidRPr="00050DAE">
        <w:rPr>
          <w:lang w:eastAsia="en-GB"/>
        </w:rPr>
        <w:t>text</w:t>
      </w:r>
      <w:r w:rsidR="00AF08E1" w:rsidRPr="00050DAE">
        <w:rPr>
          <w:lang w:eastAsia="en-GB"/>
        </w:rPr>
        <w:t xml:space="preserve"> presents death as binding and irreversible without substitution. The narrative gives little indication that Inanna</w:t>
      </w:r>
      <w:r w:rsidR="008301DC" w:rsidRPr="00050DAE">
        <w:rPr>
          <w:lang w:eastAsia="en-GB"/>
        </w:rPr>
        <w:t>’</w:t>
      </w:r>
      <w:r w:rsidR="00AF08E1" w:rsidRPr="00050DAE">
        <w:rPr>
          <w:lang w:eastAsia="en-GB"/>
        </w:rPr>
        <w:t>s death should be understood as symbolic, dreamlike, or temporary. Her death consequently disrupts fertility, sexuality, and social continuity above the Netherworld</w:t>
      </w:r>
      <w:r w:rsidR="0006016B" w:rsidRPr="00050DAE">
        <w:rPr>
          <w:lang w:eastAsia="en-GB"/>
        </w:rPr>
        <w:t>.</w:t>
      </w:r>
      <w:r w:rsidR="0006016B" w:rsidRPr="00050DAE">
        <w:rPr>
          <w:vertAlign w:val="superscript"/>
          <w:lang w:eastAsia="en-GB"/>
        </w:rPr>
        <w:footnoteReference w:id="111"/>
      </w:r>
      <w:r w:rsidR="0006016B" w:rsidRPr="00050DAE">
        <w:rPr>
          <w:lang w:eastAsia="en-GB"/>
        </w:rPr>
        <w:t xml:space="preserve"> </w:t>
      </w:r>
    </w:p>
    <w:p w14:paraId="23754B0C" w14:textId="2EE5E800" w:rsidR="0006016B" w:rsidRPr="00050DAE" w:rsidRDefault="0006016B" w:rsidP="004F601E">
      <w:pPr>
        <w:pStyle w:val="UWTSDindent"/>
      </w:pPr>
      <w:r w:rsidRPr="00050DAE">
        <w:t>Inanna</w:t>
      </w:r>
      <w:r w:rsidR="008301DC" w:rsidRPr="00050DAE">
        <w:t>’</w:t>
      </w:r>
      <w:r w:rsidRPr="00050DAE">
        <w:t xml:space="preserve">s prior arrangements activate </w:t>
      </w:r>
      <w:r w:rsidR="001E6ADC" w:rsidRPr="00050DAE">
        <w:t xml:space="preserve">an </w:t>
      </w:r>
      <w:r w:rsidRPr="00050DAE">
        <w:t>intervention from the upper world, typically through Enki</w:t>
      </w:r>
      <w:r w:rsidR="008301DC" w:rsidRPr="00050DAE">
        <w:t>’</w:t>
      </w:r>
      <w:r w:rsidRPr="00050DAE">
        <w:t>s creation of liminal beings capable of entering the Netherworld without provoking its laws.</w:t>
      </w:r>
      <w:r w:rsidRPr="00050DAE">
        <w:rPr>
          <w:vertAlign w:val="superscript"/>
        </w:rPr>
        <w:footnoteReference w:id="112"/>
      </w:r>
      <w:r w:rsidRPr="00050DAE">
        <w:t xml:space="preserve"> </w:t>
      </w:r>
      <w:r w:rsidR="00064242" w:rsidRPr="00050DAE">
        <w:t xml:space="preserve">Rather than confronting Ereškigal through force, they </w:t>
      </w:r>
      <w:r w:rsidRPr="00050DAE">
        <w:t xml:space="preserve">engage her through empathy, </w:t>
      </w:r>
      <w:r w:rsidR="00C020C4" w:rsidRPr="00050DAE">
        <w:t>recognising</w:t>
      </w:r>
      <w:r w:rsidRPr="00050DAE">
        <w:t xml:space="preserve"> her pain.</w:t>
      </w:r>
      <w:r w:rsidR="004F601E" w:rsidRPr="00050DAE">
        <w:t xml:space="preserve"> </w:t>
      </w:r>
      <w:r w:rsidR="00326E3D" w:rsidRPr="00050DAE">
        <w:t>In contrast to</w:t>
      </w:r>
      <w:r w:rsidR="004F601E" w:rsidRPr="00050DAE">
        <w:t xml:space="preserve"> </w:t>
      </w:r>
      <w:r w:rsidR="00962C3A" w:rsidRPr="00050DAE">
        <w:t xml:space="preserve">later </w:t>
      </w:r>
      <w:r w:rsidR="006E0FED" w:rsidRPr="00050DAE">
        <w:t>treatments</w:t>
      </w:r>
      <w:r w:rsidR="004F601E" w:rsidRPr="00050DAE">
        <w:t>, the resolution emerges through recognition of suffering, a mechanism that differs from both confrontational and mediating models.</w:t>
      </w:r>
      <w:r w:rsidR="00DB0939" w:rsidRPr="00050DAE">
        <w:t xml:space="preserve"> </w:t>
      </w:r>
      <w:r w:rsidRPr="00050DAE">
        <w:t xml:space="preserve">This detail </w:t>
      </w:r>
      <w:r w:rsidR="00DA0AE5" w:rsidRPr="00050DAE">
        <w:t>stands as</w:t>
      </w:r>
      <w:r w:rsidRPr="00050DAE">
        <w:t xml:space="preserve"> structurally significant. </w:t>
      </w:r>
      <w:r w:rsidR="00A76B73" w:rsidRPr="00050DAE">
        <w:t>While agreeing with interpretations that emphasise the juridical character of the Netherworld, this dissertation argues that the narrative's resolution depends equally upon the acknowledgement of Ereškigal's suffering. The opposition between death and restoration is mediated not through conquest but through empathy, as Ereškigal releases Inanna only after her anguish is recognised.</w:t>
      </w:r>
      <w:r w:rsidRPr="00050DAE">
        <w:rPr>
          <w:vertAlign w:val="superscript"/>
        </w:rPr>
        <w:footnoteReference w:id="113"/>
      </w:r>
      <w:r w:rsidRPr="00050DAE">
        <w:t xml:space="preserve"> </w:t>
      </w:r>
      <w:r w:rsidR="00064242" w:rsidRPr="00050DAE">
        <w:t xml:space="preserve">Her release does not overturn Netherworld order so much as shift the narrative </w:t>
      </w:r>
      <w:r w:rsidR="0091193A" w:rsidRPr="00050DAE">
        <w:t>towards</w:t>
      </w:r>
      <w:r w:rsidR="00064242" w:rsidRPr="00050DAE">
        <w:t xml:space="preserve"> the problem of substitution and compensatory return.</w:t>
      </w:r>
      <w:r w:rsidRPr="00050DAE">
        <w:rPr>
          <w:vertAlign w:val="superscript"/>
        </w:rPr>
        <w:footnoteReference w:id="114"/>
      </w:r>
    </w:p>
    <w:p w14:paraId="65CCC175" w14:textId="023E0633" w:rsidR="0006016B" w:rsidRPr="00050DAE" w:rsidRDefault="009B7970" w:rsidP="0006016B">
      <w:pPr>
        <w:keepNext/>
        <w:keepLines/>
        <w:spacing w:before="160" w:after="80"/>
        <w:outlineLvl w:val="1"/>
        <w:rPr>
          <w:rFonts w:asciiTheme="majorBidi" w:eastAsiaTheme="majorEastAsia" w:hAnsiTheme="majorBidi" w:cstheme="majorBidi"/>
          <w:sz w:val="32"/>
          <w:szCs w:val="32"/>
        </w:rPr>
      </w:pPr>
      <w:bookmarkStart w:id="94" w:name="_Toc234140244"/>
      <w:bookmarkStart w:id="95" w:name="_Toc234140495"/>
      <w:bookmarkStart w:id="96" w:name="_Toc234143675"/>
      <w:bookmarkStart w:id="97" w:name="_Toc234154304"/>
      <w:r w:rsidRPr="00050DAE">
        <w:rPr>
          <w:rFonts w:asciiTheme="majorBidi" w:eastAsiaTheme="majorEastAsia" w:hAnsiTheme="majorBidi" w:cstheme="majorBidi"/>
          <w:sz w:val="32"/>
          <w:szCs w:val="32"/>
        </w:rPr>
        <w:t>3</w:t>
      </w:r>
      <w:r w:rsidR="0006016B" w:rsidRPr="00050DAE">
        <w:rPr>
          <w:rFonts w:asciiTheme="majorBidi" w:eastAsiaTheme="majorEastAsia" w:hAnsiTheme="majorBidi" w:cstheme="majorBidi"/>
          <w:sz w:val="32"/>
          <w:szCs w:val="32"/>
        </w:rPr>
        <w:t>.3 Consequences</w:t>
      </w:r>
      <w:bookmarkEnd w:id="94"/>
      <w:bookmarkEnd w:id="95"/>
      <w:bookmarkEnd w:id="96"/>
      <w:bookmarkEnd w:id="97"/>
    </w:p>
    <w:p w14:paraId="0FC4DB13" w14:textId="0511B616" w:rsidR="0006016B" w:rsidRPr="00050DAE" w:rsidRDefault="0006016B" w:rsidP="00AF08E1">
      <w:pPr>
        <w:pStyle w:val="UWTSDindent"/>
      </w:pPr>
      <w:r w:rsidRPr="00050DAE">
        <w:t>Inanna</w:t>
      </w:r>
      <w:r w:rsidR="008301DC" w:rsidRPr="00050DAE">
        <w:t>’</w:t>
      </w:r>
      <w:r w:rsidRPr="00050DAE">
        <w:t>s revival is accomplished through the sprinkling of the grass and water of life.</w:t>
      </w:r>
      <w:r w:rsidRPr="00050DAE">
        <w:rPr>
          <w:vertAlign w:val="superscript"/>
        </w:rPr>
        <w:footnoteReference w:id="115"/>
      </w:r>
      <w:r w:rsidR="001B5C3B" w:rsidRPr="00050DAE">
        <w:t xml:space="preserve"> </w:t>
      </w:r>
      <w:r w:rsidR="00AF08E1" w:rsidRPr="00050DAE">
        <w:t>Her restoration, however, remains conditional. Although she returns to life, she cannot leave the Netherworld freely, since return requires substitution.</w:t>
      </w:r>
      <w:r w:rsidRPr="00050DAE">
        <w:rPr>
          <w:vertAlign w:val="superscript"/>
        </w:rPr>
        <w:footnoteReference w:id="116"/>
      </w:r>
      <w:r w:rsidRPr="00050DAE">
        <w:t xml:space="preserve"> </w:t>
      </w:r>
      <w:r w:rsidR="00AF08E1" w:rsidRPr="00050DAE">
        <w:t xml:space="preserve">Even Inanna, bearer of the </w:t>
      </w:r>
      <w:r w:rsidR="00AF08E1" w:rsidRPr="00050DAE">
        <w:rPr>
          <w:b/>
          <w:bCs/>
          <w:i/>
          <w:iCs/>
        </w:rPr>
        <w:t>me</w:t>
      </w:r>
      <w:r w:rsidR="00AF08E1" w:rsidRPr="00050DAE">
        <w:t xml:space="preserve"> and sovereign across multiple domains, remains subject to the obligations governing death and exchange. Her selection of Dumuzi transforms the sacred marriage into a mechanism of substitution, demonstrating that restoration is achieved not through triumph over death but through the redistribution of its consequences.</w:t>
      </w:r>
      <w:r w:rsidRPr="00050DAE">
        <w:t xml:space="preserve"> Inanna</w:t>
      </w:r>
      <w:r w:rsidR="008301DC" w:rsidRPr="00050DAE">
        <w:t>’</w:t>
      </w:r>
      <w:r w:rsidRPr="00050DAE">
        <w:t>s choice of Dumuzi brings their sacred marriage to its inevitable conclusion</w:t>
      </w:r>
      <w:r w:rsidR="002C6D49" w:rsidRPr="00050DAE">
        <w:t xml:space="preserve"> since </w:t>
      </w:r>
      <w:r w:rsidR="008301DC" w:rsidRPr="00050DAE">
        <w:t>“</w:t>
      </w:r>
      <w:r w:rsidR="002C6D49" w:rsidRPr="00050DAE">
        <w:t>Inanna, the First Daughter of the Moon, Decreed the fate of Dumuzi</w:t>
      </w:r>
      <w:r w:rsidR="00AE7D72" w:rsidRPr="00050DAE">
        <w:t>.</w:t>
      </w:r>
      <w:r w:rsidR="008301DC" w:rsidRPr="00050DAE">
        <w:t>”</w:t>
      </w:r>
      <w:r w:rsidR="002C6D49" w:rsidRPr="00050DAE">
        <w:rPr>
          <w:rStyle w:val="FootnoteReference"/>
        </w:rPr>
        <w:footnoteReference w:id="117"/>
      </w:r>
    </w:p>
    <w:p w14:paraId="0E151CE1" w14:textId="76B104E0" w:rsidR="0006016B" w:rsidRPr="00050DAE" w:rsidRDefault="00EA40E1" w:rsidP="00EA40E1">
      <w:pPr>
        <w:pStyle w:val="UWTSDindent"/>
      </w:pPr>
      <w:r w:rsidRPr="00050DAE">
        <w:t>Although allegorical and psychological interpretations remain influential, the text</w:t>
      </w:r>
      <w:r w:rsidR="008301DC" w:rsidRPr="00050DAE">
        <w:t>’</w:t>
      </w:r>
      <w:r w:rsidRPr="00050DAE">
        <w:t>s ritual precision and emphasis on irreversible consequence resist reduction to purely symbolic readings.</w:t>
      </w:r>
      <w:r w:rsidR="0006016B" w:rsidRPr="00050DAE">
        <w:rPr>
          <w:vertAlign w:val="superscript"/>
        </w:rPr>
        <w:footnoteReference w:id="118"/>
      </w:r>
      <w:r w:rsidR="0006016B" w:rsidRPr="00050DAE">
        <w:t xml:space="preserve"> Inanna survives, but at a cost that must be borne elsewhere.</w:t>
      </w:r>
    </w:p>
    <w:p w14:paraId="697CEED8" w14:textId="6A60BD1C" w:rsidR="0006016B" w:rsidRPr="00050DAE" w:rsidRDefault="002C6D49" w:rsidP="0006016B">
      <w:pPr>
        <w:keepNext/>
        <w:keepLines/>
        <w:spacing w:before="160" w:after="80"/>
        <w:outlineLvl w:val="1"/>
        <w:rPr>
          <w:rFonts w:asciiTheme="majorBidi" w:eastAsiaTheme="majorEastAsia" w:hAnsiTheme="majorBidi" w:cstheme="majorBidi"/>
          <w:sz w:val="32"/>
          <w:szCs w:val="32"/>
        </w:rPr>
      </w:pPr>
      <w:bookmarkStart w:id="98" w:name="_Toc234140245"/>
      <w:bookmarkStart w:id="99" w:name="_Toc234140496"/>
      <w:bookmarkStart w:id="100" w:name="_Toc234143676"/>
      <w:bookmarkStart w:id="101" w:name="_Toc234154305"/>
      <w:r w:rsidRPr="00050DAE">
        <w:rPr>
          <w:rFonts w:asciiTheme="majorBidi" w:eastAsiaTheme="majorEastAsia" w:hAnsiTheme="majorBidi" w:cstheme="majorBidi"/>
          <w:sz w:val="32"/>
          <w:szCs w:val="32"/>
        </w:rPr>
        <w:t>3</w:t>
      </w:r>
      <w:r w:rsidR="0006016B" w:rsidRPr="00050DAE">
        <w:rPr>
          <w:rFonts w:asciiTheme="majorBidi" w:eastAsiaTheme="majorEastAsia" w:hAnsiTheme="majorBidi" w:cstheme="majorBidi"/>
          <w:sz w:val="32"/>
          <w:szCs w:val="32"/>
        </w:rPr>
        <w:t>.4 Sumerian and Akkadian Descent</w:t>
      </w:r>
      <w:bookmarkEnd w:id="98"/>
      <w:bookmarkEnd w:id="99"/>
      <w:bookmarkEnd w:id="100"/>
      <w:bookmarkEnd w:id="101"/>
    </w:p>
    <w:p w14:paraId="78E3D08C" w14:textId="412214E9" w:rsidR="0006016B" w:rsidRPr="00050DAE" w:rsidRDefault="0006016B" w:rsidP="00EE6050">
      <w:pPr>
        <w:pStyle w:val="UWTSDindent"/>
      </w:pPr>
      <w:r w:rsidRPr="00050DAE">
        <w:t xml:space="preserve">The Sumerian </w:t>
      </w:r>
      <w:r w:rsidRPr="00050DAE">
        <w:rPr>
          <w:i/>
          <w:iCs/>
        </w:rPr>
        <w:t>Inan</w:t>
      </w:r>
      <w:r w:rsidR="00E844B5" w:rsidRPr="00050DAE">
        <w:rPr>
          <w:i/>
          <w:iCs/>
        </w:rPr>
        <w:t>n</w:t>
      </w:r>
      <w:r w:rsidRPr="00050DAE">
        <w:rPr>
          <w:i/>
          <w:iCs/>
        </w:rPr>
        <w:t>a</w:t>
      </w:r>
      <w:r w:rsidR="008301DC" w:rsidRPr="00050DAE">
        <w:rPr>
          <w:i/>
          <w:iCs/>
        </w:rPr>
        <w:t>’</w:t>
      </w:r>
      <w:r w:rsidRPr="00050DAE">
        <w:rPr>
          <w:i/>
          <w:iCs/>
        </w:rPr>
        <w:t>s Descent to the Netherworld</w:t>
      </w:r>
      <w:r w:rsidRPr="00050DAE">
        <w:t xml:space="preserve"> presents the journey as a rigorously </w:t>
      </w:r>
      <w:r w:rsidR="00262E8E" w:rsidRPr="00050DAE">
        <w:t>defined</w:t>
      </w:r>
      <w:r w:rsidRPr="00050DAE">
        <w:t xml:space="preserve"> process.</w:t>
      </w:r>
      <w:r w:rsidRPr="00050DAE">
        <w:rPr>
          <w:vertAlign w:val="superscript"/>
        </w:rPr>
        <w:footnoteReference w:id="119"/>
      </w:r>
      <w:r w:rsidRPr="00050DAE">
        <w:t xml:space="preserve"> Inanna announces her intention to descend, equips herself with regalia, appoints a surrogate administrator in her absence, and gives explicit instructions for intervention should she fail to return. </w:t>
      </w:r>
      <w:r w:rsidR="00EA40E1" w:rsidRPr="00050DAE">
        <w:t>These preparations suggest that the goddess enters the Netherworld fully aware of the risks associated with the journey rather than acting impulsively or unknowingly.</w:t>
      </w:r>
      <w:r w:rsidRPr="00050DAE">
        <w:rPr>
          <w:vertAlign w:val="superscript"/>
        </w:rPr>
        <w:footnoteReference w:id="120"/>
      </w:r>
    </w:p>
    <w:p w14:paraId="56C48345" w14:textId="7A6C6773" w:rsidR="0006016B" w:rsidRPr="00050DAE" w:rsidRDefault="0006016B" w:rsidP="00EE6050">
      <w:pPr>
        <w:pStyle w:val="UWTSDindent"/>
      </w:pPr>
      <w:r w:rsidRPr="00050DAE">
        <w:t>The gate sequence in the Sumerian version is explicit and methodical.</w:t>
      </w:r>
      <w:r w:rsidRPr="00050DAE">
        <w:rPr>
          <w:vertAlign w:val="superscript"/>
        </w:rPr>
        <w:footnoteReference w:id="121"/>
      </w:r>
      <w:r w:rsidRPr="00050DAE">
        <w:t xml:space="preserve"> Inanna claims she is there to mourn for </w:t>
      </w:r>
      <w:r w:rsidR="00DA31B3" w:rsidRPr="00050DAE">
        <w:t>Ereškigal</w:t>
      </w:r>
      <w:r w:rsidR="008301DC" w:rsidRPr="00050DAE">
        <w:t>’</w:t>
      </w:r>
      <w:r w:rsidRPr="00050DAE">
        <w:t>s husband, the Bull of Heaven, that was recently killed.</w:t>
      </w:r>
      <w:r w:rsidR="002C6D49" w:rsidRPr="00050DAE">
        <w:rPr>
          <w:vertAlign w:val="superscript"/>
        </w:rPr>
        <w:footnoteReference w:id="122"/>
      </w:r>
      <w:r w:rsidRPr="00050DAE">
        <w:t xml:space="preserve"> </w:t>
      </w:r>
      <w:r w:rsidR="002C6D49" w:rsidRPr="00050DAE">
        <w:t>Ištar</w:t>
      </w:r>
      <w:r w:rsidRPr="00050DAE">
        <w:t xml:space="preserve"> states that she is there to </w:t>
      </w:r>
      <w:r w:rsidR="008301DC" w:rsidRPr="00050DAE">
        <w:t>“</w:t>
      </w:r>
      <w:r w:rsidRPr="00050DAE">
        <w:t xml:space="preserve">weep for </w:t>
      </w:r>
      <w:r w:rsidR="008301DC" w:rsidRPr="00050DAE">
        <w:t>‘</w:t>
      </w:r>
      <w:r w:rsidRPr="00050DAE">
        <w:t>the young men who have left their wives,</w:t>
      </w:r>
      <w:r w:rsidR="008301DC" w:rsidRPr="00050DAE">
        <w:t>’</w:t>
      </w:r>
      <w:r w:rsidRPr="00050DAE">
        <w:t xml:space="preserve"> weep for </w:t>
      </w:r>
      <w:r w:rsidR="008301DC" w:rsidRPr="00050DAE">
        <w:t>‘</w:t>
      </w:r>
      <w:r w:rsidRPr="00050DAE">
        <w:t>the young men who have left their wives,</w:t>
      </w:r>
      <w:r w:rsidR="008301DC" w:rsidRPr="00050DAE">
        <w:t>’</w:t>
      </w:r>
      <w:r w:rsidRPr="00050DAE">
        <w:t xml:space="preserve"> </w:t>
      </w:r>
      <w:r w:rsidR="008301DC" w:rsidRPr="00050DAE">
        <w:t>‘</w:t>
      </w:r>
      <w:r w:rsidRPr="00050DAE">
        <w:t>the young women who have been torn from their husbands,</w:t>
      </w:r>
      <w:r w:rsidR="008301DC" w:rsidRPr="00050DAE">
        <w:t>’</w:t>
      </w:r>
      <w:r w:rsidRPr="00050DAE">
        <w:t xml:space="preserve"> </w:t>
      </w:r>
      <w:r w:rsidR="008301DC" w:rsidRPr="00050DAE">
        <w:t>‘</w:t>
      </w:r>
      <w:r w:rsidRPr="00050DAE">
        <w:t>the young child who has been snatched away before his time.</w:t>
      </w:r>
      <w:r w:rsidR="008301DC" w:rsidRPr="00050DAE">
        <w:t>’”</w:t>
      </w:r>
      <w:r w:rsidR="002C6D49" w:rsidRPr="00050DAE">
        <w:t xml:space="preserve"> </w:t>
      </w:r>
      <w:r w:rsidRPr="00050DAE">
        <w:t xml:space="preserve">At each gate, Inanna is stripped of a specific </w:t>
      </w:r>
      <w:r w:rsidR="00DA31B3" w:rsidRPr="00050DAE">
        <w:t>insignia</w:t>
      </w:r>
      <w:r w:rsidRPr="00050DAE">
        <w:t xml:space="preserve"> of authority. The text </w:t>
      </w:r>
      <w:r w:rsidR="00C020C4" w:rsidRPr="00050DAE">
        <w:t>emphasise</w:t>
      </w:r>
      <w:r w:rsidRPr="00050DAE">
        <w:t xml:space="preserve">s compliance </w:t>
      </w:r>
      <w:r w:rsidR="00FE3B28" w:rsidRPr="00050DAE">
        <w:t>instead of</w:t>
      </w:r>
      <w:r w:rsidRPr="00050DAE">
        <w:t xml:space="preserve"> resistance, underscoring that the Netherworld law operates independently of Inanna</w:t>
      </w:r>
      <w:r w:rsidR="008301DC" w:rsidRPr="00050DAE">
        <w:t>’</w:t>
      </w:r>
      <w:r w:rsidRPr="00050DAE">
        <w:t xml:space="preserve">s prior sovereignty. </w:t>
      </w:r>
      <w:r w:rsidR="00EA40E1" w:rsidRPr="00050DAE">
        <w:t xml:space="preserve">The stripping sequence appears less punitive than </w:t>
      </w:r>
      <w:r w:rsidR="00C020C4" w:rsidRPr="00050DAE">
        <w:t>ritualised</w:t>
      </w:r>
      <w:r w:rsidR="00EA40E1" w:rsidRPr="00050DAE">
        <w:t>, emphasizing submission to Netherworld order rather than arbitrary punishment.</w:t>
      </w:r>
      <w:r w:rsidRPr="00050DAE">
        <w:rPr>
          <w:vertAlign w:val="superscript"/>
        </w:rPr>
        <w:footnoteReference w:id="123"/>
      </w:r>
    </w:p>
    <w:p w14:paraId="4BECC402" w14:textId="7FAB9153" w:rsidR="0006016B" w:rsidRPr="00050DAE" w:rsidRDefault="00C020C4" w:rsidP="00EE6050">
      <w:pPr>
        <w:pStyle w:val="UWTSDindent"/>
      </w:pPr>
      <w:r w:rsidRPr="00050DAE">
        <w:t>Judgement</w:t>
      </w:r>
      <w:r w:rsidR="0006016B" w:rsidRPr="00050DAE">
        <w:t xml:space="preserve"> in the Sumerian version is administered by </w:t>
      </w:r>
      <w:r w:rsidRPr="00050DAE">
        <w:t xml:space="preserve">Ereškigal </w:t>
      </w:r>
      <w:r w:rsidR="0006016B" w:rsidRPr="00050DAE">
        <w:t xml:space="preserve">and the </w:t>
      </w:r>
      <w:r w:rsidR="00435483" w:rsidRPr="00050DAE">
        <w:t>Annuna</w:t>
      </w:r>
      <w:r w:rsidR="0006016B" w:rsidRPr="00050DAE">
        <w:t xml:space="preserve"> as a formal court. Inanna is subjected to the </w:t>
      </w:r>
      <w:r w:rsidR="008301DC" w:rsidRPr="00050DAE">
        <w:t>“</w:t>
      </w:r>
      <w:r w:rsidR="0006016B" w:rsidRPr="00050DAE">
        <w:t>eye of death,</w:t>
      </w:r>
      <w:r w:rsidR="008301DC" w:rsidRPr="00050DAE">
        <w:t>”</w:t>
      </w:r>
      <w:r w:rsidR="0006016B" w:rsidRPr="00050DAE">
        <w:t xml:space="preserve"> executed, and her corpse is displayed.</w:t>
      </w:r>
      <w:r w:rsidR="0006016B" w:rsidRPr="00050DAE">
        <w:rPr>
          <w:vertAlign w:val="superscript"/>
        </w:rPr>
        <w:footnoteReference w:id="124"/>
      </w:r>
      <w:r w:rsidR="0006016B" w:rsidRPr="00050DAE">
        <w:t xml:space="preserve"> </w:t>
      </w:r>
      <w:r w:rsidR="00EA40E1" w:rsidRPr="00050DAE">
        <w:t>The display of Inanna</w:t>
      </w:r>
      <w:r w:rsidR="008301DC" w:rsidRPr="00050DAE">
        <w:t>’</w:t>
      </w:r>
      <w:r w:rsidR="00EA40E1" w:rsidRPr="00050DAE">
        <w:t xml:space="preserve">s corpse reinforces the finality of Netherworld </w:t>
      </w:r>
      <w:r w:rsidRPr="00050DAE">
        <w:t>judgement</w:t>
      </w:r>
      <w:r w:rsidR="00EA40E1" w:rsidRPr="00050DAE">
        <w:t xml:space="preserve"> rather than functioning merely as symbolic humiliation.</w:t>
      </w:r>
    </w:p>
    <w:p w14:paraId="28FFA474" w14:textId="170E313F" w:rsidR="00950448" w:rsidRPr="00050DAE" w:rsidRDefault="0006016B" w:rsidP="00EE6050">
      <w:pPr>
        <w:pStyle w:val="UWTSDindent"/>
      </w:pPr>
      <w:r w:rsidRPr="00050DAE">
        <w:t xml:space="preserve">In contrast, </w:t>
      </w:r>
      <w:r w:rsidR="008D6056" w:rsidRPr="00050DAE">
        <w:t>t</w:t>
      </w:r>
      <w:r w:rsidRPr="00050DAE">
        <w:t xml:space="preserve">he Akkadian </w:t>
      </w:r>
      <w:r w:rsidR="00C3030A" w:rsidRPr="00050DAE">
        <w:rPr>
          <w:i/>
          <w:iCs/>
        </w:rPr>
        <w:t xml:space="preserve">Descent of Ištar to the Netherworld </w:t>
      </w:r>
      <w:r w:rsidRPr="00050DAE">
        <w:t xml:space="preserve">preserves </w:t>
      </w:r>
      <w:r w:rsidR="008D6056" w:rsidRPr="00050DAE">
        <w:t>Inanna</w:t>
      </w:r>
      <w:r w:rsidR="008301DC" w:rsidRPr="00050DAE">
        <w:t>’</w:t>
      </w:r>
      <w:r w:rsidR="008D6056" w:rsidRPr="00050DAE">
        <w:t>s</w:t>
      </w:r>
      <w:r w:rsidRPr="00050DAE">
        <w:t xml:space="preserve"> </w:t>
      </w:r>
      <w:r w:rsidR="00C0249D" w:rsidRPr="00050DAE">
        <w:t>essence</w:t>
      </w:r>
      <w:r w:rsidRPr="00050DAE">
        <w:t xml:space="preserve"> </w:t>
      </w:r>
      <w:r w:rsidR="008D6056" w:rsidRPr="00050DAE">
        <w:t>even while it</w:t>
      </w:r>
      <w:r w:rsidRPr="00050DAE">
        <w:t xml:space="preserve"> intensifies emotional and rhetorical dimensions.</w:t>
      </w:r>
      <w:r w:rsidRPr="00050DAE">
        <w:rPr>
          <w:vertAlign w:val="superscript"/>
        </w:rPr>
        <w:footnoteReference w:id="125"/>
      </w:r>
      <w:r w:rsidRPr="00050DAE">
        <w:t xml:space="preserve"> I</w:t>
      </w:r>
      <w:r w:rsidR="00B96BE1" w:rsidRPr="00050DAE">
        <w:t>š</w:t>
      </w:r>
      <w:r w:rsidRPr="00050DAE">
        <w:t>tar threat</w:t>
      </w:r>
      <w:r w:rsidR="00950448" w:rsidRPr="00050DAE">
        <w:t>ens:</w:t>
      </w:r>
      <w:r w:rsidR="00B96BE1" w:rsidRPr="00050DAE">
        <w:rPr>
          <w:rStyle w:val="FootnoteReference"/>
        </w:rPr>
        <w:footnoteReference w:id="126"/>
      </w:r>
    </w:p>
    <w:p w14:paraId="6F87038E" w14:textId="77777777" w:rsidR="0099669E" w:rsidRPr="00050DAE" w:rsidRDefault="0099669E" w:rsidP="0099669E">
      <w:pPr>
        <w:pStyle w:val="Quote"/>
        <w:rPr>
          <w:rFonts w:asciiTheme="majorBidi" w:hAnsiTheme="majorBidi" w:cstheme="majorBidi"/>
          <w:color w:val="auto"/>
        </w:rPr>
      </w:pPr>
      <w:r w:rsidRPr="00050DAE">
        <w:rPr>
          <w:rFonts w:asciiTheme="majorBidi" w:hAnsiTheme="majorBidi" w:cstheme="majorBidi"/>
          <w:color w:val="auto"/>
          <w:vertAlign w:val="superscript"/>
        </w:rPr>
        <w:t xml:space="preserve">14 </w:t>
      </w:r>
      <w:r w:rsidRPr="00050DAE">
        <w:rPr>
          <w:rFonts w:asciiTheme="majorBidi" w:hAnsiTheme="majorBidi" w:cstheme="majorBidi"/>
          <w:color w:val="auto"/>
        </w:rPr>
        <w:t xml:space="preserve">Gatekeeper! Open your gate for me! </w:t>
      </w:r>
    </w:p>
    <w:p w14:paraId="7D0631EF" w14:textId="507386F9" w:rsidR="0099669E" w:rsidRPr="00050DAE" w:rsidRDefault="0099669E" w:rsidP="0099669E">
      <w:pPr>
        <w:pStyle w:val="Quote"/>
        <w:rPr>
          <w:rFonts w:asciiTheme="majorBidi" w:hAnsiTheme="majorBidi" w:cstheme="majorBidi"/>
          <w:color w:val="auto"/>
        </w:rPr>
      </w:pPr>
      <w:r w:rsidRPr="00050DAE">
        <w:rPr>
          <w:rFonts w:asciiTheme="majorBidi" w:hAnsiTheme="majorBidi" w:cstheme="majorBidi"/>
          <w:color w:val="auto"/>
          <w:vertAlign w:val="superscript"/>
        </w:rPr>
        <w:t>15</w:t>
      </w:r>
      <w:r w:rsidRPr="00050DAE">
        <w:rPr>
          <w:rFonts w:asciiTheme="majorBidi" w:hAnsiTheme="majorBidi" w:cstheme="majorBidi"/>
          <w:color w:val="auto"/>
        </w:rPr>
        <w:t xml:space="preserve"> Open your gate for me that I may enter! </w:t>
      </w:r>
    </w:p>
    <w:p w14:paraId="1236C5BF" w14:textId="5D12EE93" w:rsidR="0099669E" w:rsidRPr="00050DAE" w:rsidRDefault="0099669E" w:rsidP="0099669E">
      <w:pPr>
        <w:pStyle w:val="Quote"/>
        <w:rPr>
          <w:rFonts w:asciiTheme="majorBidi" w:hAnsiTheme="majorBidi" w:cstheme="majorBidi"/>
          <w:color w:val="auto"/>
        </w:rPr>
      </w:pPr>
      <w:r w:rsidRPr="00050DAE">
        <w:rPr>
          <w:rFonts w:asciiTheme="majorBidi" w:hAnsiTheme="majorBidi" w:cstheme="majorBidi"/>
          <w:color w:val="auto"/>
          <w:vertAlign w:val="superscript"/>
        </w:rPr>
        <w:t>16</w:t>
      </w:r>
      <w:r w:rsidRPr="00050DAE">
        <w:rPr>
          <w:rFonts w:asciiTheme="majorBidi" w:hAnsiTheme="majorBidi" w:cstheme="majorBidi"/>
          <w:color w:val="auto"/>
        </w:rPr>
        <w:t xml:space="preserve"> If you will not open the gate that I may enter,</w:t>
      </w:r>
    </w:p>
    <w:p w14:paraId="7B8892C0" w14:textId="6FAE664C" w:rsidR="0099669E" w:rsidRPr="00050DAE" w:rsidRDefault="0099669E" w:rsidP="0099669E">
      <w:pPr>
        <w:pStyle w:val="Quote"/>
        <w:rPr>
          <w:rFonts w:asciiTheme="majorBidi" w:hAnsiTheme="majorBidi" w:cstheme="majorBidi"/>
          <w:color w:val="auto"/>
        </w:rPr>
      </w:pPr>
      <w:r w:rsidRPr="00050DAE">
        <w:rPr>
          <w:rFonts w:asciiTheme="majorBidi" w:hAnsiTheme="majorBidi" w:cstheme="majorBidi"/>
          <w:color w:val="auto"/>
          <w:vertAlign w:val="superscript"/>
        </w:rPr>
        <w:t>17</w:t>
      </w:r>
      <w:r w:rsidRPr="00050DAE">
        <w:rPr>
          <w:rFonts w:asciiTheme="majorBidi" w:hAnsiTheme="majorBidi" w:cstheme="majorBidi"/>
          <w:color w:val="auto"/>
        </w:rPr>
        <w:t xml:space="preserve"> I will break down the door, I will smash the bolt, </w:t>
      </w:r>
    </w:p>
    <w:p w14:paraId="24029D4A" w14:textId="1B359E7D" w:rsidR="0099669E" w:rsidRPr="00050DAE" w:rsidRDefault="0099669E" w:rsidP="0099669E">
      <w:pPr>
        <w:pStyle w:val="Quote"/>
        <w:rPr>
          <w:rFonts w:asciiTheme="majorBidi" w:hAnsiTheme="majorBidi" w:cstheme="majorBidi"/>
          <w:color w:val="auto"/>
        </w:rPr>
      </w:pPr>
      <w:r w:rsidRPr="00050DAE">
        <w:rPr>
          <w:rFonts w:asciiTheme="majorBidi" w:hAnsiTheme="majorBidi" w:cstheme="majorBidi"/>
          <w:color w:val="auto"/>
          <w:vertAlign w:val="superscript"/>
        </w:rPr>
        <w:t>18</w:t>
      </w:r>
      <w:r w:rsidRPr="00050DAE">
        <w:rPr>
          <w:rFonts w:asciiTheme="majorBidi" w:hAnsiTheme="majorBidi" w:cstheme="majorBidi"/>
          <w:color w:val="auto"/>
        </w:rPr>
        <w:t xml:space="preserve"> I will break down the frame, I will topple the doors. </w:t>
      </w:r>
    </w:p>
    <w:p w14:paraId="3764D383" w14:textId="1B2A7909" w:rsidR="0099669E" w:rsidRPr="00050DAE" w:rsidRDefault="0099669E" w:rsidP="0099669E">
      <w:pPr>
        <w:pStyle w:val="Quote"/>
        <w:rPr>
          <w:rFonts w:asciiTheme="majorBidi" w:hAnsiTheme="majorBidi" w:cstheme="majorBidi"/>
          <w:color w:val="auto"/>
        </w:rPr>
      </w:pPr>
      <w:r w:rsidRPr="00050DAE">
        <w:rPr>
          <w:rFonts w:asciiTheme="majorBidi" w:hAnsiTheme="majorBidi" w:cstheme="majorBidi"/>
          <w:color w:val="auto"/>
          <w:vertAlign w:val="superscript"/>
        </w:rPr>
        <w:t>19</w:t>
      </w:r>
      <w:r w:rsidRPr="00050DAE">
        <w:rPr>
          <w:rFonts w:asciiTheme="majorBidi" w:hAnsiTheme="majorBidi" w:cstheme="majorBidi"/>
          <w:color w:val="auto"/>
        </w:rPr>
        <w:t xml:space="preserve"> I will break the </w:t>
      </w:r>
      <w:r w:rsidR="008301DC" w:rsidRPr="00050DAE">
        <w:rPr>
          <w:rFonts w:asciiTheme="majorBidi" w:hAnsiTheme="majorBidi" w:cstheme="majorBidi"/>
          <w:color w:val="auto"/>
        </w:rPr>
        <w:t>‘</w:t>
      </w:r>
      <w:r w:rsidRPr="00050DAE">
        <w:rPr>
          <w:rFonts w:asciiTheme="majorBidi" w:hAnsiTheme="majorBidi" w:cstheme="majorBidi"/>
          <w:color w:val="auto"/>
        </w:rPr>
        <w:t>balance</w:t>
      </w:r>
      <w:r w:rsidR="008301DC" w:rsidRPr="00050DAE">
        <w:rPr>
          <w:rFonts w:asciiTheme="majorBidi" w:hAnsiTheme="majorBidi" w:cstheme="majorBidi"/>
          <w:color w:val="auto"/>
        </w:rPr>
        <w:t>’</w:t>
      </w:r>
      <w:r w:rsidRPr="00050DAE">
        <w:rPr>
          <w:rFonts w:asciiTheme="majorBidi" w:hAnsiTheme="majorBidi" w:cstheme="majorBidi"/>
          <w:color w:val="auto"/>
        </w:rPr>
        <w:t xml:space="preserve"> and tear off the knob.</w:t>
      </w:r>
    </w:p>
    <w:p w14:paraId="0D467699" w14:textId="6301A458" w:rsidR="0099669E" w:rsidRPr="00050DAE" w:rsidRDefault="0099669E" w:rsidP="0099669E">
      <w:pPr>
        <w:pStyle w:val="Quote"/>
        <w:rPr>
          <w:rFonts w:asciiTheme="majorBidi" w:hAnsiTheme="majorBidi" w:cstheme="majorBidi"/>
          <w:color w:val="auto"/>
        </w:rPr>
      </w:pPr>
      <w:r w:rsidRPr="00050DAE">
        <w:rPr>
          <w:rFonts w:asciiTheme="majorBidi" w:hAnsiTheme="majorBidi" w:cstheme="majorBidi"/>
          <w:color w:val="auto"/>
          <w:vertAlign w:val="superscript"/>
        </w:rPr>
        <w:t>20</w:t>
      </w:r>
      <w:r w:rsidRPr="00050DAE">
        <w:rPr>
          <w:rFonts w:asciiTheme="majorBidi" w:hAnsiTheme="majorBidi" w:cstheme="majorBidi"/>
          <w:color w:val="auto"/>
        </w:rPr>
        <w:t xml:space="preserve"> I will raise up the dead to devour the living, </w:t>
      </w:r>
    </w:p>
    <w:p w14:paraId="35C51B05" w14:textId="19CCA1CF" w:rsidR="00950448" w:rsidRPr="00050DAE" w:rsidRDefault="0099669E" w:rsidP="0099669E">
      <w:pPr>
        <w:pStyle w:val="Quote"/>
        <w:rPr>
          <w:rFonts w:asciiTheme="majorBidi" w:hAnsiTheme="majorBidi" w:cstheme="majorBidi"/>
          <w:color w:val="auto"/>
        </w:rPr>
      </w:pPr>
      <w:r w:rsidRPr="00050DAE">
        <w:rPr>
          <w:rFonts w:asciiTheme="majorBidi" w:hAnsiTheme="majorBidi" w:cstheme="majorBidi"/>
          <w:color w:val="auto"/>
          <w:vertAlign w:val="superscript"/>
        </w:rPr>
        <w:t>21</w:t>
      </w:r>
      <w:r w:rsidRPr="00050DAE">
        <w:rPr>
          <w:rFonts w:asciiTheme="majorBidi" w:hAnsiTheme="majorBidi" w:cstheme="majorBidi"/>
          <w:color w:val="auto"/>
        </w:rPr>
        <w:t xml:space="preserve"> The dead shall outnumber the living.</w:t>
      </w:r>
    </w:p>
    <w:p w14:paraId="2DA24A27" w14:textId="4B5385C6" w:rsidR="001418C2" w:rsidRPr="00050DAE" w:rsidRDefault="00486612" w:rsidP="00EE6050">
      <w:pPr>
        <w:pStyle w:val="UWTSDindent"/>
      </w:pPr>
      <w:r w:rsidRPr="00050DAE">
        <w:t>As</w:t>
      </w:r>
      <w:r w:rsidR="00CF3818" w:rsidRPr="00050DAE">
        <w:t xml:space="preserve"> in </w:t>
      </w:r>
      <w:r w:rsidR="00CF3818" w:rsidRPr="00050DAE">
        <w:rPr>
          <w:i/>
          <w:iCs/>
        </w:rPr>
        <w:t>Ina</w:t>
      </w:r>
      <w:r w:rsidR="00E844B5" w:rsidRPr="00050DAE">
        <w:rPr>
          <w:i/>
          <w:iCs/>
        </w:rPr>
        <w:t>n</w:t>
      </w:r>
      <w:r w:rsidR="00CF3818" w:rsidRPr="00050DAE">
        <w:rPr>
          <w:i/>
          <w:iCs/>
        </w:rPr>
        <w:t>na</w:t>
      </w:r>
      <w:r w:rsidR="008301DC" w:rsidRPr="00050DAE">
        <w:rPr>
          <w:i/>
          <w:iCs/>
        </w:rPr>
        <w:t>’</w:t>
      </w:r>
      <w:r w:rsidR="00CF3818" w:rsidRPr="00050DAE">
        <w:rPr>
          <w:i/>
          <w:iCs/>
        </w:rPr>
        <w:t>s Descent</w:t>
      </w:r>
      <w:r w:rsidR="00CF3818" w:rsidRPr="00050DAE">
        <w:t xml:space="preserve">, </w:t>
      </w:r>
      <w:r w:rsidR="001418C2" w:rsidRPr="00050DAE">
        <w:t>despite her threats, Ištar submits to the surrender of her items.</w:t>
      </w:r>
      <w:r w:rsidR="001418C2" w:rsidRPr="00050DAE">
        <w:rPr>
          <w:rStyle w:val="FootnoteReference"/>
        </w:rPr>
        <w:footnoteReference w:id="127"/>
      </w:r>
      <w:r w:rsidR="001418C2" w:rsidRPr="00050DAE">
        <w:t xml:space="preserve"> Across both versions, the gate sequence functions as the backbone of Netherworld law.</w:t>
      </w:r>
      <w:r w:rsidR="001418C2" w:rsidRPr="00050DAE">
        <w:rPr>
          <w:vertAlign w:val="superscript"/>
        </w:rPr>
        <w:footnoteReference w:id="128"/>
      </w:r>
      <w:r w:rsidR="001418C2" w:rsidRPr="00050DAE">
        <w:t xml:space="preserve"> Variations in the items removed do not alter the principle. </w:t>
      </w:r>
      <w:r w:rsidR="00130BF4" w:rsidRPr="00050DAE">
        <w:t>With the surrender of each possession, each goddess</w:t>
      </w:r>
      <w:r w:rsidR="008301DC" w:rsidRPr="00050DAE">
        <w:t>’</w:t>
      </w:r>
      <w:r w:rsidR="00130BF4" w:rsidRPr="00050DAE">
        <w:t>s authority is dismantled incrementally</w:t>
      </w:r>
      <w:r w:rsidR="001418C2" w:rsidRPr="00050DAE">
        <w:t xml:space="preserve">. The Sumerian version foregrounds </w:t>
      </w:r>
      <w:r w:rsidR="004F0193" w:rsidRPr="00050DAE">
        <w:t xml:space="preserve">cosmic law and </w:t>
      </w:r>
      <w:r w:rsidR="001418C2" w:rsidRPr="00050DAE">
        <w:t xml:space="preserve">ritual order. </w:t>
      </w:r>
      <w:r w:rsidR="004F0193" w:rsidRPr="00050DAE">
        <w:t>In comparison, t</w:t>
      </w:r>
      <w:r w:rsidR="001418C2" w:rsidRPr="00050DAE">
        <w:t xml:space="preserve">he Akkadian version foregrounds </w:t>
      </w:r>
      <w:r w:rsidR="004F0193" w:rsidRPr="00050DAE">
        <w:t>Ištar</w:t>
      </w:r>
      <w:r w:rsidR="008301DC" w:rsidRPr="00050DAE">
        <w:t>’</w:t>
      </w:r>
      <w:r w:rsidR="004F0193" w:rsidRPr="00050DAE">
        <w:t xml:space="preserve">s </w:t>
      </w:r>
      <w:r w:rsidR="001418C2" w:rsidRPr="00050DAE">
        <w:t>threat</w:t>
      </w:r>
      <w:r w:rsidR="004F0193" w:rsidRPr="00050DAE">
        <w:t>s</w:t>
      </w:r>
      <w:r w:rsidR="001418C2" w:rsidRPr="00050DAE">
        <w:t xml:space="preserve"> and </w:t>
      </w:r>
      <w:r w:rsidR="004F0193" w:rsidRPr="00050DAE">
        <w:t xml:space="preserve">potential </w:t>
      </w:r>
      <w:r w:rsidR="001418C2" w:rsidRPr="00050DAE">
        <w:t>consequence</w:t>
      </w:r>
      <w:r w:rsidR="004F0193" w:rsidRPr="00050DAE">
        <w:t>s</w:t>
      </w:r>
      <w:r w:rsidR="001418C2" w:rsidRPr="00050DAE">
        <w:t xml:space="preserve">. </w:t>
      </w:r>
      <w:r w:rsidR="00EA40E1" w:rsidRPr="00050DAE">
        <w:t xml:space="preserve">Together, the two versions suggest that ritual procedure and cosmic catastrophe operate simultaneously within the descent </w:t>
      </w:r>
      <w:r w:rsidR="006E0FED" w:rsidRPr="00050DAE">
        <w:t>account</w:t>
      </w:r>
      <w:r w:rsidR="00A04C14" w:rsidRPr="00050DAE">
        <w:t>.</w:t>
      </w:r>
      <w:r w:rsidR="001418C2" w:rsidRPr="00050DAE">
        <w:rPr>
          <w:vertAlign w:val="superscript"/>
        </w:rPr>
        <w:footnoteReference w:id="129"/>
      </w:r>
      <w:r w:rsidR="001418C2" w:rsidRPr="00050DAE">
        <w:t xml:space="preserve"> </w:t>
      </w:r>
      <w:r w:rsidR="00EA40E1" w:rsidRPr="00050DAE">
        <w:t>Despite her threats and divine status, Ištar submits to the conditions governing entry into the Netherworld.</w:t>
      </w:r>
    </w:p>
    <w:p w14:paraId="7F760B07" w14:textId="01F61D01" w:rsidR="00091850" w:rsidRPr="00050DAE" w:rsidRDefault="00B96BE1" w:rsidP="00091850">
      <w:pPr>
        <w:pStyle w:val="UWTSDindent"/>
      </w:pPr>
      <w:r w:rsidRPr="00050DAE">
        <w:t>Ištar</w:t>
      </w:r>
      <w:r w:rsidR="008301DC" w:rsidRPr="00050DAE">
        <w:t>’</w:t>
      </w:r>
      <w:r w:rsidRPr="00050DAE">
        <w:t>s</w:t>
      </w:r>
      <w:r w:rsidR="0006016B" w:rsidRPr="00050DAE">
        <w:t xml:space="preserve"> death is far more graphic than Inanna</w:t>
      </w:r>
      <w:r w:rsidR="008301DC" w:rsidRPr="00050DAE">
        <w:t>’</w:t>
      </w:r>
      <w:r w:rsidR="0006016B" w:rsidRPr="00050DAE">
        <w:t>s</w:t>
      </w:r>
      <w:r w:rsidR="00C417E8" w:rsidRPr="00050DAE">
        <w:t>,</w:t>
      </w:r>
      <w:r w:rsidR="0006016B" w:rsidRPr="00050DAE">
        <w:t xml:space="preserve"> as she is exposed to </w:t>
      </w:r>
      <w:r w:rsidR="008301DC" w:rsidRPr="00050DAE">
        <w:t>“</w:t>
      </w:r>
      <w:r w:rsidR="0006016B" w:rsidRPr="00050DAE">
        <w:t>sixty diseases: diseases of the eyes, of the hands and feet, of the heart and head.</w:t>
      </w:r>
      <w:r w:rsidR="008301DC" w:rsidRPr="00050DAE">
        <w:t>”</w:t>
      </w:r>
      <w:r w:rsidR="0006016B" w:rsidRPr="00050DAE">
        <w:rPr>
          <w:vertAlign w:val="superscript"/>
        </w:rPr>
        <w:footnoteReference w:id="130"/>
      </w:r>
      <w:r w:rsidR="0006016B" w:rsidRPr="00050DAE">
        <w:t xml:space="preserve"> Despite this intensification, the Akkadian text does not weaken the juridical logic.</w:t>
      </w:r>
      <w:r w:rsidR="0006016B" w:rsidRPr="00050DAE">
        <w:rPr>
          <w:vertAlign w:val="superscript"/>
        </w:rPr>
        <w:footnoteReference w:id="131"/>
      </w:r>
      <w:r w:rsidR="0006016B" w:rsidRPr="00050DAE">
        <w:t xml:space="preserve"> The stripping sequence remains intact, and the consequence</w:t>
      </w:r>
      <w:r w:rsidR="00C417E8" w:rsidRPr="00050DAE">
        <w:t>s</w:t>
      </w:r>
      <w:r w:rsidR="0006016B" w:rsidRPr="00050DAE">
        <w:t xml:space="preserve"> of death </w:t>
      </w:r>
      <w:r w:rsidR="00C417E8" w:rsidRPr="00050DAE">
        <w:t>are</w:t>
      </w:r>
      <w:r w:rsidR="0006016B" w:rsidRPr="00050DAE">
        <w:t xml:space="preserve"> absolute. </w:t>
      </w:r>
      <w:r w:rsidR="00C06AB7" w:rsidRPr="00050DAE">
        <w:t xml:space="preserve">Although the Akkadian version intensifies the emotional and cosmic stakes, the underlying </w:t>
      </w:r>
      <w:r w:rsidR="000A45A6" w:rsidRPr="00050DAE">
        <w:t>juridical logic of conditional return remains integral</w:t>
      </w:r>
      <w:r w:rsidR="00C06AB7" w:rsidRPr="00050DAE">
        <w:t>.</w:t>
      </w:r>
      <w:r w:rsidR="00715DAD" w:rsidRPr="00050DAE">
        <w:t xml:space="preserve"> </w:t>
      </w:r>
      <w:r w:rsidR="00DD7805" w:rsidRPr="00050DAE">
        <w:t>Notably, the Akkadian version foregrounds cosmic disruption more strongly than the Sumerian text, particularly through the collapse of fertility and sexual activity above the Netherworld.</w:t>
      </w:r>
      <w:r w:rsidR="0006016B" w:rsidRPr="00050DAE">
        <w:rPr>
          <w:vertAlign w:val="superscript"/>
        </w:rPr>
        <w:footnoteReference w:id="132"/>
      </w:r>
      <w:r w:rsidR="0006016B" w:rsidRPr="00050DAE">
        <w:t xml:space="preserve"> </w:t>
      </w:r>
      <w:r w:rsidR="009D2082" w:rsidRPr="00050DAE">
        <w:t xml:space="preserve">This </w:t>
      </w:r>
      <w:r w:rsidR="00DD7805" w:rsidRPr="00050DAE">
        <w:t xml:space="preserve">sharper portrayal </w:t>
      </w:r>
      <w:r w:rsidR="009D2082" w:rsidRPr="00050DAE">
        <w:t xml:space="preserve">presents </w:t>
      </w:r>
      <w:r w:rsidR="00DD7805" w:rsidRPr="00050DAE">
        <w:t>a world whose stability depends upon the goddess</w:t>
      </w:r>
      <w:r w:rsidR="008301DC" w:rsidRPr="00050DAE">
        <w:t>’</w:t>
      </w:r>
      <w:r w:rsidR="00DD7805" w:rsidRPr="00050DAE">
        <w:t>s presence, even as the conditions governing death remain largely unchanged.</w:t>
      </w:r>
    </w:p>
    <w:p w14:paraId="396194D8" w14:textId="7EEC0EFC" w:rsidR="00A44BDB" w:rsidRPr="00050DAE" w:rsidRDefault="00A44BDB" w:rsidP="00091850">
      <w:pPr>
        <w:pStyle w:val="UWTSDindent"/>
      </w:pPr>
      <w:r w:rsidRPr="00050DAE">
        <w:t xml:space="preserve">Despite differences in tone and emphasis, both </w:t>
      </w:r>
      <w:r w:rsidR="006E0FED" w:rsidRPr="00050DAE">
        <w:t>versions</w:t>
      </w:r>
      <w:r w:rsidRPr="00050DAE">
        <w:t xml:space="preserve"> preserve the same fundamental sequence of descent, death, and conditional return. The Akkadian version intensifies the emotional and cosmic consequences of the narrative, but it does not alter the underlying logic governing restoration.</w:t>
      </w:r>
      <w:r w:rsidRPr="00050DAE">
        <w:rPr>
          <w:vertAlign w:val="superscript"/>
        </w:rPr>
        <w:t xml:space="preserve"> </w:t>
      </w:r>
      <w:r w:rsidRPr="00050DAE">
        <w:rPr>
          <w:vertAlign w:val="superscript"/>
        </w:rPr>
        <w:footnoteReference w:id="133"/>
      </w:r>
    </w:p>
    <w:p w14:paraId="7C3CC613" w14:textId="0DE197F8" w:rsidR="00F46471" w:rsidRPr="00050DAE" w:rsidRDefault="00F46471" w:rsidP="007713BB">
      <w:pPr>
        <w:pStyle w:val="UWTSDindent"/>
      </w:pPr>
      <w:r w:rsidRPr="00050DAE">
        <w:t xml:space="preserve">In both </w:t>
      </w:r>
      <w:r w:rsidR="006E0FED" w:rsidRPr="00050DAE">
        <w:t>versions</w:t>
      </w:r>
      <w:r w:rsidRPr="00050DAE">
        <w:t>, release from the Netherworld remains conditional, since return is governed by substitution and Netherworld law.</w:t>
      </w:r>
      <w:r w:rsidRPr="00050DAE">
        <w:rPr>
          <w:vertAlign w:val="superscript"/>
        </w:rPr>
        <w:footnoteReference w:id="134"/>
      </w:r>
      <w:r w:rsidR="001B5C3B" w:rsidRPr="00050DAE">
        <w:t xml:space="preserve"> </w:t>
      </w:r>
      <w:r w:rsidRPr="00050DAE">
        <w:t>Although Inanna returns to life, she remains subject to those conditions.</w:t>
      </w:r>
    </w:p>
    <w:p w14:paraId="7BE5183E" w14:textId="7B4115FB" w:rsidR="004E6CB0" w:rsidRPr="00050DAE" w:rsidRDefault="004E6CB0" w:rsidP="00EE6050">
      <w:pPr>
        <w:pStyle w:val="UWTSDindent"/>
      </w:pPr>
      <w:r w:rsidRPr="00050DAE">
        <w:t xml:space="preserve">However, one fundamental difference exists between the two works. </w:t>
      </w:r>
      <w:r w:rsidR="00C417E8" w:rsidRPr="00050DAE">
        <w:t xml:space="preserve">Beginning with the 1963 edition of </w:t>
      </w:r>
      <w:r w:rsidR="00C417E8" w:rsidRPr="00050DAE">
        <w:rPr>
          <w:i/>
          <w:iCs/>
        </w:rPr>
        <w:t>Inanna</w:t>
      </w:r>
      <w:r w:rsidR="008301DC" w:rsidRPr="00050DAE">
        <w:rPr>
          <w:i/>
          <w:iCs/>
        </w:rPr>
        <w:t>’</w:t>
      </w:r>
      <w:r w:rsidR="00C417E8" w:rsidRPr="00050DAE">
        <w:rPr>
          <w:i/>
          <w:iCs/>
        </w:rPr>
        <w:t>s Descent</w:t>
      </w:r>
      <w:r w:rsidR="00C417E8" w:rsidRPr="00050DAE">
        <w:t>, additional Sumerian texts were incorporated that describe Dumuzi and his sister alternating their time in the Netherworld</w:t>
      </w:r>
      <w:r w:rsidRPr="00050DAE">
        <w:t>.</w:t>
      </w:r>
      <w:r w:rsidRPr="00050DAE">
        <w:rPr>
          <w:rStyle w:val="FootnoteReference"/>
        </w:rPr>
        <w:footnoteReference w:id="135"/>
      </w:r>
      <w:r w:rsidR="00A33FF2" w:rsidRPr="00050DAE">
        <w:t xml:space="preserve"> </w:t>
      </w:r>
      <w:r w:rsidR="00013EF6" w:rsidRPr="00050DAE">
        <w:t xml:space="preserve">As J. Smith emphasises, </w:t>
      </w:r>
      <w:r w:rsidR="008301DC" w:rsidRPr="00050DAE">
        <w:t>“</w:t>
      </w:r>
      <w:r w:rsidR="00013EF6" w:rsidRPr="00050DAE">
        <w:t>In the Akkadian version, Tammuz is dead and remains so.</w:t>
      </w:r>
      <w:r w:rsidR="008301DC" w:rsidRPr="00050DAE">
        <w:t>”</w:t>
      </w:r>
      <w:r w:rsidR="00013EF6" w:rsidRPr="00050DAE">
        <w:rPr>
          <w:rStyle w:val="FootnoteReference"/>
        </w:rPr>
        <w:footnoteReference w:id="136"/>
      </w:r>
    </w:p>
    <w:p w14:paraId="14D5C5F4" w14:textId="6E55843E" w:rsidR="00186FD5" w:rsidRPr="00050DAE" w:rsidRDefault="00186FD5" w:rsidP="00EE6050">
      <w:pPr>
        <w:pStyle w:val="UWTSDindent"/>
      </w:pPr>
      <w:r w:rsidRPr="00050DAE">
        <w:t xml:space="preserve">Despite important differences in tone, emphasis, and rhetoric, the Sumerian and Akkadian </w:t>
      </w:r>
      <w:r w:rsidR="006E0FED" w:rsidRPr="00050DAE">
        <w:t>versions</w:t>
      </w:r>
      <w:r w:rsidRPr="00050DAE">
        <w:t xml:space="preserve"> preserve the same underlying pattern of descent, death, and conditional return.</w:t>
      </w:r>
      <w:r w:rsidRPr="00050DAE">
        <w:rPr>
          <w:vertAlign w:val="superscript"/>
        </w:rPr>
        <w:footnoteReference w:id="137"/>
      </w:r>
      <w:r w:rsidRPr="00050DAE">
        <w:rPr>
          <w:vertAlign w:val="superscript"/>
        </w:rPr>
        <w:t xml:space="preserve"> </w:t>
      </w:r>
      <w:r w:rsidRPr="00050DAE">
        <w:t xml:space="preserve">This continuity may help explain why later Mediterranean descent </w:t>
      </w:r>
      <w:r w:rsidR="006E0FED" w:rsidRPr="00050DAE">
        <w:t>accounts</w:t>
      </w:r>
      <w:r w:rsidRPr="00050DAE">
        <w:t xml:space="preserve"> preserve certain Mesopotamian patterns while significantly reshaping others.</w:t>
      </w:r>
      <w:r w:rsidRPr="00050DAE">
        <w:rPr>
          <w:vertAlign w:val="superscript"/>
        </w:rPr>
        <w:footnoteReference w:id="138"/>
      </w:r>
      <w:r w:rsidRPr="00050DAE">
        <w:t xml:space="preserve"> The Sumerian-Akkadian comparison establishes the </w:t>
      </w:r>
      <w:r w:rsidR="00C0249D" w:rsidRPr="00050DAE">
        <w:t>model</w:t>
      </w:r>
      <w:r w:rsidRPr="00050DAE">
        <w:t xml:space="preserve"> against which later transformations can be examined.</w:t>
      </w:r>
    </w:p>
    <w:p w14:paraId="02DE0B71" w14:textId="301FF28F" w:rsidR="0006016B" w:rsidRPr="00050DAE" w:rsidRDefault="0006016B" w:rsidP="00872DCB">
      <w:pPr>
        <w:pStyle w:val="UWTSDindent"/>
      </w:pPr>
      <w:r w:rsidRPr="00050DAE">
        <w:t>Persephone</w:t>
      </w:r>
      <w:r w:rsidR="008301DC" w:rsidRPr="00050DAE">
        <w:t>’</w:t>
      </w:r>
      <w:r w:rsidRPr="00050DAE">
        <w:t>s return depends on negotiation, emotional appeal, and compromise.</w:t>
      </w:r>
      <w:r w:rsidR="00B468C7" w:rsidRPr="00050DAE">
        <w:rPr>
          <w:vertAlign w:val="superscript"/>
        </w:rPr>
        <w:footnoteReference w:id="139"/>
      </w:r>
      <w:r w:rsidR="00B468C7" w:rsidRPr="00050DAE">
        <w:t xml:space="preserve"> </w:t>
      </w:r>
      <w:r w:rsidR="00C417E8" w:rsidRPr="00050DAE">
        <w:t>The resolution of the conflict within</w:t>
      </w:r>
      <w:r w:rsidR="00067585" w:rsidRPr="00050DAE">
        <w:t xml:space="preserve"> her</w:t>
      </w:r>
      <w:r w:rsidRPr="00050DAE">
        <w:t xml:space="preserve"> </w:t>
      </w:r>
      <w:r w:rsidR="00FE3B28" w:rsidRPr="00050DAE">
        <w:t>under</w:t>
      </w:r>
      <w:r w:rsidRPr="00050DAE">
        <w:t xml:space="preserve">world </w:t>
      </w:r>
      <w:r w:rsidR="00067585" w:rsidRPr="00050DAE">
        <w:t xml:space="preserve">model depends more on </w:t>
      </w:r>
      <w:r w:rsidR="00872DCB" w:rsidRPr="00050DAE">
        <w:t>Zeus</w:t>
      </w:r>
      <w:r w:rsidR="008301DC" w:rsidRPr="00050DAE">
        <w:t>’</w:t>
      </w:r>
      <w:r w:rsidR="00872DCB" w:rsidRPr="00050DAE">
        <w:t>s sovereignty</w:t>
      </w:r>
      <w:r w:rsidR="00067585" w:rsidRPr="00050DAE">
        <w:t xml:space="preserve"> than on fixed cosmic law.</w:t>
      </w:r>
      <w:r w:rsidRPr="00050DAE">
        <w:rPr>
          <w:vertAlign w:val="superscript"/>
        </w:rPr>
        <w:footnoteReference w:id="140"/>
      </w:r>
      <w:r w:rsidRPr="00050DAE">
        <w:t xml:space="preserve"> </w:t>
      </w:r>
      <w:r w:rsidR="00872DCB" w:rsidRPr="00050DAE">
        <w:t xml:space="preserve">The </w:t>
      </w:r>
      <w:r w:rsidR="00C020C4" w:rsidRPr="00050DAE">
        <w:t>ritualised</w:t>
      </w:r>
      <w:r w:rsidR="00872DCB" w:rsidRPr="00050DAE">
        <w:t xml:space="preserve"> rules that bind Inanna-Ištar </w:t>
      </w:r>
      <w:r w:rsidR="00F44839" w:rsidRPr="00050DAE">
        <w:t xml:space="preserve">to the Netherworld </w:t>
      </w:r>
      <w:r w:rsidR="00872DCB" w:rsidRPr="00050DAE">
        <w:t xml:space="preserve">seem to be more flexible for the Kronian </w:t>
      </w:r>
      <w:r w:rsidR="006D24E6" w:rsidRPr="00050DAE">
        <w:t>Cosmic Triad</w:t>
      </w:r>
      <w:r w:rsidR="00872DCB" w:rsidRPr="00050DAE">
        <w:t>.</w:t>
      </w:r>
      <w:r w:rsidR="00577CC8" w:rsidRPr="00050DAE">
        <w:rPr>
          <w:rStyle w:val="FootnoteReference"/>
        </w:rPr>
        <w:footnoteReference w:id="141"/>
      </w:r>
    </w:p>
    <w:p w14:paraId="4018F043" w14:textId="59CB251D" w:rsidR="0006016B" w:rsidRPr="00050DAE" w:rsidRDefault="00FA0139" w:rsidP="00FA0139">
      <w:pPr>
        <w:pStyle w:val="Heading2"/>
        <w:rPr>
          <w:rFonts w:asciiTheme="majorBidi" w:hAnsiTheme="majorBidi"/>
          <w:color w:val="auto"/>
        </w:rPr>
      </w:pPr>
      <w:bookmarkStart w:id="102" w:name="_Toc223805115"/>
      <w:bookmarkStart w:id="103" w:name="_Toc234140246"/>
      <w:bookmarkStart w:id="104" w:name="_Toc234140497"/>
      <w:bookmarkStart w:id="105" w:name="_Toc234143677"/>
      <w:bookmarkStart w:id="106" w:name="_Toc234154306"/>
      <w:r w:rsidRPr="00050DAE">
        <w:rPr>
          <w:rFonts w:asciiTheme="majorBidi" w:hAnsiTheme="majorBidi"/>
          <w:color w:val="auto"/>
        </w:rPr>
        <w:t>3.5</w:t>
      </w:r>
      <w:r w:rsidR="0006016B" w:rsidRPr="00050DAE">
        <w:rPr>
          <w:rFonts w:asciiTheme="majorBidi" w:hAnsiTheme="majorBidi"/>
          <w:color w:val="auto"/>
        </w:rPr>
        <w:t xml:space="preserve"> Substitution</w:t>
      </w:r>
      <w:r w:rsidRPr="00050DAE">
        <w:rPr>
          <w:rFonts w:asciiTheme="majorBidi" w:hAnsiTheme="majorBidi"/>
          <w:color w:val="auto"/>
        </w:rPr>
        <w:t xml:space="preserve">, Netherworld Law, </w:t>
      </w:r>
      <w:r w:rsidR="0006016B" w:rsidRPr="00050DAE">
        <w:rPr>
          <w:rFonts w:asciiTheme="majorBidi" w:hAnsiTheme="majorBidi"/>
          <w:color w:val="auto"/>
        </w:rPr>
        <w:t>and the Price of Return</w:t>
      </w:r>
      <w:bookmarkEnd w:id="102"/>
      <w:bookmarkEnd w:id="103"/>
      <w:bookmarkEnd w:id="104"/>
      <w:bookmarkEnd w:id="105"/>
      <w:bookmarkEnd w:id="106"/>
    </w:p>
    <w:p w14:paraId="17C62351"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(Yonder) he shares in food that is no food,</w:t>
      </w:r>
    </w:p>
    <w:p w14:paraId="2745A043"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shares in water that is no water,</w:t>
      </w:r>
    </w:p>
    <w:p w14:paraId="3521E8E8"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(yonder) are built cattle pens</w:t>
      </w:r>
    </w:p>
    <w:p w14:paraId="70F0D974"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that are no cattle pens,</w:t>
      </w:r>
    </w:p>
    <w:p w14:paraId="62D33ACA"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(yonder) are wattled over</w:t>
      </w:r>
    </w:p>
    <w:p w14:paraId="5C8336C4"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what are no sheep sheds;</w:t>
      </w:r>
    </w:p>
    <w:p w14:paraId="30D8DFCF"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deputies (of the netherworld), not his trusty</w:t>
      </w:r>
    </w:p>
    <w:p w14:paraId="5FF448C5" w14:textId="615BB1AF" w:rsidR="00FA0139" w:rsidRPr="00050DAE" w:rsidRDefault="0006016B" w:rsidP="00FA0139">
      <w:pPr>
        <w:spacing w:after="0" w:line="240" w:lineRule="auto"/>
        <w:jc w:val="center"/>
        <w:rPr>
          <w:rFonts w:asciiTheme="majorBidi" w:hAnsiTheme="majorBidi" w:cstheme="majorBidi"/>
          <w:i/>
          <w:iCs/>
        </w:rPr>
      </w:pPr>
      <w:r w:rsidRPr="00050DAE">
        <w:rPr>
          <w:rFonts w:asciiTheme="majorBidi" w:hAnsiTheme="majorBidi" w:cstheme="majorBidi"/>
          <w:i/>
          <w:iCs/>
        </w:rPr>
        <w:t>spear, are at his side.</w:t>
      </w:r>
      <w:r w:rsidRPr="00050DAE">
        <w:rPr>
          <w:rFonts w:asciiTheme="majorBidi" w:hAnsiTheme="majorBidi" w:cstheme="majorBidi"/>
          <w:i/>
          <w:iCs/>
          <w:vertAlign w:val="superscript"/>
        </w:rPr>
        <w:footnoteReference w:id="142"/>
      </w:r>
    </w:p>
    <w:p w14:paraId="3E1F5CEB" w14:textId="00ADF370" w:rsidR="00657147" w:rsidRPr="00050DAE" w:rsidRDefault="00B31AB6" w:rsidP="00EE6050">
      <w:pPr>
        <w:pStyle w:val="UWTSDindent"/>
      </w:pPr>
      <w:r w:rsidRPr="00050DAE">
        <w:t xml:space="preserve">Within the Mesopotamian descent </w:t>
      </w:r>
      <w:r w:rsidR="006E0FED" w:rsidRPr="00050DAE">
        <w:t>texts</w:t>
      </w:r>
      <w:r w:rsidRPr="00050DAE">
        <w:t>, substitution functions not as a secondary symbolic motif but as a central mechanism governing return from the Netherworld.</w:t>
      </w:r>
      <w:r w:rsidR="00657147" w:rsidRPr="00050DAE">
        <w:rPr>
          <w:vertAlign w:val="superscript"/>
        </w:rPr>
        <w:t xml:space="preserve"> </w:t>
      </w:r>
      <w:r w:rsidR="00657147" w:rsidRPr="00050DAE">
        <w:rPr>
          <w:vertAlign w:val="superscript"/>
        </w:rPr>
        <w:footnoteReference w:id="143"/>
      </w:r>
      <w:r w:rsidR="00657147" w:rsidRPr="00050DAE">
        <w:t xml:space="preserve"> </w:t>
      </w:r>
      <w:r w:rsidRPr="00050DAE">
        <w:t>The texts frame substitution less as moral allegory than as an extension of the conditions regulating movement between life and death.</w:t>
      </w:r>
      <w:r w:rsidR="00657147" w:rsidRPr="00050DAE">
        <w:t xml:space="preserve"> While later </w:t>
      </w:r>
      <w:r w:rsidR="00A44CBC" w:rsidRPr="00050DAE">
        <w:t>conceptions of descent</w:t>
      </w:r>
      <w:r w:rsidR="00657147" w:rsidRPr="00050DAE">
        <w:t xml:space="preserve"> may remove or obscure substitution, systems governed by ritual law preserve it as essential.</w:t>
      </w:r>
      <w:r w:rsidR="00657147" w:rsidRPr="00050DAE">
        <w:rPr>
          <w:vertAlign w:val="superscript"/>
        </w:rPr>
        <w:t xml:space="preserve"> </w:t>
      </w:r>
      <w:r w:rsidR="00657147" w:rsidRPr="00050DAE">
        <w:rPr>
          <w:vertAlign w:val="superscript"/>
        </w:rPr>
        <w:footnoteReference w:id="144"/>
      </w:r>
      <w:r w:rsidR="001B5C3B" w:rsidRPr="00050DAE">
        <w:t xml:space="preserve"> </w:t>
      </w:r>
      <w:r w:rsidRPr="00050DAE">
        <w:t xml:space="preserve">Comparison therefore depends not only upon shared motifs, but upon the different narrative and theological </w:t>
      </w:r>
      <w:r w:rsidR="00262E8E" w:rsidRPr="00050DAE">
        <w:t>organisations</w:t>
      </w:r>
      <w:r w:rsidRPr="00050DAE">
        <w:t>.</w:t>
      </w:r>
    </w:p>
    <w:p w14:paraId="46B5989F" w14:textId="6B7EDB2C" w:rsidR="00CE4240" w:rsidRPr="00050DAE" w:rsidRDefault="00B31AB6" w:rsidP="00CE4240">
      <w:pPr>
        <w:pStyle w:val="UWTSDindent"/>
      </w:pPr>
      <w:r w:rsidRPr="00050DAE">
        <w:t xml:space="preserve">The descent </w:t>
      </w:r>
      <w:r w:rsidR="00A44CBC" w:rsidRPr="00050DAE">
        <w:t>tablets</w:t>
      </w:r>
      <w:r w:rsidRPr="00050DAE">
        <w:t xml:space="preserve"> strongly </w:t>
      </w:r>
      <w:r w:rsidR="00C020C4" w:rsidRPr="00050DAE">
        <w:t>emphasise</w:t>
      </w:r>
      <w:r w:rsidRPr="00050DAE">
        <w:t xml:space="preserve"> the rigidity of Netherworld order and the limited possibility of exemption once </w:t>
      </w:r>
      <w:r w:rsidR="00C020C4" w:rsidRPr="00050DAE">
        <w:t>judgement</w:t>
      </w:r>
      <w:r w:rsidRPr="00050DAE">
        <w:t xml:space="preserve"> has been imposed.</w:t>
      </w:r>
      <w:r w:rsidR="00941F33" w:rsidRPr="00050DAE">
        <w:rPr>
          <w:vertAlign w:val="superscript"/>
        </w:rPr>
        <w:footnoteReference w:id="145"/>
      </w:r>
      <w:r w:rsidR="00941F33" w:rsidRPr="00050DAE">
        <w:t xml:space="preserve"> </w:t>
      </w:r>
      <w:r w:rsidR="00A44BDB" w:rsidRPr="00050DAE">
        <w:t>Even gods remain subject to these conditions, a feature that distinguishes the Mesopotamian model from later traditions emphasizing mediation or cyclical return</w:t>
      </w:r>
      <w:r w:rsidRPr="00050DAE">
        <w:t>.</w:t>
      </w:r>
      <w:r w:rsidR="00941F33" w:rsidRPr="00050DAE">
        <w:rPr>
          <w:vertAlign w:val="superscript"/>
        </w:rPr>
        <w:footnoteReference w:id="146"/>
      </w:r>
      <w:r w:rsidR="00CE4240" w:rsidRPr="00050DAE">
        <w:t xml:space="preserve"> </w:t>
      </w:r>
    </w:p>
    <w:p w14:paraId="5817CA56" w14:textId="5B1E6FD2" w:rsidR="00CE4240" w:rsidRPr="00050DAE" w:rsidRDefault="00CE4240" w:rsidP="00CE4240">
      <w:pPr>
        <w:pStyle w:val="UWTSDindent"/>
      </w:pPr>
      <w:r w:rsidRPr="00050DAE">
        <w:t>Inanna</w:t>
      </w:r>
      <w:r w:rsidR="008301DC" w:rsidRPr="00050DAE">
        <w:t>’</w:t>
      </w:r>
      <w:r w:rsidRPr="00050DAE">
        <w:t>s release from the Netherworld is framed not as an act of mercy, but as conditional upon an existing order governing death and return.</w:t>
      </w:r>
      <w:r w:rsidRPr="00050DAE">
        <w:rPr>
          <w:vertAlign w:val="superscript"/>
        </w:rPr>
        <w:footnoteReference w:id="147"/>
      </w:r>
      <w:r w:rsidRPr="00050DAE">
        <w:t xml:space="preserve"> Even Inanna, keeper of the </w:t>
      </w:r>
      <w:r w:rsidRPr="00050DAE">
        <w:rPr>
          <w:b/>
          <w:bCs/>
          <w:i/>
          <w:iCs/>
        </w:rPr>
        <w:t>me</w:t>
      </w:r>
      <w:r w:rsidRPr="00050DAE">
        <w:t xml:space="preserve"> and sovereign of multiple domains, remains subject to this requirement, which reflects a broader Mesopotamian logic of exchange and has precedent in earlier </w:t>
      </w:r>
      <w:r w:rsidR="00A44CBC" w:rsidRPr="00050DAE">
        <w:t>material</w:t>
      </w:r>
      <w:r w:rsidRPr="00050DAE">
        <w:t xml:space="preserve"> concerning Nanna</w:t>
      </w:r>
      <w:r w:rsidR="008301DC" w:rsidRPr="00050DAE">
        <w:t>’</w:t>
      </w:r>
      <w:r w:rsidRPr="00050DAE">
        <w:t>s detention in the Netherworld.</w:t>
      </w:r>
      <w:r w:rsidRPr="00050DAE">
        <w:rPr>
          <w:vertAlign w:val="superscript"/>
        </w:rPr>
        <w:footnoteReference w:id="148"/>
      </w:r>
    </w:p>
    <w:p w14:paraId="1708B844" w14:textId="77777777" w:rsidR="001F6D2A" w:rsidRPr="00050DAE" w:rsidRDefault="001F6D2A" w:rsidP="001F6D2A">
      <w:pPr>
        <w:pStyle w:val="UWTSDindent"/>
      </w:pPr>
      <w:r w:rsidRPr="00050DAE">
        <w:t>Following restoration, Inanna’s return is accompanied by enforcement demons who are there to ensure that a substitute victim is taken to the Netherworld. Death is not eliminated but is redistributed.</w:t>
      </w:r>
      <w:r w:rsidRPr="00050DAE">
        <w:rPr>
          <w:vertAlign w:val="superscript"/>
        </w:rPr>
        <w:footnoteReference w:id="149"/>
      </w:r>
    </w:p>
    <w:p w14:paraId="0EE6B598" w14:textId="23BA26F3" w:rsidR="00941F33" w:rsidRPr="00050DAE" w:rsidRDefault="00941F33" w:rsidP="00A44BDB">
      <w:pPr>
        <w:pStyle w:val="UWTSDindent"/>
      </w:pPr>
    </w:p>
    <w:p w14:paraId="4F9D6FCE" w14:textId="77777777" w:rsidR="007F3FE7" w:rsidRPr="00050DAE" w:rsidRDefault="007F3FE7" w:rsidP="007F3FE7">
      <w:pPr>
        <w:keepNext/>
        <w:jc w:val="center"/>
        <w:rPr>
          <w:rFonts w:asciiTheme="majorBidi" w:hAnsiTheme="majorBidi" w:cstheme="majorBidi"/>
        </w:rPr>
      </w:pPr>
      <w:r w:rsidRPr="00050DAE">
        <w:rPr>
          <w:rFonts w:asciiTheme="majorBidi" w:hAnsiTheme="majorBidi" w:cstheme="majorBidi"/>
          <w:noProof/>
        </w:rPr>
        <w:drawing>
          <wp:inline distT="0" distB="0" distL="0" distR="0" wp14:anchorId="0432D12E" wp14:editId="63FEC2C9">
            <wp:extent cx="4027805" cy="1462234"/>
            <wp:effectExtent l="0" t="0" r="0" b="5080"/>
            <wp:docPr id="1659420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20879" name="Picture 1659420879"/>
                    <pic:cNvPicPr/>
                  </pic:nvPicPr>
                  <pic:blipFill rotWithShape="1">
                    <a:blip r:embed="rId35" cstate="print">
                      <a:extLst>
                        <a:ext uri="{BEBA8EAE-BF5A-486C-A8C5-ECC9F3942E4B}">
                          <a14:imgProps xmlns:a14="http://schemas.microsoft.com/office/drawing/2010/main">
                            <a14:imgLayer r:embed="rId36">
                              <a14:imgEffect>
                                <a14:backgroundRemoval t="571" b="93429" l="2888" r="98075">
                                  <a14:foregroundMark x1="4920" y1="15143" x2="17219" y2="32000"/>
                                  <a14:foregroundMark x1="17219" y1="32000" x2="6310" y2="80571"/>
                                  <a14:foregroundMark x1="6310" y1="80571" x2="19786" y2="84857"/>
                                  <a14:foregroundMark x1="2888" y1="86571" x2="3209" y2="12286"/>
                                  <a14:foregroundMark x1="28235" y1="5714" x2="69733" y2="8286"/>
                                  <a14:foregroundMark x1="69733" y1="8286" x2="80428" y2="5429"/>
                                  <a14:foregroundMark x1="80428" y1="5429" x2="91551" y2="22857"/>
                                  <a14:foregroundMark x1="91551" y1="22857" x2="92406" y2="91429"/>
                                  <a14:foregroundMark x1="92406" y1="91429" x2="25775" y2="92286"/>
                                  <a14:foregroundMark x1="25775" y1="92286" x2="25668" y2="92286"/>
                                  <a14:foregroundMark x1="96791" y1="96000" x2="95615" y2="9143"/>
                                  <a14:foregroundMark x1="95615" y1="9143" x2="89091" y2="6286"/>
                                  <a14:foregroundMark x1="98075" y1="1429" x2="98075" y2="1429"/>
                                  <a14:foregroundMark x1="97112" y1="857" x2="84385" y2="3429"/>
                                  <a14:foregroundMark x1="84385" y1="3429" x2="89626" y2="2857"/>
                                  <a14:foregroundMark x1="97968" y1="59143" x2="97540" y2="87429"/>
                                  <a14:foregroundMark x1="20749" y1="16000" x2="20428" y2="12571"/>
                                  <a14:foregroundMark x1="18075" y1="82000" x2="18930" y2="23143"/>
                                </a14:backgroundRemoval>
                              </a14:imgEffect>
                            </a14:imgLayer>
                          </a14:imgProps>
                        </a:ext>
                        <a:ext uri="{28A0092B-C50C-407E-A947-70E740481C1C}">
                          <a14:useLocalDpi xmlns:a14="http://schemas.microsoft.com/office/drawing/2010/main" val="0"/>
                        </a:ext>
                      </a:extLst>
                    </a:blip>
                    <a:srcRect t="2358" r="1956" b="2521"/>
                    <a:stretch>
                      <a:fillRect/>
                    </a:stretch>
                  </pic:blipFill>
                  <pic:spPr bwMode="auto">
                    <a:xfrm>
                      <a:off x="0" y="0"/>
                      <a:ext cx="4061262" cy="1474380"/>
                    </a:xfrm>
                    <a:prstGeom prst="rect">
                      <a:avLst/>
                    </a:prstGeom>
                    <a:ln>
                      <a:noFill/>
                    </a:ln>
                    <a:extLst>
                      <a:ext uri="{53640926-AAD7-44D8-BBD7-CCE9431645EC}">
                        <a14:shadowObscured xmlns:a14="http://schemas.microsoft.com/office/drawing/2010/main"/>
                      </a:ext>
                    </a:extLst>
                  </pic:spPr>
                </pic:pic>
              </a:graphicData>
            </a:graphic>
          </wp:inline>
        </w:drawing>
      </w:r>
    </w:p>
    <w:p w14:paraId="65D70049" w14:textId="4CB9A6CA" w:rsidR="007F3FE7" w:rsidRPr="00050DAE" w:rsidRDefault="007F3FE7" w:rsidP="007F3FE7">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8</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Orange-cream shell cylinder seal possibly depicting Dumuzi</w:t>
      </w:r>
      <w:r w:rsidR="008301DC" w:rsidRPr="00050DAE">
        <w:rPr>
          <w:rFonts w:asciiTheme="majorBidi" w:hAnsiTheme="majorBidi" w:cstheme="majorBidi"/>
          <w:color w:val="auto"/>
        </w:rPr>
        <w:t>’</w:t>
      </w:r>
      <w:r w:rsidRPr="00050DAE">
        <w:rPr>
          <w:rFonts w:asciiTheme="majorBidi" w:hAnsiTheme="majorBidi" w:cstheme="majorBidi"/>
          <w:color w:val="auto"/>
        </w:rPr>
        <w:t>s captivity for the Netherworld.</w:t>
      </w:r>
      <w:r w:rsidRPr="00050DAE">
        <w:rPr>
          <w:rStyle w:val="FootnoteReference"/>
          <w:rFonts w:asciiTheme="majorBidi" w:hAnsiTheme="majorBidi" w:cstheme="majorBidi"/>
          <w:color w:val="auto"/>
        </w:rPr>
        <w:footnoteReference w:id="150"/>
      </w:r>
    </w:p>
    <w:p w14:paraId="01E00C55" w14:textId="41EDEB31" w:rsidR="00CF1D50" w:rsidRPr="00050DAE" w:rsidRDefault="008F2D5C" w:rsidP="00B31AB6">
      <w:pPr>
        <w:pStyle w:val="UWTSDindent"/>
      </w:pPr>
      <w:r w:rsidRPr="00050DAE">
        <w:t xml:space="preserve">In </w:t>
      </w:r>
      <w:r w:rsidR="00F7743C" w:rsidRPr="00050DAE">
        <w:rPr>
          <w:i/>
          <w:iCs/>
        </w:rPr>
        <w:t>Ina</w:t>
      </w:r>
      <w:r w:rsidR="00E844B5" w:rsidRPr="00050DAE">
        <w:rPr>
          <w:i/>
          <w:iCs/>
        </w:rPr>
        <w:t>n</w:t>
      </w:r>
      <w:r w:rsidR="00F7743C" w:rsidRPr="00050DAE">
        <w:rPr>
          <w:i/>
          <w:iCs/>
        </w:rPr>
        <w:t>na</w:t>
      </w:r>
      <w:r w:rsidR="008301DC" w:rsidRPr="00050DAE">
        <w:rPr>
          <w:i/>
          <w:iCs/>
        </w:rPr>
        <w:t>’</w:t>
      </w:r>
      <w:r w:rsidR="00F7743C" w:rsidRPr="00050DAE">
        <w:rPr>
          <w:i/>
          <w:iCs/>
        </w:rPr>
        <w:t>s Descent</w:t>
      </w:r>
      <w:r w:rsidRPr="00050DAE">
        <w:t>, Dumuzi</w:t>
      </w:r>
      <w:r w:rsidR="008301DC" w:rsidRPr="00050DAE">
        <w:t>’</w:t>
      </w:r>
      <w:r w:rsidRPr="00050DAE">
        <w:t>s selection is framed as consequence rather than caprice.</w:t>
      </w:r>
      <w:r w:rsidR="00CF1D50" w:rsidRPr="00050DAE">
        <w:rPr>
          <w:vertAlign w:val="superscript"/>
        </w:rPr>
        <w:footnoteReference w:id="151"/>
      </w:r>
      <w:r w:rsidR="00CF1D50" w:rsidRPr="00050DAE">
        <w:t xml:space="preserve"> With demons in tow:</w:t>
      </w:r>
      <w:r w:rsidR="00CF1D50" w:rsidRPr="00050DAE">
        <w:rPr>
          <w:vertAlign w:val="superscript"/>
        </w:rPr>
        <w:footnoteReference w:id="152"/>
      </w:r>
    </w:p>
    <w:p w14:paraId="0B45BB0D" w14:textId="77777777" w:rsidR="00CF1D50" w:rsidRPr="00050DAE" w:rsidRDefault="00CF1D50" w:rsidP="00CF1D50">
      <w:pPr>
        <w:spacing w:after="0" w:line="240" w:lineRule="auto"/>
        <w:jc w:val="center"/>
        <w:rPr>
          <w:rFonts w:asciiTheme="majorBidi" w:hAnsiTheme="majorBidi" w:cstheme="majorBidi"/>
        </w:rPr>
      </w:pPr>
      <w:r w:rsidRPr="00050DAE">
        <w:rPr>
          <w:rFonts w:asciiTheme="majorBidi" w:hAnsiTheme="majorBidi" w:cstheme="majorBidi"/>
        </w:rPr>
        <w:t>Inanna fastened on Dumuzi the eye of death.</w:t>
      </w:r>
    </w:p>
    <w:p w14:paraId="0D258E9C" w14:textId="77777777" w:rsidR="00CF1D50" w:rsidRPr="00050DAE" w:rsidRDefault="00CF1D50" w:rsidP="00CF1D50">
      <w:pPr>
        <w:spacing w:after="0" w:line="240" w:lineRule="auto"/>
        <w:jc w:val="center"/>
        <w:rPr>
          <w:rFonts w:asciiTheme="majorBidi" w:hAnsiTheme="majorBidi" w:cstheme="majorBidi"/>
        </w:rPr>
      </w:pPr>
      <w:r w:rsidRPr="00050DAE">
        <w:rPr>
          <w:rFonts w:asciiTheme="majorBidi" w:hAnsiTheme="majorBidi" w:cstheme="majorBidi"/>
        </w:rPr>
        <w:t>She spoke against him the word of wrath.</w:t>
      </w:r>
    </w:p>
    <w:p w14:paraId="74DCB992" w14:textId="77777777" w:rsidR="00CF1D50" w:rsidRPr="00050DAE" w:rsidRDefault="00CF1D50" w:rsidP="00CF1D50">
      <w:pPr>
        <w:spacing w:after="0" w:line="240" w:lineRule="auto"/>
        <w:jc w:val="center"/>
        <w:rPr>
          <w:rFonts w:asciiTheme="majorBidi" w:hAnsiTheme="majorBidi" w:cstheme="majorBidi"/>
        </w:rPr>
      </w:pPr>
      <w:r w:rsidRPr="00050DAE">
        <w:rPr>
          <w:rFonts w:asciiTheme="majorBidi" w:hAnsiTheme="majorBidi" w:cstheme="majorBidi"/>
        </w:rPr>
        <w:t>She uttered against him the cry of guilt:</w:t>
      </w:r>
    </w:p>
    <w:p w14:paraId="52C80EDA" w14:textId="4323AEF9" w:rsidR="00CF1D50" w:rsidRPr="00050DAE" w:rsidRDefault="008301DC" w:rsidP="00CF1D50">
      <w:pPr>
        <w:spacing w:after="0" w:line="240" w:lineRule="auto"/>
        <w:jc w:val="center"/>
        <w:rPr>
          <w:rFonts w:asciiTheme="majorBidi" w:hAnsiTheme="majorBidi" w:cstheme="majorBidi"/>
        </w:rPr>
      </w:pPr>
      <w:r w:rsidRPr="00050DAE">
        <w:rPr>
          <w:rFonts w:asciiTheme="majorBidi" w:hAnsiTheme="majorBidi" w:cstheme="majorBidi"/>
        </w:rPr>
        <w:t>“</w:t>
      </w:r>
      <w:r w:rsidR="00CF1D50" w:rsidRPr="00050DAE">
        <w:rPr>
          <w:rFonts w:asciiTheme="majorBidi" w:hAnsiTheme="majorBidi" w:cstheme="majorBidi"/>
        </w:rPr>
        <w:t>Take him! Take Dumuzi away!</w:t>
      </w:r>
      <w:r w:rsidRPr="00050DAE">
        <w:rPr>
          <w:rFonts w:asciiTheme="majorBidi" w:hAnsiTheme="majorBidi" w:cstheme="majorBidi"/>
        </w:rPr>
        <w:t>”</w:t>
      </w:r>
    </w:p>
    <w:p w14:paraId="5FEE9B08" w14:textId="5A1CC98C" w:rsidR="00CF1D50" w:rsidRPr="00050DAE" w:rsidRDefault="003F7877" w:rsidP="006248CC">
      <w:pPr>
        <w:pStyle w:val="UWTSDindent"/>
      </w:pPr>
      <w:r w:rsidRPr="00050DAE">
        <w:t xml:space="preserve">The text </w:t>
      </w:r>
      <w:r w:rsidR="00C020C4" w:rsidRPr="00050DAE">
        <w:t>emphasise</w:t>
      </w:r>
      <w:r w:rsidRPr="00050DAE">
        <w:t>s Dumuzi</w:t>
      </w:r>
      <w:r w:rsidR="008301DC" w:rsidRPr="00050DAE">
        <w:t>’</w:t>
      </w:r>
      <w:r w:rsidRPr="00050DAE">
        <w:t>s failure to mourn, his continued comfort and authority during Inanna</w:t>
      </w:r>
      <w:r w:rsidR="008301DC" w:rsidRPr="00050DAE">
        <w:t>’</w:t>
      </w:r>
      <w:r w:rsidRPr="00050DAE">
        <w:t>s absence, and his refusal to acknowledge loss.</w:t>
      </w:r>
      <w:r w:rsidR="00CF1D50" w:rsidRPr="00050DAE">
        <w:rPr>
          <w:vertAlign w:val="superscript"/>
        </w:rPr>
        <w:footnoteReference w:id="153"/>
      </w:r>
      <w:r w:rsidR="00CF1D50" w:rsidRPr="00050DAE">
        <w:t xml:space="preserve"> </w:t>
      </w:r>
      <w:r w:rsidRPr="00050DAE">
        <w:t>The sacred lover therefore becomes the substitute victim, transforming the intimacy that once elevated him into the basis of his punishment.</w:t>
      </w:r>
      <w:r w:rsidR="00CF1D50" w:rsidRPr="00050DAE">
        <w:rPr>
          <w:vertAlign w:val="superscript"/>
        </w:rPr>
        <w:footnoteReference w:id="154"/>
      </w:r>
      <w:r w:rsidR="006248CC" w:rsidRPr="00050DAE">
        <w:t xml:space="preserve"> </w:t>
      </w:r>
    </w:p>
    <w:p w14:paraId="5E3AF406" w14:textId="785506BE" w:rsidR="003F7877" w:rsidRPr="00050DAE" w:rsidRDefault="008568D4" w:rsidP="0086562D">
      <w:pPr>
        <w:pStyle w:val="UWTSDindent"/>
      </w:pPr>
      <w:r w:rsidRPr="00050DAE">
        <w:t>Inanna</w:t>
      </w:r>
      <w:r w:rsidR="008301DC" w:rsidRPr="00050DAE">
        <w:t>’</w:t>
      </w:r>
      <w:r w:rsidRPr="00050DAE">
        <w:t>s restoration depends upon exchange rather than triumph, revealing a conception of divine authority that remains bound to sacrifice and obligation.</w:t>
      </w:r>
      <w:r w:rsidR="003F7877" w:rsidRPr="00050DAE">
        <w:rPr>
          <w:vertAlign w:val="superscript"/>
        </w:rPr>
        <w:footnoteReference w:id="155"/>
      </w:r>
      <w:r w:rsidR="003F7877" w:rsidRPr="00050DAE">
        <w:t xml:space="preserve"> </w:t>
      </w:r>
      <w:r w:rsidRPr="00050DAE">
        <w:t>Th</w:t>
      </w:r>
      <w:r w:rsidR="00C0249D" w:rsidRPr="00050DAE">
        <w:t xml:space="preserve">ese aspects </w:t>
      </w:r>
      <w:r w:rsidRPr="00050DAE">
        <w:t>complicate later portrayals of Inanna as a straightforward symbol of empowerment by placing limits upon even her most expansive claims to power.</w:t>
      </w:r>
    </w:p>
    <w:p w14:paraId="0B0A56A8" w14:textId="595DC40F" w:rsidR="00CF1D50" w:rsidRPr="00050DAE" w:rsidRDefault="008568D4" w:rsidP="008568D4">
      <w:pPr>
        <w:pStyle w:val="UWTSDindent"/>
      </w:pPr>
      <w:r w:rsidRPr="00050DAE">
        <w:t>In the earliest narrative forms, the logic of substitution may have concluded the story at this point.</w:t>
      </w:r>
      <w:r w:rsidRPr="00050DAE">
        <w:rPr>
          <w:rStyle w:val="FootnoteReference"/>
        </w:rPr>
        <w:footnoteReference w:id="156"/>
      </w:r>
      <w:r w:rsidRPr="00050DAE">
        <w:t xml:space="preserve"> The later development of Dumuzi and Geshtinanna</w:t>
      </w:r>
      <w:r w:rsidR="008301DC" w:rsidRPr="00050DAE">
        <w:t>’</w:t>
      </w:r>
      <w:r w:rsidRPr="00050DAE">
        <w:t xml:space="preserve">s alternating descent, however, transformed the consequences of substitution into a recurring cycle that linked Netherworld obligation to seasonal renewal. </w:t>
      </w:r>
    </w:p>
    <w:p w14:paraId="2D8AF725" w14:textId="2450CB22" w:rsidR="0006016B" w:rsidRPr="00050DAE" w:rsidRDefault="00092B11" w:rsidP="0006016B">
      <w:pPr>
        <w:keepNext/>
        <w:keepLines/>
        <w:spacing w:before="160" w:after="80"/>
        <w:outlineLvl w:val="1"/>
        <w:rPr>
          <w:rFonts w:asciiTheme="majorBidi" w:eastAsiaTheme="majorEastAsia" w:hAnsiTheme="majorBidi" w:cstheme="majorBidi"/>
          <w:sz w:val="32"/>
          <w:szCs w:val="32"/>
        </w:rPr>
      </w:pPr>
      <w:bookmarkStart w:id="107" w:name="_Toc234140247"/>
      <w:bookmarkStart w:id="108" w:name="_Toc234140498"/>
      <w:bookmarkStart w:id="109" w:name="_Toc234143678"/>
      <w:bookmarkStart w:id="110" w:name="_Toc234154307"/>
      <w:r w:rsidRPr="00050DAE">
        <w:rPr>
          <w:rFonts w:asciiTheme="majorBidi" w:eastAsiaTheme="majorEastAsia" w:hAnsiTheme="majorBidi" w:cstheme="majorBidi"/>
          <w:sz w:val="32"/>
          <w:szCs w:val="32"/>
        </w:rPr>
        <w:t>3.6</w:t>
      </w:r>
      <w:r w:rsidR="0006016B" w:rsidRPr="00050DAE">
        <w:rPr>
          <w:rFonts w:asciiTheme="majorBidi" w:eastAsiaTheme="majorEastAsia" w:hAnsiTheme="majorBidi" w:cstheme="majorBidi"/>
          <w:sz w:val="32"/>
          <w:szCs w:val="32"/>
        </w:rPr>
        <w:t xml:space="preserve"> </w:t>
      </w:r>
      <w:r w:rsidR="0048064F" w:rsidRPr="00050DAE">
        <w:rPr>
          <w:rFonts w:asciiTheme="majorBidi" w:eastAsiaTheme="majorEastAsia" w:hAnsiTheme="majorBidi" w:cstheme="majorBidi"/>
          <w:sz w:val="32"/>
          <w:szCs w:val="32"/>
        </w:rPr>
        <w:t>The Many Deaths of D</w:t>
      </w:r>
      <w:r w:rsidR="0006016B" w:rsidRPr="00050DAE">
        <w:rPr>
          <w:rFonts w:asciiTheme="majorBidi" w:eastAsiaTheme="majorEastAsia" w:hAnsiTheme="majorBidi" w:cstheme="majorBidi"/>
          <w:sz w:val="32"/>
          <w:szCs w:val="32"/>
        </w:rPr>
        <w:t>umuzi</w:t>
      </w:r>
      <w:bookmarkEnd w:id="107"/>
      <w:bookmarkEnd w:id="108"/>
      <w:bookmarkEnd w:id="109"/>
      <w:bookmarkEnd w:id="110"/>
    </w:p>
    <w:p w14:paraId="013DE63C" w14:textId="679AB4FE" w:rsidR="00192969" w:rsidRPr="00050DAE" w:rsidRDefault="00192969" w:rsidP="00EE6050">
      <w:pPr>
        <w:pStyle w:val="UWTSDindent"/>
      </w:pPr>
      <w:bookmarkStart w:id="111" w:name="Dumuzidescent"/>
      <w:r w:rsidRPr="00050DAE">
        <w:t>Dumuzi</w:t>
      </w:r>
      <w:r w:rsidR="008301DC" w:rsidRPr="00050DAE">
        <w:t>’</w:t>
      </w:r>
      <w:r w:rsidRPr="00050DAE">
        <w:t xml:space="preserve">s descent </w:t>
      </w:r>
      <w:bookmarkEnd w:id="111"/>
      <w:r w:rsidRPr="00050DAE">
        <w:t>introduces a seasonal dimension into the logic of substitution.</w:t>
      </w:r>
      <w:r w:rsidRPr="00050DAE">
        <w:rPr>
          <w:vertAlign w:val="superscript"/>
        </w:rPr>
        <w:footnoteReference w:id="157"/>
      </w:r>
      <w:r w:rsidRPr="00050DAE">
        <w:t xml:space="preserve"> His seizure results from his failure to mourn and his continued display of authority during Inanna</w:t>
      </w:r>
      <w:r w:rsidR="008301DC" w:rsidRPr="00050DAE">
        <w:t>’</w:t>
      </w:r>
      <w:r w:rsidRPr="00050DAE">
        <w:t>s absence, transforming the relationship that once elevated him into the basis of his punishment.</w:t>
      </w:r>
      <w:r w:rsidRPr="00050DAE">
        <w:rPr>
          <w:vertAlign w:val="superscript"/>
        </w:rPr>
        <w:footnoteReference w:id="158"/>
      </w:r>
      <w:r w:rsidRPr="00050DAE">
        <w:t xml:space="preserve"> However, other, possibly earlier versions of the </w:t>
      </w:r>
      <w:r w:rsidR="00C3564C" w:rsidRPr="00050DAE">
        <w:t>texts</w:t>
      </w:r>
      <w:r w:rsidRPr="00050DAE">
        <w:t xml:space="preserve"> present Dumuzi dying through a variety of tragedies, leaving Inanna </w:t>
      </w:r>
      <w:r w:rsidR="008301DC" w:rsidRPr="00050DAE">
        <w:t>“</w:t>
      </w:r>
      <w:r w:rsidRPr="00050DAE">
        <w:t>to bewail him.</w:t>
      </w:r>
      <w:r w:rsidR="008301DC" w:rsidRPr="00050DAE">
        <w:t>”</w:t>
      </w:r>
      <w:r w:rsidRPr="00050DAE">
        <w:rPr>
          <w:vertAlign w:val="superscript"/>
        </w:rPr>
        <w:t xml:space="preserve"> </w:t>
      </w:r>
      <w:r w:rsidRPr="00050DAE">
        <w:rPr>
          <w:vertAlign w:val="superscript"/>
        </w:rPr>
        <w:footnoteReference w:id="159"/>
      </w:r>
    </w:p>
    <w:p w14:paraId="5927553C" w14:textId="23BEDFA5" w:rsidR="0048064F" w:rsidRPr="00050DAE" w:rsidRDefault="00F44839" w:rsidP="002006EB">
      <w:pPr>
        <w:pStyle w:val="UWTSDindent"/>
      </w:pPr>
      <w:r w:rsidRPr="00050DAE">
        <w:t>The descent does not end his presence within the mythic scheme</w:t>
      </w:r>
      <w:r w:rsidR="0006016B" w:rsidRPr="00050DAE">
        <w:t>.</w:t>
      </w:r>
      <w:r w:rsidR="0006016B" w:rsidRPr="00050DAE">
        <w:rPr>
          <w:vertAlign w:val="superscript"/>
        </w:rPr>
        <w:footnoteReference w:id="160"/>
      </w:r>
      <w:r w:rsidR="0006016B" w:rsidRPr="00050DAE">
        <w:t xml:space="preserve"> Lament </w:t>
      </w:r>
      <w:r w:rsidR="00C3564C" w:rsidRPr="00050DAE">
        <w:t>texts</w:t>
      </w:r>
      <w:r w:rsidR="0006016B" w:rsidRPr="00050DAE">
        <w:t xml:space="preserve"> connect his absence with agricultural dormancy and the interruption of fertility.</w:t>
      </w:r>
      <w:r w:rsidR="005E4780" w:rsidRPr="00050DAE">
        <w:t xml:space="preserve"> </w:t>
      </w:r>
      <w:r w:rsidRPr="00050DAE">
        <w:t>In the case of Akkadian Tammuz, it inspired</w:t>
      </w:r>
      <w:r w:rsidR="005E4780" w:rsidRPr="00050DAE">
        <w:t xml:space="preserve"> an annual festival featuring a </w:t>
      </w:r>
      <w:r w:rsidR="008301DC" w:rsidRPr="00050DAE">
        <w:t>“</w:t>
      </w:r>
      <w:r w:rsidR="005E4780" w:rsidRPr="00050DAE">
        <w:t>liturgical wailing for the dying god,</w:t>
      </w:r>
      <w:r w:rsidR="008301DC" w:rsidRPr="00050DAE">
        <w:t>”</w:t>
      </w:r>
      <w:r w:rsidR="005E4780" w:rsidRPr="00050DAE">
        <w:t xml:space="preserve"> </w:t>
      </w:r>
      <w:r w:rsidRPr="00050DAE">
        <w:t>and</w:t>
      </w:r>
      <w:r w:rsidR="005E4780" w:rsidRPr="00050DAE">
        <w:t xml:space="preserve"> eventually the fourth month in the calendar </w:t>
      </w:r>
      <w:r w:rsidRPr="00050DAE">
        <w:t>bore</w:t>
      </w:r>
      <w:r w:rsidR="005E4780" w:rsidRPr="00050DAE">
        <w:t xml:space="preserve"> his name.</w:t>
      </w:r>
      <w:r w:rsidR="0006016B" w:rsidRPr="00050DAE">
        <w:rPr>
          <w:vertAlign w:val="superscript"/>
        </w:rPr>
        <w:footnoteReference w:id="161"/>
      </w:r>
      <w:r w:rsidR="0006016B" w:rsidRPr="00050DAE">
        <w:t xml:space="preserve"> </w:t>
      </w:r>
      <w:r w:rsidR="0048064F" w:rsidRPr="00050DAE">
        <w:t>Jacobsen parallels the death of Inanna as the emptying of the storehouse in the harsh winter, while the death of Dumuzi is the slaughter of the livestock to refill the store</w:t>
      </w:r>
      <w:r w:rsidR="002006EB" w:rsidRPr="00050DAE">
        <w:t>s</w:t>
      </w:r>
      <w:r w:rsidR="00DD2F02" w:rsidRPr="00050DAE">
        <w:t xml:space="preserve"> executed by Inanna</w:t>
      </w:r>
      <w:r w:rsidR="0048064F" w:rsidRPr="00050DAE">
        <w:t>.</w:t>
      </w:r>
      <w:r w:rsidR="0048064F" w:rsidRPr="00050DAE">
        <w:rPr>
          <w:rStyle w:val="FootnoteReference"/>
        </w:rPr>
        <w:footnoteReference w:id="162"/>
      </w:r>
    </w:p>
    <w:p w14:paraId="38F50563" w14:textId="32C4D0EE" w:rsidR="007A6A0F" w:rsidRPr="00050DAE" w:rsidRDefault="0094117A" w:rsidP="00B3485E">
      <w:pPr>
        <w:pStyle w:val="UWTSDindent"/>
      </w:pPr>
      <w:r w:rsidRPr="00050DAE">
        <w:t xml:space="preserve">Across academia, there has long been debate over whether </w:t>
      </w:r>
      <w:bookmarkStart w:id="112" w:name="DumuziStayDead"/>
      <w:r w:rsidRPr="00050DAE">
        <w:t>Dumuzi</w:t>
      </w:r>
      <w:r w:rsidR="008301DC" w:rsidRPr="00050DAE">
        <w:t>’</w:t>
      </w:r>
      <w:r w:rsidRPr="00050DAE">
        <w:t>s story ends in death</w:t>
      </w:r>
      <w:r w:rsidR="002006EB" w:rsidRPr="00050DAE">
        <w:t>.</w:t>
      </w:r>
      <w:bookmarkEnd w:id="112"/>
      <w:r w:rsidR="007A6A0F" w:rsidRPr="00050DAE">
        <w:rPr>
          <w:rStyle w:val="FootnoteReference"/>
        </w:rPr>
        <w:footnoteReference w:id="163"/>
      </w:r>
      <w:r w:rsidR="002006EB" w:rsidRPr="00050DAE">
        <w:t xml:space="preserve"> </w:t>
      </w:r>
      <w:r w:rsidR="003D53A8" w:rsidRPr="00050DAE">
        <w:t>T</w:t>
      </w:r>
      <w:r w:rsidRPr="00050DAE">
        <w:t>his uncertainty stems in part from the fragmentary state of the evidence, as well as from evolving interpretations enabled by advances in Sumerian and Akkadian studies</w:t>
      </w:r>
      <w:r w:rsidR="002006EB" w:rsidRPr="00050DAE">
        <w:t xml:space="preserve">. </w:t>
      </w:r>
      <w:r w:rsidR="00B3485E" w:rsidRPr="00050DAE">
        <w:t xml:space="preserve">For example, in 1962 Gurney rejected earlier attempts to link Dumuzi/Tammuz to a dying-and-rising god motif, arguing that any resurrection element was a </w:t>
      </w:r>
      <w:r w:rsidR="008301DC" w:rsidRPr="00050DAE">
        <w:t>“</w:t>
      </w:r>
      <w:r w:rsidR="002006EB" w:rsidRPr="00050DAE">
        <w:t>late accretion to the Babylonian religion due to West Semitic influence.</w:t>
      </w:r>
      <w:r w:rsidR="008301DC" w:rsidRPr="00050DAE">
        <w:t>”</w:t>
      </w:r>
      <w:r w:rsidR="002006EB" w:rsidRPr="00050DAE">
        <w:rPr>
          <w:rStyle w:val="FootnoteReference"/>
        </w:rPr>
        <w:footnoteReference w:id="164"/>
      </w:r>
      <w:r w:rsidR="00DD2F02" w:rsidRPr="00050DAE">
        <w:t xml:space="preserve"> </w:t>
      </w:r>
      <w:r w:rsidR="00B3485E" w:rsidRPr="00050DAE">
        <w:t xml:space="preserve">The 1963 edition of </w:t>
      </w:r>
      <w:r w:rsidR="00F7743C" w:rsidRPr="00050DAE">
        <w:rPr>
          <w:i/>
          <w:iCs/>
        </w:rPr>
        <w:t>Ina</w:t>
      </w:r>
      <w:r w:rsidR="00E844B5" w:rsidRPr="00050DAE">
        <w:rPr>
          <w:i/>
          <w:iCs/>
        </w:rPr>
        <w:t>n</w:t>
      </w:r>
      <w:r w:rsidR="00F7743C" w:rsidRPr="00050DAE">
        <w:rPr>
          <w:i/>
          <w:iCs/>
        </w:rPr>
        <w:t>na</w:t>
      </w:r>
      <w:r w:rsidR="008301DC" w:rsidRPr="00050DAE">
        <w:rPr>
          <w:i/>
          <w:iCs/>
        </w:rPr>
        <w:t>’</w:t>
      </w:r>
      <w:r w:rsidR="00F7743C" w:rsidRPr="00050DAE">
        <w:rPr>
          <w:i/>
          <w:iCs/>
        </w:rPr>
        <w:t>s Descent</w:t>
      </w:r>
      <w:r w:rsidR="00B3485E" w:rsidRPr="00050DAE">
        <w:t xml:space="preserve"> incorporated the Dumuzi–Geshtinanna alternation text, further complicating the issue</w:t>
      </w:r>
      <w:r w:rsidR="00DD2F02" w:rsidRPr="00050DAE">
        <w:t>.</w:t>
      </w:r>
      <w:r w:rsidR="00DD2F02" w:rsidRPr="00050DAE">
        <w:rPr>
          <w:rStyle w:val="FootnoteReference"/>
        </w:rPr>
        <w:footnoteReference w:id="165"/>
      </w:r>
      <w:r w:rsidR="00DD2F02" w:rsidRPr="00050DAE">
        <w:t xml:space="preserve"> </w:t>
      </w:r>
      <w:r w:rsidR="00B3485E" w:rsidRPr="00050DAE">
        <w:t>Kramer</w:t>
      </w:r>
      <w:r w:rsidR="008301DC" w:rsidRPr="00050DAE">
        <w:t>’</w:t>
      </w:r>
      <w:r w:rsidR="00B3485E" w:rsidRPr="00050DAE">
        <w:t>s position likewise shifted over time</w:t>
      </w:r>
      <w:r w:rsidR="003D53A8" w:rsidRPr="00050DAE">
        <w:t>. H</w:t>
      </w:r>
      <w:r w:rsidR="00B3485E" w:rsidRPr="00050DAE">
        <w:t>e initially entertained the possibility of resurrection, rejected it by 1950, and returned to a more cautious acceptance in 1965</w:t>
      </w:r>
      <w:r w:rsidR="00DD2F02" w:rsidRPr="00050DAE">
        <w:t>.</w:t>
      </w:r>
      <w:r w:rsidR="00DD2F02" w:rsidRPr="00050DAE">
        <w:rPr>
          <w:rStyle w:val="FootnoteReference"/>
        </w:rPr>
        <w:footnoteReference w:id="166"/>
      </w:r>
      <w:r w:rsidR="00B3485E" w:rsidRPr="00050DAE">
        <w:t xml:space="preserve"> </w:t>
      </w:r>
      <w:r w:rsidR="003D53A8" w:rsidRPr="00050DAE">
        <w:t xml:space="preserve">J. </w:t>
      </w:r>
      <w:r w:rsidR="00B3485E" w:rsidRPr="00050DAE">
        <w:t xml:space="preserve">Smith, by contrast, </w:t>
      </w:r>
      <w:r w:rsidR="00C020C4" w:rsidRPr="00050DAE">
        <w:t>emphasise</w:t>
      </w:r>
      <w:r w:rsidR="00B3485E" w:rsidRPr="00050DAE">
        <w:t>s that Tammuz remains among the dead, citing the shepherd</w:t>
      </w:r>
      <w:r w:rsidR="008301DC" w:rsidRPr="00050DAE">
        <w:t>’</w:t>
      </w:r>
      <w:r w:rsidR="00B3485E" w:rsidRPr="00050DAE">
        <w:t>s inclusion in Ištar</w:t>
      </w:r>
      <w:r w:rsidR="008301DC" w:rsidRPr="00050DAE">
        <w:t>’</w:t>
      </w:r>
      <w:r w:rsidR="00B3485E" w:rsidRPr="00050DAE">
        <w:t xml:space="preserve">s list of deceased lovers in </w:t>
      </w:r>
      <w:r w:rsidR="00F31E7F" w:rsidRPr="00050DAE">
        <w:t xml:space="preserve">the </w:t>
      </w:r>
      <w:r w:rsidR="00F31E7F" w:rsidRPr="00050DAE">
        <w:rPr>
          <w:i/>
          <w:iCs/>
        </w:rPr>
        <w:t xml:space="preserve">Epic of </w:t>
      </w:r>
      <w:r w:rsidR="00B3485E" w:rsidRPr="00050DAE">
        <w:rPr>
          <w:i/>
          <w:iCs/>
        </w:rPr>
        <w:t>Gilgamesh</w:t>
      </w:r>
      <w:r w:rsidR="00B3485E" w:rsidRPr="00050DAE">
        <w:t xml:space="preserve"> (6.46–50)</w:t>
      </w:r>
      <w:r w:rsidR="00184093" w:rsidRPr="00050DAE">
        <w:t>.</w:t>
      </w:r>
      <w:r w:rsidR="00184093" w:rsidRPr="00050DAE">
        <w:rPr>
          <w:rStyle w:val="FootnoteReference"/>
        </w:rPr>
        <w:footnoteReference w:id="167"/>
      </w:r>
      <w:r w:rsidR="00184093" w:rsidRPr="00050DAE">
        <w:t xml:space="preserve"> </w:t>
      </w:r>
      <w:r w:rsidR="002D2B4A" w:rsidRPr="00050DAE">
        <w:t xml:space="preserve">While future discoveries may yet revise this picture, as they did in the 1960s, the extant Akkadian evidence most strongly supports the conclusion that Tammuz does not return. The idea of cyclical reemergence appears instead to be a later development rather than an original feature of the </w:t>
      </w:r>
      <w:r w:rsidR="00C3564C" w:rsidRPr="00050DAE">
        <w:t>Dumuzi cycle</w:t>
      </w:r>
      <w:r w:rsidR="002D2B4A" w:rsidRPr="00050DAE">
        <w:t>.</w:t>
      </w:r>
    </w:p>
    <w:p w14:paraId="320E2F93" w14:textId="67F5E434" w:rsidR="0048064F" w:rsidRPr="00050DAE" w:rsidRDefault="0048064F" w:rsidP="0048064F">
      <w:pPr>
        <w:pStyle w:val="Heading2"/>
        <w:rPr>
          <w:rFonts w:asciiTheme="majorBidi" w:hAnsiTheme="majorBidi"/>
          <w:color w:val="auto"/>
        </w:rPr>
      </w:pPr>
      <w:bookmarkStart w:id="113" w:name="_Ref232180554"/>
      <w:bookmarkStart w:id="114" w:name="_Toc234140248"/>
      <w:bookmarkStart w:id="115" w:name="_Toc234140499"/>
      <w:bookmarkStart w:id="116" w:name="_Toc234143679"/>
      <w:bookmarkStart w:id="117" w:name="_Toc234154308"/>
      <w:r w:rsidRPr="00050DAE">
        <w:rPr>
          <w:rFonts w:asciiTheme="majorBidi" w:hAnsiTheme="majorBidi"/>
          <w:color w:val="auto"/>
        </w:rPr>
        <w:t>3.7 Geshtinanna and Season</w:t>
      </w:r>
      <w:r w:rsidR="00F32554" w:rsidRPr="00050DAE">
        <w:rPr>
          <w:rFonts w:asciiTheme="majorBidi" w:hAnsiTheme="majorBidi"/>
          <w:color w:val="auto"/>
        </w:rPr>
        <w:t>al</w:t>
      </w:r>
      <w:r w:rsidRPr="00050DAE">
        <w:rPr>
          <w:rFonts w:asciiTheme="majorBidi" w:hAnsiTheme="majorBidi"/>
          <w:color w:val="auto"/>
        </w:rPr>
        <w:t xml:space="preserve"> Revival</w:t>
      </w:r>
      <w:bookmarkEnd w:id="113"/>
      <w:bookmarkEnd w:id="114"/>
      <w:bookmarkEnd w:id="115"/>
      <w:bookmarkEnd w:id="116"/>
      <w:bookmarkEnd w:id="117"/>
    </w:p>
    <w:p w14:paraId="7C06FAE3" w14:textId="1319C141" w:rsidR="0006016B" w:rsidRPr="00050DAE" w:rsidRDefault="005D4654" w:rsidP="00EE6050">
      <w:pPr>
        <w:pStyle w:val="UWTSDindent"/>
      </w:pPr>
      <w:bookmarkStart w:id="118" w:name="GeshtinannaDumuzi"/>
      <w:r w:rsidRPr="00050DAE">
        <w:t>Even if Dumuzi</w:t>
      </w:r>
      <w:r w:rsidR="008301DC" w:rsidRPr="00050DAE">
        <w:t>’</w:t>
      </w:r>
      <w:r w:rsidRPr="00050DAE">
        <w:t xml:space="preserve">s </w:t>
      </w:r>
      <w:bookmarkEnd w:id="118"/>
      <w:r w:rsidRPr="00050DAE">
        <w:t xml:space="preserve">fate is fixed, the introduction of Geshtinanna fundamentally reshapes the narrative pattern, shifting the focus from return to regulated alternation. </w:t>
      </w:r>
      <w:r w:rsidR="00827767" w:rsidRPr="00050DAE">
        <w:t xml:space="preserve">Narratively, </w:t>
      </w:r>
      <w:r w:rsidR="0006016B" w:rsidRPr="00050DAE">
        <w:t>Dumuzi</w:t>
      </w:r>
      <w:r w:rsidR="008301DC" w:rsidRPr="00050DAE">
        <w:t>’</w:t>
      </w:r>
      <w:r w:rsidR="0006016B" w:rsidRPr="00050DAE">
        <w:t>s sister, Geshtinanna, alters the operation of that pattern</w:t>
      </w:r>
      <w:r w:rsidR="00A40D62" w:rsidRPr="00050DAE">
        <w:t xml:space="preserve"> since h</w:t>
      </w:r>
      <w:r w:rsidR="0006016B" w:rsidRPr="00050DAE">
        <w:t xml:space="preserve">er decision to enter the Netherworld </w:t>
      </w:r>
      <w:r w:rsidR="002F71FD" w:rsidRPr="00050DAE">
        <w:t>determines</w:t>
      </w:r>
      <w:r w:rsidR="0006016B" w:rsidRPr="00050DAE">
        <w:t xml:space="preserve"> a shared term of descent.</w:t>
      </w:r>
      <w:r w:rsidR="00A40D62" w:rsidRPr="00050DAE">
        <w:rPr>
          <w:vertAlign w:val="superscript"/>
        </w:rPr>
        <w:footnoteReference w:id="168"/>
      </w:r>
      <w:r w:rsidR="0006016B" w:rsidRPr="00050DAE">
        <w:t xml:space="preserve"> </w:t>
      </w:r>
      <w:r w:rsidR="00A90BA5" w:rsidRPr="00050DAE">
        <w:t>The texts assign each sibling a defined period in the Netherworld</w:t>
      </w:r>
      <w:r w:rsidR="0006016B" w:rsidRPr="00050DAE">
        <w:t>, creating a sequence that repeats across the year.</w:t>
      </w:r>
      <w:r w:rsidR="0006016B" w:rsidRPr="00050DAE">
        <w:rPr>
          <w:vertAlign w:val="superscript"/>
        </w:rPr>
        <w:footnoteReference w:id="169"/>
      </w:r>
      <w:r w:rsidR="0006016B" w:rsidRPr="00050DAE">
        <w:t xml:space="preserve"> The weight that had rested on Dumuzi alone is redistributed through duration.</w:t>
      </w:r>
      <w:r w:rsidR="0006016B" w:rsidRPr="00050DAE">
        <w:rPr>
          <w:vertAlign w:val="superscript"/>
        </w:rPr>
        <w:footnoteReference w:id="170"/>
      </w:r>
    </w:p>
    <w:p w14:paraId="32D3C8A8" w14:textId="282B980B" w:rsidR="0006016B" w:rsidRPr="00050DAE" w:rsidRDefault="0006016B" w:rsidP="00EE6050">
      <w:pPr>
        <w:pStyle w:val="UWTSDindent"/>
      </w:pPr>
      <w:r w:rsidRPr="00050DAE">
        <w:t>To understand Geshtinanna</w:t>
      </w:r>
      <w:r w:rsidR="008301DC" w:rsidRPr="00050DAE">
        <w:t>’</w:t>
      </w:r>
      <w:r w:rsidRPr="00050DAE">
        <w:t xml:space="preserve">s complicity in the narrative, it is necessary </w:t>
      </w:r>
      <w:r w:rsidR="00A90BA5" w:rsidRPr="00050DAE">
        <w:t xml:space="preserve">to explore portrayals </w:t>
      </w:r>
      <w:r w:rsidRPr="00050DAE">
        <w:t xml:space="preserve">of a young Inanna. In </w:t>
      </w:r>
      <w:r w:rsidRPr="00050DAE">
        <w:rPr>
          <w:i/>
          <w:iCs/>
        </w:rPr>
        <w:t>The Sister</w:t>
      </w:r>
      <w:r w:rsidR="008301DC" w:rsidRPr="00050DAE">
        <w:rPr>
          <w:i/>
          <w:iCs/>
        </w:rPr>
        <w:t>’</w:t>
      </w:r>
      <w:r w:rsidRPr="00050DAE">
        <w:rPr>
          <w:i/>
          <w:iCs/>
        </w:rPr>
        <w:t>s Message</w:t>
      </w:r>
      <w:r w:rsidRPr="00050DAE">
        <w:t>, Inanna uses Geshtinanna to tell Dumuzi of her love with:</w:t>
      </w:r>
      <w:r w:rsidRPr="00050DAE">
        <w:rPr>
          <w:vertAlign w:val="superscript"/>
        </w:rPr>
        <w:footnoteReference w:id="171"/>
      </w:r>
    </w:p>
    <w:p w14:paraId="5E386F06"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my (dear) Inanna saw me.</w:t>
      </w:r>
    </w:p>
    <w:p w14:paraId="3608224E"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O (my) brother, what did she tell me,</w:t>
      </w:r>
    </w:p>
    <w:p w14:paraId="7118DE1A"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and what more did she say to me?</w:t>
      </w:r>
    </w:p>
    <w:p w14:paraId="620D8E7E"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O (my) brother, (of) love, allure,</w:t>
      </w:r>
    </w:p>
    <w:p w14:paraId="3D206C23"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and sweetest of sweet things,</w:t>
      </w:r>
    </w:p>
    <w:p w14:paraId="1FE157EE"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my (dear) adorable Inanna on her part</w:t>
      </w:r>
    </w:p>
    <w:p w14:paraId="22F6F771"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disclosed things to me!</w:t>
      </w:r>
    </w:p>
    <w:p w14:paraId="777F6371"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When I was addressing myself to some errand</w:t>
      </w:r>
    </w:p>
    <w:p w14:paraId="6D16EB7F"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she came across (you) my beloved man,</w:t>
      </w:r>
    </w:p>
    <w:p w14:paraId="2355544F"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and took to you and delighted in you</w:t>
      </w:r>
    </w:p>
    <w:p w14:paraId="1B902734" w14:textId="77777777" w:rsidR="0006016B" w:rsidRPr="00050DAE" w:rsidRDefault="0006016B" w:rsidP="0006016B">
      <w:pPr>
        <w:spacing w:after="0" w:line="240" w:lineRule="auto"/>
        <w:jc w:val="center"/>
        <w:rPr>
          <w:rFonts w:asciiTheme="majorBidi" w:hAnsiTheme="majorBidi" w:cstheme="majorBidi"/>
          <w:i/>
          <w:iCs/>
        </w:rPr>
      </w:pPr>
      <w:r w:rsidRPr="00050DAE">
        <w:rPr>
          <w:rFonts w:asciiTheme="majorBidi" w:hAnsiTheme="majorBidi" w:cstheme="majorBidi"/>
          <w:i/>
          <w:iCs/>
        </w:rPr>
        <w:t>(at) first (glance).</w:t>
      </w:r>
    </w:p>
    <w:p w14:paraId="63EC02B3" w14:textId="5E8F0A13" w:rsidR="00E35468" w:rsidRPr="00050DAE" w:rsidRDefault="00CF6D6E" w:rsidP="00EE6050">
      <w:pPr>
        <w:pStyle w:val="UWTSDindent"/>
      </w:pPr>
      <w:r w:rsidRPr="00050DAE">
        <w:t>Geshtinanna is not only linked to Dumuzi</w:t>
      </w:r>
      <w:r w:rsidR="008301DC" w:rsidRPr="00050DAE">
        <w:t>’</w:t>
      </w:r>
      <w:r w:rsidRPr="00050DAE">
        <w:t>s selection but also participates in the sequence leading to his fate, occupying a unique position within the Inanna-Dumuzi cycle.</w:t>
      </w:r>
      <w:r w:rsidRPr="00050DAE">
        <w:rPr>
          <w:vertAlign w:val="superscript"/>
        </w:rPr>
        <w:footnoteReference w:id="172"/>
      </w:r>
      <w:r w:rsidRPr="00050DAE">
        <w:t xml:space="preserve"> Like Inanna</w:t>
      </w:r>
      <w:r w:rsidR="008301DC" w:rsidRPr="00050DAE">
        <w:t>’</w:t>
      </w:r>
      <w:r w:rsidRPr="00050DAE">
        <w:t>s entry into the Netherworld, her descent is voluntary and offered as mitigation rather than imposed by law.</w:t>
      </w:r>
      <w:r w:rsidRPr="00050DAE">
        <w:rPr>
          <w:vertAlign w:val="superscript"/>
        </w:rPr>
        <w:footnoteReference w:id="173"/>
      </w:r>
      <w:r w:rsidR="0054294A" w:rsidRPr="00050DAE">
        <w:rPr>
          <w:vertAlign w:val="superscript"/>
        </w:rPr>
        <w:t xml:space="preserve"> </w:t>
      </w:r>
      <w:r w:rsidRPr="00050DAE">
        <w:t>Th</w:t>
      </w:r>
      <w:r w:rsidR="00C0249D" w:rsidRPr="00050DAE">
        <w:t>is</w:t>
      </w:r>
      <w:r w:rsidRPr="00050DAE">
        <w:t xml:space="preserve"> intervention redistributes Dumuzi</w:t>
      </w:r>
      <w:r w:rsidR="008301DC" w:rsidRPr="00050DAE">
        <w:t>’</w:t>
      </w:r>
      <w:r w:rsidRPr="00050DAE">
        <w:t xml:space="preserve">s punishment through regulated alternation without eliminating the underlying substitution </w:t>
      </w:r>
      <w:r w:rsidR="00C0249D" w:rsidRPr="00050DAE">
        <w:t>requirement</w:t>
      </w:r>
      <w:r w:rsidRPr="00050DAE">
        <w:t>.</w:t>
      </w:r>
      <w:r w:rsidRPr="00050DAE">
        <w:rPr>
          <w:vertAlign w:val="superscript"/>
        </w:rPr>
        <w:footnoteReference w:id="174"/>
      </w:r>
    </w:p>
    <w:p w14:paraId="22235793" w14:textId="05C10655" w:rsidR="00AB7BBE" w:rsidRPr="00050DAE" w:rsidRDefault="0029201A" w:rsidP="0029201A">
      <w:pPr>
        <w:pStyle w:val="UWTSDindent"/>
      </w:pPr>
      <w:r w:rsidRPr="00050DAE">
        <w:t>The alternation between Dumuzi and Geshtinanna begins as a theological arrangement before acquiring seasonal meaning.</w:t>
      </w:r>
      <w:r w:rsidR="00130BF4" w:rsidRPr="00050DAE">
        <w:rPr>
          <w:vertAlign w:val="superscript"/>
        </w:rPr>
        <w:footnoteReference w:id="175"/>
      </w:r>
      <w:r w:rsidR="00130BF4" w:rsidRPr="00050DAE">
        <w:t xml:space="preserve"> </w:t>
      </w:r>
      <w:r w:rsidRPr="00050DAE">
        <w:t>Each figure occupies the Netherworld for a fixed term, creating a pattern of regulated repetition rather than negotiated return.</w:t>
      </w:r>
      <w:r w:rsidR="0006016B" w:rsidRPr="00050DAE">
        <w:rPr>
          <w:vertAlign w:val="superscript"/>
        </w:rPr>
        <w:footnoteReference w:id="176"/>
      </w:r>
    </w:p>
    <w:p w14:paraId="6736BF17" w14:textId="0BE3C4E9" w:rsidR="0029201A" w:rsidRPr="00050DAE" w:rsidRDefault="0029201A" w:rsidP="001B5DBE">
      <w:pPr>
        <w:pStyle w:val="UWTSDindent"/>
      </w:pPr>
      <w:r w:rsidRPr="00050DAE">
        <w:t xml:space="preserve">Within the Inanna </w:t>
      </w:r>
      <w:r w:rsidR="00793525" w:rsidRPr="00050DAE">
        <w:t>corpus</w:t>
      </w:r>
      <w:r w:rsidRPr="00050DAE">
        <w:t>, seasonal rhythm emerges through sacrifice and regulated alternation. Even when its burden is shared, the logic of substitution remains embedded within the cycle.</w:t>
      </w:r>
    </w:p>
    <w:p w14:paraId="51B6FDCB" w14:textId="5D42CC91" w:rsidR="0029201A" w:rsidRPr="00050DAE" w:rsidRDefault="0029201A" w:rsidP="001B5DBE">
      <w:pPr>
        <w:pStyle w:val="UWTSDindent"/>
      </w:pPr>
      <w:r w:rsidRPr="00050DAE">
        <w:t xml:space="preserve">Here, descent operates </w:t>
      </w:r>
      <w:r w:rsidR="00C0249D" w:rsidRPr="00050DAE">
        <w:t xml:space="preserve">with </w:t>
      </w:r>
      <w:r w:rsidRPr="00050DAE">
        <w:t>a rigid</w:t>
      </w:r>
      <w:r w:rsidR="00C0249D" w:rsidRPr="00050DAE">
        <w:t>ity</w:t>
      </w:r>
      <w:r w:rsidRPr="00050DAE">
        <w:t xml:space="preserve"> that permits neither compromise nor exemption.</w:t>
      </w:r>
      <w:r w:rsidRPr="00050DAE">
        <w:rPr>
          <w:vertAlign w:val="superscript"/>
        </w:rPr>
        <w:footnoteReference w:id="177"/>
      </w:r>
      <w:r w:rsidRPr="00050DAE">
        <w:t xml:space="preserve"> Inanna</w:t>
      </w:r>
      <w:r w:rsidR="008301DC" w:rsidRPr="00050DAE">
        <w:t>’</w:t>
      </w:r>
      <w:r w:rsidRPr="00050DAE">
        <w:t>s seasonal cycle therefore arises from juridical obligation rather than emotional restoration or negotiated settlement, preserving the underlying logic of exchange even when the burden is shared.</w:t>
      </w:r>
      <w:r w:rsidRPr="00050DAE">
        <w:rPr>
          <w:vertAlign w:val="superscript"/>
        </w:rPr>
        <w:footnoteReference w:id="178"/>
      </w:r>
    </w:p>
    <w:p w14:paraId="41BC9614" w14:textId="21B4F526" w:rsidR="001B5DBE" w:rsidRPr="00050DAE" w:rsidRDefault="0029201A" w:rsidP="001B5DBE">
      <w:pPr>
        <w:pStyle w:val="UWTSDindent"/>
      </w:pPr>
      <w:r w:rsidRPr="00050DAE">
        <w:t>Despite the later seasonal alternation, nothing suggests that the Netherworld laws binding Enki, Nanna, and Inanna were relaxed. The introduction of alternation modifies the distribution of the penalty without altering the principles governing it</w:t>
      </w:r>
      <w:r w:rsidR="001B5DBE" w:rsidRPr="00050DAE">
        <w:t>.</w:t>
      </w:r>
    </w:p>
    <w:p w14:paraId="5FE1CE9D" w14:textId="05CC622B" w:rsidR="00D2479F" w:rsidRPr="00050DAE" w:rsidRDefault="00EE7742" w:rsidP="0065154F">
      <w:pPr>
        <w:pStyle w:val="UWTSDindent"/>
      </w:pPr>
      <w:r w:rsidRPr="00050DAE">
        <w:t>The preceding analysis suggests that the descent is organi</w:t>
      </w:r>
      <w:r w:rsidR="007D6735" w:rsidRPr="00050DAE">
        <w:t>s</w:t>
      </w:r>
      <w:r w:rsidRPr="00050DAE">
        <w:t>ed around a series of oppositions that are progressively resolved through juridical exchange. The table below summarizes the structural relationships governing the Mesopotamian model of descent and return.</w:t>
      </w:r>
    </w:p>
    <w:p w14:paraId="3D198C35" w14:textId="77777777" w:rsidR="001F6D2A" w:rsidRPr="00050DAE" w:rsidRDefault="001F6D2A" w:rsidP="0065154F">
      <w:pPr>
        <w:pStyle w:val="UWTSDindent"/>
      </w:pPr>
    </w:p>
    <w:p w14:paraId="6BA0DCED" w14:textId="635FB2B5" w:rsidR="00EE7742" w:rsidRPr="00050DAE" w:rsidRDefault="00EE7742" w:rsidP="00EE7742">
      <w:pPr>
        <w:pStyle w:val="Caption"/>
        <w:keepNext/>
        <w:rPr>
          <w:rFonts w:asciiTheme="majorBidi" w:hAnsiTheme="majorBidi" w:cstheme="majorBidi"/>
        </w:rPr>
      </w:pPr>
      <w:r w:rsidRPr="00050DAE">
        <w:rPr>
          <w:rFonts w:asciiTheme="majorBidi" w:hAnsiTheme="majorBidi" w:cstheme="majorBidi"/>
        </w:rPr>
        <w:t xml:space="preserve">Table </w:t>
      </w:r>
      <w:r w:rsidR="004127BF" w:rsidRPr="00050DAE">
        <w:rPr>
          <w:rFonts w:asciiTheme="majorBidi" w:hAnsiTheme="majorBidi" w:cstheme="majorBidi"/>
        </w:rPr>
        <w:fldChar w:fldCharType="begin"/>
      </w:r>
      <w:r w:rsidR="004127BF" w:rsidRPr="00050DAE">
        <w:rPr>
          <w:rFonts w:asciiTheme="majorBidi" w:hAnsiTheme="majorBidi" w:cstheme="majorBidi"/>
        </w:rPr>
        <w:instrText xml:space="preserve"> SEQ Table \* ARABIC </w:instrText>
      </w:r>
      <w:r w:rsidR="004127BF" w:rsidRPr="00050DAE">
        <w:rPr>
          <w:rFonts w:asciiTheme="majorBidi" w:hAnsiTheme="majorBidi" w:cstheme="majorBidi"/>
        </w:rPr>
        <w:fldChar w:fldCharType="separate"/>
      </w:r>
      <w:r w:rsidR="009D2921">
        <w:rPr>
          <w:rFonts w:asciiTheme="majorBidi" w:hAnsiTheme="majorBidi" w:cstheme="majorBidi"/>
          <w:noProof/>
        </w:rPr>
        <w:t>2</w:t>
      </w:r>
      <w:r w:rsidR="004127BF" w:rsidRPr="00050DAE">
        <w:rPr>
          <w:rFonts w:asciiTheme="majorBidi" w:hAnsiTheme="majorBidi" w:cstheme="majorBidi"/>
        </w:rPr>
        <w:fldChar w:fldCharType="end"/>
      </w:r>
      <w:r w:rsidRPr="00050DAE">
        <w:rPr>
          <w:rFonts w:asciiTheme="majorBidi" w:hAnsiTheme="majorBidi" w:cstheme="majorBidi"/>
        </w:rPr>
        <w:t xml:space="preserve"> </w:t>
      </w:r>
      <w:r w:rsidR="004127BF" w:rsidRPr="00050DAE">
        <w:rPr>
          <w:rFonts w:asciiTheme="majorBidi" w:hAnsiTheme="majorBidi" w:cstheme="majorBidi"/>
        </w:rPr>
        <w:t>Structural Resolution of Life and Death in Mesopotamian Descent</w:t>
      </w:r>
      <w:r w:rsidRPr="00050DAE">
        <w:rPr>
          <w:rFonts w:asciiTheme="majorBidi" w:hAnsiTheme="majorBidi" w:cstheme="majorBidi"/>
        </w:rPr>
        <w:t>.</w:t>
      </w:r>
    </w:p>
    <w:tbl>
      <w:tblPr>
        <w:tblStyle w:val="TableGrid"/>
        <w:tblW w:w="0" w:type="auto"/>
        <w:tblLook w:val="04A0" w:firstRow="1" w:lastRow="0" w:firstColumn="1" w:lastColumn="0" w:noHBand="0" w:noVBand="1"/>
      </w:tblPr>
      <w:tblGrid>
        <w:gridCol w:w="4508"/>
        <w:gridCol w:w="4508"/>
      </w:tblGrid>
      <w:tr w:rsidR="001B5DBE" w:rsidRPr="00050DAE" w14:paraId="74D418FB" w14:textId="77777777" w:rsidTr="001F6D2A">
        <w:trPr>
          <w:cantSplit/>
        </w:trPr>
        <w:tc>
          <w:tcPr>
            <w:tcW w:w="4508" w:type="dxa"/>
            <w:shd w:val="clear" w:color="auto" w:fill="000000" w:themeFill="text1"/>
          </w:tcPr>
          <w:p w14:paraId="4DA02A1A" w14:textId="63FC912D" w:rsidR="001B5DBE" w:rsidRPr="00050DAE" w:rsidRDefault="001B5DBE" w:rsidP="0065154F">
            <w:pPr>
              <w:pStyle w:val="UWTSDindent"/>
              <w:ind w:firstLine="0"/>
              <w:rPr>
                <w:color w:val="FFFFFF" w:themeColor="background1"/>
              </w:rPr>
            </w:pPr>
            <w:r w:rsidRPr="00050DAE">
              <w:rPr>
                <w:color w:val="FFFFFF" w:themeColor="background1"/>
              </w:rPr>
              <w:t>Element</w:t>
            </w:r>
          </w:p>
        </w:tc>
        <w:tc>
          <w:tcPr>
            <w:tcW w:w="4508" w:type="dxa"/>
            <w:shd w:val="clear" w:color="auto" w:fill="000000" w:themeFill="text1"/>
          </w:tcPr>
          <w:p w14:paraId="147C04E2" w14:textId="3422F143" w:rsidR="001B5DBE" w:rsidRPr="00050DAE" w:rsidRDefault="001B5DBE" w:rsidP="0065154F">
            <w:pPr>
              <w:pStyle w:val="UWTSDindent"/>
              <w:ind w:firstLine="0"/>
              <w:rPr>
                <w:color w:val="FFFFFF" w:themeColor="background1"/>
              </w:rPr>
            </w:pPr>
            <w:r w:rsidRPr="00050DAE">
              <w:rPr>
                <w:color w:val="FFFFFF" w:themeColor="background1"/>
              </w:rPr>
              <w:t>Mesopotamian Pattern</w:t>
            </w:r>
          </w:p>
        </w:tc>
      </w:tr>
      <w:tr w:rsidR="001B5DBE" w:rsidRPr="00050DAE" w14:paraId="21E0FBE1" w14:textId="77777777" w:rsidTr="001F6D2A">
        <w:trPr>
          <w:cantSplit/>
        </w:trPr>
        <w:tc>
          <w:tcPr>
            <w:tcW w:w="4508" w:type="dxa"/>
          </w:tcPr>
          <w:p w14:paraId="07CF4EF2" w14:textId="55376E99" w:rsidR="001B5DBE" w:rsidRPr="00050DAE" w:rsidRDefault="001B5DBE" w:rsidP="001B5DBE">
            <w:pPr>
              <w:pStyle w:val="UWTSDindent"/>
              <w:ind w:firstLine="0"/>
            </w:pPr>
            <w:r w:rsidRPr="00050DAE">
              <w:t>Life</w:t>
            </w:r>
            <w:r w:rsidRPr="00050DAE">
              <w:tab/>
            </w:r>
          </w:p>
        </w:tc>
        <w:tc>
          <w:tcPr>
            <w:tcW w:w="4508" w:type="dxa"/>
          </w:tcPr>
          <w:p w14:paraId="371453D6" w14:textId="2AB13B83" w:rsidR="001B5DBE" w:rsidRPr="00050DAE" w:rsidRDefault="001B5DBE" w:rsidP="0065154F">
            <w:pPr>
              <w:pStyle w:val="UWTSDindent"/>
              <w:ind w:firstLine="0"/>
            </w:pPr>
            <w:r w:rsidRPr="00050DAE">
              <w:t>Upper world</w:t>
            </w:r>
          </w:p>
        </w:tc>
      </w:tr>
      <w:tr w:rsidR="001B5DBE" w:rsidRPr="00050DAE" w14:paraId="3B931313" w14:textId="77777777" w:rsidTr="001F6D2A">
        <w:trPr>
          <w:cantSplit/>
        </w:trPr>
        <w:tc>
          <w:tcPr>
            <w:tcW w:w="4508" w:type="dxa"/>
          </w:tcPr>
          <w:p w14:paraId="4F2BB6FC" w14:textId="485B9846" w:rsidR="001B5DBE" w:rsidRPr="00050DAE" w:rsidRDefault="001B5DBE" w:rsidP="0065154F">
            <w:pPr>
              <w:pStyle w:val="UWTSDindent"/>
              <w:ind w:firstLine="0"/>
            </w:pPr>
            <w:r w:rsidRPr="00050DAE">
              <w:t>Death</w:t>
            </w:r>
          </w:p>
        </w:tc>
        <w:tc>
          <w:tcPr>
            <w:tcW w:w="4508" w:type="dxa"/>
          </w:tcPr>
          <w:p w14:paraId="5B17CFFD" w14:textId="16091927" w:rsidR="001B5DBE" w:rsidRPr="00050DAE" w:rsidRDefault="001B5DBE" w:rsidP="0065154F">
            <w:pPr>
              <w:pStyle w:val="UWTSDindent"/>
              <w:ind w:firstLine="0"/>
            </w:pPr>
            <w:r w:rsidRPr="00050DAE">
              <w:t>Netherworld</w:t>
            </w:r>
          </w:p>
        </w:tc>
      </w:tr>
      <w:tr w:rsidR="001B5DBE" w:rsidRPr="00050DAE" w14:paraId="0FC07A00" w14:textId="77777777" w:rsidTr="001F6D2A">
        <w:trPr>
          <w:cantSplit/>
        </w:trPr>
        <w:tc>
          <w:tcPr>
            <w:tcW w:w="4508" w:type="dxa"/>
          </w:tcPr>
          <w:p w14:paraId="144F848A" w14:textId="02127905" w:rsidR="001B5DBE" w:rsidRPr="00050DAE" w:rsidRDefault="001B5DBE" w:rsidP="0065154F">
            <w:pPr>
              <w:pStyle w:val="UWTSDindent"/>
              <w:ind w:firstLine="0"/>
            </w:pPr>
            <w:r w:rsidRPr="00050DAE">
              <w:t>Boundary</w:t>
            </w:r>
          </w:p>
        </w:tc>
        <w:tc>
          <w:tcPr>
            <w:tcW w:w="4508" w:type="dxa"/>
          </w:tcPr>
          <w:p w14:paraId="499C644B" w14:textId="33FA1B92" w:rsidR="001B5DBE" w:rsidRPr="00050DAE" w:rsidRDefault="001B5DBE" w:rsidP="0065154F">
            <w:pPr>
              <w:pStyle w:val="UWTSDindent"/>
              <w:ind w:firstLine="0"/>
            </w:pPr>
            <w:r w:rsidRPr="00050DAE">
              <w:t>Seven gates</w:t>
            </w:r>
          </w:p>
        </w:tc>
      </w:tr>
      <w:tr w:rsidR="001B5DBE" w:rsidRPr="00050DAE" w14:paraId="540CDB61" w14:textId="77777777" w:rsidTr="001F6D2A">
        <w:trPr>
          <w:cantSplit/>
        </w:trPr>
        <w:tc>
          <w:tcPr>
            <w:tcW w:w="4508" w:type="dxa"/>
          </w:tcPr>
          <w:p w14:paraId="661502ED" w14:textId="5A8E3BC9" w:rsidR="001B5DBE" w:rsidRPr="00050DAE" w:rsidRDefault="001B5DBE" w:rsidP="0065154F">
            <w:pPr>
              <w:pStyle w:val="UWTSDindent"/>
              <w:ind w:firstLine="0"/>
            </w:pPr>
            <w:r w:rsidRPr="00050DAE">
              <w:t>Violation</w:t>
            </w:r>
          </w:p>
        </w:tc>
        <w:tc>
          <w:tcPr>
            <w:tcW w:w="4508" w:type="dxa"/>
          </w:tcPr>
          <w:p w14:paraId="4F1E2F63" w14:textId="2B876EA5" w:rsidR="001B5DBE" w:rsidRPr="00050DAE" w:rsidRDefault="001B5DBE" w:rsidP="0065154F">
            <w:pPr>
              <w:pStyle w:val="UWTSDindent"/>
              <w:ind w:firstLine="0"/>
            </w:pPr>
            <w:r w:rsidRPr="00050DAE">
              <w:t>Descent</w:t>
            </w:r>
          </w:p>
        </w:tc>
      </w:tr>
      <w:tr w:rsidR="001B5DBE" w:rsidRPr="00050DAE" w14:paraId="642EBC21" w14:textId="77777777" w:rsidTr="001F6D2A">
        <w:trPr>
          <w:cantSplit/>
        </w:trPr>
        <w:tc>
          <w:tcPr>
            <w:tcW w:w="4508" w:type="dxa"/>
          </w:tcPr>
          <w:p w14:paraId="0C490018" w14:textId="0C1CF572" w:rsidR="001B5DBE" w:rsidRPr="00050DAE" w:rsidRDefault="001B5DBE" w:rsidP="0065154F">
            <w:pPr>
              <w:pStyle w:val="UWTSDindent"/>
              <w:ind w:firstLine="0"/>
            </w:pPr>
            <w:r w:rsidRPr="00050DAE">
              <w:t>Resolution</w:t>
            </w:r>
          </w:p>
        </w:tc>
        <w:tc>
          <w:tcPr>
            <w:tcW w:w="4508" w:type="dxa"/>
          </w:tcPr>
          <w:p w14:paraId="679542C0" w14:textId="2AF614EE" w:rsidR="001B5DBE" w:rsidRPr="00050DAE" w:rsidRDefault="001B5DBE" w:rsidP="0065154F">
            <w:pPr>
              <w:pStyle w:val="UWTSDindent"/>
              <w:ind w:firstLine="0"/>
            </w:pPr>
            <w:r w:rsidRPr="00050DAE">
              <w:t>Substitution</w:t>
            </w:r>
          </w:p>
        </w:tc>
      </w:tr>
      <w:tr w:rsidR="001B5DBE" w:rsidRPr="00050DAE" w14:paraId="654BFBF0" w14:textId="77777777" w:rsidTr="001F6D2A">
        <w:trPr>
          <w:cantSplit/>
        </w:trPr>
        <w:tc>
          <w:tcPr>
            <w:tcW w:w="4508" w:type="dxa"/>
          </w:tcPr>
          <w:p w14:paraId="4FABCAF3" w14:textId="6D111FCD" w:rsidR="001B5DBE" w:rsidRPr="00050DAE" w:rsidRDefault="001B5DBE" w:rsidP="0065154F">
            <w:pPr>
              <w:pStyle w:val="UWTSDindent"/>
              <w:ind w:firstLine="0"/>
            </w:pPr>
            <w:r w:rsidRPr="00050DAE">
              <w:t>Result</w:t>
            </w:r>
          </w:p>
        </w:tc>
        <w:tc>
          <w:tcPr>
            <w:tcW w:w="4508" w:type="dxa"/>
          </w:tcPr>
          <w:p w14:paraId="0C95AE4A" w14:textId="4E0DA2BE" w:rsidR="001B5DBE" w:rsidRPr="00050DAE" w:rsidRDefault="001B5DBE" w:rsidP="0065154F">
            <w:pPr>
              <w:pStyle w:val="UWTSDindent"/>
              <w:ind w:firstLine="0"/>
            </w:pPr>
            <w:r w:rsidRPr="00050DAE">
              <w:t>Continuity through exchange</w:t>
            </w:r>
          </w:p>
        </w:tc>
      </w:tr>
    </w:tbl>
    <w:p w14:paraId="32614DF7" w14:textId="416279D6" w:rsidR="00CF1D50" w:rsidRPr="00050DAE" w:rsidRDefault="00EE7742" w:rsidP="00EE6050">
      <w:pPr>
        <w:pStyle w:val="UWTSDindent"/>
      </w:pPr>
      <w:r w:rsidRPr="00050DAE">
        <w:t>The table demonstrates that the narrative does not abolish the opposition between life and death. Instead, it preserves the distinction while permitting limited movement between realms through substitution. Continuity is therefore achieved through exchange rather than conquest, reinforcing the broader argument that Mesopotamian descent operate</w:t>
      </w:r>
      <w:r w:rsidR="00752FAC" w:rsidRPr="00050DAE">
        <w:t>s</w:t>
      </w:r>
      <w:r w:rsidRPr="00050DAE">
        <w:t xml:space="preserve"> within a cosmology governed by binding Netherworld obligations.</w:t>
      </w:r>
    </w:p>
    <w:p w14:paraId="797FAF7B" w14:textId="77777777" w:rsidR="00D5107C" w:rsidRPr="00050DAE" w:rsidRDefault="00D5107C">
      <w:pPr>
        <w:rPr>
          <w:rFonts w:asciiTheme="majorBidi" w:eastAsiaTheme="majorEastAsia" w:hAnsiTheme="majorBidi" w:cstheme="majorBidi"/>
          <w:sz w:val="40"/>
          <w:szCs w:val="40"/>
        </w:rPr>
      </w:pPr>
      <w:r w:rsidRPr="00050DAE">
        <w:rPr>
          <w:rFonts w:asciiTheme="majorBidi" w:hAnsiTheme="majorBidi" w:cstheme="majorBidi"/>
        </w:rPr>
        <w:br w:type="page"/>
      </w:r>
    </w:p>
    <w:p w14:paraId="59B2339F" w14:textId="103C6F1F" w:rsidR="005C6798" w:rsidRPr="00050DAE" w:rsidRDefault="00092B11" w:rsidP="00092B11">
      <w:pPr>
        <w:pStyle w:val="Heading1"/>
        <w:rPr>
          <w:rFonts w:asciiTheme="majorBidi" w:hAnsiTheme="majorBidi"/>
          <w:color w:val="auto"/>
        </w:rPr>
      </w:pPr>
      <w:bookmarkStart w:id="119" w:name="_Toc234140249"/>
      <w:bookmarkStart w:id="120" w:name="_Toc234140500"/>
      <w:bookmarkStart w:id="121" w:name="_Toc234143680"/>
      <w:bookmarkStart w:id="122" w:name="_Toc234154309"/>
      <w:bookmarkStart w:id="123" w:name="_Toc234154368"/>
      <w:r w:rsidRPr="00050DAE">
        <w:rPr>
          <w:rFonts w:asciiTheme="majorBidi" w:hAnsiTheme="majorBidi"/>
          <w:color w:val="auto"/>
        </w:rPr>
        <w:t>Chapter 4. Anat</w:t>
      </w:r>
      <w:bookmarkEnd w:id="119"/>
      <w:bookmarkEnd w:id="120"/>
      <w:bookmarkEnd w:id="121"/>
      <w:bookmarkEnd w:id="122"/>
      <w:bookmarkEnd w:id="123"/>
    </w:p>
    <w:p w14:paraId="1397953A" w14:textId="774F88EC" w:rsidR="00936F9F" w:rsidRPr="00050DAE" w:rsidRDefault="00936F9F" w:rsidP="002D7E99">
      <w:pPr>
        <w:pStyle w:val="Heading2"/>
        <w:rPr>
          <w:rFonts w:asciiTheme="majorBidi" w:hAnsiTheme="majorBidi"/>
          <w:color w:val="auto"/>
        </w:rPr>
      </w:pPr>
      <w:bookmarkStart w:id="124" w:name="_Toc234140250"/>
      <w:bookmarkStart w:id="125" w:name="_Toc234140501"/>
      <w:bookmarkStart w:id="126" w:name="_Toc234143681"/>
      <w:bookmarkStart w:id="127" w:name="_Toc234154310"/>
      <w:r w:rsidRPr="00050DAE">
        <w:rPr>
          <w:rFonts w:asciiTheme="majorBidi" w:hAnsiTheme="majorBidi"/>
          <w:color w:val="auto"/>
        </w:rPr>
        <w:t xml:space="preserve">4.1 </w:t>
      </w:r>
      <w:r w:rsidR="00FA0372" w:rsidRPr="00050DAE">
        <w:rPr>
          <w:rFonts w:asciiTheme="majorBidi" w:hAnsiTheme="majorBidi"/>
          <w:color w:val="auto"/>
        </w:rPr>
        <w:t>Blood</w:t>
      </w:r>
      <w:r w:rsidR="00D8638D" w:rsidRPr="00050DAE">
        <w:rPr>
          <w:rFonts w:asciiTheme="majorBidi" w:hAnsiTheme="majorBidi"/>
          <w:color w:val="auto"/>
        </w:rPr>
        <w:t>, Synchronicity,</w:t>
      </w:r>
      <w:r w:rsidR="00FA0372" w:rsidRPr="00050DAE">
        <w:rPr>
          <w:rFonts w:asciiTheme="majorBidi" w:hAnsiTheme="majorBidi"/>
          <w:color w:val="auto"/>
        </w:rPr>
        <w:t xml:space="preserve"> and Emergence</w:t>
      </w:r>
      <w:bookmarkEnd w:id="124"/>
      <w:bookmarkEnd w:id="125"/>
      <w:bookmarkEnd w:id="126"/>
      <w:bookmarkEnd w:id="127"/>
      <w:r w:rsidR="00FA0372" w:rsidRPr="00050DAE">
        <w:rPr>
          <w:rFonts w:asciiTheme="majorBidi" w:hAnsiTheme="majorBidi"/>
          <w:color w:val="auto"/>
        </w:rPr>
        <w:t xml:space="preserve"> </w:t>
      </w:r>
    </w:p>
    <w:p w14:paraId="44F1257D" w14:textId="77777777" w:rsidR="000B1E47" w:rsidRPr="00050DAE" w:rsidRDefault="000B1E47" w:rsidP="000B1E47">
      <w:pPr>
        <w:keepNext/>
        <w:jc w:val="center"/>
        <w:rPr>
          <w:rFonts w:asciiTheme="majorBidi" w:hAnsiTheme="majorBidi" w:cstheme="majorBidi"/>
        </w:rPr>
      </w:pPr>
      <w:r w:rsidRPr="00050DAE">
        <w:rPr>
          <w:rFonts w:asciiTheme="majorBidi" w:hAnsiTheme="majorBidi" w:cstheme="majorBidi"/>
          <w:noProof/>
        </w:rPr>
        <w:drawing>
          <wp:inline distT="0" distB="0" distL="0" distR="0" wp14:anchorId="6CF538A8" wp14:editId="7C5E592A">
            <wp:extent cx="953455" cy="1815854"/>
            <wp:effectExtent l="19050" t="38100" r="0" b="51435"/>
            <wp:docPr id="1155167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167050" name="Picture 1155167050"/>
                    <pic:cNvPicPr/>
                  </pic:nvPicPr>
                  <pic:blipFill rotWithShape="1">
                    <a:blip r:embed="rId37" cstate="print">
                      <a:extLst>
                        <a:ext uri="{BEBA8EAE-BF5A-486C-A8C5-ECC9F3942E4B}">
                          <a14:imgProps xmlns:a14="http://schemas.microsoft.com/office/drawing/2010/main">
                            <a14:imgLayer r:embed="rId38">
                              <a14:imgEffect>
                                <a14:backgroundRemoval t="3680" b="97843" l="10000" r="90000">
                                  <a14:foregroundMark x1="44286" y1="11168" x2="36286" y2="5203"/>
                                  <a14:foregroundMark x1="36286" y1="5203" x2="38214" y2="9518"/>
                                  <a14:foregroundMark x1="49143" y1="91117" x2="40357" y2="90609"/>
                                  <a14:foregroundMark x1="40357" y1="90609" x2="38643" y2="88452"/>
                                  <a14:foregroundMark x1="45286" y1="97843" x2="43286" y2="95685"/>
                                  <a14:foregroundMark x1="38357" y1="3934" x2="36786" y2="3680"/>
                                  <a14:backgroundMark x1="54000" y1="33756" x2="60000" y2="56345"/>
                                  <a14:backgroundMark x1="60000" y1="56345" x2="59357" y2="71954"/>
                                  <a14:backgroundMark x1="59357" y1="71954" x2="52000" y2="92132"/>
                                  <a14:backgroundMark x1="51143" y1="91497" x2="52857" y2="88325"/>
                                  <a14:backgroundMark x1="36071" y1="92893" x2="31786" y2="85914"/>
                                  <a14:backgroundMark x1="43357" y1="99239" x2="43357" y2="99239"/>
                                  <a14:backgroundMark x1="50143" y1="95178" x2="50143" y2="95178"/>
                                </a14:backgroundRemoval>
                              </a14:imgEffect>
                            </a14:imgLayer>
                          </a14:imgProps>
                        </a:ext>
                        <a:ext uri="{28A0092B-C50C-407E-A947-70E740481C1C}">
                          <a14:useLocalDpi xmlns:a14="http://schemas.microsoft.com/office/drawing/2010/main" val="0"/>
                        </a:ext>
                      </a:extLst>
                    </a:blip>
                    <a:srcRect l="26136" t="808" r="44806" b="863"/>
                    <a:stretch>
                      <a:fillRect/>
                    </a:stretch>
                  </pic:blipFill>
                  <pic:spPr bwMode="auto">
                    <a:xfrm rot="410654">
                      <a:off x="0" y="0"/>
                      <a:ext cx="965989" cy="1839725"/>
                    </a:xfrm>
                    <a:prstGeom prst="rect">
                      <a:avLst/>
                    </a:prstGeom>
                    <a:ln>
                      <a:noFill/>
                    </a:ln>
                    <a:extLst>
                      <a:ext uri="{53640926-AAD7-44D8-BBD7-CCE9431645EC}">
                        <a14:shadowObscured xmlns:a14="http://schemas.microsoft.com/office/drawing/2010/main"/>
                      </a:ext>
                    </a:extLst>
                  </pic:spPr>
                </pic:pic>
              </a:graphicData>
            </a:graphic>
          </wp:inline>
        </w:drawing>
      </w:r>
    </w:p>
    <w:p w14:paraId="723817C8" w14:textId="292F5216" w:rsidR="000B1E47" w:rsidRPr="00050DAE" w:rsidRDefault="000B1E47" w:rsidP="000B1E47">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9</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The 4,500-year-old face of an ancient goddess </w:t>
      </w:r>
      <w:r w:rsidR="00A90BA5" w:rsidRPr="00050DAE">
        <w:rPr>
          <w:rFonts w:asciiTheme="majorBidi" w:hAnsiTheme="majorBidi" w:cstheme="majorBidi"/>
          <w:color w:val="auto"/>
        </w:rPr>
        <w:t xml:space="preserve">believed to depict </w:t>
      </w:r>
      <w:r w:rsidRPr="00050DAE">
        <w:rPr>
          <w:rFonts w:asciiTheme="majorBidi" w:hAnsiTheme="majorBidi" w:cstheme="majorBidi"/>
          <w:color w:val="auto"/>
        </w:rPr>
        <w:t>Anat.</w:t>
      </w:r>
      <w:r w:rsidRPr="00050DAE">
        <w:rPr>
          <w:rStyle w:val="FootnoteReference"/>
          <w:rFonts w:asciiTheme="majorBidi" w:hAnsiTheme="majorBidi" w:cstheme="majorBidi"/>
          <w:color w:val="auto"/>
        </w:rPr>
        <w:footnoteReference w:id="179"/>
      </w:r>
    </w:p>
    <w:p w14:paraId="3886FF6A" w14:textId="79B50B03" w:rsidR="00BC1ABA" w:rsidRPr="00050DAE" w:rsidRDefault="00463762" w:rsidP="00EE6050">
      <w:pPr>
        <w:pStyle w:val="UWTSDindent"/>
      </w:pPr>
      <w:r w:rsidRPr="00050DAE">
        <w:t>Although</w:t>
      </w:r>
      <w:r w:rsidR="003E5C47" w:rsidRPr="00050DAE">
        <w:t xml:space="preserve"> the origin of Anat remains </w:t>
      </w:r>
      <w:r w:rsidR="008301DC" w:rsidRPr="00050DAE">
        <w:t>“</w:t>
      </w:r>
      <w:r w:rsidR="003E5C47" w:rsidRPr="00050DAE">
        <w:t>obscure,</w:t>
      </w:r>
      <w:r w:rsidR="008301DC" w:rsidRPr="00050DAE">
        <w:t>”</w:t>
      </w:r>
      <w:r w:rsidR="003E5C47" w:rsidRPr="00050DAE">
        <w:t xml:space="preserve"> </w:t>
      </w:r>
      <w:r w:rsidR="001E6ADC" w:rsidRPr="00050DAE">
        <w:t>she</w:t>
      </w:r>
      <w:r w:rsidR="00936F9F" w:rsidRPr="00050DAE">
        <w:t xml:space="preserve"> is a warrior-maiden whose core </w:t>
      </w:r>
      <w:r w:rsidR="005F47BF" w:rsidRPr="00050DAE">
        <w:t>emerges</w:t>
      </w:r>
      <w:r w:rsidR="00936F9F" w:rsidRPr="00050DAE">
        <w:t xml:space="preserve"> from the Late Bronze Age text of Ugarit on the Syrian coast</w:t>
      </w:r>
      <w:r w:rsidR="00C4713F" w:rsidRPr="00050DAE">
        <w:t>, though she is also considered Canaanite</w:t>
      </w:r>
      <w:r w:rsidR="00936F9F" w:rsidRPr="00050DAE">
        <w:t>.</w:t>
      </w:r>
      <w:bookmarkStart w:id="128" w:name="_Ref224995600"/>
      <w:r w:rsidR="00936F9F" w:rsidRPr="00050DAE">
        <w:rPr>
          <w:vertAlign w:val="superscript"/>
        </w:rPr>
        <w:footnoteReference w:id="180"/>
      </w:r>
      <w:bookmarkEnd w:id="128"/>
      <w:r w:rsidR="00936F9F" w:rsidRPr="00050DAE">
        <w:t xml:space="preserve"> </w:t>
      </w:r>
      <w:r w:rsidR="00C938C2" w:rsidRPr="00050DAE">
        <w:t>Anat</w:t>
      </w:r>
      <w:r w:rsidR="008301DC" w:rsidRPr="00050DAE">
        <w:t>’</w:t>
      </w:r>
      <w:r w:rsidR="00C938C2" w:rsidRPr="00050DAE">
        <w:t>s cult is attested from at least the late third millennium BCE and continues in some form until at least the first millennium BCE.</w:t>
      </w:r>
      <w:r w:rsidR="00C938C2" w:rsidRPr="00050DAE">
        <w:rPr>
          <w:vertAlign w:val="superscript"/>
        </w:rPr>
        <w:footnoteReference w:id="181"/>
      </w:r>
      <w:r w:rsidR="00C938C2" w:rsidRPr="00050DAE">
        <w:t xml:space="preserve"> Lambert </w:t>
      </w:r>
      <w:r w:rsidR="005F47BF" w:rsidRPr="00050DAE">
        <w:t>argues that Anat derives from</w:t>
      </w:r>
      <w:r w:rsidR="00C938C2" w:rsidRPr="00050DAE">
        <w:t xml:space="preserve"> the goddess Mari </w:t>
      </w:r>
      <w:r w:rsidR="00CC11AC" w:rsidRPr="00050DAE">
        <w:t>Ḫ</w:t>
      </w:r>
      <w:r w:rsidR="00C938C2" w:rsidRPr="00050DAE">
        <w:t>an</w:t>
      </w:r>
      <w:r w:rsidR="00CC11AC" w:rsidRPr="00050DAE">
        <w:t>â</w:t>
      </w:r>
      <w:r w:rsidR="00C938C2" w:rsidRPr="00050DAE">
        <w:t xml:space="preserve">t, worshipped by the </w:t>
      </w:r>
      <w:r w:rsidR="00CC11AC" w:rsidRPr="00050DAE">
        <w:t>Ḫ</w:t>
      </w:r>
      <w:r w:rsidR="00C938C2" w:rsidRPr="00050DAE">
        <w:t>ana Amorite nomadic group</w:t>
      </w:r>
      <w:r w:rsidR="006441B7" w:rsidRPr="00050DAE">
        <w:t>, that may have introduced her to Syria and Mesopotamia.</w:t>
      </w:r>
      <w:r w:rsidR="00C938C2" w:rsidRPr="00050DAE">
        <w:rPr>
          <w:rStyle w:val="FootnoteReference"/>
        </w:rPr>
        <w:footnoteReference w:id="182"/>
      </w:r>
      <w:r w:rsidR="00C938C2" w:rsidRPr="00050DAE">
        <w:t xml:space="preserve"> </w:t>
      </w:r>
      <w:r w:rsidR="00F03C95" w:rsidRPr="00050DAE">
        <w:t xml:space="preserve">Asher-Greve and Westenholz bolster Lambert with </w:t>
      </w:r>
      <w:r w:rsidR="00687B60" w:rsidRPr="00050DAE">
        <w:t>archaeological</w:t>
      </w:r>
      <w:r w:rsidR="00F03C95" w:rsidRPr="00050DAE">
        <w:t xml:space="preserve"> evidence from the damaged stele of Šamaš-reš-uşur, governor of Suhu and Mari, </w:t>
      </w:r>
      <w:r w:rsidR="0031210D" w:rsidRPr="00050DAE">
        <w:t xml:space="preserve">which </w:t>
      </w:r>
      <w:r w:rsidR="00601FD9" w:rsidRPr="00050DAE">
        <w:t>present</w:t>
      </w:r>
      <w:r w:rsidR="0031210D" w:rsidRPr="00050DAE">
        <w:t>s</w:t>
      </w:r>
      <w:r w:rsidR="00601FD9" w:rsidRPr="00050DAE">
        <w:t xml:space="preserve"> </w:t>
      </w:r>
      <w:r w:rsidR="00F03C95" w:rsidRPr="00050DAE">
        <w:t>Anat a</w:t>
      </w:r>
      <w:r w:rsidR="00601FD9" w:rsidRPr="00050DAE">
        <w:t>s</w:t>
      </w:r>
      <w:r w:rsidR="00F03C95" w:rsidRPr="00050DAE">
        <w:t xml:space="preserve"> the patron of Anat city.</w:t>
      </w:r>
      <w:r w:rsidR="00F03C95" w:rsidRPr="00050DAE">
        <w:rPr>
          <w:rStyle w:val="FootnoteReference"/>
        </w:rPr>
        <w:footnoteReference w:id="183"/>
      </w:r>
      <w:r w:rsidR="00621E97" w:rsidRPr="00050DAE">
        <w:t xml:space="preserve"> </w:t>
      </w:r>
      <w:r w:rsidRPr="00050DAE">
        <w:t>Even though</w:t>
      </w:r>
      <w:r w:rsidR="00447B42" w:rsidRPr="00050DAE">
        <w:t xml:space="preserve"> scholars such as Watson, Smith, and Pitard entertain a possible Amorite origin, others, including </w:t>
      </w:r>
      <w:r w:rsidR="008B5B69" w:rsidRPr="00050DAE">
        <w:t>Day</w:t>
      </w:r>
      <w:r w:rsidR="00447B42" w:rsidRPr="00050DAE">
        <w:t xml:space="preserve"> and Feliu, do not adopt the identification of Ḫanat with Anat</w:t>
      </w:r>
      <w:r w:rsidR="008B5B69" w:rsidRPr="00050DAE">
        <w:t>,</w:t>
      </w:r>
      <w:r w:rsidR="00447B42" w:rsidRPr="00050DAE">
        <w:t xml:space="preserve"> and instead</w:t>
      </w:r>
      <w:r w:rsidR="008B5B69" w:rsidRPr="00050DAE">
        <w:t>,</w:t>
      </w:r>
      <w:r w:rsidR="00447B42" w:rsidRPr="00050DAE">
        <w:t xml:space="preserve"> treat Ḫanat </w:t>
      </w:r>
      <w:r w:rsidR="00933810" w:rsidRPr="00050DAE">
        <w:t xml:space="preserve">within </w:t>
      </w:r>
      <w:r w:rsidR="00726069" w:rsidRPr="00050DAE">
        <w:t>her</w:t>
      </w:r>
      <w:r w:rsidR="00933810" w:rsidRPr="00050DAE">
        <w:t xml:space="preserve"> Mari context, emphasizing the regional separation of Near Eastern </w:t>
      </w:r>
      <w:r w:rsidR="005F47BF" w:rsidRPr="00050DAE">
        <w:t>pantheons</w:t>
      </w:r>
      <w:r w:rsidR="00933810" w:rsidRPr="00050DAE">
        <w:t>.</w:t>
      </w:r>
      <w:r w:rsidR="00C938C2" w:rsidRPr="00050DAE">
        <w:rPr>
          <w:rStyle w:val="FootnoteReference"/>
        </w:rPr>
        <w:footnoteReference w:id="184"/>
      </w:r>
      <w:r w:rsidR="00C938C2" w:rsidRPr="00050DAE">
        <w:t xml:space="preserve"> </w:t>
      </w:r>
      <w:r w:rsidR="00D4429D" w:rsidRPr="00050DAE">
        <w:t>Day</w:t>
      </w:r>
      <w:r w:rsidR="008301DC" w:rsidRPr="00050DAE">
        <w:t>’</w:t>
      </w:r>
      <w:r w:rsidR="00D4429D" w:rsidRPr="00050DAE">
        <w:t>s arguments suggest the question remains unresolved</w:t>
      </w:r>
      <w:r w:rsidR="0090512B" w:rsidRPr="00050DAE">
        <w:t>.</w:t>
      </w:r>
      <w:r w:rsidR="00B334AC" w:rsidRPr="00050DAE">
        <w:t xml:space="preserve"> </w:t>
      </w:r>
    </w:p>
    <w:p w14:paraId="7C445F27" w14:textId="785C3E1C" w:rsidR="00FE3B28" w:rsidRPr="00050DAE" w:rsidRDefault="006B60A6" w:rsidP="00FE3B28">
      <w:pPr>
        <w:pStyle w:val="UWTSDindent"/>
      </w:pPr>
      <w:r w:rsidRPr="00050DAE">
        <w:t xml:space="preserve">Although Anat's origin remains unresolved, attempts to trace it to a solitary source </w:t>
      </w:r>
      <w:r w:rsidR="00F6441A" w:rsidRPr="00050DAE">
        <w:t>risk obscuring her functional role within the Ugaritic religious organisation</w:t>
      </w:r>
      <w:r w:rsidR="00BD1510" w:rsidRPr="00050DAE">
        <w:t xml:space="preserve">. </w:t>
      </w:r>
      <w:r w:rsidR="00EE3C6F" w:rsidRPr="00050DAE">
        <w:t>In</w:t>
      </w:r>
      <w:r w:rsidR="00BD1510" w:rsidRPr="00050DAE">
        <w:t xml:space="preserve"> </w:t>
      </w:r>
      <w:r w:rsidR="00EE3C6F" w:rsidRPr="00050DAE">
        <w:t xml:space="preserve">the </w:t>
      </w:r>
      <w:r w:rsidR="00752FAC" w:rsidRPr="00050DAE">
        <w:t xml:space="preserve">extant </w:t>
      </w:r>
      <w:r w:rsidR="00EE3C6F" w:rsidRPr="00050DAE">
        <w:t xml:space="preserve">Ugaritic </w:t>
      </w:r>
      <w:r w:rsidR="00752FAC" w:rsidRPr="00050DAE">
        <w:t>texts</w:t>
      </w:r>
      <w:r w:rsidR="00EE3C6F" w:rsidRPr="00050DAE">
        <w:t xml:space="preserve">, </w:t>
      </w:r>
      <w:r w:rsidR="00955251" w:rsidRPr="00050DAE">
        <w:t xml:space="preserve">Anat functions as an unusually independent divine figure </w:t>
      </w:r>
      <w:r w:rsidR="00FE3B28" w:rsidRPr="00050DAE">
        <w:t xml:space="preserve">whose identity is defined through action and function, not through </w:t>
      </w:r>
      <w:r w:rsidR="00725290" w:rsidRPr="00050DAE">
        <w:t xml:space="preserve">the </w:t>
      </w:r>
      <w:r w:rsidR="00FE3B28" w:rsidRPr="00050DAE">
        <w:t>derivation from an earlier deity.</w:t>
      </w:r>
    </w:p>
    <w:p w14:paraId="394482D9" w14:textId="7B1A17FD" w:rsidR="00936F9F" w:rsidRPr="00050DAE" w:rsidRDefault="00936F9F" w:rsidP="00FE3B28">
      <w:pPr>
        <w:pStyle w:val="UWTSDindent"/>
      </w:pPr>
      <w:r w:rsidRPr="00050DAE">
        <w:t>Described as</w:t>
      </w:r>
      <w:r w:rsidR="001E0313" w:rsidRPr="00050DAE">
        <w:t xml:space="preserve"> winged, </w:t>
      </w:r>
      <w:r w:rsidRPr="00050DAE">
        <w:t xml:space="preserve">young, beautiful, and fiercely energetic, this volatile, violent, and politically formidable goddess often carries the epithet </w:t>
      </w:r>
      <w:r w:rsidR="008301DC" w:rsidRPr="00050DAE">
        <w:t>“</w:t>
      </w:r>
      <w:r w:rsidRPr="00050DAE">
        <w:rPr>
          <w:i/>
          <w:iCs/>
        </w:rPr>
        <w:t>btlt</w:t>
      </w:r>
      <w:r w:rsidRPr="00050DAE">
        <w:t>,</w:t>
      </w:r>
      <w:r w:rsidR="008301DC" w:rsidRPr="00050DAE">
        <w:t>”</w:t>
      </w:r>
      <w:r w:rsidRPr="00050DAE">
        <w:t xml:space="preserve"> translated as </w:t>
      </w:r>
      <w:r w:rsidR="008301DC" w:rsidRPr="00050DAE">
        <w:t>“</w:t>
      </w:r>
      <w:r w:rsidRPr="00050DAE">
        <w:t>maiden</w:t>
      </w:r>
      <w:r w:rsidR="008301DC" w:rsidRPr="00050DAE">
        <w:t>”</w:t>
      </w:r>
      <w:r w:rsidRPr="00050DAE">
        <w:t xml:space="preserve"> or </w:t>
      </w:r>
      <w:r w:rsidR="008301DC" w:rsidRPr="00050DAE">
        <w:t>“</w:t>
      </w:r>
      <w:r w:rsidRPr="00050DAE">
        <w:t>virgin</w:t>
      </w:r>
      <w:r w:rsidR="00C449FC" w:rsidRPr="00050DAE">
        <w:t>,</w:t>
      </w:r>
      <w:r w:rsidR="008301DC" w:rsidRPr="00050DAE">
        <w:t>”</w:t>
      </w:r>
      <w:r w:rsidR="00C449FC" w:rsidRPr="00050DAE">
        <w:t xml:space="preserve"> which gives her </w:t>
      </w:r>
      <w:r w:rsidR="00BD1510" w:rsidRPr="00050DAE">
        <w:t>the youthful, non-matrimonial character associated with the epithet</w:t>
      </w:r>
      <w:r w:rsidR="00C449FC" w:rsidRPr="00050DAE">
        <w:t>.</w:t>
      </w:r>
      <w:r w:rsidRPr="00050DAE">
        <w:rPr>
          <w:vertAlign w:val="superscript"/>
        </w:rPr>
        <w:footnoteReference w:id="185"/>
      </w:r>
      <w:r w:rsidRPr="00050DAE">
        <w:t xml:space="preserve"> </w:t>
      </w:r>
      <w:r w:rsidR="00463762" w:rsidRPr="00050DAE">
        <w:t>Though</w:t>
      </w:r>
      <w:r w:rsidRPr="00050DAE">
        <w:t xml:space="preserve"> this moniker may suggest innocence or chastity, in this case it marks Anat</w:t>
      </w:r>
      <w:r w:rsidR="008301DC" w:rsidRPr="00050DAE">
        <w:t>’</w:t>
      </w:r>
      <w:r w:rsidRPr="00050DAE">
        <w:t>s youth, independence, unmarried status</w:t>
      </w:r>
      <w:r w:rsidR="00C17D28" w:rsidRPr="00050DAE">
        <w:t>,</w:t>
      </w:r>
      <w:r w:rsidRPr="00050DAE">
        <w:t xml:space="preserve"> and grants her access to the </w:t>
      </w:r>
      <w:r w:rsidR="008301DC" w:rsidRPr="00050DAE">
        <w:t>“</w:t>
      </w:r>
      <w:r w:rsidRPr="00050DAE">
        <w:t>masculine pursuits of warfare and hunting.</w:t>
      </w:r>
      <w:r w:rsidR="008301DC" w:rsidRPr="00050DAE">
        <w:t>”</w:t>
      </w:r>
      <w:r w:rsidRPr="00050DAE">
        <w:rPr>
          <w:vertAlign w:val="superscript"/>
        </w:rPr>
        <w:footnoteReference w:id="186"/>
      </w:r>
      <w:r w:rsidRPr="00050DAE">
        <w:t xml:space="preserve"> </w:t>
      </w:r>
      <w:r w:rsidR="0098304A" w:rsidRPr="00050DAE">
        <w:t xml:space="preserve">Her association with </w:t>
      </w:r>
      <w:r w:rsidR="00CA6ED3" w:rsidRPr="00050DAE">
        <w:t xml:space="preserve">animals and </w:t>
      </w:r>
      <w:r w:rsidR="0098304A" w:rsidRPr="00050DAE">
        <w:t xml:space="preserve">hunting is so </w:t>
      </w:r>
      <w:r w:rsidR="007A3D85" w:rsidRPr="00050DAE">
        <w:t>prominent</w:t>
      </w:r>
      <w:r w:rsidR="0098304A" w:rsidRPr="00050DAE">
        <w:t xml:space="preserve"> that she is referred to as the </w:t>
      </w:r>
      <w:r w:rsidR="008301DC" w:rsidRPr="00050DAE">
        <w:t>“</w:t>
      </w:r>
      <w:r w:rsidR="0098304A" w:rsidRPr="00050DAE">
        <w:t>mistress of the hunt.</w:t>
      </w:r>
      <w:r w:rsidR="008301DC" w:rsidRPr="00050DAE">
        <w:t>”</w:t>
      </w:r>
      <w:r w:rsidR="0098304A" w:rsidRPr="00050DAE">
        <w:rPr>
          <w:rStyle w:val="FootnoteReference"/>
        </w:rPr>
        <w:footnoteReference w:id="187"/>
      </w:r>
      <w:r w:rsidR="002802DD" w:rsidRPr="00050DAE">
        <w:t xml:space="preserve"> The goddess </w:t>
      </w:r>
      <w:r w:rsidR="008301DC" w:rsidRPr="00050DAE">
        <w:t>“</w:t>
      </w:r>
      <w:r w:rsidR="002802DD" w:rsidRPr="00050DAE">
        <w:t>bears shield and spear in her left hand, and wields a battle-axe in her right.</w:t>
      </w:r>
      <w:r w:rsidR="008301DC" w:rsidRPr="00050DAE">
        <w:t>”</w:t>
      </w:r>
      <w:r w:rsidR="002802DD" w:rsidRPr="00050DAE">
        <w:rPr>
          <w:rStyle w:val="FootnoteReference"/>
        </w:rPr>
        <w:footnoteReference w:id="188"/>
      </w:r>
    </w:p>
    <w:p w14:paraId="145CA231" w14:textId="731B9871" w:rsidR="00936F9F" w:rsidRPr="00050DAE" w:rsidRDefault="00463762" w:rsidP="00EE6050">
      <w:pPr>
        <w:pStyle w:val="UWTSDindent"/>
      </w:pPr>
      <w:r w:rsidRPr="00050DAE">
        <w:t>Although</w:t>
      </w:r>
      <w:r w:rsidR="00BC1ABA" w:rsidRPr="00050DAE">
        <w:t xml:space="preserve"> most of Anat</w:t>
      </w:r>
      <w:r w:rsidR="008301DC" w:rsidRPr="00050DAE">
        <w:t>’</w:t>
      </w:r>
      <w:r w:rsidR="00BC1ABA" w:rsidRPr="00050DAE">
        <w:t>s worship remains a mystery</w:t>
      </w:r>
      <w:r w:rsidR="00CE50F0" w:rsidRPr="00050DAE">
        <w:t>, there is evidence of a thirteenth century festival for the goddess at Gaza.</w:t>
      </w:r>
      <w:r w:rsidR="00CE50F0" w:rsidRPr="00050DAE">
        <w:rPr>
          <w:rStyle w:val="FootnoteReference"/>
        </w:rPr>
        <w:footnoteReference w:id="189"/>
      </w:r>
      <w:r w:rsidR="00CE50F0" w:rsidRPr="00050DAE">
        <w:t xml:space="preserve"> </w:t>
      </w:r>
      <w:r w:rsidR="00BC1ABA" w:rsidRPr="00050DAE">
        <w:t>T</w:t>
      </w:r>
      <w:r w:rsidR="00936F9F" w:rsidRPr="00050DAE">
        <w:t xml:space="preserve">ypical offerings for </w:t>
      </w:r>
      <w:r w:rsidR="00BC1ABA" w:rsidRPr="00050DAE">
        <w:t>the</w:t>
      </w:r>
      <w:r w:rsidR="00936F9F" w:rsidRPr="00050DAE">
        <w:t xml:space="preserve"> goddess include</w:t>
      </w:r>
      <w:r w:rsidR="00CE50F0" w:rsidRPr="00050DAE">
        <w:t>d</w:t>
      </w:r>
      <w:r w:rsidR="00936F9F" w:rsidRPr="00050DAE">
        <w:t xml:space="preserve"> items like </w:t>
      </w:r>
      <w:r w:rsidR="008301DC" w:rsidRPr="00050DAE">
        <w:t>“</w:t>
      </w:r>
      <w:r w:rsidR="00936F9F" w:rsidRPr="00050DAE">
        <w:t>horse blinkers… votive offerings… fragments of armour, [and] weapons.</w:t>
      </w:r>
      <w:r w:rsidR="008301DC" w:rsidRPr="00050DAE">
        <w:t>”</w:t>
      </w:r>
      <w:r w:rsidR="00936F9F" w:rsidRPr="00050DAE">
        <w:rPr>
          <w:vertAlign w:val="superscript"/>
        </w:rPr>
        <w:footnoteReference w:id="190"/>
      </w:r>
      <w:r w:rsidR="00936F9F" w:rsidRPr="00050DAE">
        <w:t xml:space="preserve"> The core of her literary presence belongs to Late Bronze Age Ugarit where she stands among the major deities of the pantheon. </w:t>
      </w:r>
      <w:r w:rsidR="00F6441A" w:rsidRPr="00050DAE">
        <w:t>Various texts present her both as Baal Haddad</w:t>
      </w:r>
      <w:r w:rsidR="008301DC" w:rsidRPr="00050DAE">
        <w:t>’</w:t>
      </w:r>
      <w:r w:rsidR="00F6441A" w:rsidRPr="00050DAE">
        <w:t>s consort and as his sister</w:t>
      </w:r>
      <w:r w:rsidR="00956183" w:rsidRPr="00050DAE">
        <w:t>.</w:t>
      </w:r>
      <w:r w:rsidR="00936F9F" w:rsidRPr="00050DAE">
        <w:rPr>
          <w:vertAlign w:val="superscript"/>
        </w:rPr>
        <w:footnoteReference w:id="191"/>
      </w:r>
      <w:r w:rsidR="00936F9F" w:rsidRPr="00050DAE">
        <w:t xml:space="preserve"> Regardless of their personal connection,</w:t>
      </w:r>
      <w:r w:rsidR="00254A8E" w:rsidRPr="00050DAE">
        <w:t xml:space="preserve"> </w:t>
      </w:r>
      <w:r w:rsidR="00936F9F" w:rsidRPr="00050DAE">
        <w:t>she is his close ally and autonomous partner in conflict.</w:t>
      </w:r>
      <w:r w:rsidR="002A044A" w:rsidRPr="00050DAE">
        <w:rPr>
          <w:rStyle w:val="FootnoteReference"/>
        </w:rPr>
        <w:footnoteReference w:id="192"/>
      </w:r>
    </w:p>
    <w:p w14:paraId="60378E06" w14:textId="6FEB6D24" w:rsidR="00C17D28" w:rsidRPr="00050DAE" w:rsidRDefault="00C17D28" w:rsidP="00EE6050">
      <w:pPr>
        <w:pStyle w:val="UWTSDindent"/>
      </w:pPr>
      <w:r w:rsidRPr="00050DAE">
        <w:t xml:space="preserve">While Anat is multifaceted, her martial aspect and her volatility dominate </w:t>
      </w:r>
      <w:r w:rsidR="00C46CFA" w:rsidRPr="00050DAE">
        <w:t>many of</w:t>
      </w:r>
      <w:r w:rsidRPr="00050DAE">
        <w:t xml:space="preserve"> her narrative appearances.</w:t>
      </w:r>
      <w:r w:rsidRPr="00050DAE">
        <w:rPr>
          <w:vertAlign w:val="superscript"/>
        </w:rPr>
        <w:footnoteReference w:id="193"/>
      </w:r>
      <w:r w:rsidRPr="00050DAE">
        <w:t xml:space="preserve"> The Ugaritic texts state:</w:t>
      </w:r>
      <w:r w:rsidRPr="00050DAE">
        <w:rPr>
          <w:vertAlign w:val="superscript"/>
        </w:rPr>
        <w:footnoteReference w:id="194"/>
      </w:r>
    </w:p>
    <w:p w14:paraId="4E50720B" w14:textId="5F0A83AA" w:rsidR="00C17D28" w:rsidRPr="00050DAE" w:rsidRDefault="00C17D28" w:rsidP="00C17D28">
      <w:pPr>
        <w:pStyle w:val="Quote"/>
        <w:rPr>
          <w:rFonts w:asciiTheme="majorBidi" w:hAnsiTheme="majorBidi" w:cstheme="majorBidi"/>
          <w:color w:val="auto"/>
        </w:rPr>
      </w:pPr>
      <w:r w:rsidRPr="00050DAE">
        <w:rPr>
          <w:rFonts w:asciiTheme="majorBidi" w:hAnsiTheme="majorBidi" w:cstheme="majorBidi"/>
          <w:color w:val="auto"/>
        </w:rPr>
        <w:t>…She met youths at the foot of the mountain. And look! Anat fights in the valley, Battl[es] between the two towns. She fought the people of the se[a]-shore, Struck the populace of the su[nr]ise.</w:t>
      </w:r>
      <w:r w:rsidR="00254A8E" w:rsidRPr="00050DAE">
        <w:rPr>
          <w:rFonts w:asciiTheme="majorBidi" w:hAnsiTheme="majorBidi" w:cstheme="majorBidi"/>
          <w:color w:val="auto"/>
        </w:rPr>
        <w:t xml:space="preserve"> </w:t>
      </w:r>
      <w:r w:rsidRPr="00050DAE">
        <w:rPr>
          <w:rFonts w:asciiTheme="majorBidi" w:hAnsiTheme="majorBidi" w:cstheme="majorBidi"/>
          <w:color w:val="auto"/>
        </w:rPr>
        <w:t>Under her, like balls, were hea[ds], Above her, like grasshoppers, hands, Like locusts, heaps of warrior-hands. She fixed heads to her back, Fastened hands on her waist. Knee-deep she glea[n]ed in warrior-blood, Neck-deep in the gor[e] of soldiers. With a club she drove away captives, With her bow-string, the foe.</w:t>
      </w:r>
    </w:p>
    <w:p w14:paraId="7F33F61F" w14:textId="77777777" w:rsidR="00C17D28" w:rsidRPr="00050DAE" w:rsidRDefault="00C17D28" w:rsidP="00C17D28">
      <w:pPr>
        <w:rPr>
          <w:rFonts w:asciiTheme="majorBidi" w:hAnsiTheme="majorBidi" w:cstheme="majorBidi"/>
        </w:rPr>
      </w:pPr>
      <w:r w:rsidRPr="00050DAE">
        <w:rPr>
          <w:rFonts w:asciiTheme="majorBidi" w:hAnsiTheme="majorBidi" w:cstheme="majorBidi"/>
          <w:sz w:val="24"/>
          <w:szCs w:val="24"/>
        </w:rPr>
        <w:t>Those that she takes prisoner do not escape:</w:t>
      </w:r>
      <w:r w:rsidRPr="00050DAE">
        <w:rPr>
          <w:rFonts w:asciiTheme="majorBidi" w:hAnsiTheme="majorBidi" w:cstheme="majorBidi"/>
          <w:sz w:val="24"/>
          <w:szCs w:val="24"/>
          <w:vertAlign w:val="superscript"/>
        </w:rPr>
        <w:t xml:space="preserve"> </w:t>
      </w:r>
      <w:r w:rsidRPr="00050DAE">
        <w:rPr>
          <w:rFonts w:asciiTheme="majorBidi" w:hAnsiTheme="majorBidi" w:cstheme="majorBidi"/>
          <w:vertAlign w:val="superscript"/>
        </w:rPr>
        <w:footnoteReference w:id="195"/>
      </w:r>
    </w:p>
    <w:p w14:paraId="0775F335" w14:textId="42C9468A" w:rsidR="00C17D28" w:rsidRPr="00050DAE" w:rsidRDefault="00C17D28" w:rsidP="00C17D28">
      <w:pPr>
        <w:pStyle w:val="Quote"/>
        <w:rPr>
          <w:rFonts w:asciiTheme="majorBidi" w:hAnsiTheme="majorBidi" w:cstheme="majorBidi"/>
          <w:color w:val="auto"/>
        </w:rPr>
      </w:pPr>
      <w:r w:rsidRPr="00050DAE">
        <w:rPr>
          <w:rFonts w:asciiTheme="majorBidi" w:hAnsiTheme="majorBidi" w:cstheme="majorBidi"/>
          <w:color w:val="auto"/>
        </w:rPr>
        <w:t>… But she was not satisfied with her fighting in the valley, With battling between the two towns. She arranged chairs for the soldiery, Arranged tables for the hosts, Footstools for the heroes. Hard she fought and looked about, Anat battled, and she surveyed. Her innards swelled with laughter, Her heart filled with joy, Anat</w:t>
      </w:r>
      <w:r w:rsidR="008301DC" w:rsidRPr="00050DAE">
        <w:rPr>
          <w:rFonts w:asciiTheme="majorBidi" w:hAnsiTheme="majorBidi" w:cstheme="majorBidi"/>
          <w:color w:val="auto"/>
        </w:rPr>
        <w:t>’</w:t>
      </w:r>
      <w:r w:rsidRPr="00050DAE">
        <w:rPr>
          <w:rFonts w:asciiTheme="majorBidi" w:hAnsiTheme="majorBidi" w:cstheme="majorBidi"/>
          <w:color w:val="auto"/>
        </w:rPr>
        <w:t>s innards with victory. Knee-deep she gleaned in warrior-blood, Neck-deep in the gore of soldiers, Until she was sated with fighting in the house, With battling between the two tables…</w:t>
      </w:r>
    </w:p>
    <w:p w14:paraId="4CB04819" w14:textId="07B081A1" w:rsidR="001578A0" w:rsidRPr="00050DAE" w:rsidRDefault="0068224F" w:rsidP="00EE6050">
      <w:pPr>
        <w:pStyle w:val="UWTSDindent"/>
      </w:pPr>
      <w:r w:rsidRPr="00050DAE">
        <w:t xml:space="preserve">Anat responds to threats with overwhelming force. In every case, she </w:t>
      </w:r>
      <w:r w:rsidR="008301DC" w:rsidRPr="00050DAE">
        <w:t>“</w:t>
      </w:r>
      <w:r w:rsidR="001578A0" w:rsidRPr="00050DAE">
        <w:t>reacts with disproportionate fury.</w:t>
      </w:r>
      <w:r w:rsidR="008301DC" w:rsidRPr="00050DAE">
        <w:t>”</w:t>
      </w:r>
      <w:r w:rsidR="0024325A" w:rsidRPr="00050DAE">
        <w:rPr>
          <w:rStyle w:val="FootnoteReference"/>
        </w:rPr>
        <w:footnoteReference w:id="196"/>
      </w:r>
      <w:r w:rsidR="001578A0" w:rsidRPr="00050DAE">
        <w:t xml:space="preserve"> </w:t>
      </w:r>
      <w:r w:rsidR="00EA125B" w:rsidRPr="00050DAE">
        <w:t xml:space="preserve">Even the god El comments </w:t>
      </w:r>
      <w:r w:rsidR="00E224AD" w:rsidRPr="00050DAE">
        <w:t>on</w:t>
      </w:r>
      <w:r w:rsidR="00EA125B" w:rsidRPr="00050DAE">
        <w:t xml:space="preserve"> Anat</w:t>
      </w:r>
      <w:r w:rsidR="008301DC" w:rsidRPr="00050DAE">
        <w:t>’</w:t>
      </w:r>
      <w:r w:rsidR="00EA125B" w:rsidRPr="00050DAE">
        <w:t xml:space="preserve">s temperament with, </w:t>
      </w:r>
      <w:r w:rsidR="008301DC" w:rsidRPr="00050DAE">
        <w:t>“</w:t>
      </w:r>
      <w:r w:rsidR="00EA125B" w:rsidRPr="00050DAE">
        <w:t xml:space="preserve">For there is not among </w:t>
      </w:r>
      <w:r w:rsidR="00323CEE" w:rsidRPr="00050DAE">
        <w:t>goddesses</w:t>
      </w:r>
      <w:r w:rsidR="008301DC" w:rsidRPr="00050DAE">
        <w:t>’</w:t>
      </w:r>
      <w:r w:rsidR="00323CEE" w:rsidRPr="00050DAE">
        <w:t xml:space="preserve"> </w:t>
      </w:r>
      <w:r w:rsidR="00EA125B" w:rsidRPr="00050DAE">
        <w:t>scorn like yours.</w:t>
      </w:r>
      <w:r w:rsidR="008301DC" w:rsidRPr="00050DAE">
        <w:t>”</w:t>
      </w:r>
      <w:r w:rsidR="00EA125B" w:rsidRPr="00050DAE">
        <w:rPr>
          <w:rStyle w:val="FootnoteReference"/>
        </w:rPr>
        <w:footnoteReference w:id="197"/>
      </w:r>
      <w:r w:rsidR="00EA125B" w:rsidRPr="00050DAE">
        <w:t xml:space="preserve"> </w:t>
      </w:r>
      <w:r w:rsidR="001578A0" w:rsidRPr="00050DAE">
        <w:t xml:space="preserve">In essence, she embodies </w:t>
      </w:r>
      <w:r w:rsidR="008301DC" w:rsidRPr="00050DAE">
        <w:t>“</w:t>
      </w:r>
      <w:r w:rsidR="001578A0" w:rsidRPr="00050DAE">
        <w:t>an abuse of absolute, divine power.</w:t>
      </w:r>
      <w:r w:rsidR="008301DC" w:rsidRPr="00050DAE">
        <w:t>”</w:t>
      </w:r>
      <w:r w:rsidR="001578A0" w:rsidRPr="00050DAE">
        <w:rPr>
          <w:rStyle w:val="FootnoteReference"/>
        </w:rPr>
        <w:footnoteReference w:id="198"/>
      </w:r>
    </w:p>
    <w:p w14:paraId="52FFFA1D" w14:textId="7B5B1AA7" w:rsidR="00C17D28" w:rsidRPr="00050DAE" w:rsidRDefault="00C17D28" w:rsidP="00EE6050">
      <w:pPr>
        <w:pStyle w:val="UWTSDindent"/>
      </w:pPr>
      <w:r w:rsidRPr="00050DAE">
        <w:t xml:space="preserve">Beyond simple destruction, Anat is also invoked as a defender and protector. </w:t>
      </w:r>
      <w:r w:rsidR="00BC1ABA" w:rsidRPr="00050DAE">
        <w:t>This is clearly demonstrated in a stela</w:t>
      </w:r>
      <w:r w:rsidRPr="00050DAE">
        <w:t xml:space="preserve"> from the Egyptian New Kingdom </w:t>
      </w:r>
      <w:r w:rsidR="00725290" w:rsidRPr="00050DAE">
        <w:t xml:space="preserve">that </w:t>
      </w:r>
      <w:r w:rsidRPr="00050DAE">
        <w:t xml:space="preserve">states </w:t>
      </w:r>
      <w:r w:rsidR="008301DC" w:rsidRPr="00050DAE">
        <w:t>“</w:t>
      </w:r>
      <w:r w:rsidRPr="00050DAE">
        <w:t>Anat is a Protection</w:t>
      </w:r>
      <w:r w:rsidR="008301DC" w:rsidRPr="00050DAE">
        <w:t>”</w:t>
      </w:r>
      <w:r w:rsidRPr="00050DAE">
        <w:t xml:space="preserve"> and displays Anat bearing a spear.</w:t>
      </w:r>
      <w:r w:rsidRPr="00050DAE">
        <w:rPr>
          <w:vertAlign w:val="superscript"/>
        </w:rPr>
        <w:footnoteReference w:id="199"/>
      </w:r>
    </w:p>
    <w:p w14:paraId="1CBD893F" w14:textId="7EF53580" w:rsidR="00CE4240" w:rsidRPr="00050DAE" w:rsidRDefault="00322B7B" w:rsidP="00CE4240">
      <w:pPr>
        <w:pStyle w:val="UWTSDindent"/>
      </w:pPr>
      <w:r w:rsidRPr="00050DAE">
        <w:t>Both Anat and modern interpretations of her have evolved over time</w:t>
      </w:r>
      <w:r w:rsidR="00E668FA" w:rsidRPr="00050DAE">
        <w:t>.</w:t>
      </w:r>
      <w:r w:rsidRPr="00050DAE">
        <w:t xml:space="preserve"> </w:t>
      </w:r>
      <w:r w:rsidR="00E668FA" w:rsidRPr="00050DAE">
        <w:t xml:space="preserve">Biblical accounts </w:t>
      </w:r>
      <w:r w:rsidR="00B90754" w:rsidRPr="00050DAE">
        <w:t xml:space="preserve">were interpreted as </w:t>
      </w:r>
      <w:r w:rsidR="00E668FA" w:rsidRPr="00050DAE">
        <w:t>suggest</w:t>
      </w:r>
      <w:r w:rsidR="00B90754" w:rsidRPr="00050DAE">
        <w:t xml:space="preserve">ing </w:t>
      </w:r>
      <w:r w:rsidR="00E668FA" w:rsidRPr="00050DAE">
        <w:t xml:space="preserve">that Anat and Baal held great orgies requiring </w:t>
      </w:r>
      <w:r w:rsidR="008301DC" w:rsidRPr="00050DAE">
        <w:t>“</w:t>
      </w:r>
      <w:r w:rsidR="00E668FA" w:rsidRPr="00050DAE">
        <w:t>priests and sensuously dancing priestesses</w:t>
      </w:r>
      <w:r w:rsidR="008301DC" w:rsidRPr="00050DAE">
        <w:t>”</w:t>
      </w:r>
      <w:r w:rsidR="00E668FA" w:rsidRPr="00050DAE">
        <w:t xml:space="preserve"> to </w:t>
      </w:r>
      <w:r w:rsidR="00C15CBE" w:rsidRPr="00050DAE">
        <w:t>p</w:t>
      </w:r>
      <w:r w:rsidR="00725290" w:rsidRPr="00050DAE">
        <w:t>er</w:t>
      </w:r>
      <w:r w:rsidR="00C15CBE" w:rsidRPr="00050DAE">
        <w:t>form for</w:t>
      </w:r>
      <w:r w:rsidR="00E668FA" w:rsidRPr="00050DAE">
        <w:t xml:space="preserve"> </w:t>
      </w:r>
      <w:r w:rsidR="00C15CBE" w:rsidRPr="00050DAE">
        <w:t>statues</w:t>
      </w:r>
      <w:r w:rsidR="00E668FA" w:rsidRPr="00050DAE">
        <w:t xml:space="preserve"> of Baal or Asherah. </w:t>
      </w:r>
      <w:r w:rsidR="00BC1ABA" w:rsidRPr="00050DAE">
        <w:t>Scholarly debate also centres on</w:t>
      </w:r>
      <w:r w:rsidR="00E668FA" w:rsidRPr="00050DAE">
        <w:t xml:space="preserve"> </w:t>
      </w:r>
      <w:r w:rsidRPr="00050DAE">
        <w:t>allegations that Anat was</w:t>
      </w:r>
      <w:r w:rsidR="00E668FA" w:rsidRPr="00050DAE">
        <w:t xml:space="preserve"> </w:t>
      </w:r>
      <w:r w:rsidR="008301DC" w:rsidRPr="00050DAE">
        <w:t>“</w:t>
      </w:r>
      <w:r w:rsidR="00E668FA" w:rsidRPr="00050DAE">
        <w:t>cannibalistic</w:t>
      </w:r>
      <w:r w:rsidR="00BC1ABA" w:rsidRPr="00050DAE">
        <w:t>,</w:t>
      </w:r>
      <w:r w:rsidR="008301DC" w:rsidRPr="00050DAE">
        <w:t>”</w:t>
      </w:r>
      <w:r w:rsidR="00BC1ABA" w:rsidRPr="00050DAE">
        <w:t xml:space="preserve"> but modern scholars assert t</w:t>
      </w:r>
      <w:r w:rsidR="00C15CBE" w:rsidRPr="00050DAE">
        <w:t xml:space="preserve">his is </w:t>
      </w:r>
      <w:r w:rsidR="008301DC" w:rsidRPr="00050DAE">
        <w:t>“</w:t>
      </w:r>
      <w:r w:rsidR="00E668FA" w:rsidRPr="00050DAE">
        <w:t>unjustified.</w:t>
      </w:r>
      <w:r w:rsidR="008301DC" w:rsidRPr="00050DAE">
        <w:t>”</w:t>
      </w:r>
      <w:r w:rsidR="00E668FA" w:rsidRPr="00050DAE">
        <w:rPr>
          <w:rStyle w:val="FootnoteReference"/>
        </w:rPr>
        <w:footnoteReference w:id="200"/>
      </w:r>
      <w:r w:rsidR="00E668FA" w:rsidRPr="00050DAE">
        <w:t xml:space="preserve"> </w:t>
      </w:r>
      <w:r w:rsidR="007A3D85" w:rsidRPr="00050DAE">
        <w:t xml:space="preserve">Supporting the </w:t>
      </w:r>
      <w:r w:rsidR="00C64F45" w:rsidRPr="00050DAE">
        <w:t>defence</w:t>
      </w:r>
      <w:r w:rsidR="007A3D85" w:rsidRPr="00050DAE">
        <w:t xml:space="preserve"> of Anat, Albright</w:t>
      </w:r>
      <w:r w:rsidR="00CA5A27" w:rsidRPr="00050DAE">
        <w:t xml:space="preserve"> </w:t>
      </w:r>
      <w:r w:rsidR="007A3D85" w:rsidRPr="00050DAE">
        <w:t xml:space="preserve">cites a thirteenth century Egyptian text calling Anat and her sister Astarte </w:t>
      </w:r>
      <w:r w:rsidR="008301DC" w:rsidRPr="00050DAE">
        <w:t>“</w:t>
      </w:r>
      <w:r w:rsidR="007A3D85" w:rsidRPr="00050DAE">
        <w:t>the great goddesses who conceive but do not bear</w:t>
      </w:r>
      <w:r w:rsidR="00DE47B9" w:rsidRPr="00050DAE">
        <w:t>.</w:t>
      </w:r>
      <w:r w:rsidR="008301DC" w:rsidRPr="00050DAE">
        <w:t>”</w:t>
      </w:r>
      <w:r w:rsidR="00DE47B9" w:rsidRPr="00050DAE">
        <w:rPr>
          <w:rStyle w:val="FootnoteReference"/>
        </w:rPr>
        <w:footnoteReference w:id="201"/>
      </w:r>
      <w:r w:rsidR="007A3D85" w:rsidRPr="00050DAE">
        <w:t xml:space="preserve"> </w:t>
      </w:r>
      <w:r w:rsidR="00DE47B9" w:rsidRPr="00050DAE">
        <w:t xml:space="preserve">Day </w:t>
      </w:r>
      <w:r w:rsidR="00B50F16" w:rsidRPr="00050DAE">
        <w:t>concurs, suggesting that faulty scholarship engineered Anat</w:t>
      </w:r>
      <w:r w:rsidR="008301DC" w:rsidRPr="00050DAE">
        <w:t>’</w:t>
      </w:r>
      <w:r w:rsidR="00B50F16" w:rsidRPr="00050DAE">
        <w:t xml:space="preserve">s </w:t>
      </w:r>
      <w:r w:rsidR="00A44BB8" w:rsidRPr="00050DAE">
        <w:t>sexuality</w:t>
      </w:r>
      <w:r w:rsidR="00B50F16" w:rsidRPr="00050DAE">
        <w:t xml:space="preserve"> </w:t>
      </w:r>
      <w:r w:rsidRPr="00050DAE">
        <w:t xml:space="preserve">and </w:t>
      </w:r>
      <w:r w:rsidR="00725290" w:rsidRPr="00050DAE">
        <w:t xml:space="preserve">that </w:t>
      </w:r>
      <w:r w:rsidRPr="00050DAE">
        <w:t xml:space="preserve">it </w:t>
      </w:r>
      <w:r w:rsidR="00725290" w:rsidRPr="00050DAE">
        <w:t xml:space="preserve">was </w:t>
      </w:r>
      <w:r w:rsidR="008301DC" w:rsidRPr="00050DAE">
        <w:t>“</w:t>
      </w:r>
      <w:r w:rsidR="00B50F16" w:rsidRPr="00050DAE">
        <w:t xml:space="preserve">entirely reconstructed in available lacunae and </w:t>
      </w:r>
      <w:r w:rsidR="00B50F16" w:rsidRPr="00050DAE">
        <w:rPr>
          <w:i/>
          <w:iCs/>
        </w:rPr>
        <w:t>hapax legomena</w:t>
      </w:r>
      <w:r w:rsidR="00B50F16" w:rsidRPr="00050DAE">
        <w:t>.</w:t>
      </w:r>
      <w:r w:rsidR="008301DC" w:rsidRPr="00050DAE">
        <w:t>”</w:t>
      </w:r>
      <w:r w:rsidR="00B50F16" w:rsidRPr="00050DAE">
        <w:rPr>
          <w:rStyle w:val="FootnoteReference"/>
        </w:rPr>
        <w:footnoteReference w:id="202"/>
      </w:r>
      <w:r w:rsidR="00CE4240" w:rsidRPr="00050DAE">
        <w:t xml:space="preserve"> </w:t>
      </w:r>
    </w:p>
    <w:p w14:paraId="3B2108E4" w14:textId="46D24B02" w:rsidR="00E668FA" w:rsidRPr="00050DAE" w:rsidRDefault="00CE4240" w:rsidP="00CE4240">
      <w:pPr>
        <w:pStyle w:val="UWTSDindent"/>
      </w:pPr>
      <w:r w:rsidRPr="00050DAE">
        <w:t>Far from remaining a purely regional deity, Anat entered the broader religious world of the eastern Mediterranean alongside Astarte and other Syro-Palestinian deities introduced into Egypt during the New Kingdom.</w:t>
      </w:r>
      <w:r w:rsidRPr="00050DAE">
        <w:rPr>
          <w:rStyle w:val="FootnoteReference"/>
        </w:rPr>
        <w:footnoteReference w:id="203"/>
      </w:r>
      <w:r w:rsidRPr="00050DAE">
        <w:t xml:space="preserve"> In Egypt, both goddesses appear with the ꜣ</w:t>
      </w:r>
      <w:r w:rsidRPr="00050DAE">
        <w:rPr>
          <w:i/>
          <w:iCs/>
        </w:rPr>
        <w:t>tf</w:t>
      </w:r>
      <w:r w:rsidRPr="00050DAE">
        <w:t xml:space="preserve"> (Atef) crown and bear titles such as </w:t>
      </w:r>
      <w:r w:rsidR="008301DC" w:rsidRPr="00050DAE">
        <w:t>“</w:t>
      </w:r>
      <w:r w:rsidRPr="00050DAE">
        <w:t>Queen of Heaven,</w:t>
      </w:r>
      <w:r w:rsidR="008301DC" w:rsidRPr="00050DAE">
        <w:t>”</w:t>
      </w:r>
      <w:r w:rsidRPr="00050DAE">
        <w:t xml:space="preserve"> reflecting possible continuity with aspects of Ištar while simultaneously acquiring new associations with kingship and military protection.</w:t>
      </w:r>
      <w:r w:rsidRPr="00050DAE">
        <w:rPr>
          <w:rStyle w:val="FootnoteReference"/>
        </w:rPr>
        <w:footnoteReference w:id="204"/>
      </w:r>
      <w:r w:rsidRPr="00050DAE">
        <w:t xml:space="preserve"> Ramesses II described Anat and Astarte collectively as </w:t>
      </w:r>
      <w:r w:rsidR="008301DC" w:rsidRPr="00050DAE">
        <w:t>“</w:t>
      </w:r>
      <w:r w:rsidRPr="00050DAE">
        <w:t>his shield</w:t>
      </w:r>
      <w:r w:rsidR="008301DC" w:rsidRPr="00050DAE">
        <w:t>”</w:t>
      </w:r>
      <w:r w:rsidRPr="00050DAE">
        <w:t xml:space="preserve"> and further integrated Anat into royal ideology through the naming of his daughter Bint-</w:t>
      </w:r>
      <w:r w:rsidRPr="00050DAE">
        <w:rPr>
          <w:vertAlign w:val="superscript"/>
        </w:rPr>
        <w:t>c</w:t>
      </w:r>
      <w:r w:rsidRPr="00050DAE">
        <w:t>Anat.</w:t>
      </w:r>
      <w:r w:rsidRPr="00050DAE">
        <w:rPr>
          <w:rStyle w:val="FootnoteReference"/>
        </w:rPr>
        <w:footnoteReference w:id="205"/>
      </w:r>
      <w:r w:rsidRPr="00050DAE">
        <w:t xml:space="preserve"> Although Anat and Astarte are frequently difficult to distinguish iconographically and functionally, especially in their shared associations with Baal Haddad, warfare, and celestial authority, scholars caution against collapsing them into a single divine identity.</w:t>
      </w:r>
      <w:r w:rsidRPr="00050DAE">
        <w:rPr>
          <w:rStyle w:val="FootnoteReference"/>
        </w:rPr>
        <w:footnoteReference w:id="206"/>
      </w:r>
    </w:p>
    <w:p w14:paraId="3E209945" w14:textId="77777777" w:rsidR="00E826C7" w:rsidRPr="00050DAE" w:rsidRDefault="00E826C7" w:rsidP="00057DA7">
      <w:pPr>
        <w:keepNext/>
        <w:jc w:val="center"/>
        <w:rPr>
          <w:rFonts w:asciiTheme="majorBidi" w:hAnsiTheme="majorBidi" w:cstheme="majorBidi"/>
        </w:rPr>
      </w:pPr>
      <w:r w:rsidRPr="00050DAE">
        <w:rPr>
          <w:rFonts w:asciiTheme="majorBidi" w:hAnsiTheme="majorBidi" w:cstheme="majorBidi"/>
          <w:noProof/>
        </w:rPr>
        <w:drawing>
          <wp:inline distT="0" distB="0" distL="0" distR="0" wp14:anchorId="749811EE" wp14:editId="05058673">
            <wp:extent cx="3603625" cy="1741714"/>
            <wp:effectExtent l="0" t="0" r="0" b="0"/>
            <wp:docPr id="1848557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57498" name="Picture 1848557498"/>
                    <pic:cNvPicPr/>
                  </pic:nvPicPr>
                  <pic:blipFill rotWithShape="1">
                    <a:blip r:embed="rId39" cstate="print">
                      <a:extLst>
                        <a:ext uri="{BEBA8EAE-BF5A-486C-A8C5-ECC9F3942E4B}">
                          <a14:imgProps xmlns:a14="http://schemas.microsoft.com/office/drawing/2010/main">
                            <a14:imgLayer r:embed="rId40">
                              <a14:imgEffect>
                                <a14:backgroundRemoval t="0" b="98851" l="156" r="99689">
                                  <a14:foregroundMark x1="4821" y1="90517" x2="15241" y2="89368"/>
                                  <a14:foregroundMark x1="15241" y1="89368" x2="67030" y2="95977"/>
                                  <a14:foregroundMark x1="67030" y1="95977" x2="92224" y2="94253"/>
                                  <a14:foregroundMark x1="92224" y1="94253" x2="95956" y2="66667"/>
                                  <a14:foregroundMark x1="95956" y1="66667" x2="93157" y2="9770"/>
                                  <a14:foregroundMark x1="2331" y1="1697" x2="2333" y2="575"/>
                                  <a14:foregroundMark x1="2211" y1="66404" x2="2318" y2="8899"/>
                                  <a14:foregroundMark x1="2196" y1="74903" x2="2198" y2="73756"/>
                                  <a14:foregroundMark x1="2192" y1="77129" x2="2195" y2="75321"/>
                                  <a14:foregroundMark x1="2182" y1="82388" x2="2187" y2="79777"/>
                                  <a14:foregroundMark x1="2177" y1="85345" x2="2180" y2="83757"/>
                                  <a14:foregroundMark x1="3273" y1="90563" x2="9953" y2="95977"/>
                                  <a14:foregroundMark x1="2972" y1="90319" x2="3070" y2="90398"/>
                                  <a14:foregroundMark x1="9953" y1="95977" x2="16019" y2="94253"/>
                                  <a14:foregroundMark x1="3730" y1="95473" x2="4821" y2="95977"/>
                                  <a14:foregroundMark x1="63919" y1="97414" x2="55365" y2="97126"/>
                                  <a14:foregroundMark x1="82271" y1="98563" x2="63919" y2="97989"/>
                                  <a14:foregroundMark x1="97512" y1="98851" x2="89425" y2="98276"/>
                                  <a14:foregroundMark x1="99689" y1="21264" x2="99222" y2="33908"/>
                                  <a14:foregroundMark x1="98756" y1="41379" x2="99067" y2="35920"/>
                                  <a14:foregroundMark x1="99844" y1="20977" x2="99844" y2="20977"/>
                                  <a14:foregroundMark x1="99378" y1="862" x2="99533" y2="862"/>
                                  <a14:foregroundMark x1="16019" y1="97414" x2="14308" y2="97126"/>
                                  <a14:foregroundMark x1="15241" y1="97989" x2="24417" y2="97701"/>
                                  <a14:foregroundMark x1="24417" y1="97701" x2="48212" y2="97989"/>
                                  <a14:foregroundMark x1="48212" y1="97989" x2="57854" y2="97701"/>
                                  <a14:foregroundMark x1="57854" y1="97701" x2="57854" y2="97414"/>
                                  <a14:foregroundMark x1="306" y1="62366" x2="311" y2="64368"/>
                                  <a14:foregroundMark x1="178" y1="9215" x2="306" y2="62279"/>
                                  <a14:foregroundMark x1="162" y1="2568" x2="175" y2="8138"/>
                                  <a14:foregroundMark x1="156" y1="0" x2="160" y2="1621"/>
                                  <a14:backgroundMark x1="99222" y1="34770" x2="99689" y2="19540"/>
                                  <a14:backgroundMark x1="99844" y1="26724" x2="99533" y2="33333"/>
                                  <a14:backgroundMark x1="99689" y1="39368" x2="99378" y2="35345"/>
                                  <a14:backgroundMark x1="12442" y1="3161" x2="12442" y2="3161"/>
                                  <a14:backgroundMark x1="11975" y1="5460" x2="32659" y2="5172"/>
                                  <a14:backgroundMark x1="32659" y1="5172" x2="51011" y2="7184"/>
                                  <a14:backgroundMark x1="51011" y1="7184" x2="70762" y2="6609"/>
                                  <a14:backgroundMark x1="78072" y1="9770" x2="93002" y2="3161"/>
                                  <a14:backgroundMark x1="9487" y1="6034" x2="1244" y2="5747"/>
                                  <a14:backgroundMark x1="311" y1="7471" x2="2333" y2="287"/>
                                  <a14:backgroundMark x1="933" y1="93391" x2="467" y2="68966"/>
                                  <a14:backgroundMark x1="1711" y1="88793" x2="0" y2="70402"/>
                                  <a14:backgroundMark x1="3110" y1="84770" x2="933" y2="69828"/>
                                  <a14:backgroundMark x1="3888" y1="73276" x2="311" y2="67241"/>
                                  <a14:backgroundMark x1="2644" y1="68103" x2="1400" y2="66667"/>
                                  <a14:backgroundMark x1="1711" y1="77874" x2="2177" y2="75000"/>
                                  <a14:backgroundMark x1="2177" y1="86782" x2="2022" y2="73563"/>
                                  <a14:backgroundMark x1="2488" y1="77299" x2="2644" y2="72414"/>
                                  <a14:backgroundMark x1="3110" y1="92816" x2="778" y2="88793"/>
                                  <a14:backgroundMark x1="1244" y1="92241" x2="2644" y2="89368"/>
                                  <a14:backgroundMark x1="1555" y1="93103" x2="2955" y2="90517"/>
                                  <a14:backgroundMark x1="2955" y1="70977" x2="2333" y2="73851"/>
                                  <a14:backgroundMark x1="2177" y1="99138" x2="311" y2="88218"/>
                                  <a14:backgroundMark x1="2022" y1="82759" x2="2488" y2="83046"/>
                                  <a14:backgroundMark x1="2177" y1="85632" x2="2177" y2="82759"/>
                                  <a14:backgroundMark x1="2488" y1="87069" x2="2333" y2="80747"/>
                                  <a14:backgroundMark x1="8554" y1="98276" x2="5910" y2="97989"/>
                                </a14:backgroundRemoval>
                              </a14:imgEffect>
                            </a14:imgLayer>
                          </a14:imgProps>
                        </a:ext>
                        <a:ext uri="{28A0092B-C50C-407E-A947-70E740481C1C}">
                          <a14:useLocalDpi xmlns:a14="http://schemas.microsoft.com/office/drawing/2010/main" val="0"/>
                        </a:ext>
                      </a:extLst>
                    </a:blip>
                    <a:srcRect t="9762" b="1172"/>
                    <a:stretch>
                      <a:fillRect/>
                    </a:stretch>
                  </pic:blipFill>
                  <pic:spPr bwMode="auto">
                    <a:xfrm>
                      <a:off x="0" y="0"/>
                      <a:ext cx="3632698" cy="1755766"/>
                    </a:xfrm>
                    <a:prstGeom prst="rect">
                      <a:avLst/>
                    </a:prstGeom>
                    <a:ln>
                      <a:noFill/>
                    </a:ln>
                    <a:extLst>
                      <a:ext uri="{53640926-AAD7-44D8-BBD7-CCE9431645EC}">
                        <a14:shadowObscured xmlns:a14="http://schemas.microsoft.com/office/drawing/2010/main"/>
                      </a:ext>
                    </a:extLst>
                  </pic:spPr>
                </pic:pic>
              </a:graphicData>
            </a:graphic>
          </wp:inline>
        </w:drawing>
      </w:r>
    </w:p>
    <w:p w14:paraId="018129B6" w14:textId="1E7873F6" w:rsidR="00E826C7" w:rsidRPr="00050DAE" w:rsidRDefault="00E826C7" w:rsidP="00E826C7">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002F398F" w:rsidRPr="00050DAE">
        <w:rPr>
          <w:rFonts w:asciiTheme="majorBidi" w:hAnsiTheme="majorBidi" w:cstheme="majorBidi"/>
          <w:color w:val="auto"/>
        </w:rPr>
        <w:fldChar w:fldCharType="begin"/>
      </w:r>
      <w:r w:rsidR="002F398F" w:rsidRPr="00050DAE">
        <w:rPr>
          <w:rFonts w:asciiTheme="majorBidi" w:hAnsiTheme="majorBidi" w:cstheme="majorBidi"/>
          <w:color w:val="auto"/>
        </w:rPr>
        <w:instrText xml:space="preserve"> SEQ Figure \* ARABIC </w:instrText>
      </w:r>
      <w:r w:rsidR="002F398F" w:rsidRPr="00050DAE">
        <w:rPr>
          <w:rFonts w:asciiTheme="majorBidi" w:hAnsiTheme="majorBidi" w:cstheme="majorBidi"/>
          <w:color w:val="auto"/>
        </w:rPr>
        <w:fldChar w:fldCharType="separate"/>
      </w:r>
      <w:r w:rsidR="009D2921">
        <w:rPr>
          <w:rFonts w:asciiTheme="majorBidi" w:hAnsiTheme="majorBidi" w:cstheme="majorBidi"/>
          <w:noProof/>
          <w:color w:val="auto"/>
        </w:rPr>
        <w:t>10</w:t>
      </w:r>
      <w:r w:rsidR="002F398F" w:rsidRPr="00050DAE">
        <w:rPr>
          <w:rFonts w:asciiTheme="majorBidi" w:hAnsiTheme="majorBidi" w:cstheme="majorBidi"/>
          <w:color w:val="auto"/>
        </w:rPr>
        <w:fldChar w:fldCharType="end"/>
      </w:r>
      <w:r w:rsidRPr="00050DAE">
        <w:rPr>
          <w:rFonts w:asciiTheme="majorBidi" w:hAnsiTheme="majorBidi" w:cstheme="majorBidi"/>
          <w:color w:val="auto"/>
        </w:rPr>
        <w:t xml:space="preserve"> </w:t>
      </w:r>
      <w:r w:rsidR="00322B7B" w:rsidRPr="00050DAE">
        <w:rPr>
          <w:rFonts w:asciiTheme="majorBidi" w:hAnsiTheme="majorBidi" w:cstheme="majorBidi"/>
          <w:color w:val="auto"/>
        </w:rPr>
        <w:t>Stela of the chief craftsman Qeh making offerings to the Egyptian goddess Anat (right)</w:t>
      </w:r>
      <w:r w:rsidRPr="00050DAE">
        <w:rPr>
          <w:rFonts w:asciiTheme="majorBidi" w:hAnsiTheme="majorBidi" w:cstheme="majorBidi"/>
          <w:color w:val="auto"/>
        </w:rPr>
        <w:t>.</w:t>
      </w:r>
      <w:r w:rsidRPr="00050DAE">
        <w:rPr>
          <w:rStyle w:val="FootnoteReference"/>
          <w:rFonts w:asciiTheme="majorBidi" w:hAnsiTheme="majorBidi" w:cstheme="majorBidi"/>
          <w:color w:val="auto"/>
        </w:rPr>
        <w:footnoteReference w:id="207"/>
      </w:r>
    </w:p>
    <w:p w14:paraId="62CE8106" w14:textId="77777777" w:rsidR="00E41C7D" w:rsidRPr="00050DAE" w:rsidRDefault="00E41C7D" w:rsidP="00A63B09">
      <w:pPr>
        <w:pStyle w:val="UWTSDindent"/>
        <w:ind w:firstLine="0"/>
      </w:pPr>
    </w:p>
    <w:p w14:paraId="33413991" w14:textId="28B4F8F1" w:rsidR="002D7E99" w:rsidRPr="00050DAE" w:rsidRDefault="002D7E99" w:rsidP="002D7E99">
      <w:pPr>
        <w:pStyle w:val="Heading2"/>
        <w:rPr>
          <w:rFonts w:asciiTheme="majorBidi" w:hAnsiTheme="majorBidi"/>
          <w:color w:val="auto"/>
        </w:rPr>
      </w:pPr>
      <w:bookmarkStart w:id="129" w:name="_Toc234140251"/>
      <w:bookmarkStart w:id="130" w:name="_Toc234140502"/>
      <w:bookmarkStart w:id="131" w:name="_Toc234143682"/>
      <w:bookmarkStart w:id="132" w:name="_Toc234154311"/>
      <w:r w:rsidRPr="00050DAE">
        <w:rPr>
          <w:rFonts w:asciiTheme="majorBidi" w:hAnsiTheme="majorBidi"/>
          <w:color w:val="auto"/>
        </w:rPr>
        <w:t xml:space="preserve">4.2 </w:t>
      </w:r>
      <w:r w:rsidR="00D16042" w:rsidRPr="00050DAE">
        <w:rPr>
          <w:rFonts w:asciiTheme="majorBidi" w:hAnsiTheme="majorBidi"/>
          <w:color w:val="auto"/>
        </w:rPr>
        <w:t xml:space="preserve">Select </w:t>
      </w:r>
      <w:r w:rsidRPr="00050DAE">
        <w:rPr>
          <w:rFonts w:asciiTheme="majorBidi" w:hAnsiTheme="majorBidi"/>
          <w:color w:val="auto"/>
        </w:rPr>
        <w:t>Corpus of Anat</w:t>
      </w:r>
      <w:bookmarkEnd w:id="129"/>
      <w:bookmarkEnd w:id="130"/>
      <w:bookmarkEnd w:id="131"/>
      <w:bookmarkEnd w:id="132"/>
    </w:p>
    <w:p w14:paraId="13C43765" w14:textId="4CCD2944" w:rsidR="002D7E99" w:rsidRPr="00050DAE" w:rsidRDefault="002D7E99" w:rsidP="002D7E99">
      <w:pPr>
        <w:pStyle w:val="Heading3"/>
        <w:rPr>
          <w:rFonts w:asciiTheme="majorBidi" w:hAnsiTheme="majorBidi"/>
          <w:i/>
          <w:iCs/>
          <w:color w:val="auto"/>
        </w:rPr>
      </w:pPr>
      <w:bookmarkStart w:id="133" w:name="_Toc234140252"/>
      <w:bookmarkStart w:id="134" w:name="_Toc234140503"/>
      <w:bookmarkStart w:id="135" w:name="_Toc234143683"/>
      <w:bookmarkStart w:id="136" w:name="_Toc234154312"/>
      <w:r w:rsidRPr="00050DAE">
        <w:rPr>
          <w:rFonts w:asciiTheme="majorBidi" w:hAnsiTheme="majorBidi"/>
          <w:i/>
          <w:iCs/>
          <w:color w:val="auto"/>
        </w:rPr>
        <w:t>Anat and Aqhat</w:t>
      </w:r>
      <w:bookmarkEnd w:id="133"/>
      <w:bookmarkEnd w:id="134"/>
      <w:bookmarkEnd w:id="135"/>
      <w:bookmarkEnd w:id="136"/>
    </w:p>
    <w:p w14:paraId="6D970A23" w14:textId="400A94A0" w:rsidR="004C22DE" w:rsidRPr="00050DAE" w:rsidRDefault="003D0C32" w:rsidP="004C22DE">
      <w:pPr>
        <w:pStyle w:val="UWTSDindent"/>
      </w:pPr>
      <w:r w:rsidRPr="00050DAE">
        <w:t xml:space="preserve">In the </w:t>
      </w:r>
      <w:r w:rsidRPr="00050DAE">
        <w:rPr>
          <w:i/>
          <w:iCs/>
        </w:rPr>
        <w:t>Aqhat</w:t>
      </w:r>
      <w:r w:rsidRPr="00050DAE">
        <w:t xml:space="preserve"> narrative, Anat desires Aqhat</w:t>
      </w:r>
      <w:r w:rsidR="008301DC" w:rsidRPr="00050DAE">
        <w:t>’</w:t>
      </w:r>
      <w:r w:rsidRPr="00050DAE">
        <w:t>s divinely crafted bow, but when he refuses her request and insults her, she arranges his death through the intermediary Yatpan. Aqhat</w:t>
      </w:r>
      <w:r w:rsidR="008301DC" w:rsidRPr="00050DAE">
        <w:t>’</w:t>
      </w:r>
      <w:r w:rsidRPr="00050DAE">
        <w:t>s death produces disorder and drought, while the bow itself is lost in the violence, denying Anat the object she sought.</w:t>
      </w:r>
      <w:r w:rsidRPr="00050DAE">
        <w:rPr>
          <w:vertAlign w:val="superscript"/>
        </w:rPr>
        <w:footnoteReference w:id="208"/>
      </w:r>
      <w:r w:rsidRPr="00050DAE">
        <w:t xml:space="preserve"> </w:t>
      </w:r>
      <w:r w:rsidR="00725797" w:rsidRPr="00050DAE">
        <w:t>Here, Anat</w:t>
      </w:r>
      <w:r w:rsidRPr="00050DAE">
        <w:t xml:space="preserve"> </w:t>
      </w:r>
      <w:r w:rsidR="0086562D" w:rsidRPr="00050DAE">
        <w:t>is</w:t>
      </w:r>
      <w:r w:rsidRPr="00050DAE">
        <w:t xml:space="preserve"> a volatile and transgressive divine force whose actions </w:t>
      </w:r>
      <w:r w:rsidR="00322B7B" w:rsidRPr="00050DAE">
        <w:t xml:space="preserve">destabilise </w:t>
      </w:r>
      <w:r w:rsidRPr="00050DAE">
        <w:t>both social and cosmic order.</w:t>
      </w:r>
    </w:p>
    <w:p w14:paraId="4094E1A0" w14:textId="1101FB5D" w:rsidR="003D0C32" w:rsidRPr="00050DAE" w:rsidRDefault="00322B7B" w:rsidP="00342174">
      <w:pPr>
        <w:pStyle w:val="UWTSDindent"/>
      </w:pPr>
      <w:r w:rsidRPr="00050DAE">
        <w:t>Independent of Baal</w:t>
      </w:r>
      <w:r w:rsidR="008301DC" w:rsidRPr="00050DAE">
        <w:t>’</w:t>
      </w:r>
      <w:r w:rsidRPr="00050DAE">
        <w:t>s influence, Anat</w:t>
      </w:r>
      <w:r w:rsidR="008301DC" w:rsidRPr="00050DAE">
        <w:t>’</w:t>
      </w:r>
      <w:r w:rsidRPr="00050DAE">
        <w:t xml:space="preserve">s actions in the </w:t>
      </w:r>
      <w:r w:rsidRPr="00050DAE">
        <w:rPr>
          <w:i/>
          <w:iCs/>
        </w:rPr>
        <w:t>Aqhat</w:t>
      </w:r>
      <w:r w:rsidRPr="00050DAE">
        <w:t xml:space="preserve"> tablets are marked by </w:t>
      </w:r>
      <w:r w:rsidR="002D2B4A" w:rsidRPr="00050DAE">
        <w:t xml:space="preserve">immediate confrontation and overwhelming force, </w:t>
      </w:r>
      <w:r w:rsidR="0058522B" w:rsidRPr="00050DAE">
        <w:t>driven more by violent reaction than by mediation</w:t>
      </w:r>
      <w:r w:rsidR="004C22DE" w:rsidRPr="00050DAE">
        <w:t>.</w:t>
      </w:r>
      <w:r w:rsidR="00342174" w:rsidRPr="00050DAE">
        <w:rPr>
          <w:rStyle w:val="FootnoteReference"/>
        </w:rPr>
        <w:footnoteReference w:id="209"/>
      </w:r>
      <w:r w:rsidR="003D0C32" w:rsidRPr="00050DAE">
        <w:t xml:space="preserve"> </w:t>
      </w:r>
      <w:r w:rsidR="002D2B4A" w:rsidRPr="00050DAE">
        <w:t>Her response to Aqhat</w:t>
      </w:r>
      <w:r w:rsidR="008301DC" w:rsidRPr="00050DAE">
        <w:t>’</w:t>
      </w:r>
      <w:r w:rsidR="002D2B4A" w:rsidRPr="00050DAE">
        <w:t>s refusal demonstrates a model of divine authority that operates through coercion and retaliation rather than mediation or negotiated settlement.</w:t>
      </w:r>
    </w:p>
    <w:p w14:paraId="28DDD3A0" w14:textId="7DDE8DF4" w:rsidR="001E2285" w:rsidRPr="00050DAE" w:rsidRDefault="001E2285" w:rsidP="00486702">
      <w:pPr>
        <w:pStyle w:val="Heading3"/>
        <w:rPr>
          <w:rFonts w:asciiTheme="majorBidi" w:hAnsiTheme="majorBidi"/>
          <w:color w:val="auto"/>
        </w:rPr>
      </w:pPr>
      <w:bookmarkStart w:id="137" w:name="_Toc234140253"/>
      <w:bookmarkStart w:id="138" w:name="_Toc234140504"/>
      <w:bookmarkStart w:id="139" w:name="_Toc234143684"/>
      <w:bookmarkStart w:id="140" w:name="_Toc234154313"/>
      <w:r w:rsidRPr="00050DAE">
        <w:rPr>
          <w:rFonts w:asciiTheme="majorBidi" w:hAnsiTheme="majorBidi"/>
          <w:i/>
          <w:iCs/>
          <w:color w:val="auto"/>
        </w:rPr>
        <w:t>Baal Cycle</w:t>
      </w:r>
      <w:r w:rsidR="00D2288D" w:rsidRPr="00050DAE">
        <w:rPr>
          <w:rFonts w:asciiTheme="majorBidi" w:hAnsiTheme="majorBidi"/>
          <w:color w:val="auto"/>
        </w:rPr>
        <w:t xml:space="preserve">, </w:t>
      </w:r>
      <w:r w:rsidR="00BD238B" w:rsidRPr="00050DAE">
        <w:rPr>
          <w:rFonts w:asciiTheme="majorBidi" w:hAnsiTheme="majorBidi"/>
          <w:color w:val="auto"/>
        </w:rPr>
        <w:t>part</w:t>
      </w:r>
      <w:r w:rsidR="00D2288D" w:rsidRPr="00050DAE">
        <w:rPr>
          <w:rFonts w:asciiTheme="majorBidi" w:hAnsiTheme="majorBidi"/>
          <w:color w:val="auto"/>
        </w:rPr>
        <w:t>s</w:t>
      </w:r>
      <w:r w:rsidR="00BD238B" w:rsidRPr="00050DAE">
        <w:rPr>
          <w:rFonts w:asciiTheme="majorBidi" w:hAnsiTheme="majorBidi"/>
          <w:color w:val="auto"/>
        </w:rPr>
        <w:t xml:space="preserve"> 1</w:t>
      </w:r>
      <w:r w:rsidR="00190F4D" w:rsidRPr="00050DAE">
        <w:rPr>
          <w:rFonts w:asciiTheme="majorBidi" w:hAnsiTheme="majorBidi"/>
          <w:color w:val="auto"/>
        </w:rPr>
        <w:t xml:space="preserve"> </w:t>
      </w:r>
      <w:r w:rsidR="004428D2" w:rsidRPr="00050DAE">
        <w:rPr>
          <w:rFonts w:asciiTheme="majorBidi" w:hAnsiTheme="majorBidi"/>
          <w:color w:val="auto"/>
        </w:rPr>
        <w:t>and</w:t>
      </w:r>
      <w:r w:rsidR="00BD238B" w:rsidRPr="00050DAE">
        <w:rPr>
          <w:rFonts w:asciiTheme="majorBidi" w:hAnsiTheme="majorBidi"/>
          <w:color w:val="auto"/>
        </w:rPr>
        <w:t xml:space="preserve"> 2</w:t>
      </w:r>
      <w:r w:rsidRPr="00050DAE">
        <w:rPr>
          <w:rFonts w:asciiTheme="majorBidi" w:hAnsiTheme="majorBidi"/>
          <w:color w:val="auto"/>
        </w:rPr>
        <w:t xml:space="preserve"> (KTU 1.1–1.</w:t>
      </w:r>
      <w:r w:rsidR="00D16042" w:rsidRPr="00050DAE">
        <w:rPr>
          <w:rFonts w:asciiTheme="majorBidi" w:hAnsiTheme="majorBidi"/>
          <w:color w:val="auto"/>
        </w:rPr>
        <w:t>4</w:t>
      </w:r>
      <w:r w:rsidRPr="00050DAE">
        <w:rPr>
          <w:rFonts w:asciiTheme="majorBidi" w:hAnsiTheme="majorBidi"/>
          <w:color w:val="auto"/>
        </w:rPr>
        <w:t>)</w:t>
      </w:r>
      <w:bookmarkEnd w:id="137"/>
      <w:bookmarkEnd w:id="138"/>
      <w:bookmarkEnd w:id="139"/>
      <w:bookmarkEnd w:id="140"/>
    </w:p>
    <w:p w14:paraId="0DB69557" w14:textId="7E406118" w:rsidR="0067071B" w:rsidRPr="00050DAE" w:rsidRDefault="0067071B" w:rsidP="0067071B">
      <w:pPr>
        <w:pStyle w:val="UWTSDindent"/>
      </w:pPr>
      <w:r w:rsidRPr="00050DAE">
        <w:t xml:space="preserve">The </w:t>
      </w:r>
      <w:r w:rsidRPr="00050DAE">
        <w:rPr>
          <w:i/>
          <w:iCs/>
        </w:rPr>
        <w:t>Baal Cycle</w:t>
      </w:r>
      <w:r w:rsidRPr="00050DAE">
        <w:t xml:space="preserve"> presents a tripartite structure of conflict, kingship, and death, but its primary significance </w:t>
      </w:r>
      <w:r w:rsidR="004315EB" w:rsidRPr="00050DAE">
        <w:t>rests</w:t>
      </w:r>
      <w:r w:rsidRPr="00050DAE">
        <w:t xml:space="preserve"> in how these movements collectively prepare for Baal</w:t>
      </w:r>
      <w:r w:rsidR="008301DC" w:rsidRPr="00050DAE">
        <w:t>’</w:t>
      </w:r>
      <w:r w:rsidRPr="00050DAE">
        <w:t>s confrontation with the underworld.</w:t>
      </w:r>
      <w:r w:rsidRPr="00050DAE">
        <w:rPr>
          <w:vertAlign w:val="superscript"/>
        </w:rPr>
        <w:footnoteReference w:id="210"/>
      </w:r>
      <w:r w:rsidRPr="00050DAE">
        <w:t xml:space="preserve"> In the first</w:t>
      </w:r>
      <w:r w:rsidR="00342174" w:rsidRPr="00050DAE">
        <w:t xml:space="preserve"> movement</w:t>
      </w:r>
      <w:r w:rsidRPr="00050DAE">
        <w:t>, Baal defeats Yamm, the embodiment of chaos and the sea, securing an initial claim to sovereignty.</w:t>
      </w:r>
      <w:r w:rsidRPr="00050DAE">
        <w:rPr>
          <w:rStyle w:val="FootnoteReference"/>
        </w:rPr>
        <w:footnoteReference w:id="211"/>
      </w:r>
      <w:r w:rsidRPr="00050DAE">
        <w:t xml:space="preserve"> In the second, Baal constructs his palace on Mount Ṣapān, transforming military victory into institutional kingship through divine negotiation.</w:t>
      </w:r>
      <w:r w:rsidR="00A67601" w:rsidRPr="00050DAE">
        <w:rPr>
          <w:rStyle w:val="FootnoteReference"/>
        </w:rPr>
        <w:footnoteReference w:id="212"/>
      </w:r>
      <w:r w:rsidRPr="00050DAE">
        <w:t xml:space="preserve"> </w:t>
      </w:r>
    </w:p>
    <w:p w14:paraId="22624FB8" w14:textId="590A2984" w:rsidR="00D16042" w:rsidRPr="00050DAE" w:rsidRDefault="0067071B" w:rsidP="00935C9F">
      <w:pPr>
        <w:pStyle w:val="UWTSDindent"/>
      </w:pPr>
      <w:r w:rsidRPr="00050DAE">
        <w:t xml:space="preserve">Across these movements, Anat functions as one of the central </w:t>
      </w:r>
      <w:r w:rsidR="00CA6EFE" w:rsidRPr="00050DAE">
        <w:t>figures</w:t>
      </w:r>
      <w:r w:rsidRPr="00050DAE">
        <w:t xml:space="preserve"> within </w:t>
      </w:r>
      <w:r w:rsidR="00725797" w:rsidRPr="00050DAE">
        <w:t>Ugaritic</w:t>
      </w:r>
      <w:r w:rsidRPr="00050DAE">
        <w:t xml:space="preserve"> </w:t>
      </w:r>
      <w:r w:rsidR="00985222" w:rsidRPr="00050DAE">
        <w:t>cosmology</w:t>
      </w:r>
      <w:r w:rsidRPr="00050DAE">
        <w:t xml:space="preserve">, embodying both the power necessary to sustain order and the instability that threatens it. </w:t>
      </w:r>
      <w:r w:rsidR="00093263" w:rsidRPr="00050DAE">
        <w:t>In the conflict with Yamm, she operates as the violent extension of Baal</w:t>
      </w:r>
      <w:r w:rsidR="008301DC" w:rsidRPr="00050DAE">
        <w:t>’</w:t>
      </w:r>
      <w:r w:rsidR="00093263" w:rsidRPr="00050DAE">
        <w:t xml:space="preserve">s sovereignty, demonstrating that kingship in Ugarit depends upon continual enforcement and cannot rest securely upon divine decree alone. </w:t>
      </w:r>
      <w:r w:rsidRPr="00050DAE">
        <w:t>During the palace episode, her inability to secure Baal</w:t>
      </w:r>
      <w:r w:rsidR="008301DC" w:rsidRPr="00050DAE">
        <w:t>’</w:t>
      </w:r>
      <w:r w:rsidRPr="00050DAE">
        <w:t xml:space="preserve">s position through force alone </w:t>
      </w:r>
      <w:r w:rsidR="002F71FD" w:rsidRPr="00050DAE">
        <w:t>exposes</w:t>
      </w:r>
      <w:r w:rsidRPr="00050DAE">
        <w:t xml:space="preserve"> the limitations of violence when detached from institutional legitimacy and mediation.</w:t>
      </w:r>
      <w:r w:rsidR="003D0C32" w:rsidRPr="00050DAE">
        <w:rPr>
          <w:vertAlign w:val="superscript"/>
        </w:rPr>
        <w:footnoteReference w:id="213"/>
      </w:r>
      <w:r w:rsidR="00D16042" w:rsidRPr="00050DAE">
        <w:t xml:space="preserve"> </w:t>
      </w:r>
      <w:r w:rsidR="00190F4D" w:rsidRPr="00050DAE">
        <w:t>I</w:t>
      </w:r>
      <w:r w:rsidR="00D16042" w:rsidRPr="00050DAE">
        <w:t>n the final movement, Baal is overcome by Mot, the embodiment of death, producing cosmic sterility until Anat attacks Mot and Baal is restored, though death itself remains unconquered.</w:t>
      </w:r>
    </w:p>
    <w:p w14:paraId="1A19ED9B" w14:textId="77777777" w:rsidR="00D16042" w:rsidRPr="00050DAE" w:rsidRDefault="00FB741B" w:rsidP="00D16042">
      <w:pPr>
        <w:pStyle w:val="Heading2"/>
        <w:rPr>
          <w:rFonts w:asciiTheme="majorBidi" w:hAnsiTheme="majorBidi"/>
          <w:color w:val="auto"/>
        </w:rPr>
      </w:pPr>
      <w:bookmarkStart w:id="141" w:name="_Toc234140254"/>
      <w:bookmarkStart w:id="142" w:name="_Toc234140505"/>
      <w:bookmarkStart w:id="143" w:name="_Toc234143685"/>
      <w:bookmarkStart w:id="144" w:name="_Toc234154314"/>
      <w:r w:rsidRPr="00050DAE">
        <w:rPr>
          <w:rFonts w:asciiTheme="majorBidi" w:hAnsiTheme="majorBidi"/>
          <w:color w:val="auto"/>
        </w:rPr>
        <w:t xml:space="preserve">4.3 </w:t>
      </w:r>
      <w:r w:rsidR="00D16042" w:rsidRPr="00050DAE">
        <w:rPr>
          <w:rFonts w:asciiTheme="majorBidi" w:hAnsiTheme="majorBidi"/>
          <w:color w:val="auto"/>
        </w:rPr>
        <w:t>Anat, Death, Descent and Substitution</w:t>
      </w:r>
      <w:bookmarkEnd w:id="141"/>
      <w:bookmarkEnd w:id="142"/>
      <w:bookmarkEnd w:id="143"/>
      <w:bookmarkEnd w:id="144"/>
    </w:p>
    <w:p w14:paraId="1B1EFA8E" w14:textId="1E532F63" w:rsidR="002C4D99" w:rsidRPr="00050DAE" w:rsidRDefault="00190F4D" w:rsidP="007E1109">
      <w:pPr>
        <w:pStyle w:val="UWTSDindent"/>
      </w:pPr>
      <w:r w:rsidRPr="00050DAE">
        <w:t xml:space="preserve">The third act of the </w:t>
      </w:r>
      <w:r w:rsidRPr="00050DAE">
        <w:rPr>
          <w:i/>
          <w:iCs/>
        </w:rPr>
        <w:t>Baal Cycle</w:t>
      </w:r>
      <w:r w:rsidRPr="00050DAE">
        <w:t xml:space="preserve"> presents a uniquely Ugaritic version of descent in which death, embodied as Mot, is not governed by </w:t>
      </w:r>
      <w:r w:rsidR="007E1109" w:rsidRPr="00050DAE">
        <w:t>the same kind of binding law seen in Mesopotamia</w:t>
      </w:r>
      <w:r w:rsidR="007B44B9" w:rsidRPr="00050DAE">
        <w:t xml:space="preserve">. </w:t>
      </w:r>
      <w:r w:rsidR="00C11B40" w:rsidRPr="00050DAE">
        <w:t>T</w:t>
      </w:r>
      <w:r w:rsidR="007B44B9" w:rsidRPr="00050DAE">
        <w:t>h</w:t>
      </w:r>
      <w:r w:rsidR="00C11B40" w:rsidRPr="00050DAE">
        <w:t>is</w:t>
      </w:r>
      <w:r w:rsidR="007B44B9" w:rsidRPr="00050DAE">
        <w:t xml:space="preserve"> </w:t>
      </w:r>
      <w:r w:rsidR="00C11B40" w:rsidRPr="00050DAE">
        <w:t>expression</w:t>
      </w:r>
      <w:r w:rsidR="007B44B9" w:rsidRPr="00050DAE">
        <w:t xml:space="preserve"> of death is physical</w:t>
      </w:r>
      <w:r w:rsidR="00C11B40" w:rsidRPr="00050DAE">
        <w:t>, allowing it to</w:t>
      </w:r>
      <w:r w:rsidR="007B44B9" w:rsidRPr="00050DAE">
        <w:t xml:space="preserve"> be</w:t>
      </w:r>
      <w:r w:rsidR="002C4D99" w:rsidRPr="00050DAE">
        <w:t xml:space="preserve"> confronted </w:t>
      </w:r>
      <w:r w:rsidR="007B44B9" w:rsidRPr="00050DAE">
        <w:t xml:space="preserve">directly </w:t>
      </w:r>
      <w:r w:rsidR="00C11B40" w:rsidRPr="00050DAE">
        <w:t>by</w:t>
      </w:r>
      <w:r w:rsidR="002C4D99" w:rsidRPr="00050DAE">
        <w:t xml:space="preserve"> force. </w:t>
      </w:r>
      <w:r w:rsidR="008D22CD" w:rsidRPr="00050DAE">
        <w:t xml:space="preserve">In the </w:t>
      </w:r>
      <w:r w:rsidR="008D22CD" w:rsidRPr="00050DAE">
        <w:rPr>
          <w:i/>
          <w:iCs/>
        </w:rPr>
        <w:t>Baal Cycle</w:t>
      </w:r>
      <w:r w:rsidR="008D22CD" w:rsidRPr="00050DAE">
        <w:t>, multiple deities participate in the descent narrative.</w:t>
      </w:r>
      <w:r w:rsidR="00C915B3" w:rsidRPr="00050DAE">
        <w:t xml:space="preserve"> </w:t>
      </w:r>
      <w:r w:rsidR="002C4D99" w:rsidRPr="00050DAE">
        <w:t xml:space="preserve">Baal descends </w:t>
      </w:r>
      <w:r w:rsidR="00CA6EFE" w:rsidRPr="00050DAE">
        <w:t>to face death</w:t>
      </w:r>
      <w:r w:rsidR="00C915B3" w:rsidRPr="00050DAE">
        <w:t>, leaving</w:t>
      </w:r>
      <w:r w:rsidR="002C4D99" w:rsidRPr="00050DAE">
        <w:t xml:space="preserve"> Anat </w:t>
      </w:r>
      <w:r w:rsidR="00CA6EFE" w:rsidRPr="00050DAE">
        <w:t>to search for him and reverse</w:t>
      </w:r>
      <w:r w:rsidR="002C4D99" w:rsidRPr="00050DAE">
        <w:t xml:space="preserve"> </w:t>
      </w:r>
      <w:r w:rsidRPr="00050DAE">
        <w:t>the consequences of his descent</w:t>
      </w:r>
      <w:r w:rsidR="002C4D99" w:rsidRPr="00050DAE">
        <w:t>.</w:t>
      </w:r>
      <w:r w:rsidR="002C4D99" w:rsidRPr="00050DAE">
        <w:rPr>
          <w:vertAlign w:val="superscript"/>
        </w:rPr>
        <w:footnoteReference w:id="214"/>
      </w:r>
      <w:r w:rsidR="002C4D99" w:rsidRPr="00050DAE">
        <w:t xml:space="preserve"> Baal boasts to Mot, </w:t>
      </w:r>
      <w:r w:rsidR="008301DC" w:rsidRPr="00050DAE">
        <w:t>“</w:t>
      </w:r>
      <w:r w:rsidR="002C4D99" w:rsidRPr="00050DAE">
        <w:t>It is I alone who reign over the gods.</w:t>
      </w:r>
      <w:r w:rsidR="008301DC" w:rsidRPr="00050DAE">
        <w:t>”</w:t>
      </w:r>
      <w:r w:rsidR="002C4D99" w:rsidRPr="00050DAE">
        <w:rPr>
          <w:vertAlign w:val="superscript"/>
        </w:rPr>
        <w:footnoteReference w:id="215"/>
      </w:r>
      <w:r w:rsidR="00DB0939" w:rsidRPr="00050DAE">
        <w:t xml:space="preserve"> </w:t>
      </w:r>
      <w:r w:rsidR="00463762" w:rsidRPr="00050DAE">
        <w:t>Even though</w:t>
      </w:r>
      <w:r w:rsidR="002C4D99" w:rsidRPr="00050DAE">
        <w:t xml:space="preserve"> parallels exist between </w:t>
      </w:r>
      <w:r w:rsidR="00F7743C" w:rsidRPr="00050DAE">
        <w:rPr>
          <w:i/>
          <w:iCs/>
        </w:rPr>
        <w:t>Ina</w:t>
      </w:r>
      <w:r w:rsidR="00E844B5" w:rsidRPr="00050DAE">
        <w:rPr>
          <w:i/>
          <w:iCs/>
        </w:rPr>
        <w:t>n</w:t>
      </w:r>
      <w:r w:rsidR="00F7743C" w:rsidRPr="00050DAE">
        <w:rPr>
          <w:i/>
          <w:iCs/>
        </w:rPr>
        <w:t>na</w:t>
      </w:r>
      <w:r w:rsidR="008301DC" w:rsidRPr="00050DAE">
        <w:rPr>
          <w:i/>
          <w:iCs/>
        </w:rPr>
        <w:t>’</w:t>
      </w:r>
      <w:r w:rsidR="00F7743C" w:rsidRPr="00050DAE">
        <w:rPr>
          <w:i/>
          <w:iCs/>
        </w:rPr>
        <w:t>s Descent</w:t>
      </w:r>
      <w:r w:rsidR="002C4D99" w:rsidRPr="00050DAE">
        <w:t xml:space="preserve"> and the </w:t>
      </w:r>
      <w:r w:rsidR="002C4D99" w:rsidRPr="00050DAE">
        <w:rPr>
          <w:i/>
          <w:iCs/>
        </w:rPr>
        <w:t>Baal Cycle</w:t>
      </w:r>
      <w:r w:rsidR="002C4D99" w:rsidRPr="00050DAE">
        <w:t>, the latter adapts shared elements into a distinct narrative of the confrontation with Mot.</w:t>
      </w:r>
      <w:r w:rsidR="002C4D99" w:rsidRPr="00050DAE">
        <w:rPr>
          <w:rStyle w:val="FootnoteReference"/>
        </w:rPr>
        <w:t xml:space="preserve"> </w:t>
      </w:r>
      <w:r w:rsidR="002C4D99" w:rsidRPr="00050DAE">
        <w:rPr>
          <w:rStyle w:val="FootnoteReference"/>
        </w:rPr>
        <w:footnoteReference w:id="216"/>
      </w:r>
    </w:p>
    <w:p w14:paraId="0AE50AA5" w14:textId="57EF74FF" w:rsidR="00D165FA" w:rsidRPr="00050DAE" w:rsidRDefault="00CA6EFE" w:rsidP="00EF11BE">
      <w:pPr>
        <w:pStyle w:val="UWTSDindent"/>
      </w:pPr>
      <w:r w:rsidRPr="00050DAE">
        <w:t>The Baal-Mot narrative presents the underworld as a concrete, spatially defined domain ruled by Mot, whose identity is bound to consumption and death.</w:t>
      </w:r>
      <w:r w:rsidR="00D165FA" w:rsidRPr="00050DAE">
        <w:rPr>
          <w:rStyle w:val="FootnoteReference"/>
        </w:rPr>
        <w:footnoteReference w:id="217"/>
      </w:r>
      <w:r w:rsidRPr="00050DAE">
        <w:t xml:space="preserve"> Mot</w:t>
      </w:r>
      <w:r w:rsidR="008301DC" w:rsidRPr="00050DAE">
        <w:t>’</w:t>
      </w:r>
      <w:r w:rsidRPr="00050DAE">
        <w:t xml:space="preserve">s realm is described as </w:t>
      </w:r>
      <w:r w:rsidR="008301DC" w:rsidRPr="00050DAE">
        <w:t>“</w:t>
      </w:r>
      <w:r w:rsidRPr="00050DAE">
        <w:t>his city Muddy, a pit the seat of [his] enthronement, a crevice the land of his inheritance,</w:t>
      </w:r>
      <w:r w:rsidR="008301DC" w:rsidRPr="00050DAE">
        <w:t>”</w:t>
      </w:r>
      <w:r w:rsidRPr="00050DAE">
        <w:t xml:space="preserve"> situating the underworld beneath the earth as a </w:t>
      </w:r>
      <w:r w:rsidR="009D60EB" w:rsidRPr="00050DAE">
        <w:t>defined</w:t>
      </w:r>
      <w:r w:rsidRPr="00050DAE">
        <w:t xml:space="preserve"> sovereign domain.</w:t>
      </w:r>
      <w:r w:rsidRPr="00050DAE">
        <w:rPr>
          <w:rStyle w:val="FootnoteReference"/>
        </w:rPr>
        <w:footnoteReference w:id="218"/>
      </w:r>
      <w:r w:rsidRPr="00050DAE">
        <w:t xml:space="preserve"> </w:t>
      </w:r>
      <w:r w:rsidR="00D165FA" w:rsidRPr="00050DAE">
        <w:t>The Ugaritic underworld was conceived as an active social realm inhabited by the Rapiuma (Rephaim), ancestral royal dead who travel, feast, receive invitations from El, and participate in ritual banquets. Rather than depicting the dead as passive occupants of a static realm, the text portrays an organi</w:t>
      </w:r>
      <w:r w:rsidR="007D6735" w:rsidRPr="00050DAE">
        <w:t>s</w:t>
      </w:r>
      <w:r w:rsidR="00D165FA" w:rsidRPr="00050DAE">
        <w:t>ed community integrated into divine and cultic life.</w:t>
      </w:r>
      <w:r w:rsidR="00D165FA" w:rsidRPr="00050DAE">
        <w:rPr>
          <w:rStyle w:val="FootnoteReference"/>
        </w:rPr>
        <w:footnoteReference w:id="219"/>
      </w:r>
      <w:r w:rsidR="00D165FA" w:rsidRPr="00050DAE">
        <w:t xml:space="preserve"> This contrasts with the more juridically constrained Mesopotamian Netherworld and supports the broader Ugaritic tendency to treat death as a dynamic cosmic force rather than a closed administrative system.</w:t>
      </w:r>
    </w:p>
    <w:p w14:paraId="1CB9F128" w14:textId="15B2CEF2" w:rsidR="001E2285" w:rsidRPr="00050DAE" w:rsidRDefault="00CA6EFE" w:rsidP="00EF11BE">
      <w:pPr>
        <w:pStyle w:val="UWTSDindent"/>
      </w:pPr>
      <w:r w:rsidRPr="00050DAE">
        <w:t xml:space="preserve">Mot commands Baal directly to </w:t>
      </w:r>
      <w:r w:rsidR="008301DC" w:rsidRPr="00050DAE">
        <w:t>“</w:t>
      </w:r>
      <w:r w:rsidRPr="00050DAE">
        <w:t>set your face towards the mountain of my gullet… and go down into the house of the couch of the earth, be numbered among those who go down into the earth,</w:t>
      </w:r>
      <w:r w:rsidR="008301DC" w:rsidRPr="00050DAE">
        <w:t>”</w:t>
      </w:r>
      <w:r w:rsidRPr="00050DAE">
        <w:t xml:space="preserve"> language that </w:t>
      </w:r>
      <w:r w:rsidR="00C020C4" w:rsidRPr="00050DAE">
        <w:t>emphasise</w:t>
      </w:r>
      <w:r w:rsidRPr="00050DAE">
        <w:t>s both movement and ontological transformation.</w:t>
      </w:r>
      <w:r w:rsidRPr="00050DAE">
        <w:rPr>
          <w:rStyle w:val="FootnoteReference"/>
        </w:rPr>
        <w:footnoteReference w:id="220"/>
      </w:r>
      <w:r w:rsidRPr="00050DAE">
        <w:t xml:space="preserve"> To </w:t>
      </w:r>
      <w:r w:rsidR="008301DC" w:rsidRPr="00050DAE">
        <w:t>“</w:t>
      </w:r>
      <w:r w:rsidRPr="00050DAE">
        <w:t>go down</w:t>
      </w:r>
      <w:r w:rsidR="008301DC" w:rsidRPr="00050DAE">
        <w:t>”</w:t>
      </w:r>
      <w:r w:rsidRPr="00050DAE">
        <w:t xml:space="preserve"> is not merely to travel but to join the category of the dead, marking Baal</w:t>
      </w:r>
      <w:r w:rsidR="008301DC" w:rsidRPr="00050DAE">
        <w:t>’</w:t>
      </w:r>
      <w:r w:rsidRPr="00050DAE">
        <w:t>s transition from divine king to underworld victim.</w:t>
      </w:r>
    </w:p>
    <w:p w14:paraId="7E377749" w14:textId="77777777" w:rsidR="006B4A89" w:rsidRPr="00050DAE" w:rsidRDefault="006B4A89" w:rsidP="006B4A89">
      <w:pPr>
        <w:keepNext/>
        <w:jc w:val="center"/>
        <w:rPr>
          <w:rFonts w:asciiTheme="majorBidi" w:hAnsiTheme="majorBidi" w:cstheme="majorBidi"/>
        </w:rPr>
      </w:pPr>
      <w:r w:rsidRPr="00050DAE">
        <w:rPr>
          <w:rFonts w:asciiTheme="majorBidi" w:hAnsiTheme="majorBidi" w:cstheme="majorBidi"/>
          <w:noProof/>
        </w:rPr>
        <w:drawing>
          <wp:inline distT="0" distB="0" distL="0" distR="0" wp14:anchorId="56E1FE5E" wp14:editId="376F2FDC">
            <wp:extent cx="4461612" cy="1824355"/>
            <wp:effectExtent l="0" t="0" r="0" b="4445"/>
            <wp:docPr id="5498935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93591" name="Picture 549893591"/>
                    <pic:cNvPicPr/>
                  </pic:nvPicPr>
                  <pic:blipFill rotWithShape="1">
                    <a:blip r:embed="rId41" cstate="print">
                      <a:extLst>
                        <a:ext uri="{BEBA8EAE-BF5A-486C-A8C5-ECC9F3942E4B}">
                          <a14:imgProps xmlns:a14="http://schemas.microsoft.com/office/drawing/2010/main">
                            <a14:imgLayer r:embed="rId42">
                              <a14:imgEffect>
                                <a14:backgroundRemoval t="0" b="100000" l="0" r="98997">
                                  <a14:foregroundMark x1="81313" y1="9670" x2="91158" y2="41758"/>
                                  <a14:foregroundMark x1="91158" y1="41758" x2="97903" y2="92747"/>
                                  <a14:foregroundMark x1="82224" y1="6813" x2="93254" y2="7033"/>
                                  <a14:foregroundMark x1="93254" y1="7033" x2="95169" y2="6374"/>
                                  <a14:foregroundMark x1="95169" y1="76264" x2="94986" y2="46154"/>
                                  <a14:foregroundMark x1="94986" y1="46154" x2="94439" y2="44176"/>
                                  <a14:foregroundMark x1="94166" y1="95385" x2="82771" y2="94725"/>
                                  <a14:foregroundMark x1="82771" y1="94725" x2="79854" y2="66813"/>
                                  <a14:foregroundMark x1="79854" y1="66813" x2="80310" y2="35165"/>
                                  <a14:foregroundMark x1="80310" y1="35165" x2="79398" y2="27912"/>
                                  <a14:foregroundMark x1="95716" y1="76044" x2="95989" y2="51429"/>
                                  <a14:foregroundMark x1="68186" y1="27692" x2="68186" y2="23077"/>
                                  <a14:foregroundMark x1="97174" y1="47692" x2="93528" y2="20879"/>
                                  <a14:foregroundMark x1="93528" y1="20879" x2="91158" y2="14725"/>
                                  <a14:foregroundMark x1="98724" y1="19780" x2="98997" y2="13846"/>
                                  <a14:foregroundMark x1="85141" y1="6374" x2="95716" y2="6813"/>
                                  <a14:foregroundMark x1="93163" y1="94725" x2="84047" y2="95385"/>
                                  <a14:foregroundMark x1="88626" y1="96080" x2="82954" y2="94725"/>
                                  <a14:foregroundMark x1="84490" y1="96160" x2="91887" y2="95385"/>
                                  <a14:backgroundMark x1="68733" y1="29451" x2="69006" y2="16264"/>
                                  <a14:backgroundMark x1="95077" y1="99121" x2="83683" y2="99341"/>
                                </a14:backgroundRemoval>
                              </a14:imgEffect>
                            </a14:imgLayer>
                          </a14:imgProps>
                        </a:ext>
                        <a:ext uri="{28A0092B-C50C-407E-A947-70E740481C1C}">
                          <a14:useLocalDpi xmlns:a14="http://schemas.microsoft.com/office/drawing/2010/main" val="0"/>
                        </a:ext>
                      </a:extLst>
                    </a:blip>
                    <a:srcRect l="880" t="1696" r="1248" b="1862"/>
                    <a:stretch>
                      <a:fillRect/>
                    </a:stretch>
                  </pic:blipFill>
                  <pic:spPr bwMode="auto">
                    <a:xfrm>
                      <a:off x="0" y="0"/>
                      <a:ext cx="4466168" cy="1826218"/>
                    </a:xfrm>
                    <a:prstGeom prst="rect">
                      <a:avLst/>
                    </a:prstGeom>
                    <a:ln>
                      <a:noFill/>
                    </a:ln>
                    <a:extLst>
                      <a:ext uri="{53640926-AAD7-44D8-BBD7-CCE9431645EC}">
                        <a14:shadowObscured xmlns:a14="http://schemas.microsoft.com/office/drawing/2010/main"/>
                      </a:ext>
                    </a:extLst>
                  </pic:spPr>
                </pic:pic>
              </a:graphicData>
            </a:graphic>
          </wp:inline>
        </w:drawing>
      </w:r>
    </w:p>
    <w:p w14:paraId="30E83264" w14:textId="03EA457F" w:rsidR="006B4A89" w:rsidRPr="00050DAE" w:rsidRDefault="006B4A89" w:rsidP="00EF46CC">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11</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w:t>
      </w:r>
      <w:r w:rsidR="00EF46CC" w:rsidRPr="00050DAE">
        <w:rPr>
          <w:rFonts w:asciiTheme="majorBidi" w:hAnsiTheme="majorBidi" w:cstheme="majorBidi"/>
          <w:color w:val="auto"/>
        </w:rPr>
        <w:t>Steel-grey hematite cylinder seal possibly depicting Baal Haddad (or another storm deity) standing on two mountains interpreted as the entrance to the underworld, approached by a winged goddess, possibly Anat</w:t>
      </w:r>
      <w:r w:rsidRPr="00050DAE">
        <w:rPr>
          <w:rFonts w:asciiTheme="majorBidi" w:hAnsiTheme="majorBidi" w:cstheme="majorBidi"/>
          <w:color w:val="auto"/>
        </w:rPr>
        <w:t>.</w:t>
      </w:r>
      <w:r w:rsidRPr="00050DAE">
        <w:rPr>
          <w:rStyle w:val="FootnoteReference"/>
          <w:rFonts w:asciiTheme="majorBidi" w:hAnsiTheme="majorBidi" w:cstheme="majorBidi"/>
          <w:color w:val="auto"/>
        </w:rPr>
        <w:footnoteReference w:id="221"/>
      </w:r>
    </w:p>
    <w:p w14:paraId="17D5C396" w14:textId="226277AA" w:rsidR="001E2285" w:rsidRPr="00050DAE" w:rsidRDefault="001E2285" w:rsidP="00956DA5">
      <w:pPr>
        <w:pStyle w:val="UWTSDindent"/>
      </w:pPr>
      <w:r w:rsidRPr="00050DAE">
        <w:t>Following Baal</w:t>
      </w:r>
      <w:r w:rsidR="008301DC" w:rsidRPr="00050DAE">
        <w:t>’</w:t>
      </w:r>
      <w:r w:rsidRPr="00050DAE">
        <w:t xml:space="preserve">s disappearance, Anat becomes the central actor, combining mourning, search, and recovery. Her </w:t>
      </w:r>
      <w:r w:rsidR="00BC7EF5" w:rsidRPr="00050DAE">
        <w:t>pursuit</w:t>
      </w:r>
      <w:r w:rsidRPr="00050DAE">
        <w:t xml:space="preserve"> traces the boundary of the descent, as she </w:t>
      </w:r>
      <w:r w:rsidR="008301DC" w:rsidRPr="00050DAE">
        <w:t>“</w:t>
      </w:r>
      <w:r w:rsidRPr="00050DAE">
        <w:t>searched every mountain…</w:t>
      </w:r>
      <w:r w:rsidR="008301DC" w:rsidRPr="00050DAE">
        <w:t>”</w:t>
      </w:r>
      <w:r w:rsidRPr="00050DAE">
        <w:rPr>
          <w:rStyle w:val="FootnoteReference"/>
        </w:rPr>
        <w:footnoteReference w:id="222"/>
      </w:r>
      <w:r w:rsidRPr="00050DAE">
        <w:t xml:space="preserve"> This </w:t>
      </w:r>
      <w:r w:rsidR="008301DC" w:rsidRPr="00050DAE">
        <w:t>“</w:t>
      </w:r>
      <w:r w:rsidRPr="00050DAE">
        <w:t>shore of death</w:t>
      </w:r>
      <w:r w:rsidR="008301DC" w:rsidRPr="00050DAE">
        <w:t>”</w:t>
      </w:r>
      <w:r w:rsidRPr="00050DAE">
        <w:t xml:space="preserve"> functions as a threshold zone between the living world and the underworld proper. </w:t>
      </w:r>
      <w:r w:rsidR="007E20FA" w:rsidRPr="00050DAE">
        <w:t>Comparable patterns of mourning and recovery appear here, echoing</w:t>
      </w:r>
      <w:r w:rsidR="00956DA5" w:rsidRPr="00050DAE">
        <w:t xml:space="preserve"> </w:t>
      </w:r>
      <w:r w:rsidR="00752FAC" w:rsidRPr="00050DAE">
        <w:t>motifs</w:t>
      </w:r>
      <w:r w:rsidR="00956DA5" w:rsidRPr="00050DAE">
        <w:t xml:space="preserve"> surrounding Demeter</w:t>
      </w:r>
      <w:r w:rsidR="008301DC" w:rsidRPr="00050DAE">
        <w:t>’</w:t>
      </w:r>
      <w:r w:rsidR="00956DA5" w:rsidRPr="00050DAE">
        <w:t>s search for Persephone as well as Isis</w:t>
      </w:r>
      <w:r w:rsidR="008301DC" w:rsidRPr="00050DAE">
        <w:t>’</w:t>
      </w:r>
      <w:r w:rsidR="00956DA5" w:rsidRPr="00050DAE">
        <w:t xml:space="preserve"> search for Osiris, where the restoration of the absent figure becomes associated with the renewal of fertility and the reestablishment of the divine order.</w:t>
      </w:r>
      <w:r w:rsidR="00956DA5" w:rsidRPr="00050DAE">
        <w:rPr>
          <w:rStyle w:val="FootnoteReference"/>
        </w:rPr>
        <w:footnoteReference w:id="223"/>
      </w:r>
      <w:r w:rsidR="00956DA5" w:rsidRPr="00050DAE">
        <w:t xml:space="preserve"> </w:t>
      </w:r>
      <w:r w:rsidRPr="00050DAE">
        <w:t xml:space="preserve">Upon finding Baal </w:t>
      </w:r>
      <w:r w:rsidR="008301DC" w:rsidRPr="00050DAE">
        <w:t>“</w:t>
      </w:r>
      <w:r w:rsidRPr="00050DAE">
        <w:t>fallen to the earth,</w:t>
      </w:r>
      <w:r w:rsidR="008301DC" w:rsidRPr="00050DAE">
        <w:t>”</w:t>
      </w:r>
      <w:r w:rsidRPr="00050DAE">
        <w:t xml:space="preserve"> Anat performs extreme mourning rites, including self-laceration and bodily mutilation, before recovering his body.</w:t>
      </w:r>
      <w:r w:rsidRPr="00050DAE">
        <w:rPr>
          <w:rStyle w:val="FootnoteReference"/>
        </w:rPr>
        <w:footnoteReference w:id="224"/>
      </w:r>
      <w:r w:rsidRPr="00050DAE">
        <w:t xml:space="preserve"> With the aid of </w:t>
      </w:r>
      <w:r w:rsidR="00991402" w:rsidRPr="00050DAE">
        <w:t>Šapš</w:t>
      </w:r>
      <w:r w:rsidRPr="00050DAE">
        <w:t xml:space="preserve">, she lifts and transports Baal, burying him and formally installing him among the dead: </w:t>
      </w:r>
      <w:r w:rsidR="008301DC" w:rsidRPr="00050DAE">
        <w:t>“</w:t>
      </w:r>
      <w:r w:rsidRPr="00050DAE">
        <w:t>she wept for him and buried him. She placed him in a grave of the gods of the underworld.</w:t>
      </w:r>
      <w:r w:rsidR="008301DC" w:rsidRPr="00050DAE">
        <w:t>”</w:t>
      </w:r>
      <w:r w:rsidRPr="00050DAE">
        <w:rPr>
          <w:rStyle w:val="FootnoteReference"/>
        </w:rPr>
        <w:footnoteReference w:id="225"/>
      </w:r>
      <w:r w:rsidRPr="00050DAE">
        <w:t xml:space="preserve"> The scale of the ritual is emphasi</w:t>
      </w:r>
      <w:r w:rsidR="007D6735" w:rsidRPr="00050DAE">
        <w:t>s</w:t>
      </w:r>
      <w:r w:rsidRPr="00050DAE">
        <w:t>ed through repeated offerings, underscoring the completeness of Baal</w:t>
      </w:r>
      <w:r w:rsidR="008301DC" w:rsidRPr="00050DAE">
        <w:t>’</w:t>
      </w:r>
      <w:r w:rsidRPr="00050DAE">
        <w:t>s death.</w:t>
      </w:r>
      <w:r w:rsidRPr="00050DAE">
        <w:rPr>
          <w:rStyle w:val="FootnoteReference"/>
        </w:rPr>
        <w:footnoteReference w:id="226"/>
      </w:r>
    </w:p>
    <w:p w14:paraId="5B15CE23" w14:textId="7A890CED" w:rsidR="00093263" w:rsidRPr="00050DAE" w:rsidRDefault="001E2285" w:rsidP="00093263">
      <w:pPr>
        <w:pStyle w:val="UWTSDindent"/>
      </w:pPr>
      <w:r w:rsidRPr="00050DAE">
        <w:t>Anat</w:t>
      </w:r>
      <w:r w:rsidR="008301DC" w:rsidRPr="00050DAE">
        <w:t>’</w:t>
      </w:r>
      <w:r w:rsidRPr="00050DAE">
        <w:t>s relationship to the underworld is not a formal descent narrative like that of Inanna</w:t>
      </w:r>
      <w:r w:rsidR="007E20FA" w:rsidRPr="00050DAE">
        <w:t>,</w:t>
      </w:r>
      <w:r w:rsidRPr="00050DAE">
        <w:t xml:space="preserve"> but is nevertheless explicit and functional.</w:t>
      </w:r>
      <w:r w:rsidR="00ED7F46" w:rsidRPr="00050DAE">
        <w:rPr>
          <w:rStyle w:val="FootnoteReference"/>
        </w:rPr>
        <w:footnoteReference w:id="227"/>
      </w:r>
      <w:r w:rsidRPr="00050DAE">
        <w:t xml:space="preserve"> Her declaration, </w:t>
      </w:r>
      <w:r w:rsidR="008301DC" w:rsidRPr="00050DAE">
        <w:t>“</w:t>
      </w:r>
      <w:r w:rsidRPr="00050DAE">
        <w:t>After Baal we shall go down into the netherworld,</w:t>
      </w:r>
      <w:r w:rsidR="008301DC" w:rsidRPr="00050DAE">
        <w:t>”</w:t>
      </w:r>
      <w:r w:rsidRPr="00050DAE">
        <w:t xml:space="preserve"> signals her willingness to cross into the realm of death, though her movement is not marked by gates or trials, but by purpose and urgency.</w:t>
      </w:r>
      <w:r w:rsidRPr="00050DAE">
        <w:rPr>
          <w:rStyle w:val="FootnoteReference"/>
        </w:rPr>
        <w:footnoteReference w:id="228"/>
      </w:r>
      <w:r w:rsidRPr="00050DAE">
        <w:t xml:space="preserve"> The underworld remains accessible through liminal geography and divine agency, particularly through </w:t>
      </w:r>
      <w:r w:rsidR="00991402" w:rsidRPr="00050DAE">
        <w:t>Šapš</w:t>
      </w:r>
      <w:r w:rsidRPr="00050DAE">
        <w:t>, who mediates between realms.</w:t>
      </w:r>
      <w:r w:rsidR="00D165FA" w:rsidRPr="00050DAE">
        <w:rPr>
          <w:rStyle w:val="FootnoteReference"/>
        </w:rPr>
        <w:footnoteReference w:id="229"/>
      </w:r>
      <w:r w:rsidRPr="00050DAE">
        <w:t xml:space="preserve"> </w:t>
      </w:r>
      <w:r w:rsidR="00093263" w:rsidRPr="00050DAE">
        <w:t>Anat</w:t>
      </w:r>
      <w:r w:rsidR="008301DC" w:rsidRPr="00050DAE">
        <w:t>’</w:t>
      </w:r>
      <w:r w:rsidR="00093263" w:rsidRPr="00050DAE">
        <w:t xml:space="preserve">s descent functions as a confrontational act directed </w:t>
      </w:r>
      <w:r w:rsidR="0091193A" w:rsidRPr="00050DAE">
        <w:t>towards</w:t>
      </w:r>
      <w:r w:rsidR="00093263" w:rsidRPr="00050DAE">
        <w:t xml:space="preserve"> reversing Baal</w:t>
      </w:r>
      <w:r w:rsidR="008301DC" w:rsidRPr="00050DAE">
        <w:t>’</w:t>
      </w:r>
      <w:r w:rsidR="00093263" w:rsidRPr="00050DAE">
        <w:t>s condition, not as an initiatory transformation of herself.</w:t>
      </w:r>
    </w:p>
    <w:p w14:paraId="2E5B8702" w14:textId="4940D413" w:rsidR="001E2285" w:rsidRPr="00050DAE" w:rsidRDefault="001E2285" w:rsidP="00093263">
      <w:pPr>
        <w:pStyle w:val="UWTSDindent"/>
      </w:pPr>
      <w:r w:rsidRPr="00050DAE">
        <w:t xml:space="preserve">The </w:t>
      </w:r>
      <w:bookmarkStart w:id="145" w:name="AnatKillsDeath"/>
      <w:r w:rsidRPr="00050DAE">
        <w:t>confrontation</w:t>
      </w:r>
      <w:bookmarkEnd w:id="145"/>
      <w:r w:rsidRPr="00050DAE">
        <w:t xml:space="preserve"> between Anat and Mot is immediate and physical, emphasizing direct opposition between life and death. Anat seizes Mot and demands restitution: </w:t>
      </w:r>
      <w:r w:rsidR="008301DC" w:rsidRPr="00050DAE">
        <w:t>“</w:t>
      </w:r>
      <w:r w:rsidRPr="00050DAE">
        <w:t xml:space="preserve">She seized Mot by the edge of his garment… </w:t>
      </w:r>
      <w:r w:rsidR="008301DC" w:rsidRPr="00050DAE">
        <w:t>‘</w:t>
      </w:r>
      <w:r w:rsidRPr="00050DAE">
        <w:t>Come, Mot, give me my brother!</w:t>
      </w:r>
      <w:r w:rsidR="008301DC" w:rsidRPr="00050DAE">
        <w:t>’”</w:t>
      </w:r>
      <w:r w:rsidRPr="00050DAE">
        <w:t xml:space="preserve"> Mot</w:t>
      </w:r>
      <w:r w:rsidR="008301DC" w:rsidRPr="00050DAE">
        <w:t>’</w:t>
      </w:r>
      <w:r w:rsidRPr="00050DAE">
        <w:t xml:space="preserve">s reply reinforces his role as </w:t>
      </w:r>
      <w:r w:rsidR="007E20FA" w:rsidRPr="00050DAE">
        <w:t xml:space="preserve">the </w:t>
      </w:r>
      <w:r w:rsidRPr="00050DAE">
        <w:t xml:space="preserve">devourer, recounting how he consumed Baal </w:t>
      </w:r>
      <w:r w:rsidR="008301DC" w:rsidRPr="00050DAE">
        <w:t>“</w:t>
      </w:r>
      <w:r w:rsidRPr="00050DAE">
        <w:t>like a lamb in my mouth, like a kid in the opening of my maw,</w:t>
      </w:r>
      <w:r w:rsidR="008301DC" w:rsidRPr="00050DAE">
        <w:t>”</w:t>
      </w:r>
      <w:r w:rsidRPr="00050DAE">
        <w:t xml:space="preserve"> reaffirming that Baal</w:t>
      </w:r>
      <w:r w:rsidR="008301DC" w:rsidRPr="00050DAE">
        <w:t>’</w:t>
      </w:r>
      <w:r w:rsidRPr="00050DAE">
        <w:t>s death is complete and irreversible.</w:t>
      </w:r>
      <w:r w:rsidRPr="00050DAE">
        <w:rPr>
          <w:rStyle w:val="FootnoteReference"/>
        </w:rPr>
        <w:footnoteReference w:id="230"/>
      </w:r>
      <w:r w:rsidRPr="00050DAE">
        <w:t xml:space="preserve"> This exchange frames the conflict not as a misunderstanding but as a fundamental clash between opposing cosmic principles.</w:t>
      </w:r>
    </w:p>
    <w:p w14:paraId="08571852" w14:textId="056AD94D" w:rsidR="001E2285" w:rsidRPr="00050DAE" w:rsidRDefault="001E2285" w:rsidP="001E2285">
      <w:pPr>
        <w:pStyle w:val="UWTSDindent"/>
      </w:pPr>
      <w:r w:rsidRPr="00050DAE">
        <w:t>Anat</w:t>
      </w:r>
      <w:r w:rsidR="008301DC" w:rsidRPr="00050DAE">
        <w:t>’</w:t>
      </w:r>
      <w:r w:rsidRPr="00050DAE">
        <w:t xml:space="preserve">s response is not negotiation but total annihilation. The text describes her destruction of Mot through a sequence of actions that are both violent and methodical: </w:t>
      </w:r>
      <w:r w:rsidR="008301DC" w:rsidRPr="00050DAE">
        <w:t>“</w:t>
      </w:r>
      <w:r w:rsidRPr="00050DAE">
        <w:t>With a knife she split him, with a fan she winnowed him, with fire she burnt him, with millstones she ground him, with a sieve she sifted him, on the steppe she abandoned him, in the sea she sowed him.</w:t>
      </w:r>
      <w:r w:rsidR="008301DC" w:rsidRPr="00050DAE">
        <w:t>”</w:t>
      </w:r>
      <w:r w:rsidRPr="00050DAE">
        <w:rPr>
          <w:rStyle w:val="FootnoteReference"/>
        </w:rPr>
        <w:footnoteReference w:id="231"/>
      </w:r>
      <w:r w:rsidRPr="00050DAE">
        <w:t xml:space="preserve"> </w:t>
      </w:r>
      <w:r w:rsidR="007E20FA" w:rsidRPr="00050DAE">
        <w:t xml:space="preserve">Mot, the embodiment of death, is destroyed. Rather than being merely defeated, he is broken down into </w:t>
      </w:r>
      <w:r w:rsidR="00093263" w:rsidRPr="00050DAE">
        <w:t xml:space="preserve">constituent parts and scattered across multiple domains, culminating in the image of being </w:t>
      </w:r>
      <w:r w:rsidR="008301DC" w:rsidRPr="00050DAE">
        <w:t>“</w:t>
      </w:r>
      <w:r w:rsidR="00093263" w:rsidRPr="00050DAE">
        <w:t>sown</w:t>
      </w:r>
      <w:r w:rsidR="008301DC" w:rsidRPr="00050DAE">
        <w:t>”</w:t>
      </w:r>
      <w:r w:rsidR="00093263" w:rsidRPr="00050DAE">
        <w:t xml:space="preserve"> in the sea, an act suggesting dissolution into chaos instead of burial or containment. </w:t>
      </w:r>
      <w:r w:rsidRPr="00050DAE">
        <w:t>Yet even this destruction is not final.</w:t>
      </w:r>
    </w:p>
    <w:p w14:paraId="104CA4EF" w14:textId="2A47DFEC" w:rsidR="001E2285" w:rsidRPr="00050DAE" w:rsidRDefault="001E2285" w:rsidP="001E2285">
      <w:pPr>
        <w:pStyle w:val="UWTSDindent"/>
      </w:pPr>
      <w:r w:rsidRPr="00050DAE">
        <w:t xml:space="preserve">In the </w:t>
      </w:r>
      <w:r w:rsidRPr="00050DAE">
        <w:rPr>
          <w:i/>
          <w:iCs/>
        </w:rPr>
        <w:t>Baal Cycle</w:t>
      </w:r>
      <w:r w:rsidRPr="00050DAE">
        <w:t xml:space="preserve">, death is not the end. </w:t>
      </w:r>
      <w:r w:rsidR="007E20FA" w:rsidRPr="00050DAE">
        <w:t>Shortly after his destruction at the hands of Anat, Mot returns</w:t>
      </w:r>
      <w:r w:rsidRPr="00050DAE">
        <w:t>.</w:t>
      </w:r>
      <w:r w:rsidRPr="00050DAE">
        <w:rPr>
          <w:vertAlign w:val="superscript"/>
        </w:rPr>
        <w:footnoteReference w:id="232"/>
      </w:r>
      <w:r w:rsidRPr="00050DAE">
        <w:t xml:space="preserve"> Mot</w:t>
      </w:r>
      <w:r w:rsidR="008301DC" w:rsidRPr="00050DAE">
        <w:t>’</w:t>
      </w:r>
      <w:r w:rsidRPr="00050DAE">
        <w:t>s re-emergence proves that death as a cosmic force cannot be permanently eliminated, only disrupted.</w:t>
      </w:r>
    </w:p>
    <w:p w14:paraId="67601F91" w14:textId="6A45E849" w:rsidR="001E2285" w:rsidRPr="00050DAE" w:rsidRDefault="00080D94" w:rsidP="001E2285">
      <w:pPr>
        <w:pStyle w:val="UWTSDindent"/>
      </w:pPr>
      <w:r w:rsidRPr="00050DAE">
        <w:t xml:space="preserve">The </w:t>
      </w:r>
      <w:r w:rsidRPr="00050DAE">
        <w:rPr>
          <w:i/>
          <w:iCs/>
        </w:rPr>
        <w:t>Baal Cycle</w:t>
      </w:r>
      <w:r w:rsidRPr="00050DAE">
        <w:t xml:space="preserve"> treats the return from death differently </w:t>
      </w:r>
      <w:r w:rsidR="007E20FA" w:rsidRPr="00050DAE">
        <w:t>from</w:t>
      </w:r>
      <w:r w:rsidRPr="00050DAE">
        <w:t xml:space="preserve"> in the Mesopotamian </w:t>
      </w:r>
      <w:r w:rsidR="00752FAC" w:rsidRPr="00050DAE">
        <w:t>descent</w:t>
      </w:r>
      <w:r w:rsidR="007E20FA" w:rsidRPr="00050DAE">
        <w:t>,</w:t>
      </w:r>
      <w:r w:rsidR="00752FAC" w:rsidRPr="00050DAE">
        <w:t xml:space="preserve"> which</w:t>
      </w:r>
      <w:r w:rsidRPr="00050DAE">
        <w:t xml:space="preserve"> centred on substitution and exchange. Anat confronts Mot directly, attempting to overpower death itself through force and annihilation.</w:t>
      </w:r>
      <w:r w:rsidRPr="00050DAE">
        <w:rPr>
          <w:rStyle w:val="FootnoteReference"/>
        </w:rPr>
        <w:footnoteReference w:id="233"/>
      </w:r>
      <w:r w:rsidRPr="00050DAE">
        <w:t xml:space="preserve"> </w:t>
      </w:r>
      <w:r w:rsidR="00975E86" w:rsidRPr="00050DAE">
        <w:t>Baal</w:t>
      </w:r>
      <w:r w:rsidR="008301DC" w:rsidRPr="00050DAE">
        <w:t>’</w:t>
      </w:r>
      <w:r w:rsidR="00975E86" w:rsidRPr="00050DAE">
        <w:t>s restoration emerges through the temporary disruption of death</w:t>
      </w:r>
      <w:r w:rsidR="008301DC" w:rsidRPr="00050DAE">
        <w:t>’</w:t>
      </w:r>
      <w:r w:rsidR="00975E86" w:rsidRPr="00050DAE">
        <w:t>s authority, assisted by Anat</w:t>
      </w:r>
      <w:r w:rsidR="008301DC" w:rsidRPr="00050DAE">
        <w:t>’</w:t>
      </w:r>
      <w:r w:rsidR="00975E86" w:rsidRPr="00050DAE">
        <w:t>s search, mourning, and intervention, rather than through the transfer of another life into the underworld.</w:t>
      </w:r>
      <w:r w:rsidRPr="00050DAE">
        <w:rPr>
          <w:rStyle w:val="FootnoteReference"/>
        </w:rPr>
        <w:footnoteReference w:id="234"/>
      </w:r>
      <w:r w:rsidRPr="00050DAE">
        <w:t xml:space="preserve"> </w:t>
      </w:r>
      <w:r w:rsidR="001E2285" w:rsidRPr="00050DAE">
        <w:t xml:space="preserve">Alternatively, in the Aqhat story, Anat tells her victim, </w:t>
      </w:r>
      <w:r w:rsidR="008301DC" w:rsidRPr="00050DAE">
        <w:t>“</w:t>
      </w:r>
      <w:r w:rsidR="001E2285" w:rsidRPr="00050DAE">
        <w:t>Ask for life, O Hero Aqhat, Ask for life and I will grant (it) to you, Non-death and I will bestow (it) upon you.</w:t>
      </w:r>
      <w:r w:rsidR="008301DC" w:rsidRPr="00050DAE">
        <w:t>”</w:t>
      </w:r>
      <w:r w:rsidR="001E2285" w:rsidRPr="00050DAE">
        <w:rPr>
          <w:vertAlign w:val="superscript"/>
        </w:rPr>
        <w:footnoteReference w:id="235"/>
      </w:r>
      <w:r w:rsidR="001E2285" w:rsidRPr="00050DAE">
        <w:t xml:space="preserve"> Some scholars suggest that if Anat has fertility aspects, she would function as </w:t>
      </w:r>
      <w:r w:rsidR="007E20FA" w:rsidRPr="00050DAE">
        <w:t>a counterforce to death</w:t>
      </w:r>
      <w:r w:rsidR="001E2285" w:rsidRPr="00050DAE">
        <w:t>.</w:t>
      </w:r>
      <w:r w:rsidR="001E2285" w:rsidRPr="00050DAE">
        <w:rPr>
          <w:vertAlign w:val="superscript"/>
        </w:rPr>
        <w:footnoteReference w:id="236"/>
      </w:r>
      <w:r w:rsidR="001E2285" w:rsidRPr="00050DAE">
        <w:t xml:space="preserve"> In Baal</w:t>
      </w:r>
      <w:r w:rsidR="008301DC" w:rsidRPr="00050DAE">
        <w:t>’</w:t>
      </w:r>
      <w:r w:rsidR="001E2285" w:rsidRPr="00050DAE">
        <w:t>s return from his defeat by Mot, there is no extant text describing how the restoration is achieved, though Anat is credited.</w:t>
      </w:r>
      <w:r w:rsidR="001E2285" w:rsidRPr="00050DAE">
        <w:rPr>
          <w:rStyle w:val="FootnoteReference"/>
        </w:rPr>
        <w:footnoteReference w:id="237"/>
      </w:r>
      <w:r w:rsidR="001E2285" w:rsidRPr="00050DAE">
        <w:t xml:space="preserve"> </w:t>
      </w:r>
      <w:r w:rsidR="00D65B2B" w:rsidRPr="00050DAE">
        <w:t>It is</w:t>
      </w:r>
      <w:r w:rsidR="00F62C36" w:rsidRPr="00050DAE">
        <w:t xml:space="preserve"> propose</w:t>
      </w:r>
      <w:r w:rsidR="00D65B2B" w:rsidRPr="00050DAE">
        <w:t>d</w:t>
      </w:r>
      <w:r w:rsidR="00F62C36" w:rsidRPr="00050DAE">
        <w:t xml:space="preserve"> that</w:t>
      </w:r>
      <w:r w:rsidR="001E2285" w:rsidRPr="00050DAE">
        <w:t xml:space="preserve"> the resurrection of Baal by Anat may reflect a sacred marriage or royal resurrection ritual held in Autumn.</w:t>
      </w:r>
      <w:r w:rsidR="001E2285" w:rsidRPr="00050DAE">
        <w:rPr>
          <w:vertAlign w:val="superscript"/>
        </w:rPr>
        <w:footnoteReference w:id="238"/>
      </w:r>
      <w:r w:rsidR="001E2285" w:rsidRPr="00050DAE">
        <w:t xml:space="preserve"> Regardless of the mechanism proposed, the </w:t>
      </w:r>
      <w:r w:rsidR="00752FAC" w:rsidRPr="00050DAE">
        <w:t>tablets</w:t>
      </w:r>
      <w:r w:rsidR="001E2285" w:rsidRPr="00050DAE">
        <w:t xml:space="preserve"> consistently preserve a </w:t>
      </w:r>
      <w:r w:rsidR="007073B9" w:rsidRPr="00050DAE">
        <w:t xml:space="preserve">trajectory </w:t>
      </w:r>
      <w:r w:rsidR="00F321A5" w:rsidRPr="00050DAE">
        <w:t>where death is neither exchanged nor satisfied</w:t>
      </w:r>
      <w:r w:rsidR="009D60EB" w:rsidRPr="00050DAE">
        <w:t>.</w:t>
      </w:r>
    </w:p>
    <w:p w14:paraId="4DF0E4E7" w14:textId="4DF48BFA" w:rsidR="00EE7742" w:rsidRPr="00050DAE" w:rsidRDefault="00EE7742" w:rsidP="00EE7742">
      <w:pPr>
        <w:pStyle w:val="Caption"/>
        <w:keepNext/>
        <w:rPr>
          <w:rFonts w:asciiTheme="majorBidi" w:hAnsiTheme="majorBidi" w:cstheme="majorBidi"/>
        </w:rPr>
      </w:pPr>
      <w:r w:rsidRPr="00050DAE">
        <w:rPr>
          <w:rFonts w:asciiTheme="majorBidi" w:hAnsiTheme="majorBidi" w:cstheme="majorBidi"/>
        </w:rPr>
        <w:t xml:space="preserve">Table </w:t>
      </w:r>
      <w:r w:rsidR="004127BF" w:rsidRPr="00050DAE">
        <w:rPr>
          <w:rFonts w:asciiTheme="majorBidi" w:hAnsiTheme="majorBidi" w:cstheme="majorBidi"/>
        </w:rPr>
        <w:fldChar w:fldCharType="begin"/>
      </w:r>
      <w:r w:rsidR="004127BF" w:rsidRPr="00050DAE">
        <w:rPr>
          <w:rFonts w:asciiTheme="majorBidi" w:hAnsiTheme="majorBidi" w:cstheme="majorBidi"/>
        </w:rPr>
        <w:instrText xml:space="preserve"> SEQ Table \* ARABIC </w:instrText>
      </w:r>
      <w:r w:rsidR="004127BF" w:rsidRPr="00050DAE">
        <w:rPr>
          <w:rFonts w:asciiTheme="majorBidi" w:hAnsiTheme="majorBidi" w:cstheme="majorBidi"/>
        </w:rPr>
        <w:fldChar w:fldCharType="separate"/>
      </w:r>
      <w:r w:rsidR="009D2921">
        <w:rPr>
          <w:rFonts w:asciiTheme="majorBidi" w:hAnsiTheme="majorBidi" w:cstheme="majorBidi"/>
          <w:noProof/>
        </w:rPr>
        <w:t>3</w:t>
      </w:r>
      <w:r w:rsidR="004127BF" w:rsidRPr="00050DAE">
        <w:rPr>
          <w:rFonts w:asciiTheme="majorBidi" w:hAnsiTheme="majorBidi" w:cstheme="majorBidi"/>
        </w:rPr>
        <w:fldChar w:fldCharType="end"/>
      </w:r>
      <w:r w:rsidRPr="00050DAE">
        <w:rPr>
          <w:rFonts w:asciiTheme="majorBidi" w:hAnsiTheme="majorBidi" w:cstheme="majorBidi"/>
        </w:rPr>
        <w:t xml:space="preserve"> </w:t>
      </w:r>
      <w:r w:rsidR="004127BF" w:rsidRPr="00050DAE">
        <w:rPr>
          <w:rFonts w:asciiTheme="majorBidi" w:hAnsiTheme="majorBidi" w:cstheme="majorBidi"/>
        </w:rPr>
        <w:t>Structural Resolution of Life and Death in the Ugaritic Baal Cycle</w:t>
      </w:r>
      <w:r w:rsidRPr="00050DAE">
        <w:rPr>
          <w:rFonts w:asciiTheme="majorBidi" w:hAnsiTheme="majorBidi" w:cstheme="majorBidi"/>
        </w:rPr>
        <w:t>.</w:t>
      </w:r>
    </w:p>
    <w:tbl>
      <w:tblPr>
        <w:tblStyle w:val="TableGrid"/>
        <w:tblW w:w="0" w:type="auto"/>
        <w:tblLook w:val="04A0" w:firstRow="1" w:lastRow="0" w:firstColumn="1" w:lastColumn="0" w:noHBand="0" w:noVBand="1"/>
      </w:tblPr>
      <w:tblGrid>
        <w:gridCol w:w="4508"/>
        <w:gridCol w:w="4508"/>
      </w:tblGrid>
      <w:tr w:rsidR="001B5DBE" w:rsidRPr="00050DAE" w14:paraId="56C770BD" w14:textId="77777777" w:rsidTr="002232D4">
        <w:tc>
          <w:tcPr>
            <w:tcW w:w="4508" w:type="dxa"/>
            <w:shd w:val="clear" w:color="auto" w:fill="000000" w:themeFill="text1"/>
          </w:tcPr>
          <w:p w14:paraId="7F96DB2E" w14:textId="77777777" w:rsidR="001B5DBE" w:rsidRPr="00050DAE" w:rsidRDefault="001B5DBE" w:rsidP="0067570A">
            <w:pPr>
              <w:pStyle w:val="UWTSDindent"/>
              <w:ind w:firstLine="0"/>
              <w:rPr>
                <w:color w:val="FFFFFF" w:themeColor="background1"/>
              </w:rPr>
            </w:pPr>
            <w:r w:rsidRPr="00050DAE">
              <w:rPr>
                <w:color w:val="FFFFFF" w:themeColor="background1"/>
              </w:rPr>
              <w:t>Element</w:t>
            </w:r>
          </w:p>
        </w:tc>
        <w:tc>
          <w:tcPr>
            <w:tcW w:w="4508" w:type="dxa"/>
            <w:shd w:val="clear" w:color="auto" w:fill="000000" w:themeFill="text1"/>
          </w:tcPr>
          <w:p w14:paraId="59636FDE" w14:textId="3C0E010F" w:rsidR="001B5DBE" w:rsidRPr="00050DAE" w:rsidRDefault="001B5DBE" w:rsidP="001B5DBE">
            <w:pPr>
              <w:pStyle w:val="UWTSDindent"/>
              <w:ind w:firstLine="0"/>
              <w:rPr>
                <w:color w:val="FFFFFF" w:themeColor="background1"/>
              </w:rPr>
            </w:pPr>
            <w:r w:rsidRPr="00050DAE">
              <w:rPr>
                <w:color w:val="FFFFFF" w:themeColor="background1"/>
              </w:rPr>
              <w:t>Ugaritic Pattern</w:t>
            </w:r>
          </w:p>
        </w:tc>
      </w:tr>
      <w:tr w:rsidR="001B5DBE" w:rsidRPr="00050DAE" w14:paraId="1DC7F904" w14:textId="77777777" w:rsidTr="0067570A">
        <w:tc>
          <w:tcPr>
            <w:tcW w:w="4508" w:type="dxa"/>
          </w:tcPr>
          <w:p w14:paraId="3C3CDB60" w14:textId="77777777" w:rsidR="001B5DBE" w:rsidRPr="00050DAE" w:rsidRDefault="001B5DBE" w:rsidP="0067570A">
            <w:pPr>
              <w:pStyle w:val="UWTSDindent"/>
              <w:ind w:firstLine="0"/>
            </w:pPr>
            <w:r w:rsidRPr="00050DAE">
              <w:t>Life</w:t>
            </w:r>
            <w:r w:rsidRPr="00050DAE">
              <w:tab/>
            </w:r>
          </w:p>
        </w:tc>
        <w:tc>
          <w:tcPr>
            <w:tcW w:w="4508" w:type="dxa"/>
          </w:tcPr>
          <w:p w14:paraId="05B8CE1E" w14:textId="7AF3A468" w:rsidR="001B5DBE" w:rsidRPr="00050DAE" w:rsidRDefault="001B5DBE" w:rsidP="001B5DBE">
            <w:pPr>
              <w:pStyle w:val="UWTSDindent"/>
              <w:ind w:firstLine="0"/>
            </w:pPr>
            <w:r w:rsidRPr="00050DAE">
              <w:t>Baal</w:t>
            </w:r>
          </w:p>
        </w:tc>
      </w:tr>
      <w:tr w:rsidR="001B5DBE" w:rsidRPr="00050DAE" w14:paraId="74A42BE8" w14:textId="77777777" w:rsidTr="0067570A">
        <w:tc>
          <w:tcPr>
            <w:tcW w:w="4508" w:type="dxa"/>
          </w:tcPr>
          <w:p w14:paraId="1BA8D710" w14:textId="77777777" w:rsidR="001B5DBE" w:rsidRPr="00050DAE" w:rsidRDefault="001B5DBE" w:rsidP="0067570A">
            <w:pPr>
              <w:pStyle w:val="UWTSDindent"/>
              <w:ind w:firstLine="0"/>
            </w:pPr>
            <w:r w:rsidRPr="00050DAE">
              <w:t>Death</w:t>
            </w:r>
          </w:p>
        </w:tc>
        <w:tc>
          <w:tcPr>
            <w:tcW w:w="4508" w:type="dxa"/>
          </w:tcPr>
          <w:p w14:paraId="374F34AA" w14:textId="7DBE8173" w:rsidR="001B5DBE" w:rsidRPr="00050DAE" w:rsidRDefault="001B5DBE" w:rsidP="0067570A">
            <w:pPr>
              <w:pStyle w:val="UWTSDindent"/>
              <w:ind w:firstLine="0"/>
            </w:pPr>
            <w:r w:rsidRPr="00050DAE">
              <w:t>Mot</w:t>
            </w:r>
          </w:p>
        </w:tc>
      </w:tr>
      <w:tr w:rsidR="001B5DBE" w:rsidRPr="00050DAE" w14:paraId="6571B9B2" w14:textId="77777777" w:rsidTr="0067570A">
        <w:tc>
          <w:tcPr>
            <w:tcW w:w="4508" w:type="dxa"/>
          </w:tcPr>
          <w:p w14:paraId="59354E6D" w14:textId="77777777" w:rsidR="001B5DBE" w:rsidRPr="00050DAE" w:rsidRDefault="001B5DBE" w:rsidP="0067570A">
            <w:pPr>
              <w:pStyle w:val="UWTSDindent"/>
              <w:ind w:firstLine="0"/>
            </w:pPr>
            <w:r w:rsidRPr="00050DAE">
              <w:t>Boundary</w:t>
            </w:r>
          </w:p>
        </w:tc>
        <w:tc>
          <w:tcPr>
            <w:tcW w:w="4508" w:type="dxa"/>
          </w:tcPr>
          <w:p w14:paraId="6D0EA235" w14:textId="77028967" w:rsidR="001B5DBE" w:rsidRPr="00050DAE" w:rsidRDefault="001B5DBE" w:rsidP="0067570A">
            <w:pPr>
              <w:pStyle w:val="UWTSDindent"/>
              <w:ind w:firstLine="0"/>
            </w:pPr>
            <w:r w:rsidRPr="00050DAE">
              <w:t>Shore of Death</w:t>
            </w:r>
          </w:p>
        </w:tc>
      </w:tr>
      <w:tr w:rsidR="001B5DBE" w:rsidRPr="00050DAE" w14:paraId="34AF309D" w14:textId="77777777" w:rsidTr="0067570A">
        <w:tc>
          <w:tcPr>
            <w:tcW w:w="4508" w:type="dxa"/>
          </w:tcPr>
          <w:p w14:paraId="56EDD7FA" w14:textId="77777777" w:rsidR="001B5DBE" w:rsidRPr="00050DAE" w:rsidRDefault="001B5DBE" w:rsidP="0067570A">
            <w:pPr>
              <w:pStyle w:val="UWTSDindent"/>
              <w:ind w:firstLine="0"/>
            </w:pPr>
            <w:r w:rsidRPr="00050DAE">
              <w:t>Violation</w:t>
            </w:r>
          </w:p>
        </w:tc>
        <w:tc>
          <w:tcPr>
            <w:tcW w:w="4508" w:type="dxa"/>
          </w:tcPr>
          <w:p w14:paraId="7D836463" w14:textId="0126F7B1" w:rsidR="001B5DBE" w:rsidRPr="00050DAE" w:rsidRDefault="001B5DBE" w:rsidP="001B5DBE">
            <w:pPr>
              <w:pStyle w:val="UWTSDindent"/>
              <w:ind w:firstLine="0"/>
            </w:pPr>
            <w:r w:rsidRPr="00050DAE">
              <w:t>Consumption by Mot</w:t>
            </w:r>
          </w:p>
        </w:tc>
      </w:tr>
      <w:tr w:rsidR="001B5DBE" w:rsidRPr="00050DAE" w14:paraId="05E501C6" w14:textId="77777777" w:rsidTr="0067570A">
        <w:tc>
          <w:tcPr>
            <w:tcW w:w="4508" w:type="dxa"/>
          </w:tcPr>
          <w:p w14:paraId="3FE8BA3F" w14:textId="77777777" w:rsidR="001B5DBE" w:rsidRPr="00050DAE" w:rsidRDefault="001B5DBE" w:rsidP="0067570A">
            <w:pPr>
              <w:pStyle w:val="UWTSDindent"/>
              <w:ind w:firstLine="0"/>
            </w:pPr>
            <w:r w:rsidRPr="00050DAE">
              <w:t>Resolution</w:t>
            </w:r>
          </w:p>
        </w:tc>
        <w:tc>
          <w:tcPr>
            <w:tcW w:w="4508" w:type="dxa"/>
          </w:tcPr>
          <w:p w14:paraId="5E3DDA1A" w14:textId="6C5BBEFA" w:rsidR="001B5DBE" w:rsidRPr="00050DAE" w:rsidRDefault="001B5DBE" w:rsidP="001B5DBE">
            <w:pPr>
              <w:pStyle w:val="UWTSDindent"/>
              <w:ind w:firstLine="0"/>
            </w:pPr>
            <w:r w:rsidRPr="00050DAE">
              <w:t>Violent disruption</w:t>
            </w:r>
          </w:p>
        </w:tc>
      </w:tr>
      <w:tr w:rsidR="001B5DBE" w:rsidRPr="00050DAE" w14:paraId="70E6E6A2" w14:textId="77777777" w:rsidTr="0067570A">
        <w:tc>
          <w:tcPr>
            <w:tcW w:w="4508" w:type="dxa"/>
          </w:tcPr>
          <w:p w14:paraId="3D81B2BD" w14:textId="77777777" w:rsidR="001B5DBE" w:rsidRPr="00050DAE" w:rsidRDefault="001B5DBE" w:rsidP="0067570A">
            <w:pPr>
              <w:pStyle w:val="UWTSDindent"/>
              <w:ind w:firstLine="0"/>
            </w:pPr>
            <w:r w:rsidRPr="00050DAE">
              <w:t>Result</w:t>
            </w:r>
          </w:p>
        </w:tc>
        <w:tc>
          <w:tcPr>
            <w:tcW w:w="4508" w:type="dxa"/>
          </w:tcPr>
          <w:p w14:paraId="33B2E423" w14:textId="086268B0" w:rsidR="001B5DBE" w:rsidRPr="00050DAE" w:rsidRDefault="001B5DBE" w:rsidP="001B5DBE">
            <w:pPr>
              <w:pStyle w:val="UWTSDindent"/>
              <w:ind w:firstLine="0"/>
            </w:pPr>
            <w:r w:rsidRPr="00050DAE">
              <w:t>Temporary restoration</w:t>
            </w:r>
          </w:p>
        </w:tc>
      </w:tr>
    </w:tbl>
    <w:p w14:paraId="531F3EE3" w14:textId="77777777" w:rsidR="001F6D2A" w:rsidRPr="00050DAE" w:rsidRDefault="001F6D2A" w:rsidP="00CE4240">
      <w:pPr>
        <w:pStyle w:val="UWTSDindent"/>
      </w:pPr>
    </w:p>
    <w:p w14:paraId="6F8193C8" w14:textId="1824B422" w:rsidR="00CE4240" w:rsidRPr="00050DAE" w:rsidRDefault="00CE4240" w:rsidP="00CE4240">
      <w:pPr>
        <w:pStyle w:val="UWTSDindent"/>
      </w:pPr>
      <w:r w:rsidRPr="00050DAE">
        <w:t>In the continuation of the Baal-Mot conflict, neither Baal nor Mot prevails. Baal</w:t>
      </w:r>
      <w:r w:rsidR="008301DC" w:rsidRPr="00050DAE">
        <w:t>’</w:t>
      </w:r>
      <w:r w:rsidRPr="00050DAE">
        <w:t>s restoration therefore does not eliminate death as a cosmic force but demonstrates that sovereignty remains contingent upon continual resistance to it.</w:t>
      </w:r>
      <w:r w:rsidRPr="00050DAE">
        <w:rPr>
          <w:vertAlign w:val="superscript"/>
        </w:rPr>
        <w:footnoteReference w:id="239"/>
      </w:r>
    </w:p>
    <w:p w14:paraId="2F66DB13" w14:textId="335211EA" w:rsidR="00CE4240" w:rsidRPr="00050DAE" w:rsidRDefault="00CE4240" w:rsidP="00F321A5">
      <w:pPr>
        <w:pStyle w:val="UWTSDindent"/>
      </w:pPr>
      <w:r w:rsidRPr="00050DAE">
        <w:t xml:space="preserve">Although the </w:t>
      </w:r>
      <w:r w:rsidRPr="00050DAE">
        <w:rPr>
          <w:i/>
          <w:iCs/>
        </w:rPr>
        <w:t>Baal Cycle</w:t>
      </w:r>
      <w:r w:rsidRPr="00050DAE">
        <w:t xml:space="preserve"> lacks the formalized gate sequence and substitution mechanism of the Mesopotamian </w:t>
      </w:r>
      <w:r w:rsidR="00722DE4" w:rsidRPr="00050DAE">
        <w:t>descent</w:t>
      </w:r>
      <w:r w:rsidRPr="00050DAE">
        <w:t xml:space="preserve">, it nevertheless </w:t>
      </w:r>
      <w:r w:rsidR="002B188A" w:rsidRPr="00050DAE">
        <w:t>organizes</w:t>
      </w:r>
      <w:r w:rsidRPr="00050DAE">
        <w:t xml:space="preserve"> </w:t>
      </w:r>
      <w:r w:rsidR="00722DE4" w:rsidRPr="00050DAE">
        <w:t>the journey</w:t>
      </w:r>
      <w:r w:rsidRPr="00050DAE">
        <w:t xml:space="preserve"> through a coherent set of structural relationships. These relationships are </w:t>
      </w:r>
      <w:r w:rsidR="00F321A5" w:rsidRPr="00050DAE">
        <w:t xml:space="preserve">summarised </w:t>
      </w:r>
      <w:r w:rsidRPr="00050DAE">
        <w:t>below.</w:t>
      </w:r>
      <w:r w:rsidR="001B5C3B" w:rsidRPr="00050DAE">
        <w:t xml:space="preserve"> </w:t>
      </w:r>
    </w:p>
    <w:p w14:paraId="108D653E" w14:textId="1BA49A59" w:rsidR="004127BF" w:rsidRPr="00050DAE" w:rsidRDefault="004127BF" w:rsidP="00CE4240">
      <w:pPr>
        <w:pStyle w:val="UWTSDindent"/>
      </w:pPr>
      <w:r w:rsidRPr="00050DAE">
        <w:t xml:space="preserve">Unlike the Mesopotamian model, the Ugaritic </w:t>
      </w:r>
      <w:r w:rsidR="00722DE4" w:rsidRPr="00050DAE">
        <w:t>account</w:t>
      </w:r>
      <w:r w:rsidRPr="00050DAE">
        <w:t xml:space="preserve"> does not resolve the opposition between life and death through exchange. Instead, Anat attempts to overcome death through direct confrontation with Mot. Yet Mot</w:t>
      </w:r>
      <w:r w:rsidR="008301DC" w:rsidRPr="00050DAE">
        <w:t>’</w:t>
      </w:r>
      <w:r w:rsidRPr="00050DAE">
        <w:t>s eventual return demonstrates that death remains a permanent component of the cosmic order.</w:t>
      </w:r>
    </w:p>
    <w:p w14:paraId="30F7D0C2" w14:textId="77777777" w:rsidR="004127BF" w:rsidRPr="00050DAE" w:rsidRDefault="004127BF">
      <w:pPr>
        <w:rPr>
          <w:rFonts w:asciiTheme="majorBidi" w:hAnsiTheme="majorBidi" w:cstheme="majorBidi"/>
          <w:sz w:val="24"/>
        </w:rPr>
      </w:pPr>
      <w:r w:rsidRPr="00050DAE">
        <w:rPr>
          <w:rFonts w:asciiTheme="majorBidi" w:hAnsiTheme="majorBidi" w:cstheme="majorBidi"/>
        </w:rPr>
        <w:br w:type="page"/>
      </w:r>
    </w:p>
    <w:p w14:paraId="6FBCCB74" w14:textId="2CC4AF7F" w:rsidR="00092B11" w:rsidRPr="00050DAE" w:rsidRDefault="00092B11" w:rsidP="00092B11">
      <w:pPr>
        <w:pStyle w:val="Heading1"/>
        <w:rPr>
          <w:rFonts w:asciiTheme="majorBidi" w:hAnsiTheme="majorBidi"/>
          <w:color w:val="auto"/>
        </w:rPr>
      </w:pPr>
      <w:bookmarkStart w:id="146" w:name="_Toc234140255"/>
      <w:bookmarkStart w:id="147" w:name="_Toc234140506"/>
      <w:bookmarkStart w:id="148" w:name="_Toc234143686"/>
      <w:bookmarkStart w:id="149" w:name="_Toc234154315"/>
      <w:bookmarkStart w:id="150" w:name="_Toc234154369"/>
      <w:r w:rsidRPr="00050DAE">
        <w:rPr>
          <w:rFonts w:asciiTheme="majorBidi" w:hAnsiTheme="majorBidi"/>
          <w:color w:val="auto"/>
        </w:rPr>
        <w:t xml:space="preserve">Chapter </w:t>
      </w:r>
      <w:r w:rsidR="00A031F6" w:rsidRPr="00050DAE">
        <w:rPr>
          <w:rFonts w:asciiTheme="majorBidi" w:hAnsiTheme="majorBidi"/>
          <w:color w:val="auto"/>
        </w:rPr>
        <w:t>5</w:t>
      </w:r>
      <w:r w:rsidRPr="00050DAE">
        <w:rPr>
          <w:rFonts w:asciiTheme="majorBidi" w:hAnsiTheme="majorBidi"/>
          <w:color w:val="auto"/>
        </w:rPr>
        <w:t>. Demeter and Persephone</w:t>
      </w:r>
      <w:bookmarkEnd w:id="146"/>
      <w:bookmarkEnd w:id="147"/>
      <w:bookmarkEnd w:id="148"/>
      <w:bookmarkEnd w:id="149"/>
      <w:bookmarkEnd w:id="150"/>
    </w:p>
    <w:p w14:paraId="7F6F613C" w14:textId="77777777" w:rsidR="002F398F" w:rsidRPr="00050DAE" w:rsidRDefault="002F398F" w:rsidP="00BB0094">
      <w:pPr>
        <w:keepNext/>
        <w:jc w:val="center"/>
        <w:rPr>
          <w:rFonts w:asciiTheme="majorBidi" w:hAnsiTheme="majorBidi" w:cstheme="majorBidi"/>
        </w:rPr>
      </w:pPr>
      <w:r w:rsidRPr="00050DAE">
        <w:rPr>
          <w:rFonts w:asciiTheme="majorBidi" w:hAnsiTheme="majorBidi" w:cstheme="majorBidi"/>
          <w:noProof/>
        </w:rPr>
        <w:drawing>
          <wp:inline distT="0" distB="0" distL="0" distR="0" wp14:anchorId="444F3E41" wp14:editId="68A70AB6">
            <wp:extent cx="2201919" cy="2153730"/>
            <wp:effectExtent l="0" t="0" r="8255" b="0"/>
            <wp:docPr id="17334618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61878" name="Picture 1733461878"/>
                    <pic:cNvPicPr/>
                  </pic:nvPicPr>
                  <pic:blipFill rotWithShape="1">
                    <a:blip r:embed="rId43" cstate="print">
                      <a:extLst>
                        <a:ext uri="{BEBA8EAE-BF5A-486C-A8C5-ECC9F3942E4B}">
                          <a14:imgProps xmlns:a14="http://schemas.microsoft.com/office/drawing/2010/main">
                            <a14:imgLayer r:embed="rId44">
                              <a14:imgEffect>
                                <a14:backgroundRemoval t="0" b="96923" l="0" r="100000">
                                  <a14:foregroundMark x1="96805" y1="95385" x2="93421" y2="87500"/>
                                  <a14:foregroundMark x1="98376" y1="96496" x2="84586" y2="94615"/>
                                  <a14:foregroundMark x1="98274" y1="96713" x2="97556" y2="96346"/>
                                  <a14:backgroundMark x1="7143" y1="62885" x2="17857" y2="17308"/>
                                  <a14:backgroundMark x1="17857" y1="17308" x2="25752" y2="10769"/>
                                  <a14:backgroundMark x1="53947" y1="21538" x2="53759" y2="19808"/>
                                  <a14:backgroundMark x1="8647" y1="91923" x2="14286" y2="93077"/>
                                  <a14:backgroundMark x1="24248" y1="95000" x2="16541" y2="93269"/>
                                  <a14:backgroundMark x1="34398" y1="93462" x2="17857" y2="93077"/>
                                  <a14:backgroundMark x1="94737" y1="99423" x2="85338" y2="99231"/>
                                  <a14:backgroundMark x1="97180" y1="99038" x2="98872" y2="9807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211700" cy="2163297"/>
                    </a:xfrm>
                    <a:prstGeom prst="rect">
                      <a:avLst/>
                    </a:prstGeom>
                    <a:ln>
                      <a:noFill/>
                    </a:ln>
                    <a:extLst>
                      <a:ext uri="{53640926-AAD7-44D8-BBD7-CCE9431645EC}">
                        <a14:shadowObscured xmlns:a14="http://schemas.microsoft.com/office/drawing/2010/main"/>
                      </a:ext>
                    </a:extLst>
                  </pic:spPr>
                </pic:pic>
              </a:graphicData>
            </a:graphic>
          </wp:inline>
        </w:drawing>
      </w:r>
    </w:p>
    <w:p w14:paraId="2FBE5D7B" w14:textId="42781ED3" w:rsidR="002F398F" w:rsidRPr="00050DAE" w:rsidRDefault="002F398F" w:rsidP="002F398F">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Pr="00050DAE">
        <w:rPr>
          <w:rFonts w:asciiTheme="majorBidi" w:hAnsiTheme="majorBidi" w:cstheme="majorBidi"/>
          <w:color w:val="auto"/>
        </w:rPr>
        <w:fldChar w:fldCharType="begin"/>
      </w:r>
      <w:r w:rsidRPr="00050DAE">
        <w:rPr>
          <w:rFonts w:asciiTheme="majorBidi" w:hAnsiTheme="majorBidi" w:cstheme="majorBidi"/>
          <w:color w:val="auto"/>
        </w:rPr>
        <w:instrText xml:space="preserve"> SEQ Figure \* ARABIC </w:instrText>
      </w:r>
      <w:r w:rsidRPr="00050DAE">
        <w:rPr>
          <w:rFonts w:asciiTheme="majorBidi" w:hAnsiTheme="majorBidi" w:cstheme="majorBidi"/>
          <w:color w:val="auto"/>
        </w:rPr>
        <w:fldChar w:fldCharType="separate"/>
      </w:r>
      <w:r w:rsidR="009D2921">
        <w:rPr>
          <w:rFonts w:asciiTheme="majorBidi" w:hAnsiTheme="majorBidi" w:cstheme="majorBidi"/>
          <w:noProof/>
          <w:color w:val="auto"/>
        </w:rPr>
        <w:t>12</w:t>
      </w:r>
      <w:r w:rsidRPr="00050DAE">
        <w:rPr>
          <w:rFonts w:asciiTheme="majorBidi" w:hAnsiTheme="majorBidi" w:cstheme="majorBidi"/>
          <w:color w:val="auto"/>
        </w:rPr>
        <w:fldChar w:fldCharType="end"/>
      </w:r>
      <w:r w:rsidRPr="00050DAE">
        <w:rPr>
          <w:rFonts w:asciiTheme="majorBidi" w:hAnsiTheme="majorBidi" w:cstheme="majorBidi"/>
          <w:color w:val="auto"/>
        </w:rPr>
        <w:t xml:space="preserve"> </w:t>
      </w:r>
      <w:r w:rsidR="00F321A5" w:rsidRPr="00050DAE">
        <w:rPr>
          <w:rFonts w:asciiTheme="majorBidi" w:hAnsiTheme="majorBidi" w:cstheme="majorBidi"/>
          <w:color w:val="auto"/>
        </w:rPr>
        <w:t>Terracotta figure possibly depicting Demeter and Persephone.</w:t>
      </w:r>
      <w:r w:rsidRPr="00050DAE">
        <w:rPr>
          <w:rStyle w:val="FootnoteReference"/>
          <w:rFonts w:asciiTheme="majorBidi" w:hAnsiTheme="majorBidi" w:cstheme="majorBidi"/>
          <w:color w:val="auto"/>
        </w:rPr>
        <w:footnoteReference w:id="240"/>
      </w:r>
    </w:p>
    <w:p w14:paraId="20300143" w14:textId="24D817E5" w:rsidR="00B62DEC" w:rsidRPr="00050DAE" w:rsidRDefault="00F321A5" w:rsidP="00B62DEC">
      <w:pPr>
        <w:pStyle w:val="UWTSDindent"/>
      </w:pPr>
      <w:r w:rsidRPr="00050DAE">
        <w:t xml:space="preserve">Before turning to Greek descent traditions, it is important to </w:t>
      </w:r>
      <w:r w:rsidR="00B62DEC" w:rsidRPr="00050DAE">
        <w:t xml:space="preserve">acknowledge that contrary to popular modern cultural homogenisation, the </w:t>
      </w:r>
      <w:r w:rsidR="009D60EB" w:rsidRPr="00050DAE">
        <w:t>organisation</w:t>
      </w:r>
      <w:r w:rsidR="00B62DEC" w:rsidRPr="00050DAE">
        <w:t xml:space="preserve"> and worship of various deities transformed over time and across the vast Hellenised, and later Romanised, realm of influence. As a result, there is no univocality when discussing Greek</w:t>
      </w:r>
      <w:r w:rsidR="006E5C33" w:rsidRPr="00050DAE">
        <w:t xml:space="preserve"> religious beliefs. This is particular</w:t>
      </w:r>
      <w:r w:rsidR="009523FF" w:rsidRPr="00050DAE">
        <w:t>ly</w:t>
      </w:r>
      <w:r w:rsidR="006E5C33" w:rsidRPr="00050DAE">
        <w:t xml:space="preserve"> true in analysing the concepts of death, the afterlife, and the possibility of return.</w:t>
      </w:r>
      <w:r w:rsidR="009523FF" w:rsidRPr="00050DAE">
        <w:t xml:space="preserve"> </w:t>
      </w:r>
      <w:r w:rsidRPr="00050DAE">
        <w:t xml:space="preserve">The focus here rests </w:t>
      </w:r>
      <w:r w:rsidR="008C3E4A" w:rsidRPr="00050DAE">
        <w:t>on the</w:t>
      </w:r>
      <w:r w:rsidR="009523FF" w:rsidRPr="00050DAE">
        <w:t xml:space="preserve"> descent </w:t>
      </w:r>
      <w:r w:rsidR="008C3E4A" w:rsidRPr="00050DAE">
        <w:t xml:space="preserve">articulated in the </w:t>
      </w:r>
      <w:r w:rsidR="008C3E4A" w:rsidRPr="00050DAE">
        <w:rPr>
          <w:i/>
          <w:iCs/>
        </w:rPr>
        <w:t>Homeric Hymn to Demeter</w:t>
      </w:r>
      <w:r w:rsidR="008C3E4A" w:rsidRPr="00050DAE">
        <w:t xml:space="preserve">, which </w:t>
      </w:r>
      <w:r w:rsidR="009523FF" w:rsidRPr="00050DAE">
        <w:t>established</w:t>
      </w:r>
      <w:r w:rsidR="008C3E4A" w:rsidRPr="00050DAE">
        <w:t xml:space="preserve"> the return from descent based on </w:t>
      </w:r>
      <w:r w:rsidR="009523FF" w:rsidRPr="00050DAE">
        <w:t>mediation and negotiation</w:t>
      </w:r>
      <w:r w:rsidR="008C3E4A" w:rsidRPr="00050DAE">
        <w:t>.</w:t>
      </w:r>
    </w:p>
    <w:p w14:paraId="2B33E580" w14:textId="1560086D" w:rsidR="008441E2" w:rsidRPr="00050DAE" w:rsidRDefault="00A031F6" w:rsidP="008441E2">
      <w:pPr>
        <w:pStyle w:val="Heading2"/>
        <w:rPr>
          <w:rFonts w:asciiTheme="majorBidi" w:hAnsiTheme="majorBidi"/>
          <w:color w:val="auto"/>
        </w:rPr>
      </w:pPr>
      <w:bookmarkStart w:id="151" w:name="_Toc234140256"/>
      <w:bookmarkStart w:id="152" w:name="_Toc234140507"/>
      <w:bookmarkStart w:id="153" w:name="_Toc234143687"/>
      <w:bookmarkStart w:id="154" w:name="_Toc234154316"/>
      <w:r w:rsidRPr="00050DAE">
        <w:rPr>
          <w:rFonts w:asciiTheme="majorBidi" w:hAnsiTheme="majorBidi"/>
          <w:color w:val="auto"/>
        </w:rPr>
        <w:t>5</w:t>
      </w:r>
      <w:r w:rsidR="008441E2" w:rsidRPr="00050DAE">
        <w:rPr>
          <w:rFonts w:asciiTheme="majorBidi" w:hAnsiTheme="majorBidi"/>
          <w:color w:val="auto"/>
        </w:rPr>
        <w:t>.1 Demeter</w:t>
      </w:r>
      <w:bookmarkEnd w:id="151"/>
      <w:bookmarkEnd w:id="152"/>
      <w:bookmarkEnd w:id="153"/>
      <w:bookmarkEnd w:id="154"/>
    </w:p>
    <w:p w14:paraId="33FF28EB" w14:textId="7725D03F" w:rsidR="00351826" w:rsidRPr="00050DAE" w:rsidRDefault="00955889" w:rsidP="00EE6050">
      <w:pPr>
        <w:pStyle w:val="UWTSDindent"/>
      </w:pPr>
      <w:r w:rsidRPr="00050DAE">
        <w:t>Among the Olympian deities, Demeter stands as one of the oldest and most essential figures, born of Cronos and Rhea and deeply rooted in the divine order of Greek cosmology.</w:t>
      </w:r>
      <w:r w:rsidR="009B2ACB" w:rsidRPr="00050DAE">
        <w:rPr>
          <w:rStyle w:val="FootnoteReference"/>
        </w:rPr>
        <w:footnoteReference w:id="241"/>
      </w:r>
      <w:r w:rsidR="0065005D" w:rsidRPr="00050DAE">
        <w:t xml:space="preserve"> </w:t>
      </w:r>
      <w:r w:rsidR="0004096B" w:rsidRPr="00050DAE">
        <w:t>Though</w:t>
      </w:r>
      <w:r w:rsidR="00036D0E" w:rsidRPr="00050DAE">
        <w:t xml:space="preserve"> she is most commonly </w:t>
      </w:r>
      <w:r w:rsidR="00B34197" w:rsidRPr="00050DAE">
        <w:t>identified</w:t>
      </w:r>
      <w:r w:rsidR="00036D0E" w:rsidRPr="00050DAE">
        <w:t xml:space="preserve"> as the goddess of grain and agriculture,</w:t>
      </w:r>
      <w:r w:rsidR="00254A8E" w:rsidRPr="00050DAE">
        <w:t xml:space="preserve"> </w:t>
      </w:r>
      <w:r w:rsidR="00B34197" w:rsidRPr="00050DAE">
        <w:t xml:space="preserve">her domain includes not only wheat and barley, but also fruit trees, cultivated landscapes, and animals associated with fertility. Her special relationship with pigs is demonstrated in the Eleusinian </w:t>
      </w:r>
      <w:r w:rsidR="00A72D1F" w:rsidRPr="00050DAE">
        <w:t>M</w:t>
      </w:r>
      <w:r w:rsidR="00B34197" w:rsidRPr="00050DAE">
        <w:t xml:space="preserve">ysteries as well as the </w:t>
      </w:r>
      <w:r w:rsidR="00B34197" w:rsidRPr="00050DAE">
        <w:rPr>
          <w:i/>
          <w:iCs/>
        </w:rPr>
        <w:t>Thesmophoria</w:t>
      </w:r>
      <w:r w:rsidR="00B34197" w:rsidRPr="00050DAE">
        <w:t>.</w:t>
      </w:r>
      <w:r w:rsidR="00B34197" w:rsidRPr="00050DAE">
        <w:rPr>
          <w:rStyle w:val="FootnoteReference"/>
        </w:rPr>
        <w:footnoteReference w:id="242"/>
      </w:r>
      <w:r w:rsidR="00351826" w:rsidRPr="00050DAE">
        <w:t xml:space="preserve"> In her role as a fertility goddess, she is </w:t>
      </w:r>
      <w:r w:rsidR="007E1109" w:rsidRPr="00050DAE">
        <w:t xml:space="preserve">often conceptualised as </w:t>
      </w:r>
      <w:r w:rsidR="00351826" w:rsidRPr="00050DAE">
        <w:t>the earth itself.</w:t>
      </w:r>
      <w:r w:rsidR="001B369A" w:rsidRPr="00050DAE">
        <w:rPr>
          <w:rStyle w:val="FootnoteReference"/>
        </w:rPr>
        <w:footnoteReference w:id="243"/>
      </w:r>
    </w:p>
    <w:p w14:paraId="3046B8C3" w14:textId="7B566A3A" w:rsidR="000A7B4B" w:rsidRPr="00050DAE" w:rsidRDefault="0004096B" w:rsidP="00BA35E7">
      <w:pPr>
        <w:pStyle w:val="UWTSDindent"/>
      </w:pPr>
      <w:r w:rsidRPr="00050DAE">
        <w:t>Although</w:t>
      </w:r>
      <w:r w:rsidR="00BA35E7" w:rsidRPr="00050DAE">
        <w:t xml:space="preserve"> Demeter</w:t>
      </w:r>
      <w:r w:rsidR="008301DC" w:rsidRPr="00050DAE">
        <w:t>’</w:t>
      </w:r>
      <w:r w:rsidR="00BA35E7" w:rsidRPr="00050DAE">
        <w:t xml:space="preserve">s origin remains </w:t>
      </w:r>
      <w:r w:rsidR="00F321A5" w:rsidRPr="00050DAE">
        <w:t>uncertain</w:t>
      </w:r>
      <w:r w:rsidR="00BA35E7" w:rsidRPr="00050DAE">
        <w:t>, t</w:t>
      </w:r>
      <w:r w:rsidR="00C51EF7" w:rsidRPr="00050DAE">
        <w:t>he etymology of Demeter</w:t>
      </w:r>
      <w:r w:rsidR="008301DC" w:rsidRPr="00050DAE">
        <w:t>’</w:t>
      </w:r>
      <w:r w:rsidR="00C51EF7" w:rsidRPr="00050DAE">
        <w:t xml:space="preserve">s name </w:t>
      </w:r>
      <w:r w:rsidR="00810041" w:rsidRPr="00050DAE">
        <w:t>reflects</w:t>
      </w:r>
      <w:r w:rsidR="00C51EF7" w:rsidRPr="00050DAE">
        <w:t xml:space="preserve"> her primordial significance. It is commonly interpreted as deriving from elements meaning </w:t>
      </w:r>
      <w:r w:rsidR="008301DC" w:rsidRPr="00050DAE">
        <w:t>“</w:t>
      </w:r>
      <w:r w:rsidR="00C51EF7" w:rsidRPr="00050DAE">
        <w:t>earth</w:t>
      </w:r>
      <w:r w:rsidR="008301DC" w:rsidRPr="00050DAE">
        <w:t>”</w:t>
      </w:r>
      <w:r w:rsidR="00C51EF7" w:rsidRPr="00050DAE">
        <w:t xml:space="preserve"> and </w:t>
      </w:r>
      <w:r w:rsidR="008301DC" w:rsidRPr="00050DAE">
        <w:t>“</w:t>
      </w:r>
      <w:r w:rsidR="00C51EF7" w:rsidRPr="00050DAE">
        <w:t>mother,</w:t>
      </w:r>
      <w:r w:rsidR="008301DC" w:rsidRPr="00050DAE">
        <w:t>”</w:t>
      </w:r>
      <w:r w:rsidR="00C51EF7" w:rsidRPr="00050DAE">
        <w:t xml:space="preserve"> yielding the sense of </w:t>
      </w:r>
      <w:r w:rsidR="008301DC" w:rsidRPr="00050DAE">
        <w:t>“</w:t>
      </w:r>
      <w:r w:rsidR="00C51EF7" w:rsidRPr="00050DAE">
        <w:t>Earth Mother,</w:t>
      </w:r>
      <w:r w:rsidR="008301DC" w:rsidRPr="00050DAE">
        <w:t>”</w:t>
      </w:r>
      <w:r w:rsidR="00C51EF7" w:rsidRPr="00050DAE">
        <w:t xml:space="preserve"> an interpretation supported by both ancient and modern scholarship.</w:t>
      </w:r>
      <w:r w:rsidR="00C51EF7" w:rsidRPr="00050DAE">
        <w:rPr>
          <w:rStyle w:val="FootnoteReference"/>
        </w:rPr>
        <w:footnoteReference w:id="244"/>
      </w:r>
      <w:r w:rsidR="00C51EF7" w:rsidRPr="00050DAE">
        <w:t xml:space="preserve"> Her epithets, including </w:t>
      </w:r>
      <w:r w:rsidR="00C51EF7" w:rsidRPr="00050DAE">
        <w:rPr>
          <w:i/>
          <w:iCs/>
        </w:rPr>
        <w:t>Deo</w:t>
      </w:r>
      <w:r w:rsidR="00C51EF7" w:rsidRPr="00050DAE">
        <w:t xml:space="preserve"> and </w:t>
      </w:r>
      <w:r w:rsidR="008301DC" w:rsidRPr="00050DAE">
        <w:t>“</w:t>
      </w:r>
      <w:r w:rsidR="00C51EF7" w:rsidRPr="00050DAE">
        <w:t>giver of prosperity,</w:t>
      </w:r>
      <w:r w:rsidR="008301DC" w:rsidRPr="00050DAE">
        <w:t>”</w:t>
      </w:r>
      <w:r w:rsidR="00C51EF7" w:rsidRPr="00050DAE">
        <w:t xml:space="preserve"> </w:t>
      </w:r>
      <w:r w:rsidR="00C020C4" w:rsidRPr="00050DAE">
        <w:t>emphasise</w:t>
      </w:r>
      <w:r w:rsidR="00C51EF7" w:rsidRPr="00050DAE">
        <w:t xml:space="preserve"> her function as a nurturing and life-sustaining deity.</w:t>
      </w:r>
      <w:r w:rsidR="00DD3C76" w:rsidRPr="00050DAE">
        <w:rPr>
          <w:rStyle w:val="FootnoteReference"/>
        </w:rPr>
        <w:footnoteReference w:id="245"/>
      </w:r>
      <w:r w:rsidR="00C51EF7" w:rsidRPr="00050DAE">
        <w:t xml:space="preserve"> In this capacity, Demeter embodies the earth not merely as physical ground but as a source of nourishment and continuity for human communities.</w:t>
      </w:r>
      <w:r w:rsidR="00BA35E7" w:rsidRPr="00050DAE">
        <w:t xml:space="preserve"> </w:t>
      </w:r>
    </w:p>
    <w:p w14:paraId="433D569C" w14:textId="7DD3D5A8" w:rsidR="00DE37E5" w:rsidRPr="00050DAE" w:rsidRDefault="00DE37E5" w:rsidP="00EE6050">
      <w:pPr>
        <w:pStyle w:val="UWTSDindent"/>
      </w:pPr>
      <w:r w:rsidRPr="00050DAE">
        <w:t>The worship of Demeter was widespread across the Greek world and beyond, extending from mainland Greece to the eastern Mediterranean and the Italian peninsula, where she was identified with the Roman goddess Ceres.</w:t>
      </w:r>
      <w:r w:rsidR="00EC62D6" w:rsidRPr="00050DAE">
        <w:rPr>
          <w:rStyle w:val="FootnoteReference"/>
        </w:rPr>
        <w:footnoteReference w:id="246"/>
      </w:r>
      <w:r w:rsidRPr="00050DAE">
        <w:t xml:space="preserve"> Her cult took many forms, ranging from major sanctuary complexes such as Eleusis to smaller rural shrines located in agricultural settings.</w:t>
      </w:r>
      <w:r w:rsidR="001F0745" w:rsidRPr="00050DAE">
        <w:rPr>
          <w:rStyle w:val="FootnoteReference"/>
        </w:rPr>
        <w:footnoteReference w:id="247"/>
      </w:r>
      <w:r w:rsidRPr="00050DAE">
        <w:t xml:space="preserve"> This diversity reflects the integration of her worship into both civic and local contexts. Festivals such as the </w:t>
      </w:r>
      <w:r w:rsidRPr="00050DAE">
        <w:rPr>
          <w:i/>
          <w:iCs/>
        </w:rPr>
        <w:t>Thesmophoria</w:t>
      </w:r>
      <w:r w:rsidRPr="00050DAE">
        <w:t xml:space="preserve"> </w:t>
      </w:r>
      <w:r w:rsidR="000E6FD4" w:rsidRPr="00050DAE">
        <w:t xml:space="preserve">and the </w:t>
      </w:r>
      <w:r w:rsidR="000E6FD4" w:rsidRPr="00050DAE">
        <w:rPr>
          <w:i/>
          <w:iCs/>
        </w:rPr>
        <w:t>Stenia</w:t>
      </w:r>
      <w:r w:rsidR="000E6FD4" w:rsidRPr="00050DAE">
        <w:t xml:space="preserve"> </w:t>
      </w:r>
      <w:r w:rsidRPr="00050DAE">
        <w:t>celebrated primarily by women, highlight the close association between agricultural fertility and human reproduction, reinforcing Demeter</w:t>
      </w:r>
      <w:r w:rsidR="008301DC" w:rsidRPr="00050DAE">
        <w:t>’</w:t>
      </w:r>
      <w:r w:rsidRPr="00050DAE">
        <w:t>s role as a mediator of life in multiple domains</w:t>
      </w:r>
      <w:r w:rsidR="000E6FD4" w:rsidRPr="00050DAE">
        <w:t>.</w:t>
      </w:r>
      <w:r w:rsidR="000E6FD4" w:rsidRPr="00050DAE">
        <w:rPr>
          <w:rStyle w:val="FootnoteReference"/>
        </w:rPr>
        <w:footnoteReference w:id="248"/>
      </w:r>
    </w:p>
    <w:p w14:paraId="659D73CA" w14:textId="74E6474B" w:rsidR="00912B1E" w:rsidRPr="00050DAE" w:rsidRDefault="00F321A5" w:rsidP="00EE6050">
      <w:pPr>
        <w:pStyle w:val="UWTSDindent"/>
      </w:pPr>
      <w:r w:rsidRPr="00050DAE">
        <w:t>Reverence for Demeter extends beyond agriculture</w:t>
      </w:r>
      <w:r w:rsidR="00B357DE" w:rsidRPr="00050DAE">
        <w:t>.</w:t>
      </w:r>
      <w:r w:rsidR="00254A8E" w:rsidRPr="00050DAE">
        <w:t xml:space="preserve"> </w:t>
      </w:r>
      <w:r w:rsidR="00B357DE" w:rsidRPr="00050DAE">
        <w:t>S</w:t>
      </w:r>
      <w:r w:rsidR="00351826" w:rsidRPr="00050DAE">
        <w:t xml:space="preserve">he is </w:t>
      </w:r>
      <w:r w:rsidR="002956F3" w:rsidRPr="00050DAE">
        <w:t xml:space="preserve">considered </w:t>
      </w:r>
      <w:r w:rsidR="00351826" w:rsidRPr="00050DAE">
        <w:t xml:space="preserve">responsible for </w:t>
      </w:r>
      <w:r w:rsidR="00DD0AF6" w:rsidRPr="00050DAE">
        <w:t>domesticat</w:t>
      </w:r>
      <w:r w:rsidR="000E6FD4" w:rsidRPr="00050DAE">
        <w:t>ing</w:t>
      </w:r>
      <w:r w:rsidR="00DD0AF6" w:rsidRPr="00050DAE">
        <w:t xml:space="preserve"> plants</w:t>
      </w:r>
      <w:r w:rsidR="000E6FD4" w:rsidRPr="00050DAE">
        <w:t>,</w:t>
      </w:r>
      <w:r w:rsidR="00DD0AF6" w:rsidRPr="00050DAE">
        <w:t xml:space="preserve"> </w:t>
      </w:r>
      <w:r w:rsidR="00351826" w:rsidRPr="00050DAE">
        <w:t>inventing</w:t>
      </w:r>
      <w:r w:rsidR="009928F6" w:rsidRPr="00050DAE">
        <w:t xml:space="preserve"> cultivation</w:t>
      </w:r>
      <w:r w:rsidR="000E6FD4" w:rsidRPr="00050DAE">
        <w:t>,</w:t>
      </w:r>
      <w:r w:rsidR="009928F6" w:rsidRPr="00050DAE">
        <w:t xml:space="preserve"> </w:t>
      </w:r>
      <w:r w:rsidR="00DD0AF6" w:rsidRPr="00050DAE">
        <w:t xml:space="preserve">and </w:t>
      </w:r>
      <w:r w:rsidRPr="00050DAE">
        <w:t>establishing the practices of cultivation and harvest</w:t>
      </w:r>
      <w:r w:rsidR="00DD0AF6" w:rsidRPr="00050DAE">
        <w:t>.</w:t>
      </w:r>
      <w:r w:rsidR="004B028F" w:rsidRPr="00050DAE">
        <w:rPr>
          <w:rStyle w:val="FootnoteReference"/>
        </w:rPr>
        <w:footnoteReference w:id="249"/>
      </w:r>
      <w:r w:rsidR="00DB0939" w:rsidRPr="00050DAE">
        <w:t xml:space="preserve"> </w:t>
      </w:r>
      <w:r w:rsidR="00351826" w:rsidRPr="00050DAE">
        <w:t>T</w:t>
      </w:r>
      <w:r w:rsidR="00B0608A" w:rsidRPr="00050DAE">
        <w:t xml:space="preserve">he </w:t>
      </w:r>
      <w:r w:rsidR="00B0608A" w:rsidRPr="00050DAE">
        <w:rPr>
          <w:i/>
          <w:iCs/>
        </w:rPr>
        <w:t xml:space="preserve">Orphic Hymn </w:t>
      </w:r>
      <w:r w:rsidRPr="00050DAE">
        <w:rPr>
          <w:i/>
          <w:iCs/>
        </w:rPr>
        <w:t>t</w:t>
      </w:r>
      <w:r w:rsidR="00B0608A" w:rsidRPr="00050DAE">
        <w:rPr>
          <w:i/>
          <w:iCs/>
        </w:rPr>
        <w:t>o Demeter</w:t>
      </w:r>
      <w:r w:rsidR="00B0608A" w:rsidRPr="00050DAE">
        <w:t xml:space="preserve"> </w:t>
      </w:r>
      <w:r w:rsidR="00C020C4" w:rsidRPr="00050DAE">
        <w:t>emphasise</w:t>
      </w:r>
      <w:r w:rsidR="00351826" w:rsidRPr="00050DAE">
        <w:t xml:space="preserve">s her continuous involvement in the agricultural cycle, describing her as </w:t>
      </w:r>
      <w:r w:rsidR="008301DC" w:rsidRPr="00050DAE">
        <w:t>“</w:t>
      </w:r>
      <w:r w:rsidR="00B0608A" w:rsidRPr="00050DAE">
        <w:t>Present at sowing, heaping, and threshing.</w:t>
      </w:r>
      <w:r w:rsidR="008301DC" w:rsidRPr="00050DAE">
        <w:t>”</w:t>
      </w:r>
      <w:r w:rsidR="00B0608A" w:rsidRPr="00050DAE">
        <w:rPr>
          <w:rStyle w:val="FootnoteReference"/>
        </w:rPr>
        <w:footnoteReference w:id="250"/>
      </w:r>
      <w:r w:rsidR="00E506E4" w:rsidRPr="00050DAE">
        <w:t xml:space="preserve"> </w:t>
      </w:r>
      <w:r w:rsidR="00D77ACC" w:rsidRPr="00050DAE">
        <w:t>The hymn portrays Demeter as continuously present within the agricultural cycle, overseeing and sustaining each phase of cultivation and harvest. Her role consequently extended beyond economic productivity into the religious sphere, where successful agriculture depended upon divine approval and presence.</w:t>
      </w:r>
      <w:r w:rsidR="00EA7F3B" w:rsidRPr="00050DAE">
        <w:rPr>
          <w:rStyle w:val="FootnoteReference"/>
        </w:rPr>
        <w:footnoteReference w:id="251"/>
      </w:r>
    </w:p>
    <w:p w14:paraId="65170293" w14:textId="3D6EE2F5" w:rsidR="00955889" w:rsidRPr="00050DAE" w:rsidRDefault="00E93A25" w:rsidP="00955889">
      <w:pPr>
        <w:pStyle w:val="UWTSDindent"/>
      </w:pPr>
      <w:r w:rsidRPr="00050DAE">
        <w:t>The consequences of her withdrawal are revealed</w:t>
      </w:r>
      <w:r w:rsidR="00B357DE" w:rsidRPr="00050DAE">
        <w:t xml:space="preserve"> </w:t>
      </w:r>
      <w:r w:rsidR="00912B1E" w:rsidRPr="00050DAE">
        <w:t xml:space="preserve">in the </w:t>
      </w:r>
      <w:r w:rsidR="00912B1E" w:rsidRPr="00050DAE">
        <w:rPr>
          <w:i/>
          <w:iCs/>
        </w:rPr>
        <w:t>Homeric Hymn to Demeter</w:t>
      </w:r>
      <w:r w:rsidR="00254A8E" w:rsidRPr="00050DAE">
        <w:rPr>
          <w:i/>
          <w:iCs/>
        </w:rPr>
        <w:t xml:space="preserve"> </w:t>
      </w:r>
      <w:r w:rsidR="00912B1E" w:rsidRPr="00050DAE">
        <w:t xml:space="preserve">where it </w:t>
      </w:r>
      <w:r w:rsidR="002F71FD" w:rsidRPr="00050DAE">
        <w:t>exposes</w:t>
      </w:r>
      <w:r w:rsidR="00912B1E" w:rsidRPr="00050DAE">
        <w:t xml:space="preserve"> a deity whose power includes not only the capacity to generate life but also </w:t>
      </w:r>
      <w:r w:rsidR="0039626C" w:rsidRPr="00050DAE">
        <w:t xml:space="preserve">to </w:t>
      </w:r>
      <w:r w:rsidR="00DF5486" w:rsidRPr="00050DAE">
        <w:t>extinguish</w:t>
      </w:r>
      <w:r w:rsidR="00912B1E" w:rsidRPr="00050DAE">
        <w:t xml:space="preserve"> it.</w:t>
      </w:r>
      <w:r w:rsidR="00EC62D6" w:rsidRPr="00050DAE">
        <w:rPr>
          <w:rStyle w:val="FootnoteReference"/>
        </w:rPr>
        <w:footnoteReference w:id="252"/>
      </w:r>
      <w:r w:rsidR="00912B1E" w:rsidRPr="00050DAE">
        <w:t xml:space="preserve"> </w:t>
      </w:r>
      <w:r w:rsidRPr="00050DAE">
        <w:t>W</w:t>
      </w:r>
      <w:r w:rsidR="00912B1E" w:rsidRPr="00050DAE">
        <w:t>hen her daughter is lost, Demeter</w:t>
      </w:r>
      <w:r w:rsidR="008301DC" w:rsidRPr="00050DAE">
        <w:t>’</w:t>
      </w:r>
      <w:r w:rsidR="00912B1E" w:rsidRPr="00050DAE">
        <w:t>s renunciation of her duties threatens not only the survival of humanity but the gods as well.</w:t>
      </w:r>
      <w:r w:rsidR="00DE37E5" w:rsidRPr="00050DAE">
        <w:rPr>
          <w:rStyle w:val="FootnoteReference"/>
        </w:rPr>
        <w:footnoteReference w:id="253"/>
      </w:r>
      <w:r w:rsidR="00DE37E5" w:rsidRPr="00050DAE">
        <w:t xml:space="preserve"> </w:t>
      </w:r>
      <w:r w:rsidRPr="00050DAE">
        <w:t>T</w:t>
      </w:r>
      <w:r w:rsidR="00955889" w:rsidRPr="00050DAE">
        <w:t xml:space="preserve">he hymn presents Demeter as a divine presence whose </w:t>
      </w:r>
      <w:r w:rsidR="001C68B2" w:rsidRPr="00050DAE">
        <w:t>favour</w:t>
      </w:r>
      <w:r w:rsidR="00955889" w:rsidRPr="00050DAE">
        <w:t xml:space="preserve"> sustains both the natural world and human society.</w:t>
      </w:r>
    </w:p>
    <w:p w14:paraId="465358BF" w14:textId="2D2FE683" w:rsidR="00DF5486" w:rsidRPr="00050DAE" w:rsidRDefault="00AB1E3A" w:rsidP="008D7988">
      <w:pPr>
        <w:pStyle w:val="UWTSDindent"/>
      </w:pPr>
      <w:r w:rsidRPr="00050DAE">
        <w:t>Central to Demeter</w:t>
      </w:r>
      <w:r w:rsidR="008301DC" w:rsidRPr="00050DAE">
        <w:t>’</w:t>
      </w:r>
      <w:r w:rsidRPr="00050DAE">
        <w:t xml:space="preserve">s identity is her relationship with her daughter Kore, </w:t>
      </w:r>
      <w:r w:rsidR="001C68B2" w:rsidRPr="00050DAE">
        <w:t>also</w:t>
      </w:r>
      <w:r w:rsidRPr="00050DAE">
        <w:t xml:space="preserve"> known as Persephone. </w:t>
      </w:r>
      <w:r w:rsidR="008D7988" w:rsidRPr="00050DAE">
        <w:t xml:space="preserve">The bond between Demeter and Persephone stands at the </w:t>
      </w:r>
      <w:r w:rsidR="001C68B2" w:rsidRPr="00050DAE">
        <w:t>centre</w:t>
      </w:r>
      <w:r w:rsidR="008D7988" w:rsidRPr="00050DAE">
        <w:t xml:space="preserve"> of Greek reflections on mourning, fertility, renewal, and the cyclical patterns governing human and natural life. </w:t>
      </w:r>
      <w:r w:rsidRPr="00050DAE">
        <w:t xml:space="preserve">In the dominant </w:t>
      </w:r>
      <w:r w:rsidR="00722DE4" w:rsidRPr="00050DAE">
        <w:t>account</w:t>
      </w:r>
      <w:r w:rsidRPr="00050DAE">
        <w:t xml:space="preserve"> preserved in the </w:t>
      </w:r>
      <w:r w:rsidRPr="00050DAE">
        <w:rPr>
          <w:i/>
          <w:iCs/>
        </w:rPr>
        <w:t>Homeric Hymn to Demeter</w:t>
      </w:r>
      <w:r w:rsidRPr="00050DAE">
        <w:t>, Persephone is the daughter of Demeter and Zeus.</w:t>
      </w:r>
      <w:r w:rsidRPr="00050DAE">
        <w:rPr>
          <w:rStyle w:val="FootnoteReference"/>
        </w:rPr>
        <w:footnoteReference w:id="254"/>
      </w:r>
      <w:r w:rsidR="0039626C" w:rsidRPr="00050DAE">
        <w:t xml:space="preserve"> </w:t>
      </w:r>
      <w:r w:rsidR="008D7988" w:rsidRPr="00050DAE">
        <w:t xml:space="preserve">Regional Arcadian </w:t>
      </w:r>
      <w:r w:rsidR="00722DE4" w:rsidRPr="00050DAE">
        <w:t>sources</w:t>
      </w:r>
      <w:r w:rsidR="008D7988" w:rsidRPr="00050DAE">
        <w:t xml:space="preserve"> portray Demeter in </w:t>
      </w:r>
      <w:r w:rsidR="00435483" w:rsidRPr="00050DAE">
        <w:t>a quite different</w:t>
      </w:r>
      <w:r w:rsidR="008D7988" w:rsidRPr="00050DAE">
        <w:t xml:space="preserve"> light. Seeking to avoid Poseidon, she takes the form of a mare, yet he overtakes her as a stallion, and their union produces the horse Areion along with a chthonic child associated with the Erinyes.</w:t>
      </w:r>
      <w:r w:rsidR="008D7988" w:rsidRPr="00050DAE">
        <w:rPr>
          <w:rStyle w:val="FootnoteReference"/>
        </w:rPr>
        <w:footnoteReference w:id="255"/>
      </w:r>
      <w:r w:rsidR="008D7988" w:rsidRPr="00050DAE">
        <w:t xml:space="preserve"> Arcadian worship nevertheless honoured Demeter alongside Poseidon, suggesting that her identity could encompass both fertility and deeply unsettling chthonic associations.</w:t>
      </w:r>
      <w:r w:rsidR="008D7988" w:rsidRPr="00050DAE">
        <w:rPr>
          <w:rStyle w:val="FootnoteReference"/>
        </w:rPr>
        <w:footnoteReference w:id="256"/>
      </w:r>
      <w:r w:rsidR="008D7988" w:rsidRPr="00050DAE">
        <w:t xml:space="preserve"> </w:t>
      </w:r>
      <w:r w:rsidR="00FE3926" w:rsidRPr="00050DAE">
        <w:t>Such accounts, though peripheral to Eleusis, underscore the broader range of Demeter</w:t>
      </w:r>
      <w:r w:rsidR="008301DC" w:rsidRPr="00050DAE">
        <w:t>’</w:t>
      </w:r>
      <w:r w:rsidR="00FE3926" w:rsidRPr="00050DAE">
        <w:t>s associations with fertility and chthonic power. Within these traditions, the figure of Kore remains central to the theological developments explored below.</w:t>
      </w:r>
    </w:p>
    <w:p w14:paraId="3D529A13" w14:textId="6DCC9B84" w:rsidR="00C11FA2" w:rsidRPr="00050DAE" w:rsidRDefault="00A031F6" w:rsidP="003D57F1">
      <w:pPr>
        <w:pStyle w:val="Heading2"/>
        <w:rPr>
          <w:rFonts w:asciiTheme="majorBidi" w:hAnsiTheme="majorBidi"/>
          <w:color w:val="auto"/>
        </w:rPr>
      </w:pPr>
      <w:bookmarkStart w:id="155" w:name="_Toc234140257"/>
      <w:bookmarkStart w:id="156" w:name="_Toc234140508"/>
      <w:bookmarkStart w:id="157" w:name="_Toc234143688"/>
      <w:bookmarkStart w:id="158" w:name="_Toc234154317"/>
      <w:r w:rsidRPr="00050DAE">
        <w:rPr>
          <w:rFonts w:asciiTheme="majorBidi" w:hAnsiTheme="majorBidi"/>
          <w:color w:val="auto"/>
        </w:rPr>
        <w:t>5</w:t>
      </w:r>
      <w:r w:rsidR="008441E2" w:rsidRPr="00050DAE">
        <w:rPr>
          <w:rFonts w:asciiTheme="majorBidi" w:hAnsiTheme="majorBidi"/>
          <w:color w:val="auto"/>
        </w:rPr>
        <w:t>.2 Kore/Persephone</w:t>
      </w:r>
      <w:bookmarkEnd w:id="155"/>
      <w:bookmarkEnd w:id="156"/>
      <w:bookmarkEnd w:id="157"/>
      <w:bookmarkEnd w:id="158"/>
    </w:p>
    <w:p w14:paraId="03756815" w14:textId="69BCCAF1" w:rsidR="00CD2AC8" w:rsidRPr="00050DAE" w:rsidRDefault="00C11FA2" w:rsidP="00EE6050">
      <w:pPr>
        <w:pStyle w:val="UWTSDindent"/>
        <w:rPr>
          <w:sz w:val="22"/>
        </w:rPr>
      </w:pPr>
      <w:r w:rsidRPr="00050DAE">
        <w:t xml:space="preserve">Persephone, known in her earlier aspect as Kore, occupies a central position within Greek religious thought as both the daughter of Demeter and a figure </w:t>
      </w:r>
      <w:r w:rsidR="001542DD" w:rsidRPr="00050DAE">
        <w:t>whose identity extends into the domain of the underworld.</w:t>
      </w:r>
      <w:r w:rsidR="00EA7F3B" w:rsidRPr="00050DAE">
        <w:rPr>
          <w:rStyle w:val="FootnoteReference"/>
        </w:rPr>
        <w:footnoteReference w:id="257"/>
      </w:r>
      <w:r w:rsidR="001542DD" w:rsidRPr="00050DAE">
        <w:t xml:space="preserve"> As the offspring of Demeter and Zeus, she belongs to the first generation of Olympian divinities, yet her function within myth and cult distinguishes her from the other children of the divine order.</w:t>
      </w:r>
      <w:r w:rsidR="001542DD" w:rsidRPr="00050DAE">
        <w:rPr>
          <w:rStyle w:val="FootnoteReference"/>
          <w:sz w:val="22"/>
        </w:rPr>
        <w:footnoteReference w:id="258"/>
      </w:r>
      <w:r w:rsidR="00254A8E" w:rsidRPr="00050DAE">
        <w:rPr>
          <w:sz w:val="22"/>
        </w:rPr>
        <w:t xml:space="preserve"> </w:t>
      </w:r>
    </w:p>
    <w:p w14:paraId="761D8AE1" w14:textId="571F4505" w:rsidR="001542DD" w:rsidRPr="00050DAE" w:rsidRDefault="001542DD" w:rsidP="00EE6050">
      <w:pPr>
        <w:pStyle w:val="UWTSDindent"/>
      </w:pPr>
      <w:r w:rsidRPr="00050DAE">
        <w:t xml:space="preserve">Her dual naming reflects this distinction. The title </w:t>
      </w:r>
      <w:r w:rsidRPr="00050DAE">
        <w:rPr>
          <w:i/>
          <w:iCs/>
        </w:rPr>
        <w:t>Kore</w:t>
      </w:r>
      <w:r w:rsidRPr="00050DAE">
        <w:t xml:space="preserve">, meaning </w:t>
      </w:r>
      <w:r w:rsidR="008301DC" w:rsidRPr="00050DAE">
        <w:t>“</w:t>
      </w:r>
      <w:r w:rsidRPr="00050DAE">
        <w:t>maiden,</w:t>
      </w:r>
      <w:r w:rsidR="008301DC" w:rsidRPr="00050DAE">
        <w:t>”</w:t>
      </w:r>
      <w:r w:rsidRPr="00050DAE">
        <w:t xml:space="preserve"> </w:t>
      </w:r>
      <w:r w:rsidR="00C020C4" w:rsidRPr="00050DAE">
        <w:t>emphasise</w:t>
      </w:r>
      <w:r w:rsidRPr="00050DAE">
        <w:t>s her youth and association with fertility and growth</w:t>
      </w:r>
      <w:r w:rsidR="00E05EFB" w:rsidRPr="00050DAE">
        <w:t>.</w:t>
      </w:r>
      <w:r w:rsidR="00E05EFB" w:rsidRPr="00050DAE">
        <w:rPr>
          <w:rStyle w:val="FootnoteReference"/>
          <w:sz w:val="22"/>
        </w:rPr>
        <w:footnoteReference w:id="259"/>
      </w:r>
      <w:r w:rsidR="00CD2AC8" w:rsidRPr="00050DAE">
        <w:t xml:space="preserve"> </w:t>
      </w:r>
      <w:r w:rsidR="00E05EFB" w:rsidRPr="00050DAE">
        <w:t>While the origin of Perseph</w:t>
      </w:r>
      <w:r w:rsidR="00A77E91" w:rsidRPr="00050DAE">
        <w:t>one</w:t>
      </w:r>
      <w:r w:rsidR="008301DC" w:rsidRPr="00050DAE">
        <w:t>’</w:t>
      </w:r>
      <w:r w:rsidR="00A77E91" w:rsidRPr="00050DAE">
        <w:t xml:space="preserve">s name is debated, </w:t>
      </w:r>
      <w:r w:rsidR="00E05EFB" w:rsidRPr="00050DAE">
        <w:t xml:space="preserve">Beekes and van Beek assert that </w:t>
      </w:r>
      <w:r w:rsidRPr="00050DAE">
        <w:t>the name</w:t>
      </w:r>
      <w:r w:rsidR="00A77E91" w:rsidRPr="00050DAE">
        <w:t xml:space="preserve"> Пερσεφóvη </w:t>
      </w:r>
      <w:r w:rsidR="008301DC" w:rsidRPr="00050DAE">
        <w:t>“</w:t>
      </w:r>
      <w:r w:rsidR="00A77E91" w:rsidRPr="00050DAE">
        <w:t>refers to a female thresher of corn.</w:t>
      </w:r>
      <w:r w:rsidR="008301DC" w:rsidRPr="00050DAE">
        <w:t>”</w:t>
      </w:r>
      <w:r w:rsidR="00A77E91" w:rsidRPr="00050DAE">
        <w:rPr>
          <w:rStyle w:val="FootnoteReference"/>
          <w:sz w:val="22"/>
        </w:rPr>
        <w:footnoteReference w:id="260"/>
      </w:r>
      <w:r w:rsidR="00CD2AC8" w:rsidRPr="00050DAE">
        <w:t xml:space="preserve"> </w:t>
      </w:r>
      <w:r w:rsidR="004B06F4" w:rsidRPr="00050DAE">
        <w:t>The distinction between Kore and Persephone is not expressed as a formal renaming within the narrative but as a shift in status.</w:t>
      </w:r>
      <w:r w:rsidR="0097585B" w:rsidRPr="00050DAE">
        <w:rPr>
          <w:rStyle w:val="FootnoteReference"/>
        </w:rPr>
        <w:footnoteReference w:id="261"/>
      </w:r>
      <w:r w:rsidR="004B06F4" w:rsidRPr="00050DAE">
        <w:t xml:space="preserve"> </w:t>
      </w:r>
      <w:r w:rsidR="0004096B" w:rsidRPr="00050DAE">
        <w:t>Though</w:t>
      </w:r>
      <w:r w:rsidR="004B06F4" w:rsidRPr="00050DAE">
        <w:t xml:space="preserve"> Kore </w:t>
      </w:r>
      <w:r w:rsidR="00C020C4" w:rsidRPr="00050DAE">
        <w:t>emphasise</w:t>
      </w:r>
      <w:r w:rsidR="004B06F4" w:rsidRPr="00050DAE">
        <w:t xml:space="preserve">s the maiden identity associated with Demeter, the emergence of Persephone corresponds with the acquisition of maturity and a new role within the underworld, a transition marked in the </w:t>
      </w:r>
      <w:r w:rsidR="004B06F4" w:rsidRPr="00050DAE">
        <w:rPr>
          <w:i/>
          <w:iCs/>
        </w:rPr>
        <w:t>Homeric Hymn</w:t>
      </w:r>
      <w:r w:rsidR="004B06F4" w:rsidRPr="00050DAE">
        <w:t xml:space="preserve"> by changes in language and </w:t>
      </w:r>
      <w:r w:rsidR="00D60948" w:rsidRPr="00050DAE">
        <w:t>characterisation</w:t>
      </w:r>
      <w:r w:rsidR="004B06F4" w:rsidRPr="00050DAE">
        <w:t>.</w:t>
      </w:r>
      <w:r w:rsidR="00643A82" w:rsidRPr="00050DAE">
        <w:rPr>
          <w:rStyle w:val="FootnoteReference"/>
          <w:sz w:val="22"/>
        </w:rPr>
        <w:footnoteReference w:id="262"/>
      </w:r>
    </w:p>
    <w:p w14:paraId="4F276AEC" w14:textId="6CA625AE" w:rsidR="00093263" w:rsidRPr="00050DAE" w:rsidRDefault="00D71D4B" w:rsidP="00093263">
      <w:pPr>
        <w:pStyle w:val="UWTSDindent"/>
      </w:pPr>
      <w:r w:rsidRPr="00050DAE">
        <w:t xml:space="preserve">In her aspect as Kore, she is </w:t>
      </w:r>
      <w:r w:rsidR="00FF7B89" w:rsidRPr="00050DAE">
        <w:t>strongly associated</w:t>
      </w:r>
      <w:r w:rsidRPr="00050DAE">
        <w:t xml:space="preserve"> with the natural world, particularly with the imagery of flowers, meadows, and the generative processes of the earth. Literary </w:t>
      </w:r>
      <w:r w:rsidR="00165F85" w:rsidRPr="00050DAE">
        <w:t>depictions</w:t>
      </w:r>
      <w:r w:rsidRPr="00050DAE">
        <w:t xml:space="preserve"> consistently situate her within landscapes of abundance, where she is depicted gathering flowers in the company of divine companions.</w:t>
      </w:r>
      <w:r w:rsidRPr="00050DAE">
        <w:rPr>
          <w:rStyle w:val="FootnoteReference"/>
        </w:rPr>
        <w:footnoteReference w:id="263"/>
      </w:r>
      <w:r w:rsidR="00CD2AC8" w:rsidRPr="00050DAE">
        <w:t xml:space="preserve"> </w:t>
      </w:r>
      <w:r w:rsidRPr="00050DAE">
        <w:t xml:space="preserve">This setting aligns her with the agricultural cycle governed by Demeter, reinforcing her role as an extension of maternal fertility. </w:t>
      </w:r>
      <w:r w:rsidR="00093263" w:rsidRPr="00050DAE">
        <w:t xml:space="preserve">At the same time, the emphasis on youth and transition suggests a figure not yet fixed in function, positioned between </w:t>
      </w:r>
      <w:r w:rsidR="00991402" w:rsidRPr="00050DAE">
        <w:t>states,</w:t>
      </w:r>
      <w:r w:rsidR="00093263" w:rsidRPr="00050DAE">
        <w:t xml:space="preserve"> and not fully defined by any single role.</w:t>
      </w:r>
    </w:p>
    <w:p w14:paraId="5FCAA578" w14:textId="079CF6A1" w:rsidR="002274EC" w:rsidRPr="00050DAE" w:rsidRDefault="002274EC" w:rsidP="00093263">
      <w:pPr>
        <w:pStyle w:val="UWTSDindent"/>
      </w:pPr>
      <w:r w:rsidRPr="00050DAE">
        <w:t xml:space="preserve">The transformation of Kore into Persephone marks a significant expansion of her domain. Through her union with </w:t>
      </w:r>
      <w:r w:rsidR="00B27516" w:rsidRPr="00050DAE">
        <w:t>Hādēs</w:t>
      </w:r>
      <w:r w:rsidRPr="00050DAE">
        <w:t xml:space="preserve">, she assumes authority within the underworld, becoming a central figure in the ordering of the dead. This role is not marginal but integral to Greek conceptions of cosmic balance, as Persephone presides alongside </w:t>
      </w:r>
      <w:r w:rsidR="00B27516" w:rsidRPr="00050DAE">
        <w:t>Hādēs</w:t>
      </w:r>
      <w:r w:rsidRPr="00050DAE">
        <w:t xml:space="preserve"> over a realm that receives all mortal life.</w:t>
      </w:r>
      <w:r w:rsidR="006147EE" w:rsidRPr="00050DAE">
        <w:rPr>
          <w:rStyle w:val="FootnoteReference"/>
        </w:rPr>
        <w:footnoteReference w:id="264"/>
      </w:r>
      <w:r w:rsidRPr="00050DAE">
        <w:t xml:space="preserve"> Her position within this domain link</w:t>
      </w:r>
      <w:r w:rsidR="006147EE" w:rsidRPr="00050DAE">
        <w:t>s</w:t>
      </w:r>
      <w:r w:rsidRPr="00050DAE">
        <w:t xml:space="preserve"> the processes of life and death without dissolving the boundary between them.</w:t>
      </w:r>
    </w:p>
    <w:p w14:paraId="7A1CD0FA" w14:textId="61CC4747" w:rsidR="002274EC" w:rsidRPr="00050DAE" w:rsidRDefault="002274EC" w:rsidP="00EE6050">
      <w:pPr>
        <w:pStyle w:val="UWTSDindent"/>
      </w:pPr>
      <w:r w:rsidRPr="00050DAE">
        <w:t xml:space="preserve">Despite her association with the underworld, Persephone retains a persistent connection to the world above. </w:t>
      </w:r>
      <w:r w:rsidR="00955251" w:rsidRPr="00050DAE">
        <w:t>Persephone</w:t>
      </w:r>
      <w:r w:rsidR="008301DC" w:rsidRPr="00050DAE">
        <w:t>’</w:t>
      </w:r>
      <w:r w:rsidR="00955251" w:rsidRPr="00050DAE">
        <w:t>s descent centres on cyclical return</w:t>
      </w:r>
      <w:r w:rsidRPr="00050DAE">
        <w:t xml:space="preserve">, which becomes fundamental to the </w:t>
      </w:r>
      <w:r w:rsidR="00021C92" w:rsidRPr="00050DAE">
        <w:t>mythological narrative</w:t>
      </w:r>
      <w:r w:rsidRPr="00050DAE">
        <w:t xml:space="preserve"> of seasonal change and agricultural renewal.</w:t>
      </w:r>
      <w:r w:rsidR="00B72852" w:rsidRPr="00050DAE">
        <w:rPr>
          <w:rStyle w:val="FootnoteReference"/>
        </w:rPr>
        <w:footnoteReference w:id="265"/>
      </w:r>
      <w:r w:rsidRPr="00050DAE">
        <w:t xml:space="preserve"> Her movement between realms reflects a broader pattern in which fertility and absence are interdependent, each defined in relation to the other. In this capacity, Persephone functions as a mediating figure whose presence ensures the continuation of natural and social order.</w:t>
      </w:r>
      <w:r w:rsidR="004E7DAB" w:rsidRPr="00050DAE">
        <w:rPr>
          <w:rStyle w:val="FootnoteReference"/>
        </w:rPr>
        <w:footnoteReference w:id="266"/>
      </w:r>
    </w:p>
    <w:p w14:paraId="51D47090" w14:textId="57E85FA1" w:rsidR="002274EC" w:rsidRPr="00050DAE" w:rsidRDefault="002274EC" w:rsidP="00EE6050">
      <w:pPr>
        <w:pStyle w:val="UWTSDindent"/>
      </w:pPr>
      <w:r w:rsidRPr="00050DAE">
        <w:t>Persephone</w:t>
      </w:r>
      <w:r w:rsidR="008301DC" w:rsidRPr="00050DAE">
        <w:t>’</w:t>
      </w:r>
      <w:r w:rsidRPr="00050DAE">
        <w:t>s religious significance extends into cultic practice, where she is invoked alongside Demeter in both public and initiatory contexts.</w:t>
      </w:r>
      <w:r w:rsidR="004E7DAB" w:rsidRPr="00050DAE">
        <w:rPr>
          <w:rStyle w:val="FootnoteReference"/>
        </w:rPr>
        <w:footnoteReference w:id="267"/>
      </w:r>
      <w:r w:rsidRPr="00050DAE">
        <w:t xml:space="preserve"> In the Orphic tradition, she is described as possessing power over both life and death, sustaining mortals </w:t>
      </w:r>
      <w:r w:rsidR="0004096B" w:rsidRPr="00050DAE">
        <w:t>whilst</w:t>
      </w:r>
      <w:r w:rsidRPr="00050DAE">
        <w:t xml:space="preserve"> also governing their end. </w:t>
      </w:r>
      <w:r w:rsidR="00AE1920" w:rsidRPr="00050DAE">
        <w:t xml:space="preserve">According to the </w:t>
      </w:r>
      <w:r w:rsidR="00AE1920" w:rsidRPr="00050DAE">
        <w:rPr>
          <w:i/>
          <w:iCs/>
        </w:rPr>
        <w:t xml:space="preserve">Orphic </w:t>
      </w:r>
      <w:r w:rsidR="002E2D82" w:rsidRPr="00050DAE">
        <w:rPr>
          <w:i/>
          <w:iCs/>
        </w:rPr>
        <w:t>H</w:t>
      </w:r>
      <w:r w:rsidR="00AE1920" w:rsidRPr="00050DAE">
        <w:rPr>
          <w:i/>
          <w:iCs/>
        </w:rPr>
        <w:t>ymn to Persephone</w:t>
      </w:r>
      <w:r w:rsidR="00AE1920" w:rsidRPr="00050DAE">
        <w:t xml:space="preserve">, </w:t>
      </w:r>
      <w:r w:rsidR="008301DC" w:rsidRPr="00050DAE">
        <w:t>“</w:t>
      </w:r>
      <w:r w:rsidR="00AE1920" w:rsidRPr="00050DAE">
        <w:t>You alone are life and death</w:t>
      </w:r>
      <w:r w:rsidR="00254A8E" w:rsidRPr="00050DAE">
        <w:t xml:space="preserve"> </w:t>
      </w:r>
      <w:r w:rsidR="00AE1920" w:rsidRPr="00050DAE">
        <w:t>to toiling mortals, O Persephone, you nourish all, always, and kill them, too…</w:t>
      </w:r>
      <w:r w:rsidR="008301DC" w:rsidRPr="00050DAE">
        <w:t>”</w:t>
      </w:r>
      <w:r w:rsidR="00AE1920" w:rsidRPr="00050DAE">
        <w:rPr>
          <w:rStyle w:val="FootnoteReference"/>
        </w:rPr>
        <w:footnoteReference w:id="268"/>
      </w:r>
      <w:r w:rsidR="004E6997" w:rsidRPr="00050DAE">
        <w:t xml:space="preserve"> </w:t>
      </w:r>
      <w:r w:rsidR="00FE3926" w:rsidRPr="00050DAE">
        <w:t>This duality reflects her broader role</w:t>
      </w:r>
      <w:r w:rsidRPr="00050DAE">
        <w:t xml:space="preserve"> within Greek religion as a deity whose authority encompasses both growth and cessation.</w:t>
      </w:r>
    </w:p>
    <w:p w14:paraId="1B3938FC" w14:textId="263DECE2" w:rsidR="00C11FA2" w:rsidRPr="00050DAE" w:rsidRDefault="00C11FA2" w:rsidP="00C11FA2">
      <w:pPr>
        <w:keepNext/>
        <w:keepLines/>
        <w:spacing w:before="160" w:after="80"/>
        <w:outlineLvl w:val="1"/>
        <w:rPr>
          <w:rFonts w:asciiTheme="majorBidi" w:eastAsiaTheme="majorEastAsia" w:hAnsiTheme="majorBidi" w:cstheme="majorBidi"/>
          <w:sz w:val="32"/>
          <w:szCs w:val="32"/>
        </w:rPr>
      </w:pPr>
      <w:bookmarkStart w:id="159" w:name="_Toc234140258"/>
      <w:bookmarkStart w:id="160" w:name="_Toc234140509"/>
      <w:bookmarkStart w:id="161" w:name="_Toc234143689"/>
      <w:bookmarkStart w:id="162" w:name="_Toc234154318"/>
      <w:r w:rsidRPr="00050DAE">
        <w:rPr>
          <w:rFonts w:asciiTheme="majorBidi" w:eastAsiaTheme="majorEastAsia" w:hAnsiTheme="majorBidi" w:cstheme="majorBidi"/>
          <w:sz w:val="32"/>
          <w:szCs w:val="32"/>
        </w:rPr>
        <w:t>5.3 Building a Mystery</w:t>
      </w:r>
      <w:bookmarkEnd w:id="159"/>
      <w:bookmarkEnd w:id="160"/>
      <w:bookmarkEnd w:id="161"/>
      <w:bookmarkEnd w:id="162"/>
    </w:p>
    <w:p w14:paraId="410EDA07" w14:textId="665F4CD6" w:rsidR="0025701E" w:rsidRPr="00050DAE" w:rsidRDefault="00C11FA2" w:rsidP="00EE6050">
      <w:pPr>
        <w:pStyle w:val="UWTSDindent"/>
      </w:pPr>
      <w:r w:rsidRPr="00050DAE">
        <w:t xml:space="preserve">Eleusis, a village that became part of Athenian territory before </w:t>
      </w:r>
      <w:r w:rsidR="001E6ADC" w:rsidRPr="00050DAE">
        <w:t xml:space="preserve">the </w:t>
      </w:r>
      <w:r w:rsidRPr="00050DAE">
        <w:t>seventh century BCE, served as the focal point for the Eleusinian Mysteries</w:t>
      </w:r>
      <w:r w:rsidR="0025701E" w:rsidRPr="00050DAE">
        <w:t xml:space="preserve">. The rituals </w:t>
      </w:r>
      <w:r w:rsidR="009D60EB" w:rsidRPr="00050DAE">
        <w:t>paralleled</w:t>
      </w:r>
      <w:r w:rsidRPr="00050DAE">
        <w:t xml:space="preserve"> Persephone</w:t>
      </w:r>
      <w:r w:rsidR="008301DC" w:rsidRPr="00050DAE">
        <w:t>’</w:t>
      </w:r>
      <w:r w:rsidRPr="00050DAE">
        <w:t>s abduction, Demeter</w:t>
      </w:r>
      <w:r w:rsidR="008301DC" w:rsidRPr="00050DAE">
        <w:t>’</w:t>
      </w:r>
      <w:r w:rsidRPr="00050DAE">
        <w:t>s search, and their eventual reunion.</w:t>
      </w:r>
      <w:r w:rsidRPr="00050DAE">
        <w:rPr>
          <w:vertAlign w:val="superscript"/>
        </w:rPr>
        <w:footnoteReference w:id="269"/>
      </w:r>
      <w:r w:rsidRPr="00050DAE">
        <w:t xml:space="preserve"> </w:t>
      </w:r>
      <w:r w:rsidR="00C34486" w:rsidRPr="00050DAE">
        <w:t>However, reconstruction of the Mysteries</w:t>
      </w:r>
      <w:r w:rsidR="008301DC" w:rsidRPr="00050DAE">
        <w:t>’</w:t>
      </w:r>
      <w:r w:rsidR="00C34486" w:rsidRPr="00050DAE">
        <w:t xml:space="preserve"> details remains difficult. The rites evolved over centuries, and many surviving descriptions come from late or polemical authors. Clement of Alexandria, for example, wrote as a Christian critic rather than a participant. Modern understanding therefore relies on the combined evidence of literary, epigraphic, and archaeological sources.</w:t>
      </w:r>
    </w:p>
    <w:p w14:paraId="10218CC2" w14:textId="4268AE9D" w:rsidR="0025701E" w:rsidRPr="00050DAE" w:rsidRDefault="0025701E" w:rsidP="00EE6050">
      <w:pPr>
        <w:pStyle w:val="UWTSDindent"/>
      </w:pPr>
      <w:r w:rsidRPr="00050DAE">
        <w:t xml:space="preserve">The Mysteries were not merely commemorative but performative. As Clement of Alexandria observes, Demeter and Persephone </w:t>
      </w:r>
      <w:r w:rsidR="008301DC" w:rsidRPr="00050DAE">
        <w:t>“</w:t>
      </w:r>
      <w:r w:rsidRPr="00050DAE">
        <w:t>have come to be the subject of a mystic drama,</w:t>
      </w:r>
      <w:r w:rsidR="008301DC" w:rsidRPr="00050DAE">
        <w:t>”</w:t>
      </w:r>
      <w:r w:rsidRPr="00050DAE">
        <w:t xml:space="preserve"> in which Eleusis reenacts </w:t>
      </w:r>
      <w:r w:rsidR="008301DC" w:rsidRPr="00050DAE">
        <w:t>“</w:t>
      </w:r>
      <w:r w:rsidRPr="00050DAE">
        <w:t>the rape of the daughter and the sorrowful wandering of the mother.</w:t>
      </w:r>
      <w:r w:rsidR="008301DC" w:rsidRPr="00050DAE">
        <w:t>”</w:t>
      </w:r>
      <w:r w:rsidRPr="00050DAE">
        <w:rPr>
          <w:rStyle w:val="FootnoteReference"/>
        </w:rPr>
        <w:footnoteReference w:id="270"/>
      </w:r>
      <w:r w:rsidRPr="00050DAE">
        <w:t xml:space="preserve"> This suggests that initiates did not simply hear the myth but participated in its staged enactment, a process further reflected in the ritual formula, </w:t>
      </w:r>
      <w:r w:rsidR="008301DC" w:rsidRPr="00050DAE">
        <w:t>“</w:t>
      </w:r>
      <w:r w:rsidRPr="00050DAE">
        <w:t>I ate from the drum; I drank from the cymbal…,</w:t>
      </w:r>
      <w:r w:rsidR="008301DC" w:rsidRPr="00050DAE">
        <w:t>”</w:t>
      </w:r>
      <w:r w:rsidRPr="00050DAE">
        <w:t xml:space="preserve"> which encodes a sequence of initiatory actions.</w:t>
      </w:r>
      <w:r w:rsidRPr="00050DAE">
        <w:rPr>
          <w:rStyle w:val="FootnoteReference"/>
        </w:rPr>
        <w:footnoteReference w:id="271"/>
      </w:r>
    </w:p>
    <w:p w14:paraId="7D4BCFC5" w14:textId="7803A8DB" w:rsidR="00C11FA2" w:rsidRPr="00050DAE" w:rsidRDefault="00C11FA2" w:rsidP="00EE6050">
      <w:pPr>
        <w:pStyle w:val="UWTSDindent"/>
      </w:pPr>
      <w:r w:rsidRPr="00050DAE">
        <w:t xml:space="preserve">Clinton explains that in the ceremonies, in addition to Plouton and Kore, </w:t>
      </w:r>
      <w:r w:rsidR="00B27516" w:rsidRPr="00050DAE">
        <w:t>Hādēs</w:t>
      </w:r>
      <w:r w:rsidRPr="00050DAE">
        <w:t xml:space="preserve"> and Persephone also appear as Theos and Thea. Demeter and Triptolemos</w:t>
      </w:r>
      <w:r w:rsidRPr="00050DAE">
        <w:rPr>
          <w:vertAlign w:val="superscript"/>
        </w:rPr>
        <w:footnoteReference w:id="272"/>
      </w:r>
      <w:r w:rsidRPr="00050DAE">
        <w:t xml:space="preserve"> were also featured</w:t>
      </w:r>
      <w:r w:rsidR="00254A8E" w:rsidRPr="00050DAE">
        <w:t xml:space="preserve"> </w:t>
      </w:r>
      <w:r w:rsidRPr="00050DAE">
        <w:t>as part of the festival.</w:t>
      </w:r>
      <w:r w:rsidRPr="00050DAE">
        <w:rPr>
          <w:vertAlign w:val="superscript"/>
        </w:rPr>
        <w:footnoteReference w:id="273"/>
      </w:r>
      <w:r w:rsidRPr="00050DAE">
        <w:t xml:space="preserve"> It is speculated that one of the direct effects of the mystery cults, </w:t>
      </w:r>
      <w:r w:rsidR="00C46CFA" w:rsidRPr="00050DAE">
        <w:t>particularly</w:t>
      </w:r>
      <w:r w:rsidRPr="00050DAE">
        <w:t xml:space="preserve"> the one at Eleusis, was to make the various deities more approachable. This included facilitating sacrifices as</w:t>
      </w:r>
      <w:r w:rsidR="00691EFA" w:rsidRPr="00050DAE">
        <w:t xml:space="preserve"> an</w:t>
      </w:r>
      <w:r w:rsidRPr="00050DAE">
        <w:t xml:space="preserve"> </w:t>
      </w:r>
      <w:r w:rsidR="008301DC" w:rsidRPr="00050DAE">
        <w:t>“</w:t>
      </w:r>
      <w:r w:rsidRPr="00050DAE">
        <w:t>act of devotion to an underworld god.</w:t>
      </w:r>
      <w:r w:rsidR="008301DC" w:rsidRPr="00050DAE">
        <w:t>”</w:t>
      </w:r>
      <w:r w:rsidRPr="00050DAE">
        <w:rPr>
          <w:vertAlign w:val="superscript"/>
        </w:rPr>
        <w:footnoteReference w:id="274"/>
      </w:r>
      <w:r w:rsidRPr="00050DAE">
        <w:t xml:space="preserve"> Athanassakis and associates suggest that </w:t>
      </w:r>
      <w:r w:rsidR="008301DC" w:rsidRPr="00050DAE">
        <w:t>“</w:t>
      </w:r>
      <w:r w:rsidRPr="00050DAE">
        <w:t>Mysteries were concerned with securing wealth and happiness in this life and a better fate in the hereafter.</w:t>
      </w:r>
      <w:r w:rsidR="008301DC" w:rsidRPr="00050DAE">
        <w:t>”</w:t>
      </w:r>
      <w:r w:rsidRPr="00050DAE">
        <w:rPr>
          <w:vertAlign w:val="superscript"/>
        </w:rPr>
        <w:footnoteReference w:id="275"/>
      </w:r>
    </w:p>
    <w:p w14:paraId="606EA98E" w14:textId="0A97F6EE" w:rsidR="00C11FA2" w:rsidRPr="00050DAE" w:rsidRDefault="0004096B" w:rsidP="00EE6050">
      <w:pPr>
        <w:pStyle w:val="UWTSDindent"/>
      </w:pPr>
      <w:r w:rsidRPr="00050DAE">
        <w:t>Although</w:t>
      </w:r>
      <w:r w:rsidR="00C11FA2" w:rsidRPr="00050DAE">
        <w:t xml:space="preserve"> it is clear that the Mysteries occurred during the month of Boedromion which </w:t>
      </w:r>
      <w:r w:rsidR="00FE3926" w:rsidRPr="00050DAE">
        <w:t>falls in September or October</w:t>
      </w:r>
      <w:r w:rsidR="00C11FA2" w:rsidRPr="00050DAE">
        <w:t xml:space="preserve"> in the modern calendar, the exact timing of the month varies annually based on lunar cycles.</w:t>
      </w:r>
      <w:r w:rsidR="00C11FA2" w:rsidRPr="00050DAE">
        <w:rPr>
          <w:vertAlign w:val="superscript"/>
        </w:rPr>
        <w:footnoteReference w:id="276"/>
      </w:r>
      <w:r w:rsidR="00C11FA2" w:rsidRPr="00050DAE">
        <w:t xml:space="preserve"> The corresponding date shift occurs because the Greek calendar</w:t>
      </w:r>
      <w:r w:rsidR="008301DC" w:rsidRPr="00050DAE">
        <w:t>’</w:t>
      </w:r>
      <w:r w:rsidR="00C11FA2" w:rsidRPr="00050DAE">
        <w:t xml:space="preserve">s use of a </w:t>
      </w:r>
      <w:r w:rsidR="008301DC" w:rsidRPr="00050DAE">
        <w:t>“</w:t>
      </w:r>
      <w:r w:rsidR="00C11FA2" w:rsidRPr="00050DAE">
        <w:t>lunisolar</w:t>
      </w:r>
      <w:r w:rsidR="008301DC" w:rsidRPr="00050DAE">
        <w:t>”</w:t>
      </w:r>
      <w:r w:rsidR="00C11FA2" w:rsidRPr="00050DAE">
        <w:t xml:space="preserve"> scheme meant that a twelve moon cycle year had 354 days as opposed to a solar calendar</w:t>
      </w:r>
      <w:r w:rsidR="008301DC" w:rsidRPr="00050DAE">
        <w:t>’</w:t>
      </w:r>
      <w:r w:rsidR="00C11FA2" w:rsidRPr="00050DAE">
        <w:t xml:space="preserve">s 365 days. Periodically, the Greek calendar needed an extra month added </w:t>
      </w:r>
      <w:r w:rsidR="00FE3926" w:rsidRPr="00050DAE">
        <w:t>to remain synchronized with the solar year</w:t>
      </w:r>
      <w:r w:rsidR="00C11FA2" w:rsidRPr="00050DAE">
        <w:t>.</w:t>
      </w:r>
      <w:r w:rsidR="00C11FA2" w:rsidRPr="00050DAE">
        <w:rPr>
          <w:vertAlign w:val="superscript"/>
        </w:rPr>
        <w:footnoteReference w:id="277"/>
      </w:r>
      <w:r w:rsidR="00C11FA2" w:rsidRPr="00050DAE">
        <w:t xml:space="preserve"> </w:t>
      </w:r>
      <w:r w:rsidR="00912E7D" w:rsidRPr="00050DAE">
        <w:t>Based on Mikalson</w:t>
      </w:r>
      <w:r w:rsidR="008301DC" w:rsidRPr="00050DAE">
        <w:t>’</w:t>
      </w:r>
      <w:r w:rsidR="00912E7D" w:rsidRPr="00050DAE">
        <w:t>s work, the sequence of Eleusinian Mysteries events can be outlined according to two possible scenarios.</w:t>
      </w:r>
    </w:p>
    <w:p w14:paraId="106BA97F" w14:textId="7A3CD1C6" w:rsidR="00C11FA2" w:rsidRPr="00050DAE" w:rsidRDefault="00C11FA2" w:rsidP="00880070">
      <w:pPr>
        <w:pStyle w:val="Caption"/>
        <w:rPr>
          <w:rFonts w:asciiTheme="majorBidi" w:hAnsiTheme="majorBidi" w:cstheme="majorBidi"/>
        </w:rPr>
      </w:pPr>
      <w:r w:rsidRPr="00050DAE">
        <w:rPr>
          <w:rFonts w:asciiTheme="majorBidi" w:hAnsiTheme="majorBidi" w:cstheme="majorBidi"/>
        </w:rPr>
        <w:t xml:space="preserve">Table </w:t>
      </w:r>
      <w:bookmarkStart w:id="163" w:name="MysteryTable"/>
      <w:r w:rsidRPr="00050DAE">
        <w:rPr>
          <w:rFonts w:asciiTheme="majorBidi" w:hAnsiTheme="majorBidi" w:cstheme="majorBidi"/>
        </w:rPr>
        <w:fldChar w:fldCharType="begin"/>
      </w:r>
      <w:r w:rsidRPr="00050DAE">
        <w:rPr>
          <w:rFonts w:asciiTheme="majorBidi" w:hAnsiTheme="majorBidi" w:cstheme="majorBidi"/>
        </w:rPr>
        <w:instrText xml:space="preserve"> SEQ Table \* ARABIC </w:instrText>
      </w:r>
      <w:r w:rsidRPr="00050DAE">
        <w:rPr>
          <w:rFonts w:asciiTheme="majorBidi" w:hAnsiTheme="majorBidi" w:cstheme="majorBidi"/>
        </w:rPr>
        <w:fldChar w:fldCharType="separate"/>
      </w:r>
      <w:r w:rsidR="009D2921">
        <w:rPr>
          <w:rFonts w:asciiTheme="majorBidi" w:hAnsiTheme="majorBidi" w:cstheme="majorBidi"/>
          <w:noProof/>
        </w:rPr>
        <w:t>4</w:t>
      </w:r>
      <w:r w:rsidRPr="00050DAE">
        <w:rPr>
          <w:rFonts w:asciiTheme="majorBidi" w:hAnsiTheme="majorBidi" w:cstheme="majorBidi"/>
        </w:rPr>
        <w:fldChar w:fldCharType="end"/>
      </w:r>
      <w:bookmarkEnd w:id="163"/>
      <w:r w:rsidRPr="00050DAE">
        <w:rPr>
          <w:rFonts w:asciiTheme="majorBidi" w:hAnsiTheme="majorBidi" w:cstheme="majorBidi"/>
        </w:rPr>
        <w:t xml:space="preserve"> </w:t>
      </w:r>
      <w:r w:rsidR="00912E7D" w:rsidRPr="00050DAE">
        <w:rPr>
          <w:rFonts w:asciiTheme="majorBidi" w:hAnsiTheme="majorBidi" w:cstheme="majorBidi"/>
        </w:rPr>
        <w:t>Timeline of Eleusinian Mysteries events based on data compiled by Mikalson. The stage comparison at the bottom is the author</w:t>
      </w:r>
      <w:r w:rsidR="008301DC" w:rsidRPr="00050DAE">
        <w:rPr>
          <w:rFonts w:asciiTheme="majorBidi" w:hAnsiTheme="majorBidi" w:cstheme="majorBidi"/>
        </w:rPr>
        <w:t>’</w:t>
      </w:r>
      <w:r w:rsidR="00912E7D" w:rsidRPr="00050DAE">
        <w:rPr>
          <w:rFonts w:asciiTheme="majorBidi" w:hAnsiTheme="majorBidi" w:cstheme="majorBidi"/>
        </w:rPr>
        <w:t xml:space="preserve">s </w:t>
      </w:r>
      <w:r w:rsidR="009570DD" w:rsidRPr="00050DAE">
        <w:rPr>
          <w:rFonts w:asciiTheme="majorBidi" w:hAnsiTheme="majorBidi" w:cstheme="majorBidi"/>
        </w:rPr>
        <w:t xml:space="preserve">structural </w:t>
      </w:r>
      <w:r w:rsidR="00912E7D" w:rsidRPr="00050DAE">
        <w:rPr>
          <w:rFonts w:asciiTheme="majorBidi" w:hAnsiTheme="majorBidi" w:cstheme="majorBidi"/>
        </w:rPr>
        <w:t>analysis</w:t>
      </w:r>
      <w:r w:rsidRPr="00050DAE">
        <w:rPr>
          <w:rFonts w:asciiTheme="majorBidi" w:hAnsiTheme="majorBidi" w:cstheme="majorBidi"/>
        </w:rPr>
        <w:t>.</w:t>
      </w:r>
    </w:p>
    <w:tbl>
      <w:tblPr>
        <w:tblStyle w:val="TableGrid"/>
        <w:tblW w:w="0" w:type="auto"/>
        <w:tblLook w:val="04A0" w:firstRow="1" w:lastRow="0" w:firstColumn="1" w:lastColumn="0" w:noHBand="0" w:noVBand="1"/>
      </w:tblPr>
      <w:tblGrid>
        <w:gridCol w:w="3005"/>
        <w:gridCol w:w="3005"/>
        <w:gridCol w:w="3006"/>
      </w:tblGrid>
      <w:tr w:rsidR="00C11FA2" w:rsidRPr="00050DAE" w14:paraId="255CA161" w14:textId="77777777" w:rsidTr="002232D4">
        <w:tc>
          <w:tcPr>
            <w:tcW w:w="3005" w:type="dxa"/>
            <w:shd w:val="clear" w:color="auto" w:fill="000000" w:themeFill="text1"/>
          </w:tcPr>
          <w:p w14:paraId="0D5218C0" w14:textId="77777777" w:rsidR="00C11FA2" w:rsidRPr="00050DAE" w:rsidRDefault="00C11FA2" w:rsidP="00B95016">
            <w:pPr>
              <w:pStyle w:val="NoSpacing"/>
              <w:rPr>
                <w:rFonts w:asciiTheme="majorBidi" w:hAnsiTheme="majorBidi" w:cstheme="majorBidi"/>
                <w:color w:val="FFFFFF" w:themeColor="background1"/>
              </w:rPr>
            </w:pPr>
            <w:r w:rsidRPr="00050DAE">
              <w:rPr>
                <w:rFonts w:asciiTheme="majorBidi" w:hAnsiTheme="majorBidi" w:cstheme="majorBidi"/>
                <w:color w:val="FFFFFF" w:themeColor="background1"/>
              </w:rPr>
              <w:t>Date</w:t>
            </w:r>
          </w:p>
        </w:tc>
        <w:tc>
          <w:tcPr>
            <w:tcW w:w="3005" w:type="dxa"/>
            <w:shd w:val="clear" w:color="auto" w:fill="000000" w:themeFill="text1"/>
          </w:tcPr>
          <w:p w14:paraId="218C264A" w14:textId="77777777" w:rsidR="00C11FA2" w:rsidRPr="00050DAE" w:rsidRDefault="00C11FA2" w:rsidP="00B95016">
            <w:pPr>
              <w:pStyle w:val="NoSpacing"/>
              <w:rPr>
                <w:rFonts w:asciiTheme="majorBidi" w:hAnsiTheme="majorBidi" w:cstheme="majorBidi"/>
                <w:color w:val="FFFFFF" w:themeColor="background1"/>
              </w:rPr>
            </w:pPr>
            <w:r w:rsidRPr="00050DAE">
              <w:rPr>
                <w:rFonts w:asciiTheme="majorBidi" w:hAnsiTheme="majorBidi" w:cstheme="majorBidi"/>
                <w:color w:val="FFFFFF" w:themeColor="background1"/>
              </w:rPr>
              <w:t>Scenario 1</w:t>
            </w:r>
          </w:p>
        </w:tc>
        <w:tc>
          <w:tcPr>
            <w:tcW w:w="3006" w:type="dxa"/>
            <w:shd w:val="clear" w:color="auto" w:fill="000000" w:themeFill="text1"/>
          </w:tcPr>
          <w:p w14:paraId="18A5A2A0" w14:textId="77777777" w:rsidR="00C11FA2" w:rsidRPr="00050DAE" w:rsidRDefault="00C11FA2" w:rsidP="00B95016">
            <w:pPr>
              <w:pStyle w:val="NoSpacing"/>
              <w:rPr>
                <w:rFonts w:asciiTheme="majorBidi" w:hAnsiTheme="majorBidi" w:cstheme="majorBidi"/>
                <w:color w:val="FFFFFF" w:themeColor="background1"/>
              </w:rPr>
            </w:pPr>
            <w:r w:rsidRPr="00050DAE">
              <w:rPr>
                <w:rFonts w:asciiTheme="majorBidi" w:hAnsiTheme="majorBidi" w:cstheme="majorBidi"/>
                <w:color w:val="FFFFFF" w:themeColor="background1"/>
              </w:rPr>
              <w:t>Scenario 2</w:t>
            </w:r>
          </w:p>
        </w:tc>
      </w:tr>
      <w:tr w:rsidR="00C11FA2" w:rsidRPr="00050DAE" w14:paraId="63F6E848" w14:textId="77777777" w:rsidTr="009362D2">
        <w:tc>
          <w:tcPr>
            <w:tcW w:w="3005" w:type="dxa"/>
          </w:tcPr>
          <w:p w14:paraId="6DA7C420"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14</w:t>
            </w:r>
          </w:p>
        </w:tc>
        <w:tc>
          <w:tcPr>
            <w:tcW w:w="3005" w:type="dxa"/>
          </w:tcPr>
          <w:p w14:paraId="581C012D"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Eleusinian sacra brought to Athens</w:t>
            </w:r>
            <w:r w:rsidRPr="00050DAE">
              <w:rPr>
                <w:rFonts w:asciiTheme="majorBidi" w:hAnsiTheme="majorBidi" w:cstheme="majorBidi"/>
                <w:vertAlign w:val="superscript"/>
              </w:rPr>
              <w:footnoteReference w:id="278"/>
            </w:r>
          </w:p>
        </w:tc>
        <w:tc>
          <w:tcPr>
            <w:tcW w:w="3006" w:type="dxa"/>
          </w:tcPr>
          <w:p w14:paraId="73D2403A" w14:textId="4F79AFF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Eleusinian sacra</w:t>
            </w:r>
            <w:r w:rsidR="00B95016" w:rsidRPr="00050DAE">
              <w:rPr>
                <w:rFonts w:asciiTheme="majorBidi" w:hAnsiTheme="majorBidi" w:cstheme="majorBidi"/>
              </w:rPr>
              <w:t xml:space="preserve"> </w:t>
            </w:r>
            <w:r w:rsidRPr="00050DAE">
              <w:rPr>
                <w:rFonts w:asciiTheme="majorBidi" w:hAnsiTheme="majorBidi" w:cstheme="majorBidi"/>
              </w:rPr>
              <w:t>brought to Athens</w:t>
            </w:r>
          </w:p>
        </w:tc>
      </w:tr>
      <w:tr w:rsidR="00C11FA2" w:rsidRPr="00050DAE" w14:paraId="5BA9CEC5" w14:textId="77777777" w:rsidTr="009362D2">
        <w:tc>
          <w:tcPr>
            <w:tcW w:w="3005" w:type="dxa"/>
          </w:tcPr>
          <w:p w14:paraId="1239EBB3"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15</w:t>
            </w:r>
          </w:p>
        </w:tc>
        <w:tc>
          <w:tcPr>
            <w:tcW w:w="3005" w:type="dxa"/>
          </w:tcPr>
          <w:p w14:paraId="5313E7D3"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ἀγυρμός</w:t>
            </w:r>
            <w:r w:rsidRPr="00050DAE">
              <w:rPr>
                <w:rFonts w:asciiTheme="majorBidi" w:hAnsiTheme="majorBidi" w:cstheme="majorBidi"/>
                <w:vertAlign w:val="superscript"/>
              </w:rPr>
              <w:footnoteReference w:id="279"/>
            </w:r>
          </w:p>
        </w:tc>
        <w:tc>
          <w:tcPr>
            <w:tcW w:w="3006" w:type="dxa"/>
          </w:tcPr>
          <w:p w14:paraId="3DB17387"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ἀγυρμός</w:t>
            </w:r>
          </w:p>
        </w:tc>
      </w:tr>
      <w:tr w:rsidR="00C11FA2" w:rsidRPr="00050DAE" w14:paraId="62C586A1" w14:textId="77777777" w:rsidTr="009362D2">
        <w:tc>
          <w:tcPr>
            <w:tcW w:w="3005" w:type="dxa"/>
          </w:tcPr>
          <w:p w14:paraId="1C6E3568"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16</w:t>
            </w:r>
          </w:p>
        </w:tc>
        <w:tc>
          <w:tcPr>
            <w:tcW w:w="3005" w:type="dxa"/>
          </w:tcPr>
          <w:p w14:paraId="4B03A874"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ἅλαδε μύσται</w:t>
            </w:r>
            <w:r w:rsidRPr="00050DAE">
              <w:rPr>
                <w:rFonts w:asciiTheme="majorBidi" w:hAnsiTheme="majorBidi" w:cstheme="majorBidi"/>
                <w:vertAlign w:val="superscript"/>
              </w:rPr>
              <w:footnoteReference w:id="280"/>
            </w:r>
          </w:p>
        </w:tc>
        <w:tc>
          <w:tcPr>
            <w:tcW w:w="3006" w:type="dxa"/>
          </w:tcPr>
          <w:p w14:paraId="66624387"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ἅλαδε μύσται &amp; ἱερεῖα δεῦρο</w:t>
            </w:r>
          </w:p>
        </w:tc>
      </w:tr>
      <w:tr w:rsidR="00C11FA2" w:rsidRPr="00050DAE" w14:paraId="0D75A6F1" w14:textId="77777777" w:rsidTr="009362D2">
        <w:tc>
          <w:tcPr>
            <w:tcW w:w="3005" w:type="dxa"/>
          </w:tcPr>
          <w:p w14:paraId="4ECAC09A"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17</w:t>
            </w:r>
          </w:p>
        </w:tc>
        <w:tc>
          <w:tcPr>
            <w:tcW w:w="3005" w:type="dxa"/>
          </w:tcPr>
          <w:p w14:paraId="534BC649"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ἱερεῖα δεῦρο</w:t>
            </w:r>
            <w:r w:rsidRPr="00050DAE">
              <w:rPr>
                <w:rFonts w:asciiTheme="majorBidi" w:hAnsiTheme="majorBidi" w:cstheme="majorBidi"/>
                <w:vertAlign w:val="superscript"/>
              </w:rPr>
              <w:footnoteReference w:id="281"/>
            </w:r>
          </w:p>
        </w:tc>
        <w:tc>
          <w:tcPr>
            <w:tcW w:w="3006" w:type="dxa"/>
          </w:tcPr>
          <w:p w14:paraId="1D02BF67"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Epidauria</w:t>
            </w:r>
          </w:p>
        </w:tc>
      </w:tr>
      <w:tr w:rsidR="00C11FA2" w:rsidRPr="00050DAE" w14:paraId="785E831F" w14:textId="77777777" w:rsidTr="009362D2">
        <w:tc>
          <w:tcPr>
            <w:tcW w:w="3005" w:type="dxa"/>
          </w:tcPr>
          <w:p w14:paraId="75921AD4"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18</w:t>
            </w:r>
          </w:p>
        </w:tc>
        <w:tc>
          <w:tcPr>
            <w:tcW w:w="3005" w:type="dxa"/>
          </w:tcPr>
          <w:p w14:paraId="011C2876"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Epidauria + meetings</w:t>
            </w:r>
          </w:p>
        </w:tc>
        <w:tc>
          <w:tcPr>
            <w:tcW w:w="3006" w:type="dxa"/>
          </w:tcPr>
          <w:p w14:paraId="3048EAA5"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meetings</w:t>
            </w:r>
          </w:p>
        </w:tc>
      </w:tr>
      <w:tr w:rsidR="00C11FA2" w:rsidRPr="00050DAE" w14:paraId="52E5340A" w14:textId="77777777" w:rsidTr="009362D2">
        <w:tc>
          <w:tcPr>
            <w:tcW w:w="3005" w:type="dxa"/>
          </w:tcPr>
          <w:p w14:paraId="5CD93708"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19</w:t>
            </w:r>
          </w:p>
        </w:tc>
        <w:tc>
          <w:tcPr>
            <w:tcW w:w="6011" w:type="dxa"/>
            <w:gridSpan w:val="2"/>
          </w:tcPr>
          <w:p w14:paraId="14210C65"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Iacchus procession to Eleusis</w:t>
            </w:r>
          </w:p>
        </w:tc>
      </w:tr>
      <w:tr w:rsidR="00C11FA2" w:rsidRPr="00050DAE" w14:paraId="33BDA383" w14:textId="77777777" w:rsidTr="009362D2">
        <w:tc>
          <w:tcPr>
            <w:tcW w:w="3005" w:type="dxa"/>
          </w:tcPr>
          <w:p w14:paraId="3E0A4A0F"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20</w:t>
            </w:r>
          </w:p>
        </w:tc>
        <w:tc>
          <w:tcPr>
            <w:tcW w:w="6011" w:type="dxa"/>
            <w:gridSpan w:val="2"/>
          </w:tcPr>
          <w:p w14:paraId="2BC806E7"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Mysteries in Eleusis</w:t>
            </w:r>
          </w:p>
        </w:tc>
      </w:tr>
      <w:tr w:rsidR="00C11FA2" w:rsidRPr="00050DAE" w14:paraId="5655A24E" w14:textId="77777777" w:rsidTr="009362D2">
        <w:tc>
          <w:tcPr>
            <w:tcW w:w="3005" w:type="dxa"/>
          </w:tcPr>
          <w:p w14:paraId="0D369908"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21</w:t>
            </w:r>
          </w:p>
        </w:tc>
        <w:tc>
          <w:tcPr>
            <w:tcW w:w="6011" w:type="dxa"/>
            <w:gridSpan w:val="2"/>
          </w:tcPr>
          <w:p w14:paraId="0299837A"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Mysteries in Eleusis</w:t>
            </w:r>
            <w:r w:rsidRPr="00050DAE">
              <w:rPr>
                <w:rFonts w:asciiTheme="majorBidi" w:hAnsiTheme="majorBidi" w:cstheme="majorBidi"/>
                <w:vertAlign w:val="superscript"/>
              </w:rPr>
              <w:footnoteReference w:id="282"/>
            </w:r>
          </w:p>
        </w:tc>
      </w:tr>
      <w:tr w:rsidR="00C11FA2" w:rsidRPr="00050DAE" w14:paraId="1CD3CBDB" w14:textId="77777777" w:rsidTr="009362D2">
        <w:tc>
          <w:tcPr>
            <w:tcW w:w="3005" w:type="dxa"/>
          </w:tcPr>
          <w:p w14:paraId="2E407304"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22</w:t>
            </w:r>
          </w:p>
        </w:tc>
        <w:tc>
          <w:tcPr>
            <w:tcW w:w="6011" w:type="dxa"/>
            <w:gridSpan w:val="2"/>
          </w:tcPr>
          <w:p w14:paraId="7989216A"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The Πλημοχόαι</w:t>
            </w:r>
            <w:r w:rsidRPr="00050DAE">
              <w:rPr>
                <w:rFonts w:asciiTheme="majorBidi" w:hAnsiTheme="majorBidi" w:cstheme="majorBidi"/>
                <w:vertAlign w:val="superscript"/>
              </w:rPr>
              <w:footnoteReference w:id="283"/>
            </w:r>
          </w:p>
        </w:tc>
      </w:tr>
      <w:tr w:rsidR="00C11FA2" w:rsidRPr="00050DAE" w14:paraId="7429DBE7" w14:textId="77777777" w:rsidTr="009362D2">
        <w:tc>
          <w:tcPr>
            <w:tcW w:w="3005" w:type="dxa"/>
          </w:tcPr>
          <w:p w14:paraId="04405D37"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23</w:t>
            </w:r>
          </w:p>
        </w:tc>
        <w:tc>
          <w:tcPr>
            <w:tcW w:w="6011" w:type="dxa"/>
            <w:gridSpan w:val="2"/>
          </w:tcPr>
          <w:p w14:paraId="4AA69834" w14:textId="128149A1"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Return to Athens</w:t>
            </w:r>
            <w:r w:rsidR="00B95016" w:rsidRPr="00050DAE">
              <w:rPr>
                <w:rFonts w:asciiTheme="majorBidi" w:hAnsiTheme="majorBidi" w:cstheme="majorBidi"/>
              </w:rPr>
              <w:t xml:space="preserve"> and </w:t>
            </w:r>
            <w:r w:rsidRPr="00050DAE">
              <w:rPr>
                <w:rFonts w:asciiTheme="majorBidi" w:hAnsiTheme="majorBidi" w:cstheme="majorBidi"/>
              </w:rPr>
              <w:t xml:space="preserve">meeting of </w:t>
            </w:r>
            <w:r w:rsidR="008301DC" w:rsidRPr="00050DAE">
              <w:rPr>
                <w:rFonts w:asciiTheme="majorBidi" w:hAnsiTheme="majorBidi" w:cstheme="majorBidi"/>
              </w:rPr>
              <w:t>“</w:t>
            </w:r>
            <w:r w:rsidRPr="00050DAE">
              <w:rPr>
                <w:rFonts w:asciiTheme="majorBidi" w:hAnsiTheme="majorBidi" w:cstheme="majorBidi"/>
              </w:rPr>
              <w:t>sacred</w:t>
            </w:r>
            <w:r w:rsidR="008301DC" w:rsidRPr="00050DAE">
              <w:rPr>
                <w:rFonts w:asciiTheme="majorBidi" w:hAnsiTheme="majorBidi" w:cstheme="majorBidi"/>
              </w:rPr>
              <w:t>”</w:t>
            </w:r>
            <w:r w:rsidRPr="00050DAE">
              <w:rPr>
                <w:rFonts w:asciiTheme="majorBidi" w:hAnsiTheme="majorBidi" w:cstheme="majorBidi"/>
              </w:rPr>
              <w:t xml:space="preserve"> Boule in Eleusis</w:t>
            </w:r>
          </w:p>
        </w:tc>
      </w:tr>
      <w:tr w:rsidR="00C11FA2" w:rsidRPr="00050DAE" w14:paraId="5D4D10E4" w14:textId="77777777" w:rsidTr="009362D2">
        <w:tc>
          <w:tcPr>
            <w:tcW w:w="3005" w:type="dxa"/>
          </w:tcPr>
          <w:p w14:paraId="04E62508" w14:textId="77777777"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Boedromion 24</w:t>
            </w:r>
          </w:p>
        </w:tc>
        <w:tc>
          <w:tcPr>
            <w:tcW w:w="6011" w:type="dxa"/>
            <w:gridSpan w:val="2"/>
          </w:tcPr>
          <w:p w14:paraId="0C275DFB" w14:textId="5B0B1DDB" w:rsidR="00C11FA2" w:rsidRPr="00050DAE" w:rsidRDefault="00774902" w:rsidP="00B95016">
            <w:pPr>
              <w:pStyle w:val="NoSpacing"/>
              <w:rPr>
                <w:rFonts w:asciiTheme="majorBidi" w:hAnsiTheme="majorBidi" w:cstheme="majorBidi"/>
              </w:rPr>
            </w:pPr>
            <w:r w:rsidRPr="00050DAE">
              <w:rPr>
                <w:rFonts w:asciiTheme="majorBidi" w:hAnsiTheme="majorBidi" w:cstheme="majorBidi"/>
              </w:rPr>
              <w:t>M</w:t>
            </w:r>
            <w:r w:rsidR="00C11FA2" w:rsidRPr="00050DAE">
              <w:rPr>
                <w:rFonts w:asciiTheme="majorBidi" w:hAnsiTheme="majorBidi" w:cstheme="majorBidi"/>
              </w:rPr>
              <w:t>eeting of Boule in Eleusinion in Athens</w:t>
            </w:r>
          </w:p>
        </w:tc>
      </w:tr>
      <w:tr w:rsidR="00C11FA2" w:rsidRPr="00050DAE" w14:paraId="2BB6D280" w14:textId="77777777" w:rsidTr="009362D2">
        <w:tc>
          <w:tcPr>
            <w:tcW w:w="9016" w:type="dxa"/>
            <w:gridSpan w:val="3"/>
          </w:tcPr>
          <w:p w14:paraId="0F38125C" w14:textId="6C9FD1CF"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ἀγυρμός</w:t>
            </w:r>
            <w:r w:rsidR="00254A8E" w:rsidRPr="00050DAE">
              <w:rPr>
                <w:rFonts w:asciiTheme="majorBidi" w:hAnsiTheme="majorBidi" w:cstheme="majorBidi"/>
              </w:rPr>
              <w:t xml:space="preserve"> </w:t>
            </w:r>
            <w:r w:rsidRPr="00050DAE">
              <w:rPr>
                <w:rFonts w:asciiTheme="majorBidi" w:hAnsiTheme="majorBidi" w:cstheme="majorBidi"/>
              </w:rPr>
              <w:t>→</w:t>
            </w:r>
            <w:r w:rsidRPr="00050DAE">
              <w:rPr>
                <w:rFonts w:asciiTheme="majorBidi" w:hAnsiTheme="majorBidi" w:cstheme="majorBidi"/>
              </w:rPr>
              <w:tab/>
              <w:t xml:space="preserve"> ἅλαδε μύσται →</w:t>
            </w:r>
            <w:r w:rsidRPr="00050DAE">
              <w:rPr>
                <w:rFonts w:asciiTheme="majorBidi" w:hAnsiTheme="majorBidi" w:cstheme="majorBidi"/>
              </w:rPr>
              <w:tab/>
              <w:t xml:space="preserve"> ἱερεῖα δεῦρο →</w:t>
            </w:r>
            <w:r w:rsidRPr="00050DAE">
              <w:rPr>
                <w:rFonts w:asciiTheme="majorBidi" w:hAnsiTheme="majorBidi" w:cstheme="majorBidi"/>
              </w:rPr>
              <w:tab/>
            </w:r>
            <w:r w:rsidRPr="00050DAE">
              <w:rPr>
                <w:rFonts w:asciiTheme="majorBidi" w:hAnsiTheme="majorBidi" w:cstheme="majorBidi"/>
              </w:rPr>
              <w:tab/>
              <w:t xml:space="preserve"> Πλημοχόαι</w:t>
            </w:r>
          </w:p>
          <w:p w14:paraId="75251C2D" w14:textId="45353E7B" w:rsidR="00C11FA2" w:rsidRPr="00050DAE" w:rsidRDefault="00C11FA2" w:rsidP="00B95016">
            <w:pPr>
              <w:pStyle w:val="NoSpacing"/>
              <w:rPr>
                <w:rFonts w:asciiTheme="majorBidi" w:hAnsiTheme="majorBidi" w:cstheme="majorBidi"/>
              </w:rPr>
            </w:pPr>
            <w:r w:rsidRPr="00050DAE">
              <w:rPr>
                <w:rFonts w:asciiTheme="majorBidi" w:hAnsiTheme="majorBidi" w:cstheme="majorBidi"/>
              </w:rPr>
              <w:t>assembly →</w:t>
            </w:r>
            <w:r w:rsidRPr="00050DAE">
              <w:rPr>
                <w:rFonts w:asciiTheme="majorBidi" w:hAnsiTheme="majorBidi" w:cstheme="majorBidi"/>
              </w:rPr>
              <w:tab/>
              <w:t xml:space="preserve"> purification</w:t>
            </w:r>
            <w:r w:rsidR="00254A8E" w:rsidRPr="00050DAE">
              <w:rPr>
                <w:rFonts w:asciiTheme="majorBidi" w:hAnsiTheme="majorBidi" w:cstheme="majorBidi"/>
              </w:rPr>
              <w:t xml:space="preserve"> </w:t>
            </w:r>
            <w:r w:rsidRPr="00050DAE">
              <w:rPr>
                <w:rFonts w:asciiTheme="majorBidi" w:hAnsiTheme="majorBidi" w:cstheme="majorBidi"/>
              </w:rPr>
              <w:t>→</w:t>
            </w:r>
            <w:r w:rsidRPr="00050DAE">
              <w:rPr>
                <w:rFonts w:asciiTheme="majorBidi" w:hAnsiTheme="majorBidi" w:cstheme="majorBidi"/>
              </w:rPr>
              <w:tab/>
              <w:t xml:space="preserve"> </w:t>
            </w:r>
            <w:r w:rsidR="001751A1" w:rsidRPr="00050DAE">
              <w:rPr>
                <w:rFonts w:asciiTheme="majorBidi" w:hAnsiTheme="majorBidi" w:cstheme="majorBidi"/>
              </w:rPr>
              <w:tab/>
              <w:t xml:space="preserve"> </w:t>
            </w:r>
            <w:r w:rsidRPr="00050DAE">
              <w:rPr>
                <w:rFonts w:asciiTheme="majorBidi" w:hAnsiTheme="majorBidi" w:cstheme="majorBidi"/>
              </w:rPr>
              <w:t>sacrifice</w:t>
            </w:r>
            <w:r w:rsidR="00254A8E" w:rsidRPr="00050DAE">
              <w:rPr>
                <w:rFonts w:asciiTheme="majorBidi" w:hAnsiTheme="majorBidi" w:cstheme="majorBidi"/>
              </w:rPr>
              <w:t xml:space="preserve"> </w:t>
            </w:r>
            <w:r w:rsidRPr="00050DAE">
              <w:rPr>
                <w:rFonts w:asciiTheme="majorBidi" w:hAnsiTheme="majorBidi" w:cstheme="majorBidi"/>
              </w:rPr>
              <w:t>→</w:t>
            </w:r>
            <w:r w:rsidRPr="00050DAE">
              <w:rPr>
                <w:rFonts w:asciiTheme="majorBidi" w:hAnsiTheme="majorBidi" w:cstheme="majorBidi"/>
              </w:rPr>
              <w:tab/>
              <w:t xml:space="preserve"> </w:t>
            </w:r>
            <w:r w:rsidR="001751A1" w:rsidRPr="00050DAE">
              <w:rPr>
                <w:rFonts w:asciiTheme="majorBidi" w:hAnsiTheme="majorBidi" w:cstheme="majorBidi"/>
              </w:rPr>
              <w:tab/>
              <w:t xml:space="preserve"> </w:t>
            </w:r>
            <w:r w:rsidRPr="00050DAE">
              <w:rPr>
                <w:rFonts w:asciiTheme="majorBidi" w:hAnsiTheme="majorBidi" w:cstheme="majorBidi"/>
              </w:rPr>
              <w:t>offering / closure</w:t>
            </w:r>
          </w:p>
        </w:tc>
      </w:tr>
    </w:tbl>
    <w:p w14:paraId="6E52A796" w14:textId="0307016D" w:rsidR="00144D36" w:rsidRPr="00050DAE" w:rsidRDefault="00912E7D" w:rsidP="00144D36">
      <w:pPr>
        <w:pStyle w:val="UWTSDindent"/>
      </w:pPr>
      <w:r w:rsidRPr="00050DAE">
        <w:t>Table 4 presents a reconstruction of the Eleusinian Mysteries based on Mikalson</w:t>
      </w:r>
      <w:r w:rsidR="008301DC" w:rsidRPr="00050DAE">
        <w:t>’</w:t>
      </w:r>
      <w:r w:rsidRPr="00050DAE">
        <w:t>s chronology</w:t>
      </w:r>
      <w:r w:rsidR="00144D36" w:rsidRPr="00050DAE">
        <w:t xml:space="preserve"> presenting two scenarios that differ in detail but preserve a consistent sequence, indicating a stable </w:t>
      </w:r>
      <w:r w:rsidR="00C020C4" w:rsidRPr="00050DAE">
        <w:t>ritualised</w:t>
      </w:r>
      <w:r w:rsidR="009D60EB" w:rsidRPr="00050DAE">
        <w:t xml:space="preserve"> presentation</w:t>
      </w:r>
      <w:r w:rsidR="00144D36" w:rsidRPr="00050DAE">
        <w:t xml:space="preserve">. The progression from ἀγυρμός through ἅλαδε μύσται and ἱερεῖα δεῦρο to the Πλημοχόαι reflects a staged process of purification, sacrifice, and closure within a ritual </w:t>
      </w:r>
      <w:r w:rsidR="00985222" w:rsidRPr="00050DAE">
        <w:t>structure</w:t>
      </w:r>
      <w:r w:rsidR="00144D36" w:rsidRPr="00050DAE">
        <w:t xml:space="preserve"> centred on Eleusis as the dominant mystery cult. According to Graf:</w:t>
      </w:r>
      <w:r w:rsidR="00EB103D" w:rsidRPr="00050DAE">
        <w:rPr>
          <w:rStyle w:val="FootnoteReference"/>
        </w:rPr>
        <w:footnoteReference w:id="284"/>
      </w:r>
    </w:p>
    <w:p w14:paraId="50DD0671" w14:textId="119B9CA5" w:rsidR="00144D36" w:rsidRPr="00050DAE" w:rsidRDefault="00144D36" w:rsidP="00144D36">
      <w:pPr>
        <w:pStyle w:val="Quote"/>
        <w:rPr>
          <w:rFonts w:asciiTheme="majorBidi" w:hAnsiTheme="majorBidi" w:cstheme="majorBidi"/>
          <w:color w:val="auto"/>
        </w:rPr>
      </w:pPr>
      <w:r w:rsidRPr="00050DAE">
        <w:rPr>
          <w:rFonts w:asciiTheme="majorBidi" w:hAnsiTheme="majorBidi" w:cstheme="majorBidi"/>
          <w:color w:val="auto"/>
        </w:rPr>
        <w:t>Purification rites belong to the preliminary phase of all mystery cults, before coming into close contact with the divine; in Andania, purification could take place either in the grove of Lykos or, more spectacularly, in the theatre. The sacrifices to the divinities must have taken place in the grove, as part of the secret ritual, as did dances for which the regulations list the musicians. Hermes and Apollo Karneios had their statues in the grove. Hagna – whom the initiates identify with Demeter</w:t>
      </w:r>
      <w:r w:rsidR="008301DC" w:rsidRPr="00050DAE">
        <w:rPr>
          <w:rFonts w:asciiTheme="majorBidi" w:hAnsiTheme="majorBidi" w:cstheme="majorBidi"/>
          <w:color w:val="auto"/>
        </w:rPr>
        <w:t>’</w:t>
      </w:r>
      <w:r w:rsidRPr="00050DAE">
        <w:rPr>
          <w:rFonts w:asciiTheme="majorBidi" w:hAnsiTheme="majorBidi" w:cstheme="majorBidi"/>
          <w:color w:val="auto"/>
        </w:rPr>
        <w:t>s daughter Kore – had her spring with altar and statue Demeter and Kore form the link with Eleusis</w:t>
      </w:r>
      <w:r w:rsidR="002F727B" w:rsidRPr="00050DAE">
        <w:rPr>
          <w:rFonts w:asciiTheme="majorBidi" w:hAnsiTheme="majorBidi" w:cstheme="majorBidi"/>
          <w:color w:val="auto"/>
        </w:rPr>
        <w:t>…</w:t>
      </w:r>
    </w:p>
    <w:p w14:paraId="2D8AC76C" w14:textId="51B152AC" w:rsidR="00C11FA2" w:rsidRPr="00050DAE" w:rsidRDefault="00912E7D" w:rsidP="00912E7D">
      <w:pPr>
        <w:pStyle w:val="UWTSDindent"/>
      </w:pPr>
      <w:r w:rsidRPr="00050DAE">
        <w:t>Many aspects of the Eleusinian Mysteries remain obscure</w:t>
      </w:r>
      <w:r w:rsidR="00D4429D" w:rsidRPr="00050DAE">
        <w:t>, surviving only through scattered texts and archaeological evidence.</w:t>
      </w:r>
      <w:r w:rsidR="002F727B" w:rsidRPr="00050DAE">
        <w:rPr>
          <w:rStyle w:val="FootnoteReference"/>
        </w:rPr>
        <w:footnoteReference w:id="285"/>
      </w:r>
      <w:r w:rsidR="00C11FA2" w:rsidRPr="00050DAE">
        <w:t xml:space="preserve"> Parker, </w:t>
      </w:r>
      <w:r w:rsidR="002F727B" w:rsidRPr="00050DAE">
        <w:t>supported by Sourvinou-Inwood</w:t>
      </w:r>
      <w:r w:rsidR="00C11FA2" w:rsidRPr="00050DAE">
        <w:t xml:space="preserve">, </w:t>
      </w:r>
      <w:r w:rsidRPr="00050DAE">
        <w:t xml:space="preserve">observes </w:t>
      </w:r>
      <w:r w:rsidR="00C11FA2" w:rsidRPr="00050DAE">
        <w:t xml:space="preserve">that </w:t>
      </w:r>
      <w:r w:rsidR="008301DC" w:rsidRPr="00050DAE">
        <w:t>“</w:t>
      </w:r>
      <w:r w:rsidR="00C11FA2" w:rsidRPr="00050DAE">
        <w:t>full participation in the Mysteries was open, on payment, to male and female, slave and free (though not to children or non-speakers of Greek).</w:t>
      </w:r>
      <w:r w:rsidR="008301DC" w:rsidRPr="00050DAE">
        <w:t>”</w:t>
      </w:r>
      <w:r w:rsidR="00C11FA2" w:rsidRPr="00050DAE">
        <w:rPr>
          <w:vertAlign w:val="superscript"/>
        </w:rPr>
        <w:footnoteReference w:id="286"/>
      </w:r>
      <w:r w:rsidR="00C11FA2" w:rsidRPr="00050DAE">
        <w:t xml:space="preserve"> </w:t>
      </w:r>
      <w:r w:rsidR="00CF30E8" w:rsidRPr="00050DAE">
        <w:t>Participation in the Mysteries required a pre-initiation process within a graded system that regulated access to the rites and distinguished initiates from the uninitiated</w:t>
      </w:r>
      <w:r w:rsidR="00C11FA2" w:rsidRPr="00050DAE">
        <w:t>.</w:t>
      </w:r>
      <w:r w:rsidR="00C11FA2" w:rsidRPr="00050DAE">
        <w:rPr>
          <w:vertAlign w:val="superscript"/>
        </w:rPr>
        <w:footnoteReference w:id="287"/>
      </w:r>
      <w:r w:rsidR="00C11FA2" w:rsidRPr="00050DAE">
        <w:t xml:space="preserve"> The journey began at the foot of the Acropolis in central Athens at the Eleusinion, which served as a rallying point for both local and foreign initiates.</w:t>
      </w:r>
      <w:r w:rsidR="00C11FA2" w:rsidRPr="00050DAE">
        <w:rPr>
          <w:vertAlign w:val="superscript"/>
        </w:rPr>
        <w:footnoteReference w:id="288"/>
      </w:r>
      <w:r w:rsidR="00C11FA2" w:rsidRPr="00050DAE">
        <w:t xml:space="preserve"> </w:t>
      </w:r>
      <w:r w:rsidR="0004096B" w:rsidRPr="00050DAE">
        <w:t xml:space="preserve">Although the evidence suggests </w:t>
      </w:r>
      <w:r w:rsidR="00C11FA2" w:rsidRPr="00050DAE">
        <w:t xml:space="preserve">children were generally excluded, each year a child was chosen as </w:t>
      </w:r>
      <w:r w:rsidR="008301DC" w:rsidRPr="00050DAE">
        <w:t>“</w:t>
      </w:r>
      <w:r w:rsidR="00C11FA2" w:rsidRPr="00050DAE">
        <w:t>the initiated from the hearth</w:t>
      </w:r>
      <w:r w:rsidR="008301DC" w:rsidRPr="00050DAE">
        <w:t>”</w:t>
      </w:r>
      <w:r w:rsidR="00C11FA2" w:rsidRPr="00050DAE">
        <w:t xml:space="preserve"> to participate in the rituals.</w:t>
      </w:r>
      <w:r w:rsidR="00C11FA2" w:rsidRPr="00050DAE">
        <w:rPr>
          <w:vertAlign w:val="superscript"/>
        </w:rPr>
        <w:footnoteReference w:id="289"/>
      </w:r>
      <w:r w:rsidR="00C11FA2" w:rsidRPr="00050DAE">
        <w:t xml:space="preserve"> </w:t>
      </w:r>
      <w:r w:rsidRPr="00050DAE">
        <w:t xml:space="preserve">At its height, the </w:t>
      </w:r>
      <w:r w:rsidRPr="00050DAE">
        <w:rPr>
          <w:i/>
          <w:iCs/>
        </w:rPr>
        <w:t>Iacchus procession</w:t>
      </w:r>
      <w:r w:rsidRPr="00050DAE">
        <w:t xml:space="preserve"> drew thousands as it</w:t>
      </w:r>
      <w:r w:rsidR="00C11FA2" w:rsidRPr="00050DAE">
        <w:t xml:space="preserve"> wound its way from Athens to Eleusis, possibly by torchlight, as they relived the experience of Demeter</w:t>
      </w:r>
      <w:r w:rsidR="008301DC" w:rsidRPr="00050DAE">
        <w:t>’</w:t>
      </w:r>
      <w:r w:rsidR="00C11FA2" w:rsidRPr="00050DAE">
        <w:t>s search for Kore.</w:t>
      </w:r>
      <w:r w:rsidR="00C11FA2" w:rsidRPr="00050DAE">
        <w:rPr>
          <w:vertAlign w:val="superscript"/>
        </w:rPr>
        <w:footnoteReference w:id="290"/>
      </w:r>
      <w:r w:rsidR="00C11FA2" w:rsidRPr="00050DAE">
        <w:t xml:space="preserve"> </w:t>
      </w:r>
      <w:r w:rsidR="00170B4C" w:rsidRPr="00050DAE">
        <w:t xml:space="preserve">It is speculated </w:t>
      </w:r>
      <w:r w:rsidR="00CF30E8" w:rsidRPr="00050DAE">
        <w:t>that the ritual may have included periods of silence and tension, interrupted by sudden sounds or other scripted elements.</w:t>
      </w:r>
      <w:r w:rsidR="00C11FA2" w:rsidRPr="00050DAE">
        <w:rPr>
          <w:vertAlign w:val="superscript"/>
        </w:rPr>
        <w:footnoteReference w:id="291"/>
      </w:r>
      <w:r w:rsidR="00C11FA2" w:rsidRPr="00050DAE">
        <w:t xml:space="preserve"> Lucian</w:t>
      </w:r>
      <w:r w:rsidR="00B82953" w:rsidRPr="00050DAE">
        <w:t xml:space="preserve"> suggests</w:t>
      </w:r>
      <w:r w:rsidR="00C11FA2" w:rsidRPr="00050DAE">
        <w:t xml:space="preserve"> that </w:t>
      </w:r>
      <w:r w:rsidRPr="00050DAE">
        <w:t>possibly dancing figures may have created haunting scenes</w:t>
      </w:r>
      <w:r w:rsidR="00C11FA2" w:rsidRPr="00050DAE">
        <w:t>.</w:t>
      </w:r>
      <w:r w:rsidR="00C11FA2" w:rsidRPr="00050DAE">
        <w:rPr>
          <w:vertAlign w:val="superscript"/>
        </w:rPr>
        <w:footnoteReference w:id="292"/>
      </w:r>
      <w:r w:rsidR="00C11FA2" w:rsidRPr="00050DAE">
        <w:t xml:space="preserve"> </w:t>
      </w:r>
      <w:r w:rsidR="008A6542" w:rsidRPr="00050DAE">
        <w:t>The surviving evidence for the ritual script of the Mysteries is fragmentary and, in some cases, derives from critics who felt unbound by their oaths</w:t>
      </w:r>
      <w:r w:rsidR="00C11FA2" w:rsidRPr="00050DAE">
        <w:t>.</w:t>
      </w:r>
      <w:r w:rsidR="00C11FA2" w:rsidRPr="00050DAE">
        <w:rPr>
          <w:vertAlign w:val="superscript"/>
        </w:rPr>
        <w:footnoteReference w:id="293"/>
      </w:r>
      <w:r w:rsidR="00C11FA2" w:rsidRPr="00050DAE">
        <w:t xml:space="preserve"> </w:t>
      </w:r>
      <w:r w:rsidR="0004096B" w:rsidRPr="00050DAE">
        <w:t>Though</w:t>
      </w:r>
      <w:r w:rsidR="00C11FA2" w:rsidRPr="00050DAE">
        <w:t xml:space="preserve"> there is scholarly debate over the stories presented in the </w:t>
      </w:r>
      <w:r w:rsidR="008A6542" w:rsidRPr="00050DAE">
        <w:t>Mysteries</w:t>
      </w:r>
      <w:r w:rsidR="00C11FA2" w:rsidRPr="00050DAE">
        <w:t>, the tale of Demeter</w:t>
      </w:r>
      <w:r w:rsidR="008301DC" w:rsidRPr="00050DAE">
        <w:t>’</w:t>
      </w:r>
      <w:r w:rsidR="00C11FA2" w:rsidRPr="00050DAE">
        <w:t>s search for Kore/Persephone can be presented as a desperate quest by torchlight that ends with Persephone</w:t>
      </w:r>
      <w:r w:rsidR="008301DC" w:rsidRPr="00050DAE">
        <w:t>’</w:t>
      </w:r>
      <w:r w:rsidR="00C11FA2" w:rsidRPr="00050DAE">
        <w:t>s reunion leading to a celebration.</w:t>
      </w:r>
      <w:r w:rsidR="00C11FA2" w:rsidRPr="00050DAE">
        <w:rPr>
          <w:vertAlign w:val="superscript"/>
        </w:rPr>
        <w:footnoteReference w:id="294"/>
      </w:r>
    </w:p>
    <w:p w14:paraId="40113B0C" w14:textId="0CE114E6" w:rsidR="00C11FA2" w:rsidRPr="00050DAE" w:rsidRDefault="00573AA2" w:rsidP="00EE6050">
      <w:pPr>
        <w:pStyle w:val="UWTSDindent"/>
      </w:pPr>
      <w:r w:rsidRPr="00050DAE">
        <w:t xml:space="preserve">Within the Eleusinian </w:t>
      </w:r>
      <w:r w:rsidR="00C0249D" w:rsidRPr="00050DAE">
        <w:t>context</w:t>
      </w:r>
      <w:r w:rsidRPr="00050DAE">
        <w:t>, Persephone functions as a mediating figure between the worlds of the living and the dead, allowing the myth to connect mortality with the possibility of renewal</w:t>
      </w:r>
      <w:r w:rsidR="00C11FA2" w:rsidRPr="00050DAE">
        <w:t>.</w:t>
      </w:r>
      <w:r w:rsidR="001F60B1" w:rsidRPr="00050DAE">
        <w:rPr>
          <w:rStyle w:val="FootnoteReference"/>
        </w:rPr>
        <w:footnoteReference w:id="295"/>
      </w:r>
      <w:r w:rsidR="00C11FA2" w:rsidRPr="00050DAE">
        <w:t xml:space="preserve"> </w:t>
      </w:r>
      <w:r w:rsidR="008301DC" w:rsidRPr="00050DAE">
        <w:t>Persephone functions as a mediator, appearing both as an ‘inoffensive maiden’ among the living and as the powerful queen of the underworld</w:t>
      </w:r>
      <w:r w:rsidR="00C11FA2" w:rsidRPr="00050DAE">
        <w:t xml:space="preserve"> </w:t>
      </w:r>
      <w:r w:rsidR="008301DC" w:rsidRPr="00050DAE">
        <w:t>“</w:t>
      </w:r>
      <w:r w:rsidR="00C11FA2" w:rsidRPr="00050DAE">
        <w:t>in the arms of the king of the dead.</w:t>
      </w:r>
      <w:r w:rsidR="008301DC" w:rsidRPr="00050DAE">
        <w:t>”</w:t>
      </w:r>
      <w:r w:rsidR="004E7DAB" w:rsidRPr="00050DAE">
        <w:rPr>
          <w:rStyle w:val="FootnoteReference"/>
        </w:rPr>
        <w:footnoteReference w:id="296"/>
      </w:r>
      <w:r w:rsidR="00C11FA2" w:rsidRPr="00050DAE">
        <w:t xml:space="preserve"> </w:t>
      </w:r>
      <w:r w:rsidR="00C36F18" w:rsidRPr="00050DAE">
        <w:t xml:space="preserve">This mediating function </w:t>
      </w:r>
      <w:r w:rsidR="005E6869" w:rsidRPr="00050DAE">
        <w:t xml:space="preserve">exists </w:t>
      </w:r>
      <w:r w:rsidR="00C36F18" w:rsidRPr="00050DAE">
        <w:t xml:space="preserve">within a broader </w:t>
      </w:r>
      <w:r w:rsidR="005841F9" w:rsidRPr="00050DAE">
        <w:t>context</w:t>
      </w:r>
      <w:r w:rsidR="00C36F18" w:rsidRPr="00050DAE">
        <w:t xml:space="preserve">, </w:t>
      </w:r>
      <w:r w:rsidR="005841F9" w:rsidRPr="00050DAE">
        <w:t>where</w:t>
      </w:r>
      <w:r w:rsidR="00C36F18" w:rsidRPr="00050DAE">
        <w:t xml:space="preserve"> </w:t>
      </w:r>
      <w:r w:rsidR="005841F9" w:rsidRPr="00050DAE">
        <w:t xml:space="preserve">the </w:t>
      </w:r>
      <w:r w:rsidR="00C36F18" w:rsidRPr="00050DAE">
        <w:t>Greek</w:t>
      </w:r>
      <w:r w:rsidR="005841F9" w:rsidRPr="00050DAE">
        <w:t>s</w:t>
      </w:r>
      <w:r w:rsidR="00C36F18" w:rsidRPr="00050DAE">
        <w:t xml:space="preserve"> articulate their own solutions to shared concerns such as death, return, and continuity.</w:t>
      </w:r>
      <w:r w:rsidR="00C36F18" w:rsidRPr="00050DAE">
        <w:rPr>
          <w:rStyle w:val="FootnoteReference"/>
        </w:rPr>
        <w:footnoteReference w:id="297"/>
      </w:r>
      <w:r w:rsidR="00C36F18" w:rsidRPr="00050DAE">
        <w:t xml:space="preserve"> </w:t>
      </w:r>
      <w:r w:rsidR="008301DC" w:rsidRPr="00050DAE">
        <w:t>It is through Demeter's love for her daughter and Persephone's dual role that the Mysteries grant “</w:t>
      </w:r>
      <w:r w:rsidR="00C11FA2" w:rsidRPr="00050DAE">
        <w:t>the possibility for mortals of winning the favour</w:t>
      </w:r>
      <w:r w:rsidR="008301DC" w:rsidRPr="00050DAE">
        <w:t>”</w:t>
      </w:r>
      <w:r w:rsidR="00C11FA2" w:rsidRPr="00050DAE">
        <w:t xml:space="preserve"> in the underworld.</w:t>
      </w:r>
      <w:r w:rsidR="00C11FA2" w:rsidRPr="00050DAE">
        <w:rPr>
          <w:vertAlign w:val="superscript"/>
        </w:rPr>
        <w:footnoteReference w:id="298"/>
      </w:r>
    </w:p>
    <w:p w14:paraId="3458778F" w14:textId="25E27747" w:rsidR="00D44E54" w:rsidRPr="00050DAE" w:rsidRDefault="00D44E54" w:rsidP="00282072">
      <w:pPr>
        <w:pStyle w:val="Heading2"/>
        <w:rPr>
          <w:rFonts w:asciiTheme="majorBidi" w:hAnsiTheme="majorBidi"/>
          <w:color w:val="auto"/>
        </w:rPr>
      </w:pPr>
      <w:bookmarkStart w:id="164" w:name="_Toc234140259"/>
      <w:bookmarkStart w:id="165" w:name="_Toc234140510"/>
      <w:bookmarkStart w:id="166" w:name="_Toc234143690"/>
      <w:bookmarkStart w:id="167" w:name="_Toc234154319"/>
      <w:r w:rsidRPr="00050DAE">
        <w:rPr>
          <w:rFonts w:asciiTheme="majorBidi" w:hAnsiTheme="majorBidi"/>
          <w:color w:val="auto"/>
        </w:rPr>
        <w:t>5.</w:t>
      </w:r>
      <w:r w:rsidR="00C11FA2" w:rsidRPr="00050DAE">
        <w:rPr>
          <w:rFonts w:asciiTheme="majorBidi" w:hAnsiTheme="majorBidi"/>
          <w:color w:val="auto"/>
        </w:rPr>
        <w:t>4</w:t>
      </w:r>
      <w:r w:rsidRPr="00050DAE">
        <w:rPr>
          <w:rFonts w:asciiTheme="majorBidi" w:hAnsiTheme="majorBidi"/>
          <w:color w:val="auto"/>
        </w:rPr>
        <w:t xml:space="preserve"> Corpus of Demeter and Persephone</w:t>
      </w:r>
      <w:bookmarkEnd w:id="164"/>
      <w:bookmarkEnd w:id="165"/>
      <w:bookmarkEnd w:id="166"/>
      <w:bookmarkEnd w:id="167"/>
    </w:p>
    <w:p w14:paraId="54904716" w14:textId="52934530" w:rsidR="004268E3" w:rsidRPr="00050DAE" w:rsidRDefault="00E839B8" w:rsidP="004268E3">
      <w:pPr>
        <w:pStyle w:val="Heading3"/>
        <w:rPr>
          <w:rFonts w:asciiTheme="majorBidi" w:hAnsiTheme="majorBidi"/>
          <w:color w:val="auto"/>
        </w:rPr>
      </w:pPr>
      <w:bookmarkStart w:id="168" w:name="_Toc234140260"/>
      <w:bookmarkStart w:id="169" w:name="_Toc234140511"/>
      <w:bookmarkStart w:id="170" w:name="_Toc234143691"/>
      <w:bookmarkStart w:id="171" w:name="_Toc234154320"/>
      <w:r w:rsidRPr="00050DAE">
        <w:rPr>
          <w:rFonts w:asciiTheme="majorBidi" w:hAnsiTheme="majorBidi"/>
          <w:i/>
          <w:iCs/>
          <w:color w:val="auto"/>
        </w:rPr>
        <w:t xml:space="preserve">Orphic Hymn </w:t>
      </w:r>
      <w:r w:rsidR="004268E3" w:rsidRPr="00050DAE">
        <w:rPr>
          <w:rFonts w:asciiTheme="majorBidi" w:hAnsiTheme="majorBidi"/>
          <w:i/>
          <w:iCs/>
          <w:color w:val="auto"/>
        </w:rPr>
        <w:t xml:space="preserve">40. </w:t>
      </w:r>
      <w:r w:rsidR="00D57C6E" w:rsidRPr="00050DAE">
        <w:rPr>
          <w:rFonts w:asciiTheme="majorBidi" w:hAnsiTheme="majorBidi"/>
          <w:i/>
          <w:iCs/>
          <w:color w:val="auto"/>
        </w:rPr>
        <w:t>Offering of Demeter Eleusinia</w:t>
      </w:r>
      <w:r w:rsidRPr="00050DAE">
        <w:rPr>
          <w:rStyle w:val="FootnoteReference"/>
          <w:rFonts w:asciiTheme="majorBidi" w:hAnsiTheme="majorBidi"/>
          <w:color w:val="auto"/>
        </w:rPr>
        <w:footnoteReference w:id="299"/>
      </w:r>
      <w:bookmarkEnd w:id="168"/>
      <w:bookmarkEnd w:id="169"/>
      <w:bookmarkEnd w:id="170"/>
      <w:bookmarkEnd w:id="171"/>
    </w:p>
    <w:p w14:paraId="5EC18DBB" w14:textId="4E513F4D" w:rsidR="00D57C6E" w:rsidRPr="00050DAE" w:rsidRDefault="00D57C6E" w:rsidP="00CB0E00">
      <w:pPr>
        <w:pStyle w:val="UWTSDindent"/>
        <w:rPr>
          <w:rStyle w:val="Heading3Char"/>
        </w:rPr>
      </w:pPr>
      <w:r w:rsidRPr="00050DAE">
        <w:t xml:space="preserve">The </w:t>
      </w:r>
      <w:r w:rsidRPr="00050DAE">
        <w:rPr>
          <w:i/>
          <w:iCs/>
        </w:rPr>
        <w:t>Offering of Demeter Eleusinia</w:t>
      </w:r>
      <w:r w:rsidRPr="00050DAE">
        <w:t xml:space="preserve"> presents Demeter as an all-encompassing maternal and agricultural divinity whose power governs fertility, prosperity, cultivation, and the ordered rhythms of mortal life. The hymn </w:t>
      </w:r>
      <w:r w:rsidR="00C020C4" w:rsidRPr="00050DAE">
        <w:t>emphasise</w:t>
      </w:r>
      <w:r w:rsidRPr="00050DAE">
        <w:t>s her role as the civili</w:t>
      </w:r>
      <w:r w:rsidR="00514BEA" w:rsidRPr="00050DAE">
        <w:t>s</w:t>
      </w:r>
      <w:r w:rsidRPr="00050DAE">
        <w:t>ing force behind agriculture and communal stability</w:t>
      </w:r>
      <w:r w:rsidR="00514BEA" w:rsidRPr="00050DAE">
        <w:t xml:space="preserve"> while</w:t>
      </w:r>
      <w:r w:rsidRPr="00050DAE">
        <w:t xml:space="preserve"> portraying her as </w:t>
      </w:r>
      <w:r w:rsidR="00AD2681" w:rsidRPr="00050DAE">
        <w:t xml:space="preserve">the goddess who first enabled humanity to flourish </w:t>
      </w:r>
      <w:r w:rsidRPr="00050DAE">
        <w:t>through ploughing, harvest, and the peaceful ordering of society. Rooted in the sacred landscape of Eleusis, Demeter both nourishe</w:t>
      </w:r>
      <w:r w:rsidR="00CB0E00" w:rsidRPr="00050DAE">
        <w:t>s</w:t>
      </w:r>
      <w:r w:rsidRPr="00050DAE">
        <w:t xml:space="preserve"> and renew</w:t>
      </w:r>
      <w:r w:rsidR="00CB0E00" w:rsidRPr="00050DAE">
        <w:t>s as she</w:t>
      </w:r>
      <w:r w:rsidRPr="00050DAE">
        <w:t xml:space="preserve"> sustain</w:t>
      </w:r>
      <w:r w:rsidR="00CB0E00" w:rsidRPr="00050DAE">
        <w:t>s</w:t>
      </w:r>
      <w:r w:rsidRPr="00050DAE">
        <w:t xml:space="preserve"> the recurring cycles of growth, abundance, and ritual continuity.</w:t>
      </w:r>
      <w:r w:rsidR="00CB0E00" w:rsidRPr="00050DAE">
        <w:t xml:space="preserve"> </w:t>
      </w:r>
      <w:r w:rsidRPr="00050DAE">
        <w:t xml:space="preserve">Demeter embodies the broader Greek pattern of seasonal regeneration and sacred continuity associated with the Eleusinian </w:t>
      </w:r>
      <w:r w:rsidR="005841F9" w:rsidRPr="00050DAE">
        <w:t>Mysteries</w:t>
      </w:r>
      <w:r w:rsidR="00CB0E00" w:rsidRPr="00050DAE">
        <w:t xml:space="preserve"> while acting as</w:t>
      </w:r>
      <w:r w:rsidRPr="00050DAE">
        <w:t xml:space="preserve"> the divine guarantor of orderly renewal, joining fertility, good order, health, and wealth within a single sacred cycle.</w:t>
      </w:r>
      <w:r w:rsidR="007C29D6" w:rsidRPr="00050DAE">
        <w:rPr>
          <w:rStyle w:val="Heading3Char"/>
        </w:rPr>
        <w:t xml:space="preserve"> </w:t>
      </w:r>
    </w:p>
    <w:p w14:paraId="43759908" w14:textId="649C6452" w:rsidR="00147038" w:rsidRPr="00050DAE" w:rsidRDefault="00C9304A" w:rsidP="00D57C6E">
      <w:pPr>
        <w:pStyle w:val="Heading3"/>
        <w:rPr>
          <w:rStyle w:val="Heading3Char"/>
          <w:rFonts w:asciiTheme="majorBidi" w:hAnsiTheme="majorBidi"/>
        </w:rPr>
      </w:pPr>
      <w:bookmarkStart w:id="172" w:name="_Toc234140261"/>
      <w:bookmarkStart w:id="173" w:name="_Toc234140512"/>
      <w:bookmarkStart w:id="174" w:name="_Toc234143692"/>
      <w:bookmarkStart w:id="175" w:name="_Toc234154321"/>
      <w:r w:rsidRPr="00050DAE">
        <w:rPr>
          <w:rStyle w:val="Heading3Char"/>
          <w:rFonts w:asciiTheme="majorBidi" w:hAnsiTheme="majorBidi"/>
          <w:i/>
          <w:iCs/>
        </w:rPr>
        <w:t>Rape of Proserpine</w:t>
      </w:r>
      <w:r w:rsidR="00147038" w:rsidRPr="00050DAE">
        <w:rPr>
          <w:rStyle w:val="FootnoteReference"/>
          <w:rFonts w:asciiTheme="majorBidi" w:hAnsiTheme="majorBidi"/>
        </w:rPr>
        <w:footnoteReference w:id="300"/>
      </w:r>
      <w:bookmarkEnd w:id="172"/>
      <w:bookmarkEnd w:id="173"/>
      <w:bookmarkEnd w:id="174"/>
      <w:bookmarkEnd w:id="175"/>
    </w:p>
    <w:p w14:paraId="70FBA6DE" w14:textId="5A5B047C" w:rsidR="008D0017" w:rsidRPr="00050DAE" w:rsidRDefault="008D0017" w:rsidP="008D0017">
      <w:pPr>
        <w:pStyle w:val="UWTSDindent"/>
      </w:pPr>
      <w:r w:rsidRPr="00050DAE">
        <w:t>Claudian</w:t>
      </w:r>
      <w:r w:rsidR="008301DC" w:rsidRPr="00050DAE">
        <w:t>’</w:t>
      </w:r>
      <w:r w:rsidRPr="00050DAE">
        <w:t xml:space="preserve">s </w:t>
      </w:r>
      <w:r w:rsidRPr="00050DAE">
        <w:rPr>
          <w:i/>
          <w:iCs/>
        </w:rPr>
        <w:t>De Raptu Proserpinae</w:t>
      </w:r>
      <w:r w:rsidRPr="00050DAE">
        <w:t xml:space="preserve"> presents the Persephone story as a grand late antique epic concerned with divine power, cosmic disruption, and the maintenance of political order. </w:t>
      </w:r>
      <w:r w:rsidR="007C29D6" w:rsidRPr="00050DAE">
        <w:t>The poem presents Pluto</w:t>
      </w:r>
      <w:r w:rsidR="008301DC" w:rsidRPr="00050DAE">
        <w:t>’</w:t>
      </w:r>
      <w:r w:rsidR="007C29D6" w:rsidRPr="00050DAE">
        <w:t xml:space="preserve">s abduction of Proserpina not merely as an act of desire but as part of a broader cosmic necessity intended to </w:t>
      </w:r>
      <w:r w:rsidR="0091193A" w:rsidRPr="00050DAE">
        <w:t xml:space="preserve">stabilise </w:t>
      </w:r>
      <w:r w:rsidR="007C29D6" w:rsidRPr="00050DAE">
        <w:t>the relationship between the underworld and the Olympian order. Claudian intensifies the emotional and visual dimensions of the myth through elaborate depictions of Proserpina</w:t>
      </w:r>
      <w:r w:rsidR="008301DC" w:rsidRPr="00050DAE">
        <w:t>’</w:t>
      </w:r>
      <w:r w:rsidR="007C29D6" w:rsidRPr="00050DAE">
        <w:t>s innocence, Ceres</w:t>
      </w:r>
      <w:r w:rsidR="008301DC" w:rsidRPr="00050DAE">
        <w:t>’</w:t>
      </w:r>
      <w:r w:rsidR="007C29D6" w:rsidRPr="00050DAE">
        <w:t xml:space="preserve">s grief, and the disruption of the natural world that follows the descent. </w:t>
      </w:r>
    </w:p>
    <w:p w14:paraId="0F8D082B" w14:textId="42ECE6E2" w:rsidR="007C29D6" w:rsidRPr="00050DAE" w:rsidRDefault="008D0017" w:rsidP="008D0017">
      <w:pPr>
        <w:pStyle w:val="UWTSDindent"/>
      </w:pPr>
      <w:r w:rsidRPr="00050DAE">
        <w:t xml:space="preserve">Where the </w:t>
      </w:r>
      <w:r w:rsidRPr="00050DAE">
        <w:rPr>
          <w:i/>
          <w:iCs/>
        </w:rPr>
        <w:t>Homeric Hymn</w:t>
      </w:r>
      <w:r w:rsidRPr="00050DAE">
        <w:t xml:space="preserve"> moves </w:t>
      </w:r>
      <w:r w:rsidR="0091193A" w:rsidRPr="00050DAE">
        <w:t>towards</w:t>
      </w:r>
      <w:r w:rsidRPr="00050DAE">
        <w:t xml:space="preserve"> restoration, Claudian preserves an atmosphere of instability and unresolved tension between cosmic order and disruption.</w:t>
      </w:r>
      <w:r w:rsidR="00147038" w:rsidRPr="00050DAE">
        <w:t xml:space="preserve"> </w:t>
      </w:r>
      <w:r w:rsidR="00C60427" w:rsidRPr="00050DAE">
        <w:t>Rather than presenting Persephone</w:t>
      </w:r>
      <w:r w:rsidR="008301DC" w:rsidRPr="00050DAE">
        <w:t>’</w:t>
      </w:r>
      <w:r w:rsidR="00C60427" w:rsidRPr="00050DAE">
        <w:t>s descent as a fully stabilized seasonal compromise, Claudian repeatedly frames the abduction through violated cosmic boundaries and contested divine authority.</w:t>
      </w:r>
      <w:r w:rsidR="00C60427" w:rsidRPr="00050DAE">
        <w:rPr>
          <w:rStyle w:val="FootnoteReference"/>
        </w:rPr>
        <w:footnoteReference w:id="301"/>
      </w:r>
      <w:r w:rsidR="00C60427" w:rsidRPr="00050DAE">
        <w:t xml:space="preserve"> </w:t>
      </w:r>
      <w:r w:rsidR="007C29D6" w:rsidRPr="00050DAE">
        <w:rPr>
          <w:i/>
          <w:iCs/>
        </w:rPr>
        <w:t>De Raptu Proserpinae</w:t>
      </w:r>
      <w:r w:rsidR="007C29D6" w:rsidRPr="00050DAE">
        <w:t xml:space="preserve"> </w:t>
      </w:r>
      <w:r w:rsidR="002F71FD" w:rsidRPr="00050DAE">
        <w:t>presents</w:t>
      </w:r>
      <w:r w:rsidR="007C29D6" w:rsidRPr="00050DAE">
        <w:t xml:space="preserve"> the continued adaptability of the Greek descent </w:t>
      </w:r>
      <w:r w:rsidR="005841F9" w:rsidRPr="00050DAE">
        <w:t>cycle</w:t>
      </w:r>
      <w:r w:rsidR="007C29D6" w:rsidRPr="00050DAE">
        <w:t xml:space="preserve"> while preserving its central logic of mediated return and cyclical balance. </w:t>
      </w:r>
      <w:r w:rsidRPr="00050DAE">
        <w:t>Claudian</w:t>
      </w:r>
      <w:r w:rsidR="008301DC" w:rsidRPr="00050DAE">
        <w:t>’</w:t>
      </w:r>
      <w:r w:rsidRPr="00050DAE">
        <w:t xml:space="preserve">s version </w:t>
      </w:r>
      <w:r w:rsidR="00C020C4" w:rsidRPr="00050DAE">
        <w:t>emphasise</w:t>
      </w:r>
      <w:r w:rsidRPr="00050DAE">
        <w:t>s a vision of descent shaped by mediation and fragile reconciliation, where restoration remains partial and dependent upon ongoing balance.</w:t>
      </w:r>
    </w:p>
    <w:p w14:paraId="492D84C9" w14:textId="31F4A3FC" w:rsidR="008441E2" w:rsidRPr="00050DAE" w:rsidRDefault="00A031F6" w:rsidP="007C29D6">
      <w:pPr>
        <w:pStyle w:val="Heading2"/>
        <w:rPr>
          <w:rFonts w:asciiTheme="majorBidi" w:hAnsiTheme="majorBidi"/>
          <w:color w:val="auto"/>
        </w:rPr>
      </w:pPr>
      <w:bookmarkStart w:id="176" w:name="_Toc234140262"/>
      <w:bookmarkStart w:id="177" w:name="_Toc234140513"/>
      <w:bookmarkStart w:id="178" w:name="_Toc234143693"/>
      <w:bookmarkStart w:id="179" w:name="_Toc234154322"/>
      <w:r w:rsidRPr="00050DAE">
        <w:rPr>
          <w:rFonts w:asciiTheme="majorBidi" w:hAnsiTheme="majorBidi"/>
          <w:color w:val="auto"/>
        </w:rPr>
        <w:t>5</w:t>
      </w:r>
      <w:r w:rsidR="008441E2" w:rsidRPr="00050DAE">
        <w:rPr>
          <w:rFonts w:asciiTheme="majorBidi" w:hAnsiTheme="majorBidi"/>
          <w:color w:val="auto"/>
        </w:rPr>
        <w:t>.</w:t>
      </w:r>
      <w:r w:rsidR="00C11FA2" w:rsidRPr="00050DAE">
        <w:rPr>
          <w:rFonts w:asciiTheme="majorBidi" w:hAnsiTheme="majorBidi"/>
          <w:color w:val="auto"/>
        </w:rPr>
        <w:t>5</w:t>
      </w:r>
      <w:r w:rsidR="008441E2" w:rsidRPr="00050DAE">
        <w:rPr>
          <w:rFonts w:asciiTheme="majorBidi" w:hAnsiTheme="majorBidi"/>
          <w:color w:val="auto"/>
        </w:rPr>
        <w:t xml:space="preserve"> The </w:t>
      </w:r>
      <w:r w:rsidR="006C3651" w:rsidRPr="00050DAE">
        <w:rPr>
          <w:rFonts w:asciiTheme="majorBidi" w:hAnsiTheme="majorBidi"/>
          <w:color w:val="auto"/>
        </w:rPr>
        <w:t>U</w:t>
      </w:r>
      <w:r w:rsidR="008441E2" w:rsidRPr="00050DAE">
        <w:rPr>
          <w:rFonts w:asciiTheme="majorBidi" w:hAnsiTheme="majorBidi"/>
          <w:color w:val="auto"/>
        </w:rPr>
        <w:t xml:space="preserve">nderworld </w:t>
      </w:r>
      <w:r w:rsidR="0055136C">
        <w:rPr>
          <w:rFonts w:asciiTheme="majorBidi" w:hAnsiTheme="majorBidi"/>
          <w:color w:val="auto"/>
        </w:rPr>
        <w:t>C</w:t>
      </w:r>
      <w:r w:rsidR="008441E2" w:rsidRPr="00050DAE">
        <w:rPr>
          <w:rFonts w:asciiTheme="majorBidi" w:hAnsiTheme="majorBidi"/>
          <w:color w:val="auto"/>
        </w:rPr>
        <w:t>ycle</w:t>
      </w:r>
      <w:bookmarkEnd w:id="176"/>
      <w:bookmarkEnd w:id="177"/>
      <w:bookmarkEnd w:id="178"/>
      <w:bookmarkEnd w:id="179"/>
    </w:p>
    <w:p w14:paraId="209AC77A" w14:textId="6A8AC307" w:rsidR="00821DCE" w:rsidRPr="00050DAE" w:rsidRDefault="00821DCE" w:rsidP="00821DCE">
      <w:pPr>
        <w:pStyle w:val="Quote"/>
        <w:rPr>
          <w:rFonts w:asciiTheme="majorBidi" w:hAnsiTheme="majorBidi" w:cstheme="majorBidi"/>
          <w:color w:val="auto"/>
        </w:rPr>
      </w:pPr>
      <w:r w:rsidRPr="00050DAE">
        <w:rPr>
          <w:rFonts w:asciiTheme="majorBidi" w:hAnsiTheme="majorBidi" w:cstheme="majorBidi"/>
          <w:color w:val="auto"/>
        </w:rPr>
        <w:t>I begin to sing of Demeter, the holy goddess with the beautiful hair.</w:t>
      </w:r>
      <w:r w:rsidRPr="00050DAE">
        <w:rPr>
          <w:rFonts w:asciiTheme="majorBidi" w:hAnsiTheme="majorBidi" w:cstheme="majorBidi"/>
          <w:color w:val="auto"/>
        </w:rPr>
        <w:tab/>
      </w:r>
    </w:p>
    <w:p w14:paraId="6CE34EF6" w14:textId="584502D6" w:rsidR="00821DCE" w:rsidRPr="00050DAE" w:rsidRDefault="00821DCE" w:rsidP="00821DCE">
      <w:pPr>
        <w:pStyle w:val="Quote"/>
        <w:rPr>
          <w:rFonts w:asciiTheme="majorBidi" w:hAnsiTheme="majorBidi" w:cstheme="majorBidi"/>
          <w:color w:val="auto"/>
        </w:rPr>
      </w:pPr>
      <w:r w:rsidRPr="00050DAE">
        <w:rPr>
          <w:rFonts w:asciiTheme="majorBidi" w:hAnsiTheme="majorBidi" w:cstheme="majorBidi"/>
          <w:color w:val="auto"/>
        </w:rPr>
        <w:t>And her daughter [Persephone] too. The one with the delicate ankles, whom Hādēs</w:t>
      </w:r>
    </w:p>
    <w:p w14:paraId="52DACA99" w14:textId="6F2A407F" w:rsidR="00821DCE" w:rsidRPr="00050DAE" w:rsidRDefault="00821DCE" w:rsidP="00821DCE">
      <w:pPr>
        <w:pStyle w:val="Quote"/>
        <w:rPr>
          <w:rFonts w:asciiTheme="majorBidi" w:hAnsiTheme="majorBidi" w:cstheme="majorBidi"/>
          <w:i w:val="0"/>
          <w:iCs w:val="0"/>
          <w:color w:val="auto"/>
        </w:rPr>
      </w:pPr>
      <w:r w:rsidRPr="00050DAE">
        <w:rPr>
          <w:rFonts w:asciiTheme="majorBidi" w:hAnsiTheme="majorBidi" w:cstheme="majorBidi"/>
          <w:color w:val="auto"/>
        </w:rPr>
        <w:t>seized. She was given away by Zeus, the loud-thunderer, the one who sees far and wide. Demeter did not take part in this, she of the golden double-axe, she who glories in the harvest.</w:t>
      </w:r>
      <w:r w:rsidRPr="00050DAE">
        <w:rPr>
          <w:rStyle w:val="FootnoteReference"/>
          <w:rFonts w:asciiTheme="majorBidi" w:hAnsiTheme="majorBidi" w:cstheme="majorBidi"/>
          <w:color w:val="auto"/>
        </w:rPr>
        <w:footnoteReference w:id="302"/>
      </w:r>
    </w:p>
    <w:p w14:paraId="1AD4BC37" w14:textId="3D136F2F" w:rsidR="00092B11" w:rsidRPr="00050DAE" w:rsidRDefault="00FC752C" w:rsidP="00EE6050">
      <w:pPr>
        <w:pStyle w:val="UWTSDindent"/>
      </w:pPr>
      <w:r w:rsidRPr="00050DAE">
        <w:t xml:space="preserve">While there are </w:t>
      </w:r>
      <w:r w:rsidR="00411D83" w:rsidRPr="00050DAE">
        <w:t>older surviving fragments</w:t>
      </w:r>
      <w:r w:rsidRPr="00050DAE">
        <w:t xml:space="preserve"> of the </w:t>
      </w:r>
      <w:r w:rsidR="00092B11" w:rsidRPr="00050DAE">
        <w:t xml:space="preserve">Demeter-Persephone </w:t>
      </w:r>
      <w:r w:rsidR="00E43524" w:rsidRPr="00050DAE">
        <w:t xml:space="preserve">descent </w:t>
      </w:r>
      <w:r w:rsidR="00092B11" w:rsidRPr="00050DAE">
        <w:t xml:space="preserve">cycle, </w:t>
      </w:r>
      <w:r w:rsidR="00411D83" w:rsidRPr="00050DAE">
        <w:t>arguably</w:t>
      </w:r>
      <w:r w:rsidR="00092B11" w:rsidRPr="00050DAE">
        <w:t xml:space="preserve"> </w:t>
      </w:r>
      <w:r w:rsidR="00411D83" w:rsidRPr="00050DAE">
        <w:t xml:space="preserve">the most </w:t>
      </w:r>
      <w:r w:rsidR="00E43524" w:rsidRPr="00050DAE">
        <w:t>important early treatment is</w:t>
      </w:r>
      <w:r w:rsidR="00092B11" w:rsidRPr="00050DAE">
        <w:t xml:space="preserve"> the </w:t>
      </w:r>
      <w:r w:rsidR="00092B11" w:rsidRPr="00050DAE">
        <w:rPr>
          <w:i/>
          <w:iCs/>
        </w:rPr>
        <w:t>Homeric Hymn to Demeter</w:t>
      </w:r>
      <w:r w:rsidR="009B2FAD" w:rsidRPr="00050DAE">
        <w:t xml:space="preserve"> (c. 600 BCE</w:t>
      </w:r>
      <w:r w:rsidR="009B2FAD" w:rsidRPr="00050DAE">
        <w:rPr>
          <w:i/>
          <w:iCs/>
        </w:rPr>
        <w:t>)</w:t>
      </w:r>
      <w:r w:rsidR="008301DC" w:rsidRPr="00050DAE">
        <w:rPr>
          <w:i/>
          <w:iCs/>
        </w:rPr>
        <w:t>,</w:t>
      </w:r>
      <w:r w:rsidR="00E43524" w:rsidRPr="00050DAE">
        <w:t xml:space="preserve"> which </w:t>
      </w:r>
      <w:r w:rsidR="00092B11" w:rsidRPr="00050DAE">
        <w:t xml:space="preserve">forms the mythic foundation of the Eleusinian </w:t>
      </w:r>
      <w:r w:rsidR="008301DC" w:rsidRPr="00050DAE">
        <w:t>M</w:t>
      </w:r>
      <w:r w:rsidR="00092B11" w:rsidRPr="00050DAE">
        <w:t>ysteries.</w:t>
      </w:r>
      <w:r w:rsidR="00092B11" w:rsidRPr="00050DAE">
        <w:rPr>
          <w:rStyle w:val="FootnoteReference"/>
        </w:rPr>
        <w:footnoteReference w:id="303"/>
      </w:r>
      <w:r w:rsidR="00092B11" w:rsidRPr="00050DAE">
        <w:t xml:space="preserve"> Emerging in the Archaic period and continuing through Classical antiquity, the narrative centres upon Persephone</w:t>
      </w:r>
      <w:r w:rsidR="008301DC" w:rsidRPr="00050DAE">
        <w:t>’</w:t>
      </w:r>
      <w:r w:rsidR="00092B11" w:rsidRPr="00050DAE">
        <w:t xml:space="preserve">s abduction by </w:t>
      </w:r>
      <w:r w:rsidR="00B27516" w:rsidRPr="00050DAE">
        <w:t>Hādēs</w:t>
      </w:r>
      <w:r w:rsidR="00092B11" w:rsidRPr="00050DAE">
        <w:t>, Demeter</w:t>
      </w:r>
      <w:r w:rsidR="008301DC" w:rsidRPr="00050DAE">
        <w:t>’</w:t>
      </w:r>
      <w:r w:rsidR="00092B11" w:rsidRPr="00050DAE">
        <w:t xml:space="preserve">s withdrawal from Olympus, and the resulting suspension of agricultural fertility. </w:t>
      </w:r>
    </w:p>
    <w:p w14:paraId="3FDA4494" w14:textId="79070003" w:rsidR="00B77739" w:rsidRPr="00050DAE" w:rsidRDefault="002B188A" w:rsidP="00EE6050">
      <w:pPr>
        <w:pStyle w:val="UWTSDindent"/>
      </w:pPr>
      <w:r w:rsidRPr="00050DAE">
        <w:t>T</w:t>
      </w:r>
      <w:r w:rsidR="00CF0D85" w:rsidRPr="00050DAE">
        <w:t xml:space="preserve">he poem begins with Persephone gathering flowers when </w:t>
      </w:r>
      <w:r w:rsidR="008301DC" w:rsidRPr="00050DAE">
        <w:t>“</w:t>
      </w:r>
      <w:r w:rsidR="00CF0D85" w:rsidRPr="00050DAE">
        <w:t>Hādēs seized [her after] She was given away by Zeus,</w:t>
      </w:r>
      <w:r w:rsidR="008301DC" w:rsidRPr="00050DAE">
        <w:t>”</w:t>
      </w:r>
      <w:r w:rsidR="00CF0D85" w:rsidRPr="00050DAE">
        <w:t xml:space="preserve"> making it clear that even among the gods, her fate was decided without her mother</w:t>
      </w:r>
      <w:r w:rsidR="008301DC" w:rsidRPr="00050DAE">
        <w:t>’</w:t>
      </w:r>
      <w:r w:rsidR="00CF0D85" w:rsidRPr="00050DAE">
        <w:t>s knowledge.</w:t>
      </w:r>
      <w:r w:rsidR="00CF0D85" w:rsidRPr="00050DAE">
        <w:rPr>
          <w:rStyle w:val="FootnoteReference"/>
        </w:rPr>
        <w:footnoteReference w:id="304"/>
      </w:r>
      <w:r w:rsidR="00CF0D85" w:rsidRPr="00050DAE">
        <w:t xml:space="preserve"> Demeter</w:t>
      </w:r>
      <w:r w:rsidR="008301DC" w:rsidRPr="00050DAE">
        <w:t>’</w:t>
      </w:r>
      <w:r w:rsidR="00CF0D85" w:rsidRPr="00050DAE">
        <w:t>s response is immediate and overwhelming. She wanders the earth in mourning, refusing to eat, drink, or return to Olympus. Disguised as an old woman, she arrives at Eleusis and cares for the child Demophon, even attempting to make him immortal, but when she is interrupted, she reveals her divine identity and demands that a temple be built in her honour. Her grief turns into anger, and she withdraws her power from the earth so completely that nothing grows</w:t>
      </w:r>
      <w:r w:rsidR="00B77739" w:rsidRPr="00050DAE">
        <w:t>.</w:t>
      </w:r>
      <w:r w:rsidR="0060296A" w:rsidRPr="00050DAE">
        <w:rPr>
          <w:rStyle w:val="FootnoteReference"/>
        </w:rPr>
        <w:footnoteReference w:id="305"/>
      </w:r>
      <w:r w:rsidR="00B77739" w:rsidRPr="00050DAE">
        <w:t xml:space="preserve"> The text states:</w:t>
      </w:r>
      <w:r w:rsidR="0058215E" w:rsidRPr="00050DAE">
        <w:rPr>
          <w:rStyle w:val="FootnoteReference"/>
        </w:rPr>
        <w:footnoteReference w:id="306"/>
      </w:r>
    </w:p>
    <w:p w14:paraId="295BCCD7" w14:textId="07BBA335" w:rsidR="00CF0D85" w:rsidRPr="00050DAE" w:rsidRDefault="00B77739" w:rsidP="00B77739">
      <w:pPr>
        <w:pStyle w:val="Quote"/>
        <w:rPr>
          <w:rFonts w:asciiTheme="majorBidi" w:hAnsiTheme="majorBidi" w:cstheme="majorBidi"/>
          <w:color w:val="auto"/>
        </w:rPr>
      </w:pPr>
      <w:r w:rsidRPr="00050DAE">
        <w:rPr>
          <w:rFonts w:asciiTheme="majorBidi" w:hAnsiTheme="majorBidi" w:cstheme="majorBidi"/>
          <w:color w:val="auto"/>
          <w:vertAlign w:val="superscript"/>
        </w:rPr>
        <w:t>305</w:t>
      </w:r>
      <w:r w:rsidRPr="00050DAE">
        <w:rPr>
          <w:rFonts w:asciiTheme="majorBidi" w:hAnsiTheme="majorBidi" w:cstheme="majorBidi"/>
          <w:color w:val="auto"/>
        </w:rPr>
        <w:t xml:space="preserve"> She made that year the most terrible one for mortals, all over the Earth, the nurturer of many. It was so terrible, it makes you think of the Hound of Hādēs. The Earth did not send up any seed. Demeter, she with the beautiful garlands in her hair, kept them [the seeds] covered underground. Many a curved plow was dragged along the fields by many an ox—all in vain. Many a bright grain of wheat fell into the earth— all for naught. </w:t>
      </w:r>
      <w:r w:rsidRPr="00050DAE">
        <w:rPr>
          <w:rFonts w:asciiTheme="majorBidi" w:hAnsiTheme="majorBidi" w:cstheme="majorBidi"/>
          <w:color w:val="auto"/>
          <w:vertAlign w:val="superscript"/>
        </w:rPr>
        <w:t>310</w:t>
      </w:r>
      <w:r w:rsidRPr="00050DAE">
        <w:rPr>
          <w:rFonts w:asciiTheme="majorBidi" w:hAnsiTheme="majorBidi" w:cstheme="majorBidi"/>
          <w:color w:val="auto"/>
        </w:rPr>
        <w:t xml:space="preserve"> At this moment, she [Demeter] could have destroyed the entire population of meropes humans with harsh hunger</w:t>
      </w:r>
      <w:r w:rsidR="00CF0D85" w:rsidRPr="00050DAE">
        <w:rPr>
          <w:rFonts w:asciiTheme="majorBidi" w:hAnsiTheme="majorBidi" w:cstheme="majorBidi"/>
          <w:color w:val="auto"/>
        </w:rPr>
        <w:t>, threatening both humanity and the gods who depend on human offerings.</w:t>
      </w:r>
    </w:p>
    <w:p w14:paraId="06101BC7" w14:textId="17BF77BC" w:rsidR="0054157D" w:rsidRPr="00050DAE" w:rsidRDefault="0054157D" w:rsidP="004B2F0B">
      <w:pPr>
        <w:pStyle w:val="UWTSDindent"/>
      </w:pPr>
      <w:r w:rsidRPr="00050DAE">
        <w:t>The crisis forces Zeus to act, and he sends Hermes to bring Persephone back, but the reunion is only partial.</w:t>
      </w:r>
      <w:r w:rsidRPr="00050DAE">
        <w:rPr>
          <w:rStyle w:val="FootnoteReference"/>
        </w:rPr>
        <w:footnoteReference w:id="307"/>
      </w:r>
      <w:r w:rsidRPr="00050DAE">
        <w:t xml:space="preserve"> Before returning, </w:t>
      </w:r>
      <w:r w:rsidR="002B188A" w:rsidRPr="00050DAE">
        <w:t>Hādēs</w:t>
      </w:r>
      <w:r w:rsidR="0054294A" w:rsidRPr="00050DAE">
        <w:t xml:space="preserve"> </w:t>
      </w:r>
      <w:r w:rsidR="008301DC" w:rsidRPr="00050DAE">
        <w:t>“</w:t>
      </w:r>
      <w:r w:rsidRPr="00050DAE">
        <w:t>gave her to eat a honey-sweet pomegranate seed, stealthily passing it around her, lest she once more stay forever by the side of revered Demeter.</w:t>
      </w:r>
      <w:r w:rsidR="008301DC" w:rsidRPr="00050DAE">
        <w:t>”</w:t>
      </w:r>
      <w:r w:rsidRPr="00050DAE">
        <w:rPr>
          <w:rStyle w:val="FootnoteReference"/>
        </w:rPr>
        <w:footnoteReference w:id="308"/>
      </w:r>
      <w:r w:rsidRPr="00050DAE">
        <w:t xml:space="preserve"> This food binds her to the underworld and ensures that she must spend part of each year there. To satisfy Demeter, </w:t>
      </w:r>
      <w:r w:rsidR="008301DC" w:rsidRPr="00050DAE">
        <w:t>“</w:t>
      </w:r>
      <w:r w:rsidRPr="00050DAE">
        <w:t>He [Zeus] assented that her daughter, every time the season came round, would spend a third portion of the year in the realms of dark mist underneath.</w:t>
      </w:r>
      <w:r w:rsidR="008301DC" w:rsidRPr="00050DAE">
        <w:t>”</w:t>
      </w:r>
      <w:r w:rsidRPr="00050DAE">
        <w:rPr>
          <w:rStyle w:val="FootnoteReference"/>
        </w:rPr>
        <w:footnoteReference w:id="309"/>
      </w:r>
      <w:r w:rsidRPr="00050DAE">
        <w:t xml:space="preserve"> When mother and daughter are reunited, Demeter</w:t>
      </w:r>
      <w:r w:rsidR="008301DC" w:rsidRPr="00050DAE">
        <w:t>’</w:t>
      </w:r>
      <w:r w:rsidRPr="00050DAE">
        <w:t>s joy restores fertility to the earth, but Persephone</w:t>
      </w:r>
      <w:r w:rsidR="008301DC" w:rsidRPr="00050DAE">
        <w:t>’</w:t>
      </w:r>
      <w:r w:rsidRPr="00050DAE">
        <w:t xml:space="preserve">s yearly return to </w:t>
      </w:r>
      <w:r w:rsidR="00B27516" w:rsidRPr="00050DAE">
        <w:t>Hādēs</w:t>
      </w:r>
      <w:r w:rsidRPr="00050DAE">
        <w:t xml:space="preserve"> explains the cycle of growth and barrenness. When she is present, the earth blooms, and when she departs, it becomes lifeless. In the end, Demeter accepts this arrangement and establishes her sacred rites at Eleusis, transforming her personal grief into a lasting religious </w:t>
      </w:r>
      <w:r w:rsidR="00BB4558" w:rsidRPr="00050DAE">
        <w:t>practice</w:t>
      </w:r>
      <w:r w:rsidRPr="00050DAE">
        <w:t>. The hymn shows how a mother</w:t>
      </w:r>
      <w:r w:rsidR="008301DC" w:rsidRPr="00050DAE">
        <w:t>’</w:t>
      </w:r>
      <w:r w:rsidRPr="00050DAE">
        <w:t xml:space="preserve">s loss reshapes both the natural world and human ritual, turning sorrow into an enduring explanation for the seasons and the </w:t>
      </w:r>
      <w:r w:rsidR="009D60EB" w:rsidRPr="00050DAE">
        <w:t>formalisation</w:t>
      </w:r>
      <w:r w:rsidRPr="00050DAE">
        <w:t xml:space="preserve"> of worship.</w:t>
      </w:r>
    </w:p>
    <w:p w14:paraId="3E41524B" w14:textId="77777777" w:rsidR="008D2FD6" w:rsidRPr="00050DAE" w:rsidRDefault="008D2FD6" w:rsidP="0054157D">
      <w:pPr>
        <w:keepNext/>
        <w:jc w:val="center"/>
        <w:rPr>
          <w:rFonts w:asciiTheme="majorBidi" w:hAnsiTheme="majorBidi" w:cstheme="majorBidi"/>
        </w:rPr>
      </w:pPr>
      <w:r w:rsidRPr="00050DAE">
        <w:rPr>
          <w:rFonts w:asciiTheme="majorBidi" w:hAnsiTheme="majorBidi" w:cstheme="majorBidi"/>
          <w:noProof/>
        </w:rPr>
        <w:drawing>
          <wp:inline distT="0" distB="0" distL="0" distR="0" wp14:anchorId="725193FF" wp14:editId="365AB43A">
            <wp:extent cx="2962485" cy="2337131"/>
            <wp:effectExtent l="0" t="0" r="0" b="6350"/>
            <wp:docPr id="448041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41379" name="Picture 448041379"/>
                    <pic:cNvPicPr/>
                  </pic:nvPicPr>
                  <pic:blipFill rotWithShape="1">
                    <a:blip r:embed="rId45" cstate="print">
                      <a:extLst>
                        <a:ext uri="{BEBA8EAE-BF5A-486C-A8C5-ECC9F3942E4B}">
                          <a14:imgProps xmlns:a14="http://schemas.microsoft.com/office/drawing/2010/main">
                            <a14:imgLayer r:embed="rId46">
                              <a14:imgEffect>
                                <a14:backgroundRemoval t="2841" b="99621" l="3438" r="96861">
                                  <a14:foregroundMark x1="8371" y1="4356" x2="31540" y2="5303"/>
                                  <a14:foregroundMark x1="31540" y1="5303" x2="93871" y2="3220"/>
                                  <a14:foregroundMark x1="97010" y1="21023" x2="88939" y2="29356"/>
                                  <a14:foregroundMark x1="25859" y1="36742" x2="11061" y2="30114"/>
                                  <a14:foregroundMark x1="11061" y1="30114" x2="3587" y2="23106"/>
                                  <a14:foregroundMark x1="38864" y1="99053" x2="55755" y2="99621"/>
                                  <a14:foregroundMark x1="55755" y1="99621" x2="59641" y2="9753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970534" cy="2343481"/>
                    </a:xfrm>
                    <a:prstGeom prst="rect">
                      <a:avLst/>
                    </a:prstGeom>
                    <a:ln>
                      <a:noFill/>
                    </a:ln>
                    <a:extLst>
                      <a:ext uri="{53640926-AAD7-44D8-BBD7-CCE9431645EC}">
                        <a14:shadowObscured xmlns:a14="http://schemas.microsoft.com/office/drawing/2010/main"/>
                      </a:ext>
                    </a:extLst>
                  </pic:spPr>
                </pic:pic>
              </a:graphicData>
            </a:graphic>
          </wp:inline>
        </w:drawing>
      </w:r>
    </w:p>
    <w:p w14:paraId="259AA65B" w14:textId="356753AC" w:rsidR="008D2FD6" w:rsidRPr="00050DAE" w:rsidRDefault="008D2FD6" w:rsidP="008D2FD6">
      <w:pPr>
        <w:pStyle w:val="Caption"/>
        <w:rPr>
          <w:rFonts w:asciiTheme="majorBidi" w:hAnsiTheme="majorBidi" w:cstheme="majorBidi"/>
          <w:color w:val="auto"/>
        </w:rPr>
      </w:pPr>
      <w:r w:rsidRPr="00050DAE">
        <w:rPr>
          <w:rFonts w:asciiTheme="majorBidi" w:hAnsiTheme="majorBidi" w:cstheme="majorBidi"/>
          <w:color w:val="auto"/>
        </w:rPr>
        <w:t xml:space="preserve">Figure </w:t>
      </w:r>
      <w:r w:rsidR="002F398F" w:rsidRPr="00050DAE">
        <w:rPr>
          <w:rFonts w:asciiTheme="majorBidi" w:hAnsiTheme="majorBidi" w:cstheme="majorBidi"/>
          <w:color w:val="auto"/>
        </w:rPr>
        <w:fldChar w:fldCharType="begin"/>
      </w:r>
      <w:r w:rsidR="002F398F" w:rsidRPr="00050DAE">
        <w:rPr>
          <w:rFonts w:asciiTheme="majorBidi" w:hAnsiTheme="majorBidi" w:cstheme="majorBidi"/>
          <w:color w:val="auto"/>
        </w:rPr>
        <w:instrText xml:space="preserve"> SEQ Figure \* ARABIC </w:instrText>
      </w:r>
      <w:r w:rsidR="002F398F" w:rsidRPr="00050DAE">
        <w:rPr>
          <w:rFonts w:asciiTheme="majorBidi" w:hAnsiTheme="majorBidi" w:cstheme="majorBidi"/>
          <w:color w:val="auto"/>
        </w:rPr>
        <w:fldChar w:fldCharType="separate"/>
      </w:r>
      <w:r w:rsidR="009D2921">
        <w:rPr>
          <w:rFonts w:asciiTheme="majorBidi" w:hAnsiTheme="majorBidi" w:cstheme="majorBidi"/>
          <w:noProof/>
          <w:color w:val="auto"/>
        </w:rPr>
        <w:t>13</w:t>
      </w:r>
      <w:r w:rsidR="002F398F" w:rsidRPr="00050DAE">
        <w:rPr>
          <w:rFonts w:asciiTheme="majorBidi" w:hAnsiTheme="majorBidi" w:cstheme="majorBidi"/>
          <w:color w:val="auto"/>
        </w:rPr>
        <w:fldChar w:fldCharType="end"/>
      </w:r>
      <w:r w:rsidRPr="00050DAE">
        <w:rPr>
          <w:rFonts w:asciiTheme="majorBidi" w:hAnsiTheme="majorBidi" w:cstheme="majorBidi"/>
          <w:color w:val="auto"/>
        </w:rPr>
        <w:t xml:space="preserve"> </w:t>
      </w:r>
      <w:r w:rsidR="002B188A" w:rsidRPr="00050DAE">
        <w:rPr>
          <w:rFonts w:asciiTheme="majorBidi" w:hAnsiTheme="majorBidi" w:cstheme="majorBidi"/>
          <w:color w:val="auto"/>
        </w:rPr>
        <w:t>Terracotta bell-krater depicting Persephone and Hermes emerging from the Underworld, while Hekate and Demeter (far right) await their return</w:t>
      </w:r>
      <w:r w:rsidRPr="00050DAE">
        <w:rPr>
          <w:rFonts w:asciiTheme="majorBidi" w:hAnsiTheme="majorBidi" w:cstheme="majorBidi"/>
          <w:color w:val="auto"/>
        </w:rPr>
        <w:t>.</w:t>
      </w:r>
      <w:r w:rsidRPr="00050DAE">
        <w:rPr>
          <w:rStyle w:val="FootnoteReference"/>
          <w:rFonts w:asciiTheme="majorBidi" w:hAnsiTheme="majorBidi" w:cstheme="majorBidi"/>
          <w:color w:val="auto"/>
        </w:rPr>
        <w:footnoteReference w:id="310"/>
      </w:r>
    </w:p>
    <w:p w14:paraId="02980BF8" w14:textId="64AF98A4" w:rsidR="00EE1ABE" w:rsidRPr="00050DAE" w:rsidRDefault="00EE1ABE" w:rsidP="00EE1ABE">
      <w:pPr>
        <w:pStyle w:val="Heading2"/>
        <w:rPr>
          <w:rFonts w:asciiTheme="majorBidi" w:hAnsiTheme="majorBidi"/>
          <w:color w:val="auto"/>
        </w:rPr>
      </w:pPr>
      <w:bookmarkStart w:id="180" w:name="_Toc234140263"/>
      <w:bookmarkStart w:id="181" w:name="_Toc234140514"/>
      <w:bookmarkStart w:id="182" w:name="_Toc234143694"/>
      <w:bookmarkStart w:id="183" w:name="_Toc234154323"/>
      <w:r w:rsidRPr="00050DAE">
        <w:rPr>
          <w:rFonts w:asciiTheme="majorBidi" w:hAnsiTheme="majorBidi"/>
          <w:color w:val="auto"/>
        </w:rPr>
        <w:t>5.6 Alternative Descent</w:t>
      </w:r>
      <w:r w:rsidR="004D3EB6" w:rsidRPr="00050DAE">
        <w:rPr>
          <w:rFonts w:asciiTheme="majorBidi" w:hAnsiTheme="majorBidi"/>
          <w:color w:val="auto"/>
        </w:rPr>
        <w:t xml:space="preserve">s </w:t>
      </w:r>
      <w:r w:rsidRPr="00050DAE">
        <w:rPr>
          <w:rFonts w:asciiTheme="majorBidi" w:hAnsiTheme="majorBidi"/>
          <w:color w:val="auto"/>
        </w:rPr>
        <w:t>and Structural Limits</w:t>
      </w:r>
      <w:bookmarkEnd w:id="180"/>
      <w:bookmarkEnd w:id="181"/>
      <w:bookmarkEnd w:id="182"/>
      <w:bookmarkEnd w:id="183"/>
    </w:p>
    <w:p w14:paraId="5FFE10B0" w14:textId="6FACDBE3" w:rsidR="00EE1ABE" w:rsidRPr="00050DAE" w:rsidRDefault="007D293C" w:rsidP="00EE6050">
      <w:pPr>
        <w:pStyle w:val="UWTSDindent"/>
      </w:pPr>
      <w:bookmarkStart w:id="184" w:name="AltDescent"/>
      <w:r w:rsidRPr="00050DAE">
        <w:t>The Demeter-Persephone</w:t>
      </w:r>
      <w:bookmarkEnd w:id="184"/>
      <w:r w:rsidRPr="00050DAE">
        <w:t xml:space="preserve"> myth stands as the best-known Greek descent narrative, yet Greek literature preserves other journeys into the underworld as well. Side by side, these </w:t>
      </w:r>
      <w:r w:rsidR="004D3EB6" w:rsidRPr="00050DAE">
        <w:t>myths</w:t>
      </w:r>
      <w:r w:rsidRPr="00050DAE">
        <w:t xml:space="preserve"> offer </w:t>
      </w:r>
      <w:r w:rsidR="00EE1D02" w:rsidRPr="00050DAE">
        <w:t>diverse</w:t>
      </w:r>
      <w:r w:rsidRPr="00050DAE">
        <w:t xml:space="preserve"> ways of imagining death, return, and contact with the dead. Together, they reveal both the diversity and the structural limits of Greek descent. Such variation reflects a broader pattern in which mythological </w:t>
      </w:r>
      <w:r w:rsidR="004D3EB6" w:rsidRPr="00050DAE">
        <w:t>material</w:t>
      </w:r>
      <w:r w:rsidRPr="00050DAE">
        <w:t>, even when sharing common themes, develop</w:t>
      </w:r>
      <w:r w:rsidR="00B357DE" w:rsidRPr="00050DAE">
        <w:t>s</w:t>
      </w:r>
      <w:r w:rsidRPr="00050DAE">
        <w:t xml:space="preserve"> through adaptation within interconnected cultural </w:t>
      </w:r>
      <w:r w:rsidR="009D60EB" w:rsidRPr="00050DAE">
        <w:t>motifs</w:t>
      </w:r>
      <w:r w:rsidRPr="00050DAE">
        <w:t xml:space="preserve"> rather than through direct or uniform transmission.</w:t>
      </w:r>
      <w:r w:rsidR="00443930" w:rsidRPr="00050DAE">
        <w:rPr>
          <w:rStyle w:val="FootnoteReference"/>
        </w:rPr>
        <w:footnoteReference w:id="311"/>
      </w:r>
    </w:p>
    <w:p w14:paraId="2E278691" w14:textId="5891E2CC" w:rsidR="00EE1ABE" w:rsidRPr="00050DAE" w:rsidRDefault="005F7F26" w:rsidP="005F06A6">
      <w:pPr>
        <w:pStyle w:val="UWTSDindent"/>
      </w:pPr>
      <w:r w:rsidRPr="00050DAE">
        <w:t>In the Homeric material, descent allows controlled contact with the dead rather than requiring death itself.</w:t>
      </w:r>
      <w:r w:rsidR="00EE1ABE" w:rsidRPr="00050DAE">
        <w:t xml:space="preserve"> </w:t>
      </w:r>
      <w:r w:rsidR="008A73FC" w:rsidRPr="00050DAE">
        <w:t xml:space="preserve">In </w:t>
      </w:r>
      <w:r w:rsidR="008A73FC" w:rsidRPr="00050DAE">
        <w:rPr>
          <w:i/>
          <w:iCs/>
        </w:rPr>
        <w:t>Odyssey</w:t>
      </w:r>
      <w:r w:rsidR="008A73FC" w:rsidRPr="00050DAE">
        <w:t xml:space="preserve"> XI, Odysseus engages the world of the dead through carefully prescribed ritual, gaining momentary access to its inhabitants without crossing permanently into their condition.</w:t>
      </w:r>
      <w:r w:rsidR="009C1922" w:rsidRPr="00050DAE">
        <w:rPr>
          <w:rStyle w:val="FootnoteReference"/>
        </w:rPr>
        <w:footnoteReference w:id="312"/>
      </w:r>
      <w:r w:rsidR="00EE1ABE" w:rsidRPr="00050DAE">
        <w:t xml:space="preserve"> The dead are summoned, questioned, and dismissed. </w:t>
      </w:r>
      <w:r w:rsidR="007D3884" w:rsidRPr="00050DAE">
        <w:t>He makes n</w:t>
      </w:r>
      <w:r w:rsidR="00EE1ABE" w:rsidRPr="00050DAE">
        <w:t xml:space="preserve">o attempt to alter their condition. The boundary remains intact. </w:t>
      </w:r>
      <w:r w:rsidRPr="00050DAE">
        <w:t xml:space="preserve">Unlike the Persephone </w:t>
      </w:r>
      <w:r w:rsidR="00B74E51" w:rsidRPr="00050DAE">
        <w:t>cycle</w:t>
      </w:r>
      <w:r w:rsidRPr="00050DAE">
        <w:t xml:space="preserve">, this model excludes the possibility of return. </w:t>
      </w:r>
      <w:r w:rsidR="007D3884" w:rsidRPr="00050DAE">
        <w:t>In this case, k</w:t>
      </w:r>
      <w:r w:rsidR="00EE1ABE" w:rsidRPr="00050DAE">
        <w:t>nowledge may be obtained</w:t>
      </w:r>
      <w:r w:rsidR="007D3884" w:rsidRPr="00050DAE">
        <w:t xml:space="preserve"> for a price</w:t>
      </w:r>
      <w:r w:rsidR="00EE1ABE" w:rsidRPr="00050DAE">
        <w:t xml:space="preserve">, </w:t>
      </w:r>
      <w:r w:rsidR="005A2BD2" w:rsidRPr="00050DAE">
        <w:t>but</w:t>
      </w:r>
      <w:r w:rsidR="007D3884" w:rsidRPr="00050DAE">
        <w:t xml:space="preserve"> </w:t>
      </w:r>
      <w:r w:rsidR="00EE1ABE" w:rsidRPr="00050DAE">
        <w:t>the status of the dead is unchanged.</w:t>
      </w:r>
      <w:r w:rsidR="00443930" w:rsidRPr="00050DAE">
        <w:t xml:space="preserve"> </w:t>
      </w:r>
    </w:p>
    <w:p w14:paraId="68182DDF" w14:textId="2D01A62D" w:rsidR="007057F1" w:rsidRPr="00050DAE" w:rsidRDefault="00C10137" w:rsidP="008A73FC">
      <w:pPr>
        <w:pStyle w:val="UWTSDindent"/>
      </w:pPr>
      <w:r w:rsidRPr="00050DAE">
        <w:t xml:space="preserve">The Orpheus </w:t>
      </w:r>
      <w:r w:rsidR="00B74E51" w:rsidRPr="00050DAE">
        <w:t>story</w:t>
      </w:r>
      <w:r w:rsidRPr="00050DAE">
        <w:t xml:space="preserve"> presents a different kind of descent, one driven by the hope of recovering the dead. In later versions of the story, Orpheus is granted Eurydice</w:t>
      </w:r>
      <w:r w:rsidR="008301DC" w:rsidRPr="00050DAE">
        <w:t>’</w:t>
      </w:r>
      <w:r w:rsidRPr="00050DAE">
        <w:t>s return only under strict conditions that determine whether she may leave the underworld.</w:t>
      </w:r>
      <w:r w:rsidR="00191FDB" w:rsidRPr="00050DAE">
        <w:rPr>
          <w:rStyle w:val="FootnoteReference"/>
        </w:rPr>
        <w:footnoteReference w:id="313"/>
      </w:r>
      <w:r w:rsidR="00EE1ABE" w:rsidRPr="00050DAE">
        <w:t xml:space="preserve"> The failure to maintain those conditions results in immediate loss. </w:t>
      </w:r>
      <w:bookmarkStart w:id="185" w:name="Alcestis"/>
      <w:r w:rsidR="008A73FC" w:rsidRPr="00050DAE">
        <w:t xml:space="preserve">Here, death remains fundamentally permanent, even if temporary release is momentarily permitted. </w:t>
      </w:r>
      <w:r w:rsidR="005F7F26" w:rsidRPr="00050DAE">
        <w:t>For Orpheus, retrieving Eurydice depends entirely upon compliance with imposed restrictions</w:t>
      </w:r>
      <w:r w:rsidR="008A73FC" w:rsidRPr="00050DAE">
        <w:t xml:space="preserve">, making the reunion fragile from the beginning. That fragility underscores how little control mortals possess over death itself. </w:t>
      </w:r>
    </w:p>
    <w:p w14:paraId="15F9609C" w14:textId="4C2B9FAF" w:rsidR="005F1394" w:rsidRPr="00050DAE" w:rsidRDefault="00EE1ABE" w:rsidP="008A73FC">
      <w:pPr>
        <w:pStyle w:val="UWTSDindent"/>
      </w:pPr>
      <w:r w:rsidRPr="00050DAE">
        <w:t>Heracles</w:t>
      </w:r>
      <w:bookmarkEnd w:id="185"/>
      <w:r w:rsidRPr="00050DAE">
        <w:t xml:space="preserve"> represents an exception within the Greek material. In accounts of the capture of Cerberus and related underworld encounters, he crosses the boundary through force </w:t>
      </w:r>
      <w:r w:rsidR="00093263" w:rsidRPr="00050DAE">
        <w:t>instead of</w:t>
      </w:r>
      <w:r w:rsidRPr="00050DAE">
        <w:t xml:space="preserve"> mediation</w:t>
      </w:r>
      <w:r w:rsidR="000E7C00" w:rsidRPr="00050DAE">
        <w:t>.</w:t>
      </w:r>
      <w:r w:rsidR="000E7C00" w:rsidRPr="00050DAE">
        <w:rPr>
          <w:rStyle w:val="FootnoteReference"/>
        </w:rPr>
        <w:footnoteReference w:id="314"/>
      </w:r>
      <w:r w:rsidRPr="00050DAE">
        <w:t xml:space="preserve"> </w:t>
      </w:r>
      <w:r w:rsidR="00B74E51" w:rsidRPr="00050DAE">
        <w:t>T</w:t>
      </w:r>
      <w:r w:rsidRPr="00050DAE">
        <w:t xml:space="preserve">his capacity extends to the recovery of Alcestis, though even here the act does not abolish death as a </w:t>
      </w:r>
      <w:r w:rsidR="004B2F0B" w:rsidRPr="00050DAE">
        <w:t>cosmic reality</w:t>
      </w:r>
      <w:r w:rsidRPr="00050DAE">
        <w:t>.</w:t>
      </w:r>
      <w:r w:rsidR="001E0553" w:rsidRPr="00050DAE">
        <w:rPr>
          <w:rStyle w:val="FootnoteReference"/>
        </w:rPr>
        <w:footnoteReference w:id="315"/>
      </w:r>
      <w:r w:rsidRPr="00050DAE">
        <w:t xml:space="preserve"> </w:t>
      </w:r>
      <w:r w:rsidR="00AA27C7" w:rsidRPr="00050DAE">
        <w:t>He merely</w:t>
      </w:r>
      <w:r w:rsidRPr="00050DAE">
        <w:t xml:space="preserve"> interrupts its operation. </w:t>
      </w:r>
      <w:r w:rsidR="007713BB" w:rsidRPr="00050DAE">
        <w:t xml:space="preserve">The difference lies in how each </w:t>
      </w:r>
      <w:r w:rsidR="00B74E51" w:rsidRPr="00050DAE">
        <w:t>vision of the underworld</w:t>
      </w:r>
      <w:r w:rsidR="007713BB" w:rsidRPr="00050DAE">
        <w:t xml:space="preserve"> regulates access to return from death</w:t>
      </w:r>
      <w:r w:rsidRPr="00050DAE">
        <w:t xml:space="preserve">. </w:t>
      </w:r>
      <w:r w:rsidR="0030778F" w:rsidRPr="00050DAE">
        <w:t xml:space="preserve">Heracles neither negotiates with the underworld nor satisfies its requirements; he simply overrides them through force. </w:t>
      </w:r>
      <w:r w:rsidR="005F7F26" w:rsidRPr="00050DAE">
        <w:t>Such exceptional intervention reinforces the boundary between life and death for everyone else.</w:t>
      </w:r>
      <w:r w:rsidR="005F1394" w:rsidRPr="00050DAE">
        <w:t xml:space="preserve"> </w:t>
      </w:r>
    </w:p>
    <w:p w14:paraId="4C1F2BA8" w14:textId="705D5952" w:rsidR="005F06A6" w:rsidRPr="00050DAE" w:rsidRDefault="005F7F26" w:rsidP="0030778F">
      <w:pPr>
        <w:pStyle w:val="UWTSDindent"/>
      </w:pPr>
      <w:r w:rsidRPr="00050DAE">
        <w:t xml:space="preserve">The Adonis </w:t>
      </w:r>
      <w:r w:rsidR="00B74E51" w:rsidRPr="00050DAE">
        <w:t>cult-myth cycle</w:t>
      </w:r>
      <w:r w:rsidRPr="00050DAE">
        <w:t xml:space="preserve"> presents return through mediation, transformation, and recurrence</w:t>
      </w:r>
      <w:r w:rsidR="0030778F" w:rsidRPr="00050DAE">
        <w:t>, with restoration emerging through cyclical renewal and negotiated balance instead of direct confrontation</w:t>
      </w:r>
      <w:r w:rsidR="00093263" w:rsidRPr="00050DAE">
        <w:t>.</w:t>
      </w:r>
      <w:r w:rsidR="00C20E4B" w:rsidRPr="00050DAE">
        <w:rPr>
          <w:rStyle w:val="FootnoteReference"/>
        </w:rPr>
        <w:footnoteReference w:id="316"/>
      </w:r>
      <w:r w:rsidR="005F06A6" w:rsidRPr="00050DAE">
        <w:t xml:space="preserve"> In some </w:t>
      </w:r>
      <w:r w:rsidR="00B74E51" w:rsidRPr="00050DAE">
        <w:t>tellings</w:t>
      </w:r>
      <w:r w:rsidR="005F06A6" w:rsidRPr="00050DAE">
        <w:t>, Zeus mediates between Aphrodite and Persephone, dividing Adonis</w:t>
      </w:r>
      <w:r w:rsidR="008301DC" w:rsidRPr="00050DAE">
        <w:t>’</w:t>
      </w:r>
      <w:r w:rsidR="005F06A6" w:rsidRPr="00050DAE">
        <w:t xml:space="preserve"> time between the upper and lower worlds and establishing a cyclical pattern of presence and absence.</w:t>
      </w:r>
      <w:r w:rsidR="00212B4B" w:rsidRPr="00050DAE">
        <w:rPr>
          <w:rStyle w:val="FootnoteReference"/>
        </w:rPr>
        <w:footnoteReference w:id="317"/>
      </w:r>
      <w:r w:rsidR="005F06A6" w:rsidRPr="00050DAE">
        <w:t xml:space="preserve"> </w:t>
      </w:r>
      <w:r w:rsidR="00093263" w:rsidRPr="00050DAE">
        <w:t>Following his death, most often by a boar, Aphrodite transforms his blood into a flower, creating a symbolic rebirth tied to seasonal renewal and cyclical return without permanent restoration.</w:t>
      </w:r>
      <w:r w:rsidR="005F06A6" w:rsidRPr="00050DAE">
        <w:rPr>
          <w:rStyle w:val="FootnoteReference"/>
        </w:rPr>
        <w:footnoteReference w:id="318"/>
      </w:r>
      <w:r w:rsidR="005F06A6" w:rsidRPr="00050DAE">
        <w:t xml:space="preserve"> The anemone</w:t>
      </w:r>
      <w:r w:rsidR="008301DC" w:rsidRPr="00050DAE">
        <w:t>’</w:t>
      </w:r>
      <w:r w:rsidR="005F06A6" w:rsidRPr="00050DAE">
        <w:t xml:space="preserve">s brief blooming </w:t>
      </w:r>
      <w:r w:rsidR="00C020C4" w:rsidRPr="00050DAE">
        <w:t>emphasise</w:t>
      </w:r>
      <w:r w:rsidR="005F06A6" w:rsidRPr="00050DAE">
        <w:t xml:space="preserve">s the fragility of this return, </w:t>
      </w:r>
      <w:r w:rsidR="0004096B" w:rsidRPr="00050DAE">
        <w:t>just as</w:t>
      </w:r>
      <w:r w:rsidR="005F06A6" w:rsidRPr="00050DAE">
        <w:t xml:space="preserve"> recurring lament rituals reinforce its cyclical character. </w:t>
      </w:r>
      <w:r w:rsidRPr="00050DAE">
        <w:t>Together, these elements present Adonis as a figure of cyclical return without overcoming death itself.</w:t>
      </w:r>
      <w:r w:rsidR="00630F2A" w:rsidRPr="00050DAE">
        <w:rPr>
          <w:rStyle w:val="FootnoteReference"/>
        </w:rPr>
        <w:footnoteReference w:id="319"/>
      </w:r>
    </w:p>
    <w:p w14:paraId="2A547B2B" w14:textId="4B592B7C" w:rsidR="00EE1ABE" w:rsidRPr="00050DAE" w:rsidRDefault="00EE1ABE" w:rsidP="005F06A6">
      <w:pPr>
        <w:pStyle w:val="UWTSDindent"/>
      </w:pPr>
      <w:r w:rsidRPr="00050DAE">
        <w:t xml:space="preserve">The persistence of these </w:t>
      </w:r>
      <w:r w:rsidR="00B74E51" w:rsidRPr="00050DAE">
        <w:t xml:space="preserve">approaches to the problem of death </w:t>
      </w:r>
      <w:r w:rsidRPr="00050DAE">
        <w:t xml:space="preserve">demonstrates that Greek descent narratives do not converge on a single governing principle. Ritual mediation, conditional retrieval, and exceptional confrontation coexist without consolidation. Even comic adaptation preserves this multiplicity. </w:t>
      </w:r>
      <w:r w:rsidR="00C10137" w:rsidRPr="00050DAE">
        <w:t xml:space="preserve">In </w:t>
      </w:r>
      <w:r w:rsidR="00C10137" w:rsidRPr="00050DAE">
        <w:rPr>
          <w:i/>
          <w:iCs/>
        </w:rPr>
        <w:t>Frogs</w:t>
      </w:r>
      <w:r w:rsidR="00C10137" w:rsidRPr="00050DAE">
        <w:t>, Aristophanes uses the underworld journey to stage debates over poetry and literary value, even as the narrative continues to rely upon the crossing between the worlds of the living and the dead.</w:t>
      </w:r>
      <w:r w:rsidR="006B5C74" w:rsidRPr="00050DAE">
        <w:rPr>
          <w:rStyle w:val="FootnoteReference"/>
        </w:rPr>
        <w:footnoteReference w:id="320"/>
      </w:r>
      <w:r w:rsidRPr="00050DAE">
        <w:t xml:space="preserve"> The underworld continues to function as a bounded domain, even when its representation is altered.</w:t>
      </w:r>
    </w:p>
    <w:p w14:paraId="2BCB708B" w14:textId="67E3394A" w:rsidR="00EE1ABE" w:rsidRPr="00050DAE" w:rsidRDefault="00573AA2" w:rsidP="000D5D10">
      <w:pPr>
        <w:pStyle w:val="UWTSDindent"/>
      </w:pPr>
      <w:r w:rsidRPr="00050DAE">
        <w:t>When situated alongside the Demeter-Persephone cycle, these examples highlight the distinctive position of Persephone within the Greek descent corpus. Unlike the exceptional returns of Heracles or Orpheus, Persephone</w:t>
      </w:r>
      <w:r w:rsidR="008301DC" w:rsidRPr="00050DAE">
        <w:t>’</w:t>
      </w:r>
      <w:r w:rsidRPr="00050DAE">
        <w:t>s movement between realms becomes institutionali</w:t>
      </w:r>
      <w:r w:rsidR="002B188A" w:rsidRPr="00050DAE">
        <w:t>s</w:t>
      </w:r>
      <w:r w:rsidRPr="00050DAE">
        <w:t xml:space="preserve">ed through a recurring </w:t>
      </w:r>
      <w:r w:rsidR="009D60EB" w:rsidRPr="00050DAE">
        <w:t>cycle</w:t>
      </w:r>
      <w:r w:rsidRPr="00050DAE">
        <w:t xml:space="preserve"> of negotiation and seasonal return</w:t>
      </w:r>
      <w:r w:rsidR="002B0CA8" w:rsidRPr="00050DAE">
        <w:t>.</w:t>
      </w:r>
      <w:r w:rsidR="002B0CA8" w:rsidRPr="00050DAE">
        <w:rPr>
          <w:rStyle w:val="FootnoteReference"/>
        </w:rPr>
        <w:footnoteReference w:id="321"/>
      </w:r>
    </w:p>
    <w:p w14:paraId="38A3901F" w14:textId="383FBF24" w:rsidR="00EE1ABE" w:rsidRPr="00050DAE" w:rsidRDefault="00C10137" w:rsidP="000D5D10">
      <w:pPr>
        <w:pStyle w:val="UWTSDindent"/>
      </w:pPr>
      <w:r w:rsidRPr="00050DAE">
        <w:t xml:space="preserve">Taken together, these </w:t>
      </w:r>
      <w:r w:rsidR="00B74E51" w:rsidRPr="00050DAE">
        <w:t xml:space="preserve">conceptions of descent </w:t>
      </w:r>
      <w:r w:rsidRPr="00050DAE">
        <w:t xml:space="preserve">open the way for broader comparison across the ancient Mediterranean world. Greek mythology retains the journey into the underworld while approaching its meaning and resolution in a very different way. </w:t>
      </w:r>
      <w:r w:rsidR="005F7F26" w:rsidRPr="00050DAE">
        <w:t xml:space="preserve">Where earlier traditions </w:t>
      </w:r>
      <w:r w:rsidR="009D60EB" w:rsidRPr="00050DAE">
        <w:t>resolve</w:t>
      </w:r>
      <w:r w:rsidR="005F7F26" w:rsidRPr="00050DAE">
        <w:t xml:space="preserve"> descent through law or violent confrontation</w:t>
      </w:r>
      <w:r w:rsidR="00EE1ABE" w:rsidRPr="00050DAE">
        <w:t xml:space="preserve">, </w:t>
      </w:r>
      <w:r w:rsidR="005F7F26" w:rsidRPr="00050DAE">
        <w:t xml:space="preserve">Greek </w:t>
      </w:r>
      <w:r w:rsidR="00241F5B" w:rsidRPr="00050DAE">
        <w:t xml:space="preserve">models of return </w:t>
      </w:r>
      <w:r w:rsidR="005F7F26" w:rsidRPr="00050DAE">
        <w:t xml:space="preserve">instead distribute authority through mediation, restriction, and negotiated relationships. Chapter 6 examines how these </w:t>
      </w:r>
      <w:r w:rsidR="00241F5B" w:rsidRPr="00050DAE">
        <w:t xml:space="preserve">solutions to the problem of death </w:t>
      </w:r>
      <w:r w:rsidR="005F7F26" w:rsidRPr="00050DAE">
        <w:t>converge functionally while remaining structurally distinct</w:t>
      </w:r>
      <w:r w:rsidR="00EE1ABE" w:rsidRPr="00050DAE">
        <w:t>, particularly in their treatment of return, substitution, and the persistence of death.</w:t>
      </w:r>
    </w:p>
    <w:p w14:paraId="0946D7E4" w14:textId="5AB53358" w:rsidR="004127BF" w:rsidRPr="00050DAE" w:rsidRDefault="004127BF" w:rsidP="000D5D10">
      <w:pPr>
        <w:pStyle w:val="UWTSDindent"/>
      </w:pPr>
      <w:r w:rsidRPr="00050DAE">
        <w:t xml:space="preserve">The </w:t>
      </w:r>
      <w:r w:rsidRPr="00050DAE">
        <w:rPr>
          <w:i/>
          <w:iCs/>
        </w:rPr>
        <w:t>Homeric Hymn to Demeter</w:t>
      </w:r>
      <w:r w:rsidRPr="00050DAE">
        <w:t xml:space="preserve"> organi</w:t>
      </w:r>
      <w:r w:rsidR="002B188A" w:rsidRPr="00050DAE">
        <w:t>s</w:t>
      </w:r>
      <w:r w:rsidRPr="00050DAE">
        <w:t xml:space="preserve">es descent differently from either the Mesopotamian or Ugaritic </w:t>
      </w:r>
      <w:r w:rsidR="00241F5B" w:rsidRPr="00050DAE">
        <w:t>models</w:t>
      </w:r>
      <w:r w:rsidRPr="00050DAE">
        <w:t xml:space="preserve">. Rather than substitution or confrontation, the narrative develops </w:t>
      </w:r>
      <w:r w:rsidR="007073B9" w:rsidRPr="00050DAE">
        <w:t xml:space="preserve">a mechanism of mediation that </w:t>
      </w:r>
      <w:r w:rsidR="009D60EB" w:rsidRPr="00050DAE">
        <w:t>allow</w:t>
      </w:r>
      <w:r w:rsidR="007073B9" w:rsidRPr="00050DAE">
        <w:t>s</w:t>
      </w:r>
      <w:r w:rsidRPr="00050DAE">
        <w:t xml:space="preserve"> competing claims </w:t>
      </w:r>
      <w:r w:rsidR="009D60EB" w:rsidRPr="00050DAE">
        <w:t>to</w:t>
      </w:r>
      <w:r w:rsidRPr="00050DAE">
        <w:t xml:space="preserve"> balance over time.</w:t>
      </w:r>
    </w:p>
    <w:p w14:paraId="0815C25B" w14:textId="77777777" w:rsidR="001F6D2A" w:rsidRPr="00050DAE" w:rsidRDefault="001F6D2A" w:rsidP="000D5D10">
      <w:pPr>
        <w:pStyle w:val="UWTSDindent"/>
      </w:pPr>
    </w:p>
    <w:p w14:paraId="7F6E0BDA" w14:textId="3FDE1B01" w:rsidR="004127BF" w:rsidRPr="00050DAE" w:rsidRDefault="004127BF" w:rsidP="004127BF">
      <w:pPr>
        <w:pStyle w:val="Caption"/>
        <w:keepNext/>
        <w:rPr>
          <w:rFonts w:asciiTheme="majorBidi" w:hAnsiTheme="majorBidi" w:cstheme="majorBidi"/>
        </w:rPr>
      </w:pPr>
      <w:r w:rsidRPr="00050DAE">
        <w:rPr>
          <w:rFonts w:asciiTheme="majorBidi" w:hAnsiTheme="majorBidi" w:cstheme="majorBidi"/>
        </w:rPr>
        <w:t xml:space="preserve">Table </w:t>
      </w:r>
      <w:r w:rsidRPr="00050DAE">
        <w:rPr>
          <w:rFonts w:asciiTheme="majorBidi" w:hAnsiTheme="majorBidi" w:cstheme="majorBidi"/>
        </w:rPr>
        <w:fldChar w:fldCharType="begin"/>
      </w:r>
      <w:r w:rsidRPr="00050DAE">
        <w:rPr>
          <w:rFonts w:asciiTheme="majorBidi" w:hAnsiTheme="majorBidi" w:cstheme="majorBidi"/>
        </w:rPr>
        <w:instrText xml:space="preserve"> SEQ Table \* ARABIC </w:instrText>
      </w:r>
      <w:r w:rsidRPr="00050DAE">
        <w:rPr>
          <w:rFonts w:asciiTheme="majorBidi" w:hAnsiTheme="majorBidi" w:cstheme="majorBidi"/>
        </w:rPr>
        <w:fldChar w:fldCharType="separate"/>
      </w:r>
      <w:r w:rsidR="009D2921">
        <w:rPr>
          <w:rFonts w:asciiTheme="majorBidi" w:hAnsiTheme="majorBidi" w:cstheme="majorBidi"/>
          <w:noProof/>
        </w:rPr>
        <w:t>5</w:t>
      </w:r>
      <w:r w:rsidRPr="00050DAE">
        <w:rPr>
          <w:rFonts w:asciiTheme="majorBidi" w:hAnsiTheme="majorBidi" w:cstheme="majorBidi"/>
        </w:rPr>
        <w:fldChar w:fldCharType="end"/>
      </w:r>
      <w:r w:rsidRPr="00050DAE">
        <w:rPr>
          <w:rFonts w:asciiTheme="majorBidi" w:hAnsiTheme="majorBidi" w:cstheme="majorBidi"/>
        </w:rPr>
        <w:t xml:space="preserve"> Structural Resolution of Life and Death in the Homeric Hymn to Demeter.</w:t>
      </w:r>
    </w:p>
    <w:tbl>
      <w:tblPr>
        <w:tblStyle w:val="TableGrid"/>
        <w:tblW w:w="0" w:type="auto"/>
        <w:tblLook w:val="04A0" w:firstRow="1" w:lastRow="0" w:firstColumn="1" w:lastColumn="0" w:noHBand="0" w:noVBand="1"/>
      </w:tblPr>
      <w:tblGrid>
        <w:gridCol w:w="4508"/>
        <w:gridCol w:w="4508"/>
      </w:tblGrid>
      <w:tr w:rsidR="001B5DBE" w:rsidRPr="00050DAE" w14:paraId="5FCCAF46" w14:textId="77777777" w:rsidTr="002232D4">
        <w:tc>
          <w:tcPr>
            <w:tcW w:w="4508" w:type="dxa"/>
            <w:shd w:val="clear" w:color="auto" w:fill="000000" w:themeFill="text1"/>
          </w:tcPr>
          <w:p w14:paraId="1D03BEA7" w14:textId="77777777" w:rsidR="001B5DBE" w:rsidRPr="00050DAE" w:rsidRDefault="001B5DBE" w:rsidP="0067570A">
            <w:pPr>
              <w:pStyle w:val="UWTSDindent"/>
              <w:ind w:firstLine="0"/>
              <w:rPr>
                <w:color w:val="FFFFFF" w:themeColor="background1"/>
              </w:rPr>
            </w:pPr>
            <w:r w:rsidRPr="00050DAE">
              <w:rPr>
                <w:color w:val="FFFFFF" w:themeColor="background1"/>
              </w:rPr>
              <w:t>Element</w:t>
            </w:r>
          </w:p>
        </w:tc>
        <w:tc>
          <w:tcPr>
            <w:tcW w:w="4508" w:type="dxa"/>
            <w:shd w:val="clear" w:color="auto" w:fill="000000" w:themeFill="text1"/>
          </w:tcPr>
          <w:p w14:paraId="33B5C82A" w14:textId="45AC0E85" w:rsidR="001B5DBE" w:rsidRPr="00050DAE" w:rsidRDefault="001B5DBE" w:rsidP="0067570A">
            <w:pPr>
              <w:pStyle w:val="UWTSDindent"/>
              <w:ind w:firstLine="0"/>
              <w:rPr>
                <w:color w:val="FFFFFF" w:themeColor="background1"/>
              </w:rPr>
            </w:pPr>
            <w:r w:rsidRPr="00050DAE">
              <w:rPr>
                <w:color w:val="FFFFFF" w:themeColor="background1"/>
              </w:rPr>
              <w:t>Greek Persephone Pattern</w:t>
            </w:r>
          </w:p>
        </w:tc>
      </w:tr>
      <w:tr w:rsidR="001B5DBE" w:rsidRPr="00050DAE" w14:paraId="4C5F1463" w14:textId="77777777" w:rsidTr="0067570A">
        <w:tc>
          <w:tcPr>
            <w:tcW w:w="4508" w:type="dxa"/>
          </w:tcPr>
          <w:p w14:paraId="4A6CFD3A" w14:textId="77777777" w:rsidR="001B5DBE" w:rsidRPr="00050DAE" w:rsidRDefault="001B5DBE" w:rsidP="0067570A">
            <w:pPr>
              <w:pStyle w:val="UWTSDindent"/>
              <w:ind w:firstLine="0"/>
            </w:pPr>
            <w:r w:rsidRPr="00050DAE">
              <w:t>Life</w:t>
            </w:r>
            <w:r w:rsidRPr="00050DAE">
              <w:tab/>
            </w:r>
          </w:p>
        </w:tc>
        <w:tc>
          <w:tcPr>
            <w:tcW w:w="4508" w:type="dxa"/>
          </w:tcPr>
          <w:p w14:paraId="523B6A05" w14:textId="5AEEC7CF" w:rsidR="001B5DBE" w:rsidRPr="00050DAE" w:rsidRDefault="001B5DBE" w:rsidP="0067570A">
            <w:pPr>
              <w:pStyle w:val="UWTSDindent"/>
              <w:ind w:firstLine="0"/>
            </w:pPr>
            <w:r w:rsidRPr="00050DAE">
              <w:t>Demeter</w:t>
            </w:r>
          </w:p>
        </w:tc>
      </w:tr>
      <w:tr w:rsidR="001B5DBE" w:rsidRPr="00050DAE" w14:paraId="0D31A237" w14:textId="77777777" w:rsidTr="0067570A">
        <w:tc>
          <w:tcPr>
            <w:tcW w:w="4508" w:type="dxa"/>
          </w:tcPr>
          <w:p w14:paraId="769DFA3F" w14:textId="77777777" w:rsidR="001B5DBE" w:rsidRPr="00050DAE" w:rsidRDefault="001B5DBE" w:rsidP="0067570A">
            <w:pPr>
              <w:pStyle w:val="UWTSDindent"/>
              <w:ind w:firstLine="0"/>
            </w:pPr>
            <w:r w:rsidRPr="00050DAE">
              <w:t>Death</w:t>
            </w:r>
          </w:p>
        </w:tc>
        <w:tc>
          <w:tcPr>
            <w:tcW w:w="4508" w:type="dxa"/>
          </w:tcPr>
          <w:p w14:paraId="25962C63" w14:textId="1135577B" w:rsidR="001B5DBE" w:rsidRPr="00050DAE" w:rsidRDefault="00EE7742" w:rsidP="0067570A">
            <w:pPr>
              <w:pStyle w:val="UWTSDindent"/>
              <w:ind w:firstLine="0"/>
            </w:pPr>
            <w:r w:rsidRPr="00050DAE">
              <w:t>Hādēs</w:t>
            </w:r>
          </w:p>
        </w:tc>
      </w:tr>
      <w:tr w:rsidR="001B5DBE" w:rsidRPr="00050DAE" w14:paraId="03006CAC" w14:textId="77777777" w:rsidTr="0067570A">
        <w:tc>
          <w:tcPr>
            <w:tcW w:w="4508" w:type="dxa"/>
          </w:tcPr>
          <w:p w14:paraId="4428E010" w14:textId="77777777" w:rsidR="001B5DBE" w:rsidRPr="00050DAE" w:rsidRDefault="001B5DBE" w:rsidP="0067570A">
            <w:pPr>
              <w:pStyle w:val="UWTSDindent"/>
              <w:ind w:firstLine="0"/>
            </w:pPr>
            <w:r w:rsidRPr="00050DAE">
              <w:t>Boundary</w:t>
            </w:r>
          </w:p>
        </w:tc>
        <w:tc>
          <w:tcPr>
            <w:tcW w:w="4508" w:type="dxa"/>
          </w:tcPr>
          <w:p w14:paraId="6F28959C" w14:textId="5283A3DC" w:rsidR="001B5DBE" w:rsidRPr="00050DAE" w:rsidRDefault="00EE7742" w:rsidP="0067570A">
            <w:pPr>
              <w:pStyle w:val="UWTSDindent"/>
              <w:ind w:firstLine="0"/>
            </w:pPr>
            <w:r w:rsidRPr="00050DAE">
              <w:t>Abduction</w:t>
            </w:r>
          </w:p>
        </w:tc>
      </w:tr>
      <w:tr w:rsidR="001B5DBE" w:rsidRPr="00050DAE" w14:paraId="3E5979A9" w14:textId="77777777" w:rsidTr="0067570A">
        <w:tc>
          <w:tcPr>
            <w:tcW w:w="4508" w:type="dxa"/>
          </w:tcPr>
          <w:p w14:paraId="23A3D972" w14:textId="77777777" w:rsidR="001B5DBE" w:rsidRPr="00050DAE" w:rsidRDefault="001B5DBE" w:rsidP="0067570A">
            <w:pPr>
              <w:pStyle w:val="UWTSDindent"/>
              <w:ind w:firstLine="0"/>
            </w:pPr>
            <w:r w:rsidRPr="00050DAE">
              <w:t>Resolution</w:t>
            </w:r>
          </w:p>
        </w:tc>
        <w:tc>
          <w:tcPr>
            <w:tcW w:w="4508" w:type="dxa"/>
          </w:tcPr>
          <w:p w14:paraId="5FD9B74A" w14:textId="71E8439E" w:rsidR="001B5DBE" w:rsidRPr="00050DAE" w:rsidRDefault="00EE7742" w:rsidP="0067570A">
            <w:pPr>
              <w:pStyle w:val="UWTSDindent"/>
              <w:ind w:firstLine="0"/>
            </w:pPr>
            <w:r w:rsidRPr="00050DAE">
              <w:t>Negotiation</w:t>
            </w:r>
          </w:p>
        </w:tc>
      </w:tr>
      <w:tr w:rsidR="001B5DBE" w:rsidRPr="00050DAE" w14:paraId="450223EE" w14:textId="77777777" w:rsidTr="0067570A">
        <w:tc>
          <w:tcPr>
            <w:tcW w:w="4508" w:type="dxa"/>
          </w:tcPr>
          <w:p w14:paraId="099D11D4" w14:textId="77777777" w:rsidR="001B5DBE" w:rsidRPr="00050DAE" w:rsidRDefault="001B5DBE" w:rsidP="0067570A">
            <w:pPr>
              <w:pStyle w:val="UWTSDindent"/>
              <w:ind w:firstLine="0"/>
            </w:pPr>
            <w:r w:rsidRPr="00050DAE">
              <w:t>Result</w:t>
            </w:r>
          </w:p>
        </w:tc>
        <w:tc>
          <w:tcPr>
            <w:tcW w:w="4508" w:type="dxa"/>
          </w:tcPr>
          <w:p w14:paraId="69C1A5CA" w14:textId="127EEFBB" w:rsidR="001B5DBE" w:rsidRPr="00050DAE" w:rsidRDefault="00EE7742" w:rsidP="0067570A">
            <w:pPr>
              <w:pStyle w:val="UWTSDindent"/>
              <w:ind w:firstLine="0"/>
            </w:pPr>
            <w:r w:rsidRPr="00050DAE">
              <w:t>Cyclical return</w:t>
            </w:r>
            <w:r w:rsidR="00BB16E7" w:rsidRPr="00050DAE">
              <w:rPr>
                <w:rStyle w:val="FootnoteReference"/>
              </w:rPr>
              <w:footnoteReference w:id="322"/>
            </w:r>
          </w:p>
        </w:tc>
      </w:tr>
    </w:tbl>
    <w:p w14:paraId="6B5CC0BD" w14:textId="011CDC1B" w:rsidR="004127BF" w:rsidRPr="00050DAE" w:rsidRDefault="004127BF" w:rsidP="00241F5B">
      <w:pPr>
        <w:pStyle w:val="UWTSDindent"/>
      </w:pPr>
      <w:r w:rsidRPr="00050DAE">
        <w:t xml:space="preserve">The Greek </w:t>
      </w:r>
      <w:r w:rsidR="00241F5B" w:rsidRPr="00050DAE">
        <w:t xml:space="preserve">conception of return </w:t>
      </w:r>
      <w:r w:rsidRPr="00050DAE">
        <w:t>resolves the tension between life and death neither through exchange nor through violent disruption. Instead, continuity emerges through cyclical alternation. Persephone</w:t>
      </w:r>
      <w:r w:rsidR="008301DC" w:rsidRPr="00050DAE">
        <w:t>’</w:t>
      </w:r>
      <w:r w:rsidRPr="00050DAE">
        <w:t>s movement between realms preserves the boundary separating life and death while simultaneously creating a recurring pattern of absence and return that sustains both fertility and divine order.</w:t>
      </w:r>
    </w:p>
    <w:p w14:paraId="09329F74" w14:textId="77777777" w:rsidR="00D5107C" w:rsidRPr="00050DAE" w:rsidRDefault="00D5107C">
      <w:pPr>
        <w:rPr>
          <w:rFonts w:asciiTheme="majorBidi" w:eastAsiaTheme="majorEastAsia" w:hAnsiTheme="majorBidi" w:cstheme="majorBidi"/>
          <w:sz w:val="40"/>
          <w:szCs w:val="40"/>
        </w:rPr>
      </w:pPr>
      <w:r w:rsidRPr="00050DAE">
        <w:rPr>
          <w:rFonts w:asciiTheme="majorBidi" w:hAnsiTheme="majorBidi" w:cstheme="majorBidi"/>
        </w:rPr>
        <w:br w:type="page"/>
      </w:r>
    </w:p>
    <w:p w14:paraId="225E1C8B" w14:textId="0185E86F" w:rsidR="008441E2" w:rsidRPr="00050DAE" w:rsidRDefault="00E679CD" w:rsidP="00E679CD">
      <w:pPr>
        <w:pStyle w:val="Heading1"/>
        <w:rPr>
          <w:rFonts w:asciiTheme="majorBidi" w:hAnsiTheme="majorBidi"/>
          <w:color w:val="auto"/>
        </w:rPr>
      </w:pPr>
      <w:bookmarkStart w:id="186" w:name="_Toc234140264"/>
      <w:bookmarkStart w:id="187" w:name="_Toc234140515"/>
      <w:bookmarkStart w:id="188" w:name="_Toc234143695"/>
      <w:bookmarkStart w:id="189" w:name="_Toc234154324"/>
      <w:bookmarkStart w:id="190" w:name="_Toc234154370"/>
      <w:r w:rsidRPr="00050DAE">
        <w:rPr>
          <w:rFonts w:asciiTheme="majorBidi" w:hAnsiTheme="majorBidi"/>
          <w:color w:val="auto"/>
        </w:rPr>
        <w:t>Chapter</w:t>
      </w:r>
      <w:r w:rsidR="00254A8E" w:rsidRPr="00050DAE">
        <w:rPr>
          <w:rFonts w:asciiTheme="majorBidi" w:hAnsiTheme="majorBidi"/>
          <w:color w:val="auto"/>
        </w:rPr>
        <w:t xml:space="preserve"> 6</w:t>
      </w:r>
      <w:r w:rsidRPr="00050DAE">
        <w:rPr>
          <w:rFonts w:asciiTheme="majorBidi" w:hAnsiTheme="majorBidi"/>
          <w:color w:val="auto"/>
        </w:rPr>
        <w:t>.</w:t>
      </w:r>
      <w:r w:rsidR="00DE0972" w:rsidRPr="00050DAE">
        <w:rPr>
          <w:rFonts w:asciiTheme="majorBidi" w:hAnsiTheme="majorBidi"/>
          <w:color w:val="auto"/>
        </w:rPr>
        <w:t xml:space="preserve"> </w:t>
      </w:r>
      <w:r w:rsidR="00A031F6" w:rsidRPr="00050DAE">
        <w:rPr>
          <w:rFonts w:asciiTheme="majorBidi" w:hAnsiTheme="majorBidi"/>
          <w:color w:val="auto"/>
        </w:rPr>
        <w:t>De</w:t>
      </w:r>
      <w:r w:rsidR="004E6997" w:rsidRPr="00050DAE">
        <w:rPr>
          <w:rFonts w:asciiTheme="majorBidi" w:hAnsiTheme="majorBidi"/>
          <w:color w:val="auto"/>
        </w:rPr>
        <w:t>s</w:t>
      </w:r>
      <w:r w:rsidR="00A031F6" w:rsidRPr="00050DAE">
        <w:rPr>
          <w:rFonts w:asciiTheme="majorBidi" w:hAnsiTheme="majorBidi"/>
          <w:color w:val="auto"/>
        </w:rPr>
        <w:t>cent and Return</w:t>
      </w:r>
      <w:bookmarkEnd w:id="186"/>
      <w:bookmarkEnd w:id="187"/>
      <w:bookmarkEnd w:id="188"/>
      <w:bookmarkEnd w:id="189"/>
      <w:bookmarkEnd w:id="190"/>
    </w:p>
    <w:p w14:paraId="5444DAC5" w14:textId="6785A0F8" w:rsidR="00C10137" w:rsidRPr="00050DAE" w:rsidRDefault="00C77D91" w:rsidP="00AA67D1">
      <w:pPr>
        <w:pStyle w:val="UWTSDindent"/>
      </w:pPr>
      <w:r w:rsidRPr="00050DAE">
        <w:t xml:space="preserve">Across these </w:t>
      </w:r>
      <w:r w:rsidR="00AA67D1" w:rsidRPr="00050DAE">
        <w:t>cosmologies</w:t>
      </w:r>
      <w:r w:rsidRPr="00050DAE">
        <w:t>, descent narratives reveal both striking similarities and significant differences</w:t>
      </w:r>
      <w:r w:rsidR="00C10137" w:rsidRPr="00050DAE">
        <w:t xml:space="preserve"> in the way ancient cultures imagined the boundary between life and death. Even where no direct historical relationship can be traced, the stories still speak to shared human anxieties surrounding mortality and renewal.</w:t>
      </w:r>
    </w:p>
    <w:p w14:paraId="76BC4F9F" w14:textId="2997CC74" w:rsidR="00D645D9" w:rsidRPr="00050DAE" w:rsidRDefault="00B84D2A" w:rsidP="00AA67D1">
      <w:pPr>
        <w:pStyle w:val="UWTSDindent"/>
      </w:pPr>
      <w:r w:rsidRPr="00050DAE">
        <w:t>While grounded in structuralist approaches associated with Lévi-Strauss, the present study employs comparison as a means of identifying recurring structural relationships across narratives, reflecting the comparative dimension that Dundes identifies within Lévi-Strauss's own practice</w:t>
      </w:r>
      <w:r w:rsidR="00D645D9" w:rsidRPr="00050DAE">
        <w:t>.</w:t>
      </w:r>
      <w:r w:rsidRPr="00050DAE">
        <w:rPr>
          <w:rStyle w:val="FootnoteReference"/>
        </w:rPr>
        <w:footnoteReference w:id="323"/>
      </w:r>
      <w:r w:rsidR="00D645D9" w:rsidRPr="00050DAE">
        <w:t xml:space="preserve"> In each of these cosmologies, descent narratives address the tension created by the opposition between life and death. The significance of the cosmologies lies not in shared content but in the different mechanisms through which that tension is mediated. The present analysis therefore examines how each cosmology constructs a distinct solution to the same fundamental problem: how continuity can persist despite the apparent finality of death.</w:t>
      </w:r>
    </w:p>
    <w:p w14:paraId="56E09808" w14:textId="6FF92699" w:rsidR="008B79CC" w:rsidRPr="00050DAE" w:rsidRDefault="00573AA2" w:rsidP="00661452">
      <w:pPr>
        <w:pStyle w:val="UWTSDindent"/>
      </w:pPr>
      <w:r w:rsidRPr="00050DAE">
        <w:t xml:space="preserve">Among the </w:t>
      </w:r>
      <w:r w:rsidR="00AA67D1" w:rsidRPr="00050DAE">
        <w:t xml:space="preserve">examples </w:t>
      </w:r>
      <w:r w:rsidRPr="00050DAE">
        <w:t>examined here, Persephone</w:t>
      </w:r>
      <w:r w:rsidR="008301DC" w:rsidRPr="00050DAE">
        <w:t>’</w:t>
      </w:r>
      <w:r w:rsidRPr="00050DAE">
        <w:t>s descent is unique because it begins through abduction rather than voluntary action. Zeus consents to the union and gives her to Hādēs without Demeter</w:t>
      </w:r>
      <w:r w:rsidR="008301DC" w:rsidRPr="00050DAE">
        <w:t>’</w:t>
      </w:r>
      <w:r w:rsidRPr="00050DAE">
        <w:t>s knowledge, setting the narrative in motion through betrayal and separation.</w:t>
      </w:r>
      <w:r w:rsidR="00092B11" w:rsidRPr="00050DAE">
        <w:rPr>
          <w:rStyle w:val="FootnoteReference"/>
        </w:rPr>
        <w:footnoteReference w:id="324"/>
      </w:r>
      <w:r w:rsidR="00092B11" w:rsidRPr="00050DAE">
        <w:t xml:space="preserve"> </w:t>
      </w:r>
    </w:p>
    <w:p w14:paraId="73801D6C" w14:textId="6B38B213" w:rsidR="004E28C5" w:rsidRPr="00050DAE" w:rsidRDefault="00C77D91" w:rsidP="008B79CC">
      <w:pPr>
        <w:pStyle w:val="UWTSDindent"/>
      </w:pPr>
      <w:r w:rsidRPr="00050DAE">
        <w:t xml:space="preserve">By killing Mot, Anat fulfils the violent possibility only suggested in the Ištar </w:t>
      </w:r>
      <w:r w:rsidR="00AA67D1" w:rsidRPr="00050DAE">
        <w:t>material</w:t>
      </w:r>
      <w:r w:rsidRPr="00050DAE">
        <w:t>.</w:t>
      </w:r>
      <w:r w:rsidR="008B79CC" w:rsidRPr="00050DAE">
        <w:t xml:space="preserve"> Heracles similarly confronts Death (Thanatos) directly when he frees Alcestis through ambush and force.</w:t>
      </w:r>
      <w:r w:rsidR="008B79CC" w:rsidRPr="00050DAE">
        <w:rPr>
          <w:rStyle w:val="FootnoteReference"/>
        </w:rPr>
        <w:footnoteReference w:id="325"/>
      </w:r>
      <w:r w:rsidR="001B5C3B" w:rsidRPr="00050DAE">
        <w:t xml:space="preserve"> </w:t>
      </w:r>
      <w:r w:rsidR="005651C5" w:rsidRPr="00050DAE">
        <w:t>The contrast between these models reveals that underworld journeys function differently within each cosmology.</w:t>
      </w:r>
      <w:r w:rsidR="00573AA2" w:rsidRPr="00050DAE">
        <w:t xml:space="preserve"> In the Mesopotamian material, descent tests the limits of authority within a system governed by exchange. In the Ugaritic </w:t>
      </w:r>
      <w:r w:rsidR="00AA67D1" w:rsidRPr="00050DAE">
        <w:rPr>
          <w:i/>
          <w:iCs/>
        </w:rPr>
        <w:t>Baal Cycle</w:t>
      </w:r>
      <w:r w:rsidR="00573AA2" w:rsidRPr="00050DAE">
        <w:t>, descent becomes the catalyst for direct confrontation with death. In the Greek material, descent generates a crisis that can only be resolved through mediation and negotiated balance.</w:t>
      </w:r>
    </w:p>
    <w:p w14:paraId="41DD6842" w14:textId="00D3E3FD" w:rsidR="00664A58" w:rsidRPr="00050DAE" w:rsidRDefault="00C54251" w:rsidP="000631FB">
      <w:pPr>
        <w:pStyle w:val="UWTSDindent"/>
      </w:pPr>
      <w:r w:rsidRPr="00050DAE">
        <w:t>Though</w:t>
      </w:r>
      <w:r w:rsidR="003D7080" w:rsidRPr="00050DAE">
        <w:t xml:space="preserve"> Persephone</w:t>
      </w:r>
      <w:r w:rsidR="008301DC" w:rsidRPr="00050DAE">
        <w:t>’</w:t>
      </w:r>
      <w:r w:rsidR="003D7080" w:rsidRPr="00050DAE">
        <w:t xml:space="preserve">s consumption </w:t>
      </w:r>
      <w:r w:rsidR="00D34FFC" w:rsidRPr="00050DAE">
        <w:t xml:space="preserve">of </w:t>
      </w:r>
      <w:r w:rsidR="0030425C" w:rsidRPr="00050DAE">
        <w:t>the</w:t>
      </w:r>
      <w:r w:rsidR="00D34FFC" w:rsidRPr="00050DAE">
        <w:t xml:space="preserve"> </w:t>
      </w:r>
      <w:r w:rsidR="003D7080" w:rsidRPr="00050DAE">
        <w:t xml:space="preserve">pomegranate seed is enough to bind her to the underworld, this cosmic rule is not unique. </w:t>
      </w:r>
      <w:r w:rsidR="004E6997" w:rsidRPr="00050DAE">
        <w:t>W</w:t>
      </w:r>
      <w:r w:rsidR="009877DE" w:rsidRPr="00050DAE">
        <w:t xml:space="preserve">hen the </w:t>
      </w:r>
      <w:r w:rsidR="005651C5" w:rsidRPr="00050DAE">
        <w:t>O</w:t>
      </w:r>
      <w:r w:rsidR="009877DE" w:rsidRPr="00050DAE">
        <w:t xml:space="preserve">ld Babylonian version of </w:t>
      </w:r>
      <w:r w:rsidR="009877DE" w:rsidRPr="00050DAE">
        <w:rPr>
          <w:i/>
          <w:iCs/>
        </w:rPr>
        <w:t xml:space="preserve">Nergal and </w:t>
      </w:r>
      <w:r w:rsidR="005651C5" w:rsidRPr="00050DAE">
        <w:rPr>
          <w:i/>
          <w:iCs/>
        </w:rPr>
        <w:t xml:space="preserve">Ereškigal </w:t>
      </w:r>
      <w:r w:rsidR="009877DE" w:rsidRPr="00050DAE">
        <w:t xml:space="preserve">presents the rules of the </w:t>
      </w:r>
      <w:r w:rsidR="004E28C5" w:rsidRPr="00050DAE">
        <w:t xml:space="preserve">Netherworld, the god Ea warns, </w:t>
      </w:r>
      <w:r w:rsidR="008301DC" w:rsidRPr="00050DAE">
        <w:t>“</w:t>
      </w:r>
      <w:r w:rsidR="004E28C5" w:rsidRPr="00050DAE">
        <w:t>…If the cook brings [you] bread, [do not] go and eat his bread. If the butcher brings [you] meat, [do not] go and eat his meat. If the brewer brings you beer, do not go and drink the beer…</w:t>
      </w:r>
      <w:r w:rsidR="008301DC" w:rsidRPr="00050DAE">
        <w:t>”</w:t>
      </w:r>
      <w:r w:rsidR="00566BCC" w:rsidRPr="00050DAE">
        <w:rPr>
          <w:rStyle w:val="FootnoteReference"/>
        </w:rPr>
        <w:footnoteReference w:id="326"/>
      </w:r>
      <w:r w:rsidR="003D7080" w:rsidRPr="00050DAE">
        <w:t xml:space="preserve"> </w:t>
      </w:r>
      <w:r w:rsidR="000631FB" w:rsidRPr="00050DAE">
        <w:t xml:space="preserve">Similar prohibitions are found in </w:t>
      </w:r>
      <w:r w:rsidR="00736189" w:rsidRPr="00050DAE">
        <w:t xml:space="preserve">earlier </w:t>
      </w:r>
      <w:r w:rsidR="000631FB" w:rsidRPr="00050DAE">
        <w:t>Sumerian and Akkadian narratives as well.</w:t>
      </w:r>
      <w:r w:rsidR="000631FB" w:rsidRPr="00050DAE">
        <w:rPr>
          <w:rStyle w:val="FootnoteReference"/>
        </w:rPr>
        <w:footnoteReference w:id="327"/>
      </w:r>
    </w:p>
    <w:p w14:paraId="6E455C06" w14:textId="76416BA9" w:rsidR="00092B11" w:rsidRPr="00050DAE" w:rsidRDefault="00C77D91" w:rsidP="00EE6050">
      <w:pPr>
        <w:pStyle w:val="UWTSDindent"/>
      </w:pPr>
      <w:r w:rsidRPr="00050DAE">
        <w:t>Although no direct relationship between these prohibitions can be demonstrated</w:t>
      </w:r>
      <w:r w:rsidR="00A90B55" w:rsidRPr="00050DAE">
        <w:t>, the parallel suggests an inherent restriction on divine interaction with death</w:t>
      </w:r>
      <w:r w:rsidR="00283578" w:rsidRPr="00050DAE">
        <w:t xml:space="preserve">. </w:t>
      </w:r>
      <w:r w:rsidR="00001C9D" w:rsidRPr="00050DAE">
        <w:t xml:space="preserve">In </w:t>
      </w:r>
      <w:r w:rsidR="00A90B55" w:rsidRPr="00050DAE">
        <w:t>Euripides</w:t>
      </w:r>
      <w:r w:rsidR="008301DC" w:rsidRPr="00050DAE">
        <w:t>’</w:t>
      </w:r>
      <w:r w:rsidR="00A90B55" w:rsidRPr="00050DAE">
        <w:t xml:space="preserve"> </w:t>
      </w:r>
      <w:r w:rsidR="00A90B55" w:rsidRPr="00050DAE">
        <w:rPr>
          <w:i/>
          <w:iCs/>
        </w:rPr>
        <w:t>Hippolytus</w:t>
      </w:r>
      <w:r w:rsidR="00A90B55" w:rsidRPr="00050DAE">
        <w:t xml:space="preserve">, where Artemis abandons a dying favourite, </w:t>
      </w:r>
      <w:r w:rsidR="008301DC" w:rsidRPr="00050DAE">
        <w:t>“</w:t>
      </w:r>
      <w:r w:rsidR="004859D1" w:rsidRPr="00050DAE">
        <w:t>Farewell: it is not lawful for me to look upon the dead or to defile my sight with the last breath of the dying. And I see that you are already near that misfortune.</w:t>
      </w:r>
      <w:r w:rsidR="008301DC" w:rsidRPr="00050DAE">
        <w:t>”</w:t>
      </w:r>
      <w:r w:rsidR="00261B51" w:rsidRPr="00050DAE">
        <w:rPr>
          <w:rStyle w:val="FootnoteReference"/>
        </w:rPr>
        <w:footnoteReference w:id="328"/>
      </w:r>
      <w:r w:rsidR="00283578" w:rsidRPr="00050DAE">
        <w:t xml:space="preserve"> </w:t>
      </w:r>
      <w:r w:rsidR="00A90B55" w:rsidRPr="00050DAE">
        <w:t>In Euripides</w:t>
      </w:r>
      <w:r w:rsidR="008301DC" w:rsidRPr="00050DAE">
        <w:t>’</w:t>
      </w:r>
      <w:r w:rsidR="00A90B55" w:rsidRPr="00050DAE">
        <w:t xml:space="preserve"> </w:t>
      </w:r>
      <w:r w:rsidR="00A90B55" w:rsidRPr="00050DAE">
        <w:rPr>
          <w:i/>
          <w:iCs/>
        </w:rPr>
        <w:t>Alcestis</w:t>
      </w:r>
      <w:r w:rsidR="00A90B55" w:rsidRPr="00050DAE">
        <w:t xml:space="preserve">, Apollo prepares to abandon his favourite Admetus </w:t>
      </w:r>
      <w:r w:rsidR="008301DC" w:rsidRPr="00050DAE">
        <w:t>“</w:t>
      </w:r>
      <w:r w:rsidR="00A90B55" w:rsidRPr="00050DAE">
        <w:t>to avoid the pollution of death in the house.</w:t>
      </w:r>
      <w:r w:rsidR="008301DC" w:rsidRPr="00050DAE">
        <w:t>”</w:t>
      </w:r>
      <w:r w:rsidR="009E6DD9" w:rsidRPr="00050DAE">
        <w:rPr>
          <w:rStyle w:val="FootnoteReference"/>
        </w:rPr>
        <w:footnoteReference w:id="329"/>
      </w:r>
      <w:r w:rsidR="009E6DD9" w:rsidRPr="00050DAE">
        <w:t xml:space="preserve"> </w:t>
      </w:r>
      <w:r w:rsidR="00A90B55" w:rsidRPr="00050DAE">
        <w:t>Sandin supports this with</w:t>
      </w:r>
      <w:r w:rsidR="00283578" w:rsidRPr="00050DAE">
        <w:t>:</w:t>
      </w:r>
      <w:r w:rsidR="0076122B" w:rsidRPr="00050DAE">
        <w:rPr>
          <w:rStyle w:val="FootnoteReference"/>
        </w:rPr>
        <w:footnoteReference w:id="330"/>
      </w:r>
    </w:p>
    <w:p w14:paraId="713F0A50" w14:textId="31106032" w:rsidR="00283578" w:rsidRPr="00050DAE" w:rsidRDefault="00B43CFB" w:rsidP="00B43CFB">
      <w:pPr>
        <w:pStyle w:val="Quote"/>
        <w:rPr>
          <w:rFonts w:asciiTheme="majorBidi" w:hAnsiTheme="majorBidi" w:cstheme="majorBidi"/>
          <w:color w:val="auto"/>
        </w:rPr>
      </w:pPr>
      <w:r w:rsidRPr="00050DAE">
        <w:rPr>
          <w:rFonts w:asciiTheme="majorBidi" w:hAnsiTheme="majorBidi" w:cstheme="majorBidi"/>
          <w:color w:val="auto"/>
        </w:rPr>
        <w:t>Death is unclean, and the holy places of the gods must be kept free from pollution: the dead and the dying must be kept away</w:t>
      </w:r>
      <w:r w:rsidR="0030425C" w:rsidRPr="00050DAE">
        <w:rPr>
          <w:rFonts w:asciiTheme="majorBidi" w:hAnsiTheme="majorBidi" w:cstheme="majorBidi"/>
          <w:color w:val="auto"/>
        </w:rPr>
        <w:t>…</w:t>
      </w:r>
      <w:r w:rsidRPr="00050DAE">
        <w:rPr>
          <w:rFonts w:asciiTheme="majorBidi" w:hAnsiTheme="majorBidi" w:cstheme="majorBidi"/>
          <w:color w:val="auto"/>
        </w:rPr>
        <w:t xml:space="preserve"> from Athenian holy places in general,</w:t>
      </w:r>
      <w:r w:rsidR="0030425C" w:rsidRPr="00050DAE">
        <w:rPr>
          <w:rFonts w:asciiTheme="majorBidi" w:hAnsiTheme="majorBidi" w:cstheme="majorBidi"/>
          <w:color w:val="auto"/>
        </w:rPr>
        <w:t xml:space="preserve"> </w:t>
      </w:r>
      <w:r w:rsidRPr="00050DAE">
        <w:rPr>
          <w:rFonts w:asciiTheme="majorBidi" w:hAnsiTheme="majorBidi" w:cstheme="majorBidi"/>
          <w:color w:val="auto"/>
        </w:rPr>
        <w:t>and even a man who has been in contact with death must keep away until purified. Now if the gods</w:t>
      </w:r>
      <w:r w:rsidR="008301DC" w:rsidRPr="00050DAE">
        <w:rPr>
          <w:rFonts w:asciiTheme="majorBidi" w:hAnsiTheme="majorBidi" w:cstheme="majorBidi"/>
          <w:color w:val="auto"/>
        </w:rPr>
        <w:t>’</w:t>
      </w:r>
      <w:r w:rsidRPr="00050DAE">
        <w:rPr>
          <w:rFonts w:asciiTheme="majorBidi" w:hAnsiTheme="majorBidi" w:cstheme="majorBidi"/>
          <w:color w:val="auto"/>
        </w:rPr>
        <w:t xml:space="preserve"> holy places must thus be kept clean of death, so a fortiori must the gods themselves…</w:t>
      </w:r>
    </w:p>
    <w:p w14:paraId="75E84E68" w14:textId="5BDE0519" w:rsidR="00092B11" w:rsidRPr="00050DAE" w:rsidRDefault="00A90B55" w:rsidP="00C77D91">
      <w:pPr>
        <w:pStyle w:val="UWTSDindent"/>
      </w:pPr>
      <w:r w:rsidRPr="00050DAE">
        <w:t xml:space="preserve">The </w:t>
      </w:r>
      <w:r w:rsidRPr="00050DAE">
        <w:rPr>
          <w:i/>
          <w:iCs/>
        </w:rPr>
        <w:t>Homeric Hymn to Demeter</w:t>
      </w:r>
      <w:r w:rsidRPr="00050DAE">
        <w:t xml:space="preserve"> emphasises Demeter</w:t>
      </w:r>
      <w:r w:rsidR="008301DC" w:rsidRPr="00050DAE">
        <w:t>’</w:t>
      </w:r>
      <w:r w:rsidRPr="00050DAE">
        <w:t>s grief, resulting in her refusal to allow the earth to bear fruit, producing famine that threatens both mortals and the gods</w:t>
      </w:r>
      <w:r w:rsidR="008301DC" w:rsidRPr="00050DAE">
        <w:t>’</w:t>
      </w:r>
      <w:r w:rsidRPr="00050DAE">
        <w:t xml:space="preserve"> sacrificial economy</w:t>
      </w:r>
      <w:r w:rsidR="00092B11" w:rsidRPr="00050DAE">
        <w:t>.</w:t>
      </w:r>
      <w:r w:rsidR="00092B11" w:rsidRPr="00050DAE">
        <w:rPr>
          <w:rStyle w:val="FootnoteReference"/>
        </w:rPr>
        <w:footnoteReference w:id="331"/>
      </w:r>
      <w:r w:rsidR="00C77D91" w:rsidRPr="00050DAE">
        <w:rPr>
          <w:sz w:val="22"/>
        </w:rPr>
        <w:t xml:space="preserve"> </w:t>
      </w:r>
      <w:r w:rsidR="00C77D91" w:rsidRPr="00050DAE">
        <w:t>Zeus intervenes not as a judge but as a mediator responding to famine and systemic crisis that he caused.</w:t>
      </w:r>
      <w:r w:rsidR="00092B11" w:rsidRPr="00050DAE">
        <w:rPr>
          <w:rStyle w:val="FootnoteReference"/>
        </w:rPr>
        <w:footnoteReference w:id="332"/>
      </w:r>
      <w:r w:rsidR="00092B11" w:rsidRPr="00050DAE">
        <w:t xml:space="preserve"> He dispatches Hermes to negotiate Persephone</w:t>
      </w:r>
      <w:r w:rsidR="008301DC" w:rsidRPr="00050DAE">
        <w:t>’</w:t>
      </w:r>
      <w:r w:rsidR="00092B11" w:rsidRPr="00050DAE">
        <w:t>s return so that Demeter will relent and restore fertility.</w:t>
      </w:r>
      <w:r w:rsidR="00DE0972" w:rsidRPr="00050DAE">
        <w:t xml:space="preserve"> </w:t>
      </w:r>
      <w:r w:rsidRPr="00050DAE">
        <w:t>In many ways, Zeus</w:t>
      </w:r>
      <w:r w:rsidR="008301DC" w:rsidRPr="00050DAE">
        <w:t>’</w:t>
      </w:r>
      <w:r w:rsidR="007057F1" w:rsidRPr="00050DAE">
        <w:t>s</w:t>
      </w:r>
      <w:r w:rsidRPr="00050DAE">
        <w:t xml:space="preserve"> dispatch of an emissary echoes Enki</w:t>
      </w:r>
      <w:r w:rsidR="008301DC" w:rsidRPr="00050DAE">
        <w:t>’</w:t>
      </w:r>
      <w:r w:rsidRPr="00050DAE">
        <w:t xml:space="preserve">s creation of the </w:t>
      </w:r>
      <w:r w:rsidRPr="00050DAE">
        <w:rPr>
          <w:i/>
          <w:iCs/>
        </w:rPr>
        <w:t>kur-jara</w:t>
      </w:r>
      <w:r w:rsidRPr="00050DAE">
        <w:t xml:space="preserve"> and the </w:t>
      </w:r>
      <w:r w:rsidRPr="00050DAE">
        <w:rPr>
          <w:i/>
          <w:iCs/>
        </w:rPr>
        <w:t>gala-tura</w:t>
      </w:r>
      <w:r w:rsidRPr="00050DAE">
        <w:t xml:space="preserve">, who enter the Netherworld to placate </w:t>
      </w:r>
      <w:r w:rsidR="007057F1" w:rsidRPr="00050DAE">
        <w:t>Ereškigal</w:t>
      </w:r>
      <w:r w:rsidRPr="00050DAE">
        <w:t xml:space="preserve"> and restore Inanna</w:t>
      </w:r>
      <w:r w:rsidR="00DE0972" w:rsidRPr="00050DAE">
        <w:t>.</w:t>
      </w:r>
      <w:r w:rsidR="00DE0972" w:rsidRPr="00050DAE">
        <w:rPr>
          <w:rStyle w:val="FootnoteReference"/>
        </w:rPr>
        <w:footnoteReference w:id="333"/>
      </w:r>
    </w:p>
    <w:p w14:paraId="1AFA81BD" w14:textId="70017756" w:rsidR="006540DB" w:rsidRPr="00050DAE" w:rsidRDefault="006540DB" w:rsidP="00EE6050">
      <w:pPr>
        <w:pStyle w:val="UWTSDindent"/>
      </w:pPr>
      <w:r w:rsidRPr="00050DAE">
        <w:t>The agreement establishes Persephone</w:t>
      </w:r>
      <w:r w:rsidR="008301DC" w:rsidRPr="00050DAE">
        <w:t>’</w:t>
      </w:r>
      <w:r w:rsidRPr="00050DAE">
        <w:t>s yearly movement between the underworld and the world above. Her return requires no substitute, and no god or mortal descends in exchange for her release. The cycle of absence and return is sustained through seasonal alternation alone.</w:t>
      </w:r>
    </w:p>
    <w:p w14:paraId="509C807E" w14:textId="750B702C" w:rsidR="00092B11" w:rsidRPr="00050DAE" w:rsidRDefault="008B79CC" w:rsidP="00EE6050">
      <w:pPr>
        <w:pStyle w:val="UWTSDindent"/>
      </w:pPr>
      <w:r w:rsidRPr="00050DAE">
        <w:t xml:space="preserve">In the Inanna-Dumuzi cycle, descent unfolds according to formal </w:t>
      </w:r>
      <w:r w:rsidR="00C020C4" w:rsidRPr="00050DAE">
        <w:t>judgement</w:t>
      </w:r>
      <w:r w:rsidRPr="00050DAE">
        <w:t xml:space="preserve"> and clearly defined consequences. </w:t>
      </w:r>
      <w:r w:rsidR="007D775C" w:rsidRPr="00050DAE">
        <w:t>From Inanna</w:t>
      </w:r>
      <w:r w:rsidR="008301DC" w:rsidRPr="00050DAE">
        <w:t>’</w:t>
      </w:r>
      <w:r w:rsidR="007D775C" w:rsidRPr="00050DAE">
        <w:t>s perspective, Dumuzi</w:t>
      </w:r>
      <w:r w:rsidR="008301DC" w:rsidRPr="00050DAE">
        <w:t>’</w:t>
      </w:r>
      <w:r w:rsidR="007D775C" w:rsidRPr="00050DAE">
        <w:t xml:space="preserve">s failure to mourn renders him liable; she declares him </w:t>
      </w:r>
      <w:r w:rsidR="008301DC" w:rsidRPr="00050DAE">
        <w:t>“</w:t>
      </w:r>
      <w:r w:rsidR="007D775C" w:rsidRPr="00050DAE">
        <w:t>guilty</w:t>
      </w:r>
      <w:r w:rsidR="008301DC" w:rsidRPr="00050DAE">
        <w:t>”</w:t>
      </w:r>
      <w:r w:rsidR="007D775C" w:rsidRPr="00050DAE">
        <w:t xml:space="preserve"> and hands him to the deputies of the Netherworld</w:t>
      </w:r>
      <w:r w:rsidR="00092B11" w:rsidRPr="00050DAE">
        <w:t>.</w:t>
      </w:r>
      <w:r w:rsidR="00092B11" w:rsidRPr="00050DAE">
        <w:rPr>
          <w:rStyle w:val="FootnoteReference"/>
        </w:rPr>
        <w:footnoteReference w:id="334"/>
      </w:r>
      <w:r w:rsidR="00092B11" w:rsidRPr="00050DAE">
        <w:t xml:space="preserve"> </w:t>
      </w:r>
      <w:r w:rsidR="007D775C" w:rsidRPr="00050DAE">
        <w:t>For Dumuzi, there is neither appeal nor apparent hope.</w:t>
      </w:r>
      <w:r w:rsidR="0076122B" w:rsidRPr="00050DAE">
        <w:t xml:space="preserve"> </w:t>
      </w:r>
      <w:r w:rsidR="00C77D91" w:rsidRPr="00050DAE">
        <w:t>Only Geshtinanna</w:t>
      </w:r>
      <w:r w:rsidR="008301DC" w:rsidRPr="00050DAE">
        <w:t>’</w:t>
      </w:r>
      <w:r w:rsidR="00C77D91" w:rsidRPr="00050DAE">
        <w:t xml:space="preserve">s sacrifice moderates his sentence. </w:t>
      </w:r>
      <w:r w:rsidR="007D775C" w:rsidRPr="00050DAE">
        <w:t xml:space="preserve">This contrasts with the Greek </w:t>
      </w:r>
      <w:r w:rsidR="000D5D10" w:rsidRPr="00050DAE">
        <w:t>narrative model</w:t>
      </w:r>
      <w:r w:rsidR="007D775C" w:rsidRPr="00050DAE">
        <w:t>, where Persephone</w:t>
      </w:r>
      <w:r w:rsidR="008301DC" w:rsidRPr="00050DAE">
        <w:t>’</w:t>
      </w:r>
      <w:r w:rsidR="007D775C" w:rsidRPr="00050DAE">
        <w:t xml:space="preserve">s descent is linked to her victimisation by Zeus and </w:t>
      </w:r>
      <w:r w:rsidR="00B27516" w:rsidRPr="00050DAE">
        <w:t>Hādēs</w:t>
      </w:r>
      <w:r w:rsidR="007D775C" w:rsidRPr="00050DAE">
        <w:t>.</w:t>
      </w:r>
      <w:r w:rsidR="00092B11" w:rsidRPr="00050DAE">
        <w:rPr>
          <w:rStyle w:val="FootnoteReference"/>
        </w:rPr>
        <w:footnoteReference w:id="335"/>
      </w:r>
      <w:r w:rsidR="00092B11" w:rsidRPr="00050DAE">
        <w:t xml:space="preserve"> </w:t>
      </w:r>
      <w:r w:rsidR="00C77D91" w:rsidRPr="00050DAE">
        <w:t>Her cyclical return is secured through compromise shaped by famine</w:t>
      </w:r>
      <w:r w:rsidR="00093263" w:rsidRPr="00050DAE">
        <w:t>, with no substitute required to secure her release.</w:t>
      </w:r>
      <w:r w:rsidR="001A6E3E" w:rsidRPr="00050DAE">
        <w:t xml:space="preserve"> </w:t>
      </w:r>
      <w:r w:rsidR="007D775C" w:rsidRPr="00050DAE">
        <w:t xml:space="preserve">Drillings argues that </w:t>
      </w:r>
      <w:r w:rsidR="008301DC" w:rsidRPr="00050DAE">
        <w:t>“</w:t>
      </w:r>
      <w:r w:rsidR="007D775C" w:rsidRPr="00050DAE">
        <w:t>cyclical regeneration, symbolic or not, is a commonality that Dumuzi gave to both the myths of Adonis and Persephone.</w:t>
      </w:r>
      <w:r w:rsidR="008301DC" w:rsidRPr="00050DAE">
        <w:t>”</w:t>
      </w:r>
      <w:r w:rsidR="001A6E3E" w:rsidRPr="00050DAE">
        <w:rPr>
          <w:rStyle w:val="FootnoteReference"/>
        </w:rPr>
        <w:footnoteReference w:id="336"/>
      </w:r>
    </w:p>
    <w:p w14:paraId="2FB7A231" w14:textId="4C8DDF32" w:rsidR="007D0CD3" w:rsidRPr="00050DAE" w:rsidRDefault="00C77D91" w:rsidP="007D0CD3">
      <w:pPr>
        <w:pStyle w:val="UWTSDindent"/>
      </w:pPr>
      <w:r w:rsidRPr="00050DAE">
        <w:t xml:space="preserve">Despite these differences, </w:t>
      </w:r>
      <w:bookmarkStart w:id="191" w:name="mutilation"/>
      <w:r w:rsidRPr="00050DAE">
        <w:t xml:space="preserve">ritual self-mutilation </w:t>
      </w:r>
      <w:bookmarkEnd w:id="191"/>
      <w:r w:rsidRPr="00050DAE">
        <w:t xml:space="preserve">persists across many of these mourning </w:t>
      </w:r>
      <w:r w:rsidR="00AA67D1" w:rsidRPr="00050DAE">
        <w:t>practices</w:t>
      </w:r>
      <w:r w:rsidRPr="00050DAE">
        <w:t xml:space="preserve">. </w:t>
      </w:r>
      <w:r w:rsidR="007D775C" w:rsidRPr="00050DAE">
        <w:t>Wyatt</w:t>
      </w:r>
      <w:r w:rsidR="008301DC" w:rsidRPr="00050DAE">
        <w:t>’</w:t>
      </w:r>
      <w:r w:rsidR="007D775C" w:rsidRPr="00050DAE">
        <w:t xml:space="preserve">s translation of </w:t>
      </w:r>
      <w:r w:rsidR="00F43255" w:rsidRPr="00050DAE">
        <w:t>t</w:t>
      </w:r>
      <w:r w:rsidR="007D775C" w:rsidRPr="00050DAE">
        <w:t>he</w:t>
      </w:r>
      <w:r w:rsidR="007D775C" w:rsidRPr="00050DAE">
        <w:rPr>
          <w:i/>
          <w:iCs/>
        </w:rPr>
        <w:t xml:space="preserve"> Baal Cycle</w:t>
      </w:r>
      <w:r w:rsidR="007D775C" w:rsidRPr="00050DAE">
        <w:t xml:space="preserve"> states that, after finding Baal</w:t>
      </w:r>
      <w:r w:rsidR="008301DC" w:rsidRPr="00050DAE">
        <w:t>’</w:t>
      </w:r>
      <w:r w:rsidR="007D775C" w:rsidRPr="00050DAE">
        <w:t xml:space="preserve">s body, Anat mourns: </w:t>
      </w:r>
      <w:r w:rsidR="008301DC" w:rsidRPr="00050DAE">
        <w:t>“</w:t>
      </w:r>
      <w:r w:rsidR="007D775C" w:rsidRPr="00050DAE">
        <w:t xml:space="preserve">Her skin with a stone she scored, her side-locks [with a razor], she gashed cheeks and chin, she [ploughed] her collar-bones, she turned over like a garden her chest, like a valley she ploughed her breast. </w:t>
      </w:r>
      <w:r w:rsidR="008301DC" w:rsidRPr="00050DAE">
        <w:t>‘</w:t>
      </w:r>
      <w:r w:rsidR="007D775C" w:rsidRPr="00050DAE">
        <w:t>Baal is dead!</w:t>
      </w:r>
      <w:r w:rsidR="008301DC" w:rsidRPr="00050DAE">
        <w:t>’”</w:t>
      </w:r>
      <w:r w:rsidR="007D775C" w:rsidRPr="00050DAE">
        <w:t xml:space="preserve"> Walls explains that Anat</w:t>
      </w:r>
      <w:r w:rsidR="008301DC" w:rsidRPr="00050DAE">
        <w:t>’</w:t>
      </w:r>
      <w:r w:rsidR="007D775C" w:rsidRPr="00050DAE">
        <w:t>s behaviour in mourning Baal parallels the mourning goddess motif seen in Inanna</w:t>
      </w:r>
      <w:r w:rsidR="008301DC" w:rsidRPr="00050DAE">
        <w:t>’</w:t>
      </w:r>
      <w:r w:rsidR="007D775C" w:rsidRPr="00050DAE">
        <w:t xml:space="preserve">s lamentations and in </w:t>
      </w:r>
      <w:r w:rsidR="007D775C" w:rsidRPr="00050DAE">
        <w:rPr>
          <w:i/>
          <w:iCs/>
        </w:rPr>
        <w:t>Aqhat</w:t>
      </w:r>
      <w:r w:rsidR="007D775C" w:rsidRPr="00050DAE">
        <w:t>, where Pughat seeks to avenge her brother.</w:t>
      </w:r>
      <w:r w:rsidR="00E679CD" w:rsidRPr="00050DAE">
        <w:rPr>
          <w:rStyle w:val="FootnoteReference"/>
        </w:rPr>
        <w:footnoteReference w:id="337"/>
      </w:r>
      <w:r w:rsidR="00E679CD" w:rsidRPr="00050DAE">
        <w:t xml:space="preserve"> </w:t>
      </w:r>
    </w:p>
    <w:p w14:paraId="53CF3AB2" w14:textId="5D9EE3FB" w:rsidR="007D0CD3" w:rsidRPr="00050DAE" w:rsidRDefault="00F7743C" w:rsidP="007D0CD3">
      <w:pPr>
        <w:pStyle w:val="UWTSDindent"/>
      </w:pPr>
      <w:r w:rsidRPr="00050DAE">
        <w:rPr>
          <w:i/>
        </w:rPr>
        <w:t>Ina</w:t>
      </w:r>
      <w:r w:rsidR="00E844B5" w:rsidRPr="00050DAE">
        <w:rPr>
          <w:i/>
        </w:rPr>
        <w:t>n</w:t>
      </w:r>
      <w:r w:rsidRPr="00050DAE">
        <w:rPr>
          <w:i/>
        </w:rPr>
        <w:t>na</w:t>
      </w:r>
      <w:r w:rsidR="008301DC" w:rsidRPr="00050DAE">
        <w:rPr>
          <w:i/>
        </w:rPr>
        <w:t>’</w:t>
      </w:r>
      <w:r w:rsidRPr="00050DAE">
        <w:rPr>
          <w:i/>
        </w:rPr>
        <w:t>s Descent</w:t>
      </w:r>
      <w:r w:rsidR="00683368" w:rsidRPr="00050DAE">
        <w:t xml:space="preserve"> makes such mourning explicit with</w:t>
      </w:r>
      <w:r w:rsidR="007D775C" w:rsidRPr="00050DAE">
        <w:t xml:space="preserve">, </w:t>
      </w:r>
      <w:r w:rsidR="008301DC" w:rsidRPr="00050DAE">
        <w:t>“</w:t>
      </w:r>
      <w:r w:rsidR="00E679CD" w:rsidRPr="00050DAE">
        <w:t>On this day I will descend to the underworld.</w:t>
      </w:r>
      <w:r w:rsidR="009320E2" w:rsidRPr="00050DAE">
        <w:t xml:space="preserve"> </w:t>
      </w:r>
      <w:r w:rsidR="00E679CD" w:rsidRPr="00050DAE">
        <w:t>When I have arrived in the underworld,</w:t>
      </w:r>
      <w:r w:rsidR="00254A8E" w:rsidRPr="00050DAE">
        <w:t xml:space="preserve"> </w:t>
      </w:r>
      <w:r w:rsidR="00E679CD" w:rsidRPr="00050DAE">
        <w:t>make a lament for me on the ruin mounds. Beat the drum for me in the sanctuary.</w:t>
      </w:r>
      <w:r w:rsidR="00254A8E" w:rsidRPr="00050DAE">
        <w:t xml:space="preserve"> </w:t>
      </w:r>
      <w:r w:rsidR="00E679CD" w:rsidRPr="00050DAE">
        <w:t>Make the rounds of the houses of the gods for me.</w:t>
      </w:r>
      <w:r w:rsidR="009320E2" w:rsidRPr="00050DAE">
        <w:t xml:space="preserve"> </w:t>
      </w:r>
      <w:r w:rsidR="00E679CD" w:rsidRPr="00050DAE">
        <w:t>Lacerate your eyes for me,</w:t>
      </w:r>
      <w:r w:rsidR="00254A8E" w:rsidRPr="00050DAE">
        <w:t xml:space="preserve"> </w:t>
      </w:r>
      <w:r w:rsidR="00E679CD" w:rsidRPr="00050DAE">
        <w:t>Lacerate your nose for me,</w:t>
      </w:r>
      <w:r w:rsidR="00254A8E" w:rsidRPr="00050DAE">
        <w:t xml:space="preserve"> </w:t>
      </w:r>
      <w:r w:rsidR="00E679CD" w:rsidRPr="00050DAE">
        <w:t>Lacerate your ears for me, in public. In private, lacerate your buttocks for me…</w:t>
      </w:r>
      <w:r w:rsidR="008301DC" w:rsidRPr="00050DAE">
        <w:t>”</w:t>
      </w:r>
      <w:r w:rsidR="00E679CD" w:rsidRPr="00050DAE">
        <w:rPr>
          <w:rStyle w:val="FootnoteReference"/>
        </w:rPr>
        <w:footnoteReference w:id="338"/>
      </w:r>
      <w:r w:rsidR="00E679CD" w:rsidRPr="00050DAE">
        <w:t xml:space="preserve"> </w:t>
      </w:r>
    </w:p>
    <w:p w14:paraId="7AD9DC5F" w14:textId="156CC678" w:rsidR="001301D1" w:rsidRPr="00050DAE" w:rsidRDefault="005C7AA1" w:rsidP="007D0CD3">
      <w:pPr>
        <w:pStyle w:val="UWTSDindent"/>
      </w:pPr>
      <w:r w:rsidRPr="00050DAE">
        <w:t>Over 800 years later, in Euripides</w:t>
      </w:r>
      <w:r w:rsidR="008301DC" w:rsidRPr="00050DAE">
        <w:t>’</w:t>
      </w:r>
      <w:r w:rsidRPr="00050DAE">
        <w:t xml:space="preserve"> </w:t>
      </w:r>
      <w:r w:rsidRPr="00050DAE">
        <w:rPr>
          <w:i/>
          <w:iCs/>
        </w:rPr>
        <w:t>Helen</w:t>
      </w:r>
      <w:r w:rsidRPr="00050DAE">
        <w:t xml:space="preserve">, Helen promises that mourning over the false death of Menelaus will compel her to </w:t>
      </w:r>
      <w:r w:rsidR="008301DC" w:rsidRPr="00050DAE">
        <w:t>“</w:t>
      </w:r>
      <w:r w:rsidRPr="00050DAE">
        <w:t>cut my hair, change my white robe for a black one, and bloody my cheeks with my nails.</w:t>
      </w:r>
      <w:r w:rsidR="008301DC" w:rsidRPr="00050DAE">
        <w:t>”</w:t>
      </w:r>
      <w:r w:rsidR="00353025" w:rsidRPr="00050DAE">
        <w:rPr>
          <w:rStyle w:val="FootnoteReference"/>
        </w:rPr>
        <w:footnoteReference w:id="339"/>
      </w:r>
      <w:r w:rsidR="00E679CD" w:rsidRPr="00050DAE">
        <w:t xml:space="preserve"> </w:t>
      </w:r>
      <w:r w:rsidRPr="00050DAE">
        <w:t xml:space="preserve">The </w:t>
      </w:r>
      <w:r w:rsidRPr="00050DAE">
        <w:rPr>
          <w:rStyle w:val="Emphasis"/>
        </w:rPr>
        <w:t>Iliad</w:t>
      </w:r>
      <w:r w:rsidRPr="00050DAE">
        <w:t xml:space="preserve"> XVIII, Euripides</w:t>
      </w:r>
      <w:r w:rsidR="008301DC" w:rsidRPr="00050DAE">
        <w:t>’</w:t>
      </w:r>
      <w:r w:rsidRPr="00050DAE">
        <w:t xml:space="preserve"> </w:t>
      </w:r>
      <w:r w:rsidRPr="00050DAE">
        <w:rPr>
          <w:rStyle w:val="Emphasis"/>
        </w:rPr>
        <w:t>Suppliant Women</w:t>
      </w:r>
      <w:r w:rsidRPr="00050DAE">
        <w:t>, and Aeschylus</w:t>
      </w:r>
      <w:r w:rsidR="008301DC" w:rsidRPr="00050DAE">
        <w:t>’</w:t>
      </w:r>
      <w:r w:rsidRPr="00050DAE">
        <w:t xml:space="preserve"> </w:t>
      </w:r>
      <w:r w:rsidRPr="00050DAE">
        <w:rPr>
          <w:rStyle w:val="Emphasis"/>
        </w:rPr>
        <w:t>Libation-Bearers</w:t>
      </w:r>
      <w:r w:rsidRPr="00050DAE">
        <w:t>, among others, present similar evidence.</w:t>
      </w:r>
      <w:r w:rsidR="00353025" w:rsidRPr="00050DAE">
        <w:rPr>
          <w:rStyle w:val="FootnoteReference"/>
        </w:rPr>
        <w:footnoteReference w:id="340"/>
      </w:r>
      <w:r w:rsidR="00E679CD" w:rsidRPr="00050DAE">
        <w:t xml:space="preserve"> </w:t>
      </w:r>
      <w:r w:rsidRPr="00050DAE">
        <w:t>In Claudian</w:t>
      </w:r>
      <w:r w:rsidR="008301DC" w:rsidRPr="00050DAE">
        <w:t>’</w:t>
      </w:r>
      <w:r w:rsidRPr="00050DAE">
        <w:t xml:space="preserve">s </w:t>
      </w:r>
      <w:r w:rsidR="00467014" w:rsidRPr="00050DAE">
        <w:rPr>
          <w:i/>
          <w:iCs/>
        </w:rPr>
        <w:t>De Raptu Proserpinae</w:t>
      </w:r>
      <w:r w:rsidRPr="00050DAE">
        <w:t xml:space="preserve">, Ceres laments, </w:t>
      </w:r>
      <w:r w:rsidR="008301DC" w:rsidRPr="00050DAE">
        <w:t>“</w:t>
      </w:r>
      <w:r w:rsidRPr="00050DAE">
        <w:t>accipe quas merui poenas. en ora fatiscunt vulneribus grandesque rubent in pectore sulci… My face is seared with wounds and long gashes furrow my bloody breast. My womb, forgetful that it gave thee birth, is beaten with continual blows.</w:t>
      </w:r>
      <w:r w:rsidR="008301DC" w:rsidRPr="00050DAE">
        <w:t>”</w:t>
      </w:r>
      <w:r w:rsidR="00353025" w:rsidRPr="00050DAE">
        <w:rPr>
          <w:rStyle w:val="FootnoteReference"/>
        </w:rPr>
        <w:footnoteReference w:id="341"/>
      </w:r>
      <w:r w:rsidR="00E679CD" w:rsidRPr="00050DAE">
        <w:t xml:space="preserve"> </w:t>
      </w:r>
      <w:r w:rsidR="001301D1" w:rsidRPr="00050DAE">
        <w:t>In a less violent form, some Greek and Roman works such as Homer</w:t>
      </w:r>
      <w:r w:rsidR="008301DC" w:rsidRPr="00050DAE">
        <w:t>’</w:t>
      </w:r>
      <w:r w:rsidR="001301D1" w:rsidRPr="00050DAE">
        <w:t xml:space="preserve">s </w:t>
      </w:r>
      <w:r w:rsidR="001301D1" w:rsidRPr="00050DAE">
        <w:rPr>
          <w:i/>
          <w:iCs/>
        </w:rPr>
        <w:t>Iliad</w:t>
      </w:r>
      <w:r w:rsidR="001301D1" w:rsidRPr="00050DAE">
        <w:t>, Euripides</w:t>
      </w:r>
      <w:r w:rsidR="008301DC" w:rsidRPr="00050DAE">
        <w:t>’</w:t>
      </w:r>
      <w:r w:rsidR="001301D1" w:rsidRPr="00050DAE">
        <w:t xml:space="preserve">s </w:t>
      </w:r>
      <w:r w:rsidR="001301D1" w:rsidRPr="00050DAE">
        <w:rPr>
          <w:i/>
          <w:iCs/>
        </w:rPr>
        <w:t>Alcestis</w:t>
      </w:r>
      <w:r w:rsidR="001301D1" w:rsidRPr="00050DAE">
        <w:t>, and Ovid</w:t>
      </w:r>
      <w:r w:rsidR="008301DC" w:rsidRPr="00050DAE">
        <w:t>’</w:t>
      </w:r>
      <w:r w:rsidR="001301D1" w:rsidRPr="00050DAE">
        <w:t xml:space="preserve">s treatment of Adonis in </w:t>
      </w:r>
      <w:r w:rsidR="001301D1" w:rsidRPr="00050DAE">
        <w:rPr>
          <w:i/>
          <w:iCs/>
        </w:rPr>
        <w:t>Metamorphoses</w:t>
      </w:r>
      <w:r w:rsidR="001301D1" w:rsidRPr="00050DAE">
        <w:t>, substitute the</w:t>
      </w:r>
      <w:r w:rsidR="007D0CD3" w:rsidRPr="00050DAE">
        <w:t xml:space="preserve"> ritual bloodshed of mourning with a </w:t>
      </w:r>
      <w:r w:rsidR="00C020C4" w:rsidRPr="00050DAE">
        <w:t>ritualised</w:t>
      </w:r>
      <w:r w:rsidR="007D0CD3" w:rsidRPr="00050DAE">
        <w:t xml:space="preserve"> cutting of the hair.</w:t>
      </w:r>
      <w:r w:rsidR="007D0CD3" w:rsidRPr="00050DAE">
        <w:rPr>
          <w:rStyle w:val="FootnoteReference"/>
        </w:rPr>
        <w:footnoteReference w:id="342"/>
      </w:r>
    </w:p>
    <w:p w14:paraId="2412F0EE" w14:textId="0B6208F9" w:rsidR="00D5107C" w:rsidRPr="00050DAE" w:rsidRDefault="005C7AA1" w:rsidP="005C7AA1">
      <w:pPr>
        <w:pStyle w:val="UWTSDindent"/>
        <w:rPr>
          <w:rFonts w:eastAsiaTheme="majorEastAsia"/>
          <w:sz w:val="40"/>
          <w:szCs w:val="40"/>
        </w:rPr>
      </w:pPr>
      <w:r w:rsidRPr="00050DAE">
        <w:t>According to 1 Kings 18:28, the prophets of Baal Haddad incorporate ritual cutting into their ceremonies.</w:t>
      </w:r>
      <w:r w:rsidR="00E679CD" w:rsidRPr="00050DAE">
        <w:t xml:space="preserve"> </w:t>
      </w:r>
      <w:r w:rsidRPr="00050DAE">
        <w:t xml:space="preserve">Mourning mutilation practices appear sufficiently prevalent in the Levant that Jewish texts such as Deuteronomy 14:1, Leviticus 19:28, and Jeremiah 16:6 prohibit them. </w:t>
      </w:r>
      <w:r w:rsidR="001E049E" w:rsidRPr="00050DAE">
        <w:t>Yet these mourning practices consistently associate ritual bloodshed with encounters at the boundary between the living and the dead rather than with the abolition of that boundary.</w:t>
      </w:r>
      <w:r w:rsidR="00D5107C" w:rsidRPr="00050DAE">
        <w:br w:type="page"/>
      </w:r>
    </w:p>
    <w:p w14:paraId="3BFC1729" w14:textId="761BD04C" w:rsidR="00507236" w:rsidRPr="00050DAE" w:rsidRDefault="00507236" w:rsidP="00507236">
      <w:pPr>
        <w:pStyle w:val="Heading1"/>
        <w:rPr>
          <w:rFonts w:asciiTheme="majorBidi" w:hAnsiTheme="majorBidi"/>
          <w:color w:val="auto"/>
        </w:rPr>
      </w:pPr>
      <w:bookmarkStart w:id="192" w:name="_Toc234140265"/>
      <w:bookmarkStart w:id="193" w:name="_Toc234140516"/>
      <w:bookmarkStart w:id="194" w:name="_Toc234143696"/>
      <w:bookmarkStart w:id="195" w:name="_Toc234154325"/>
      <w:bookmarkStart w:id="196" w:name="_Toc234154371"/>
      <w:r w:rsidRPr="00050DAE">
        <w:rPr>
          <w:rFonts w:asciiTheme="majorBidi" w:hAnsiTheme="majorBidi"/>
          <w:color w:val="auto"/>
        </w:rPr>
        <w:t>Conclusion</w:t>
      </w:r>
      <w:bookmarkEnd w:id="192"/>
      <w:bookmarkEnd w:id="193"/>
      <w:bookmarkEnd w:id="194"/>
      <w:bookmarkEnd w:id="195"/>
      <w:bookmarkEnd w:id="196"/>
    </w:p>
    <w:p w14:paraId="5341040D" w14:textId="1FFC210A" w:rsidR="009B1D38" w:rsidRPr="00050DAE" w:rsidRDefault="00B36D32" w:rsidP="000D5D10">
      <w:pPr>
        <w:pStyle w:val="UWTSDindent"/>
      </w:pPr>
      <w:r w:rsidRPr="00050DAE">
        <w:t>Although this study has centred on figures such as Inanna, Ištar, Anat, Demeter, and Persephone, the narratives examined here engage the passage between life and death in markedly different but very human ways</w:t>
      </w:r>
      <w:r w:rsidR="00683368" w:rsidRPr="00050DAE">
        <w:t xml:space="preserve">. </w:t>
      </w:r>
      <w:r w:rsidR="00A527C8" w:rsidRPr="00050DAE">
        <w:t>Despite these similarities,</w:t>
      </w:r>
      <w:r w:rsidR="009B1D38" w:rsidRPr="00050DAE">
        <w:t xml:space="preserve"> the shared motifs do not produce </w:t>
      </w:r>
      <w:r w:rsidR="00BB4558" w:rsidRPr="00050DAE">
        <w:t>parallel</w:t>
      </w:r>
      <w:r w:rsidR="009B1D38" w:rsidRPr="00050DAE">
        <w:t xml:space="preserve"> </w:t>
      </w:r>
      <w:r w:rsidR="00BB4558" w:rsidRPr="00050DAE">
        <w:t>processes</w:t>
      </w:r>
      <w:r w:rsidR="009B1D38" w:rsidRPr="00050DAE">
        <w:t xml:space="preserve">. </w:t>
      </w:r>
      <w:r w:rsidR="00BB4558" w:rsidRPr="00050DAE">
        <w:t>The</w:t>
      </w:r>
      <w:r w:rsidR="0062753B" w:rsidRPr="00050DAE">
        <w:t xml:space="preserve"> descent imagery therefore masks profound differences in how these </w:t>
      </w:r>
      <w:r w:rsidR="00EE7013" w:rsidRPr="00050DAE">
        <w:t xml:space="preserve">conceptions of death and return </w:t>
      </w:r>
      <w:r w:rsidR="0062753B" w:rsidRPr="00050DAE">
        <w:t>define the conditions under which death, return, and renewal remain possible.</w:t>
      </w:r>
    </w:p>
    <w:p w14:paraId="675C451F" w14:textId="2F638568" w:rsidR="006540DB" w:rsidRPr="00050DAE" w:rsidRDefault="001502A9" w:rsidP="006540DB">
      <w:pPr>
        <w:pStyle w:val="UWTSDindent"/>
      </w:pPr>
      <w:r w:rsidRPr="00050DAE">
        <w:t xml:space="preserve">Among these </w:t>
      </w:r>
      <w:r w:rsidR="00EE7013" w:rsidRPr="00050DAE">
        <w:t>cosmologies</w:t>
      </w:r>
      <w:r w:rsidRPr="00050DAE">
        <w:t xml:space="preserve">, the Mesopotamian material presents the most fully developed vision of descent governed by fixed obligations. As Inanna passes into the Netherworld, her power is stripped away, </w:t>
      </w:r>
      <w:r w:rsidR="00C020C4" w:rsidRPr="00050DAE">
        <w:t>judgement</w:t>
      </w:r>
      <w:r w:rsidRPr="00050DAE">
        <w:t xml:space="preserve"> is imposed, and return becomes possible only through substitution. The demands of the Netherworld apply even to major deities and allow little escape from consequence, binding </w:t>
      </w:r>
      <w:r w:rsidR="00991402" w:rsidRPr="00050DAE">
        <w:t>survival,</w:t>
      </w:r>
      <w:r w:rsidRPr="00050DAE">
        <w:t xml:space="preserve"> and renewal to sacrifice and loss</w:t>
      </w:r>
      <w:r w:rsidR="007359C7" w:rsidRPr="00050DAE">
        <w:t>.</w:t>
      </w:r>
    </w:p>
    <w:p w14:paraId="1CAE4EB4" w14:textId="06AB18F8" w:rsidR="007D7D93" w:rsidRPr="00050DAE" w:rsidRDefault="007D7D93" w:rsidP="008839F7">
      <w:pPr>
        <w:pStyle w:val="UWTSDindent"/>
      </w:pPr>
      <w:r w:rsidRPr="00050DAE">
        <w:t xml:space="preserve">The Akkadian adaptation preserves the same underlying </w:t>
      </w:r>
      <w:r w:rsidR="009D2082" w:rsidRPr="00050DAE">
        <w:t>configuration</w:t>
      </w:r>
      <w:r w:rsidRPr="00050DAE">
        <w:t xml:space="preserve"> while expanding its rhetorical and cosmic dimensions. Ištar</w:t>
      </w:r>
      <w:r w:rsidR="008301DC" w:rsidRPr="00050DAE">
        <w:t>’</w:t>
      </w:r>
      <w:r w:rsidRPr="00050DAE">
        <w:t>s heightened threats and broader sphere of authority intensify the consequences of descent, but they do not alter the governing principle that return remains subject to the obligations of the Netherworld.</w:t>
      </w:r>
    </w:p>
    <w:p w14:paraId="5CDFBEBB" w14:textId="068A4716" w:rsidR="009B1D38" w:rsidRPr="00050DAE" w:rsidRDefault="001502A9" w:rsidP="008839F7">
      <w:pPr>
        <w:pStyle w:val="UWTSDindent"/>
      </w:pPr>
      <w:r w:rsidRPr="00050DAE">
        <w:t xml:space="preserve">The Ugaritic material shifts the mode of engagement without resolving the underlying tension. In the </w:t>
      </w:r>
      <w:r w:rsidRPr="00050DAE">
        <w:rPr>
          <w:i/>
          <w:iCs/>
        </w:rPr>
        <w:t>Baal Cycle</w:t>
      </w:r>
      <w:r w:rsidRPr="00050DAE">
        <w:t>, death is encountered through confrontation. Anat</w:t>
      </w:r>
      <w:r w:rsidR="008301DC" w:rsidRPr="00050DAE">
        <w:t>’</w:t>
      </w:r>
      <w:r w:rsidRPr="00050DAE">
        <w:t>s response to Baal</w:t>
      </w:r>
      <w:r w:rsidR="008301DC" w:rsidRPr="00050DAE">
        <w:t>’</w:t>
      </w:r>
      <w:r w:rsidRPr="00050DAE">
        <w:t xml:space="preserve">s descent and death is immediate and violent, culminating in the destruction of Mot. Yet death is only disrupted, not overturned, as Anat seeks restoration by subduing death itself rather than through substitutionary exchange. A limited Greek parallel appears in </w:t>
      </w:r>
      <w:r w:rsidR="00EE7013" w:rsidRPr="00050DAE">
        <w:t xml:space="preserve">myths </w:t>
      </w:r>
      <w:r w:rsidRPr="00050DAE">
        <w:t>where Heracles confronts Thanatos directly to recover Alcestis, though such episodes remain exceptional when compared with the pattern of mediation and negotiated return for Persephone.</w:t>
      </w:r>
    </w:p>
    <w:p w14:paraId="44366A3F" w14:textId="32EB7384" w:rsidR="001502A9" w:rsidRPr="00050DAE" w:rsidRDefault="001502A9" w:rsidP="00EE6050">
      <w:pPr>
        <w:pStyle w:val="UWTSDindent"/>
      </w:pPr>
      <w:r w:rsidRPr="00050DAE">
        <w:t>In the Greek material, Persephone</w:t>
      </w:r>
      <w:r w:rsidR="008301DC" w:rsidRPr="00050DAE">
        <w:t>’</w:t>
      </w:r>
      <w:r w:rsidRPr="00050DAE">
        <w:t>s movement into the underworld begins with abduction, while her return is secured through divine negotiation and relational obligation. Demeter</w:t>
      </w:r>
      <w:r w:rsidR="008301DC" w:rsidRPr="00050DAE">
        <w:t>’</w:t>
      </w:r>
      <w:r w:rsidRPr="00050DAE">
        <w:t>s withdrawal creates a crisis that compels intervention, and the resulting cycle unfolds through compromise rather than sacrificial exchange. Presence and absence are distributed across time, producing a rhythm of return without eliminating the boundary between life and death. This model neither enforces substitution nor overcomes death through force. It manages tension through balance.</w:t>
      </w:r>
    </w:p>
    <w:p w14:paraId="6851A01D" w14:textId="15DA2A5A" w:rsidR="009B1D38" w:rsidRPr="00050DAE" w:rsidRDefault="00547A36" w:rsidP="00EE6050">
      <w:pPr>
        <w:pStyle w:val="UWTSDindent"/>
      </w:pPr>
      <w:r w:rsidRPr="00050DAE">
        <w:t xml:space="preserve">In Mesopotamia, the dead do not return </w:t>
      </w:r>
      <w:r w:rsidR="00991402" w:rsidRPr="00050DAE">
        <w:t>freely since</w:t>
      </w:r>
      <w:r w:rsidRPr="00050DAE">
        <w:t xml:space="preserve"> restoration depends upon substitution and exchange. In Ugarit, death is confronted and temporarily disrupted. In Greece, death is neither enforced nor defeated but mediated through negotiation. Each </w:t>
      </w:r>
      <w:r w:rsidR="00EE7013" w:rsidRPr="00050DAE">
        <w:t xml:space="preserve">cosmology </w:t>
      </w:r>
      <w:r w:rsidRPr="00050DAE">
        <w:t>defines the limits of return and establishes a distinct relationship between loss and continuity</w:t>
      </w:r>
      <w:r w:rsidR="009B1D38" w:rsidRPr="00050DAE">
        <w:t>.</w:t>
      </w:r>
    </w:p>
    <w:p w14:paraId="3DEB142C" w14:textId="66D8C623" w:rsidR="000E5D41" w:rsidRPr="00050DAE" w:rsidRDefault="00BB4558" w:rsidP="00B37BBA">
      <w:pPr>
        <w:pStyle w:val="UWTSDindent"/>
      </w:pPr>
      <w:r w:rsidRPr="00050DAE">
        <w:t>D</w:t>
      </w:r>
      <w:r w:rsidR="00872DCB" w:rsidRPr="00050DAE">
        <w:t xml:space="preserve">escent marks the point at which divine authority </w:t>
      </w:r>
      <w:r w:rsidRPr="00050DAE">
        <w:t>confronts</w:t>
      </w:r>
      <w:r w:rsidR="00872DCB" w:rsidRPr="00050DAE">
        <w:t xml:space="preserve"> its limits.</w:t>
      </w:r>
      <w:r w:rsidR="000E5D41" w:rsidRPr="00050DAE">
        <w:t xml:space="preserve"> Inanna and Ištar remain </w:t>
      </w:r>
      <w:r w:rsidRPr="00050DAE">
        <w:t>subordinate</w:t>
      </w:r>
      <w:r w:rsidR="000E5D41" w:rsidRPr="00050DAE">
        <w:t xml:space="preserve"> to the demands of the Netherworld despite the scope of their authority. Anat confronts death directly yet cannot remove it from the natural order. Persephone</w:t>
      </w:r>
      <w:r w:rsidR="008301DC" w:rsidRPr="00050DAE">
        <w:t>’</w:t>
      </w:r>
      <w:r w:rsidR="000E5D41" w:rsidRPr="00050DAE">
        <w:t xml:space="preserve">s return depends on an arrangement that leaves the boundary between life and death intact. Each </w:t>
      </w:r>
      <w:r w:rsidR="00EE7013" w:rsidRPr="00050DAE">
        <w:t xml:space="preserve">cosmology </w:t>
      </w:r>
      <w:r w:rsidR="000E5D41" w:rsidRPr="00050DAE">
        <w:t>defines that boundary differently, but none eliminates it.</w:t>
      </w:r>
    </w:p>
    <w:p w14:paraId="0781E0CA" w14:textId="41DA5376" w:rsidR="003528CF" w:rsidRPr="00050DAE" w:rsidRDefault="005A2BD2" w:rsidP="00B37BBA">
      <w:pPr>
        <w:pStyle w:val="UWTSDindent"/>
      </w:pPr>
      <w:r w:rsidRPr="00050DAE">
        <w:t>N</w:t>
      </w:r>
      <w:r w:rsidR="00544091" w:rsidRPr="00050DAE">
        <w:t xml:space="preserve">o unified story emerges. </w:t>
      </w:r>
      <w:r w:rsidR="008665B0" w:rsidRPr="00050DAE">
        <w:t xml:space="preserve">These </w:t>
      </w:r>
      <w:r w:rsidR="00EE7013" w:rsidRPr="00050DAE">
        <w:t xml:space="preserve">solutions to mortality </w:t>
      </w:r>
      <w:r w:rsidR="008665B0" w:rsidRPr="00050DAE">
        <w:t xml:space="preserve">offer different explanations for how life continues despite the permanence of death. </w:t>
      </w:r>
      <w:r w:rsidR="003528CF" w:rsidRPr="00050DAE">
        <w:t xml:space="preserve">In doing so, they reveal that continuity is never given. </w:t>
      </w:r>
      <w:r w:rsidR="007359C7" w:rsidRPr="00050DAE">
        <w:t xml:space="preserve">It must be secured within the limits each </w:t>
      </w:r>
      <w:r w:rsidR="00EE7013" w:rsidRPr="00050DAE">
        <w:t xml:space="preserve">cosmology </w:t>
      </w:r>
      <w:r w:rsidR="007359C7" w:rsidRPr="00050DAE">
        <w:t>imposes.</w:t>
      </w:r>
      <w:r w:rsidR="003F542E" w:rsidRPr="00050DAE">
        <w:t xml:space="preserve"> </w:t>
      </w:r>
      <w:r w:rsidR="00A527C8" w:rsidRPr="00050DAE">
        <w:t>Taken together, the descent and return narratives work to explain why,</w:t>
      </w:r>
      <w:r w:rsidR="00383F43" w:rsidRPr="00050DAE">
        <w:t xml:space="preserve"> </w:t>
      </w:r>
      <w:r w:rsidR="003F542E" w:rsidRPr="00050DAE">
        <w:t xml:space="preserve">as Aeschylus writes in </w:t>
      </w:r>
      <w:r w:rsidR="003F542E" w:rsidRPr="00050DAE">
        <w:rPr>
          <w:i/>
          <w:iCs/>
        </w:rPr>
        <w:t>Eumenid</w:t>
      </w:r>
      <w:r w:rsidR="00383F43" w:rsidRPr="00050DAE">
        <w:rPr>
          <w:i/>
          <w:iCs/>
        </w:rPr>
        <w:t>es</w:t>
      </w:r>
      <w:r w:rsidR="00383F43" w:rsidRPr="00050DAE">
        <w:t xml:space="preserve">, </w:t>
      </w:r>
      <w:r w:rsidR="008301DC" w:rsidRPr="00050DAE">
        <w:t>“</w:t>
      </w:r>
      <w:r w:rsidR="00383F43" w:rsidRPr="00050DAE">
        <w:t>once a man has died, and the dust has sucked up his blood, there is no rising again.</w:t>
      </w:r>
      <w:r w:rsidR="008301DC" w:rsidRPr="00050DAE">
        <w:t>”</w:t>
      </w:r>
      <w:r w:rsidR="00383F43" w:rsidRPr="00050DAE">
        <w:rPr>
          <w:rStyle w:val="FootnoteReference"/>
        </w:rPr>
        <w:footnoteReference w:id="343"/>
      </w:r>
    </w:p>
    <w:p w14:paraId="6690CFFE" w14:textId="77777777" w:rsidR="00900462" w:rsidRPr="00050DAE" w:rsidRDefault="00900462" w:rsidP="00B37BBA">
      <w:pPr>
        <w:pStyle w:val="UWTSDindent"/>
      </w:pPr>
    </w:p>
    <w:p w14:paraId="0D7AF56B" w14:textId="77777777" w:rsidR="00900462" w:rsidRPr="00050DAE" w:rsidRDefault="00900462" w:rsidP="00900462">
      <w:pPr>
        <w:keepNext/>
        <w:jc w:val="center"/>
        <w:rPr>
          <w:rFonts w:asciiTheme="majorBidi" w:hAnsiTheme="majorBidi" w:cstheme="majorBidi"/>
        </w:rPr>
      </w:pPr>
      <w:r w:rsidRPr="00050DAE">
        <w:rPr>
          <w:rFonts w:asciiTheme="majorBidi" w:hAnsiTheme="majorBidi" w:cstheme="majorBidi"/>
          <w:noProof/>
        </w:rPr>
        <w:drawing>
          <wp:inline distT="0" distB="0" distL="0" distR="0" wp14:anchorId="5316D341" wp14:editId="58122DE1">
            <wp:extent cx="2911818" cy="6195582"/>
            <wp:effectExtent l="0" t="0" r="0" b="0"/>
            <wp:docPr id="242043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43840" name="Picture 242043840"/>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17764" cy="6208233"/>
                    </a:xfrm>
                    <a:prstGeom prst="rect">
                      <a:avLst/>
                    </a:prstGeom>
                  </pic:spPr>
                </pic:pic>
              </a:graphicData>
            </a:graphic>
          </wp:inline>
        </w:drawing>
      </w:r>
    </w:p>
    <w:p w14:paraId="6DAC2960" w14:textId="3070825D" w:rsidR="00D70654" w:rsidRPr="00050DAE" w:rsidRDefault="00900462" w:rsidP="00900462">
      <w:pPr>
        <w:pStyle w:val="Caption"/>
        <w:rPr>
          <w:rFonts w:asciiTheme="majorBidi" w:hAnsiTheme="majorBidi" w:cstheme="majorBidi"/>
        </w:rPr>
      </w:pPr>
      <w:r w:rsidRPr="00050DAE">
        <w:rPr>
          <w:rFonts w:asciiTheme="majorBidi" w:hAnsiTheme="majorBidi" w:cstheme="majorBidi"/>
        </w:rPr>
        <w:t xml:space="preserve">Figure </w:t>
      </w:r>
      <w:r w:rsidRPr="00050DAE">
        <w:rPr>
          <w:rFonts w:asciiTheme="majorBidi" w:hAnsiTheme="majorBidi" w:cstheme="majorBidi"/>
        </w:rPr>
        <w:fldChar w:fldCharType="begin"/>
      </w:r>
      <w:r w:rsidRPr="00050DAE">
        <w:rPr>
          <w:rFonts w:asciiTheme="majorBidi" w:hAnsiTheme="majorBidi" w:cstheme="majorBidi"/>
        </w:rPr>
        <w:instrText xml:space="preserve"> SEQ Figure \* ARABIC </w:instrText>
      </w:r>
      <w:r w:rsidRPr="00050DAE">
        <w:rPr>
          <w:rFonts w:asciiTheme="majorBidi" w:hAnsiTheme="majorBidi" w:cstheme="majorBidi"/>
        </w:rPr>
        <w:fldChar w:fldCharType="separate"/>
      </w:r>
      <w:r w:rsidR="009D2921">
        <w:rPr>
          <w:rFonts w:asciiTheme="majorBidi" w:hAnsiTheme="majorBidi" w:cstheme="majorBidi"/>
          <w:noProof/>
        </w:rPr>
        <w:t>14</w:t>
      </w:r>
      <w:r w:rsidRPr="00050DAE">
        <w:rPr>
          <w:rFonts w:asciiTheme="majorBidi" w:hAnsiTheme="majorBidi" w:cstheme="majorBidi"/>
        </w:rPr>
        <w:fldChar w:fldCharType="end"/>
      </w:r>
      <w:r w:rsidRPr="00050DAE">
        <w:rPr>
          <w:rFonts w:asciiTheme="majorBidi" w:hAnsiTheme="majorBidi" w:cstheme="majorBidi"/>
        </w:rPr>
        <w:t xml:space="preserve"> CBS 13932. Old Babylonian manuscript of Inanna's Descent to the Netherworld (Nippur, ca. 1900–1600 BCE). Penn Museum, CDLI P268937.</w:t>
      </w:r>
    </w:p>
    <w:p w14:paraId="29B95AA3" w14:textId="77777777" w:rsidR="00D70654" w:rsidRPr="00050DAE" w:rsidRDefault="00D70654">
      <w:pPr>
        <w:rPr>
          <w:rFonts w:asciiTheme="majorBidi" w:hAnsiTheme="majorBidi" w:cstheme="majorBidi"/>
          <w:i/>
          <w:iCs/>
          <w:color w:val="0E2841" w:themeColor="text2"/>
          <w:sz w:val="18"/>
          <w:szCs w:val="18"/>
        </w:rPr>
      </w:pPr>
      <w:r w:rsidRPr="00050DAE">
        <w:rPr>
          <w:rFonts w:asciiTheme="majorBidi" w:hAnsiTheme="majorBidi" w:cstheme="majorBidi"/>
        </w:rPr>
        <w:br w:type="page"/>
      </w:r>
    </w:p>
    <w:p w14:paraId="0B942836" w14:textId="77777777" w:rsidR="00014F8D" w:rsidRPr="00050DAE" w:rsidRDefault="00014F8D" w:rsidP="00014F8D">
      <w:pPr>
        <w:pStyle w:val="Heading1"/>
        <w:rPr>
          <w:rFonts w:asciiTheme="majorBidi" w:hAnsiTheme="majorBidi"/>
        </w:rPr>
      </w:pPr>
      <w:bookmarkStart w:id="197" w:name="_Toc234143697"/>
      <w:bookmarkStart w:id="198" w:name="_Toc234154326"/>
      <w:bookmarkStart w:id="199" w:name="_Toc234154372"/>
      <w:r w:rsidRPr="00050DAE">
        <w:rPr>
          <w:rFonts w:asciiTheme="majorBidi" w:hAnsiTheme="majorBidi"/>
        </w:rPr>
        <w:t>Appendix</w:t>
      </w:r>
      <w:bookmarkEnd w:id="197"/>
      <w:bookmarkEnd w:id="198"/>
      <w:bookmarkEnd w:id="199"/>
    </w:p>
    <w:sdt>
      <w:sdtPr>
        <w:rPr>
          <w:rFonts w:asciiTheme="majorBidi" w:eastAsiaTheme="minorHAnsi" w:hAnsiTheme="majorBidi" w:cstheme="minorBidi"/>
          <w:color w:val="auto"/>
          <w:kern w:val="2"/>
          <w:sz w:val="22"/>
          <w:szCs w:val="22"/>
          <w:lang w:eastAsia="en-US"/>
          <w14:ligatures w14:val="standardContextual"/>
        </w:rPr>
        <w:id w:val="-1617211488"/>
        <w:docPartObj>
          <w:docPartGallery w:val="Table of Contents"/>
          <w:docPartUnique/>
        </w:docPartObj>
      </w:sdtPr>
      <w:sdtEndPr>
        <w:rPr>
          <w:b/>
          <w:bCs/>
        </w:rPr>
      </w:sdtEndPr>
      <w:sdtContent>
        <w:p w14:paraId="4DD747A1" w14:textId="36F42A9D" w:rsidR="00014F8D" w:rsidRPr="00050DAE" w:rsidRDefault="00014F8D">
          <w:pPr>
            <w:pStyle w:val="TOCHeading"/>
            <w:rPr>
              <w:rFonts w:asciiTheme="majorBidi" w:hAnsiTheme="majorBidi"/>
            </w:rPr>
          </w:pPr>
          <w:r w:rsidRPr="00050DAE">
            <w:rPr>
              <w:rFonts w:asciiTheme="majorBidi" w:hAnsiTheme="majorBidi"/>
            </w:rPr>
            <w:t>Appendix Contents</w:t>
          </w:r>
        </w:p>
        <w:p w14:paraId="500D4AF7" w14:textId="1923422B" w:rsidR="001F6D2A" w:rsidRPr="00050DAE" w:rsidRDefault="00014F8D" w:rsidP="003D6634">
          <w:pPr>
            <w:pStyle w:val="TOC1"/>
            <w:rPr>
              <w:rFonts w:asciiTheme="majorBidi" w:eastAsiaTheme="minorEastAsia" w:hAnsiTheme="majorBidi" w:cstheme="majorBidi"/>
              <w:sz w:val="24"/>
              <w:szCs w:val="24"/>
              <w:lang w:eastAsia="en-GB"/>
            </w:rPr>
          </w:pPr>
          <w:r w:rsidRPr="00050DAE">
            <w:rPr>
              <w:rFonts w:asciiTheme="majorBidi" w:hAnsiTheme="majorBidi" w:cstheme="majorBidi"/>
            </w:rPr>
            <w:fldChar w:fldCharType="begin"/>
          </w:r>
          <w:r w:rsidRPr="00050DAE">
            <w:rPr>
              <w:rFonts w:asciiTheme="majorBidi" w:hAnsiTheme="majorBidi" w:cstheme="majorBidi"/>
            </w:rPr>
            <w:instrText xml:space="preserve"> TOC \o "1-3" \h \z \u </w:instrText>
          </w:r>
          <w:r w:rsidRPr="00050DAE">
            <w:rPr>
              <w:rFonts w:asciiTheme="majorBidi" w:hAnsiTheme="majorBidi" w:cstheme="majorBidi"/>
            </w:rPr>
            <w:fldChar w:fldCharType="separate"/>
          </w:r>
        </w:p>
        <w:p w14:paraId="67891C74" w14:textId="01C7059A"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27" w:history="1">
            <w:r w:rsidRPr="00050DAE">
              <w:rPr>
                <w:rStyle w:val="Hyperlink"/>
                <w:rFonts w:asciiTheme="majorBidi" w:hAnsiTheme="majorBidi" w:cstheme="majorBidi"/>
                <w:noProof/>
              </w:rPr>
              <w:t>Cross-Cultural Narrative Survey</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_Toc234154327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67</w:t>
            </w:r>
            <w:r w:rsidRPr="00050DAE">
              <w:rPr>
                <w:rFonts w:asciiTheme="majorBidi" w:hAnsiTheme="majorBidi" w:cstheme="majorBidi"/>
                <w:noProof/>
                <w:webHidden/>
              </w:rPr>
              <w:fldChar w:fldCharType="end"/>
            </w:r>
          </w:hyperlink>
        </w:p>
        <w:p w14:paraId="12158701" w14:textId="717A1E3A"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28" w:history="1">
            <w:r w:rsidRPr="00050DAE">
              <w:rPr>
                <w:rStyle w:val="Hyperlink"/>
                <w:rFonts w:asciiTheme="majorBidi" w:hAnsiTheme="majorBidi" w:cstheme="majorBidi"/>
                <w:noProof/>
              </w:rPr>
              <w:t>Functional Typology of Ancient Death-Response Narratives</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_Toc234154328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70</w:t>
            </w:r>
            <w:r w:rsidRPr="00050DAE">
              <w:rPr>
                <w:rFonts w:asciiTheme="majorBidi" w:hAnsiTheme="majorBidi" w:cstheme="majorBidi"/>
                <w:noProof/>
                <w:webHidden/>
              </w:rPr>
              <w:fldChar w:fldCharType="end"/>
            </w:r>
          </w:hyperlink>
        </w:p>
        <w:p w14:paraId="5EE8E450" w14:textId="0BE3FC0C"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29" w:history="1">
            <w:r w:rsidRPr="00050DAE">
              <w:rPr>
                <w:rStyle w:val="Hyperlink"/>
                <w:rFonts w:asciiTheme="majorBidi" w:hAnsiTheme="majorBidi" w:cstheme="majorBidi"/>
                <w:noProof/>
              </w:rPr>
              <w:t>Background</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_Toc234154329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71</w:t>
            </w:r>
            <w:r w:rsidRPr="00050DAE">
              <w:rPr>
                <w:rFonts w:asciiTheme="majorBidi" w:hAnsiTheme="majorBidi" w:cstheme="majorBidi"/>
                <w:noProof/>
                <w:webHidden/>
              </w:rPr>
              <w:fldChar w:fldCharType="end"/>
            </w:r>
          </w:hyperlink>
        </w:p>
        <w:p w14:paraId="278BBEAF" w14:textId="307B8182"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30" w:history="1">
            <w:r w:rsidRPr="00050DAE">
              <w:rPr>
                <w:rStyle w:val="Hyperlink"/>
                <w:rFonts w:asciiTheme="majorBidi" w:hAnsiTheme="majorBidi" w:cstheme="majorBidi"/>
                <w:noProof/>
              </w:rPr>
              <w:t>Mesopotamia</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_Toc234154330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71</w:t>
            </w:r>
            <w:r w:rsidRPr="00050DAE">
              <w:rPr>
                <w:rFonts w:asciiTheme="majorBidi" w:hAnsiTheme="majorBidi" w:cstheme="majorBidi"/>
                <w:noProof/>
                <w:webHidden/>
              </w:rPr>
              <w:fldChar w:fldCharType="end"/>
            </w:r>
          </w:hyperlink>
        </w:p>
        <w:p w14:paraId="371F0F73" w14:textId="0FFD9FF7"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31" w:history="1">
            <w:r w:rsidRPr="00050DAE">
              <w:rPr>
                <w:rStyle w:val="Hyperlink"/>
                <w:rFonts w:asciiTheme="majorBidi" w:hAnsiTheme="majorBidi" w:cstheme="majorBidi"/>
                <w:noProof/>
              </w:rPr>
              <w:t>Temple Roles</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_Toc234154331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73</w:t>
            </w:r>
            <w:r w:rsidRPr="00050DAE">
              <w:rPr>
                <w:rFonts w:asciiTheme="majorBidi" w:hAnsiTheme="majorBidi" w:cstheme="majorBidi"/>
                <w:noProof/>
                <w:webHidden/>
              </w:rPr>
              <w:fldChar w:fldCharType="end"/>
            </w:r>
          </w:hyperlink>
        </w:p>
        <w:p w14:paraId="3DA07A61" w14:textId="49784908"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32" w:history="1">
            <w:r w:rsidRPr="00050DAE">
              <w:rPr>
                <w:rStyle w:val="Hyperlink"/>
                <w:rFonts w:asciiTheme="majorBidi" w:hAnsiTheme="majorBidi" w:cstheme="majorBidi"/>
                <w:noProof/>
              </w:rPr>
              <w:t>Inanna Secondary Corpus</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_Toc234154332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74</w:t>
            </w:r>
            <w:r w:rsidRPr="00050DAE">
              <w:rPr>
                <w:rFonts w:asciiTheme="majorBidi" w:hAnsiTheme="majorBidi" w:cstheme="majorBidi"/>
                <w:noProof/>
                <w:webHidden/>
              </w:rPr>
              <w:fldChar w:fldCharType="end"/>
            </w:r>
          </w:hyperlink>
        </w:p>
        <w:p w14:paraId="5083BFA4" w14:textId="08C5F00F"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33" w:history="1">
            <w:r w:rsidRPr="00050DAE">
              <w:rPr>
                <w:rStyle w:val="Hyperlink"/>
                <w:rFonts w:asciiTheme="majorBidi" w:hAnsiTheme="majorBidi" w:cstheme="majorBidi"/>
                <w:i/>
                <w:iCs/>
                <w:noProof/>
              </w:rPr>
              <w:t>Inana and Gudam</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_Toc234154333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74</w:t>
            </w:r>
            <w:r w:rsidRPr="00050DAE">
              <w:rPr>
                <w:rFonts w:asciiTheme="majorBidi" w:hAnsiTheme="majorBidi" w:cstheme="majorBidi"/>
                <w:noProof/>
                <w:webHidden/>
              </w:rPr>
              <w:fldChar w:fldCharType="end"/>
            </w:r>
          </w:hyperlink>
        </w:p>
        <w:p w14:paraId="695BDFB3" w14:textId="3F7F130F"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34" w:history="1">
            <w:r w:rsidRPr="00050DAE">
              <w:rPr>
                <w:rStyle w:val="Hyperlink"/>
                <w:rFonts w:asciiTheme="majorBidi" w:hAnsiTheme="majorBidi" w:cstheme="majorBidi"/>
                <w:i/>
                <w:iCs/>
                <w:noProof/>
              </w:rPr>
              <w:t>Gilgamesh and the Bull of Heaven</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_Toc234154334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74</w:t>
            </w:r>
            <w:r w:rsidRPr="00050DAE">
              <w:rPr>
                <w:rFonts w:asciiTheme="majorBidi" w:hAnsiTheme="majorBidi" w:cstheme="majorBidi"/>
                <w:noProof/>
                <w:webHidden/>
              </w:rPr>
              <w:fldChar w:fldCharType="end"/>
            </w:r>
          </w:hyperlink>
        </w:p>
        <w:p w14:paraId="04A1D02A" w14:textId="67B23E76"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35" w:history="1">
            <w:r w:rsidRPr="00050DAE">
              <w:rPr>
                <w:rStyle w:val="Hyperlink"/>
                <w:rFonts w:asciiTheme="majorBidi" w:hAnsiTheme="majorBidi" w:cstheme="majorBidi"/>
                <w:i/>
                <w:iCs/>
                <w:noProof/>
              </w:rPr>
              <w:t>The Matter of Aratta</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_Toc234154335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74</w:t>
            </w:r>
            <w:r w:rsidRPr="00050DAE">
              <w:rPr>
                <w:rFonts w:asciiTheme="majorBidi" w:hAnsiTheme="majorBidi" w:cstheme="majorBidi"/>
                <w:noProof/>
                <w:webHidden/>
              </w:rPr>
              <w:fldChar w:fldCharType="end"/>
            </w:r>
          </w:hyperlink>
        </w:p>
        <w:p w14:paraId="4EBB9195" w14:textId="095BC3F1"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36" w:history="1">
            <w:r w:rsidRPr="00050DAE">
              <w:rPr>
                <w:rStyle w:val="Hyperlink"/>
                <w:rFonts w:asciiTheme="majorBidi" w:hAnsiTheme="majorBidi" w:cstheme="majorBidi"/>
                <w:noProof/>
              </w:rPr>
              <w:t>Ištar Secondary Corpus Text</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_Toc234154336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76</w:t>
            </w:r>
            <w:r w:rsidRPr="00050DAE">
              <w:rPr>
                <w:rFonts w:asciiTheme="majorBidi" w:hAnsiTheme="majorBidi" w:cstheme="majorBidi"/>
                <w:noProof/>
                <w:webHidden/>
              </w:rPr>
              <w:fldChar w:fldCharType="end"/>
            </w:r>
          </w:hyperlink>
        </w:p>
        <w:p w14:paraId="0CCCCF0F" w14:textId="2BE20579"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37" w:history="1">
            <w:r w:rsidRPr="00050DAE">
              <w:rPr>
                <w:rStyle w:val="Hyperlink"/>
                <w:rFonts w:asciiTheme="majorBidi" w:hAnsiTheme="majorBidi" w:cstheme="majorBidi"/>
                <w:i/>
                <w:iCs/>
                <w:noProof/>
              </w:rPr>
              <w:t>To Ištar</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_Toc234154337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76</w:t>
            </w:r>
            <w:r w:rsidRPr="00050DAE">
              <w:rPr>
                <w:rFonts w:asciiTheme="majorBidi" w:hAnsiTheme="majorBidi" w:cstheme="majorBidi"/>
                <w:noProof/>
                <w:webHidden/>
              </w:rPr>
              <w:fldChar w:fldCharType="end"/>
            </w:r>
          </w:hyperlink>
        </w:p>
        <w:p w14:paraId="28302255" w14:textId="75208B49"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38" w:history="1">
            <w:r w:rsidRPr="00050DAE">
              <w:rPr>
                <w:rStyle w:val="Hyperlink"/>
                <w:rFonts w:asciiTheme="majorBidi" w:hAnsiTheme="majorBidi" w:cstheme="majorBidi"/>
                <w:i/>
                <w:iCs/>
                <w:noProof/>
              </w:rPr>
              <w:t>Inana and Ebiḫ</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_Toc234154338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76</w:t>
            </w:r>
            <w:r w:rsidRPr="00050DAE">
              <w:rPr>
                <w:rFonts w:asciiTheme="majorBidi" w:hAnsiTheme="majorBidi" w:cstheme="majorBidi"/>
                <w:noProof/>
                <w:webHidden/>
              </w:rPr>
              <w:fldChar w:fldCharType="end"/>
            </w:r>
          </w:hyperlink>
        </w:p>
        <w:p w14:paraId="59A1CCFA" w14:textId="1195BA5B"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39" w:history="1">
            <w:r w:rsidRPr="00050DAE">
              <w:rPr>
                <w:rStyle w:val="Hyperlink"/>
                <w:rFonts w:asciiTheme="majorBidi" w:hAnsiTheme="majorBidi" w:cstheme="majorBidi"/>
                <w:i/>
                <w:iCs/>
                <w:noProof/>
              </w:rPr>
              <w:t>Assurbanipal’s Hymn to the Ištars of Nineveh and Arbela</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_Toc234154339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77</w:t>
            </w:r>
            <w:r w:rsidRPr="00050DAE">
              <w:rPr>
                <w:rFonts w:asciiTheme="majorBidi" w:hAnsiTheme="majorBidi" w:cstheme="majorBidi"/>
                <w:noProof/>
                <w:webHidden/>
              </w:rPr>
              <w:fldChar w:fldCharType="end"/>
            </w:r>
          </w:hyperlink>
        </w:p>
        <w:p w14:paraId="2F417235" w14:textId="506D0A55"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0" w:history="1">
            <w:r w:rsidRPr="00050DAE">
              <w:rPr>
                <w:rStyle w:val="Hyperlink"/>
                <w:rFonts w:asciiTheme="majorBidi" w:hAnsiTheme="majorBidi" w:cstheme="majorBidi"/>
                <w:i/>
                <w:iCs/>
                <w:noProof/>
              </w:rPr>
              <w:t>Assurbanipal’s Hymn to Ištar of Nineveh</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_Toc234154340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77</w:t>
            </w:r>
            <w:r w:rsidRPr="00050DAE">
              <w:rPr>
                <w:rFonts w:asciiTheme="majorBidi" w:hAnsiTheme="majorBidi" w:cstheme="majorBidi"/>
                <w:noProof/>
                <w:webHidden/>
              </w:rPr>
              <w:fldChar w:fldCharType="end"/>
            </w:r>
          </w:hyperlink>
        </w:p>
        <w:p w14:paraId="7CC7177E" w14:textId="747BAD67"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1" w:history="1">
            <w:r w:rsidRPr="00050DAE">
              <w:rPr>
                <w:rStyle w:val="Hyperlink"/>
                <w:rFonts w:asciiTheme="majorBidi" w:hAnsiTheme="majorBidi" w:cstheme="majorBidi"/>
                <w:i/>
                <w:iCs/>
                <w:noProof/>
              </w:rPr>
              <w:t>Hymn to the City of Arbela</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_Toc234154341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77</w:t>
            </w:r>
            <w:r w:rsidRPr="00050DAE">
              <w:rPr>
                <w:rFonts w:asciiTheme="majorBidi" w:hAnsiTheme="majorBidi" w:cstheme="majorBidi"/>
                <w:noProof/>
                <w:webHidden/>
              </w:rPr>
              <w:fldChar w:fldCharType="end"/>
            </w:r>
          </w:hyperlink>
        </w:p>
        <w:p w14:paraId="7CDD3E79" w14:textId="3A4FF5E8"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2" w:history="1">
            <w:r w:rsidRPr="00050DAE">
              <w:rPr>
                <w:rStyle w:val="Hyperlink"/>
                <w:rFonts w:asciiTheme="majorBidi" w:hAnsiTheme="majorBidi" w:cstheme="majorBidi"/>
                <w:noProof/>
              </w:rPr>
              <w:t>Samples of Incantations</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_Toc234154342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79</w:t>
            </w:r>
            <w:r w:rsidRPr="00050DAE">
              <w:rPr>
                <w:rFonts w:asciiTheme="majorBidi" w:hAnsiTheme="majorBidi" w:cstheme="majorBidi"/>
                <w:noProof/>
                <w:webHidden/>
              </w:rPr>
              <w:fldChar w:fldCharType="end"/>
            </w:r>
          </w:hyperlink>
        </w:p>
        <w:p w14:paraId="4EB291FB" w14:textId="075903DB"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43" w:history="1">
            <w:r w:rsidRPr="00050DAE">
              <w:rPr>
                <w:rStyle w:val="Hyperlink"/>
                <w:rFonts w:asciiTheme="majorBidi" w:hAnsiTheme="majorBidi" w:cstheme="majorBidi"/>
                <w:noProof/>
              </w:rPr>
              <w:t>Anat Primary Text</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_Toc234154343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82</w:t>
            </w:r>
            <w:r w:rsidRPr="00050DAE">
              <w:rPr>
                <w:rFonts w:asciiTheme="majorBidi" w:hAnsiTheme="majorBidi" w:cstheme="majorBidi"/>
                <w:noProof/>
                <w:webHidden/>
              </w:rPr>
              <w:fldChar w:fldCharType="end"/>
            </w:r>
          </w:hyperlink>
        </w:p>
        <w:p w14:paraId="339724EC" w14:textId="31BCB813"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4" w:history="1">
            <w:r w:rsidRPr="00050DAE">
              <w:rPr>
                <w:rStyle w:val="Hyperlink"/>
                <w:rFonts w:asciiTheme="majorBidi" w:hAnsiTheme="majorBidi" w:cstheme="majorBidi"/>
                <w:i/>
                <w:iCs/>
                <w:noProof/>
              </w:rPr>
              <w:t>KTU 1.5-1.6 - Baal and Mot</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_Toc234154344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82</w:t>
            </w:r>
            <w:r w:rsidRPr="00050DAE">
              <w:rPr>
                <w:rFonts w:asciiTheme="majorBidi" w:hAnsiTheme="majorBidi" w:cstheme="majorBidi"/>
                <w:noProof/>
                <w:webHidden/>
              </w:rPr>
              <w:fldChar w:fldCharType="end"/>
            </w:r>
          </w:hyperlink>
        </w:p>
        <w:p w14:paraId="48704A4D" w14:textId="6F0FC33E"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5" w:history="1">
            <w:r w:rsidRPr="00050DAE">
              <w:rPr>
                <w:rStyle w:val="Hyperlink"/>
                <w:rFonts w:asciiTheme="majorBidi" w:hAnsiTheme="majorBidi" w:cstheme="majorBidi"/>
                <w:i/>
                <w:iCs/>
                <w:noProof/>
              </w:rPr>
              <w:t>KTU 1.10 - Baal, the Heifer, and Anat</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_Toc234154345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92</w:t>
            </w:r>
            <w:r w:rsidRPr="00050DAE">
              <w:rPr>
                <w:rFonts w:asciiTheme="majorBidi" w:hAnsiTheme="majorBidi" w:cstheme="majorBidi"/>
                <w:noProof/>
                <w:webHidden/>
              </w:rPr>
              <w:fldChar w:fldCharType="end"/>
            </w:r>
          </w:hyperlink>
        </w:p>
        <w:p w14:paraId="16DF3A47" w14:textId="4151DBB1"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6" w:history="1">
            <w:r w:rsidRPr="00050DAE">
              <w:rPr>
                <w:rStyle w:val="Hyperlink"/>
                <w:rFonts w:asciiTheme="majorBidi" w:hAnsiTheme="majorBidi" w:cstheme="majorBidi"/>
                <w:i/>
                <w:iCs/>
                <w:noProof/>
              </w:rPr>
              <w:t>KTU 1.13 - Hymn to Anat</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_Toc234154346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95</w:t>
            </w:r>
            <w:r w:rsidRPr="00050DAE">
              <w:rPr>
                <w:rFonts w:asciiTheme="majorBidi" w:hAnsiTheme="majorBidi" w:cstheme="majorBidi"/>
                <w:noProof/>
                <w:webHidden/>
              </w:rPr>
              <w:fldChar w:fldCharType="end"/>
            </w:r>
          </w:hyperlink>
        </w:p>
        <w:p w14:paraId="0CCB6227" w14:textId="04EA4D06"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7" w:history="1">
            <w:r w:rsidRPr="00050DAE">
              <w:rPr>
                <w:rStyle w:val="Hyperlink"/>
                <w:rFonts w:asciiTheme="majorBidi" w:hAnsiTheme="majorBidi" w:cstheme="majorBidi"/>
                <w:i/>
                <w:iCs/>
                <w:noProof/>
              </w:rPr>
              <w:t>KTU 1.20-1.22 - The Rapiuma (Rephaim)</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_Toc234154347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96</w:t>
            </w:r>
            <w:r w:rsidRPr="00050DAE">
              <w:rPr>
                <w:rFonts w:asciiTheme="majorBidi" w:hAnsiTheme="majorBidi" w:cstheme="majorBidi"/>
                <w:noProof/>
                <w:webHidden/>
              </w:rPr>
              <w:fldChar w:fldCharType="end"/>
            </w:r>
          </w:hyperlink>
        </w:p>
        <w:p w14:paraId="71813A06" w14:textId="41C3EEBA"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8" w:history="1">
            <w:r w:rsidRPr="00050DAE">
              <w:rPr>
                <w:rStyle w:val="Hyperlink"/>
                <w:rFonts w:asciiTheme="majorBidi" w:hAnsiTheme="majorBidi" w:cstheme="majorBidi"/>
                <w:i/>
                <w:iCs/>
                <w:noProof/>
              </w:rPr>
              <w:t>KTU 1.96 - Anat/The Eye Consumes Her Brother</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_Toc234154348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99</w:t>
            </w:r>
            <w:r w:rsidRPr="00050DAE">
              <w:rPr>
                <w:rFonts w:asciiTheme="majorBidi" w:hAnsiTheme="majorBidi" w:cstheme="majorBidi"/>
                <w:noProof/>
                <w:webHidden/>
              </w:rPr>
              <w:fldChar w:fldCharType="end"/>
            </w:r>
          </w:hyperlink>
        </w:p>
        <w:p w14:paraId="059BD971" w14:textId="3AE4EA1B"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49" w:history="1">
            <w:r w:rsidRPr="00050DAE">
              <w:rPr>
                <w:rStyle w:val="Hyperlink"/>
                <w:rFonts w:asciiTheme="majorBidi" w:hAnsiTheme="majorBidi" w:cstheme="majorBidi"/>
                <w:i/>
                <w:iCs/>
                <w:noProof/>
              </w:rPr>
              <w:t>KTU 1.108 An Intercessory Prayer to Rapiu and Other Deities</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_Toc234154349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100</w:t>
            </w:r>
            <w:r w:rsidRPr="00050DAE">
              <w:rPr>
                <w:rFonts w:asciiTheme="majorBidi" w:hAnsiTheme="majorBidi" w:cstheme="majorBidi"/>
                <w:noProof/>
                <w:webHidden/>
              </w:rPr>
              <w:fldChar w:fldCharType="end"/>
            </w:r>
          </w:hyperlink>
        </w:p>
        <w:p w14:paraId="46F16ED6" w14:textId="3691A393"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50" w:history="1">
            <w:r w:rsidRPr="00050DAE">
              <w:rPr>
                <w:rStyle w:val="Hyperlink"/>
                <w:rFonts w:asciiTheme="majorBidi" w:hAnsiTheme="majorBidi" w:cstheme="majorBidi"/>
                <w:i/>
                <w:iCs/>
                <w:noProof/>
              </w:rPr>
              <w:t>RS 34.126 A Funerary Ritual in Poetic Form (KTU 1.162)</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_Toc234154350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102</w:t>
            </w:r>
            <w:r w:rsidRPr="00050DAE">
              <w:rPr>
                <w:rFonts w:asciiTheme="majorBidi" w:hAnsiTheme="majorBidi" w:cstheme="majorBidi"/>
                <w:noProof/>
                <w:webHidden/>
              </w:rPr>
              <w:fldChar w:fldCharType="end"/>
            </w:r>
          </w:hyperlink>
        </w:p>
        <w:p w14:paraId="3735D6B8" w14:textId="7B387916"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51" w:history="1">
            <w:r w:rsidRPr="00050DAE">
              <w:rPr>
                <w:rStyle w:val="Hyperlink"/>
                <w:rFonts w:asciiTheme="majorBidi" w:hAnsiTheme="majorBidi" w:cstheme="majorBidi"/>
                <w:noProof/>
              </w:rPr>
              <w:t>Demeter and Kore/Persephone Secondary Corpus Texts</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_Toc234154351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103</w:t>
            </w:r>
            <w:r w:rsidRPr="00050DAE">
              <w:rPr>
                <w:rFonts w:asciiTheme="majorBidi" w:hAnsiTheme="majorBidi" w:cstheme="majorBidi"/>
                <w:noProof/>
                <w:webHidden/>
              </w:rPr>
              <w:fldChar w:fldCharType="end"/>
            </w:r>
          </w:hyperlink>
        </w:p>
        <w:p w14:paraId="277B158E" w14:textId="02D442B2"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52" w:history="1">
            <w:r w:rsidRPr="00050DAE">
              <w:rPr>
                <w:rStyle w:val="Hyperlink"/>
                <w:rFonts w:asciiTheme="majorBidi" w:hAnsiTheme="majorBidi" w:cstheme="majorBidi"/>
                <w:i/>
                <w:iCs/>
                <w:noProof/>
              </w:rPr>
              <w:t>Orphic Hymn 29. Hymn to Persephone</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_Toc234154352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103</w:t>
            </w:r>
            <w:r w:rsidRPr="00050DAE">
              <w:rPr>
                <w:rFonts w:asciiTheme="majorBidi" w:hAnsiTheme="majorBidi" w:cstheme="majorBidi"/>
                <w:noProof/>
                <w:webHidden/>
              </w:rPr>
              <w:fldChar w:fldCharType="end"/>
            </w:r>
          </w:hyperlink>
        </w:p>
        <w:p w14:paraId="37F6B1B7" w14:textId="4FC80A90"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53" w:history="1">
            <w:r w:rsidRPr="00050DAE">
              <w:rPr>
                <w:rStyle w:val="Hyperlink"/>
                <w:rFonts w:asciiTheme="majorBidi" w:hAnsiTheme="majorBidi" w:cstheme="majorBidi"/>
                <w:i/>
                <w:iCs/>
                <w:noProof/>
              </w:rPr>
              <w:t>Orphic Hymn 41. Offering of Mother Antaia, spices</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_Toc234154353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103</w:t>
            </w:r>
            <w:r w:rsidRPr="00050DAE">
              <w:rPr>
                <w:rFonts w:asciiTheme="majorBidi" w:hAnsiTheme="majorBidi" w:cstheme="majorBidi"/>
                <w:noProof/>
                <w:webHidden/>
              </w:rPr>
              <w:fldChar w:fldCharType="end"/>
            </w:r>
          </w:hyperlink>
        </w:p>
        <w:p w14:paraId="0E0C9E1D" w14:textId="211D5166" w:rsidR="001F6D2A" w:rsidRPr="00050DAE" w:rsidRDefault="001F6D2A">
          <w:pPr>
            <w:pStyle w:val="TOC3"/>
            <w:tabs>
              <w:tab w:val="right" w:leader="dot" w:pos="9016"/>
            </w:tabs>
            <w:rPr>
              <w:rFonts w:asciiTheme="majorBidi" w:hAnsiTheme="majorBidi" w:cstheme="majorBidi"/>
              <w:noProof/>
              <w:kern w:val="2"/>
              <w:sz w:val="24"/>
              <w:szCs w:val="24"/>
              <w14:ligatures w14:val="standardContextual"/>
            </w:rPr>
          </w:pPr>
          <w:hyperlink w:anchor="_Toc234154354" w:history="1">
            <w:r w:rsidRPr="00050DAE">
              <w:rPr>
                <w:rStyle w:val="Hyperlink"/>
                <w:rFonts w:asciiTheme="majorBidi" w:hAnsiTheme="majorBidi" w:cstheme="majorBidi"/>
                <w:i/>
                <w:iCs/>
                <w:noProof/>
              </w:rPr>
              <w:t>Orphic Hymn 43. Offering of the Horai, spices</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_Toc234154354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104</w:t>
            </w:r>
            <w:r w:rsidRPr="00050DAE">
              <w:rPr>
                <w:rFonts w:asciiTheme="majorBidi" w:hAnsiTheme="majorBidi" w:cstheme="majorBidi"/>
                <w:noProof/>
                <w:webHidden/>
              </w:rPr>
              <w:fldChar w:fldCharType="end"/>
            </w:r>
          </w:hyperlink>
        </w:p>
        <w:p w14:paraId="151A6FD7" w14:textId="36F0BB55" w:rsidR="001F6D2A" w:rsidRPr="00050DAE" w:rsidRDefault="001F6D2A">
          <w:pPr>
            <w:pStyle w:val="TOC1"/>
            <w:rPr>
              <w:rFonts w:asciiTheme="majorBidi" w:eastAsiaTheme="minorEastAsia" w:hAnsiTheme="majorBidi" w:cstheme="majorBidi"/>
              <w:sz w:val="24"/>
              <w:szCs w:val="24"/>
              <w:lang w:eastAsia="en-GB"/>
            </w:rPr>
          </w:pPr>
          <w:hyperlink w:anchor="_Toc234154355" w:history="1">
            <w:r w:rsidRPr="00050DAE">
              <w:rPr>
                <w:rStyle w:val="Hyperlink"/>
                <w:rFonts w:asciiTheme="majorBidi" w:hAnsiTheme="majorBidi" w:cstheme="majorBidi"/>
              </w:rPr>
              <w:t>Bibliography of Works Cited</w:t>
            </w:r>
            <w:r w:rsidRPr="00050DAE">
              <w:rPr>
                <w:rFonts w:asciiTheme="majorBidi" w:hAnsiTheme="majorBidi" w:cstheme="majorBidi"/>
                <w:webHidden/>
              </w:rPr>
              <w:tab/>
            </w:r>
            <w:r w:rsidRPr="00050DAE">
              <w:rPr>
                <w:rFonts w:asciiTheme="majorBidi" w:hAnsiTheme="majorBidi" w:cstheme="majorBidi"/>
                <w:webHidden/>
              </w:rPr>
              <w:fldChar w:fldCharType="begin"/>
            </w:r>
            <w:r w:rsidRPr="00050DAE">
              <w:rPr>
                <w:rFonts w:asciiTheme="majorBidi" w:hAnsiTheme="majorBidi" w:cstheme="majorBidi"/>
                <w:webHidden/>
              </w:rPr>
              <w:instrText xml:space="preserve"> PAGEREF _Toc234154355 \h </w:instrText>
            </w:r>
            <w:r w:rsidRPr="00050DAE">
              <w:rPr>
                <w:rFonts w:asciiTheme="majorBidi" w:hAnsiTheme="majorBidi" w:cstheme="majorBidi"/>
                <w:webHidden/>
              </w:rPr>
            </w:r>
            <w:r w:rsidRPr="00050DAE">
              <w:rPr>
                <w:rFonts w:asciiTheme="majorBidi" w:hAnsiTheme="majorBidi" w:cstheme="majorBidi"/>
                <w:webHidden/>
              </w:rPr>
              <w:fldChar w:fldCharType="separate"/>
            </w:r>
            <w:r w:rsidR="009D2921">
              <w:rPr>
                <w:rFonts w:asciiTheme="majorBidi" w:hAnsiTheme="majorBidi" w:cstheme="majorBidi"/>
                <w:webHidden/>
              </w:rPr>
              <w:t>105</w:t>
            </w:r>
            <w:r w:rsidRPr="00050DAE">
              <w:rPr>
                <w:rFonts w:asciiTheme="majorBidi" w:hAnsiTheme="majorBidi" w:cstheme="majorBidi"/>
                <w:webHidden/>
              </w:rPr>
              <w:fldChar w:fldCharType="end"/>
            </w:r>
          </w:hyperlink>
        </w:p>
        <w:p w14:paraId="32415283" w14:textId="0E67BD65"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56" w:history="1">
            <w:r w:rsidRPr="00050DAE">
              <w:rPr>
                <w:rStyle w:val="Hyperlink"/>
                <w:rFonts w:asciiTheme="majorBidi" w:hAnsiTheme="majorBidi" w:cstheme="majorBidi"/>
                <w:noProof/>
              </w:rPr>
              <w:t>Primary</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_Toc234154356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105</w:t>
            </w:r>
            <w:r w:rsidRPr="00050DAE">
              <w:rPr>
                <w:rFonts w:asciiTheme="majorBidi" w:hAnsiTheme="majorBidi" w:cstheme="majorBidi"/>
                <w:noProof/>
                <w:webHidden/>
              </w:rPr>
              <w:fldChar w:fldCharType="end"/>
            </w:r>
          </w:hyperlink>
        </w:p>
        <w:p w14:paraId="0F074967" w14:textId="72F809CC" w:rsidR="001F6D2A" w:rsidRPr="00050DAE" w:rsidRDefault="001F6D2A">
          <w:pPr>
            <w:pStyle w:val="TOC2"/>
            <w:tabs>
              <w:tab w:val="right" w:leader="dot" w:pos="9016"/>
            </w:tabs>
            <w:rPr>
              <w:rFonts w:asciiTheme="majorBidi" w:eastAsiaTheme="minorEastAsia" w:hAnsiTheme="majorBidi" w:cstheme="majorBidi"/>
              <w:noProof/>
              <w:sz w:val="24"/>
              <w:szCs w:val="24"/>
              <w:lang w:eastAsia="en-GB"/>
            </w:rPr>
          </w:pPr>
          <w:hyperlink w:anchor="_Toc234154357" w:history="1">
            <w:r w:rsidRPr="00050DAE">
              <w:rPr>
                <w:rStyle w:val="Hyperlink"/>
                <w:rFonts w:asciiTheme="majorBidi" w:hAnsiTheme="majorBidi" w:cstheme="majorBidi"/>
                <w:noProof/>
              </w:rPr>
              <w:t>Secondary</w:t>
            </w:r>
            <w:r w:rsidRPr="00050DAE">
              <w:rPr>
                <w:rFonts w:asciiTheme="majorBidi" w:hAnsiTheme="majorBidi" w:cstheme="majorBidi"/>
                <w:noProof/>
                <w:webHidden/>
              </w:rPr>
              <w:tab/>
            </w:r>
            <w:r w:rsidRPr="00050DAE">
              <w:rPr>
                <w:rFonts w:asciiTheme="majorBidi" w:hAnsiTheme="majorBidi" w:cstheme="majorBidi"/>
                <w:noProof/>
                <w:webHidden/>
              </w:rPr>
              <w:fldChar w:fldCharType="begin"/>
            </w:r>
            <w:r w:rsidRPr="00050DAE">
              <w:rPr>
                <w:rFonts w:asciiTheme="majorBidi" w:hAnsiTheme="majorBidi" w:cstheme="majorBidi"/>
                <w:noProof/>
                <w:webHidden/>
              </w:rPr>
              <w:instrText xml:space="preserve"> PAGEREF _Toc234154357 \h </w:instrText>
            </w:r>
            <w:r w:rsidRPr="00050DAE">
              <w:rPr>
                <w:rFonts w:asciiTheme="majorBidi" w:hAnsiTheme="majorBidi" w:cstheme="majorBidi"/>
                <w:noProof/>
                <w:webHidden/>
              </w:rPr>
            </w:r>
            <w:r w:rsidRPr="00050DAE">
              <w:rPr>
                <w:rFonts w:asciiTheme="majorBidi" w:hAnsiTheme="majorBidi" w:cstheme="majorBidi"/>
                <w:noProof/>
                <w:webHidden/>
              </w:rPr>
              <w:fldChar w:fldCharType="separate"/>
            </w:r>
            <w:r w:rsidR="009D2921">
              <w:rPr>
                <w:rFonts w:asciiTheme="majorBidi" w:hAnsiTheme="majorBidi" w:cstheme="majorBidi"/>
                <w:noProof/>
                <w:webHidden/>
              </w:rPr>
              <w:t>112</w:t>
            </w:r>
            <w:r w:rsidRPr="00050DAE">
              <w:rPr>
                <w:rFonts w:asciiTheme="majorBidi" w:hAnsiTheme="majorBidi" w:cstheme="majorBidi"/>
                <w:noProof/>
                <w:webHidden/>
              </w:rPr>
              <w:fldChar w:fldCharType="end"/>
            </w:r>
          </w:hyperlink>
        </w:p>
        <w:p w14:paraId="338F5E3F" w14:textId="21F7B554" w:rsidR="00014F8D" w:rsidRPr="00050DAE" w:rsidRDefault="00014F8D">
          <w:pPr>
            <w:rPr>
              <w:rFonts w:asciiTheme="majorBidi" w:hAnsiTheme="majorBidi" w:cstheme="majorBidi"/>
            </w:rPr>
          </w:pPr>
          <w:r w:rsidRPr="00050DAE">
            <w:rPr>
              <w:rFonts w:asciiTheme="majorBidi" w:hAnsiTheme="majorBidi" w:cstheme="majorBidi"/>
              <w:b/>
              <w:bCs/>
            </w:rPr>
            <w:fldChar w:fldCharType="end"/>
          </w:r>
        </w:p>
      </w:sdtContent>
    </w:sdt>
    <w:p w14:paraId="1E1F6903" w14:textId="77777777" w:rsidR="00014F8D" w:rsidRPr="00050DAE" w:rsidRDefault="00014F8D" w:rsidP="001F6D2A">
      <w:pPr>
        <w:pStyle w:val="Heading2"/>
        <w:rPr>
          <w:rFonts w:asciiTheme="majorBidi" w:hAnsiTheme="majorBidi"/>
        </w:rPr>
      </w:pPr>
      <w:bookmarkStart w:id="200" w:name="_Toc234154327"/>
      <w:r w:rsidRPr="00050DAE">
        <w:rPr>
          <w:rFonts w:asciiTheme="majorBidi" w:hAnsiTheme="majorBidi"/>
        </w:rPr>
        <w:t>Cross-Cultural Narrative Survey</w:t>
      </w:r>
      <w:bookmarkEnd w:id="200"/>
    </w:p>
    <w:p w14:paraId="360C4E90" w14:textId="4BDCA1F7" w:rsidR="00014F8D" w:rsidRPr="00050DAE" w:rsidRDefault="00014F8D" w:rsidP="00FA72BD">
      <w:pPr>
        <w:pStyle w:val="Caption"/>
        <w:keepNext/>
        <w:rPr>
          <w:rFonts w:asciiTheme="majorBidi" w:hAnsiTheme="majorBidi" w:cstheme="majorBidi"/>
        </w:rPr>
      </w:pPr>
      <w:r w:rsidRPr="00050DAE">
        <w:rPr>
          <w:rFonts w:asciiTheme="majorBidi" w:hAnsiTheme="majorBidi" w:cstheme="majorBidi"/>
        </w:rPr>
        <w:t xml:space="preserve">Table </w:t>
      </w:r>
      <w:r w:rsidRPr="00050DAE">
        <w:rPr>
          <w:rFonts w:asciiTheme="majorBidi" w:hAnsiTheme="majorBidi" w:cstheme="majorBidi"/>
        </w:rPr>
        <w:fldChar w:fldCharType="begin"/>
      </w:r>
      <w:r w:rsidRPr="00050DAE">
        <w:rPr>
          <w:rFonts w:asciiTheme="majorBidi" w:hAnsiTheme="majorBidi" w:cstheme="majorBidi"/>
        </w:rPr>
        <w:instrText xml:space="preserve"> SEQ Table \* ARABIC </w:instrText>
      </w:r>
      <w:r w:rsidRPr="00050DAE">
        <w:rPr>
          <w:rFonts w:asciiTheme="majorBidi" w:hAnsiTheme="majorBidi" w:cstheme="majorBidi"/>
        </w:rPr>
        <w:fldChar w:fldCharType="separate"/>
      </w:r>
      <w:r w:rsidR="009D2921">
        <w:rPr>
          <w:rFonts w:asciiTheme="majorBidi" w:hAnsiTheme="majorBidi" w:cstheme="majorBidi"/>
          <w:noProof/>
        </w:rPr>
        <w:t>6</w:t>
      </w:r>
      <w:r w:rsidRPr="00050DAE">
        <w:rPr>
          <w:rFonts w:asciiTheme="majorBidi" w:hAnsiTheme="majorBidi" w:cstheme="majorBidi"/>
        </w:rPr>
        <w:fldChar w:fldCharType="end"/>
      </w:r>
      <w:r w:rsidRPr="00050DAE">
        <w:rPr>
          <w:rFonts w:asciiTheme="majorBidi" w:hAnsiTheme="majorBidi" w:cstheme="majorBidi"/>
        </w:rPr>
        <w:t xml:space="preserve"> Selective Cross-Cultural Narratives of Mortality and Transformation Before Late Antiquity.</w:t>
      </w:r>
    </w:p>
    <w:tbl>
      <w:tblPr>
        <w:tblStyle w:val="TableGrid"/>
        <w:tblW w:w="0" w:type="auto"/>
        <w:tblLook w:val="04A0" w:firstRow="1" w:lastRow="0" w:firstColumn="1" w:lastColumn="0" w:noHBand="0" w:noVBand="1"/>
      </w:tblPr>
      <w:tblGrid>
        <w:gridCol w:w="1488"/>
        <w:gridCol w:w="1438"/>
        <w:gridCol w:w="1843"/>
        <w:gridCol w:w="1235"/>
        <w:gridCol w:w="1470"/>
        <w:gridCol w:w="1542"/>
      </w:tblGrid>
      <w:tr w:rsidR="00014F8D" w:rsidRPr="00050DAE" w14:paraId="5037244C" w14:textId="77777777" w:rsidTr="007B4AB2">
        <w:trPr>
          <w:cantSplit/>
          <w:tblHeader/>
        </w:trPr>
        <w:tc>
          <w:tcPr>
            <w:tcW w:w="0" w:type="auto"/>
            <w:shd w:val="clear" w:color="auto" w:fill="000000" w:themeFill="text1"/>
            <w:hideMark/>
          </w:tcPr>
          <w:p w14:paraId="112EC62E" w14:textId="77777777" w:rsidR="00014F8D" w:rsidRPr="00050DAE" w:rsidRDefault="00014F8D" w:rsidP="00C85061">
            <w:pPr>
              <w:jc w:val="center"/>
              <w:rPr>
                <w:rFonts w:asciiTheme="majorBidi" w:eastAsia="Times New Roman" w:hAnsiTheme="majorBidi" w:cstheme="majorBidi"/>
                <w:b/>
                <w:bCs/>
                <w:color w:val="FFFFFF" w:themeColor="background1"/>
                <w:kern w:val="0"/>
                <w:sz w:val="20"/>
                <w:szCs w:val="20"/>
                <w:lang w:eastAsia="en-GB"/>
                <w14:ligatures w14:val="none"/>
              </w:rPr>
            </w:pPr>
            <w:r w:rsidRPr="00050DAE">
              <w:rPr>
                <w:rFonts w:asciiTheme="majorBidi" w:eastAsia="Times New Roman" w:hAnsiTheme="majorBidi" w:cstheme="majorBidi"/>
                <w:b/>
                <w:bCs/>
                <w:color w:val="FFFFFF" w:themeColor="background1"/>
                <w:kern w:val="0"/>
                <w:sz w:val="20"/>
                <w:szCs w:val="20"/>
                <w:lang w:eastAsia="en-GB"/>
                <w14:ligatures w14:val="none"/>
              </w:rPr>
              <w:t>Descent Narrative</w:t>
            </w:r>
          </w:p>
        </w:tc>
        <w:tc>
          <w:tcPr>
            <w:tcW w:w="1373" w:type="dxa"/>
            <w:shd w:val="clear" w:color="auto" w:fill="000000" w:themeFill="text1"/>
            <w:hideMark/>
          </w:tcPr>
          <w:p w14:paraId="4A757A59" w14:textId="77777777" w:rsidR="00014F8D" w:rsidRPr="00050DAE" w:rsidRDefault="00014F8D" w:rsidP="00C85061">
            <w:pPr>
              <w:jc w:val="center"/>
              <w:rPr>
                <w:rFonts w:asciiTheme="majorBidi" w:eastAsia="Times New Roman" w:hAnsiTheme="majorBidi" w:cstheme="majorBidi"/>
                <w:b/>
                <w:bCs/>
                <w:color w:val="FFFFFF" w:themeColor="background1"/>
                <w:kern w:val="0"/>
                <w:sz w:val="20"/>
                <w:szCs w:val="20"/>
                <w:lang w:eastAsia="en-GB"/>
                <w14:ligatures w14:val="none"/>
              </w:rPr>
            </w:pPr>
            <w:r w:rsidRPr="00050DAE">
              <w:rPr>
                <w:rFonts w:asciiTheme="majorBidi" w:eastAsia="Times New Roman" w:hAnsiTheme="majorBidi" w:cstheme="majorBidi"/>
                <w:b/>
                <w:bCs/>
                <w:color w:val="FFFFFF" w:themeColor="background1"/>
                <w:kern w:val="0"/>
                <w:sz w:val="20"/>
                <w:szCs w:val="20"/>
                <w:lang w:eastAsia="en-GB"/>
                <w14:ligatures w14:val="none"/>
              </w:rPr>
              <w:t>Region</w:t>
            </w:r>
          </w:p>
        </w:tc>
        <w:tc>
          <w:tcPr>
            <w:tcW w:w="1843" w:type="dxa"/>
            <w:shd w:val="clear" w:color="auto" w:fill="000000" w:themeFill="text1"/>
            <w:hideMark/>
          </w:tcPr>
          <w:p w14:paraId="17E3858C" w14:textId="77777777" w:rsidR="00014F8D" w:rsidRPr="00050DAE" w:rsidRDefault="00014F8D" w:rsidP="00C85061">
            <w:pPr>
              <w:jc w:val="center"/>
              <w:rPr>
                <w:rFonts w:asciiTheme="majorBidi" w:eastAsia="Times New Roman" w:hAnsiTheme="majorBidi" w:cstheme="majorBidi"/>
                <w:b/>
                <w:bCs/>
                <w:color w:val="FFFFFF" w:themeColor="background1"/>
                <w:kern w:val="0"/>
                <w:sz w:val="20"/>
                <w:szCs w:val="20"/>
                <w:lang w:eastAsia="en-GB"/>
                <w14:ligatures w14:val="none"/>
              </w:rPr>
            </w:pPr>
            <w:r w:rsidRPr="00050DAE">
              <w:rPr>
                <w:rFonts w:asciiTheme="majorBidi" w:eastAsia="Times New Roman" w:hAnsiTheme="majorBidi" w:cstheme="majorBidi"/>
                <w:b/>
                <w:bCs/>
                <w:color w:val="FFFFFF" w:themeColor="background1"/>
                <w:kern w:val="0"/>
                <w:sz w:val="20"/>
                <w:szCs w:val="20"/>
                <w:lang w:eastAsia="en-GB"/>
                <w14:ligatures w14:val="none"/>
              </w:rPr>
              <w:t>Primary Source(s)</w:t>
            </w:r>
          </w:p>
        </w:tc>
        <w:tc>
          <w:tcPr>
            <w:tcW w:w="0" w:type="auto"/>
            <w:shd w:val="clear" w:color="auto" w:fill="000000" w:themeFill="text1"/>
            <w:hideMark/>
          </w:tcPr>
          <w:p w14:paraId="0E86FDD7" w14:textId="77777777" w:rsidR="00014F8D" w:rsidRPr="00050DAE" w:rsidRDefault="00014F8D" w:rsidP="00C85061">
            <w:pPr>
              <w:jc w:val="center"/>
              <w:rPr>
                <w:rFonts w:asciiTheme="majorBidi" w:eastAsia="Times New Roman" w:hAnsiTheme="majorBidi" w:cstheme="majorBidi"/>
                <w:b/>
                <w:bCs/>
                <w:color w:val="FFFFFF" w:themeColor="background1"/>
                <w:kern w:val="0"/>
                <w:sz w:val="20"/>
                <w:szCs w:val="20"/>
                <w:lang w:eastAsia="en-GB"/>
                <w14:ligatures w14:val="none"/>
              </w:rPr>
            </w:pPr>
            <w:r w:rsidRPr="00050DAE">
              <w:rPr>
                <w:rFonts w:asciiTheme="majorBidi" w:eastAsia="Times New Roman" w:hAnsiTheme="majorBidi" w:cstheme="majorBidi"/>
                <w:b/>
                <w:bCs/>
                <w:color w:val="FFFFFF" w:themeColor="background1"/>
                <w:kern w:val="0"/>
                <w:sz w:val="20"/>
                <w:szCs w:val="20"/>
                <w:lang w:eastAsia="en-GB"/>
                <w14:ligatures w14:val="none"/>
              </w:rPr>
              <w:t>Date of Source</w:t>
            </w:r>
          </w:p>
        </w:tc>
        <w:tc>
          <w:tcPr>
            <w:tcW w:w="0" w:type="auto"/>
            <w:shd w:val="clear" w:color="auto" w:fill="000000" w:themeFill="text1"/>
            <w:hideMark/>
          </w:tcPr>
          <w:p w14:paraId="6BC4DA80" w14:textId="77777777" w:rsidR="00014F8D" w:rsidRPr="00050DAE" w:rsidRDefault="00014F8D" w:rsidP="00C85061">
            <w:pPr>
              <w:jc w:val="center"/>
              <w:rPr>
                <w:rFonts w:asciiTheme="majorBidi" w:eastAsia="Times New Roman" w:hAnsiTheme="majorBidi" w:cstheme="majorBidi"/>
                <w:b/>
                <w:bCs/>
                <w:color w:val="FFFFFF" w:themeColor="background1"/>
                <w:kern w:val="0"/>
                <w:sz w:val="20"/>
                <w:szCs w:val="20"/>
                <w:lang w:eastAsia="en-GB"/>
                <w14:ligatures w14:val="none"/>
              </w:rPr>
            </w:pPr>
            <w:r w:rsidRPr="00050DAE">
              <w:rPr>
                <w:rFonts w:asciiTheme="majorBidi" w:eastAsia="Times New Roman" w:hAnsiTheme="majorBidi" w:cstheme="majorBidi"/>
                <w:b/>
                <w:bCs/>
                <w:color w:val="FFFFFF" w:themeColor="background1"/>
                <w:kern w:val="0"/>
                <w:sz w:val="20"/>
                <w:szCs w:val="20"/>
                <w:lang w:eastAsia="en-GB"/>
                <w14:ligatures w14:val="none"/>
              </w:rPr>
              <w:t>Summary of the Descent</w:t>
            </w:r>
          </w:p>
        </w:tc>
        <w:tc>
          <w:tcPr>
            <w:tcW w:w="0" w:type="auto"/>
            <w:shd w:val="clear" w:color="auto" w:fill="000000" w:themeFill="text1"/>
            <w:hideMark/>
          </w:tcPr>
          <w:p w14:paraId="79FF3F95" w14:textId="77777777" w:rsidR="00014F8D" w:rsidRPr="00050DAE" w:rsidRDefault="00014F8D" w:rsidP="00C85061">
            <w:pPr>
              <w:jc w:val="center"/>
              <w:rPr>
                <w:rFonts w:asciiTheme="majorBidi" w:eastAsia="Times New Roman" w:hAnsiTheme="majorBidi" w:cstheme="majorBidi"/>
                <w:b/>
                <w:bCs/>
                <w:color w:val="FFFFFF" w:themeColor="background1"/>
                <w:kern w:val="0"/>
                <w:sz w:val="20"/>
                <w:szCs w:val="20"/>
                <w:lang w:eastAsia="en-GB"/>
                <w14:ligatures w14:val="none"/>
              </w:rPr>
            </w:pPr>
            <w:r w:rsidRPr="00050DAE">
              <w:rPr>
                <w:rFonts w:asciiTheme="majorBidi" w:eastAsia="Times New Roman" w:hAnsiTheme="majorBidi" w:cstheme="majorBidi"/>
                <w:b/>
                <w:bCs/>
                <w:color w:val="FFFFFF" w:themeColor="background1"/>
                <w:kern w:val="0"/>
                <w:sz w:val="20"/>
                <w:szCs w:val="20"/>
                <w:lang w:eastAsia="en-GB"/>
                <w14:ligatures w14:val="none"/>
              </w:rPr>
              <w:t>Function</w:t>
            </w:r>
          </w:p>
        </w:tc>
      </w:tr>
      <w:tr w:rsidR="00014F8D" w:rsidRPr="00050DAE" w14:paraId="41922011" w14:textId="77777777" w:rsidTr="007B4AB2">
        <w:trPr>
          <w:cantSplit/>
        </w:trPr>
        <w:tc>
          <w:tcPr>
            <w:tcW w:w="0" w:type="auto"/>
            <w:hideMark/>
          </w:tcPr>
          <w:p w14:paraId="6E786A7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Inanna’s Descent</w:t>
            </w:r>
          </w:p>
        </w:tc>
        <w:tc>
          <w:tcPr>
            <w:tcW w:w="1373" w:type="dxa"/>
            <w:hideMark/>
          </w:tcPr>
          <w:p w14:paraId="1C998F4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Sumer (Mesopotamia)</w:t>
            </w:r>
          </w:p>
        </w:tc>
        <w:tc>
          <w:tcPr>
            <w:tcW w:w="1843" w:type="dxa"/>
            <w:hideMark/>
          </w:tcPr>
          <w:p w14:paraId="4A198EA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Inanna’s Descent to the Netherworld</w:t>
            </w:r>
            <w:r w:rsidRPr="00050DAE">
              <w:rPr>
                <w:rFonts w:asciiTheme="majorBidi" w:eastAsia="Times New Roman" w:hAnsiTheme="majorBidi" w:cstheme="majorBidi"/>
                <w:kern w:val="0"/>
                <w:sz w:val="20"/>
                <w:szCs w:val="20"/>
                <w:lang w:eastAsia="en-GB"/>
                <w14:ligatures w14:val="none"/>
              </w:rPr>
              <w:t xml:space="preserve"> (ETCSL 1.4.1)</w:t>
            </w:r>
          </w:p>
        </w:tc>
        <w:tc>
          <w:tcPr>
            <w:tcW w:w="0" w:type="auto"/>
            <w:hideMark/>
          </w:tcPr>
          <w:p w14:paraId="51824E9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Old Babylonian copies, c. 1900-1600 BCE</w:t>
            </w:r>
          </w:p>
        </w:tc>
        <w:tc>
          <w:tcPr>
            <w:tcW w:w="0" w:type="auto"/>
            <w:hideMark/>
          </w:tcPr>
          <w:p w14:paraId="0F0D0FD5"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Inanna passes seven gates, is stripped of power, killed, revived, and returns via substitution</w:t>
            </w:r>
          </w:p>
        </w:tc>
        <w:tc>
          <w:tcPr>
            <w:tcW w:w="0" w:type="auto"/>
            <w:hideMark/>
          </w:tcPr>
          <w:p w14:paraId="03251B3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Death-rebirth; expansion of sovereignty; transformation</w:t>
            </w:r>
          </w:p>
        </w:tc>
      </w:tr>
      <w:tr w:rsidR="00014F8D" w:rsidRPr="00050DAE" w14:paraId="24D98871" w14:textId="77777777" w:rsidTr="007B4AB2">
        <w:trPr>
          <w:cantSplit/>
        </w:trPr>
        <w:tc>
          <w:tcPr>
            <w:tcW w:w="0" w:type="auto"/>
            <w:hideMark/>
          </w:tcPr>
          <w:p w14:paraId="1DE4F529" w14:textId="77777777" w:rsidR="00014F8D" w:rsidRPr="00050DAE" w:rsidRDefault="00014F8D" w:rsidP="00B645B4">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Ištar Descent</w:t>
            </w:r>
          </w:p>
        </w:tc>
        <w:tc>
          <w:tcPr>
            <w:tcW w:w="1373" w:type="dxa"/>
            <w:hideMark/>
          </w:tcPr>
          <w:p w14:paraId="739DED3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Babylonia /Assyria</w:t>
            </w:r>
          </w:p>
        </w:tc>
        <w:tc>
          <w:tcPr>
            <w:tcW w:w="1843" w:type="dxa"/>
            <w:hideMark/>
          </w:tcPr>
          <w:p w14:paraId="0CA2A0E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Descent of Ištar to the Netherworld</w:t>
            </w:r>
          </w:p>
        </w:tc>
        <w:tc>
          <w:tcPr>
            <w:tcW w:w="0" w:type="auto"/>
            <w:hideMark/>
          </w:tcPr>
          <w:p w14:paraId="5603F890" w14:textId="64DBBB51" w:rsidR="00014F8D" w:rsidRPr="00050DAE" w:rsidRDefault="00527EF9" w:rsidP="00C85061">
            <w:pPr>
              <w:rPr>
                <w:rFonts w:asciiTheme="majorBidi" w:eastAsia="Times New Roman" w:hAnsiTheme="majorBidi" w:cstheme="majorBidi"/>
                <w:kern w:val="0"/>
                <w:sz w:val="20"/>
                <w:szCs w:val="20"/>
                <w:lang w:eastAsia="en-GB"/>
                <w14:ligatures w14:val="none"/>
              </w:rPr>
            </w:pPr>
            <w:r>
              <w:rPr>
                <w:rFonts w:asciiTheme="majorBidi" w:eastAsia="Times New Roman" w:hAnsiTheme="majorBidi" w:cstheme="majorBidi"/>
                <w:kern w:val="0"/>
                <w:sz w:val="20"/>
                <w:szCs w:val="20"/>
                <w:lang w:eastAsia="en-GB"/>
                <w14:ligatures w14:val="none"/>
              </w:rPr>
              <w:t xml:space="preserve">1st </w:t>
            </w:r>
            <w:r w:rsidR="00014F8D" w:rsidRPr="00050DAE">
              <w:rPr>
                <w:rFonts w:asciiTheme="majorBidi" w:eastAsia="Times New Roman" w:hAnsiTheme="majorBidi" w:cstheme="majorBidi"/>
                <w:kern w:val="0"/>
                <w:sz w:val="20"/>
                <w:szCs w:val="20"/>
                <w:lang w:eastAsia="en-GB"/>
                <w14:ligatures w14:val="none"/>
              </w:rPr>
              <w:t>millennium BCE</w:t>
            </w:r>
          </w:p>
        </w:tc>
        <w:tc>
          <w:tcPr>
            <w:tcW w:w="0" w:type="auto"/>
            <w:hideMark/>
          </w:tcPr>
          <w:p w14:paraId="7163980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Ištar descends to Ereškigal, fertility ceases above, she is released</w:t>
            </w:r>
          </w:p>
        </w:tc>
        <w:tc>
          <w:tcPr>
            <w:tcW w:w="0" w:type="auto"/>
            <w:hideMark/>
          </w:tcPr>
          <w:p w14:paraId="14CD58E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Cosmic renewal; expansion of sovereignty; fertility</w:t>
            </w:r>
          </w:p>
        </w:tc>
      </w:tr>
      <w:tr w:rsidR="00014F8D" w:rsidRPr="00050DAE" w14:paraId="788E9043" w14:textId="77777777" w:rsidTr="007B4AB2">
        <w:trPr>
          <w:cantSplit/>
        </w:trPr>
        <w:tc>
          <w:tcPr>
            <w:tcW w:w="0" w:type="auto"/>
            <w:hideMark/>
          </w:tcPr>
          <w:p w14:paraId="485412B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Dumuzi’s Descent</w:t>
            </w:r>
          </w:p>
        </w:tc>
        <w:tc>
          <w:tcPr>
            <w:tcW w:w="1373" w:type="dxa"/>
            <w:hideMark/>
          </w:tcPr>
          <w:p w14:paraId="5C5E009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Sumer</w:t>
            </w:r>
          </w:p>
        </w:tc>
        <w:tc>
          <w:tcPr>
            <w:tcW w:w="1843" w:type="dxa"/>
            <w:hideMark/>
          </w:tcPr>
          <w:p w14:paraId="1D4A91F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Dumuzi’s Dream</w:t>
            </w:r>
            <w:r w:rsidRPr="00050DAE">
              <w:rPr>
                <w:rFonts w:asciiTheme="majorBidi" w:eastAsia="Times New Roman" w:hAnsiTheme="majorBidi" w:cstheme="majorBidi"/>
                <w:kern w:val="0"/>
                <w:sz w:val="20"/>
                <w:szCs w:val="20"/>
                <w:lang w:eastAsia="en-GB"/>
                <w14:ligatures w14:val="none"/>
              </w:rPr>
              <w:t xml:space="preserve">; </w:t>
            </w:r>
            <w:r w:rsidRPr="00050DAE">
              <w:rPr>
                <w:rFonts w:asciiTheme="majorBidi" w:eastAsia="Times New Roman" w:hAnsiTheme="majorBidi" w:cstheme="majorBidi"/>
                <w:i/>
                <w:iCs/>
                <w:kern w:val="0"/>
                <w:sz w:val="20"/>
                <w:szCs w:val="20"/>
                <w:lang w:eastAsia="en-GB"/>
                <w14:ligatures w14:val="none"/>
              </w:rPr>
              <w:t>Dumuzi and the Gala</w:t>
            </w:r>
            <w:r w:rsidRPr="00050DAE">
              <w:rPr>
                <w:rFonts w:asciiTheme="majorBidi" w:eastAsia="Times New Roman" w:hAnsiTheme="majorBidi" w:cstheme="majorBidi"/>
                <w:kern w:val="0"/>
                <w:sz w:val="20"/>
                <w:szCs w:val="20"/>
                <w:lang w:eastAsia="en-GB"/>
                <w14:ligatures w14:val="none"/>
              </w:rPr>
              <w:t xml:space="preserve"> texts</w:t>
            </w:r>
          </w:p>
        </w:tc>
        <w:tc>
          <w:tcPr>
            <w:tcW w:w="0" w:type="auto"/>
            <w:hideMark/>
          </w:tcPr>
          <w:p w14:paraId="50CE0E5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2000-1600 BCE</w:t>
            </w:r>
          </w:p>
        </w:tc>
        <w:tc>
          <w:tcPr>
            <w:tcW w:w="0" w:type="auto"/>
            <w:hideMark/>
          </w:tcPr>
          <w:p w14:paraId="0C08EB2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Dumuzi becomes substitute for Inanna and is taken below</w:t>
            </w:r>
          </w:p>
        </w:tc>
        <w:tc>
          <w:tcPr>
            <w:tcW w:w="0" w:type="auto"/>
            <w:hideMark/>
          </w:tcPr>
          <w:p w14:paraId="4D3154C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Seasonal cycle; substitution</w:t>
            </w:r>
          </w:p>
        </w:tc>
      </w:tr>
      <w:tr w:rsidR="00014F8D" w:rsidRPr="00050DAE" w14:paraId="196A8572" w14:textId="77777777" w:rsidTr="007B4AB2">
        <w:trPr>
          <w:cantSplit/>
        </w:trPr>
        <w:tc>
          <w:tcPr>
            <w:tcW w:w="0" w:type="auto"/>
            <w:hideMark/>
          </w:tcPr>
          <w:p w14:paraId="1041541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Nergal and Ereškigal</w:t>
            </w:r>
          </w:p>
        </w:tc>
        <w:tc>
          <w:tcPr>
            <w:tcW w:w="1373" w:type="dxa"/>
            <w:hideMark/>
          </w:tcPr>
          <w:p w14:paraId="3544235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Mesopotamia</w:t>
            </w:r>
          </w:p>
        </w:tc>
        <w:tc>
          <w:tcPr>
            <w:tcW w:w="1843" w:type="dxa"/>
            <w:hideMark/>
          </w:tcPr>
          <w:p w14:paraId="120D904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Nergal and Ereškigal</w:t>
            </w:r>
            <w:r w:rsidRPr="00050DAE">
              <w:rPr>
                <w:rFonts w:asciiTheme="majorBidi" w:eastAsia="Times New Roman" w:hAnsiTheme="majorBidi" w:cstheme="majorBidi"/>
                <w:kern w:val="0"/>
                <w:sz w:val="20"/>
                <w:szCs w:val="20"/>
                <w:lang w:eastAsia="en-GB"/>
                <w14:ligatures w14:val="none"/>
              </w:rPr>
              <w:t xml:space="preserve"> (Amarna and Sultantepe recensions)</w:t>
            </w:r>
          </w:p>
        </w:tc>
        <w:tc>
          <w:tcPr>
            <w:tcW w:w="0" w:type="auto"/>
            <w:hideMark/>
          </w:tcPr>
          <w:p w14:paraId="2D6510C5"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1400-700 BCE</w:t>
            </w:r>
          </w:p>
        </w:tc>
        <w:tc>
          <w:tcPr>
            <w:tcW w:w="0" w:type="auto"/>
            <w:hideMark/>
          </w:tcPr>
          <w:p w14:paraId="19411DA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Nergal descends and becomes ruler alongside Ereškigal</w:t>
            </w:r>
          </w:p>
        </w:tc>
        <w:tc>
          <w:tcPr>
            <w:tcW w:w="0" w:type="auto"/>
            <w:hideMark/>
          </w:tcPr>
          <w:p w14:paraId="721B391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Integration of death into kingship</w:t>
            </w:r>
          </w:p>
        </w:tc>
      </w:tr>
      <w:tr w:rsidR="00014F8D" w:rsidRPr="00050DAE" w14:paraId="4413EDC9" w14:textId="77777777" w:rsidTr="007B4AB2">
        <w:trPr>
          <w:cantSplit/>
        </w:trPr>
        <w:tc>
          <w:tcPr>
            <w:tcW w:w="0" w:type="auto"/>
            <w:hideMark/>
          </w:tcPr>
          <w:p w14:paraId="268E289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Gilgamesh, Enkidu and the Netherworld</w:t>
            </w:r>
          </w:p>
        </w:tc>
        <w:tc>
          <w:tcPr>
            <w:tcW w:w="1373" w:type="dxa"/>
            <w:hideMark/>
          </w:tcPr>
          <w:p w14:paraId="36B7782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Sumer</w:t>
            </w:r>
          </w:p>
        </w:tc>
        <w:tc>
          <w:tcPr>
            <w:tcW w:w="1843" w:type="dxa"/>
            <w:hideMark/>
          </w:tcPr>
          <w:p w14:paraId="3789477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ETCSL 1.8.1.4</w:t>
            </w:r>
          </w:p>
        </w:tc>
        <w:tc>
          <w:tcPr>
            <w:tcW w:w="0" w:type="auto"/>
            <w:hideMark/>
          </w:tcPr>
          <w:p w14:paraId="288744C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2000-1600 BCE</w:t>
            </w:r>
          </w:p>
        </w:tc>
        <w:tc>
          <w:tcPr>
            <w:tcW w:w="0" w:type="auto"/>
            <w:hideMark/>
          </w:tcPr>
          <w:p w14:paraId="6867122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Enkidu enters the netherworld and reports on the dead</w:t>
            </w:r>
          </w:p>
        </w:tc>
        <w:tc>
          <w:tcPr>
            <w:tcW w:w="0" w:type="auto"/>
            <w:hideMark/>
          </w:tcPr>
          <w:p w14:paraId="553096B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Knowledge of death</w:t>
            </w:r>
          </w:p>
        </w:tc>
      </w:tr>
      <w:tr w:rsidR="00014F8D" w:rsidRPr="00050DAE" w14:paraId="0E273EDB" w14:textId="77777777" w:rsidTr="007B4AB2">
        <w:trPr>
          <w:cantSplit/>
        </w:trPr>
        <w:tc>
          <w:tcPr>
            <w:tcW w:w="0" w:type="auto"/>
            <w:hideMark/>
          </w:tcPr>
          <w:p w14:paraId="4B960E0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Underworld Vision of an Assyrian Prince</w:t>
            </w:r>
          </w:p>
        </w:tc>
        <w:tc>
          <w:tcPr>
            <w:tcW w:w="1373" w:type="dxa"/>
            <w:hideMark/>
          </w:tcPr>
          <w:p w14:paraId="56A55D3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Assyria</w:t>
            </w:r>
          </w:p>
        </w:tc>
        <w:tc>
          <w:tcPr>
            <w:tcW w:w="1843" w:type="dxa"/>
            <w:hideMark/>
          </w:tcPr>
          <w:p w14:paraId="20F4E63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KAR 1 (VAT 10057)</w:t>
            </w:r>
          </w:p>
        </w:tc>
        <w:tc>
          <w:tcPr>
            <w:tcW w:w="0" w:type="auto"/>
            <w:hideMark/>
          </w:tcPr>
          <w:p w14:paraId="6E2F7A8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7th century BCE</w:t>
            </w:r>
          </w:p>
        </w:tc>
        <w:tc>
          <w:tcPr>
            <w:tcW w:w="0" w:type="auto"/>
            <w:hideMark/>
          </w:tcPr>
          <w:p w14:paraId="2E7D7F7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Prince experiences guided vision of the underworld</w:t>
            </w:r>
          </w:p>
        </w:tc>
        <w:tc>
          <w:tcPr>
            <w:tcW w:w="0" w:type="auto"/>
            <w:hideMark/>
          </w:tcPr>
          <w:p w14:paraId="1F90B97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Moral and cosmological instruction</w:t>
            </w:r>
          </w:p>
        </w:tc>
      </w:tr>
      <w:tr w:rsidR="00014F8D" w:rsidRPr="00050DAE" w14:paraId="37930171" w14:textId="77777777" w:rsidTr="007B4AB2">
        <w:trPr>
          <w:cantSplit/>
        </w:trPr>
        <w:tc>
          <w:tcPr>
            <w:tcW w:w="0" w:type="auto"/>
            <w:hideMark/>
          </w:tcPr>
          <w:p w14:paraId="12A3156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Baal and Mot</w:t>
            </w:r>
          </w:p>
        </w:tc>
        <w:tc>
          <w:tcPr>
            <w:tcW w:w="1373" w:type="dxa"/>
            <w:hideMark/>
          </w:tcPr>
          <w:p w14:paraId="1577D81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Ugarit (Levant)</w:t>
            </w:r>
          </w:p>
        </w:tc>
        <w:tc>
          <w:tcPr>
            <w:tcW w:w="1843" w:type="dxa"/>
            <w:hideMark/>
          </w:tcPr>
          <w:p w14:paraId="31A9F0D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Baal Cycle</w:t>
            </w:r>
            <w:r w:rsidRPr="00050DAE">
              <w:rPr>
                <w:rFonts w:asciiTheme="majorBidi" w:eastAsia="Times New Roman" w:hAnsiTheme="majorBidi" w:cstheme="majorBidi"/>
                <w:kern w:val="0"/>
                <w:sz w:val="20"/>
                <w:szCs w:val="20"/>
                <w:lang w:eastAsia="en-GB"/>
                <w14:ligatures w14:val="none"/>
              </w:rPr>
              <w:t xml:space="preserve"> (KTU 1.4-1.6)</w:t>
            </w:r>
          </w:p>
        </w:tc>
        <w:tc>
          <w:tcPr>
            <w:tcW w:w="0" w:type="auto"/>
            <w:hideMark/>
          </w:tcPr>
          <w:p w14:paraId="5F89B6C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1400-1200 BCE</w:t>
            </w:r>
          </w:p>
        </w:tc>
        <w:tc>
          <w:tcPr>
            <w:tcW w:w="0" w:type="auto"/>
            <w:hideMark/>
          </w:tcPr>
          <w:p w14:paraId="413508F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Baal enters Death’s realm and later returns</w:t>
            </w:r>
          </w:p>
        </w:tc>
        <w:tc>
          <w:tcPr>
            <w:tcW w:w="0" w:type="auto"/>
            <w:hideMark/>
          </w:tcPr>
          <w:p w14:paraId="2AA5D96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expansion of sovereignty; Agricultural renewal</w:t>
            </w:r>
          </w:p>
        </w:tc>
      </w:tr>
      <w:tr w:rsidR="00014F8D" w:rsidRPr="00050DAE" w14:paraId="34EB15BF" w14:textId="77777777" w:rsidTr="007B4AB2">
        <w:trPr>
          <w:cantSplit/>
        </w:trPr>
        <w:tc>
          <w:tcPr>
            <w:tcW w:w="0" w:type="auto"/>
            <w:hideMark/>
          </w:tcPr>
          <w:p w14:paraId="1DAB138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Ra’s Nightly Journey</w:t>
            </w:r>
          </w:p>
        </w:tc>
        <w:tc>
          <w:tcPr>
            <w:tcW w:w="1373" w:type="dxa"/>
            <w:hideMark/>
          </w:tcPr>
          <w:p w14:paraId="47192D2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Egypt</w:t>
            </w:r>
          </w:p>
        </w:tc>
        <w:tc>
          <w:tcPr>
            <w:tcW w:w="1843" w:type="dxa"/>
            <w:hideMark/>
          </w:tcPr>
          <w:p w14:paraId="2BE749A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Amduat</w:t>
            </w:r>
          </w:p>
        </w:tc>
        <w:tc>
          <w:tcPr>
            <w:tcW w:w="0" w:type="auto"/>
            <w:hideMark/>
          </w:tcPr>
          <w:p w14:paraId="6302576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1550-1070 BCE</w:t>
            </w:r>
          </w:p>
        </w:tc>
        <w:tc>
          <w:tcPr>
            <w:tcW w:w="0" w:type="auto"/>
            <w:hideMark/>
          </w:tcPr>
          <w:p w14:paraId="6BDEDC6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Ra traverses the Duat nightly and is reborn at dawn</w:t>
            </w:r>
          </w:p>
        </w:tc>
        <w:tc>
          <w:tcPr>
            <w:tcW w:w="0" w:type="auto"/>
            <w:hideMark/>
          </w:tcPr>
          <w:p w14:paraId="5FBB710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Cosmic regeneration</w:t>
            </w:r>
          </w:p>
        </w:tc>
      </w:tr>
      <w:tr w:rsidR="00014F8D" w:rsidRPr="00050DAE" w14:paraId="15464FE8" w14:textId="77777777" w:rsidTr="007B4AB2">
        <w:trPr>
          <w:cantSplit/>
        </w:trPr>
        <w:tc>
          <w:tcPr>
            <w:tcW w:w="0" w:type="auto"/>
            <w:hideMark/>
          </w:tcPr>
          <w:p w14:paraId="39AE06D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Passage Through the Gates</w:t>
            </w:r>
          </w:p>
        </w:tc>
        <w:tc>
          <w:tcPr>
            <w:tcW w:w="1373" w:type="dxa"/>
            <w:hideMark/>
          </w:tcPr>
          <w:p w14:paraId="6448763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Egypt</w:t>
            </w:r>
          </w:p>
        </w:tc>
        <w:tc>
          <w:tcPr>
            <w:tcW w:w="1843" w:type="dxa"/>
            <w:hideMark/>
          </w:tcPr>
          <w:p w14:paraId="4AECD4B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Book of Gates</w:t>
            </w:r>
          </w:p>
        </w:tc>
        <w:tc>
          <w:tcPr>
            <w:tcW w:w="0" w:type="auto"/>
            <w:hideMark/>
          </w:tcPr>
          <w:p w14:paraId="7AA9EA3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1400 BCE onward</w:t>
            </w:r>
          </w:p>
        </w:tc>
        <w:tc>
          <w:tcPr>
            <w:tcW w:w="0" w:type="auto"/>
            <w:hideMark/>
          </w:tcPr>
          <w:p w14:paraId="638B297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Journey through underworld gates and guardians</w:t>
            </w:r>
          </w:p>
        </w:tc>
        <w:tc>
          <w:tcPr>
            <w:tcW w:w="0" w:type="auto"/>
            <w:hideMark/>
          </w:tcPr>
          <w:p w14:paraId="6CC323E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Navigation of death</w:t>
            </w:r>
          </w:p>
        </w:tc>
      </w:tr>
      <w:tr w:rsidR="00014F8D" w:rsidRPr="00050DAE" w14:paraId="5BF2882E" w14:textId="77777777" w:rsidTr="007B4AB2">
        <w:trPr>
          <w:cantSplit/>
        </w:trPr>
        <w:tc>
          <w:tcPr>
            <w:tcW w:w="0" w:type="auto"/>
            <w:hideMark/>
          </w:tcPr>
          <w:p w14:paraId="4574473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Underworld Caverns</w:t>
            </w:r>
          </w:p>
        </w:tc>
        <w:tc>
          <w:tcPr>
            <w:tcW w:w="1373" w:type="dxa"/>
            <w:hideMark/>
          </w:tcPr>
          <w:p w14:paraId="18DD750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Egypt</w:t>
            </w:r>
          </w:p>
        </w:tc>
        <w:tc>
          <w:tcPr>
            <w:tcW w:w="1843" w:type="dxa"/>
            <w:hideMark/>
          </w:tcPr>
          <w:p w14:paraId="02DE87A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Book of Caverns</w:t>
            </w:r>
          </w:p>
        </w:tc>
        <w:tc>
          <w:tcPr>
            <w:tcW w:w="0" w:type="auto"/>
            <w:hideMark/>
          </w:tcPr>
          <w:p w14:paraId="2E06AE7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1300 BCE onward</w:t>
            </w:r>
          </w:p>
        </w:tc>
        <w:tc>
          <w:tcPr>
            <w:tcW w:w="0" w:type="auto"/>
            <w:hideMark/>
          </w:tcPr>
          <w:p w14:paraId="515EF54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Exploration of punishments and regeneration within the Duat</w:t>
            </w:r>
          </w:p>
        </w:tc>
        <w:tc>
          <w:tcPr>
            <w:tcW w:w="0" w:type="auto"/>
            <w:hideMark/>
          </w:tcPr>
          <w:p w14:paraId="42F56A0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Justice and renewal</w:t>
            </w:r>
          </w:p>
        </w:tc>
      </w:tr>
      <w:tr w:rsidR="00014F8D" w:rsidRPr="00050DAE" w14:paraId="71A9AF55" w14:textId="77777777" w:rsidTr="007B4AB2">
        <w:trPr>
          <w:cantSplit/>
        </w:trPr>
        <w:tc>
          <w:tcPr>
            <w:tcW w:w="0" w:type="auto"/>
            <w:hideMark/>
          </w:tcPr>
          <w:p w14:paraId="025F388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Journey of the Dead</w:t>
            </w:r>
          </w:p>
        </w:tc>
        <w:tc>
          <w:tcPr>
            <w:tcW w:w="1373" w:type="dxa"/>
            <w:hideMark/>
          </w:tcPr>
          <w:p w14:paraId="1A08A1D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Egypt</w:t>
            </w:r>
          </w:p>
        </w:tc>
        <w:tc>
          <w:tcPr>
            <w:tcW w:w="1843" w:type="dxa"/>
            <w:hideMark/>
          </w:tcPr>
          <w:p w14:paraId="5836305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Book of the Dead</w:t>
            </w:r>
          </w:p>
        </w:tc>
        <w:tc>
          <w:tcPr>
            <w:tcW w:w="0" w:type="auto"/>
            <w:hideMark/>
          </w:tcPr>
          <w:p w14:paraId="31E96C0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1550 BCE onward</w:t>
            </w:r>
          </w:p>
        </w:tc>
        <w:tc>
          <w:tcPr>
            <w:tcW w:w="0" w:type="auto"/>
            <w:hideMark/>
          </w:tcPr>
          <w:p w14:paraId="62E1E3A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Deceased navigates judgment and afterlife hazards</w:t>
            </w:r>
          </w:p>
        </w:tc>
        <w:tc>
          <w:tcPr>
            <w:tcW w:w="0" w:type="auto"/>
            <w:hideMark/>
          </w:tcPr>
          <w:p w14:paraId="0EE7E78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Mortuary guidance</w:t>
            </w:r>
          </w:p>
        </w:tc>
      </w:tr>
      <w:tr w:rsidR="00014F8D" w:rsidRPr="00050DAE" w14:paraId="5B6C0784" w14:textId="77777777" w:rsidTr="007B4AB2">
        <w:trPr>
          <w:cantSplit/>
        </w:trPr>
        <w:tc>
          <w:tcPr>
            <w:tcW w:w="0" w:type="auto"/>
            <w:hideMark/>
          </w:tcPr>
          <w:p w14:paraId="15B83DC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Book of Two Ways</w:t>
            </w:r>
          </w:p>
        </w:tc>
        <w:tc>
          <w:tcPr>
            <w:tcW w:w="1373" w:type="dxa"/>
            <w:hideMark/>
          </w:tcPr>
          <w:p w14:paraId="5827A6E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Egypt</w:t>
            </w:r>
          </w:p>
        </w:tc>
        <w:tc>
          <w:tcPr>
            <w:tcW w:w="1843" w:type="dxa"/>
            <w:hideMark/>
          </w:tcPr>
          <w:p w14:paraId="043BE0E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Coffin Texts, Spell 1029+</w:t>
            </w:r>
          </w:p>
        </w:tc>
        <w:tc>
          <w:tcPr>
            <w:tcW w:w="0" w:type="auto"/>
            <w:hideMark/>
          </w:tcPr>
          <w:p w14:paraId="08302C6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2000 BCE</w:t>
            </w:r>
          </w:p>
        </w:tc>
        <w:tc>
          <w:tcPr>
            <w:tcW w:w="0" w:type="auto"/>
            <w:hideMark/>
          </w:tcPr>
          <w:p w14:paraId="3B252D0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Map of routes through the afterlife</w:t>
            </w:r>
          </w:p>
        </w:tc>
        <w:tc>
          <w:tcPr>
            <w:tcW w:w="0" w:type="auto"/>
            <w:hideMark/>
          </w:tcPr>
          <w:p w14:paraId="1C3C96A5"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Cosmographic navigation</w:t>
            </w:r>
          </w:p>
        </w:tc>
      </w:tr>
      <w:tr w:rsidR="00014F8D" w:rsidRPr="00050DAE" w14:paraId="73E6D058" w14:textId="77777777" w:rsidTr="007B4AB2">
        <w:trPr>
          <w:cantSplit/>
        </w:trPr>
        <w:tc>
          <w:tcPr>
            <w:tcW w:w="0" w:type="auto"/>
            <w:hideMark/>
          </w:tcPr>
          <w:p w14:paraId="5A69290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Osiris Cycle</w:t>
            </w:r>
          </w:p>
        </w:tc>
        <w:tc>
          <w:tcPr>
            <w:tcW w:w="1373" w:type="dxa"/>
            <w:hideMark/>
          </w:tcPr>
          <w:p w14:paraId="0F587FE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Egypt</w:t>
            </w:r>
          </w:p>
        </w:tc>
        <w:tc>
          <w:tcPr>
            <w:tcW w:w="1843" w:type="dxa"/>
            <w:hideMark/>
          </w:tcPr>
          <w:p w14:paraId="512EE8B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 xml:space="preserve">Pyramid Texts; Coffin Texts; </w:t>
            </w:r>
            <w:r w:rsidRPr="00050DAE">
              <w:rPr>
                <w:rFonts w:asciiTheme="majorBidi" w:eastAsia="Times New Roman" w:hAnsiTheme="majorBidi" w:cstheme="majorBidi"/>
                <w:i/>
                <w:iCs/>
                <w:kern w:val="0"/>
                <w:sz w:val="20"/>
                <w:szCs w:val="20"/>
                <w:lang w:eastAsia="en-GB"/>
                <w14:ligatures w14:val="none"/>
              </w:rPr>
              <w:t>Book of the Dead</w:t>
            </w:r>
          </w:p>
        </w:tc>
        <w:tc>
          <w:tcPr>
            <w:tcW w:w="0" w:type="auto"/>
            <w:hideMark/>
          </w:tcPr>
          <w:p w14:paraId="0FA3096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2400 BCE onward</w:t>
            </w:r>
          </w:p>
        </w:tc>
        <w:tc>
          <w:tcPr>
            <w:tcW w:w="0" w:type="auto"/>
            <w:hideMark/>
          </w:tcPr>
          <w:p w14:paraId="7CAD7CF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Osiris dies, is restored, and rules the dead</w:t>
            </w:r>
          </w:p>
        </w:tc>
        <w:tc>
          <w:tcPr>
            <w:tcW w:w="0" w:type="auto"/>
            <w:hideMark/>
          </w:tcPr>
          <w:p w14:paraId="26A06F9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Restructure of Divine order; Resurrection model</w:t>
            </w:r>
          </w:p>
        </w:tc>
      </w:tr>
      <w:tr w:rsidR="00014F8D" w:rsidRPr="00050DAE" w14:paraId="51A3D4D6" w14:textId="77777777" w:rsidTr="007B4AB2">
        <w:trPr>
          <w:cantSplit/>
        </w:trPr>
        <w:tc>
          <w:tcPr>
            <w:tcW w:w="0" w:type="auto"/>
            <w:hideMark/>
          </w:tcPr>
          <w:p w14:paraId="78D3B8E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Odysseus’ Nekyia</w:t>
            </w:r>
          </w:p>
        </w:tc>
        <w:tc>
          <w:tcPr>
            <w:tcW w:w="1373" w:type="dxa"/>
            <w:hideMark/>
          </w:tcPr>
          <w:p w14:paraId="6D69565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Greece</w:t>
            </w:r>
          </w:p>
        </w:tc>
        <w:tc>
          <w:tcPr>
            <w:tcW w:w="1843" w:type="dxa"/>
            <w:hideMark/>
          </w:tcPr>
          <w:p w14:paraId="7D228BD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Odyssey</w:t>
            </w:r>
            <w:r w:rsidRPr="00050DAE">
              <w:rPr>
                <w:rFonts w:asciiTheme="majorBidi" w:eastAsia="Times New Roman" w:hAnsiTheme="majorBidi" w:cstheme="majorBidi"/>
                <w:kern w:val="0"/>
                <w:sz w:val="20"/>
                <w:szCs w:val="20"/>
                <w:lang w:eastAsia="en-GB"/>
                <w14:ligatures w14:val="none"/>
              </w:rPr>
              <w:t xml:space="preserve"> XI</w:t>
            </w:r>
          </w:p>
        </w:tc>
        <w:tc>
          <w:tcPr>
            <w:tcW w:w="0" w:type="auto"/>
            <w:hideMark/>
          </w:tcPr>
          <w:p w14:paraId="315BAC85"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8th century BCE</w:t>
            </w:r>
          </w:p>
        </w:tc>
        <w:tc>
          <w:tcPr>
            <w:tcW w:w="0" w:type="auto"/>
            <w:hideMark/>
          </w:tcPr>
          <w:p w14:paraId="24F6361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Odysseus consults the dead and Tiresias</w:t>
            </w:r>
          </w:p>
        </w:tc>
        <w:tc>
          <w:tcPr>
            <w:tcW w:w="0" w:type="auto"/>
            <w:hideMark/>
          </w:tcPr>
          <w:p w14:paraId="14851C85"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Knowledge acquisition</w:t>
            </w:r>
          </w:p>
        </w:tc>
      </w:tr>
      <w:tr w:rsidR="00014F8D" w:rsidRPr="00050DAE" w14:paraId="112332D5" w14:textId="77777777" w:rsidTr="007B4AB2">
        <w:trPr>
          <w:cantSplit/>
        </w:trPr>
        <w:tc>
          <w:tcPr>
            <w:tcW w:w="0" w:type="auto"/>
            <w:hideMark/>
          </w:tcPr>
          <w:p w14:paraId="1528EA4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Heracles and Cerberus</w:t>
            </w:r>
          </w:p>
        </w:tc>
        <w:tc>
          <w:tcPr>
            <w:tcW w:w="1373" w:type="dxa"/>
            <w:hideMark/>
          </w:tcPr>
          <w:p w14:paraId="5DAFE1F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Greece</w:t>
            </w:r>
          </w:p>
        </w:tc>
        <w:tc>
          <w:tcPr>
            <w:tcW w:w="1843" w:type="dxa"/>
            <w:hideMark/>
          </w:tcPr>
          <w:p w14:paraId="3F7D4BA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 xml:space="preserve">Hesiod; Pindar; Apollodorus </w:t>
            </w:r>
            <w:r w:rsidRPr="00050DAE">
              <w:rPr>
                <w:rFonts w:asciiTheme="majorBidi" w:eastAsia="Times New Roman" w:hAnsiTheme="majorBidi" w:cstheme="majorBidi"/>
                <w:i/>
                <w:iCs/>
                <w:kern w:val="0"/>
                <w:sz w:val="20"/>
                <w:szCs w:val="20"/>
                <w:lang w:eastAsia="en-GB"/>
                <w14:ligatures w14:val="none"/>
              </w:rPr>
              <w:t>Bibliotheca</w:t>
            </w:r>
            <w:r w:rsidRPr="00050DAE">
              <w:rPr>
                <w:rFonts w:asciiTheme="majorBidi" w:eastAsia="Times New Roman" w:hAnsiTheme="majorBidi" w:cstheme="majorBidi"/>
                <w:kern w:val="0"/>
                <w:sz w:val="20"/>
                <w:szCs w:val="20"/>
                <w:lang w:eastAsia="en-GB"/>
                <w14:ligatures w14:val="none"/>
              </w:rPr>
              <w:t xml:space="preserve"> 2.5.12</w:t>
            </w:r>
          </w:p>
        </w:tc>
        <w:tc>
          <w:tcPr>
            <w:tcW w:w="0" w:type="auto"/>
            <w:hideMark/>
          </w:tcPr>
          <w:p w14:paraId="44CB131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8th century BCE-2nd century CE</w:t>
            </w:r>
          </w:p>
        </w:tc>
        <w:tc>
          <w:tcPr>
            <w:tcW w:w="0" w:type="auto"/>
            <w:hideMark/>
          </w:tcPr>
          <w:p w14:paraId="3DA91F25"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Heracles descends and captures Cerberus</w:t>
            </w:r>
          </w:p>
        </w:tc>
        <w:tc>
          <w:tcPr>
            <w:tcW w:w="0" w:type="auto"/>
            <w:hideMark/>
          </w:tcPr>
          <w:p w14:paraId="1C1C9F9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Conquest of death</w:t>
            </w:r>
          </w:p>
        </w:tc>
      </w:tr>
      <w:tr w:rsidR="00014F8D" w:rsidRPr="00050DAE" w14:paraId="78FD3927" w14:textId="77777777" w:rsidTr="007B4AB2">
        <w:trPr>
          <w:cantSplit/>
        </w:trPr>
        <w:tc>
          <w:tcPr>
            <w:tcW w:w="0" w:type="auto"/>
            <w:hideMark/>
          </w:tcPr>
          <w:p w14:paraId="0E61DA1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Alcestis Rescued</w:t>
            </w:r>
          </w:p>
        </w:tc>
        <w:tc>
          <w:tcPr>
            <w:tcW w:w="1373" w:type="dxa"/>
            <w:hideMark/>
          </w:tcPr>
          <w:p w14:paraId="5AF86D7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Greece</w:t>
            </w:r>
          </w:p>
        </w:tc>
        <w:tc>
          <w:tcPr>
            <w:tcW w:w="1843" w:type="dxa"/>
            <w:hideMark/>
          </w:tcPr>
          <w:p w14:paraId="078D12A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 xml:space="preserve">Euripides, </w:t>
            </w:r>
            <w:r w:rsidRPr="00050DAE">
              <w:rPr>
                <w:rFonts w:asciiTheme="majorBidi" w:eastAsia="Times New Roman" w:hAnsiTheme="majorBidi" w:cstheme="majorBidi"/>
                <w:i/>
                <w:iCs/>
                <w:kern w:val="0"/>
                <w:sz w:val="20"/>
                <w:szCs w:val="20"/>
                <w:lang w:eastAsia="en-GB"/>
                <w14:ligatures w14:val="none"/>
              </w:rPr>
              <w:t>Alcestis</w:t>
            </w:r>
          </w:p>
        </w:tc>
        <w:tc>
          <w:tcPr>
            <w:tcW w:w="0" w:type="auto"/>
            <w:hideMark/>
          </w:tcPr>
          <w:p w14:paraId="4A124E8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438 BCE</w:t>
            </w:r>
          </w:p>
        </w:tc>
        <w:tc>
          <w:tcPr>
            <w:tcW w:w="0" w:type="auto"/>
            <w:hideMark/>
          </w:tcPr>
          <w:p w14:paraId="3B5AE55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Heracles restores Alcestis from death</w:t>
            </w:r>
          </w:p>
        </w:tc>
        <w:tc>
          <w:tcPr>
            <w:tcW w:w="0" w:type="auto"/>
            <w:hideMark/>
          </w:tcPr>
          <w:p w14:paraId="291DD83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Recovery from death</w:t>
            </w:r>
          </w:p>
        </w:tc>
      </w:tr>
      <w:tr w:rsidR="00014F8D" w:rsidRPr="00050DAE" w14:paraId="7CAE3BD3" w14:textId="77777777" w:rsidTr="007B4AB2">
        <w:trPr>
          <w:cantSplit/>
        </w:trPr>
        <w:tc>
          <w:tcPr>
            <w:tcW w:w="0" w:type="auto"/>
            <w:hideMark/>
          </w:tcPr>
          <w:p w14:paraId="258698B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Theseus and Pirithous</w:t>
            </w:r>
          </w:p>
        </w:tc>
        <w:tc>
          <w:tcPr>
            <w:tcW w:w="1373" w:type="dxa"/>
            <w:hideMark/>
          </w:tcPr>
          <w:p w14:paraId="379C53C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Greece</w:t>
            </w:r>
          </w:p>
        </w:tc>
        <w:tc>
          <w:tcPr>
            <w:tcW w:w="1843" w:type="dxa"/>
            <w:hideMark/>
          </w:tcPr>
          <w:p w14:paraId="0347E4B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Homer; Apollodorus</w:t>
            </w:r>
          </w:p>
        </w:tc>
        <w:tc>
          <w:tcPr>
            <w:tcW w:w="0" w:type="auto"/>
            <w:hideMark/>
          </w:tcPr>
          <w:p w14:paraId="781D58D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Archaic-Hellenistic</w:t>
            </w:r>
          </w:p>
        </w:tc>
        <w:tc>
          <w:tcPr>
            <w:tcW w:w="0" w:type="auto"/>
            <w:hideMark/>
          </w:tcPr>
          <w:p w14:paraId="18E69B6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Attempted abduction of Persephone leads to entrapment</w:t>
            </w:r>
          </w:p>
        </w:tc>
        <w:tc>
          <w:tcPr>
            <w:tcW w:w="0" w:type="auto"/>
            <w:hideMark/>
          </w:tcPr>
          <w:p w14:paraId="61E3D6A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Limits of mortality</w:t>
            </w:r>
          </w:p>
        </w:tc>
      </w:tr>
      <w:tr w:rsidR="00014F8D" w:rsidRPr="00050DAE" w14:paraId="19355D25" w14:textId="77777777" w:rsidTr="007B4AB2">
        <w:trPr>
          <w:cantSplit/>
        </w:trPr>
        <w:tc>
          <w:tcPr>
            <w:tcW w:w="0" w:type="auto"/>
            <w:hideMark/>
          </w:tcPr>
          <w:p w14:paraId="4339FD3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Orpheus and Eurydice</w:t>
            </w:r>
          </w:p>
        </w:tc>
        <w:tc>
          <w:tcPr>
            <w:tcW w:w="1373" w:type="dxa"/>
            <w:hideMark/>
          </w:tcPr>
          <w:p w14:paraId="22B43905"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Greece/Rome</w:t>
            </w:r>
          </w:p>
        </w:tc>
        <w:tc>
          <w:tcPr>
            <w:tcW w:w="1843" w:type="dxa"/>
            <w:hideMark/>
          </w:tcPr>
          <w:p w14:paraId="76FC28F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 xml:space="preserve">Virgil </w:t>
            </w:r>
            <w:r w:rsidRPr="00050DAE">
              <w:rPr>
                <w:rFonts w:asciiTheme="majorBidi" w:eastAsia="Times New Roman" w:hAnsiTheme="majorBidi" w:cstheme="majorBidi"/>
                <w:i/>
                <w:iCs/>
                <w:kern w:val="0"/>
                <w:sz w:val="20"/>
                <w:szCs w:val="20"/>
                <w:lang w:eastAsia="en-GB"/>
                <w14:ligatures w14:val="none"/>
              </w:rPr>
              <w:t>Georgics</w:t>
            </w:r>
            <w:r w:rsidRPr="00050DAE">
              <w:rPr>
                <w:rFonts w:asciiTheme="majorBidi" w:eastAsia="Times New Roman" w:hAnsiTheme="majorBidi" w:cstheme="majorBidi"/>
                <w:kern w:val="0"/>
                <w:sz w:val="20"/>
                <w:szCs w:val="20"/>
                <w:lang w:eastAsia="en-GB"/>
                <w14:ligatures w14:val="none"/>
              </w:rPr>
              <w:t xml:space="preserve"> 4; Ovid </w:t>
            </w:r>
            <w:r w:rsidRPr="00050DAE">
              <w:rPr>
                <w:rFonts w:asciiTheme="majorBidi" w:eastAsia="Times New Roman" w:hAnsiTheme="majorBidi" w:cstheme="majorBidi"/>
                <w:i/>
                <w:iCs/>
                <w:kern w:val="0"/>
                <w:sz w:val="20"/>
                <w:szCs w:val="20"/>
                <w:lang w:eastAsia="en-GB"/>
                <w14:ligatures w14:val="none"/>
              </w:rPr>
              <w:t>Metamorphoses</w:t>
            </w:r>
            <w:r w:rsidRPr="00050DAE">
              <w:rPr>
                <w:rFonts w:asciiTheme="majorBidi" w:eastAsia="Times New Roman" w:hAnsiTheme="majorBidi" w:cstheme="majorBidi"/>
                <w:kern w:val="0"/>
                <w:sz w:val="20"/>
                <w:szCs w:val="20"/>
                <w:lang w:eastAsia="en-GB"/>
                <w14:ligatures w14:val="none"/>
              </w:rPr>
              <w:t xml:space="preserve"> 10-11</w:t>
            </w:r>
          </w:p>
        </w:tc>
        <w:tc>
          <w:tcPr>
            <w:tcW w:w="0" w:type="auto"/>
            <w:hideMark/>
          </w:tcPr>
          <w:p w14:paraId="42BC75C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1st century BCE-1st century CE</w:t>
            </w:r>
          </w:p>
        </w:tc>
        <w:tc>
          <w:tcPr>
            <w:tcW w:w="0" w:type="auto"/>
            <w:hideMark/>
          </w:tcPr>
          <w:p w14:paraId="52FE47D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Orpheus nearly recovers Eurydice but fails</w:t>
            </w:r>
          </w:p>
        </w:tc>
        <w:tc>
          <w:tcPr>
            <w:tcW w:w="0" w:type="auto"/>
            <w:hideMark/>
          </w:tcPr>
          <w:p w14:paraId="00174EC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Grief; irreversibility of death</w:t>
            </w:r>
          </w:p>
        </w:tc>
      </w:tr>
      <w:tr w:rsidR="00014F8D" w:rsidRPr="00050DAE" w14:paraId="7D593B3F" w14:textId="77777777" w:rsidTr="007B4AB2">
        <w:trPr>
          <w:cantSplit/>
        </w:trPr>
        <w:tc>
          <w:tcPr>
            <w:tcW w:w="0" w:type="auto"/>
            <w:hideMark/>
          </w:tcPr>
          <w:p w14:paraId="2F4300C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Dionysus Retrieves Semele</w:t>
            </w:r>
          </w:p>
        </w:tc>
        <w:tc>
          <w:tcPr>
            <w:tcW w:w="1373" w:type="dxa"/>
            <w:hideMark/>
          </w:tcPr>
          <w:p w14:paraId="38828DF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Greece</w:t>
            </w:r>
          </w:p>
        </w:tc>
        <w:tc>
          <w:tcPr>
            <w:tcW w:w="1843" w:type="dxa"/>
            <w:hideMark/>
          </w:tcPr>
          <w:p w14:paraId="038DD83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Apollodorus 3.5.3; Pausanias 2.31.2</w:t>
            </w:r>
          </w:p>
        </w:tc>
        <w:tc>
          <w:tcPr>
            <w:tcW w:w="0" w:type="auto"/>
            <w:hideMark/>
          </w:tcPr>
          <w:p w14:paraId="73AB628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Classical-Roman</w:t>
            </w:r>
          </w:p>
        </w:tc>
        <w:tc>
          <w:tcPr>
            <w:tcW w:w="0" w:type="auto"/>
            <w:hideMark/>
          </w:tcPr>
          <w:p w14:paraId="10EFE4F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Dionysus returns his mother from Hades</w:t>
            </w:r>
          </w:p>
        </w:tc>
        <w:tc>
          <w:tcPr>
            <w:tcW w:w="0" w:type="auto"/>
            <w:hideMark/>
          </w:tcPr>
          <w:p w14:paraId="5E30487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Apotheosis</w:t>
            </w:r>
          </w:p>
        </w:tc>
      </w:tr>
      <w:tr w:rsidR="00014F8D" w:rsidRPr="00050DAE" w14:paraId="44DCC0FA" w14:textId="77777777" w:rsidTr="007B4AB2">
        <w:trPr>
          <w:cantSplit/>
        </w:trPr>
        <w:tc>
          <w:tcPr>
            <w:tcW w:w="0" w:type="auto"/>
            <w:hideMark/>
          </w:tcPr>
          <w:p w14:paraId="6342D24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Persephone Cycle</w:t>
            </w:r>
          </w:p>
        </w:tc>
        <w:tc>
          <w:tcPr>
            <w:tcW w:w="1373" w:type="dxa"/>
            <w:hideMark/>
          </w:tcPr>
          <w:p w14:paraId="158ABBE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Greece</w:t>
            </w:r>
          </w:p>
        </w:tc>
        <w:tc>
          <w:tcPr>
            <w:tcW w:w="1843" w:type="dxa"/>
            <w:hideMark/>
          </w:tcPr>
          <w:p w14:paraId="06573DE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Homeric Hymn to Demeter</w:t>
            </w:r>
          </w:p>
        </w:tc>
        <w:tc>
          <w:tcPr>
            <w:tcW w:w="0" w:type="auto"/>
            <w:hideMark/>
          </w:tcPr>
          <w:p w14:paraId="5BEF58A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7th-6th century BCE</w:t>
            </w:r>
          </w:p>
        </w:tc>
        <w:tc>
          <w:tcPr>
            <w:tcW w:w="0" w:type="auto"/>
            <w:hideMark/>
          </w:tcPr>
          <w:p w14:paraId="082806C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Persephone  abduction leads to alternation between worlds</w:t>
            </w:r>
          </w:p>
        </w:tc>
        <w:tc>
          <w:tcPr>
            <w:tcW w:w="0" w:type="auto"/>
            <w:hideMark/>
          </w:tcPr>
          <w:p w14:paraId="02990EE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Seasonal renewal</w:t>
            </w:r>
          </w:p>
        </w:tc>
      </w:tr>
      <w:tr w:rsidR="00014F8D" w:rsidRPr="00050DAE" w14:paraId="51974A34" w14:textId="77777777" w:rsidTr="007B4AB2">
        <w:trPr>
          <w:cantSplit/>
        </w:trPr>
        <w:tc>
          <w:tcPr>
            <w:tcW w:w="0" w:type="auto"/>
            <w:hideMark/>
          </w:tcPr>
          <w:p w14:paraId="63E41E9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Myth of Er</w:t>
            </w:r>
          </w:p>
        </w:tc>
        <w:tc>
          <w:tcPr>
            <w:tcW w:w="1373" w:type="dxa"/>
            <w:hideMark/>
          </w:tcPr>
          <w:p w14:paraId="4176B40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Greece</w:t>
            </w:r>
          </w:p>
        </w:tc>
        <w:tc>
          <w:tcPr>
            <w:tcW w:w="1843" w:type="dxa"/>
            <w:hideMark/>
          </w:tcPr>
          <w:p w14:paraId="01E4CE8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 xml:space="preserve">Plato, </w:t>
            </w:r>
            <w:r w:rsidRPr="00050DAE">
              <w:rPr>
                <w:rFonts w:asciiTheme="majorBidi" w:eastAsia="Times New Roman" w:hAnsiTheme="majorBidi" w:cstheme="majorBidi"/>
                <w:i/>
                <w:iCs/>
                <w:kern w:val="0"/>
                <w:sz w:val="20"/>
                <w:szCs w:val="20"/>
                <w:lang w:eastAsia="en-GB"/>
                <w14:ligatures w14:val="none"/>
              </w:rPr>
              <w:t>Republic</w:t>
            </w:r>
            <w:r w:rsidRPr="00050DAE">
              <w:rPr>
                <w:rFonts w:asciiTheme="majorBidi" w:eastAsia="Times New Roman" w:hAnsiTheme="majorBidi" w:cstheme="majorBidi"/>
                <w:kern w:val="0"/>
                <w:sz w:val="20"/>
                <w:szCs w:val="20"/>
                <w:lang w:eastAsia="en-GB"/>
                <w14:ligatures w14:val="none"/>
              </w:rPr>
              <w:t xml:space="preserve"> 10.614b-621d</w:t>
            </w:r>
          </w:p>
        </w:tc>
        <w:tc>
          <w:tcPr>
            <w:tcW w:w="0" w:type="auto"/>
            <w:hideMark/>
          </w:tcPr>
          <w:p w14:paraId="41D3D90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380 BCE</w:t>
            </w:r>
          </w:p>
        </w:tc>
        <w:tc>
          <w:tcPr>
            <w:tcW w:w="0" w:type="auto"/>
            <w:hideMark/>
          </w:tcPr>
          <w:p w14:paraId="773A908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Er dies, sees afterlife judgment, returns</w:t>
            </w:r>
          </w:p>
        </w:tc>
        <w:tc>
          <w:tcPr>
            <w:tcW w:w="0" w:type="auto"/>
            <w:hideMark/>
          </w:tcPr>
          <w:p w14:paraId="1CC8775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Moral cosmology</w:t>
            </w:r>
          </w:p>
        </w:tc>
      </w:tr>
      <w:tr w:rsidR="00014F8D" w:rsidRPr="00050DAE" w14:paraId="52C3BFBD" w14:textId="77777777" w:rsidTr="007B4AB2">
        <w:trPr>
          <w:cantSplit/>
        </w:trPr>
        <w:tc>
          <w:tcPr>
            <w:tcW w:w="0" w:type="auto"/>
            <w:hideMark/>
          </w:tcPr>
          <w:p w14:paraId="3406819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Aeneas’ Katabasis</w:t>
            </w:r>
          </w:p>
        </w:tc>
        <w:tc>
          <w:tcPr>
            <w:tcW w:w="1373" w:type="dxa"/>
            <w:hideMark/>
          </w:tcPr>
          <w:p w14:paraId="78A52E8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Rome</w:t>
            </w:r>
          </w:p>
        </w:tc>
        <w:tc>
          <w:tcPr>
            <w:tcW w:w="1843" w:type="dxa"/>
            <w:hideMark/>
          </w:tcPr>
          <w:p w14:paraId="73F6DA3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 xml:space="preserve">Virgil, </w:t>
            </w:r>
            <w:r w:rsidRPr="00050DAE">
              <w:rPr>
                <w:rFonts w:asciiTheme="majorBidi" w:eastAsia="Times New Roman" w:hAnsiTheme="majorBidi" w:cstheme="majorBidi"/>
                <w:i/>
                <w:iCs/>
                <w:kern w:val="0"/>
                <w:sz w:val="20"/>
                <w:szCs w:val="20"/>
                <w:lang w:eastAsia="en-GB"/>
                <w14:ligatures w14:val="none"/>
              </w:rPr>
              <w:t>Aeneid</w:t>
            </w:r>
            <w:r w:rsidRPr="00050DAE">
              <w:rPr>
                <w:rFonts w:asciiTheme="majorBidi" w:eastAsia="Times New Roman" w:hAnsiTheme="majorBidi" w:cstheme="majorBidi"/>
                <w:kern w:val="0"/>
                <w:sz w:val="20"/>
                <w:szCs w:val="20"/>
                <w:lang w:eastAsia="en-GB"/>
                <w14:ligatures w14:val="none"/>
              </w:rPr>
              <w:t xml:space="preserve"> Book 6</w:t>
            </w:r>
          </w:p>
        </w:tc>
        <w:tc>
          <w:tcPr>
            <w:tcW w:w="0" w:type="auto"/>
            <w:hideMark/>
          </w:tcPr>
          <w:p w14:paraId="601F574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19 BCE</w:t>
            </w:r>
          </w:p>
        </w:tc>
        <w:tc>
          <w:tcPr>
            <w:tcW w:w="0" w:type="auto"/>
            <w:hideMark/>
          </w:tcPr>
          <w:p w14:paraId="2D637DF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Aeneas tours Hades and receives Rome’s destiny</w:t>
            </w:r>
          </w:p>
        </w:tc>
        <w:tc>
          <w:tcPr>
            <w:tcW w:w="0" w:type="auto"/>
            <w:hideMark/>
          </w:tcPr>
          <w:p w14:paraId="5CE4DB7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Identity and destiny</w:t>
            </w:r>
          </w:p>
        </w:tc>
      </w:tr>
      <w:tr w:rsidR="00014F8D" w:rsidRPr="00050DAE" w14:paraId="44F3F688" w14:textId="77777777" w:rsidTr="007B4AB2">
        <w:trPr>
          <w:cantSplit/>
        </w:trPr>
        <w:tc>
          <w:tcPr>
            <w:tcW w:w="0" w:type="auto"/>
            <w:hideMark/>
          </w:tcPr>
          <w:p w14:paraId="3A9FA44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Psyche’s Descent</w:t>
            </w:r>
          </w:p>
        </w:tc>
        <w:tc>
          <w:tcPr>
            <w:tcW w:w="1373" w:type="dxa"/>
            <w:hideMark/>
          </w:tcPr>
          <w:p w14:paraId="196D2F5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Roman Empire</w:t>
            </w:r>
          </w:p>
        </w:tc>
        <w:tc>
          <w:tcPr>
            <w:tcW w:w="1843" w:type="dxa"/>
            <w:hideMark/>
          </w:tcPr>
          <w:p w14:paraId="0CBE4C1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 xml:space="preserve">Apuleius, </w:t>
            </w:r>
            <w:r w:rsidRPr="00050DAE">
              <w:rPr>
                <w:rFonts w:asciiTheme="majorBidi" w:eastAsia="Times New Roman" w:hAnsiTheme="majorBidi" w:cstheme="majorBidi"/>
                <w:i/>
                <w:iCs/>
                <w:kern w:val="0"/>
                <w:sz w:val="20"/>
                <w:szCs w:val="20"/>
                <w:lang w:eastAsia="en-GB"/>
                <w14:ligatures w14:val="none"/>
              </w:rPr>
              <w:t>Metamorphoses</w:t>
            </w:r>
            <w:r w:rsidRPr="00050DAE">
              <w:rPr>
                <w:rFonts w:asciiTheme="majorBidi" w:eastAsia="Times New Roman" w:hAnsiTheme="majorBidi" w:cstheme="majorBidi"/>
                <w:kern w:val="0"/>
                <w:sz w:val="20"/>
                <w:szCs w:val="20"/>
                <w:lang w:eastAsia="en-GB"/>
                <w14:ligatures w14:val="none"/>
              </w:rPr>
              <w:t xml:space="preserve"> 6</w:t>
            </w:r>
          </w:p>
        </w:tc>
        <w:tc>
          <w:tcPr>
            <w:tcW w:w="0" w:type="auto"/>
            <w:hideMark/>
          </w:tcPr>
          <w:p w14:paraId="7B79D14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2nd century CE</w:t>
            </w:r>
          </w:p>
        </w:tc>
        <w:tc>
          <w:tcPr>
            <w:tcW w:w="0" w:type="auto"/>
            <w:hideMark/>
          </w:tcPr>
          <w:p w14:paraId="0B5DFF6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Psyche journeys to Persephone and returns</w:t>
            </w:r>
          </w:p>
        </w:tc>
        <w:tc>
          <w:tcPr>
            <w:tcW w:w="0" w:type="auto"/>
            <w:hideMark/>
          </w:tcPr>
          <w:p w14:paraId="301C339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Initiation and transformation</w:t>
            </w:r>
          </w:p>
        </w:tc>
      </w:tr>
      <w:tr w:rsidR="00014F8D" w:rsidRPr="00050DAE" w14:paraId="795D7955" w14:textId="77777777" w:rsidTr="007B4AB2">
        <w:trPr>
          <w:cantSplit/>
        </w:trPr>
        <w:tc>
          <w:tcPr>
            <w:tcW w:w="0" w:type="auto"/>
            <w:hideMark/>
          </w:tcPr>
          <w:p w14:paraId="5E458E9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Menippus in Hades</w:t>
            </w:r>
          </w:p>
        </w:tc>
        <w:tc>
          <w:tcPr>
            <w:tcW w:w="1373" w:type="dxa"/>
            <w:hideMark/>
          </w:tcPr>
          <w:p w14:paraId="2D7CA9E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Roman Empire</w:t>
            </w:r>
          </w:p>
        </w:tc>
        <w:tc>
          <w:tcPr>
            <w:tcW w:w="1843" w:type="dxa"/>
            <w:hideMark/>
          </w:tcPr>
          <w:p w14:paraId="228FA5D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 xml:space="preserve">Lucian, </w:t>
            </w:r>
            <w:r w:rsidRPr="00050DAE">
              <w:rPr>
                <w:rFonts w:asciiTheme="majorBidi" w:eastAsia="Times New Roman" w:hAnsiTheme="majorBidi" w:cstheme="majorBidi"/>
                <w:i/>
                <w:iCs/>
                <w:kern w:val="0"/>
                <w:sz w:val="20"/>
                <w:szCs w:val="20"/>
                <w:lang w:eastAsia="en-GB"/>
                <w14:ligatures w14:val="none"/>
              </w:rPr>
              <w:t>Menippus</w:t>
            </w:r>
          </w:p>
        </w:tc>
        <w:tc>
          <w:tcPr>
            <w:tcW w:w="0" w:type="auto"/>
            <w:hideMark/>
          </w:tcPr>
          <w:p w14:paraId="7BDAF50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2nd century CE</w:t>
            </w:r>
          </w:p>
        </w:tc>
        <w:tc>
          <w:tcPr>
            <w:tcW w:w="0" w:type="auto"/>
            <w:hideMark/>
          </w:tcPr>
          <w:p w14:paraId="19F74DB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Satirical descent to question human values</w:t>
            </w:r>
          </w:p>
        </w:tc>
        <w:tc>
          <w:tcPr>
            <w:tcW w:w="0" w:type="auto"/>
            <w:hideMark/>
          </w:tcPr>
          <w:p w14:paraId="3F6DFBB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Philosophical critique</w:t>
            </w:r>
          </w:p>
        </w:tc>
      </w:tr>
      <w:tr w:rsidR="00014F8D" w:rsidRPr="00050DAE" w14:paraId="795DB9A4" w14:textId="77777777" w:rsidTr="007B4AB2">
        <w:trPr>
          <w:cantSplit/>
        </w:trPr>
        <w:tc>
          <w:tcPr>
            <w:tcW w:w="0" w:type="auto"/>
            <w:hideMark/>
          </w:tcPr>
          <w:p w14:paraId="1204AF6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Nachiketa and Yama</w:t>
            </w:r>
          </w:p>
        </w:tc>
        <w:tc>
          <w:tcPr>
            <w:tcW w:w="1373" w:type="dxa"/>
            <w:hideMark/>
          </w:tcPr>
          <w:p w14:paraId="58C9260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India</w:t>
            </w:r>
          </w:p>
        </w:tc>
        <w:tc>
          <w:tcPr>
            <w:tcW w:w="1843" w:type="dxa"/>
            <w:hideMark/>
          </w:tcPr>
          <w:p w14:paraId="37C4DC2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Katha Upanishad</w:t>
            </w:r>
          </w:p>
        </w:tc>
        <w:tc>
          <w:tcPr>
            <w:tcW w:w="0" w:type="auto"/>
            <w:hideMark/>
          </w:tcPr>
          <w:p w14:paraId="163F409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5th-3rd century BCE</w:t>
            </w:r>
          </w:p>
        </w:tc>
        <w:tc>
          <w:tcPr>
            <w:tcW w:w="0" w:type="auto"/>
            <w:hideMark/>
          </w:tcPr>
          <w:p w14:paraId="139E2BC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Boy visits Death and learns immortality</w:t>
            </w:r>
          </w:p>
        </w:tc>
        <w:tc>
          <w:tcPr>
            <w:tcW w:w="0" w:type="auto"/>
            <w:hideMark/>
          </w:tcPr>
          <w:p w14:paraId="3601AD2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Philosophical inquiry</w:t>
            </w:r>
          </w:p>
        </w:tc>
      </w:tr>
      <w:tr w:rsidR="00014F8D" w:rsidRPr="00050DAE" w14:paraId="3D24B9F7" w14:textId="77777777" w:rsidTr="007B4AB2">
        <w:trPr>
          <w:cantSplit/>
        </w:trPr>
        <w:tc>
          <w:tcPr>
            <w:tcW w:w="0" w:type="auto"/>
            <w:hideMark/>
          </w:tcPr>
          <w:p w14:paraId="1BA7B30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Savitri and Satyavan</w:t>
            </w:r>
          </w:p>
        </w:tc>
        <w:tc>
          <w:tcPr>
            <w:tcW w:w="1373" w:type="dxa"/>
            <w:hideMark/>
          </w:tcPr>
          <w:p w14:paraId="0B8CD7E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India</w:t>
            </w:r>
          </w:p>
        </w:tc>
        <w:tc>
          <w:tcPr>
            <w:tcW w:w="1843" w:type="dxa"/>
            <w:hideMark/>
          </w:tcPr>
          <w:p w14:paraId="3543C57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Mahabharata</w:t>
            </w:r>
            <w:r w:rsidRPr="00050DAE">
              <w:rPr>
                <w:rFonts w:asciiTheme="majorBidi" w:eastAsia="Times New Roman" w:hAnsiTheme="majorBidi" w:cstheme="majorBidi"/>
                <w:kern w:val="0"/>
                <w:sz w:val="20"/>
                <w:szCs w:val="20"/>
                <w:lang w:eastAsia="en-GB"/>
                <w14:ligatures w14:val="none"/>
              </w:rPr>
              <w:t>, Vana Parva 293-299</w:t>
            </w:r>
          </w:p>
        </w:tc>
        <w:tc>
          <w:tcPr>
            <w:tcW w:w="0" w:type="auto"/>
            <w:hideMark/>
          </w:tcPr>
          <w:p w14:paraId="03FBF69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400 BCE-400 CE</w:t>
            </w:r>
          </w:p>
        </w:tc>
        <w:tc>
          <w:tcPr>
            <w:tcW w:w="0" w:type="auto"/>
            <w:hideMark/>
          </w:tcPr>
          <w:p w14:paraId="7430092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Savitri follows Yama and wins back her husband</w:t>
            </w:r>
          </w:p>
        </w:tc>
        <w:tc>
          <w:tcPr>
            <w:tcW w:w="0" w:type="auto"/>
            <w:hideMark/>
          </w:tcPr>
          <w:p w14:paraId="71DCC2A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Devotion conquering death</w:t>
            </w:r>
          </w:p>
        </w:tc>
      </w:tr>
      <w:tr w:rsidR="00014F8D" w:rsidRPr="00050DAE" w14:paraId="0C80BBEA" w14:textId="77777777" w:rsidTr="007B4AB2">
        <w:trPr>
          <w:cantSplit/>
        </w:trPr>
        <w:tc>
          <w:tcPr>
            <w:tcW w:w="0" w:type="auto"/>
            <w:hideMark/>
          </w:tcPr>
          <w:p w14:paraId="44FF1A3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Yudhishthira’s Hell Journey</w:t>
            </w:r>
          </w:p>
        </w:tc>
        <w:tc>
          <w:tcPr>
            <w:tcW w:w="1373" w:type="dxa"/>
            <w:hideMark/>
          </w:tcPr>
          <w:p w14:paraId="099D6F8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India</w:t>
            </w:r>
          </w:p>
        </w:tc>
        <w:tc>
          <w:tcPr>
            <w:tcW w:w="1843" w:type="dxa"/>
            <w:hideMark/>
          </w:tcPr>
          <w:p w14:paraId="77CC1C5A"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Mahabharata</w:t>
            </w:r>
            <w:r w:rsidRPr="00050DAE">
              <w:rPr>
                <w:rFonts w:asciiTheme="majorBidi" w:eastAsia="Times New Roman" w:hAnsiTheme="majorBidi" w:cstheme="majorBidi"/>
                <w:kern w:val="0"/>
                <w:sz w:val="20"/>
                <w:szCs w:val="20"/>
                <w:lang w:eastAsia="en-GB"/>
                <w14:ligatures w14:val="none"/>
              </w:rPr>
              <w:t>, Svargarohana Parva</w:t>
            </w:r>
          </w:p>
        </w:tc>
        <w:tc>
          <w:tcPr>
            <w:tcW w:w="0" w:type="auto"/>
            <w:hideMark/>
          </w:tcPr>
          <w:p w14:paraId="6C689D2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400 BCE-400 CE</w:t>
            </w:r>
          </w:p>
        </w:tc>
        <w:tc>
          <w:tcPr>
            <w:tcW w:w="0" w:type="auto"/>
            <w:hideMark/>
          </w:tcPr>
          <w:p w14:paraId="046105A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King experiences hell before heaven</w:t>
            </w:r>
          </w:p>
        </w:tc>
        <w:tc>
          <w:tcPr>
            <w:tcW w:w="0" w:type="auto"/>
            <w:hideMark/>
          </w:tcPr>
          <w:p w14:paraId="1923C67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Moral revelation</w:t>
            </w:r>
          </w:p>
        </w:tc>
      </w:tr>
      <w:tr w:rsidR="00014F8D" w:rsidRPr="00050DAE" w14:paraId="259C860D" w14:textId="77777777" w:rsidTr="007B4AB2">
        <w:trPr>
          <w:cantSplit/>
        </w:trPr>
        <w:tc>
          <w:tcPr>
            <w:tcW w:w="0" w:type="auto"/>
            <w:hideMark/>
          </w:tcPr>
          <w:p w14:paraId="41B5B1D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Journey to Yama</w:t>
            </w:r>
          </w:p>
        </w:tc>
        <w:tc>
          <w:tcPr>
            <w:tcW w:w="1373" w:type="dxa"/>
            <w:hideMark/>
          </w:tcPr>
          <w:p w14:paraId="7274309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India</w:t>
            </w:r>
          </w:p>
        </w:tc>
        <w:tc>
          <w:tcPr>
            <w:tcW w:w="1843" w:type="dxa"/>
            <w:hideMark/>
          </w:tcPr>
          <w:p w14:paraId="6E77EBA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Rig Veda 10.14</w:t>
            </w:r>
          </w:p>
        </w:tc>
        <w:tc>
          <w:tcPr>
            <w:tcW w:w="0" w:type="auto"/>
            <w:hideMark/>
          </w:tcPr>
          <w:p w14:paraId="0997B8A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1500-1200 BCE (oral); later written</w:t>
            </w:r>
          </w:p>
        </w:tc>
        <w:tc>
          <w:tcPr>
            <w:tcW w:w="0" w:type="auto"/>
            <w:hideMark/>
          </w:tcPr>
          <w:p w14:paraId="1C9318C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Earliest Indo-Aryan vision of the path of the dead</w:t>
            </w:r>
          </w:p>
        </w:tc>
        <w:tc>
          <w:tcPr>
            <w:tcW w:w="0" w:type="auto"/>
            <w:hideMark/>
          </w:tcPr>
          <w:p w14:paraId="5229B89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Ancestor integration</w:t>
            </w:r>
          </w:p>
        </w:tc>
      </w:tr>
      <w:tr w:rsidR="00014F8D" w:rsidRPr="00050DAE" w14:paraId="67C502A5" w14:textId="77777777" w:rsidTr="007B4AB2">
        <w:trPr>
          <w:cantSplit/>
        </w:trPr>
        <w:tc>
          <w:tcPr>
            <w:tcW w:w="0" w:type="auto"/>
            <w:hideMark/>
          </w:tcPr>
          <w:p w14:paraId="00CF75D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Soul’s Journey</w:t>
            </w:r>
          </w:p>
        </w:tc>
        <w:tc>
          <w:tcPr>
            <w:tcW w:w="1373" w:type="dxa"/>
            <w:hideMark/>
          </w:tcPr>
          <w:p w14:paraId="31E8A02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India</w:t>
            </w:r>
          </w:p>
        </w:tc>
        <w:tc>
          <w:tcPr>
            <w:tcW w:w="1843" w:type="dxa"/>
            <w:hideMark/>
          </w:tcPr>
          <w:p w14:paraId="445408D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Kaushitaki Upanishad</w:t>
            </w:r>
            <w:r w:rsidRPr="00050DAE">
              <w:rPr>
                <w:rFonts w:asciiTheme="majorBidi" w:eastAsia="Times New Roman" w:hAnsiTheme="majorBidi" w:cstheme="majorBidi"/>
                <w:kern w:val="0"/>
                <w:sz w:val="20"/>
                <w:szCs w:val="20"/>
                <w:lang w:eastAsia="en-GB"/>
                <w14:ligatures w14:val="none"/>
              </w:rPr>
              <w:t xml:space="preserve"> 1</w:t>
            </w:r>
          </w:p>
        </w:tc>
        <w:tc>
          <w:tcPr>
            <w:tcW w:w="0" w:type="auto"/>
            <w:hideMark/>
          </w:tcPr>
          <w:p w14:paraId="66E36F2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6th-4th century BCE</w:t>
            </w:r>
          </w:p>
        </w:tc>
        <w:tc>
          <w:tcPr>
            <w:tcW w:w="0" w:type="auto"/>
            <w:hideMark/>
          </w:tcPr>
          <w:p w14:paraId="3E2B8A3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Soul traverses postmortem stations</w:t>
            </w:r>
          </w:p>
        </w:tc>
        <w:tc>
          <w:tcPr>
            <w:tcW w:w="0" w:type="auto"/>
            <w:hideMark/>
          </w:tcPr>
          <w:p w14:paraId="2761A35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Eschatological instruction</w:t>
            </w:r>
          </w:p>
        </w:tc>
      </w:tr>
      <w:tr w:rsidR="00014F8D" w:rsidRPr="00050DAE" w14:paraId="063E27A9" w14:textId="77777777" w:rsidTr="007B4AB2">
        <w:trPr>
          <w:cantSplit/>
        </w:trPr>
        <w:tc>
          <w:tcPr>
            <w:tcW w:w="0" w:type="auto"/>
            <w:hideMark/>
          </w:tcPr>
          <w:p w14:paraId="0C03684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Enoch’s Journey</w:t>
            </w:r>
          </w:p>
        </w:tc>
        <w:tc>
          <w:tcPr>
            <w:tcW w:w="1373" w:type="dxa"/>
            <w:hideMark/>
          </w:tcPr>
          <w:p w14:paraId="79C5558B"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Jewish</w:t>
            </w:r>
          </w:p>
        </w:tc>
        <w:tc>
          <w:tcPr>
            <w:tcW w:w="1843" w:type="dxa"/>
            <w:hideMark/>
          </w:tcPr>
          <w:p w14:paraId="226FB43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1 Enoch</w:t>
            </w:r>
            <w:r w:rsidRPr="00050DAE">
              <w:rPr>
                <w:rFonts w:asciiTheme="majorBidi" w:eastAsia="Times New Roman" w:hAnsiTheme="majorBidi" w:cstheme="majorBidi"/>
                <w:kern w:val="0"/>
                <w:sz w:val="20"/>
                <w:szCs w:val="20"/>
                <w:lang w:eastAsia="en-GB"/>
                <w14:ligatures w14:val="none"/>
              </w:rPr>
              <w:t xml:space="preserve"> 17-36</w:t>
            </w:r>
          </w:p>
        </w:tc>
        <w:tc>
          <w:tcPr>
            <w:tcW w:w="0" w:type="auto"/>
            <w:hideMark/>
          </w:tcPr>
          <w:p w14:paraId="3260E85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3rd-1st century BCE</w:t>
            </w:r>
          </w:p>
        </w:tc>
        <w:tc>
          <w:tcPr>
            <w:tcW w:w="0" w:type="auto"/>
            <w:hideMark/>
          </w:tcPr>
          <w:p w14:paraId="4ABEF779"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Enoch tours cosmic prisons and regions of the dead</w:t>
            </w:r>
          </w:p>
        </w:tc>
        <w:tc>
          <w:tcPr>
            <w:tcW w:w="0" w:type="auto"/>
            <w:hideMark/>
          </w:tcPr>
          <w:p w14:paraId="1B28C5E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Revelation and judgment</w:t>
            </w:r>
          </w:p>
        </w:tc>
      </w:tr>
      <w:tr w:rsidR="00014F8D" w:rsidRPr="00050DAE" w14:paraId="3F307728" w14:textId="77777777" w:rsidTr="007B4AB2">
        <w:trPr>
          <w:cantSplit/>
        </w:trPr>
        <w:tc>
          <w:tcPr>
            <w:tcW w:w="0" w:type="auto"/>
            <w:hideMark/>
          </w:tcPr>
          <w:p w14:paraId="19843CF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Apocalypse of Zephaniah</w:t>
            </w:r>
          </w:p>
        </w:tc>
        <w:tc>
          <w:tcPr>
            <w:tcW w:w="1373" w:type="dxa"/>
            <w:hideMark/>
          </w:tcPr>
          <w:p w14:paraId="0123768C"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Egyptian Jewish</w:t>
            </w:r>
          </w:p>
        </w:tc>
        <w:tc>
          <w:tcPr>
            <w:tcW w:w="1843" w:type="dxa"/>
            <w:hideMark/>
          </w:tcPr>
          <w:p w14:paraId="48878FC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Apocalypse of Zephaniah</w:t>
            </w:r>
          </w:p>
        </w:tc>
        <w:tc>
          <w:tcPr>
            <w:tcW w:w="0" w:type="auto"/>
            <w:hideMark/>
          </w:tcPr>
          <w:p w14:paraId="13A3CAF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1st century BCE-1st century CE</w:t>
            </w:r>
          </w:p>
        </w:tc>
        <w:tc>
          <w:tcPr>
            <w:tcW w:w="0" w:type="auto"/>
            <w:hideMark/>
          </w:tcPr>
          <w:p w14:paraId="0DAE4CD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Guided tour of punishments and rewards</w:t>
            </w:r>
          </w:p>
        </w:tc>
        <w:tc>
          <w:tcPr>
            <w:tcW w:w="0" w:type="auto"/>
            <w:hideMark/>
          </w:tcPr>
          <w:p w14:paraId="72C65ED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Moral instruction</w:t>
            </w:r>
          </w:p>
        </w:tc>
      </w:tr>
      <w:tr w:rsidR="00014F8D" w:rsidRPr="00050DAE" w14:paraId="7DD9EF6B" w14:textId="77777777" w:rsidTr="007B4AB2">
        <w:trPr>
          <w:cantSplit/>
        </w:trPr>
        <w:tc>
          <w:tcPr>
            <w:tcW w:w="0" w:type="auto"/>
            <w:hideMark/>
          </w:tcPr>
          <w:p w14:paraId="4157FD7E"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Summons of the Soul</w:t>
            </w:r>
          </w:p>
        </w:tc>
        <w:tc>
          <w:tcPr>
            <w:tcW w:w="1373" w:type="dxa"/>
            <w:hideMark/>
          </w:tcPr>
          <w:p w14:paraId="67A49AF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China (Chu)</w:t>
            </w:r>
          </w:p>
        </w:tc>
        <w:tc>
          <w:tcPr>
            <w:tcW w:w="1843" w:type="dxa"/>
            <w:hideMark/>
          </w:tcPr>
          <w:p w14:paraId="30D91D6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Chu Ci</w:t>
            </w:r>
            <w:r w:rsidRPr="00050DAE">
              <w:rPr>
                <w:rFonts w:asciiTheme="majorBidi" w:eastAsia="Times New Roman" w:hAnsiTheme="majorBidi" w:cstheme="majorBidi"/>
                <w:kern w:val="0"/>
                <w:sz w:val="20"/>
                <w:szCs w:val="20"/>
                <w:lang w:eastAsia="en-GB"/>
                <w14:ligatures w14:val="none"/>
              </w:rPr>
              <w:t xml:space="preserve"> (“Zhao Hun”)</w:t>
            </w:r>
          </w:p>
        </w:tc>
        <w:tc>
          <w:tcPr>
            <w:tcW w:w="0" w:type="auto"/>
            <w:hideMark/>
          </w:tcPr>
          <w:p w14:paraId="1449594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3rd century BCE</w:t>
            </w:r>
          </w:p>
        </w:tc>
        <w:tc>
          <w:tcPr>
            <w:tcW w:w="0" w:type="auto"/>
            <w:hideMark/>
          </w:tcPr>
          <w:p w14:paraId="5CF1B082"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Soul is called back from dangerous otherworld realms</w:t>
            </w:r>
          </w:p>
        </w:tc>
        <w:tc>
          <w:tcPr>
            <w:tcW w:w="0" w:type="auto"/>
            <w:hideMark/>
          </w:tcPr>
          <w:p w14:paraId="3F0D5746"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Preservation of life</w:t>
            </w:r>
          </w:p>
        </w:tc>
      </w:tr>
      <w:tr w:rsidR="00014F8D" w:rsidRPr="00050DAE" w14:paraId="6809F6BF" w14:textId="77777777" w:rsidTr="007B4AB2">
        <w:trPr>
          <w:cantSplit/>
        </w:trPr>
        <w:tc>
          <w:tcPr>
            <w:tcW w:w="0" w:type="auto"/>
            <w:hideMark/>
          </w:tcPr>
          <w:p w14:paraId="2CC2D7A7"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Far-Off Journey</w:t>
            </w:r>
          </w:p>
        </w:tc>
        <w:tc>
          <w:tcPr>
            <w:tcW w:w="1373" w:type="dxa"/>
            <w:hideMark/>
          </w:tcPr>
          <w:p w14:paraId="49D7FE3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China (Chu)</w:t>
            </w:r>
          </w:p>
        </w:tc>
        <w:tc>
          <w:tcPr>
            <w:tcW w:w="1843" w:type="dxa"/>
            <w:hideMark/>
          </w:tcPr>
          <w:p w14:paraId="7E3FF73D"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i/>
                <w:iCs/>
                <w:kern w:val="0"/>
                <w:sz w:val="20"/>
                <w:szCs w:val="20"/>
                <w:lang w:eastAsia="en-GB"/>
                <w14:ligatures w14:val="none"/>
              </w:rPr>
              <w:t>Chu Ci</w:t>
            </w:r>
            <w:r w:rsidRPr="00050DAE">
              <w:rPr>
                <w:rFonts w:asciiTheme="majorBidi" w:eastAsia="Times New Roman" w:hAnsiTheme="majorBidi" w:cstheme="majorBidi"/>
                <w:kern w:val="0"/>
                <w:sz w:val="20"/>
                <w:szCs w:val="20"/>
                <w:lang w:eastAsia="en-GB"/>
                <w14:ligatures w14:val="none"/>
              </w:rPr>
              <w:t xml:space="preserve"> (“Yuan You”)</w:t>
            </w:r>
          </w:p>
        </w:tc>
        <w:tc>
          <w:tcPr>
            <w:tcW w:w="0" w:type="auto"/>
            <w:hideMark/>
          </w:tcPr>
          <w:p w14:paraId="76FCE401"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 3rd century BCE</w:t>
            </w:r>
          </w:p>
        </w:tc>
        <w:tc>
          <w:tcPr>
            <w:tcW w:w="0" w:type="auto"/>
            <w:hideMark/>
          </w:tcPr>
          <w:p w14:paraId="5EC3FC83"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Spiritual journey through cosmic and liminal realms</w:t>
            </w:r>
          </w:p>
        </w:tc>
        <w:tc>
          <w:tcPr>
            <w:tcW w:w="0" w:type="auto"/>
            <w:hideMark/>
          </w:tcPr>
          <w:p w14:paraId="1FBB1B1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Transcendence</w:t>
            </w:r>
          </w:p>
        </w:tc>
      </w:tr>
      <w:tr w:rsidR="00014F8D" w:rsidRPr="00050DAE" w14:paraId="07406FA4" w14:textId="77777777" w:rsidTr="007B4AB2">
        <w:trPr>
          <w:cantSplit/>
        </w:trPr>
        <w:tc>
          <w:tcPr>
            <w:tcW w:w="0" w:type="auto"/>
            <w:hideMark/>
          </w:tcPr>
          <w:p w14:paraId="614BF79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Han Afterlife Journey Texts</w:t>
            </w:r>
          </w:p>
        </w:tc>
        <w:tc>
          <w:tcPr>
            <w:tcW w:w="1373" w:type="dxa"/>
            <w:hideMark/>
          </w:tcPr>
          <w:p w14:paraId="3A6665E0"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China</w:t>
            </w:r>
          </w:p>
        </w:tc>
        <w:tc>
          <w:tcPr>
            <w:tcW w:w="1843" w:type="dxa"/>
            <w:hideMark/>
          </w:tcPr>
          <w:p w14:paraId="055F0C2F"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Mawangdui funerary manuscripts; tomb texts</w:t>
            </w:r>
          </w:p>
        </w:tc>
        <w:tc>
          <w:tcPr>
            <w:tcW w:w="0" w:type="auto"/>
            <w:hideMark/>
          </w:tcPr>
          <w:p w14:paraId="2A631754"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2nd century BCE</w:t>
            </w:r>
          </w:p>
        </w:tc>
        <w:tc>
          <w:tcPr>
            <w:tcW w:w="0" w:type="auto"/>
            <w:hideMark/>
          </w:tcPr>
          <w:p w14:paraId="3682CA75"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Maps and instructions for postmortem travel</w:t>
            </w:r>
          </w:p>
        </w:tc>
        <w:tc>
          <w:tcPr>
            <w:tcW w:w="0" w:type="auto"/>
            <w:hideMark/>
          </w:tcPr>
          <w:p w14:paraId="529DB548" w14:textId="77777777" w:rsidR="00014F8D" w:rsidRPr="00050DAE" w:rsidRDefault="00014F8D" w:rsidP="00C85061">
            <w:pPr>
              <w:rPr>
                <w:rFonts w:asciiTheme="majorBidi" w:eastAsia="Times New Roman" w:hAnsiTheme="majorBidi" w:cstheme="majorBidi"/>
                <w:kern w:val="0"/>
                <w:sz w:val="20"/>
                <w:szCs w:val="20"/>
                <w:lang w:eastAsia="en-GB"/>
                <w14:ligatures w14:val="none"/>
              </w:rPr>
            </w:pPr>
            <w:r w:rsidRPr="00050DAE">
              <w:rPr>
                <w:rFonts w:asciiTheme="majorBidi" w:eastAsia="Times New Roman" w:hAnsiTheme="majorBidi" w:cstheme="majorBidi"/>
                <w:kern w:val="0"/>
                <w:sz w:val="20"/>
                <w:szCs w:val="20"/>
                <w:lang w:eastAsia="en-GB"/>
                <w14:ligatures w14:val="none"/>
              </w:rPr>
              <w:t>Mortuary guidance</w:t>
            </w:r>
          </w:p>
        </w:tc>
      </w:tr>
    </w:tbl>
    <w:p w14:paraId="4E0789F2" w14:textId="77777777" w:rsidR="00014F8D" w:rsidRPr="00050DAE" w:rsidRDefault="00014F8D" w:rsidP="00C85061">
      <w:pPr>
        <w:rPr>
          <w:rFonts w:asciiTheme="majorBidi" w:hAnsiTheme="majorBidi" w:cstheme="majorBidi"/>
        </w:rPr>
      </w:pPr>
    </w:p>
    <w:p w14:paraId="1243D891"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4FD7E95F" w14:textId="77777777" w:rsidR="00014F8D" w:rsidRPr="00050DAE" w:rsidRDefault="00014F8D" w:rsidP="001F6D2A">
      <w:pPr>
        <w:pStyle w:val="Heading2"/>
        <w:rPr>
          <w:rFonts w:asciiTheme="majorBidi" w:hAnsiTheme="majorBidi"/>
        </w:rPr>
      </w:pPr>
      <w:bookmarkStart w:id="201" w:name="_Toc234154328"/>
      <w:r w:rsidRPr="00050DAE">
        <w:rPr>
          <w:rFonts w:asciiTheme="majorBidi" w:hAnsiTheme="majorBidi"/>
        </w:rPr>
        <w:t>Functional Typology of Ancient Death-Response Narratives</w:t>
      </w:r>
      <w:bookmarkEnd w:id="201"/>
    </w:p>
    <w:p w14:paraId="2920D248" w14:textId="2309D079" w:rsidR="00014F8D" w:rsidRPr="00050DAE" w:rsidRDefault="00014F8D" w:rsidP="0008753E">
      <w:pPr>
        <w:pStyle w:val="Caption"/>
        <w:keepNext/>
        <w:rPr>
          <w:rFonts w:asciiTheme="majorBidi" w:hAnsiTheme="majorBidi" w:cstheme="majorBidi"/>
        </w:rPr>
      </w:pPr>
      <w:r w:rsidRPr="00050DAE">
        <w:rPr>
          <w:rFonts w:asciiTheme="majorBidi" w:hAnsiTheme="majorBidi" w:cstheme="majorBidi"/>
        </w:rPr>
        <w:t xml:space="preserve">Table </w:t>
      </w:r>
      <w:r w:rsidRPr="00050DAE">
        <w:rPr>
          <w:rFonts w:asciiTheme="majorBidi" w:hAnsiTheme="majorBidi" w:cstheme="majorBidi"/>
        </w:rPr>
        <w:fldChar w:fldCharType="begin"/>
      </w:r>
      <w:r w:rsidRPr="00050DAE">
        <w:rPr>
          <w:rFonts w:asciiTheme="majorBidi" w:hAnsiTheme="majorBidi" w:cstheme="majorBidi"/>
        </w:rPr>
        <w:instrText xml:space="preserve"> SEQ Table \* ARABIC </w:instrText>
      </w:r>
      <w:r w:rsidRPr="00050DAE">
        <w:rPr>
          <w:rFonts w:asciiTheme="majorBidi" w:hAnsiTheme="majorBidi" w:cstheme="majorBidi"/>
        </w:rPr>
        <w:fldChar w:fldCharType="separate"/>
      </w:r>
      <w:r w:rsidR="009D2921">
        <w:rPr>
          <w:rFonts w:asciiTheme="majorBidi" w:hAnsiTheme="majorBidi" w:cstheme="majorBidi"/>
          <w:noProof/>
        </w:rPr>
        <w:t>7</w:t>
      </w:r>
      <w:r w:rsidRPr="00050DAE">
        <w:rPr>
          <w:rFonts w:asciiTheme="majorBidi" w:hAnsiTheme="majorBidi" w:cstheme="majorBidi"/>
        </w:rPr>
        <w:fldChar w:fldCharType="end"/>
      </w:r>
      <w:r w:rsidRPr="00050DAE">
        <w:rPr>
          <w:rFonts w:asciiTheme="majorBidi" w:hAnsiTheme="majorBidi" w:cstheme="majorBidi"/>
        </w:rPr>
        <w:t xml:space="preserve"> Functional Typology of Ancient Death-Response Narratives.</w:t>
      </w:r>
    </w:p>
    <w:tbl>
      <w:tblPr>
        <w:tblStyle w:val="TableGrid"/>
        <w:tblW w:w="0" w:type="auto"/>
        <w:tblLook w:val="04A0" w:firstRow="1" w:lastRow="0" w:firstColumn="1" w:lastColumn="0" w:noHBand="0" w:noVBand="1"/>
      </w:tblPr>
      <w:tblGrid>
        <w:gridCol w:w="2441"/>
        <w:gridCol w:w="6518"/>
      </w:tblGrid>
      <w:tr w:rsidR="00014F8D" w:rsidRPr="00050DAE" w14:paraId="4A95127B" w14:textId="77777777" w:rsidTr="0008753E">
        <w:trPr>
          <w:cantSplit/>
          <w:tblHeader/>
        </w:trPr>
        <w:tc>
          <w:tcPr>
            <w:tcW w:w="0" w:type="auto"/>
            <w:shd w:val="clear" w:color="auto" w:fill="000000" w:themeFill="text1"/>
            <w:hideMark/>
          </w:tcPr>
          <w:p w14:paraId="6B2FD5CB" w14:textId="77777777" w:rsidR="00014F8D" w:rsidRPr="00050DAE" w:rsidRDefault="00014F8D" w:rsidP="0008753E">
            <w:pPr>
              <w:spacing w:after="160" w:line="259" w:lineRule="auto"/>
              <w:rPr>
                <w:rFonts w:asciiTheme="majorBidi" w:hAnsiTheme="majorBidi" w:cstheme="majorBidi"/>
                <w:b/>
                <w:bCs/>
                <w:color w:val="FFFFFF" w:themeColor="background1"/>
              </w:rPr>
            </w:pPr>
            <w:r w:rsidRPr="00050DAE">
              <w:rPr>
                <w:rFonts w:asciiTheme="majorBidi" w:hAnsiTheme="majorBidi" w:cstheme="majorBidi"/>
                <w:b/>
                <w:bCs/>
                <w:color w:val="FFFFFF" w:themeColor="background1"/>
              </w:rPr>
              <w:t>Function</w:t>
            </w:r>
          </w:p>
        </w:tc>
        <w:tc>
          <w:tcPr>
            <w:tcW w:w="0" w:type="auto"/>
            <w:shd w:val="clear" w:color="auto" w:fill="000000" w:themeFill="text1"/>
            <w:hideMark/>
          </w:tcPr>
          <w:p w14:paraId="2529AB15" w14:textId="77777777" w:rsidR="00014F8D" w:rsidRPr="00050DAE" w:rsidRDefault="00014F8D" w:rsidP="0008753E">
            <w:pPr>
              <w:spacing w:after="160" w:line="259" w:lineRule="auto"/>
              <w:rPr>
                <w:rFonts w:asciiTheme="majorBidi" w:hAnsiTheme="majorBidi" w:cstheme="majorBidi"/>
                <w:b/>
                <w:bCs/>
                <w:color w:val="FFFFFF" w:themeColor="background1"/>
              </w:rPr>
            </w:pPr>
            <w:r w:rsidRPr="00050DAE">
              <w:rPr>
                <w:rFonts w:asciiTheme="majorBidi" w:hAnsiTheme="majorBidi" w:cstheme="majorBidi"/>
                <w:b/>
                <w:bCs/>
                <w:color w:val="FFFFFF" w:themeColor="background1"/>
              </w:rPr>
              <w:t>Typical Examples</w:t>
            </w:r>
          </w:p>
        </w:tc>
      </w:tr>
      <w:tr w:rsidR="00014F8D" w:rsidRPr="00050DAE" w14:paraId="781A7380" w14:textId="77777777" w:rsidTr="0008753E">
        <w:tc>
          <w:tcPr>
            <w:tcW w:w="0" w:type="auto"/>
            <w:hideMark/>
          </w:tcPr>
          <w:p w14:paraId="53F2C7F5"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b/>
                <w:bCs/>
              </w:rPr>
              <w:t>Resurrection / Renewal</w:t>
            </w:r>
          </w:p>
        </w:tc>
        <w:tc>
          <w:tcPr>
            <w:tcW w:w="0" w:type="auto"/>
            <w:hideMark/>
          </w:tcPr>
          <w:p w14:paraId="23EDE297"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rPr>
              <w:t>Inanna, Osiris, Baal, Persephone, Ra</w:t>
            </w:r>
          </w:p>
        </w:tc>
      </w:tr>
      <w:tr w:rsidR="00014F8D" w:rsidRPr="00050DAE" w14:paraId="24874920" w14:textId="77777777" w:rsidTr="0008753E">
        <w:tc>
          <w:tcPr>
            <w:tcW w:w="0" w:type="auto"/>
            <w:hideMark/>
          </w:tcPr>
          <w:p w14:paraId="29CDDBA1"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b/>
                <w:bCs/>
              </w:rPr>
              <w:t>Knowledge from Death</w:t>
            </w:r>
          </w:p>
        </w:tc>
        <w:tc>
          <w:tcPr>
            <w:tcW w:w="0" w:type="auto"/>
            <w:hideMark/>
          </w:tcPr>
          <w:p w14:paraId="596F7924"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rPr>
              <w:t>Odysseus, Nachiketa, Enoch, Er, Aeneas</w:t>
            </w:r>
          </w:p>
        </w:tc>
      </w:tr>
      <w:tr w:rsidR="00014F8D" w:rsidRPr="00050DAE" w14:paraId="216E8093" w14:textId="77777777" w:rsidTr="0008753E">
        <w:tc>
          <w:tcPr>
            <w:tcW w:w="0" w:type="auto"/>
            <w:hideMark/>
          </w:tcPr>
          <w:p w14:paraId="750D0B71"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b/>
                <w:bCs/>
              </w:rPr>
              <w:t>Recovery of the Dead</w:t>
            </w:r>
          </w:p>
        </w:tc>
        <w:tc>
          <w:tcPr>
            <w:tcW w:w="0" w:type="auto"/>
            <w:hideMark/>
          </w:tcPr>
          <w:p w14:paraId="107CDE72"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rPr>
              <w:t>Orpheus, Heracles, Savitri, Dionysus</w:t>
            </w:r>
          </w:p>
        </w:tc>
      </w:tr>
      <w:tr w:rsidR="00014F8D" w:rsidRPr="00050DAE" w14:paraId="643D75E7" w14:textId="77777777" w:rsidTr="0008753E">
        <w:tc>
          <w:tcPr>
            <w:tcW w:w="0" w:type="auto"/>
            <w:hideMark/>
          </w:tcPr>
          <w:p w14:paraId="274753FB"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b/>
                <w:bCs/>
              </w:rPr>
              <w:t>Moral Judgment</w:t>
            </w:r>
          </w:p>
        </w:tc>
        <w:tc>
          <w:tcPr>
            <w:tcW w:w="0" w:type="auto"/>
            <w:hideMark/>
          </w:tcPr>
          <w:p w14:paraId="766D9015"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rPr>
              <w:t>Book of the Dead, Yudhishthira</w:t>
            </w:r>
          </w:p>
        </w:tc>
      </w:tr>
      <w:tr w:rsidR="00014F8D" w:rsidRPr="00050DAE" w14:paraId="6D4A40F6" w14:textId="77777777" w:rsidTr="0008753E">
        <w:tc>
          <w:tcPr>
            <w:tcW w:w="0" w:type="auto"/>
            <w:hideMark/>
          </w:tcPr>
          <w:p w14:paraId="24E11DEC"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b/>
                <w:bCs/>
              </w:rPr>
              <w:t>Navigation of Mortality</w:t>
            </w:r>
          </w:p>
        </w:tc>
        <w:tc>
          <w:tcPr>
            <w:tcW w:w="0" w:type="auto"/>
            <w:hideMark/>
          </w:tcPr>
          <w:p w14:paraId="6B45BC00" w14:textId="77777777" w:rsidR="00014F8D" w:rsidRPr="00050DAE" w:rsidRDefault="00014F8D" w:rsidP="0008753E">
            <w:pPr>
              <w:spacing w:after="160" w:line="259" w:lineRule="auto"/>
              <w:rPr>
                <w:rFonts w:asciiTheme="majorBidi" w:hAnsiTheme="majorBidi" w:cstheme="majorBidi"/>
              </w:rPr>
            </w:pPr>
            <w:r w:rsidRPr="00050DAE">
              <w:rPr>
                <w:rFonts w:asciiTheme="majorBidi" w:hAnsiTheme="majorBidi" w:cstheme="majorBidi"/>
              </w:rPr>
              <w:t>Book of Two Ways, Amduat, Kaushitaki Upanishad, Han funerary texts</w:t>
            </w:r>
          </w:p>
        </w:tc>
      </w:tr>
    </w:tbl>
    <w:p w14:paraId="54AB0C09" w14:textId="77777777" w:rsidR="00014F8D" w:rsidRPr="00050DAE" w:rsidRDefault="00014F8D" w:rsidP="00C85061">
      <w:pPr>
        <w:rPr>
          <w:rFonts w:asciiTheme="majorBidi" w:hAnsiTheme="majorBidi" w:cstheme="majorBidi"/>
        </w:rPr>
      </w:pPr>
    </w:p>
    <w:p w14:paraId="40F99A0C"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4297A3F6" w14:textId="77777777" w:rsidR="00014F8D" w:rsidRPr="00050DAE" w:rsidRDefault="00014F8D" w:rsidP="007106F3">
      <w:pPr>
        <w:pStyle w:val="Heading2"/>
        <w:rPr>
          <w:rFonts w:asciiTheme="majorBidi" w:hAnsiTheme="majorBidi"/>
        </w:rPr>
      </w:pPr>
      <w:bookmarkStart w:id="202" w:name="_Toc234154329"/>
      <w:r w:rsidRPr="00050DAE">
        <w:rPr>
          <w:rFonts w:asciiTheme="majorBidi" w:hAnsiTheme="majorBidi"/>
        </w:rPr>
        <w:t>Background</w:t>
      </w:r>
      <w:bookmarkEnd w:id="202"/>
    </w:p>
    <w:p w14:paraId="4E79F9E5" w14:textId="77777777" w:rsidR="00014F8D" w:rsidRPr="00050DAE" w:rsidRDefault="00014F8D" w:rsidP="007106F3">
      <w:pPr>
        <w:pStyle w:val="Heading3"/>
        <w:rPr>
          <w:rFonts w:asciiTheme="majorBidi" w:hAnsiTheme="majorBidi"/>
        </w:rPr>
      </w:pPr>
      <w:bookmarkStart w:id="203" w:name="_Toc234154330"/>
      <w:r w:rsidRPr="00050DAE">
        <w:rPr>
          <w:rFonts w:asciiTheme="majorBidi" w:hAnsiTheme="majorBidi"/>
        </w:rPr>
        <w:t>Mesopotamia</w:t>
      </w:r>
      <w:bookmarkEnd w:id="203"/>
    </w:p>
    <w:p w14:paraId="3874A4C0" w14:textId="77777777" w:rsidR="00014F8D" w:rsidRPr="00050DAE" w:rsidRDefault="00014F8D" w:rsidP="00911627">
      <w:pPr>
        <w:keepNext/>
        <w:rPr>
          <w:rFonts w:asciiTheme="majorBidi" w:hAnsiTheme="majorBidi" w:cstheme="majorBidi"/>
        </w:rPr>
      </w:pPr>
      <w:r w:rsidRPr="00050DAE">
        <w:rPr>
          <w:rFonts w:asciiTheme="majorBidi" w:hAnsiTheme="majorBidi" w:cstheme="majorBidi"/>
          <w:noProof/>
        </w:rPr>
        <w:drawing>
          <wp:inline distT="0" distB="0" distL="0" distR="0" wp14:anchorId="440B3E96" wp14:editId="7E6CE81D">
            <wp:extent cx="5731510" cy="6297930"/>
            <wp:effectExtent l="0" t="0" r="2540" b="7620"/>
            <wp:docPr id="827085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6297930"/>
                    </a:xfrm>
                    <a:prstGeom prst="rect">
                      <a:avLst/>
                    </a:prstGeom>
                    <a:noFill/>
                    <a:ln>
                      <a:noFill/>
                    </a:ln>
                  </pic:spPr>
                </pic:pic>
              </a:graphicData>
            </a:graphic>
          </wp:inline>
        </w:drawing>
      </w:r>
    </w:p>
    <w:p w14:paraId="74D82A44" w14:textId="23D7064F" w:rsidR="00014F8D" w:rsidRPr="00050DAE" w:rsidRDefault="00014F8D" w:rsidP="004F128E">
      <w:pPr>
        <w:pStyle w:val="Caption"/>
        <w:rPr>
          <w:rFonts w:asciiTheme="majorBidi" w:hAnsiTheme="majorBidi" w:cstheme="majorBidi"/>
        </w:rPr>
      </w:pPr>
      <w:r w:rsidRPr="00050DAE">
        <w:rPr>
          <w:rFonts w:asciiTheme="majorBidi" w:hAnsiTheme="majorBidi" w:cstheme="majorBidi"/>
        </w:rPr>
        <w:t xml:space="preserve">Figure </w:t>
      </w:r>
      <w:r w:rsidRPr="00050DAE">
        <w:rPr>
          <w:rFonts w:asciiTheme="majorBidi" w:hAnsiTheme="majorBidi" w:cstheme="majorBidi"/>
        </w:rPr>
        <w:fldChar w:fldCharType="begin"/>
      </w:r>
      <w:r w:rsidRPr="00050DAE">
        <w:rPr>
          <w:rFonts w:asciiTheme="majorBidi" w:hAnsiTheme="majorBidi" w:cstheme="majorBidi"/>
        </w:rPr>
        <w:instrText xml:space="preserve"> SEQ Figure \* ARABIC </w:instrText>
      </w:r>
      <w:r w:rsidRPr="00050DAE">
        <w:rPr>
          <w:rFonts w:asciiTheme="majorBidi" w:hAnsiTheme="majorBidi" w:cstheme="majorBidi"/>
        </w:rPr>
        <w:fldChar w:fldCharType="separate"/>
      </w:r>
      <w:r w:rsidR="009D2921">
        <w:rPr>
          <w:rFonts w:asciiTheme="majorBidi" w:hAnsiTheme="majorBidi" w:cstheme="majorBidi"/>
          <w:noProof/>
        </w:rPr>
        <w:t>15</w:t>
      </w:r>
      <w:r w:rsidRPr="00050DAE">
        <w:rPr>
          <w:rFonts w:asciiTheme="majorBidi" w:hAnsiTheme="majorBidi" w:cstheme="majorBidi"/>
        </w:rPr>
        <w:fldChar w:fldCharType="end"/>
      </w:r>
      <w:r w:rsidRPr="00050DAE">
        <w:rPr>
          <w:rFonts w:asciiTheme="majorBidi" w:hAnsiTheme="majorBidi" w:cstheme="majorBidi"/>
        </w:rPr>
        <w:t xml:space="preserve"> Map of Mesopotamia.</w:t>
      </w:r>
      <w:r w:rsidRPr="00050DAE">
        <w:rPr>
          <w:rStyle w:val="FootnoteReference"/>
          <w:rFonts w:asciiTheme="majorBidi" w:hAnsiTheme="majorBidi" w:cstheme="majorBidi"/>
        </w:rPr>
        <w:footnoteReference w:id="344"/>
      </w:r>
    </w:p>
    <w:p w14:paraId="23DA5888" w14:textId="30452ECA" w:rsidR="008647B4" w:rsidRPr="00050DAE" w:rsidRDefault="008647B4">
      <w:pPr>
        <w:rPr>
          <w:rFonts w:asciiTheme="majorBidi" w:hAnsiTheme="majorBidi" w:cstheme="majorBidi"/>
        </w:rPr>
      </w:pPr>
      <w:r w:rsidRPr="00050DAE">
        <w:rPr>
          <w:rFonts w:asciiTheme="majorBidi" w:hAnsiTheme="majorBidi" w:cstheme="majorBidi"/>
        </w:rPr>
        <w:br w:type="page"/>
      </w:r>
    </w:p>
    <w:p w14:paraId="2DC6DCA6" w14:textId="77777777" w:rsidR="00014F8D" w:rsidRPr="00050DAE" w:rsidRDefault="00014F8D" w:rsidP="00D1450E">
      <w:pPr>
        <w:rPr>
          <w:rFonts w:asciiTheme="majorBidi" w:hAnsiTheme="majorBidi" w:cstheme="majorBidi"/>
        </w:rPr>
      </w:pPr>
      <w:r w:rsidRPr="00050DAE">
        <w:rPr>
          <w:rFonts w:asciiTheme="majorBidi" w:eastAsiaTheme="majorEastAsia" w:hAnsiTheme="majorBidi" w:cstheme="majorBidi"/>
          <w:color w:val="0F4761" w:themeColor="accent1" w:themeShade="BF"/>
          <w:sz w:val="28"/>
          <w:szCs w:val="28"/>
        </w:rPr>
        <w:t>Historical-Religious Chronology</w:t>
      </w:r>
    </w:p>
    <w:p w14:paraId="410BA46C" w14:textId="63717884" w:rsidR="00014F8D" w:rsidRPr="00050DAE" w:rsidRDefault="00014F8D" w:rsidP="00684191">
      <w:pPr>
        <w:pStyle w:val="Caption"/>
        <w:rPr>
          <w:rFonts w:asciiTheme="majorBidi" w:hAnsiTheme="majorBidi" w:cstheme="majorBidi"/>
          <w:b/>
          <w:bCs/>
          <w:color w:val="auto"/>
        </w:rPr>
      </w:pPr>
      <w:r w:rsidRPr="00050DAE">
        <w:rPr>
          <w:rFonts w:asciiTheme="majorBidi" w:hAnsiTheme="majorBidi" w:cstheme="majorBidi"/>
        </w:rPr>
        <w:t xml:space="preserve">Table </w:t>
      </w:r>
      <w:r w:rsidRPr="00050DAE">
        <w:rPr>
          <w:rFonts w:asciiTheme="majorBidi" w:hAnsiTheme="majorBidi" w:cstheme="majorBidi"/>
        </w:rPr>
        <w:fldChar w:fldCharType="begin"/>
      </w:r>
      <w:r w:rsidRPr="00050DAE">
        <w:rPr>
          <w:rFonts w:asciiTheme="majorBidi" w:hAnsiTheme="majorBidi" w:cstheme="majorBidi"/>
        </w:rPr>
        <w:instrText xml:space="preserve"> SEQ Table \* ARABIC </w:instrText>
      </w:r>
      <w:r w:rsidRPr="00050DAE">
        <w:rPr>
          <w:rFonts w:asciiTheme="majorBidi" w:hAnsiTheme="majorBidi" w:cstheme="majorBidi"/>
        </w:rPr>
        <w:fldChar w:fldCharType="separate"/>
      </w:r>
      <w:r w:rsidR="009D2921">
        <w:rPr>
          <w:rFonts w:asciiTheme="majorBidi" w:hAnsiTheme="majorBidi" w:cstheme="majorBidi"/>
          <w:noProof/>
        </w:rPr>
        <w:t>8</w:t>
      </w:r>
      <w:r w:rsidRPr="00050DAE">
        <w:rPr>
          <w:rFonts w:asciiTheme="majorBidi" w:hAnsiTheme="majorBidi" w:cstheme="majorBidi"/>
        </w:rPr>
        <w:fldChar w:fldCharType="end"/>
      </w:r>
      <w:r w:rsidRPr="00050DAE">
        <w:rPr>
          <w:rFonts w:asciiTheme="majorBidi" w:hAnsiTheme="majorBidi" w:cstheme="majorBidi"/>
        </w:rPr>
        <w:t xml:space="preserve"> </w:t>
      </w:r>
      <w:r w:rsidRPr="00050DAE">
        <w:rPr>
          <w:rFonts w:asciiTheme="majorBidi" w:hAnsiTheme="majorBidi" w:cstheme="majorBidi"/>
          <w:color w:val="auto"/>
        </w:rPr>
        <w:t>Outline of approximate archaeological and historical periods.</w:t>
      </w:r>
      <w:r w:rsidRPr="00050DAE">
        <w:rPr>
          <w:rStyle w:val="FootnoteReference"/>
          <w:rFonts w:asciiTheme="majorBidi" w:hAnsiTheme="majorBidi" w:cstheme="majorBidi"/>
          <w:color w:val="auto"/>
        </w:rPr>
        <w:footnoteReference w:id="345"/>
      </w:r>
    </w:p>
    <w:tbl>
      <w:tblPr>
        <w:tblStyle w:val="ListTable3"/>
        <w:tblW w:w="0" w:type="auto"/>
        <w:tblLook w:val="04A0" w:firstRow="1" w:lastRow="0" w:firstColumn="1" w:lastColumn="0" w:noHBand="0" w:noVBand="1"/>
      </w:tblPr>
      <w:tblGrid>
        <w:gridCol w:w="2232"/>
        <w:gridCol w:w="2023"/>
        <w:gridCol w:w="2390"/>
        <w:gridCol w:w="2371"/>
      </w:tblGrid>
      <w:tr w:rsidR="00014F8D" w:rsidRPr="00050DAE" w14:paraId="50AAC231" w14:textId="77777777" w:rsidTr="003115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32" w:type="dxa"/>
          </w:tcPr>
          <w:p w14:paraId="76AF8E16" w14:textId="77777777" w:rsidR="00014F8D" w:rsidRPr="00050DAE" w:rsidRDefault="00014F8D" w:rsidP="00311564">
            <w:pPr>
              <w:pStyle w:val="NoSpacing"/>
              <w:rPr>
                <w:rFonts w:asciiTheme="majorBidi" w:hAnsiTheme="majorBidi" w:cstheme="majorBidi"/>
              </w:rPr>
            </w:pPr>
            <w:r w:rsidRPr="00050DAE">
              <w:rPr>
                <w:rFonts w:asciiTheme="majorBidi" w:hAnsiTheme="majorBidi" w:cstheme="majorBidi"/>
              </w:rPr>
              <w:t>Years BCE</w:t>
            </w:r>
          </w:p>
        </w:tc>
        <w:tc>
          <w:tcPr>
            <w:tcW w:w="2023" w:type="dxa"/>
          </w:tcPr>
          <w:p w14:paraId="47EACD70" w14:textId="77777777" w:rsidR="00014F8D" w:rsidRPr="00050DAE" w:rsidRDefault="00014F8D" w:rsidP="00311564">
            <w:pPr>
              <w:pStyle w:val="NoSpacing"/>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050DAE">
              <w:rPr>
                <w:rFonts w:asciiTheme="majorBidi" w:hAnsiTheme="majorBidi" w:cstheme="majorBidi"/>
              </w:rPr>
              <w:t>Goddess</w:t>
            </w:r>
          </w:p>
        </w:tc>
        <w:tc>
          <w:tcPr>
            <w:tcW w:w="2390" w:type="dxa"/>
          </w:tcPr>
          <w:p w14:paraId="15D82DD0" w14:textId="77777777" w:rsidR="00014F8D" w:rsidRPr="00050DAE" w:rsidRDefault="00014F8D" w:rsidP="00311564">
            <w:pPr>
              <w:pStyle w:val="NoSpacing"/>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050DAE">
              <w:rPr>
                <w:rFonts w:asciiTheme="majorBidi" w:hAnsiTheme="majorBidi" w:cstheme="majorBidi"/>
              </w:rPr>
              <w:t>Period</w:t>
            </w:r>
          </w:p>
        </w:tc>
        <w:tc>
          <w:tcPr>
            <w:tcW w:w="2371" w:type="dxa"/>
          </w:tcPr>
          <w:p w14:paraId="21623C29" w14:textId="77777777" w:rsidR="00014F8D" w:rsidRPr="00050DAE" w:rsidRDefault="00014F8D" w:rsidP="00311564">
            <w:pPr>
              <w:pStyle w:val="NoSpacing"/>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050DAE">
              <w:rPr>
                <w:rFonts w:asciiTheme="majorBidi" w:hAnsiTheme="majorBidi" w:cstheme="majorBidi"/>
              </w:rPr>
              <w:t>Greater period</w:t>
            </w:r>
          </w:p>
        </w:tc>
      </w:tr>
      <w:tr w:rsidR="00014F8D" w:rsidRPr="00050DAE" w14:paraId="4299E9B8" w14:textId="77777777" w:rsidTr="00311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41E8AEB6"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5000-4000</w:t>
            </w:r>
          </w:p>
        </w:tc>
        <w:tc>
          <w:tcPr>
            <w:tcW w:w="2023" w:type="dxa"/>
          </w:tcPr>
          <w:p w14:paraId="16835EF3"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2390" w:type="dxa"/>
          </w:tcPr>
          <w:p w14:paraId="48DE5A28"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Halaf/Ubaid</w:t>
            </w:r>
          </w:p>
        </w:tc>
        <w:tc>
          <w:tcPr>
            <w:tcW w:w="2371" w:type="dxa"/>
          </w:tcPr>
          <w:p w14:paraId="15358E1F"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r>
      <w:tr w:rsidR="00014F8D" w:rsidRPr="00050DAE" w14:paraId="5FE3433E" w14:textId="77777777" w:rsidTr="00311564">
        <w:tc>
          <w:tcPr>
            <w:cnfStyle w:val="001000000000" w:firstRow="0" w:lastRow="0" w:firstColumn="1" w:lastColumn="0" w:oddVBand="0" w:evenVBand="0" w:oddHBand="0" w:evenHBand="0" w:firstRowFirstColumn="0" w:firstRowLastColumn="0" w:lastRowFirstColumn="0" w:lastRowLastColumn="0"/>
            <w:tcW w:w="2232" w:type="dxa"/>
          </w:tcPr>
          <w:p w14:paraId="25A80300"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4000-3200</w:t>
            </w:r>
          </w:p>
        </w:tc>
        <w:tc>
          <w:tcPr>
            <w:tcW w:w="2023" w:type="dxa"/>
          </w:tcPr>
          <w:p w14:paraId="3987D198"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Inanna</w:t>
            </w:r>
            <w:r w:rsidRPr="00050DAE">
              <w:rPr>
                <w:rStyle w:val="FootnoteReference"/>
                <w:rFonts w:asciiTheme="majorBidi" w:hAnsiTheme="majorBidi" w:cstheme="majorBidi"/>
                <w:sz w:val="20"/>
                <w:szCs w:val="20"/>
              </w:rPr>
              <w:footnoteReference w:id="346"/>
            </w:r>
          </w:p>
        </w:tc>
        <w:tc>
          <w:tcPr>
            <w:tcW w:w="2390" w:type="dxa"/>
          </w:tcPr>
          <w:p w14:paraId="2A808FB5"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Uruk</w:t>
            </w:r>
          </w:p>
        </w:tc>
        <w:tc>
          <w:tcPr>
            <w:tcW w:w="2371" w:type="dxa"/>
          </w:tcPr>
          <w:p w14:paraId="2115E447"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Proto-literate Period</w:t>
            </w:r>
          </w:p>
        </w:tc>
      </w:tr>
      <w:tr w:rsidR="00014F8D" w:rsidRPr="00050DAE" w14:paraId="642B51F1" w14:textId="77777777" w:rsidTr="00311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2C979E5B"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3200-3000</w:t>
            </w:r>
          </w:p>
        </w:tc>
        <w:tc>
          <w:tcPr>
            <w:tcW w:w="2023" w:type="dxa"/>
          </w:tcPr>
          <w:p w14:paraId="4FA2D410"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2390" w:type="dxa"/>
          </w:tcPr>
          <w:p w14:paraId="34AE3CD6"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Jemdet Nasr</w:t>
            </w:r>
          </w:p>
        </w:tc>
        <w:tc>
          <w:tcPr>
            <w:tcW w:w="2371" w:type="dxa"/>
          </w:tcPr>
          <w:p w14:paraId="1B609B1C"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Proto-literate Period</w:t>
            </w:r>
          </w:p>
        </w:tc>
      </w:tr>
      <w:tr w:rsidR="00014F8D" w:rsidRPr="00050DAE" w14:paraId="5709CB1A" w14:textId="77777777" w:rsidTr="00311564">
        <w:tc>
          <w:tcPr>
            <w:cnfStyle w:val="001000000000" w:firstRow="0" w:lastRow="0" w:firstColumn="1" w:lastColumn="0" w:oddVBand="0" w:evenVBand="0" w:oddHBand="0" w:evenHBand="0" w:firstRowFirstColumn="0" w:firstRowLastColumn="0" w:lastRowFirstColumn="0" w:lastRowLastColumn="0"/>
            <w:tcW w:w="2232" w:type="dxa"/>
          </w:tcPr>
          <w:p w14:paraId="6CF38368"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3000-2750</w:t>
            </w:r>
          </w:p>
        </w:tc>
        <w:tc>
          <w:tcPr>
            <w:tcW w:w="2023" w:type="dxa"/>
          </w:tcPr>
          <w:p w14:paraId="55052C75"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Ištar’s Temple Constructed</w:t>
            </w:r>
            <w:r w:rsidRPr="00050DAE">
              <w:rPr>
                <w:rStyle w:val="FootnoteReference"/>
                <w:rFonts w:asciiTheme="majorBidi" w:hAnsiTheme="majorBidi" w:cstheme="majorBidi"/>
                <w:sz w:val="20"/>
                <w:szCs w:val="20"/>
              </w:rPr>
              <w:footnoteReference w:id="347"/>
            </w:r>
          </w:p>
        </w:tc>
        <w:tc>
          <w:tcPr>
            <w:tcW w:w="2390" w:type="dxa"/>
          </w:tcPr>
          <w:p w14:paraId="42877220"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Early Dynastic I</w:t>
            </w:r>
          </w:p>
        </w:tc>
        <w:tc>
          <w:tcPr>
            <w:tcW w:w="2371" w:type="dxa"/>
          </w:tcPr>
          <w:p w14:paraId="6132057F"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Pre-Sargonic</w:t>
            </w:r>
          </w:p>
        </w:tc>
      </w:tr>
      <w:tr w:rsidR="00014F8D" w:rsidRPr="00050DAE" w14:paraId="6DBC080B" w14:textId="77777777" w:rsidTr="00311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2DC188DA"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2750-2600</w:t>
            </w:r>
          </w:p>
          <w:p w14:paraId="74ABD5F4" w14:textId="77777777" w:rsidR="00014F8D" w:rsidRPr="00050DAE" w:rsidRDefault="00014F8D" w:rsidP="00311564">
            <w:pPr>
              <w:pStyle w:val="NoSpacing"/>
              <w:rPr>
                <w:rFonts w:asciiTheme="majorBidi" w:hAnsiTheme="majorBidi" w:cstheme="majorBidi"/>
                <w:sz w:val="20"/>
                <w:szCs w:val="20"/>
              </w:rPr>
            </w:pPr>
          </w:p>
        </w:tc>
        <w:tc>
          <w:tcPr>
            <w:tcW w:w="2023" w:type="dxa"/>
          </w:tcPr>
          <w:p w14:paraId="7F3BEBC5"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2390" w:type="dxa"/>
          </w:tcPr>
          <w:p w14:paraId="38D0E7C4"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Early Dynastic II</w:t>
            </w:r>
          </w:p>
        </w:tc>
        <w:tc>
          <w:tcPr>
            <w:tcW w:w="2371" w:type="dxa"/>
          </w:tcPr>
          <w:p w14:paraId="41582624"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Pre-Sargonic</w:t>
            </w:r>
          </w:p>
        </w:tc>
      </w:tr>
      <w:tr w:rsidR="00014F8D" w:rsidRPr="00050DAE" w14:paraId="21FFD1D9" w14:textId="77777777" w:rsidTr="00311564">
        <w:tc>
          <w:tcPr>
            <w:cnfStyle w:val="001000000000" w:firstRow="0" w:lastRow="0" w:firstColumn="1" w:lastColumn="0" w:oddVBand="0" w:evenVBand="0" w:oddHBand="0" w:evenHBand="0" w:firstRowFirstColumn="0" w:firstRowLastColumn="0" w:lastRowFirstColumn="0" w:lastRowLastColumn="0"/>
            <w:tcW w:w="2232" w:type="dxa"/>
          </w:tcPr>
          <w:p w14:paraId="618D8D73"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2600-2350</w:t>
            </w:r>
          </w:p>
        </w:tc>
        <w:tc>
          <w:tcPr>
            <w:tcW w:w="2023" w:type="dxa"/>
          </w:tcPr>
          <w:p w14:paraId="0E784D92"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2390" w:type="dxa"/>
          </w:tcPr>
          <w:p w14:paraId="384496E2"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Early Dynastic III</w:t>
            </w:r>
          </w:p>
        </w:tc>
        <w:tc>
          <w:tcPr>
            <w:tcW w:w="2371" w:type="dxa"/>
          </w:tcPr>
          <w:p w14:paraId="3A5D2276"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Pre-Sargonic</w:t>
            </w:r>
          </w:p>
        </w:tc>
      </w:tr>
      <w:tr w:rsidR="00014F8D" w:rsidRPr="00050DAE" w14:paraId="3CCF592B" w14:textId="77777777" w:rsidTr="00311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6E224886"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2350-2150</w:t>
            </w:r>
          </w:p>
        </w:tc>
        <w:tc>
          <w:tcPr>
            <w:tcW w:w="2023" w:type="dxa"/>
          </w:tcPr>
          <w:p w14:paraId="34451C97"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Inanna-Ištar Sargonic rise</w:t>
            </w:r>
            <w:r w:rsidRPr="00050DAE">
              <w:rPr>
                <w:rStyle w:val="FootnoteReference"/>
                <w:rFonts w:asciiTheme="majorBidi" w:hAnsiTheme="majorBidi" w:cstheme="majorBidi"/>
                <w:sz w:val="20"/>
                <w:szCs w:val="20"/>
              </w:rPr>
              <w:footnoteReference w:id="348"/>
            </w:r>
          </w:p>
        </w:tc>
        <w:tc>
          <w:tcPr>
            <w:tcW w:w="2390" w:type="dxa"/>
          </w:tcPr>
          <w:p w14:paraId="5A669383"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Dynasty of Akkad</w:t>
            </w:r>
          </w:p>
          <w:p w14:paraId="2C35ED72"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(Gutian interregnum)</w:t>
            </w:r>
          </w:p>
        </w:tc>
        <w:tc>
          <w:tcPr>
            <w:tcW w:w="2371" w:type="dxa"/>
          </w:tcPr>
          <w:p w14:paraId="2BE2F4A0"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r>
      <w:tr w:rsidR="00014F8D" w:rsidRPr="00050DAE" w14:paraId="4129904A" w14:textId="77777777" w:rsidTr="00311564">
        <w:tc>
          <w:tcPr>
            <w:cnfStyle w:val="001000000000" w:firstRow="0" w:lastRow="0" w:firstColumn="1" w:lastColumn="0" w:oddVBand="0" w:evenVBand="0" w:oddHBand="0" w:evenHBand="0" w:firstRowFirstColumn="0" w:firstRowLastColumn="0" w:lastRowFirstColumn="0" w:lastRowLastColumn="0"/>
            <w:tcW w:w="2232" w:type="dxa"/>
          </w:tcPr>
          <w:p w14:paraId="799CA58D"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2150-2000</w:t>
            </w:r>
          </w:p>
        </w:tc>
        <w:tc>
          <w:tcPr>
            <w:tcW w:w="2023" w:type="dxa"/>
          </w:tcPr>
          <w:p w14:paraId="098817C0"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2390" w:type="dxa"/>
          </w:tcPr>
          <w:p w14:paraId="4503C83D"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3rd Dynasty of Ur</w:t>
            </w:r>
          </w:p>
          <w:p w14:paraId="3D259B6F"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(Amorite interregnum)</w:t>
            </w:r>
          </w:p>
        </w:tc>
        <w:tc>
          <w:tcPr>
            <w:tcW w:w="2371" w:type="dxa"/>
          </w:tcPr>
          <w:p w14:paraId="66C8D1E8"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r>
      <w:tr w:rsidR="00014F8D" w:rsidRPr="00050DAE" w14:paraId="012B6109" w14:textId="77777777" w:rsidTr="00311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72914D02"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2000-1800</w:t>
            </w:r>
          </w:p>
        </w:tc>
        <w:tc>
          <w:tcPr>
            <w:tcW w:w="2023" w:type="dxa"/>
          </w:tcPr>
          <w:p w14:paraId="4B4435AB"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2390" w:type="dxa"/>
          </w:tcPr>
          <w:p w14:paraId="12CBC959"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Isin-Larsa Dynasties</w:t>
            </w:r>
          </w:p>
        </w:tc>
        <w:tc>
          <w:tcPr>
            <w:tcW w:w="2371" w:type="dxa"/>
          </w:tcPr>
          <w:p w14:paraId="2EF82836"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Old Babylonian period</w:t>
            </w:r>
          </w:p>
        </w:tc>
      </w:tr>
      <w:tr w:rsidR="00014F8D" w:rsidRPr="00050DAE" w14:paraId="3451D1C0" w14:textId="77777777" w:rsidTr="00311564">
        <w:tc>
          <w:tcPr>
            <w:cnfStyle w:val="001000000000" w:firstRow="0" w:lastRow="0" w:firstColumn="1" w:lastColumn="0" w:oddVBand="0" w:evenVBand="0" w:oddHBand="0" w:evenHBand="0" w:firstRowFirstColumn="0" w:firstRowLastColumn="0" w:lastRowFirstColumn="0" w:lastRowLastColumn="0"/>
            <w:tcW w:w="2232" w:type="dxa"/>
          </w:tcPr>
          <w:p w14:paraId="78363955"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1800-1600</w:t>
            </w:r>
          </w:p>
        </w:tc>
        <w:tc>
          <w:tcPr>
            <w:tcW w:w="2023" w:type="dxa"/>
          </w:tcPr>
          <w:p w14:paraId="53427262" w14:textId="77777777" w:rsidR="00014F8D" w:rsidRPr="00050DAE" w:rsidRDefault="00014F8D" w:rsidP="00311564">
            <w:pPr>
              <w:pStyle w:val="UWTSDindent"/>
              <w:ind w:firstLine="0"/>
              <w:cnfStyle w:val="000000000000" w:firstRow="0" w:lastRow="0" w:firstColumn="0" w:lastColumn="0" w:oddVBand="0" w:evenVBand="0" w:oddHBand="0" w:evenHBand="0" w:firstRowFirstColumn="0" w:firstRowLastColumn="0" w:lastRowFirstColumn="0" w:lastRowLastColumn="0"/>
              <w:rPr>
                <w:sz w:val="20"/>
                <w:szCs w:val="20"/>
              </w:rPr>
            </w:pPr>
          </w:p>
        </w:tc>
        <w:tc>
          <w:tcPr>
            <w:tcW w:w="2390" w:type="dxa"/>
          </w:tcPr>
          <w:p w14:paraId="372AEC66"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1</w:t>
            </w:r>
            <w:r w:rsidRPr="00050DAE">
              <w:rPr>
                <w:rFonts w:asciiTheme="majorBidi" w:hAnsiTheme="majorBidi" w:cstheme="majorBidi"/>
                <w:sz w:val="20"/>
                <w:szCs w:val="20"/>
                <w:vertAlign w:val="superscript"/>
              </w:rPr>
              <w:t>st</w:t>
            </w:r>
            <w:r w:rsidRPr="00050DAE">
              <w:rPr>
                <w:rFonts w:asciiTheme="majorBidi" w:hAnsiTheme="majorBidi" w:cstheme="majorBidi"/>
                <w:sz w:val="20"/>
                <w:szCs w:val="20"/>
              </w:rPr>
              <w:t xml:space="preserve"> Dynasty of Babylon</w:t>
            </w:r>
          </w:p>
          <w:p w14:paraId="04BBD3E2"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(Kassite interregnum)</w:t>
            </w:r>
          </w:p>
        </w:tc>
        <w:tc>
          <w:tcPr>
            <w:tcW w:w="2371" w:type="dxa"/>
          </w:tcPr>
          <w:p w14:paraId="34BC3BE0" w14:textId="77777777" w:rsidR="00014F8D" w:rsidRPr="00050DAE" w:rsidRDefault="00014F8D" w:rsidP="00311564">
            <w:pPr>
              <w:pStyle w:val="No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Old Babylonian period</w:t>
            </w:r>
          </w:p>
        </w:tc>
      </w:tr>
      <w:tr w:rsidR="00014F8D" w:rsidRPr="00050DAE" w14:paraId="2F92B89C" w14:textId="77777777" w:rsidTr="00311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41E87044" w14:textId="77777777" w:rsidR="00014F8D" w:rsidRPr="00050DAE" w:rsidRDefault="00014F8D" w:rsidP="00311564">
            <w:pPr>
              <w:pStyle w:val="NoSpacing"/>
              <w:rPr>
                <w:rFonts w:asciiTheme="majorBidi" w:hAnsiTheme="majorBidi" w:cstheme="majorBidi"/>
                <w:sz w:val="20"/>
                <w:szCs w:val="20"/>
              </w:rPr>
            </w:pPr>
            <w:r w:rsidRPr="00050DAE">
              <w:rPr>
                <w:rFonts w:asciiTheme="majorBidi" w:hAnsiTheme="majorBidi" w:cstheme="majorBidi"/>
                <w:sz w:val="20"/>
                <w:szCs w:val="20"/>
              </w:rPr>
              <w:t>1600-1000</w:t>
            </w:r>
          </w:p>
        </w:tc>
        <w:tc>
          <w:tcPr>
            <w:tcW w:w="2023" w:type="dxa"/>
          </w:tcPr>
          <w:p w14:paraId="0D27BF6A"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 xml:space="preserve">c.1400-1350 BCE Ugaritic </w:t>
            </w:r>
            <w:r w:rsidRPr="00050DAE">
              <w:rPr>
                <w:rFonts w:asciiTheme="majorBidi" w:hAnsiTheme="majorBidi" w:cstheme="majorBidi"/>
                <w:i/>
                <w:iCs/>
                <w:sz w:val="20"/>
                <w:szCs w:val="20"/>
              </w:rPr>
              <w:t>Baal Cycle</w:t>
            </w:r>
            <w:r w:rsidRPr="00050DAE">
              <w:rPr>
                <w:rFonts w:asciiTheme="majorBidi" w:hAnsiTheme="majorBidi" w:cstheme="majorBidi"/>
                <w:sz w:val="20"/>
                <w:szCs w:val="20"/>
              </w:rPr>
              <w:t xml:space="preserve"> with Anat</w:t>
            </w:r>
            <w:r w:rsidRPr="00050DAE">
              <w:rPr>
                <w:rStyle w:val="FootnoteReference"/>
                <w:rFonts w:asciiTheme="majorBidi" w:hAnsiTheme="majorBidi" w:cstheme="majorBidi"/>
                <w:sz w:val="20"/>
                <w:szCs w:val="20"/>
              </w:rPr>
              <w:footnoteReference w:id="349"/>
            </w:r>
          </w:p>
          <w:p w14:paraId="48E70FC3"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p w14:paraId="635485E7"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c. 1462-1408 BCE Demeter worship arrives in Attika.</w:t>
            </w:r>
            <w:r w:rsidRPr="00050DAE">
              <w:rPr>
                <w:rStyle w:val="FootnoteReference"/>
                <w:rFonts w:asciiTheme="majorBidi" w:hAnsiTheme="majorBidi" w:cstheme="majorBidi"/>
                <w:sz w:val="20"/>
                <w:szCs w:val="20"/>
              </w:rPr>
              <w:footnoteReference w:id="350"/>
            </w:r>
          </w:p>
        </w:tc>
        <w:tc>
          <w:tcPr>
            <w:tcW w:w="2390" w:type="dxa"/>
          </w:tcPr>
          <w:p w14:paraId="3CA1D57F"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2371" w:type="dxa"/>
          </w:tcPr>
          <w:p w14:paraId="2788362A" w14:textId="77777777" w:rsidR="00014F8D" w:rsidRPr="00050DAE" w:rsidRDefault="00014F8D" w:rsidP="00311564">
            <w:pPr>
              <w:pStyle w:val="No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50DAE">
              <w:rPr>
                <w:rFonts w:asciiTheme="majorBidi" w:hAnsiTheme="majorBidi" w:cstheme="majorBidi"/>
                <w:sz w:val="20"/>
                <w:szCs w:val="20"/>
              </w:rPr>
              <w:t>Middle Babylonian Period</w:t>
            </w:r>
          </w:p>
        </w:tc>
      </w:tr>
    </w:tbl>
    <w:p w14:paraId="2AC0F9DC" w14:textId="77777777" w:rsidR="00014F8D" w:rsidRPr="00050DAE" w:rsidRDefault="00014F8D" w:rsidP="00684191">
      <w:pPr>
        <w:rPr>
          <w:rFonts w:asciiTheme="majorBidi" w:hAnsiTheme="majorBidi" w:cstheme="majorBidi"/>
        </w:rPr>
      </w:pPr>
    </w:p>
    <w:p w14:paraId="483E47CF"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1855B6B4" w14:textId="77777777" w:rsidR="00014F8D" w:rsidRPr="00050DAE" w:rsidRDefault="00014F8D" w:rsidP="00C85061">
      <w:pPr>
        <w:pStyle w:val="Heading3"/>
        <w:rPr>
          <w:rFonts w:asciiTheme="majorBidi" w:hAnsiTheme="majorBidi"/>
        </w:rPr>
      </w:pPr>
      <w:bookmarkStart w:id="204" w:name="_Toc234154331"/>
      <w:r w:rsidRPr="00050DAE">
        <w:rPr>
          <w:rFonts w:asciiTheme="majorBidi" w:hAnsiTheme="majorBidi"/>
        </w:rPr>
        <w:t>Temple Roles</w:t>
      </w:r>
      <w:bookmarkEnd w:id="204"/>
    </w:p>
    <w:p w14:paraId="2B4EDD73" w14:textId="72587A42" w:rsidR="00014F8D" w:rsidRPr="00050DAE" w:rsidRDefault="00014F8D" w:rsidP="003D567D">
      <w:pPr>
        <w:keepNext/>
        <w:spacing w:after="200" w:line="240" w:lineRule="auto"/>
        <w:rPr>
          <w:rFonts w:asciiTheme="majorBidi" w:hAnsiTheme="majorBidi" w:cstheme="majorBidi"/>
          <w:color w:val="0E2841" w:themeColor="text2"/>
          <w:sz w:val="18"/>
          <w:szCs w:val="18"/>
        </w:rPr>
      </w:pPr>
      <w:r w:rsidRPr="00050DAE">
        <w:rPr>
          <w:rFonts w:asciiTheme="majorBidi" w:hAnsiTheme="majorBidi" w:cstheme="majorBidi"/>
          <w:i/>
          <w:iCs/>
          <w:color w:val="0E2841" w:themeColor="text2"/>
          <w:sz w:val="18"/>
          <w:szCs w:val="18"/>
        </w:rPr>
        <w:t xml:space="preserve">Table </w:t>
      </w:r>
      <w:r w:rsidRPr="00050DAE">
        <w:rPr>
          <w:rFonts w:asciiTheme="majorBidi" w:hAnsiTheme="majorBidi" w:cstheme="majorBidi"/>
          <w:i/>
          <w:iCs/>
          <w:color w:val="0E2841" w:themeColor="text2"/>
          <w:sz w:val="18"/>
          <w:szCs w:val="18"/>
        </w:rPr>
        <w:fldChar w:fldCharType="begin"/>
      </w:r>
      <w:r w:rsidRPr="00050DAE">
        <w:rPr>
          <w:rFonts w:asciiTheme="majorBidi" w:hAnsiTheme="majorBidi" w:cstheme="majorBidi"/>
          <w:i/>
          <w:iCs/>
          <w:color w:val="0E2841" w:themeColor="text2"/>
          <w:sz w:val="18"/>
          <w:szCs w:val="18"/>
        </w:rPr>
        <w:instrText xml:space="preserve"> SEQ Table \* ARABIC </w:instrText>
      </w:r>
      <w:r w:rsidRPr="00050DAE">
        <w:rPr>
          <w:rFonts w:asciiTheme="majorBidi" w:hAnsiTheme="majorBidi" w:cstheme="majorBidi"/>
          <w:i/>
          <w:iCs/>
          <w:color w:val="0E2841" w:themeColor="text2"/>
          <w:sz w:val="18"/>
          <w:szCs w:val="18"/>
        </w:rPr>
        <w:fldChar w:fldCharType="separate"/>
      </w:r>
      <w:r w:rsidR="009D2921">
        <w:rPr>
          <w:rFonts w:asciiTheme="majorBidi" w:hAnsiTheme="majorBidi" w:cstheme="majorBidi"/>
          <w:i/>
          <w:iCs/>
          <w:noProof/>
          <w:color w:val="0E2841" w:themeColor="text2"/>
          <w:sz w:val="18"/>
          <w:szCs w:val="18"/>
        </w:rPr>
        <w:t>9</w:t>
      </w:r>
      <w:r w:rsidRPr="00050DAE">
        <w:rPr>
          <w:rFonts w:asciiTheme="majorBidi" w:hAnsiTheme="majorBidi" w:cstheme="majorBidi"/>
          <w:i/>
          <w:iCs/>
          <w:color w:val="0E2841" w:themeColor="text2"/>
          <w:sz w:val="18"/>
          <w:szCs w:val="18"/>
        </w:rPr>
        <w:fldChar w:fldCharType="end"/>
      </w:r>
      <w:r w:rsidRPr="00050DAE">
        <w:rPr>
          <w:rFonts w:asciiTheme="majorBidi" w:hAnsiTheme="majorBidi" w:cstheme="majorBidi"/>
          <w:i/>
          <w:iCs/>
          <w:color w:val="0E2841" w:themeColor="text2"/>
          <w:sz w:val="18"/>
          <w:szCs w:val="18"/>
        </w:rPr>
        <w:t xml:space="preserve"> Example Temple Personnel List for the Staff of Ninurta’s Temple at Nippur.</w:t>
      </w:r>
      <w:r w:rsidRPr="00050DAE">
        <w:rPr>
          <w:rFonts w:asciiTheme="majorBidi" w:hAnsiTheme="majorBidi" w:cstheme="majorBidi"/>
          <w:i/>
          <w:iCs/>
          <w:color w:val="0E2841" w:themeColor="text2"/>
          <w:sz w:val="18"/>
          <w:szCs w:val="18"/>
          <w:vertAlign w:val="superscript"/>
        </w:rPr>
        <w:footnoteReference w:id="351"/>
      </w:r>
    </w:p>
    <w:tbl>
      <w:tblPr>
        <w:tblStyle w:val="TableGrid"/>
        <w:tblW w:w="0" w:type="auto"/>
        <w:tblLook w:val="04A0" w:firstRow="1" w:lastRow="0" w:firstColumn="1" w:lastColumn="0" w:noHBand="0" w:noVBand="1"/>
      </w:tblPr>
      <w:tblGrid>
        <w:gridCol w:w="2254"/>
        <w:gridCol w:w="2254"/>
        <w:gridCol w:w="2254"/>
        <w:gridCol w:w="2254"/>
      </w:tblGrid>
      <w:tr w:rsidR="00014F8D" w:rsidRPr="00050DAE" w14:paraId="363D9D54" w14:textId="77777777" w:rsidTr="00AD215D">
        <w:tc>
          <w:tcPr>
            <w:tcW w:w="2254" w:type="dxa"/>
          </w:tcPr>
          <w:p w14:paraId="0B925840" w14:textId="77777777" w:rsidR="00014F8D" w:rsidRPr="00050DAE" w:rsidRDefault="00014F8D" w:rsidP="003D567D">
            <w:pPr>
              <w:rPr>
                <w:rFonts w:asciiTheme="majorBidi" w:hAnsiTheme="majorBidi" w:cstheme="majorBidi"/>
              </w:rPr>
            </w:pPr>
            <w:r w:rsidRPr="00050DAE">
              <w:rPr>
                <w:rFonts w:asciiTheme="majorBidi" w:hAnsiTheme="majorBidi" w:cstheme="majorBidi"/>
              </w:rPr>
              <w:t>The house supervisor</w:t>
            </w:r>
          </w:p>
        </w:tc>
        <w:tc>
          <w:tcPr>
            <w:tcW w:w="2254" w:type="dxa"/>
          </w:tcPr>
          <w:p w14:paraId="08505011"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accountant </w:t>
            </w:r>
          </w:p>
        </w:tc>
        <w:tc>
          <w:tcPr>
            <w:tcW w:w="2254" w:type="dxa"/>
          </w:tcPr>
          <w:p w14:paraId="0C1C543A"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treasurer </w:t>
            </w:r>
          </w:p>
        </w:tc>
        <w:tc>
          <w:tcPr>
            <w:tcW w:w="2254" w:type="dxa"/>
          </w:tcPr>
          <w:p w14:paraId="35D7E374"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scribe </w:t>
            </w:r>
          </w:p>
        </w:tc>
      </w:tr>
      <w:tr w:rsidR="00014F8D" w:rsidRPr="00050DAE" w14:paraId="0A16534A" w14:textId="77777777" w:rsidTr="00AD215D">
        <w:tc>
          <w:tcPr>
            <w:tcW w:w="2254" w:type="dxa"/>
          </w:tcPr>
          <w:p w14:paraId="74C95E3A"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High Priest </w:t>
            </w:r>
          </w:p>
        </w:tc>
        <w:tc>
          <w:tcPr>
            <w:tcW w:w="2254" w:type="dxa"/>
          </w:tcPr>
          <w:p w14:paraId="6C30D88B"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purification-priest </w:t>
            </w:r>
          </w:p>
        </w:tc>
        <w:tc>
          <w:tcPr>
            <w:tcW w:w="2254" w:type="dxa"/>
          </w:tcPr>
          <w:p w14:paraId="28F047E8"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naditum </w:t>
            </w:r>
          </w:p>
        </w:tc>
        <w:tc>
          <w:tcPr>
            <w:tcW w:w="2254" w:type="dxa"/>
          </w:tcPr>
          <w:p w14:paraId="2503490E"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snake-charmer </w:t>
            </w:r>
          </w:p>
        </w:tc>
      </w:tr>
      <w:tr w:rsidR="00014F8D" w:rsidRPr="00050DAE" w14:paraId="18FB3A2B" w14:textId="77777777" w:rsidTr="00AD215D">
        <w:tc>
          <w:tcPr>
            <w:tcW w:w="2254" w:type="dxa"/>
          </w:tcPr>
          <w:p w14:paraId="1585F003"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lagar </w:t>
            </w:r>
          </w:p>
        </w:tc>
        <w:tc>
          <w:tcPr>
            <w:tcW w:w="2254" w:type="dxa"/>
          </w:tcPr>
          <w:p w14:paraId="4E556A6C"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High Priestess </w:t>
            </w:r>
          </w:p>
        </w:tc>
        <w:tc>
          <w:tcPr>
            <w:tcW w:w="2254" w:type="dxa"/>
          </w:tcPr>
          <w:p w14:paraId="3DE08814"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chief qadištum </w:t>
            </w:r>
          </w:p>
        </w:tc>
        <w:tc>
          <w:tcPr>
            <w:tcW w:w="2254" w:type="dxa"/>
          </w:tcPr>
          <w:p w14:paraId="69D12EBF"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bar-šu-gal </w:t>
            </w:r>
          </w:p>
        </w:tc>
      </w:tr>
      <w:tr w:rsidR="00014F8D" w:rsidRPr="00050DAE" w14:paraId="0099D7EF" w14:textId="77777777" w:rsidTr="00AD215D">
        <w:tc>
          <w:tcPr>
            <w:tcW w:w="2254" w:type="dxa"/>
          </w:tcPr>
          <w:p w14:paraId="78F342DC"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lamentation-priest </w:t>
            </w:r>
          </w:p>
        </w:tc>
        <w:tc>
          <w:tcPr>
            <w:tcW w:w="2254" w:type="dxa"/>
          </w:tcPr>
          <w:p w14:paraId="2758D774"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 priestess </w:t>
            </w:r>
          </w:p>
        </w:tc>
        <w:tc>
          <w:tcPr>
            <w:tcW w:w="2254" w:type="dxa"/>
          </w:tcPr>
          <w:p w14:paraId="164E356A"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diviner </w:t>
            </w:r>
          </w:p>
        </w:tc>
        <w:tc>
          <w:tcPr>
            <w:tcW w:w="2254" w:type="dxa"/>
          </w:tcPr>
          <w:p w14:paraId="5163E6CB"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nu-èš </w:t>
            </w:r>
          </w:p>
        </w:tc>
      </w:tr>
      <w:tr w:rsidR="00014F8D" w:rsidRPr="00050DAE" w14:paraId="4F7EA5A9" w14:textId="77777777" w:rsidTr="00AD215D">
        <w:tc>
          <w:tcPr>
            <w:tcW w:w="2254" w:type="dxa"/>
          </w:tcPr>
          <w:p w14:paraId="28FDABAA"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miller </w:t>
            </w:r>
          </w:p>
        </w:tc>
        <w:tc>
          <w:tcPr>
            <w:tcW w:w="2254" w:type="dxa"/>
          </w:tcPr>
          <w:p w14:paraId="26AF694F"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door-ward </w:t>
            </w:r>
          </w:p>
        </w:tc>
        <w:tc>
          <w:tcPr>
            <w:tcW w:w="2254" w:type="dxa"/>
          </w:tcPr>
          <w:p w14:paraId="3267C4CB"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fuller </w:t>
            </w:r>
          </w:p>
        </w:tc>
        <w:tc>
          <w:tcPr>
            <w:tcW w:w="2254" w:type="dxa"/>
          </w:tcPr>
          <w:p w14:paraId="51F56DB5"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fuel-carrier </w:t>
            </w:r>
          </w:p>
        </w:tc>
      </w:tr>
      <w:tr w:rsidR="00014F8D" w:rsidRPr="00050DAE" w14:paraId="1ADA63BB" w14:textId="77777777" w:rsidTr="00AD215D">
        <w:tc>
          <w:tcPr>
            <w:tcW w:w="2254" w:type="dxa"/>
          </w:tcPr>
          <w:p w14:paraId="48A631F1"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water-carrier </w:t>
            </w:r>
          </w:p>
        </w:tc>
        <w:tc>
          <w:tcPr>
            <w:tcW w:w="2254" w:type="dxa"/>
          </w:tcPr>
          <w:p w14:paraId="2AD6B375"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oil-presser </w:t>
            </w:r>
          </w:p>
        </w:tc>
        <w:tc>
          <w:tcPr>
            <w:tcW w:w="2254" w:type="dxa"/>
          </w:tcPr>
          <w:p w14:paraId="09AF5F3B"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cow herd </w:t>
            </w:r>
          </w:p>
        </w:tc>
        <w:tc>
          <w:tcPr>
            <w:tcW w:w="2254" w:type="dxa"/>
          </w:tcPr>
          <w:p w14:paraId="27E5181A"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(copper-)smith </w:t>
            </w:r>
          </w:p>
        </w:tc>
      </w:tr>
      <w:tr w:rsidR="00014F8D" w:rsidRPr="00050DAE" w14:paraId="7591C901" w14:textId="77777777" w:rsidTr="00AD215D">
        <w:tc>
          <w:tcPr>
            <w:tcW w:w="2254" w:type="dxa"/>
          </w:tcPr>
          <w:p w14:paraId="4730BEF2"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steward </w:t>
            </w:r>
          </w:p>
        </w:tc>
        <w:tc>
          <w:tcPr>
            <w:tcW w:w="2254" w:type="dxa"/>
          </w:tcPr>
          <w:p w14:paraId="341A24BA"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boatman </w:t>
            </w:r>
          </w:p>
        </w:tc>
        <w:tc>
          <w:tcPr>
            <w:tcW w:w="2254" w:type="dxa"/>
          </w:tcPr>
          <w:p w14:paraId="69FFD31A"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boat-tower </w:t>
            </w:r>
          </w:p>
        </w:tc>
        <w:tc>
          <w:tcPr>
            <w:tcW w:w="2254" w:type="dxa"/>
          </w:tcPr>
          <w:p w14:paraId="16527CFE"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weaver </w:t>
            </w:r>
          </w:p>
        </w:tc>
      </w:tr>
      <w:tr w:rsidR="00014F8D" w:rsidRPr="00050DAE" w14:paraId="38BD2E11" w14:textId="77777777" w:rsidTr="00AD215D">
        <w:tc>
          <w:tcPr>
            <w:tcW w:w="2254" w:type="dxa"/>
          </w:tcPr>
          <w:p w14:paraId="74D9160F"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courtyard-sweeper </w:t>
            </w:r>
          </w:p>
        </w:tc>
        <w:tc>
          <w:tcPr>
            <w:tcW w:w="2254" w:type="dxa"/>
          </w:tcPr>
          <w:p w14:paraId="47303077"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barber </w:t>
            </w:r>
          </w:p>
        </w:tc>
        <w:tc>
          <w:tcPr>
            <w:tcW w:w="2254" w:type="dxa"/>
          </w:tcPr>
          <w:p w14:paraId="1EC0182E"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water-pourer </w:t>
            </w:r>
          </w:p>
        </w:tc>
        <w:tc>
          <w:tcPr>
            <w:tcW w:w="2254" w:type="dxa"/>
          </w:tcPr>
          <w:p w14:paraId="4A6C531C"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mat-maker </w:t>
            </w:r>
          </w:p>
        </w:tc>
      </w:tr>
      <w:tr w:rsidR="00014F8D" w:rsidRPr="00050DAE" w14:paraId="1AA722F6" w14:textId="77777777" w:rsidTr="00AD215D">
        <w:tc>
          <w:tcPr>
            <w:tcW w:w="2254" w:type="dxa"/>
          </w:tcPr>
          <w:p w14:paraId="4C9D144C"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runner </w:t>
            </w:r>
          </w:p>
        </w:tc>
        <w:tc>
          <w:tcPr>
            <w:tcW w:w="2254" w:type="dxa"/>
          </w:tcPr>
          <w:p w14:paraId="41208472"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stone carver </w:t>
            </w:r>
          </w:p>
        </w:tc>
        <w:tc>
          <w:tcPr>
            <w:tcW w:w="2254" w:type="dxa"/>
          </w:tcPr>
          <w:p w14:paraId="1785E547"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king’s butler </w:t>
            </w:r>
          </w:p>
        </w:tc>
        <w:tc>
          <w:tcPr>
            <w:tcW w:w="2254" w:type="dxa"/>
          </w:tcPr>
          <w:p w14:paraId="06B9A2CC"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palace guard </w:t>
            </w:r>
          </w:p>
        </w:tc>
      </w:tr>
      <w:tr w:rsidR="00014F8D" w:rsidRPr="00050DAE" w14:paraId="0D341DAA" w14:textId="77777777" w:rsidTr="00AD215D">
        <w:tc>
          <w:tcPr>
            <w:tcW w:w="2254" w:type="dxa"/>
          </w:tcPr>
          <w:p w14:paraId="18F4E959"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cupbearer </w:t>
            </w:r>
          </w:p>
        </w:tc>
        <w:tc>
          <w:tcPr>
            <w:tcW w:w="2254" w:type="dxa"/>
          </w:tcPr>
          <w:p w14:paraId="06A8B4BB" w14:textId="77777777" w:rsidR="00014F8D" w:rsidRPr="00050DAE" w:rsidRDefault="00014F8D" w:rsidP="003D567D">
            <w:pPr>
              <w:rPr>
                <w:rFonts w:asciiTheme="majorBidi" w:hAnsiTheme="majorBidi" w:cstheme="majorBidi"/>
              </w:rPr>
            </w:pPr>
            <w:r w:rsidRPr="00050DAE">
              <w:rPr>
                <w:rFonts w:asciiTheme="majorBidi" w:hAnsiTheme="majorBidi" w:cstheme="majorBidi"/>
              </w:rPr>
              <w:t xml:space="preserve">The overseer of the oil-pressers </w:t>
            </w:r>
          </w:p>
        </w:tc>
        <w:tc>
          <w:tcPr>
            <w:tcW w:w="2254" w:type="dxa"/>
          </w:tcPr>
          <w:p w14:paraId="112A22A8" w14:textId="77777777" w:rsidR="00014F8D" w:rsidRPr="00050DAE" w:rsidRDefault="00014F8D" w:rsidP="003D567D">
            <w:pPr>
              <w:rPr>
                <w:rFonts w:asciiTheme="majorBidi" w:hAnsiTheme="majorBidi" w:cstheme="majorBidi"/>
              </w:rPr>
            </w:pPr>
          </w:p>
        </w:tc>
        <w:tc>
          <w:tcPr>
            <w:tcW w:w="2254" w:type="dxa"/>
          </w:tcPr>
          <w:p w14:paraId="18804DC4" w14:textId="77777777" w:rsidR="00014F8D" w:rsidRPr="00050DAE" w:rsidRDefault="00014F8D" w:rsidP="003D567D">
            <w:pPr>
              <w:rPr>
                <w:rFonts w:asciiTheme="majorBidi" w:hAnsiTheme="majorBidi" w:cstheme="majorBidi"/>
              </w:rPr>
            </w:pPr>
          </w:p>
        </w:tc>
      </w:tr>
    </w:tbl>
    <w:p w14:paraId="2362C4D9" w14:textId="77777777" w:rsidR="00014F8D" w:rsidRPr="00050DAE" w:rsidRDefault="00014F8D" w:rsidP="00261712">
      <w:pPr>
        <w:rPr>
          <w:rFonts w:asciiTheme="majorBidi" w:hAnsiTheme="majorBidi" w:cstheme="majorBidi"/>
        </w:rPr>
      </w:pPr>
    </w:p>
    <w:p w14:paraId="1F267441" w14:textId="5EC79112" w:rsidR="00014F8D" w:rsidRPr="00050DAE" w:rsidRDefault="00014F8D" w:rsidP="0030149D">
      <w:pPr>
        <w:pStyle w:val="Caption"/>
        <w:keepNext/>
        <w:rPr>
          <w:rFonts w:asciiTheme="majorBidi" w:hAnsiTheme="majorBidi" w:cstheme="majorBidi"/>
        </w:rPr>
      </w:pPr>
      <w:r w:rsidRPr="00050DAE">
        <w:rPr>
          <w:rFonts w:asciiTheme="majorBidi" w:hAnsiTheme="majorBidi" w:cstheme="majorBidi"/>
        </w:rPr>
        <w:t xml:space="preserve">Table </w:t>
      </w:r>
      <w:r w:rsidRPr="00050DAE">
        <w:rPr>
          <w:rFonts w:asciiTheme="majorBidi" w:hAnsiTheme="majorBidi" w:cstheme="majorBidi"/>
        </w:rPr>
        <w:fldChar w:fldCharType="begin"/>
      </w:r>
      <w:r w:rsidRPr="00050DAE">
        <w:rPr>
          <w:rFonts w:asciiTheme="majorBidi" w:hAnsiTheme="majorBidi" w:cstheme="majorBidi"/>
        </w:rPr>
        <w:instrText xml:space="preserve"> SEQ Table \* ARABIC </w:instrText>
      </w:r>
      <w:r w:rsidRPr="00050DAE">
        <w:rPr>
          <w:rFonts w:asciiTheme="majorBidi" w:hAnsiTheme="majorBidi" w:cstheme="majorBidi"/>
        </w:rPr>
        <w:fldChar w:fldCharType="separate"/>
      </w:r>
      <w:r w:rsidR="009D2921">
        <w:rPr>
          <w:rFonts w:asciiTheme="majorBidi" w:hAnsiTheme="majorBidi" w:cstheme="majorBidi"/>
          <w:noProof/>
        </w:rPr>
        <w:t>10</w:t>
      </w:r>
      <w:r w:rsidRPr="00050DAE">
        <w:rPr>
          <w:rFonts w:asciiTheme="majorBidi" w:hAnsiTheme="majorBidi" w:cstheme="majorBidi"/>
          <w:noProof/>
        </w:rPr>
        <w:fldChar w:fldCharType="end"/>
      </w:r>
      <w:r w:rsidRPr="00050DAE">
        <w:rPr>
          <w:rFonts w:asciiTheme="majorBidi" w:hAnsiTheme="majorBidi" w:cstheme="majorBidi"/>
          <w:lang w:val="en-US"/>
        </w:rPr>
        <w:t xml:space="preserve"> Religious specialists</w:t>
      </w:r>
      <w:r w:rsidRPr="00050DAE">
        <w:rPr>
          <w:rStyle w:val="FootnoteReference"/>
          <w:rFonts w:asciiTheme="majorBidi" w:hAnsiTheme="majorBidi" w:cstheme="majorBidi"/>
        </w:rPr>
        <w:footnoteReference w:id="352"/>
      </w:r>
    </w:p>
    <w:tbl>
      <w:tblPr>
        <w:tblStyle w:val="TableGrid"/>
        <w:tblW w:w="0" w:type="auto"/>
        <w:tblLook w:val="04A0" w:firstRow="1" w:lastRow="0" w:firstColumn="1" w:lastColumn="0" w:noHBand="0" w:noVBand="1"/>
      </w:tblPr>
      <w:tblGrid>
        <w:gridCol w:w="2254"/>
        <w:gridCol w:w="2254"/>
        <w:gridCol w:w="2254"/>
        <w:gridCol w:w="2254"/>
      </w:tblGrid>
      <w:tr w:rsidR="00014F8D" w:rsidRPr="00050DAE" w14:paraId="2FF99367" w14:textId="77777777" w:rsidTr="00AD215D">
        <w:tc>
          <w:tcPr>
            <w:tcW w:w="2254" w:type="dxa"/>
          </w:tcPr>
          <w:p w14:paraId="214696AA" w14:textId="77777777" w:rsidR="00014F8D" w:rsidRPr="00050DAE" w:rsidRDefault="00014F8D" w:rsidP="00AD215D">
            <w:pPr>
              <w:rPr>
                <w:rFonts w:asciiTheme="majorBidi" w:hAnsiTheme="majorBidi" w:cstheme="majorBidi"/>
              </w:rPr>
            </w:pPr>
            <w:r w:rsidRPr="00050DAE">
              <w:rPr>
                <w:rFonts w:asciiTheme="majorBidi" w:hAnsiTheme="majorBidi" w:cstheme="majorBidi"/>
              </w:rPr>
              <w:t>lamentation singers (Sumerian gala)</w:t>
            </w:r>
          </w:p>
          <w:p w14:paraId="2C0EC250" w14:textId="77777777" w:rsidR="00014F8D" w:rsidRPr="00050DAE" w:rsidRDefault="00014F8D" w:rsidP="00AD215D">
            <w:pPr>
              <w:rPr>
                <w:rFonts w:asciiTheme="majorBidi" w:hAnsiTheme="majorBidi" w:cstheme="majorBidi"/>
              </w:rPr>
            </w:pPr>
            <w:r w:rsidRPr="00050DAE">
              <w:rPr>
                <w:rFonts w:asciiTheme="majorBidi" w:hAnsiTheme="majorBidi" w:cstheme="majorBidi"/>
              </w:rPr>
              <w:t xml:space="preserve">Akkadian kalû </w:t>
            </w:r>
          </w:p>
          <w:p w14:paraId="4D4146A3" w14:textId="77777777" w:rsidR="00014F8D" w:rsidRPr="00050DAE" w:rsidRDefault="00014F8D" w:rsidP="00AD215D">
            <w:pPr>
              <w:rPr>
                <w:rFonts w:asciiTheme="majorBidi" w:hAnsiTheme="majorBidi" w:cstheme="majorBidi"/>
              </w:rPr>
            </w:pPr>
          </w:p>
        </w:tc>
        <w:tc>
          <w:tcPr>
            <w:tcW w:w="2254" w:type="dxa"/>
          </w:tcPr>
          <w:p w14:paraId="5C3FB14E" w14:textId="77777777" w:rsidR="00014F8D" w:rsidRPr="00050DAE" w:rsidRDefault="00014F8D" w:rsidP="00AD215D">
            <w:pPr>
              <w:rPr>
                <w:rFonts w:asciiTheme="majorBidi" w:hAnsiTheme="majorBidi" w:cstheme="majorBidi"/>
              </w:rPr>
            </w:pPr>
            <w:r w:rsidRPr="00050DAE">
              <w:rPr>
                <w:rFonts w:asciiTheme="majorBidi" w:hAnsiTheme="majorBidi" w:cstheme="majorBidi"/>
              </w:rPr>
              <w:t xml:space="preserve">ecstatic performers of Ištar </w:t>
            </w:r>
          </w:p>
          <w:p w14:paraId="1281F23A" w14:textId="77777777" w:rsidR="00014F8D" w:rsidRPr="00050DAE" w:rsidRDefault="00014F8D" w:rsidP="00AD215D">
            <w:pPr>
              <w:rPr>
                <w:rFonts w:asciiTheme="majorBidi" w:hAnsiTheme="majorBidi" w:cstheme="majorBidi"/>
              </w:rPr>
            </w:pPr>
            <w:r w:rsidRPr="00050DAE">
              <w:rPr>
                <w:rFonts w:asciiTheme="majorBidi" w:hAnsiTheme="majorBidi" w:cstheme="majorBidi"/>
              </w:rPr>
              <w:t>(Akkadian kurgarrû)</w:t>
            </w:r>
          </w:p>
        </w:tc>
        <w:tc>
          <w:tcPr>
            <w:tcW w:w="2254" w:type="dxa"/>
          </w:tcPr>
          <w:p w14:paraId="1E365C56" w14:textId="77777777" w:rsidR="00014F8D" w:rsidRPr="00050DAE" w:rsidRDefault="00014F8D" w:rsidP="00AD215D">
            <w:pPr>
              <w:rPr>
                <w:rFonts w:asciiTheme="majorBidi" w:hAnsiTheme="majorBidi" w:cstheme="majorBidi"/>
              </w:rPr>
            </w:pPr>
            <w:r w:rsidRPr="00050DAE">
              <w:rPr>
                <w:rFonts w:asciiTheme="majorBidi" w:hAnsiTheme="majorBidi" w:cstheme="majorBidi"/>
              </w:rPr>
              <w:t>castrated/gender-transformed devotees</w:t>
            </w:r>
          </w:p>
          <w:p w14:paraId="26810ABD" w14:textId="77777777" w:rsidR="00014F8D" w:rsidRPr="00050DAE" w:rsidRDefault="00014F8D" w:rsidP="00AD215D">
            <w:pPr>
              <w:rPr>
                <w:rFonts w:asciiTheme="majorBidi" w:hAnsiTheme="majorBidi" w:cstheme="majorBidi"/>
              </w:rPr>
            </w:pPr>
            <w:r w:rsidRPr="00050DAE">
              <w:rPr>
                <w:rFonts w:asciiTheme="majorBidi" w:hAnsiTheme="majorBidi" w:cstheme="majorBidi"/>
              </w:rPr>
              <w:t>(Akkadian assinnu)</w:t>
            </w:r>
          </w:p>
        </w:tc>
        <w:tc>
          <w:tcPr>
            <w:tcW w:w="2254" w:type="dxa"/>
          </w:tcPr>
          <w:p w14:paraId="3F85B0AE" w14:textId="77777777" w:rsidR="00014F8D" w:rsidRPr="00050DAE" w:rsidRDefault="00014F8D" w:rsidP="00AD215D">
            <w:pPr>
              <w:rPr>
                <w:rFonts w:asciiTheme="majorBidi" w:hAnsiTheme="majorBidi" w:cstheme="majorBidi"/>
              </w:rPr>
            </w:pPr>
            <w:r w:rsidRPr="00050DAE">
              <w:rPr>
                <w:rFonts w:asciiTheme="majorBidi" w:hAnsiTheme="majorBidi" w:cstheme="majorBidi"/>
              </w:rPr>
              <w:t>Musicians</w:t>
            </w:r>
          </w:p>
          <w:p w14:paraId="06D7C9A6" w14:textId="77777777" w:rsidR="00014F8D" w:rsidRPr="00050DAE" w:rsidRDefault="00014F8D" w:rsidP="00AD215D">
            <w:pPr>
              <w:rPr>
                <w:rFonts w:asciiTheme="majorBidi" w:hAnsiTheme="majorBidi" w:cstheme="majorBidi"/>
              </w:rPr>
            </w:pPr>
            <w:r w:rsidRPr="00050DAE">
              <w:rPr>
                <w:rFonts w:asciiTheme="majorBidi" w:hAnsiTheme="majorBidi" w:cstheme="majorBidi"/>
              </w:rPr>
              <w:t xml:space="preserve">šem, nārû </w:t>
            </w:r>
          </w:p>
          <w:p w14:paraId="1F5F8EE4" w14:textId="77777777" w:rsidR="00014F8D" w:rsidRPr="00050DAE" w:rsidRDefault="00014F8D" w:rsidP="00AD215D">
            <w:pPr>
              <w:rPr>
                <w:rFonts w:asciiTheme="majorBidi" w:hAnsiTheme="majorBidi" w:cstheme="majorBidi"/>
              </w:rPr>
            </w:pPr>
          </w:p>
        </w:tc>
      </w:tr>
      <w:tr w:rsidR="00014F8D" w:rsidRPr="00050DAE" w14:paraId="73C53F93" w14:textId="77777777" w:rsidTr="00AD215D">
        <w:tc>
          <w:tcPr>
            <w:tcW w:w="2254" w:type="dxa"/>
          </w:tcPr>
          <w:p w14:paraId="14989057" w14:textId="77777777" w:rsidR="00014F8D" w:rsidRPr="00050DAE" w:rsidRDefault="00014F8D" w:rsidP="00AD215D">
            <w:pPr>
              <w:rPr>
                <w:rFonts w:asciiTheme="majorBidi" w:hAnsiTheme="majorBidi" w:cstheme="majorBidi"/>
              </w:rPr>
            </w:pPr>
            <w:r w:rsidRPr="00050DAE">
              <w:rPr>
                <w:rFonts w:asciiTheme="majorBidi" w:hAnsiTheme="majorBidi" w:cstheme="majorBidi"/>
              </w:rPr>
              <w:t>nar-gal - chief musician</w:t>
            </w:r>
          </w:p>
        </w:tc>
        <w:tc>
          <w:tcPr>
            <w:tcW w:w="2254" w:type="dxa"/>
          </w:tcPr>
          <w:p w14:paraId="3BE61CBE" w14:textId="77777777" w:rsidR="00014F8D" w:rsidRPr="00050DAE" w:rsidRDefault="00014F8D" w:rsidP="00AD215D">
            <w:pPr>
              <w:rPr>
                <w:rFonts w:asciiTheme="majorBidi" w:hAnsiTheme="majorBidi" w:cstheme="majorBidi"/>
              </w:rPr>
            </w:pPr>
            <w:r w:rsidRPr="00050DAE">
              <w:rPr>
                <w:rFonts w:asciiTheme="majorBidi" w:hAnsiTheme="majorBidi" w:cstheme="majorBidi"/>
              </w:rPr>
              <w:t>sacred devotee (female)</w:t>
            </w:r>
          </w:p>
          <w:p w14:paraId="05E97547" w14:textId="77777777" w:rsidR="00014F8D" w:rsidRPr="00050DAE" w:rsidRDefault="00014F8D" w:rsidP="00AD215D">
            <w:pPr>
              <w:rPr>
                <w:rFonts w:asciiTheme="majorBidi" w:hAnsiTheme="majorBidi" w:cstheme="majorBidi"/>
              </w:rPr>
            </w:pPr>
            <w:r w:rsidRPr="00050DAE">
              <w:rPr>
                <w:rFonts w:asciiTheme="majorBidi" w:hAnsiTheme="majorBidi" w:cstheme="majorBidi"/>
              </w:rPr>
              <w:t>qadištu</w:t>
            </w:r>
          </w:p>
        </w:tc>
        <w:tc>
          <w:tcPr>
            <w:tcW w:w="2254" w:type="dxa"/>
          </w:tcPr>
          <w:p w14:paraId="6844C682" w14:textId="77777777" w:rsidR="00014F8D" w:rsidRPr="00050DAE" w:rsidRDefault="00014F8D" w:rsidP="00261712">
            <w:pPr>
              <w:rPr>
                <w:rFonts w:asciiTheme="majorBidi" w:hAnsiTheme="majorBidi" w:cstheme="majorBidi"/>
              </w:rPr>
            </w:pPr>
            <w:r w:rsidRPr="00050DAE">
              <w:rPr>
                <w:rFonts w:asciiTheme="majorBidi" w:hAnsiTheme="majorBidi" w:cstheme="majorBidi"/>
              </w:rPr>
              <w:t>ecstatic warrior-dancers</w:t>
            </w:r>
          </w:p>
          <w:p w14:paraId="31805F64" w14:textId="77777777" w:rsidR="00014F8D" w:rsidRPr="00050DAE" w:rsidRDefault="00014F8D" w:rsidP="00261712">
            <w:pPr>
              <w:rPr>
                <w:rFonts w:asciiTheme="majorBidi" w:hAnsiTheme="majorBidi" w:cstheme="majorBidi"/>
              </w:rPr>
            </w:pPr>
            <w:r w:rsidRPr="00050DAE">
              <w:rPr>
                <w:rFonts w:asciiTheme="majorBidi" w:hAnsiTheme="majorBidi" w:cstheme="majorBidi"/>
              </w:rPr>
              <w:t>lú-saĝ-ur-saĝ</w:t>
            </w:r>
          </w:p>
        </w:tc>
        <w:tc>
          <w:tcPr>
            <w:tcW w:w="2254" w:type="dxa"/>
          </w:tcPr>
          <w:p w14:paraId="24D843F7" w14:textId="77777777" w:rsidR="00014F8D" w:rsidRPr="00050DAE" w:rsidRDefault="00014F8D" w:rsidP="00AD215D">
            <w:pPr>
              <w:rPr>
                <w:rFonts w:asciiTheme="majorBidi" w:hAnsiTheme="majorBidi" w:cstheme="majorBidi"/>
              </w:rPr>
            </w:pPr>
            <w:r w:rsidRPr="00050DAE">
              <w:rPr>
                <w:rFonts w:asciiTheme="majorBidi" w:hAnsiTheme="majorBidi" w:cstheme="majorBidi"/>
              </w:rPr>
              <w:t>Drummers/dancers</w:t>
            </w:r>
          </w:p>
          <w:p w14:paraId="17B41CE5" w14:textId="77777777" w:rsidR="00014F8D" w:rsidRPr="00050DAE" w:rsidRDefault="00014F8D" w:rsidP="00AD215D">
            <w:pPr>
              <w:rPr>
                <w:rFonts w:asciiTheme="majorBidi" w:hAnsiTheme="majorBidi" w:cstheme="majorBidi"/>
              </w:rPr>
            </w:pPr>
            <w:r w:rsidRPr="00050DAE">
              <w:rPr>
                <w:rFonts w:asciiTheme="majorBidi" w:hAnsiTheme="majorBidi" w:cstheme="majorBidi"/>
              </w:rPr>
              <w:t>Pili pili</w:t>
            </w:r>
          </w:p>
        </w:tc>
      </w:tr>
    </w:tbl>
    <w:p w14:paraId="7124E80E" w14:textId="77777777" w:rsidR="00014F8D" w:rsidRPr="00050DAE" w:rsidRDefault="00014F8D" w:rsidP="00261712">
      <w:pPr>
        <w:rPr>
          <w:rFonts w:asciiTheme="majorBidi" w:hAnsiTheme="majorBidi" w:cstheme="majorBidi"/>
        </w:rPr>
      </w:pPr>
    </w:p>
    <w:p w14:paraId="2FE75274"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5852FF3C" w14:textId="77777777" w:rsidR="00014F8D" w:rsidRPr="00050DAE" w:rsidRDefault="00014F8D" w:rsidP="008E68BB">
      <w:pPr>
        <w:pStyle w:val="Heading2"/>
        <w:rPr>
          <w:rFonts w:asciiTheme="majorBidi" w:hAnsiTheme="majorBidi"/>
        </w:rPr>
      </w:pPr>
      <w:bookmarkStart w:id="205" w:name="_Toc234154332"/>
      <w:r w:rsidRPr="00050DAE">
        <w:rPr>
          <w:rFonts w:asciiTheme="majorBidi" w:hAnsiTheme="majorBidi"/>
        </w:rPr>
        <w:t>Inanna Secondary Corpus</w:t>
      </w:r>
      <w:bookmarkEnd w:id="205"/>
    </w:p>
    <w:p w14:paraId="03168B80" w14:textId="77777777" w:rsidR="00014F8D" w:rsidRPr="00050DAE" w:rsidRDefault="00014F8D" w:rsidP="00A80722">
      <w:pPr>
        <w:pStyle w:val="Heading3"/>
        <w:rPr>
          <w:rFonts w:asciiTheme="majorBidi" w:hAnsiTheme="majorBidi"/>
          <w:i/>
          <w:iCs/>
          <w:color w:val="auto"/>
          <w:lang w:eastAsia="en-GB"/>
        </w:rPr>
      </w:pPr>
      <w:bookmarkStart w:id="206" w:name="_Toc234154333"/>
      <w:r w:rsidRPr="00050DAE">
        <w:rPr>
          <w:rFonts w:asciiTheme="majorBidi" w:hAnsiTheme="majorBidi"/>
          <w:i/>
          <w:iCs/>
          <w:color w:val="auto"/>
          <w:lang w:eastAsia="en-GB"/>
        </w:rPr>
        <w:t>Inana and Gudam</w:t>
      </w:r>
      <w:bookmarkEnd w:id="206"/>
    </w:p>
    <w:p w14:paraId="12F253CB" w14:textId="77777777" w:rsidR="00014F8D" w:rsidRPr="00050DAE" w:rsidRDefault="00014F8D" w:rsidP="00812641">
      <w:pPr>
        <w:pStyle w:val="UWTSDindent"/>
      </w:pPr>
      <w:r w:rsidRPr="00050DAE">
        <w:t xml:space="preserve">Considered by some scholars to be a variant of the later Gilgamesh battle with the Bull of Heaven, </w:t>
      </w:r>
      <w:r w:rsidRPr="00050DAE">
        <w:rPr>
          <w:i/>
          <w:iCs/>
        </w:rPr>
        <w:t>Inana and Gudam,</w:t>
      </w:r>
      <w:r w:rsidRPr="00050DAE">
        <w:t xml:space="preserve"> with its fractured opening, features the bull-monster Gudam rampaging violently through Uruk.</w:t>
      </w:r>
      <w:r w:rsidRPr="00050DAE">
        <w:rPr>
          <w:rStyle w:val="FootnoteReference"/>
        </w:rPr>
        <w:footnoteReference w:id="353"/>
      </w:r>
      <w:r w:rsidRPr="00050DAE">
        <w:t xml:space="preserve"> He destroys parts of the city, including its sacred spaces, attacks the </w:t>
      </w:r>
      <w:r w:rsidRPr="00050DAE">
        <w:rPr>
          <w:i/>
          <w:iCs/>
        </w:rPr>
        <w:t>E-anna</w:t>
      </w:r>
      <w:r w:rsidRPr="00050DAE">
        <w:t xml:space="preserve"> temple associated with Inanna, and kills people in the streets. The chaos continues until a fisherman devoted to Inanna confronts him. He strikes him down with a weapon, bringing the destruction to an end. As Gudam lies defeated, he pleads with Inanna for mercy and offers rich sacrifices. The narrative emphasises her authority over the situation and dedication to those who act in her service, showing that even a destructive force like Gudam is ultimately subject to her power and judgment.</w:t>
      </w:r>
      <w:r w:rsidRPr="00050DAE">
        <w:rPr>
          <w:rStyle w:val="FootnoteReference"/>
        </w:rPr>
        <w:footnoteReference w:id="354"/>
      </w:r>
    </w:p>
    <w:p w14:paraId="75853F41" w14:textId="77777777" w:rsidR="00014F8D" w:rsidRPr="00050DAE" w:rsidRDefault="00014F8D" w:rsidP="00A80722">
      <w:pPr>
        <w:pStyle w:val="Heading3"/>
        <w:rPr>
          <w:rFonts w:asciiTheme="majorBidi" w:hAnsiTheme="majorBidi"/>
          <w:i/>
          <w:iCs/>
          <w:color w:val="auto"/>
          <w:lang w:eastAsia="en-GB"/>
        </w:rPr>
      </w:pPr>
      <w:bookmarkStart w:id="207" w:name="_Toc234154334"/>
      <w:r w:rsidRPr="00050DAE">
        <w:rPr>
          <w:rFonts w:asciiTheme="majorBidi" w:hAnsiTheme="majorBidi"/>
          <w:i/>
          <w:iCs/>
          <w:color w:val="auto"/>
          <w:lang w:eastAsia="en-GB"/>
        </w:rPr>
        <w:t>Gilgamesh and the Bull of Heaven</w:t>
      </w:r>
      <w:bookmarkEnd w:id="207"/>
    </w:p>
    <w:p w14:paraId="13D88D6A" w14:textId="77777777" w:rsidR="00014F8D" w:rsidRPr="00050DAE" w:rsidRDefault="00014F8D" w:rsidP="007B4AB2">
      <w:pPr>
        <w:pStyle w:val="UWTSDindent"/>
      </w:pPr>
      <w:r w:rsidRPr="00050DAE">
        <w:t xml:space="preserve">In the Sumerian poem </w:t>
      </w:r>
      <w:r w:rsidRPr="00050DAE">
        <w:rPr>
          <w:i/>
          <w:iCs/>
        </w:rPr>
        <w:t>Gilgamesh and the Bull of Heaven</w:t>
      </w:r>
      <w:r w:rsidRPr="00050DAE">
        <w:t>, the conflict centres on a confrontation between Gilgamesh and the goddess Inanna when she asserts her authority over Uruk. This challenges Gilgamesh’s right to rule within her sacred domain. Gilgamesh rejects her authority, which provokes Inanna to seek revenge by demanding the Bull of Heaven from her father Anu. Although Anu warns of the devastation the Bull will cause, Inanna persists until the Bull is released and brought down to earth, where it wreaks havoc by consuming the land’s resources and threatening the stability of Uruk. Gilgamesh and Enkidu confront the Bull and kill it, demonstrating both heroic strength and defiance of divine power. Afterward, Gilgamesh intensifies the conflict by striking Inanna with the Bull’s haunch and driving her away. The story also retains a ritual dimension as the Bull’s remains are distributed and associated with offerings connected to Inanna’s temple, creating a complex portrayal in which Inanna is both humiliated and still central to the religious order.</w:t>
      </w:r>
      <w:r w:rsidRPr="00050DAE">
        <w:rPr>
          <w:rStyle w:val="FootnoteReference"/>
        </w:rPr>
        <w:footnoteReference w:id="355"/>
      </w:r>
    </w:p>
    <w:p w14:paraId="75B5C517" w14:textId="77777777" w:rsidR="00014F8D" w:rsidRPr="00050DAE" w:rsidRDefault="00014F8D" w:rsidP="000D60CB">
      <w:pPr>
        <w:pStyle w:val="Heading3"/>
        <w:rPr>
          <w:rFonts w:asciiTheme="majorBidi" w:hAnsiTheme="majorBidi"/>
          <w:i/>
          <w:iCs/>
          <w:color w:val="auto"/>
          <w:lang w:eastAsia="en-GB"/>
        </w:rPr>
      </w:pPr>
      <w:bookmarkStart w:id="208" w:name="_Toc234154335"/>
      <w:r w:rsidRPr="00050DAE">
        <w:rPr>
          <w:rFonts w:asciiTheme="majorBidi" w:hAnsiTheme="majorBidi"/>
          <w:i/>
          <w:iCs/>
          <w:color w:val="auto"/>
          <w:lang w:eastAsia="en-GB"/>
        </w:rPr>
        <w:t>The Matter of Aratta</w:t>
      </w:r>
      <w:bookmarkEnd w:id="208"/>
    </w:p>
    <w:p w14:paraId="5956FC4A" w14:textId="77777777" w:rsidR="00014F8D" w:rsidRPr="00050DAE" w:rsidRDefault="00014F8D" w:rsidP="005D2D6C">
      <w:pPr>
        <w:pStyle w:val="UWTSDindent"/>
      </w:pPr>
      <w:r w:rsidRPr="00050DAE">
        <w:t xml:space="preserve">The </w:t>
      </w:r>
      <w:r w:rsidRPr="00050DAE">
        <w:rPr>
          <w:i/>
          <w:iCs/>
        </w:rPr>
        <w:t>Matter of Aratta</w:t>
      </w:r>
      <w:r w:rsidRPr="00050DAE">
        <w:t xml:space="preserve"> is at least four different “Sumerian narrative poems dealing with the rivalry between Uruk and Aratta… In every poem, a challenge is laid down by one of the rulers. This challenge, which may be military or diplomatic, is taken up by the other party so that, whatever the outcome, the ambitions of the challenger are held up for a while in the middle part of the poem.”</w:t>
      </w:r>
      <w:r w:rsidRPr="00050DAE">
        <w:rPr>
          <w:rStyle w:val="FootnoteReference"/>
        </w:rPr>
        <w:footnoteReference w:id="356"/>
      </w:r>
      <w:r w:rsidRPr="00050DAE">
        <w:t>Across these poems, a central theme is that kingship, success, and survival depend on the divine favour of Inanna, rather than human strength alone. Legitimate rulers like Enmerkar prevail not just through power or strategy, but because they are chosen and supported by the goddess, while rivals fail when they lack her backing. At the same time, figures like Lugalbanda show that devotion, humility, and proper ritual engagement with the divine can transform human weakness into strength and secure a role within that divinely ordered system. Vanstiphout believes that these narratives were developed in the Ur II period (2112-2004 BCE) but the actual tablets that he translated date from the Isin-Larsa period (2017-1763 BCE).</w:t>
      </w:r>
      <w:r w:rsidRPr="00050DAE">
        <w:rPr>
          <w:rStyle w:val="FootnoteReference"/>
        </w:rPr>
        <w:footnoteReference w:id="357"/>
      </w:r>
      <w:r w:rsidRPr="00050DAE">
        <w:t xml:space="preserve"> The four stories are:</w:t>
      </w:r>
      <w:r w:rsidRPr="00050DAE">
        <w:rPr>
          <w:rStyle w:val="FootnoteReference"/>
        </w:rPr>
        <w:footnoteReference w:id="358"/>
      </w:r>
    </w:p>
    <w:p w14:paraId="79198350" w14:textId="77777777" w:rsidR="00014F8D" w:rsidRPr="00050DAE" w:rsidRDefault="00014F8D" w:rsidP="00014F8D">
      <w:pPr>
        <w:pStyle w:val="UWTSDindent"/>
        <w:numPr>
          <w:ilvl w:val="0"/>
          <w:numId w:val="7"/>
        </w:numPr>
        <w:rPr>
          <w:i/>
          <w:iCs/>
        </w:rPr>
      </w:pPr>
      <w:r w:rsidRPr="00050DAE">
        <w:rPr>
          <w:i/>
          <w:iCs/>
        </w:rPr>
        <w:t>Enmerkar and the Lord of Aratta,</w:t>
      </w:r>
    </w:p>
    <w:p w14:paraId="62CF8B7F" w14:textId="77777777" w:rsidR="00014F8D" w:rsidRPr="00050DAE" w:rsidRDefault="00014F8D" w:rsidP="00014F8D">
      <w:pPr>
        <w:pStyle w:val="UWTSDindent"/>
        <w:numPr>
          <w:ilvl w:val="0"/>
          <w:numId w:val="7"/>
        </w:numPr>
        <w:rPr>
          <w:i/>
          <w:iCs/>
        </w:rPr>
      </w:pPr>
      <w:r w:rsidRPr="00050DAE">
        <w:rPr>
          <w:i/>
          <w:iCs/>
        </w:rPr>
        <w:t>Enmerkar and En-suhgir-ana,</w:t>
      </w:r>
    </w:p>
    <w:p w14:paraId="4F2775A8" w14:textId="77777777" w:rsidR="00014F8D" w:rsidRPr="00050DAE" w:rsidRDefault="00014F8D" w:rsidP="00014F8D">
      <w:pPr>
        <w:pStyle w:val="UWTSDindent"/>
        <w:numPr>
          <w:ilvl w:val="0"/>
          <w:numId w:val="7"/>
        </w:numPr>
        <w:rPr>
          <w:i/>
          <w:iCs/>
        </w:rPr>
      </w:pPr>
      <w:r w:rsidRPr="00050DAE">
        <w:rPr>
          <w:i/>
          <w:iCs/>
        </w:rPr>
        <w:t>Lugalbanda in the Wilderness,</w:t>
      </w:r>
    </w:p>
    <w:p w14:paraId="37D984CD" w14:textId="77777777" w:rsidR="00014F8D" w:rsidRPr="00050DAE" w:rsidRDefault="00014F8D" w:rsidP="00014F8D">
      <w:pPr>
        <w:pStyle w:val="UWTSDindent"/>
        <w:numPr>
          <w:ilvl w:val="0"/>
          <w:numId w:val="7"/>
        </w:numPr>
        <w:rPr>
          <w:i/>
          <w:iCs/>
        </w:rPr>
      </w:pPr>
      <w:r w:rsidRPr="00050DAE">
        <w:rPr>
          <w:i/>
          <w:iCs/>
        </w:rPr>
        <w:t>The Return of Lugalbanda.</w:t>
      </w:r>
    </w:p>
    <w:p w14:paraId="2EC86CFD"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5A09E872" w14:textId="77777777" w:rsidR="00014F8D" w:rsidRPr="00050DAE" w:rsidRDefault="00014F8D" w:rsidP="008E68BB">
      <w:pPr>
        <w:pStyle w:val="Heading2"/>
        <w:rPr>
          <w:rFonts w:asciiTheme="majorBidi" w:hAnsiTheme="majorBidi"/>
        </w:rPr>
      </w:pPr>
      <w:bookmarkStart w:id="209" w:name="_Toc234154336"/>
      <w:r w:rsidRPr="00050DAE">
        <w:rPr>
          <w:rFonts w:asciiTheme="majorBidi" w:hAnsiTheme="majorBidi"/>
        </w:rPr>
        <w:t>Ištar Secondary Corpus Text</w:t>
      </w:r>
      <w:bookmarkEnd w:id="209"/>
    </w:p>
    <w:p w14:paraId="492742A4" w14:textId="77777777" w:rsidR="00014F8D" w:rsidRPr="00050DAE" w:rsidRDefault="00014F8D" w:rsidP="008E68BB">
      <w:pPr>
        <w:pStyle w:val="Heading3"/>
        <w:rPr>
          <w:rFonts w:asciiTheme="majorBidi" w:hAnsiTheme="majorBidi"/>
          <w:i/>
          <w:iCs/>
        </w:rPr>
      </w:pPr>
      <w:bookmarkStart w:id="210" w:name="_Toc234154337"/>
      <w:r w:rsidRPr="00050DAE">
        <w:rPr>
          <w:rFonts w:asciiTheme="majorBidi" w:hAnsiTheme="majorBidi"/>
          <w:i/>
          <w:iCs/>
        </w:rPr>
        <w:t>To Ištar</w:t>
      </w:r>
      <w:bookmarkEnd w:id="210"/>
    </w:p>
    <w:p w14:paraId="023476A2" w14:textId="77777777" w:rsidR="00014F8D" w:rsidRPr="00050DAE" w:rsidRDefault="00014F8D" w:rsidP="00CD3319">
      <w:pPr>
        <w:pStyle w:val="UWTSDindent"/>
      </w:pPr>
      <w:r w:rsidRPr="00050DAE">
        <w:t xml:space="preserve">The Old Babylonian Akkadian </w:t>
      </w:r>
      <w:r w:rsidRPr="00050DAE">
        <w:rPr>
          <w:i/>
          <w:iCs/>
        </w:rPr>
        <w:t>To Ištar</w:t>
      </w:r>
      <w:r w:rsidRPr="00050DAE">
        <w:t xml:space="preserve"> hymn presents Ištar as a supreme divine authority whose power encompasses heaven, earth, kingship, justice, and human destiny. The hymn repeatedly emphasises her unrivalled status among the gods, describing her as the one who establishes order, determines fates, grants prosperity, and overturns misfortune. Although praised for her beauty and radiance, Ištar is portrayed primarily as a cosmic ruler whose authority extends over both divine and human affairs.</w:t>
      </w:r>
    </w:p>
    <w:p w14:paraId="31B7CB4A" w14:textId="77777777" w:rsidR="00014F8D" w:rsidRPr="00050DAE" w:rsidRDefault="00014F8D" w:rsidP="00CD3319">
      <w:pPr>
        <w:pStyle w:val="UWTSDindent"/>
      </w:pPr>
      <w:r w:rsidRPr="00050DAE">
        <w:t>The hymn shifts from praise to personal petition. The speaker appeals directly to Ištar for mercy, acceptance, protection, and well-being while expressing confidence that she hears prayers and responds to human need. Justice, favour, life, and wholeness are said to accompany her presence, while prosperity and reconciliation depend upon her command. The prayer concludes with requests for health, long life, success, and divine protection, presenting Ištar not only as a powerful goddess of cosmic order but also as a compassionate patron capable of intervening in the lives of her worshippers.</w:t>
      </w:r>
      <w:r w:rsidRPr="00050DAE">
        <w:rPr>
          <w:rStyle w:val="FootnoteReference"/>
        </w:rPr>
        <w:footnoteReference w:id="359"/>
      </w:r>
    </w:p>
    <w:p w14:paraId="72FEB6B1" w14:textId="77777777" w:rsidR="00014F8D" w:rsidRPr="00050DAE" w:rsidRDefault="00014F8D" w:rsidP="008E68BB">
      <w:pPr>
        <w:pStyle w:val="Heading3"/>
        <w:rPr>
          <w:rFonts w:asciiTheme="majorBidi" w:hAnsiTheme="majorBidi"/>
          <w:i/>
          <w:iCs/>
        </w:rPr>
      </w:pPr>
      <w:bookmarkStart w:id="211" w:name="_Toc234154338"/>
      <w:r w:rsidRPr="00050DAE">
        <w:rPr>
          <w:rFonts w:asciiTheme="majorBidi" w:hAnsiTheme="majorBidi"/>
          <w:i/>
          <w:iCs/>
        </w:rPr>
        <w:t>Inana and Ebiḫ</w:t>
      </w:r>
      <w:bookmarkEnd w:id="211"/>
    </w:p>
    <w:p w14:paraId="30B388DB" w14:textId="77777777" w:rsidR="00014F8D" w:rsidRPr="00050DAE" w:rsidRDefault="00014F8D" w:rsidP="00812641">
      <w:pPr>
        <w:pStyle w:val="UWTSDindent"/>
      </w:pPr>
      <w:r w:rsidRPr="00050DAE">
        <w:t xml:space="preserve">While the general title of this work, </w:t>
      </w:r>
      <w:r w:rsidRPr="00050DAE">
        <w:rPr>
          <w:i/>
          <w:iCs/>
        </w:rPr>
        <w:t>Inana and Ebiḫ</w:t>
      </w:r>
      <w:r w:rsidRPr="00050DAE">
        <w:t xml:space="preserve">, references Inanna, this tale is linked to the later composite Inanna-Ištar through its naming of the gods particularly </w:t>
      </w:r>
      <w:r w:rsidRPr="00050DAE">
        <w:rPr>
          <w:rFonts w:ascii="Segoe UI Historic" w:hAnsi="Segoe UI Historic" w:cs="Segoe UI Historic"/>
        </w:rPr>
        <w:t>𒀭𒂗</w:t>
      </w:r>
      <w:r w:rsidRPr="00050DAE">
        <w:t>‍</w:t>
      </w:r>
      <w:r w:rsidRPr="00050DAE">
        <w:rPr>
          <w:rFonts w:ascii="Segoe UI Historic" w:hAnsi="Segoe UI Historic" w:cs="Segoe UI Historic"/>
        </w:rPr>
        <w:t>𒍪𒈾</w:t>
      </w:r>
      <w:r w:rsidRPr="00050DAE">
        <w:t xml:space="preserve"> Suen. However, there are older references including to the goddess </w:t>
      </w:r>
      <w:r w:rsidRPr="00050DAE">
        <w:rPr>
          <w:rFonts w:ascii="Segoe UI Historic" w:hAnsi="Segoe UI Historic" w:cs="Segoe UI Historic"/>
        </w:rPr>
        <w:t>𒀭𒉀</w:t>
      </w:r>
      <w:r w:rsidRPr="00050DAE">
        <w:t xml:space="preserve"> Nisaba, one of the earliest Sumerian goddesses.</w:t>
      </w:r>
      <w:r w:rsidRPr="00050DAE">
        <w:rPr>
          <w:rStyle w:val="FootnoteReference"/>
        </w:rPr>
        <w:footnoteReference w:id="360"/>
      </w:r>
      <w:r w:rsidRPr="00050DAE">
        <w:t xml:space="preserve"> The poem is a tale of Inanna’s rage. It presents Inanna as a fierce and unstoppable war goddess whose power and authority extend over all lands. The text opens by emphasising her terrifying might with she is “clad in terror,” armed with divine weapons, and skilled in planning and executing destruction against entire regions . When she turns her attention to the mountain Ebiḫ, she is angered by its refusal to submit to her authority and resolves to destroy it despite warnings from the god An. Acting independently and decisively, Inanna unleashes overwhelming violence upon the mountain, attacking it like an enemy in battle by grasping it, cutting into it, and bringing devastation to its forests and structure until it is completely subdued. Throughout the narrative, Inanna is not just a participant but the central force. She asserts her supremacy over nature and divine rivals alike, demonstrating that her will overrides hesitation, counsel, and resistance. Here, she establishes herself as a dominant power that enforces recognition of her authority through conquest.</w:t>
      </w:r>
      <w:r w:rsidRPr="00050DAE">
        <w:rPr>
          <w:rStyle w:val="FootnoteReference"/>
        </w:rPr>
        <w:footnoteReference w:id="361"/>
      </w:r>
    </w:p>
    <w:p w14:paraId="72960A67" w14:textId="77777777" w:rsidR="00014F8D" w:rsidRPr="00050DAE" w:rsidRDefault="00014F8D" w:rsidP="008E68BB">
      <w:pPr>
        <w:pStyle w:val="Heading3"/>
        <w:rPr>
          <w:rFonts w:asciiTheme="majorBidi" w:hAnsiTheme="majorBidi"/>
          <w:i/>
          <w:iCs/>
        </w:rPr>
      </w:pPr>
      <w:bookmarkStart w:id="212" w:name="_Toc234154339"/>
      <w:r w:rsidRPr="00050DAE">
        <w:rPr>
          <w:rFonts w:asciiTheme="majorBidi" w:hAnsiTheme="majorBidi"/>
          <w:i/>
          <w:iCs/>
        </w:rPr>
        <w:t>Assurbanipal’s Hymn to the Ištars of Nineveh and Arbela</w:t>
      </w:r>
      <w:bookmarkEnd w:id="212"/>
    </w:p>
    <w:p w14:paraId="011A1140" w14:textId="77777777" w:rsidR="00014F8D" w:rsidRPr="00050DAE" w:rsidRDefault="00014F8D" w:rsidP="00812641">
      <w:pPr>
        <w:pStyle w:val="UWTSDindent"/>
      </w:pPr>
      <w:r w:rsidRPr="00050DAE">
        <w:t>This hymn presents the paired Ištar of Nineveh and Ištar of Arbela as supreme divine patrons whose power legitimizes Assurbanipal’s kingship and military success. They are exalted as incomparable, “who have no equal among the great gods” and whose “utterances are valid for ever,” establishing their authority as both cosmic and political. Assurbanipal emphasises an intimate, almost maternal relationship, claiming “I grew up in the lap of my goddesses,” portraying them as direct nurturers and protectors of his rule. He attributes his victories to the goddesses when he says, “Not with my own strength… but with the power… of my goddesses, I made the lands… submit,” reinforcing that imperial domination is a direct extension of divine will. The hymn culminates in their role as determiners of fate, having “decreed… dominion over all inhabited regions,” showing that kingship, warfare, and global order flow from their authority.</w:t>
      </w:r>
      <w:r w:rsidRPr="00050DAE">
        <w:rPr>
          <w:rStyle w:val="FootnoteReference"/>
        </w:rPr>
        <w:footnoteReference w:id="362"/>
      </w:r>
    </w:p>
    <w:p w14:paraId="6014733A" w14:textId="77777777" w:rsidR="00014F8D" w:rsidRPr="00050DAE" w:rsidRDefault="00014F8D" w:rsidP="008E68BB">
      <w:pPr>
        <w:pStyle w:val="Heading3"/>
        <w:rPr>
          <w:rFonts w:asciiTheme="majorBidi" w:hAnsiTheme="majorBidi"/>
          <w:i/>
          <w:iCs/>
        </w:rPr>
      </w:pPr>
      <w:bookmarkStart w:id="213" w:name="_Toc234154340"/>
      <w:r w:rsidRPr="00050DAE">
        <w:rPr>
          <w:rFonts w:asciiTheme="majorBidi" w:hAnsiTheme="majorBidi"/>
          <w:i/>
          <w:iCs/>
        </w:rPr>
        <w:t>Assurbanipal’s Hymn to Ištar of Nineveh</w:t>
      </w:r>
      <w:bookmarkEnd w:id="213"/>
    </w:p>
    <w:p w14:paraId="0B957402" w14:textId="77777777" w:rsidR="00014F8D" w:rsidRPr="00050DAE" w:rsidRDefault="00014F8D" w:rsidP="00812641">
      <w:pPr>
        <w:pStyle w:val="UWTSDindent"/>
      </w:pPr>
      <w:r w:rsidRPr="00050DAE">
        <w:t>This Assurbanipal hymn focuses on Ištar of Nineveh as a radiant, almost overwhelming divine presence whose power is both celestial and ritualized in royal ceremony. She is described in strikingly vivid imagery with her crown “gleams like the stars” and her body shines with solar brilliance, blending cosmic and physical radiance. A particularly important moment is her ritual procession, where “she has harnessed [her chariot], too awesome for kings,” emphasizing her mobility, sovereignty, and dominance even over royal authority. The king approaches her through offerings and ritual, but it is Ištar who acts decisively, driving toward her temple and presiding over divine celebration. The hymn thus presents her as a goddess whose presence structures both cosmic order and state ritual, with the chariot imagery underscoring her active, commanding role in both divine and political spheres.</w:t>
      </w:r>
      <w:r w:rsidRPr="00050DAE">
        <w:rPr>
          <w:rStyle w:val="FootnoteReference"/>
        </w:rPr>
        <w:footnoteReference w:id="363"/>
      </w:r>
    </w:p>
    <w:p w14:paraId="7F9019EF" w14:textId="77777777" w:rsidR="00014F8D" w:rsidRPr="00050DAE" w:rsidRDefault="00014F8D" w:rsidP="008E68BB">
      <w:pPr>
        <w:pStyle w:val="Heading3"/>
        <w:rPr>
          <w:rFonts w:asciiTheme="majorBidi" w:hAnsiTheme="majorBidi"/>
          <w:i/>
          <w:iCs/>
        </w:rPr>
      </w:pPr>
      <w:bookmarkStart w:id="214" w:name="_Toc234154341"/>
      <w:r w:rsidRPr="00050DAE">
        <w:rPr>
          <w:rFonts w:asciiTheme="majorBidi" w:hAnsiTheme="majorBidi"/>
          <w:i/>
          <w:iCs/>
        </w:rPr>
        <w:t>Hymn to the City of Arbela</w:t>
      </w:r>
      <w:bookmarkEnd w:id="214"/>
    </w:p>
    <w:p w14:paraId="563FE247" w14:textId="77777777" w:rsidR="00014F8D" w:rsidRPr="00050DAE" w:rsidRDefault="00014F8D" w:rsidP="00812641">
      <w:pPr>
        <w:pStyle w:val="UWTSDindent"/>
      </w:pPr>
      <w:r w:rsidRPr="00050DAE">
        <w:t xml:space="preserve">The </w:t>
      </w:r>
      <w:r w:rsidRPr="00050DAE">
        <w:rPr>
          <w:i/>
          <w:iCs/>
        </w:rPr>
        <w:t>Hymn to the City of Arbela</w:t>
      </w:r>
      <w:r w:rsidRPr="00050DAE">
        <w:t xml:space="preserve"> celebrates the city as sacred, defined by the presence and power of Ištar, portraying it as a place of joy, ritual, and divine authority that serves as a “Heaven without equal” and a “sanctuary of delights.” The city’s importance derives directly from its goddess, as “Ištar dwells there,” alongside other divine figures, making it a central node of cosmic and political order. The most striking imagery appears in the depiction of Ištar enthroned: “The Lady is seated on a lion… mighty lions crouch beneath her,” a powerful visual of domination and sovereignty that marks her as ruler over both nature and kings. This is reinforced by the submission of earthly rulers, as “the kings of (all) lands are overwhelmed before her,” linking her authority to imperial power. At the same time, the hymn emphasises celebration featuring music, offerings, and communal joy, showing Arbela as a space where divine power and human festivity converge, all centred on the presence of Ištar as both sovereign and life-giving force.</w:t>
      </w:r>
      <w:r w:rsidRPr="00050DAE">
        <w:rPr>
          <w:rStyle w:val="FootnoteReference"/>
        </w:rPr>
        <w:footnoteReference w:id="364"/>
      </w:r>
    </w:p>
    <w:p w14:paraId="6BD8B2C1" w14:textId="77777777" w:rsidR="00014F8D" w:rsidRPr="00050DAE" w:rsidRDefault="00014F8D">
      <w:pPr>
        <w:rPr>
          <w:rFonts w:asciiTheme="majorBidi" w:hAnsiTheme="majorBidi" w:cstheme="majorBidi"/>
          <w:sz w:val="24"/>
          <w:lang w:eastAsia="en-GB"/>
        </w:rPr>
      </w:pPr>
      <w:r w:rsidRPr="00050DAE">
        <w:rPr>
          <w:rFonts w:asciiTheme="majorBidi" w:hAnsiTheme="majorBidi" w:cstheme="majorBidi"/>
        </w:rPr>
        <w:br w:type="page"/>
      </w:r>
    </w:p>
    <w:p w14:paraId="734E84B4" w14:textId="77777777" w:rsidR="00014F8D" w:rsidRPr="00050DAE" w:rsidRDefault="00014F8D" w:rsidP="008E68BB">
      <w:pPr>
        <w:pStyle w:val="Heading3"/>
        <w:rPr>
          <w:rFonts w:asciiTheme="majorBidi" w:hAnsiTheme="majorBidi"/>
        </w:rPr>
      </w:pPr>
      <w:bookmarkStart w:id="215" w:name="_Toc234154342"/>
      <w:r w:rsidRPr="00050DAE">
        <w:rPr>
          <w:rFonts w:asciiTheme="majorBidi" w:hAnsiTheme="majorBidi"/>
        </w:rPr>
        <w:t>Samples of Incantations</w:t>
      </w:r>
      <w:bookmarkEnd w:id="215"/>
    </w:p>
    <w:p w14:paraId="2645F17E" w14:textId="77777777" w:rsidR="00014F8D" w:rsidRPr="00050DAE" w:rsidRDefault="00014F8D" w:rsidP="00812641">
      <w:pPr>
        <w:pStyle w:val="UWTSDindent"/>
      </w:pPr>
      <w:r w:rsidRPr="00050DAE">
        <w:t>Out of the dozens of fragmentary incantations invoking Ištar, only a few are complete enough to provide real insight. Three particularly informative examples are presented below. Texts 03 and 23 include ritual instructions.</w:t>
      </w:r>
    </w:p>
    <w:p w14:paraId="644E2B3D" w14:textId="77777777" w:rsidR="00014F8D" w:rsidRPr="00050DAE" w:rsidRDefault="00014F8D" w:rsidP="00FA2DDE">
      <w:pPr>
        <w:pStyle w:val="Heading4"/>
        <w:rPr>
          <w:rFonts w:asciiTheme="majorBidi" w:hAnsiTheme="majorBidi"/>
        </w:rPr>
      </w:pPr>
      <w:r w:rsidRPr="00050DAE">
        <w:rPr>
          <w:rFonts w:asciiTheme="majorBidi" w:hAnsiTheme="majorBidi"/>
        </w:rPr>
        <w:t>šuʾilas to Ištar 01 - Incantation: O Valiant Ištar…</w:t>
      </w:r>
      <w:r w:rsidRPr="00050DAE">
        <w:rPr>
          <w:rStyle w:val="FootnoteReference"/>
          <w:rFonts w:asciiTheme="majorBidi" w:hAnsiTheme="majorBidi"/>
          <w:vertAlign w:val="baseline"/>
        </w:rPr>
        <w:footnoteReference w:id="365"/>
      </w:r>
    </w:p>
    <w:p w14:paraId="25DDB368"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w:t>
      </w:r>
      <w:r w:rsidRPr="00050DAE">
        <w:rPr>
          <w:rFonts w:asciiTheme="majorBidi" w:hAnsiTheme="majorBidi" w:cstheme="majorBidi"/>
          <w:sz w:val="24"/>
          <w:szCs w:val="24"/>
        </w:rPr>
        <w:tab/>
        <w:t>Incantation: O valiant Ištar, cherished one among the goddesses,</w:t>
      </w:r>
    </w:p>
    <w:p w14:paraId="45385401"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w:t>
      </w:r>
      <w:r w:rsidRPr="00050DAE">
        <w:rPr>
          <w:rFonts w:asciiTheme="majorBidi" w:hAnsiTheme="majorBidi" w:cstheme="majorBidi"/>
          <w:sz w:val="24"/>
          <w:szCs w:val="24"/>
        </w:rPr>
        <w:tab/>
        <w:t>Torch of the heavens and the earth, brilliance of the world,</w:t>
      </w:r>
    </w:p>
    <w:p w14:paraId="1CFB7F2F"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w:t>
      </w:r>
      <w:r w:rsidRPr="00050DAE">
        <w:rPr>
          <w:rFonts w:asciiTheme="majorBidi" w:hAnsiTheme="majorBidi" w:cstheme="majorBidi"/>
          <w:sz w:val="24"/>
          <w:szCs w:val="24"/>
        </w:rPr>
        <w:tab/>
        <w:t>Inninni, firstborn of Sin, offspring of Ningal,</w:t>
      </w:r>
    </w:p>
    <w:p w14:paraId="774AF939"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w:t>
      </w:r>
      <w:r w:rsidRPr="00050DAE">
        <w:rPr>
          <w:rFonts w:asciiTheme="majorBidi" w:hAnsiTheme="majorBidi" w:cstheme="majorBidi"/>
          <w:sz w:val="24"/>
          <w:szCs w:val="24"/>
        </w:rPr>
        <w:tab/>
        <w:t>Twin sister to the bearded, resplendent warrior Shamash,</w:t>
      </w:r>
    </w:p>
    <w:p w14:paraId="12480708"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5</w:t>
      </w:r>
      <w:r w:rsidRPr="00050DAE">
        <w:rPr>
          <w:rFonts w:asciiTheme="majorBidi" w:hAnsiTheme="majorBidi" w:cstheme="majorBidi"/>
          <w:sz w:val="24"/>
          <w:szCs w:val="24"/>
        </w:rPr>
        <w:tab/>
        <w:t>Ištar, you are like(?) Anu, you rule the heavens.</w:t>
      </w:r>
    </w:p>
    <w:p w14:paraId="7042732D"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6</w:t>
      </w:r>
      <w:r w:rsidRPr="00050DAE">
        <w:rPr>
          <w:rFonts w:asciiTheme="majorBidi" w:hAnsiTheme="majorBidi" w:cstheme="majorBidi"/>
          <w:sz w:val="24"/>
          <w:szCs w:val="24"/>
        </w:rPr>
        <w:tab/>
        <w:t>Like Enlil, the counselor, you command the habitations.</w:t>
      </w:r>
    </w:p>
    <w:p w14:paraId="40498B2B"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7</w:t>
      </w:r>
      <w:r w:rsidRPr="00050DAE">
        <w:rPr>
          <w:rFonts w:asciiTheme="majorBidi" w:hAnsiTheme="majorBidi" w:cstheme="majorBidi"/>
          <w:sz w:val="24"/>
          <w:szCs w:val="24"/>
        </w:rPr>
        <w:tab/>
        <w:t>Mummu, creator of the ritual ordinances and purificatory rites,</w:t>
      </w:r>
    </w:p>
    <w:p w14:paraId="606CDA58"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8</w:t>
      </w:r>
      <w:r w:rsidRPr="00050DAE">
        <w:rPr>
          <w:rFonts w:asciiTheme="majorBidi" w:hAnsiTheme="majorBidi" w:cstheme="majorBidi"/>
          <w:sz w:val="24"/>
          <w:szCs w:val="24"/>
        </w:rPr>
        <w:tab/>
        <w:t>At the instruction of Ea, you hold the bonds in the Apsu.</w:t>
      </w:r>
    </w:p>
    <w:p w14:paraId="4B01471F"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9</w:t>
      </w:r>
      <w:r w:rsidRPr="00050DAE">
        <w:rPr>
          <w:rFonts w:asciiTheme="majorBidi" w:hAnsiTheme="majorBidi" w:cstheme="majorBidi"/>
          <w:sz w:val="24"/>
          <w:szCs w:val="24"/>
        </w:rPr>
        <w:tab/>
        <w:t>Wherever ground plans are formed, brickwork laid out,</w:t>
      </w:r>
    </w:p>
    <w:p w14:paraId="0B125259"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10</w:t>
      </w:r>
      <w:r w:rsidRPr="00050DAE">
        <w:rPr>
          <w:rFonts w:asciiTheme="majorBidi" w:hAnsiTheme="majorBidi" w:cstheme="majorBidi"/>
          <w:sz w:val="24"/>
          <w:szCs w:val="24"/>
        </w:rPr>
        <w:tab/>
        <w:t>There you appoint those endowed with speech, like Shamash.</w:t>
      </w:r>
    </w:p>
    <w:p w14:paraId="58EDCAE4"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11</w:t>
      </w:r>
      <w:r w:rsidRPr="00050DAE">
        <w:rPr>
          <w:rFonts w:asciiTheme="majorBidi" w:hAnsiTheme="majorBidi" w:cstheme="majorBidi"/>
          <w:sz w:val="24"/>
          <w:szCs w:val="24"/>
        </w:rPr>
        <w:tab/>
        <w:t>If among the Igigi, who is your equal?</w:t>
      </w:r>
    </w:p>
    <w:p w14:paraId="358D6D43"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12</w:t>
      </w:r>
      <w:r w:rsidRPr="00050DAE">
        <w:rPr>
          <w:rFonts w:asciiTheme="majorBidi" w:hAnsiTheme="majorBidi" w:cstheme="majorBidi"/>
          <w:sz w:val="24"/>
          <w:szCs w:val="24"/>
        </w:rPr>
        <w:tab/>
        <w:t>If among the Anunnaki, where is your rival?</w:t>
      </w:r>
    </w:p>
    <w:p w14:paraId="0DA5746A"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13</w:t>
      </w:r>
      <w:r w:rsidRPr="00050DAE">
        <w:rPr>
          <w:rFonts w:asciiTheme="majorBidi" w:hAnsiTheme="majorBidi" w:cstheme="majorBidi"/>
          <w:sz w:val="24"/>
          <w:szCs w:val="24"/>
        </w:rPr>
        <w:tab/>
        <w:t>You are the one who establishes, yet in the human womb, poverty and profit.</w:t>
      </w:r>
    </w:p>
    <w:p w14:paraId="1F6FCE84"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14</w:t>
      </w:r>
      <w:r w:rsidRPr="00050DAE">
        <w:rPr>
          <w:rFonts w:asciiTheme="majorBidi" w:hAnsiTheme="majorBidi" w:cstheme="majorBidi"/>
          <w:sz w:val="24"/>
          <w:szCs w:val="24"/>
        </w:rPr>
        <w:tab/>
        <w:t>You exchange fates so that the unfortunate thrive.</w:t>
      </w:r>
    </w:p>
    <w:p w14:paraId="1F5266C9"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15</w:t>
      </w:r>
      <w:r w:rsidRPr="00050DAE">
        <w:rPr>
          <w:rFonts w:asciiTheme="majorBidi" w:hAnsiTheme="majorBidi" w:cstheme="majorBidi"/>
          <w:sz w:val="24"/>
          <w:szCs w:val="24"/>
        </w:rPr>
        <w:tab/>
        <w:t>When I sought out the gods, my prayers were presented to you.</w:t>
      </w:r>
    </w:p>
    <w:p w14:paraId="373DF5C7"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16</w:t>
      </w:r>
      <w:r w:rsidRPr="00050DAE">
        <w:rPr>
          <w:rFonts w:asciiTheme="majorBidi" w:hAnsiTheme="majorBidi" w:cstheme="majorBidi"/>
          <w:sz w:val="24"/>
          <w:szCs w:val="24"/>
        </w:rPr>
        <w:tab/>
        <w:t>When I turned to the goddesses, my beseeching was directed to you.</w:t>
      </w:r>
    </w:p>
    <w:p w14:paraId="5F0A9514"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17</w:t>
      </w:r>
      <w:r w:rsidRPr="00050DAE">
        <w:rPr>
          <w:rFonts w:asciiTheme="majorBidi" w:hAnsiTheme="majorBidi" w:cstheme="majorBidi"/>
          <w:sz w:val="24"/>
          <w:szCs w:val="24"/>
        </w:rPr>
        <w:tab/>
        <w:t>A protective spirit goes before you, a divine guardian behind you.</w:t>
      </w:r>
    </w:p>
    <w:p w14:paraId="34060C8A"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18</w:t>
      </w:r>
      <w:r w:rsidRPr="00050DAE">
        <w:rPr>
          <w:rFonts w:asciiTheme="majorBidi" w:hAnsiTheme="majorBidi" w:cstheme="majorBidi"/>
          <w:sz w:val="24"/>
          <w:szCs w:val="24"/>
        </w:rPr>
        <w:tab/>
        <w:t>Justice lies at your right hand, favor at your left.</w:t>
      </w:r>
    </w:p>
    <w:p w14:paraId="671BCFAA"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19</w:t>
      </w:r>
      <w:r w:rsidRPr="00050DAE">
        <w:rPr>
          <w:rFonts w:asciiTheme="majorBidi" w:hAnsiTheme="majorBidi" w:cstheme="majorBidi"/>
          <w:sz w:val="24"/>
          <w:szCs w:val="24"/>
        </w:rPr>
        <w:tab/>
        <w:t>Acceptance and consent and peace are firmly established in your presence.</w:t>
      </w:r>
    </w:p>
    <w:p w14:paraId="30FA9C2D"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20</w:t>
      </w:r>
      <w:r w:rsidRPr="00050DAE">
        <w:rPr>
          <w:rFonts w:asciiTheme="majorBidi" w:hAnsiTheme="majorBidi" w:cstheme="majorBidi"/>
          <w:sz w:val="24"/>
          <w:szCs w:val="24"/>
        </w:rPr>
        <w:tab/>
        <w:t>Life and wholeness revolve around you.</w:t>
      </w:r>
    </w:p>
    <w:p w14:paraId="19464803"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21</w:t>
      </w:r>
      <w:r w:rsidRPr="00050DAE">
        <w:rPr>
          <w:rFonts w:asciiTheme="majorBidi" w:hAnsiTheme="majorBidi" w:cstheme="majorBidi"/>
          <w:sz w:val="24"/>
          <w:szCs w:val="24"/>
        </w:rPr>
        <w:tab/>
        <w:t>How sweet it is to pray to you; how near is your hearing.</w:t>
      </w:r>
    </w:p>
    <w:p w14:paraId="38455084"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22</w:t>
      </w:r>
      <w:r w:rsidRPr="00050DAE">
        <w:rPr>
          <w:rFonts w:asciiTheme="majorBidi" w:hAnsiTheme="majorBidi" w:cstheme="majorBidi"/>
          <w:sz w:val="24"/>
          <w:szCs w:val="24"/>
        </w:rPr>
        <w:tab/>
        <w:t>Your seeing is acceptance, your command light.</w:t>
      </w:r>
    </w:p>
    <w:p w14:paraId="562E9EFC"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23</w:t>
      </w:r>
      <w:r w:rsidRPr="00050DAE">
        <w:rPr>
          <w:rFonts w:asciiTheme="majorBidi" w:hAnsiTheme="majorBidi" w:cstheme="majorBidi"/>
          <w:sz w:val="24"/>
          <w:szCs w:val="24"/>
        </w:rPr>
        <w:tab/>
        <w:t>Have mercy on me, my divine Lady (var.: Ištar), command my prosperity.</w:t>
      </w:r>
    </w:p>
    <w:p w14:paraId="55960AE1"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24</w:t>
      </w:r>
      <w:r w:rsidRPr="00050DAE">
        <w:rPr>
          <w:rFonts w:asciiTheme="majorBidi" w:hAnsiTheme="majorBidi" w:cstheme="majorBidi"/>
          <w:sz w:val="24"/>
          <w:szCs w:val="24"/>
        </w:rPr>
        <w:tab/>
        <w:t>Look upon me in earnest and accept my prayers.</w:t>
      </w:r>
    </w:p>
    <w:p w14:paraId="782C31B3"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25</w:t>
      </w:r>
      <w:r w:rsidRPr="00050DAE">
        <w:rPr>
          <w:rFonts w:asciiTheme="majorBidi" w:hAnsiTheme="majorBidi" w:cstheme="majorBidi"/>
          <w:sz w:val="24"/>
          <w:szCs w:val="24"/>
        </w:rPr>
        <w:tab/>
        <w:t>I have pursued your course; let prosperity remain with me.</w:t>
      </w:r>
    </w:p>
    <w:p w14:paraId="527BA9AB"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26</w:t>
      </w:r>
      <w:r w:rsidRPr="00050DAE">
        <w:rPr>
          <w:rFonts w:asciiTheme="majorBidi" w:hAnsiTheme="majorBidi" w:cstheme="majorBidi"/>
          <w:sz w:val="24"/>
          <w:szCs w:val="24"/>
        </w:rPr>
        <w:tab/>
        <w:t>I have seized your carrying pole; let me lay claim to goodness of heart.</w:t>
      </w:r>
    </w:p>
    <w:p w14:paraId="6D28F8E2"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27</w:t>
      </w:r>
      <w:r w:rsidRPr="00050DAE">
        <w:rPr>
          <w:rFonts w:asciiTheme="majorBidi" w:hAnsiTheme="majorBidi" w:cstheme="majorBidi"/>
          <w:sz w:val="24"/>
          <w:szCs w:val="24"/>
        </w:rPr>
        <w:tab/>
        <w:t>I have carried your yoke; implement the releasing of anger.</w:t>
      </w:r>
    </w:p>
    <w:p w14:paraId="57E0E84B"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28</w:t>
      </w:r>
      <w:r w:rsidRPr="00050DAE">
        <w:rPr>
          <w:rFonts w:asciiTheme="majorBidi" w:hAnsiTheme="majorBidi" w:cstheme="majorBidi"/>
          <w:sz w:val="24"/>
          <w:szCs w:val="24"/>
        </w:rPr>
        <w:tab/>
        <w:t>I have waited on you; let peace come to me straight away.</w:t>
      </w:r>
    </w:p>
    <w:p w14:paraId="6A3C5831"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29</w:t>
      </w:r>
      <w:r w:rsidRPr="00050DAE">
        <w:rPr>
          <w:rFonts w:asciiTheme="majorBidi" w:hAnsiTheme="majorBidi" w:cstheme="majorBidi"/>
          <w:sz w:val="24"/>
          <w:szCs w:val="24"/>
        </w:rPr>
        <w:tab/>
        <w:t>I have kept watch of your radiance; may there be acceptance and consent.</w:t>
      </w:r>
    </w:p>
    <w:p w14:paraId="28102C90"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30</w:t>
      </w:r>
      <w:r w:rsidRPr="00050DAE">
        <w:rPr>
          <w:rFonts w:asciiTheme="majorBidi" w:hAnsiTheme="majorBidi" w:cstheme="majorBidi"/>
          <w:sz w:val="24"/>
          <w:szCs w:val="24"/>
        </w:rPr>
        <w:tab/>
        <w:t>I have sought out your splendor; may my countenance shine with joy.</w:t>
      </w:r>
    </w:p>
    <w:p w14:paraId="0F8A6536"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31</w:t>
      </w:r>
      <w:r w:rsidRPr="00050DAE">
        <w:rPr>
          <w:rFonts w:asciiTheme="majorBidi" w:hAnsiTheme="majorBidi" w:cstheme="majorBidi"/>
          <w:sz w:val="24"/>
          <w:szCs w:val="24"/>
        </w:rPr>
        <w:tab/>
        <w:t>I have turned to your sovereignty; may there be life and wholeness.</w:t>
      </w:r>
    </w:p>
    <w:p w14:paraId="4B597460"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32</w:t>
      </w:r>
      <w:r w:rsidRPr="00050DAE">
        <w:rPr>
          <w:rFonts w:asciiTheme="majorBidi" w:hAnsiTheme="majorBidi" w:cstheme="majorBidi"/>
          <w:sz w:val="24"/>
          <w:szCs w:val="24"/>
        </w:rPr>
        <w:tab/>
        <w:t>May I acquire a favorable protective spirit who is before you.</w:t>
      </w:r>
    </w:p>
    <w:p w14:paraId="41D263B6"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33</w:t>
      </w:r>
      <w:r w:rsidRPr="00050DAE">
        <w:rPr>
          <w:rFonts w:asciiTheme="majorBidi" w:hAnsiTheme="majorBidi" w:cstheme="majorBidi"/>
          <w:sz w:val="24"/>
          <w:szCs w:val="24"/>
        </w:rPr>
        <w:tab/>
        <w:t>May I acquire the divine guardian who follows after you.</w:t>
      </w:r>
    </w:p>
    <w:p w14:paraId="3F4818FB"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34</w:t>
      </w:r>
      <w:r w:rsidRPr="00050DAE">
        <w:rPr>
          <w:rFonts w:asciiTheme="majorBidi" w:hAnsiTheme="majorBidi" w:cstheme="majorBidi"/>
          <w:sz w:val="24"/>
          <w:szCs w:val="24"/>
        </w:rPr>
        <w:tab/>
        <w:t>May I add the wealth that is at your right side.</w:t>
      </w:r>
    </w:p>
    <w:p w14:paraId="4BF3232F"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35</w:t>
      </w:r>
      <w:r w:rsidRPr="00050DAE">
        <w:rPr>
          <w:rFonts w:asciiTheme="majorBidi" w:hAnsiTheme="majorBidi" w:cstheme="majorBidi"/>
          <w:sz w:val="24"/>
          <w:szCs w:val="24"/>
        </w:rPr>
        <w:tab/>
        <w:t>May I achieve the favor that is at your left.</w:t>
      </w:r>
    </w:p>
    <w:p w14:paraId="49999F49"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36</w:t>
      </w:r>
      <w:r w:rsidRPr="00050DAE">
        <w:rPr>
          <w:rFonts w:asciiTheme="majorBidi" w:hAnsiTheme="majorBidi" w:cstheme="majorBidi"/>
          <w:sz w:val="24"/>
          <w:szCs w:val="24"/>
        </w:rPr>
        <w:tab/>
        <w:t>Command that my utterance be heard.</w:t>
      </w:r>
    </w:p>
    <w:p w14:paraId="25808BDD"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37</w:t>
      </w:r>
      <w:r w:rsidRPr="00050DAE">
        <w:rPr>
          <w:rFonts w:asciiTheme="majorBidi" w:hAnsiTheme="majorBidi" w:cstheme="majorBidi"/>
          <w:sz w:val="24"/>
          <w:szCs w:val="24"/>
        </w:rPr>
        <w:tab/>
        <w:t>May the word that I speak be accepted when I speak it.</w:t>
      </w:r>
    </w:p>
    <w:p w14:paraId="4F8256AE"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38</w:t>
      </w:r>
      <w:r w:rsidRPr="00050DAE">
        <w:rPr>
          <w:rFonts w:asciiTheme="majorBidi" w:hAnsiTheme="majorBidi" w:cstheme="majorBidi"/>
          <w:sz w:val="24"/>
          <w:szCs w:val="24"/>
        </w:rPr>
        <w:tab/>
        <w:t>Guide me every day in a sound body and with gladness of heart.</w:t>
      </w:r>
    </w:p>
    <w:p w14:paraId="5644304B"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39</w:t>
      </w:r>
      <w:r w:rsidRPr="00050DAE">
        <w:rPr>
          <w:rFonts w:asciiTheme="majorBidi" w:hAnsiTheme="majorBidi" w:cstheme="majorBidi"/>
          <w:sz w:val="24"/>
          <w:szCs w:val="24"/>
        </w:rPr>
        <w:tab/>
        <w:t>Lengthen my days. Grant me life.</w:t>
      </w:r>
    </w:p>
    <w:p w14:paraId="10FD9A58"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40</w:t>
      </w:r>
      <w:r w:rsidRPr="00050DAE">
        <w:rPr>
          <w:rFonts w:asciiTheme="majorBidi" w:hAnsiTheme="majorBidi" w:cstheme="majorBidi"/>
          <w:sz w:val="24"/>
          <w:szCs w:val="24"/>
        </w:rPr>
        <w:tab/>
        <w:t>Let me be healthy; let me be whole, so that I may continually praise your divinity.</w:t>
      </w:r>
    </w:p>
    <w:p w14:paraId="6C16E76D"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41</w:t>
      </w:r>
      <w:r w:rsidRPr="00050DAE">
        <w:rPr>
          <w:rFonts w:asciiTheme="majorBidi" w:hAnsiTheme="majorBidi" w:cstheme="majorBidi"/>
          <w:sz w:val="24"/>
          <w:szCs w:val="24"/>
        </w:rPr>
        <w:tab/>
        <w:t>Whatever I strive for, let me achieve.</w:t>
      </w:r>
    </w:p>
    <w:p w14:paraId="45B9290C"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42</w:t>
      </w:r>
      <w:r w:rsidRPr="00050DAE">
        <w:rPr>
          <w:rFonts w:asciiTheme="majorBidi" w:hAnsiTheme="majorBidi" w:cstheme="majorBidi"/>
          <w:sz w:val="24"/>
          <w:szCs w:val="24"/>
        </w:rPr>
        <w:tab/>
        <w:t>May the heavens rejoice over you. May the Apsu be glad on your account.</w:t>
      </w:r>
    </w:p>
    <w:p w14:paraId="6B68934A"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43</w:t>
      </w:r>
      <w:r w:rsidRPr="00050DAE">
        <w:rPr>
          <w:rFonts w:asciiTheme="majorBidi" w:hAnsiTheme="majorBidi" w:cstheme="majorBidi"/>
          <w:sz w:val="24"/>
          <w:szCs w:val="24"/>
        </w:rPr>
        <w:tab/>
        <w:t>May the gods of the world greet you.</w:t>
      </w:r>
    </w:p>
    <w:p w14:paraId="25E7673C"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44</w:t>
      </w:r>
      <w:r w:rsidRPr="00050DAE">
        <w:rPr>
          <w:rFonts w:asciiTheme="majorBidi" w:hAnsiTheme="majorBidi" w:cstheme="majorBidi"/>
          <w:sz w:val="24"/>
          <w:szCs w:val="24"/>
        </w:rPr>
        <w:tab/>
        <w:t>May the great gods make your heart glad.</w:t>
      </w:r>
    </w:p>
    <w:p w14:paraId="39702B42"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45</w:t>
      </w:r>
      <w:r w:rsidRPr="00050DAE">
        <w:rPr>
          <w:rFonts w:asciiTheme="majorBidi" w:hAnsiTheme="majorBidi" w:cstheme="majorBidi"/>
          <w:sz w:val="24"/>
          <w:szCs w:val="24"/>
        </w:rPr>
        <w:tab/>
        <w:t>It is the wording of a lifted-hand prayer to Ištar.</w:t>
      </w:r>
    </w:p>
    <w:p w14:paraId="1F38613D"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46</w:t>
      </w:r>
      <w:r w:rsidRPr="00050DAE">
        <w:rPr>
          <w:rFonts w:asciiTheme="majorBidi" w:hAnsiTheme="majorBidi" w:cstheme="majorBidi"/>
          <w:sz w:val="24"/>
          <w:szCs w:val="24"/>
        </w:rPr>
        <w:tab/>
        <w:t>(Var.: Its ritual:) In front of Ištar, you set up a censer of juniper,</w:t>
      </w:r>
    </w:p>
    <w:p w14:paraId="50F727F7"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47</w:t>
      </w:r>
      <w:r w:rsidRPr="00050DAE">
        <w:rPr>
          <w:rFonts w:asciiTheme="majorBidi" w:hAnsiTheme="majorBidi" w:cstheme="majorBidi"/>
          <w:sz w:val="24"/>
          <w:szCs w:val="24"/>
        </w:rPr>
        <w:tab/>
        <w:t>You libate miḫḫû-beer, and you recit[e] this lifted-hand prayer three times.</w:t>
      </w:r>
    </w:p>
    <w:p w14:paraId="34C52186" w14:textId="77777777" w:rsidR="00014F8D" w:rsidRPr="00050DAE" w:rsidRDefault="00014F8D" w:rsidP="00D5254D">
      <w:pPr>
        <w:pStyle w:val="Quote"/>
        <w:rPr>
          <w:rFonts w:asciiTheme="majorBidi" w:hAnsiTheme="majorBidi" w:cstheme="majorBidi"/>
          <w:sz w:val="24"/>
          <w:szCs w:val="24"/>
        </w:rPr>
      </w:pPr>
      <w:r w:rsidRPr="00050DAE">
        <w:rPr>
          <w:rFonts w:asciiTheme="majorBidi" w:hAnsiTheme="majorBidi" w:cstheme="majorBidi"/>
          <w:sz w:val="24"/>
          <w:szCs w:val="24"/>
        </w:rPr>
        <w:t>48</w:t>
      </w:r>
      <w:r w:rsidRPr="00050DAE">
        <w:rPr>
          <w:rFonts w:asciiTheme="majorBidi" w:hAnsiTheme="majorBidi" w:cstheme="majorBidi"/>
          <w:sz w:val="24"/>
          <w:szCs w:val="24"/>
        </w:rPr>
        <w:tab/>
        <w:t>You bow down and you lift your hand, a[nd ...]</w:t>
      </w:r>
    </w:p>
    <w:p w14:paraId="09A3CFA6" w14:textId="77777777" w:rsidR="00014F8D" w:rsidRPr="00050DAE" w:rsidRDefault="00014F8D" w:rsidP="00FA2DDE">
      <w:pPr>
        <w:rPr>
          <w:rFonts w:asciiTheme="majorBidi" w:hAnsiTheme="majorBidi" w:cstheme="majorBidi"/>
          <w:lang w:eastAsia="en-GB"/>
        </w:rPr>
      </w:pPr>
    </w:p>
    <w:p w14:paraId="6C61CF18" w14:textId="77777777" w:rsidR="00014F8D" w:rsidRPr="00050DAE" w:rsidRDefault="00014F8D" w:rsidP="00FA2DDE">
      <w:pPr>
        <w:pStyle w:val="Heading4"/>
        <w:rPr>
          <w:rFonts w:asciiTheme="majorBidi" w:hAnsiTheme="majorBidi"/>
        </w:rPr>
      </w:pPr>
      <w:r w:rsidRPr="00050DAE">
        <w:rPr>
          <w:rFonts w:asciiTheme="majorBidi" w:hAnsiTheme="majorBidi"/>
          <w:lang w:eastAsia="en-GB"/>
        </w:rPr>
        <w:t>šuʾilas to Ištar 03 - Incantation: O Sublime Ištar, Illuminator of the World</w:t>
      </w:r>
      <w:r w:rsidRPr="00050DAE">
        <w:rPr>
          <w:rStyle w:val="FootnoteReference"/>
          <w:rFonts w:asciiTheme="majorBidi" w:hAnsiTheme="majorBidi"/>
        </w:rPr>
        <w:footnoteReference w:id="366"/>
      </w:r>
    </w:p>
    <w:p w14:paraId="7F52C9F8"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w:t>
      </w:r>
      <w:r w:rsidRPr="00050DAE">
        <w:rPr>
          <w:rFonts w:asciiTheme="majorBidi" w:hAnsiTheme="majorBidi" w:cstheme="majorBidi"/>
          <w:sz w:val="24"/>
          <w:szCs w:val="24"/>
        </w:rPr>
        <w:tab/>
        <w:t>Incantation: O sublime Ištar, illuminator of the world,</w:t>
      </w:r>
    </w:p>
    <w:p w14:paraId="261B31D8"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2</w:t>
      </w:r>
      <w:r w:rsidRPr="00050DAE">
        <w:rPr>
          <w:rFonts w:asciiTheme="majorBidi" w:hAnsiTheme="majorBidi" w:cstheme="majorBidi"/>
          <w:sz w:val="24"/>
          <w:szCs w:val="24"/>
        </w:rPr>
        <w:tab/>
        <w:t>[. . .] . . . of the people,</w:t>
      </w:r>
    </w:p>
    <w:p w14:paraId="7C5403F5"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3</w:t>
      </w:r>
      <w:r w:rsidRPr="00050DAE">
        <w:rPr>
          <w:rFonts w:asciiTheme="majorBidi" w:hAnsiTheme="majorBidi" w:cstheme="majorBidi"/>
          <w:sz w:val="24"/>
          <w:szCs w:val="24"/>
        </w:rPr>
        <w:tab/>
        <w:t>[Who establ]ishes the habitations,</w:t>
      </w:r>
    </w:p>
    <w:p w14:paraId="3E28BBB3"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4</w:t>
      </w:r>
      <w:r w:rsidRPr="00050DAE">
        <w:rPr>
          <w:rFonts w:asciiTheme="majorBidi" w:hAnsiTheme="majorBidi" w:cstheme="majorBidi"/>
          <w:sz w:val="24"/>
          <w:szCs w:val="24"/>
        </w:rPr>
        <w:tab/>
        <w:t>Who gives crowns to kings,</w:t>
      </w:r>
    </w:p>
    <w:p w14:paraId="3BB598DF"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5</w:t>
      </w:r>
      <w:r w:rsidRPr="00050DAE">
        <w:rPr>
          <w:rFonts w:asciiTheme="majorBidi" w:hAnsiTheme="majorBidi" w:cstheme="majorBidi"/>
          <w:sz w:val="24"/>
          <w:szCs w:val="24"/>
        </w:rPr>
        <w:tab/>
        <w:t>Who leads the lame man and woman aright, who raises up the fallen,</w:t>
      </w:r>
    </w:p>
    <w:p w14:paraId="40B66A7E"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6</w:t>
      </w:r>
      <w:r w:rsidRPr="00050DAE">
        <w:rPr>
          <w:rFonts w:asciiTheme="majorBidi" w:hAnsiTheme="majorBidi" w:cstheme="majorBidi"/>
          <w:sz w:val="24"/>
          <w:szCs w:val="24"/>
        </w:rPr>
        <w:tab/>
        <w:t>Do not turn away in anger. Pay attention!</w:t>
      </w:r>
    </w:p>
    <w:p w14:paraId="3120488E"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7</w:t>
      </w:r>
      <w:r w:rsidRPr="00050DAE">
        <w:rPr>
          <w:rFonts w:asciiTheme="majorBidi" w:hAnsiTheme="majorBidi" w:cstheme="majorBidi"/>
          <w:sz w:val="24"/>
          <w:szCs w:val="24"/>
        </w:rPr>
        <w:tab/>
        <w:t>Do not be angry. Reconcile with me!</w:t>
      </w:r>
    </w:p>
    <w:p w14:paraId="3E8C2ED3"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8</w:t>
      </w:r>
      <w:r w:rsidRPr="00050DAE">
        <w:rPr>
          <w:rFonts w:asciiTheme="majorBidi" w:hAnsiTheme="majorBidi" w:cstheme="majorBidi"/>
          <w:sz w:val="24"/>
          <w:szCs w:val="24"/>
        </w:rPr>
        <w:tab/>
        <w:t>Rescue me from hardship; save me from this difficulty,</w:t>
      </w:r>
    </w:p>
    <w:p w14:paraId="22ED3A2F"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9</w:t>
      </w:r>
      <w:r w:rsidRPr="00050DAE">
        <w:rPr>
          <w:rFonts w:asciiTheme="majorBidi" w:hAnsiTheme="majorBidi" w:cstheme="majorBidi"/>
          <w:sz w:val="24"/>
          <w:szCs w:val="24"/>
        </w:rPr>
        <w:tab/>
        <w:t>So that those who look upon me will constantly praise you, O Ištar!</w:t>
      </w:r>
    </w:p>
    <w:p w14:paraId="01DDD546"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10</w:t>
      </w:r>
      <w:r w:rsidRPr="00050DAE">
        <w:rPr>
          <w:rFonts w:asciiTheme="majorBidi" w:hAnsiTheme="majorBidi" w:cstheme="majorBidi"/>
          <w:sz w:val="24"/>
          <w:szCs w:val="24"/>
        </w:rPr>
        <w:tab/>
        <w:t>Establish truth in my mouth, sincerity on my lips.</w:t>
      </w:r>
    </w:p>
    <w:p w14:paraId="364B9ABF"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11</w:t>
      </w:r>
      <w:r w:rsidRPr="00050DAE">
        <w:rPr>
          <w:rFonts w:asciiTheme="majorBidi" w:hAnsiTheme="majorBidi" w:cstheme="majorBidi"/>
          <w:sz w:val="24"/>
          <w:szCs w:val="24"/>
        </w:rPr>
        <w:tab/>
        <w:t>As for the one who says something (lit. speaks a word) about me: May he not defame me!</w:t>
      </w:r>
    </w:p>
    <w:p w14:paraId="0D7C73B3"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12</w:t>
      </w:r>
      <w:r w:rsidRPr="00050DAE">
        <w:rPr>
          <w:rFonts w:asciiTheme="majorBidi" w:hAnsiTheme="majorBidi" w:cstheme="majorBidi"/>
          <w:sz w:val="24"/>
          <w:szCs w:val="24"/>
        </w:rPr>
        <w:tab/>
        <w:t>I shall not be slandered!</w:t>
      </w:r>
    </w:p>
    <w:p w14:paraId="7A6F4A21"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13</w:t>
      </w:r>
      <w:r w:rsidRPr="00050DAE">
        <w:rPr>
          <w:rFonts w:asciiTheme="majorBidi" w:hAnsiTheme="majorBidi" w:cstheme="majorBidi"/>
          <w:sz w:val="24"/>
          <w:szCs w:val="24"/>
        </w:rPr>
        <w:tab/>
        <w:t>May defamation not be spoken about me!</w:t>
      </w:r>
    </w:p>
    <w:p w14:paraId="1A7BC55B"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14</w:t>
      </w:r>
      <w:r w:rsidRPr="00050DAE">
        <w:rPr>
          <w:rFonts w:asciiTheme="majorBidi" w:hAnsiTheme="majorBidi" w:cstheme="majorBidi"/>
          <w:sz w:val="24"/>
          <w:szCs w:val="24"/>
        </w:rPr>
        <w:tab/>
        <w:t>As for those who slander (lit. talk about) me, those who defame me,</w:t>
      </w:r>
    </w:p>
    <w:p w14:paraId="194F0728"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15</w:t>
      </w:r>
      <w:r w:rsidRPr="00050DAE">
        <w:rPr>
          <w:rFonts w:asciiTheme="majorBidi" w:hAnsiTheme="majorBidi" w:cstheme="majorBidi"/>
          <w:sz w:val="24"/>
          <w:szCs w:val="24"/>
        </w:rPr>
        <w:tab/>
        <w:t>Exer[cise author]ity(?) over their mouth, which defamed me!</w:t>
      </w:r>
    </w:p>
    <w:p w14:paraId="07D24DDF"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16</w:t>
      </w:r>
      <w:r w:rsidRPr="00050DAE">
        <w:rPr>
          <w:rFonts w:asciiTheme="majorBidi" w:hAnsiTheme="majorBidi" w:cstheme="majorBidi"/>
          <w:sz w:val="24"/>
          <w:szCs w:val="24"/>
        </w:rPr>
        <w:tab/>
        <w:t>May god or goddess go alongside me!</w:t>
      </w:r>
    </w:p>
    <w:p w14:paraId="2A020A4D"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17</w:t>
      </w:r>
      <w:r w:rsidRPr="00050DAE">
        <w:rPr>
          <w:rFonts w:asciiTheme="majorBidi" w:hAnsiTheme="majorBidi" w:cstheme="majorBidi"/>
          <w:sz w:val="24"/>
          <w:szCs w:val="24"/>
        </w:rPr>
        <w:tab/>
        <w:t>. . . belongs to you; I shall walk behind you.</w:t>
      </w:r>
    </w:p>
    <w:p w14:paraId="2B51FED8"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18</w:t>
      </w:r>
      <w:r w:rsidRPr="00050DAE">
        <w:rPr>
          <w:rFonts w:asciiTheme="majorBidi" w:hAnsiTheme="majorBidi" w:cstheme="majorBidi"/>
          <w:sz w:val="24"/>
          <w:szCs w:val="24"/>
        </w:rPr>
        <w:tab/>
        <w:t>[. . .] . . . [. . .]</w:t>
      </w:r>
    </w:p>
    <w:p w14:paraId="03AA7A44"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19</w:t>
      </w:r>
      <w:r w:rsidRPr="00050DAE">
        <w:rPr>
          <w:rFonts w:asciiTheme="majorBidi" w:hAnsiTheme="majorBidi" w:cstheme="majorBidi"/>
          <w:sz w:val="24"/>
          <w:szCs w:val="24"/>
        </w:rPr>
        <w:tab/>
        <w:t>[. . .] . . . juniper(?) . . . [. . .]</w:t>
      </w:r>
    </w:p>
    <w:p w14:paraId="3E21355B"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20</w:t>
      </w:r>
      <w:r w:rsidRPr="00050DAE">
        <w:rPr>
          <w:rFonts w:asciiTheme="majorBidi" w:hAnsiTheme="majorBidi" w:cstheme="majorBidi"/>
          <w:sz w:val="24"/>
          <w:szCs w:val="24"/>
        </w:rPr>
        <w:tab/>
        <w:t>[. . .] are released/absolved.</w:t>
      </w:r>
    </w:p>
    <w:p w14:paraId="1B08B5CF"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21</w:t>
      </w:r>
      <w:r w:rsidRPr="00050DAE">
        <w:rPr>
          <w:rFonts w:asciiTheme="majorBidi" w:hAnsiTheme="majorBidi" w:cstheme="majorBidi"/>
          <w:sz w:val="24"/>
          <w:szCs w:val="24"/>
        </w:rPr>
        <w:tab/>
        <w:t>[. . .] . . . [. . .] . . .</w:t>
      </w:r>
    </w:p>
    <w:p w14:paraId="38338032"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22</w:t>
      </w:r>
      <w:r w:rsidRPr="00050DAE">
        <w:rPr>
          <w:rFonts w:asciiTheme="majorBidi" w:hAnsiTheme="majorBidi" w:cstheme="majorBidi"/>
          <w:sz w:val="24"/>
          <w:szCs w:val="24"/>
        </w:rPr>
        <w:tab/>
        <w:t>[. . .] . . . are made beautiful.</w:t>
      </w:r>
    </w:p>
    <w:p w14:paraId="2AC9C845"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23</w:t>
      </w:r>
      <w:r w:rsidRPr="00050DAE">
        <w:rPr>
          <w:rFonts w:asciiTheme="majorBidi" w:hAnsiTheme="majorBidi" w:cstheme="majorBidi"/>
          <w:sz w:val="24"/>
          <w:szCs w:val="24"/>
        </w:rPr>
        <w:tab/>
        <w:t>Establishing favor belongs to you, O Ištar!</w:t>
      </w:r>
    </w:p>
    <w:p w14:paraId="1A14CB32"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24</w:t>
      </w:r>
      <w:r w:rsidRPr="00050DAE">
        <w:rPr>
          <w:rFonts w:asciiTheme="majorBidi" w:hAnsiTheme="majorBidi" w:cstheme="majorBidi"/>
          <w:sz w:val="24"/>
          <w:szCs w:val="24"/>
        </w:rPr>
        <w:tab/>
        <w:t>It is the wording of a lifted-hand prayer to Ištar.</w:t>
      </w:r>
    </w:p>
    <w:p w14:paraId="2AC4059F"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25</w:t>
      </w:r>
      <w:r w:rsidRPr="00050DAE">
        <w:rPr>
          <w:rFonts w:asciiTheme="majorBidi" w:hAnsiTheme="majorBidi" w:cstheme="majorBidi"/>
          <w:sz w:val="24"/>
          <w:szCs w:val="24"/>
        </w:rPr>
        <w:tab/>
        <w:t>Its ritual: You set up in front of Ištar a censer with glowing embers of camelthorn wood inside. You strew hamīmi-plant behind the offering bowl. You recite the incantation three times and bow down.</w:t>
      </w:r>
    </w:p>
    <w:p w14:paraId="3D18710A"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w:t>
      </w:r>
    </w:p>
    <w:p w14:paraId="6DB56306" w14:textId="77777777" w:rsidR="00014F8D" w:rsidRPr="00050DAE" w:rsidRDefault="00014F8D" w:rsidP="00DF30EA">
      <w:pPr>
        <w:pStyle w:val="Quote"/>
        <w:rPr>
          <w:rFonts w:asciiTheme="majorBidi" w:hAnsiTheme="majorBidi" w:cstheme="majorBidi"/>
          <w:sz w:val="24"/>
          <w:szCs w:val="24"/>
        </w:rPr>
      </w:pPr>
      <w:r w:rsidRPr="00050DAE">
        <w:rPr>
          <w:rFonts w:asciiTheme="majorBidi" w:hAnsiTheme="majorBidi" w:cstheme="majorBidi"/>
          <w:sz w:val="24"/>
          <w:szCs w:val="24"/>
        </w:rPr>
        <w:t>28</w:t>
      </w:r>
      <w:r w:rsidRPr="00050DAE">
        <w:rPr>
          <w:rFonts w:asciiTheme="majorBidi" w:hAnsiTheme="majorBidi" w:cstheme="majorBidi"/>
          <w:sz w:val="24"/>
          <w:szCs w:val="24"/>
        </w:rPr>
        <w:tab/>
        <w:t>You keep repeating it for three days. It (i.e. this ritual-prayer) is for turning aside the anger of the personal deity.</w:t>
      </w:r>
    </w:p>
    <w:p w14:paraId="62A4C793" w14:textId="77777777" w:rsidR="00014F8D" w:rsidRPr="00050DAE" w:rsidRDefault="00014F8D" w:rsidP="00FA2DDE">
      <w:pPr>
        <w:pStyle w:val="Heading4"/>
        <w:rPr>
          <w:rFonts w:asciiTheme="majorBidi" w:hAnsiTheme="majorBidi"/>
        </w:rPr>
      </w:pPr>
      <w:r w:rsidRPr="00050DAE">
        <w:rPr>
          <w:rFonts w:asciiTheme="majorBidi" w:hAnsiTheme="majorBidi"/>
        </w:rPr>
        <w:t>šuʾilas to Ištar 23 - Incantation: O Ištar, Lady of the Heavens and the Earth</w:t>
      </w:r>
      <w:r w:rsidRPr="00050DAE">
        <w:rPr>
          <w:rStyle w:val="FootnoteReference"/>
          <w:rFonts w:asciiTheme="majorBidi" w:hAnsiTheme="majorBidi"/>
          <w:vertAlign w:val="baseline"/>
        </w:rPr>
        <w:footnoteReference w:id="367"/>
      </w:r>
    </w:p>
    <w:p w14:paraId="66894FE8"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1</w:t>
      </w:r>
      <w:r w:rsidRPr="00050DAE">
        <w:rPr>
          <w:rFonts w:asciiTheme="majorBidi" w:hAnsiTheme="majorBidi" w:cstheme="majorBidi"/>
          <w:sz w:val="24"/>
          <w:szCs w:val="24"/>
        </w:rPr>
        <w:tab/>
        <w:t>Incantation: O Ištar, lady of the heavens and the earth,</w:t>
      </w:r>
    </w:p>
    <w:p w14:paraId="3CCB5AA3"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2</w:t>
      </w:r>
      <w:r w:rsidRPr="00050DAE">
        <w:rPr>
          <w:rFonts w:asciiTheme="majorBidi" w:hAnsiTheme="majorBidi" w:cstheme="majorBidi"/>
          <w:sz w:val="24"/>
          <w:szCs w:val="24"/>
        </w:rPr>
        <w:tab/>
        <w:t>May the heavens and the earth (var.: Ap[su]) rejoice over you.</w:t>
      </w:r>
    </w:p>
    <w:p w14:paraId="6060F382"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3</w:t>
      </w:r>
      <w:r w:rsidRPr="00050DAE">
        <w:rPr>
          <w:rFonts w:asciiTheme="majorBidi" w:hAnsiTheme="majorBidi" w:cstheme="majorBidi"/>
          <w:sz w:val="24"/>
          <w:szCs w:val="24"/>
        </w:rPr>
        <w:tab/>
        <w:t>[May] Anu, Enlil, and Ea [greet] your gre[at] divinity.</w:t>
      </w:r>
    </w:p>
    <w:p w14:paraId="026AA955"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4</w:t>
      </w:r>
      <w:r w:rsidRPr="00050DAE">
        <w:rPr>
          <w:rFonts w:asciiTheme="majorBidi" w:hAnsiTheme="majorBidi" w:cstheme="majorBidi"/>
          <w:sz w:val="24"/>
          <w:szCs w:val="24"/>
        </w:rPr>
        <w:tab/>
        <w:t>May the gods, who dwell in Ekur and the Apsu, make your heart glad.</w:t>
      </w:r>
    </w:p>
    <w:p w14:paraId="50EED2F5"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5</w:t>
      </w:r>
      <w:r w:rsidRPr="00050DAE">
        <w:rPr>
          <w:rFonts w:asciiTheme="majorBidi" w:hAnsiTheme="majorBidi" w:cstheme="majorBidi"/>
          <w:sz w:val="24"/>
          <w:szCs w:val="24"/>
        </w:rPr>
        <w:tab/>
        <w:t>You are the celestial luminary. May Sin make your holy (lit. pure) name bright,</w:t>
      </w:r>
    </w:p>
    <w:p w14:paraId="751FD9DE"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6</w:t>
      </w:r>
      <w:r w:rsidRPr="00050DAE">
        <w:rPr>
          <w:rFonts w:asciiTheme="majorBidi" w:hAnsiTheme="majorBidi" w:cstheme="majorBidi"/>
          <w:sz w:val="24"/>
          <w:szCs w:val="24"/>
        </w:rPr>
        <w:tab/>
        <w:t>Like the light illuminating the boundary (var.: length) of the heavens.</w:t>
      </w:r>
    </w:p>
    <w:p w14:paraId="61F61AD3"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7</w:t>
      </w:r>
      <w:r w:rsidRPr="00050DAE">
        <w:rPr>
          <w:rFonts w:asciiTheme="majorBidi" w:hAnsiTheme="majorBidi" w:cstheme="majorBidi"/>
          <w:sz w:val="24"/>
          <w:szCs w:val="24"/>
        </w:rPr>
        <w:tab/>
        <w:t>You bear the throwing stick, the holy (lit. pure) establisher of order.</w:t>
      </w:r>
    </w:p>
    <w:p w14:paraId="396FF030"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8</w:t>
      </w:r>
      <w:r w:rsidRPr="00050DAE">
        <w:rPr>
          <w:rFonts w:asciiTheme="majorBidi" w:hAnsiTheme="majorBidi" w:cstheme="majorBidi"/>
          <w:sz w:val="24"/>
          <w:szCs w:val="24"/>
        </w:rPr>
        <w:tab/>
        <w:t>I have taken my stand before you for a true and just judgment.</w:t>
      </w:r>
    </w:p>
    <w:p w14:paraId="165E2B9F"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9</w:t>
      </w:r>
      <w:r w:rsidRPr="00050DAE">
        <w:rPr>
          <w:rFonts w:asciiTheme="majorBidi" w:hAnsiTheme="majorBidi" w:cstheme="majorBidi"/>
          <w:sz w:val="24"/>
          <w:szCs w:val="24"/>
        </w:rPr>
        <w:tab/>
        <w:t>Tear out my illness. Order my well-being.</w:t>
      </w:r>
    </w:p>
    <w:p w14:paraId="35BC1F7F"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10</w:t>
      </w:r>
      <w:r w:rsidRPr="00050DAE">
        <w:rPr>
          <w:rFonts w:asciiTheme="majorBidi" w:hAnsiTheme="majorBidi" w:cstheme="majorBidi"/>
          <w:sz w:val="24"/>
          <w:szCs w:val="24"/>
        </w:rPr>
        <w:tab/>
        <w:t>May my freedom be established in your presence.</w:t>
      </w:r>
    </w:p>
    <w:p w14:paraId="0D110F7A"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11</w:t>
      </w:r>
      <w:r w:rsidRPr="00050DAE">
        <w:rPr>
          <w:rFonts w:asciiTheme="majorBidi" w:hAnsiTheme="majorBidi" w:cstheme="majorBidi"/>
          <w:sz w:val="24"/>
          <w:szCs w:val="24"/>
        </w:rPr>
        <w:tab/>
        <w:t>May my sin be absolved. May my constraint become loose.</w:t>
      </w:r>
    </w:p>
    <w:p w14:paraId="628B619B"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12</w:t>
      </w:r>
      <w:r w:rsidRPr="00050DAE">
        <w:rPr>
          <w:rFonts w:asciiTheme="majorBidi" w:hAnsiTheme="majorBidi" w:cstheme="majorBidi"/>
          <w:sz w:val="24"/>
          <w:szCs w:val="24"/>
        </w:rPr>
        <w:tab/>
        <w:t>Grant [me] offspring that I may have authority over descendants,</w:t>
      </w:r>
    </w:p>
    <w:p w14:paraId="182C708C"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13</w:t>
      </w:r>
      <w:r w:rsidRPr="00050DAE">
        <w:rPr>
          <w:rFonts w:asciiTheme="majorBidi" w:hAnsiTheme="majorBidi" w:cstheme="majorBidi"/>
          <w:sz w:val="24"/>
          <w:szCs w:val="24"/>
        </w:rPr>
        <w:tab/>
        <w:t>And that I may praise your greatness and speak the [pr]aises of your great divinity to the teeming people!</w:t>
      </w:r>
    </w:p>
    <w:p w14:paraId="7BE65A49"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14</w:t>
      </w:r>
      <w:r w:rsidRPr="00050DAE">
        <w:rPr>
          <w:rFonts w:asciiTheme="majorBidi" w:hAnsiTheme="majorBidi" w:cstheme="majorBidi"/>
          <w:sz w:val="24"/>
          <w:szCs w:val="24"/>
        </w:rPr>
        <w:tab/>
        <w:t>It is [the wording of] a lifted-[h]and prayer to Ištar.</w:t>
      </w:r>
    </w:p>
    <w:p w14:paraId="4F22A1E6" w14:textId="77777777" w:rsidR="00014F8D" w:rsidRPr="00050DAE" w:rsidRDefault="00014F8D" w:rsidP="00493620">
      <w:pPr>
        <w:pStyle w:val="Quote"/>
        <w:rPr>
          <w:rFonts w:asciiTheme="majorBidi" w:hAnsiTheme="majorBidi" w:cstheme="majorBidi"/>
          <w:sz w:val="24"/>
          <w:szCs w:val="24"/>
        </w:rPr>
      </w:pPr>
      <w:r w:rsidRPr="00050DAE">
        <w:rPr>
          <w:rFonts w:asciiTheme="majorBidi" w:hAnsiTheme="majorBidi" w:cstheme="majorBidi"/>
          <w:sz w:val="24"/>
          <w:szCs w:val="24"/>
        </w:rPr>
        <w:t>15</w:t>
      </w:r>
      <w:r w:rsidRPr="00050DAE">
        <w:rPr>
          <w:rFonts w:asciiTheme="majorBidi" w:hAnsiTheme="majorBidi" w:cstheme="majorBidi"/>
          <w:sz w:val="24"/>
          <w:szCs w:val="24"/>
        </w:rPr>
        <w:tab/>
        <w:t>Its ritual: You slaughter a female virgin kid and roast its heart.</w:t>
      </w:r>
    </w:p>
    <w:p w14:paraId="7EA9C64C" w14:textId="77777777" w:rsidR="00014F8D" w:rsidRPr="00050DAE" w:rsidRDefault="00014F8D">
      <w:pPr>
        <w:rPr>
          <w:rFonts w:asciiTheme="majorBidi" w:hAnsiTheme="majorBidi" w:cstheme="majorBidi"/>
          <w:lang w:eastAsia="en-GB"/>
        </w:rPr>
      </w:pPr>
      <w:r w:rsidRPr="00050DAE">
        <w:rPr>
          <w:rFonts w:asciiTheme="majorBidi" w:hAnsiTheme="majorBidi" w:cstheme="majorBidi"/>
          <w:lang w:eastAsia="en-GB"/>
        </w:rPr>
        <w:br w:type="page"/>
      </w:r>
    </w:p>
    <w:p w14:paraId="52295854" w14:textId="77777777" w:rsidR="00014F8D" w:rsidRPr="00050DAE" w:rsidRDefault="00014F8D" w:rsidP="008E68BB">
      <w:pPr>
        <w:pStyle w:val="Heading2"/>
        <w:rPr>
          <w:rFonts w:asciiTheme="majorBidi" w:hAnsiTheme="majorBidi"/>
        </w:rPr>
      </w:pPr>
      <w:bookmarkStart w:id="216" w:name="_Toc234154343"/>
      <w:r w:rsidRPr="00050DAE">
        <w:rPr>
          <w:rFonts w:asciiTheme="majorBidi" w:hAnsiTheme="majorBidi"/>
        </w:rPr>
        <w:t>Anat Primary Text</w:t>
      </w:r>
      <w:bookmarkEnd w:id="216"/>
    </w:p>
    <w:p w14:paraId="172E7F23" w14:textId="77777777" w:rsidR="00014F8D" w:rsidRPr="00050DAE" w:rsidRDefault="00014F8D" w:rsidP="0077607F">
      <w:pPr>
        <w:pStyle w:val="UWTSDindent"/>
      </w:pPr>
      <w:r w:rsidRPr="00050DAE">
        <w:t>Because Anat’s primary texts can be difficult to access, reconstructed versions from standard scholarly sources are provided below. For analysis and commentary, see the dissertation footnotes.</w:t>
      </w:r>
    </w:p>
    <w:p w14:paraId="6DD0156A" w14:textId="77777777" w:rsidR="00014F8D" w:rsidRPr="00050DAE" w:rsidRDefault="00014F8D" w:rsidP="008E68BB">
      <w:pPr>
        <w:pStyle w:val="Heading3"/>
        <w:rPr>
          <w:rFonts w:asciiTheme="majorBidi" w:hAnsiTheme="majorBidi"/>
          <w:i/>
          <w:iCs/>
        </w:rPr>
      </w:pPr>
      <w:bookmarkStart w:id="217" w:name="_Toc234154344"/>
      <w:r w:rsidRPr="00050DAE">
        <w:rPr>
          <w:rFonts w:asciiTheme="majorBidi" w:hAnsiTheme="majorBidi"/>
          <w:i/>
          <w:iCs/>
        </w:rPr>
        <w:t>KTU 1.5-1.6 - Baal and Mot</w:t>
      </w:r>
      <w:r w:rsidRPr="00050DAE">
        <w:rPr>
          <w:rStyle w:val="FootnoteReference"/>
          <w:rFonts w:asciiTheme="majorBidi" w:hAnsiTheme="majorBidi"/>
          <w:i/>
          <w:iCs/>
        </w:rPr>
        <w:footnoteReference w:id="368"/>
      </w:r>
      <w:bookmarkEnd w:id="217"/>
    </w:p>
    <w:p w14:paraId="62D26A15"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w:t>
      </w:r>
      <w:r w:rsidRPr="00050DAE">
        <w:rPr>
          <w:rFonts w:asciiTheme="majorBidi" w:hAnsiTheme="majorBidi" w:cstheme="majorBidi"/>
          <w:sz w:val="24"/>
          <w:szCs w:val="24"/>
        </w:rPr>
        <w:br/>
        <w:t>Though you smote Litan the wriggling serpent,</w:t>
      </w:r>
      <w:r w:rsidRPr="00050DAE">
        <w:rPr>
          <w:rFonts w:asciiTheme="majorBidi" w:hAnsiTheme="majorBidi" w:cstheme="majorBidi"/>
          <w:sz w:val="24"/>
          <w:szCs w:val="24"/>
        </w:rPr>
        <w:br/>
        <w:t>finished off the writhing serpent,</w:t>
      </w:r>
      <w:r w:rsidRPr="00050DAE">
        <w:rPr>
          <w:rFonts w:asciiTheme="majorBidi" w:hAnsiTheme="majorBidi" w:cstheme="majorBidi"/>
          <w:sz w:val="24"/>
          <w:szCs w:val="24"/>
        </w:rPr>
        <w:br/>
        <w:t>Encircler-with-seven-heads,</w:t>
      </w:r>
      <w:r w:rsidRPr="00050DAE">
        <w:rPr>
          <w:rFonts w:asciiTheme="majorBidi" w:hAnsiTheme="majorBidi" w:cstheme="majorBidi"/>
          <w:sz w:val="24"/>
          <w:szCs w:val="24"/>
        </w:rPr>
        <w:br/>
        <w:t>the skies will be hot, they will shine-</w:t>
      </w:r>
    </w:p>
    <w:p w14:paraId="3D3C9B18"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1.5 5</w:t>
      </w:r>
      <w:r w:rsidRPr="00050DAE">
        <w:rPr>
          <w:rFonts w:asciiTheme="majorBidi" w:hAnsiTheme="majorBidi" w:cstheme="majorBidi"/>
          <w:sz w:val="24"/>
          <w:szCs w:val="24"/>
        </w:rPr>
        <w:br/>
        <w:t>when I tear you in pieces:</w:t>
      </w:r>
      <w:r w:rsidRPr="00050DAE">
        <w:rPr>
          <w:rFonts w:asciiTheme="majorBidi" w:hAnsiTheme="majorBidi" w:cstheme="majorBidi"/>
          <w:sz w:val="24"/>
          <w:szCs w:val="24"/>
        </w:rPr>
        <w:br/>
        <w:t>I shall devour (you).</w:t>
      </w:r>
      <w:r w:rsidRPr="00050DAE">
        <w:rPr>
          <w:rFonts w:asciiTheme="majorBidi" w:hAnsiTheme="majorBidi" w:cstheme="majorBidi"/>
          <w:sz w:val="24"/>
          <w:szCs w:val="24"/>
        </w:rPr>
        <w:br/>
        <w:t>elbows, blood and forearms:</w:t>
      </w:r>
      <w:r w:rsidRPr="00050DAE">
        <w:rPr>
          <w:rFonts w:asciiTheme="majorBidi" w:hAnsiTheme="majorBidi" w:cstheme="majorBidi"/>
          <w:sz w:val="24"/>
          <w:szCs w:val="24"/>
        </w:rPr>
        <w:br/>
        <w:t>You will indeed go down into the throat of divine Mot,</w:t>
      </w:r>
      <w:r w:rsidRPr="00050DAE">
        <w:rPr>
          <w:rFonts w:asciiTheme="majorBidi" w:hAnsiTheme="majorBidi" w:cstheme="majorBidi"/>
          <w:sz w:val="24"/>
          <w:szCs w:val="24"/>
        </w:rPr>
        <w:br/>
        <w:t>into the maw of the Beloved of El, the hero.</w:t>
      </w:r>
    </w:p>
    <w:p w14:paraId="5916BE09"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1.5 10</w:t>
      </w:r>
      <w:r w:rsidRPr="00050DAE">
        <w:rPr>
          <w:rFonts w:asciiTheme="majorBidi" w:hAnsiTheme="majorBidi" w:cstheme="majorBidi"/>
          <w:sz w:val="24"/>
          <w:szCs w:val="24"/>
        </w:rPr>
        <w:br/>
        <w:t>The gods departed and did not stay.</w:t>
      </w:r>
      <w:r w:rsidRPr="00050DAE">
        <w:rPr>
          <w:rFonts w:asciiTheme="majorBidi" w:hAnsiTheme="majorBidi" w:cstheme="majorBidi"/>
          <w:sz w:val="24"/>
          <w:szCs w:val="24"/>
        </w:rPr>
        <w:br/>
        <w:t>Thereupon they set their faces</w:t>
      </w:r>
      <w:r w:rsidRPr="00050DAE">
        <w:rPr>
          <w:rFonts w:asciiTheme="majorBidi" w:hAnsiTheme="majorBidi" w:cstheme="majorBidi"/>
          <w:sz w:val="24"/>
          <w:szCs w:val="24"/>
        </w:rPr>
        <w:br/>
        <w:t>towards the lord of the heights of Saphon,</w:t>
      </w:r>
      <w:r w:rsidRPr="00050DAE">
        <w:rPr>
          <w:rFonts w:asciiTheme="majorBidi" w:hAnsiTheme="majorBidi" w:cstheme="majorBidi"/>
          <w:sz w:val="24"/>
          <w:szCs w:val="24"/>
        </w:rPr>
        <w:br/>
        <w:t>and Gupan and Ugar said:</w:t>
      </w:r>
    </w:p>
    <w:p w14:paraId="588542B3"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1.5 15</w:t>
      </w:r>
      <w:r w:rsidRPr="00050DAE">
        <w:rPr>
          <w:rFonts w:asciiTheme="majorBidi" w:hAnsiTheme="majorBidi" w:cstheme="majorBidi"/>
          <w:sz w:val="24"/>
          <w:szCs w:val="24"/>
        </w:rPr>
        <w:br/>
        <w:t>“Message of divine Mot,</w:t>
      </w:r>
      <w:r w:rsidRPr="00050DAE">
        <w:rPr>
          <w:rFonts w:asciiTheme="majorBidi" w:hAnsiTheme="majorBidi" w:cstheme="majorBidi"/>
          <w:sz w:val="24"/>
          <w:szCs w:val="24"/>
        </w:rPr>
        <w:br/>
        <w:t>word of the Beloved of El, the hero:</w:t>
      </w:r>
      <w:r w:rsidRPr="00050DAE">
        <w:rPr>
          <w:rFonts w:asciiTheme="majorBidi" w:hAnsiTheme="majorBidi" w:cstheme="majorBidi"/>
          <w:sz w:val="24"/>
          <w:szCs w:val="24"/>
        </w:rPr>
        <w:br/>
        <w:t>“My appetite is the appetite of the lion in the wasteland,</w:t>
      </w:r>
      <w:r w:rsidRPr="00050DAE">
        <w:rPr>
          <w:rFonts w:asciiTheme="majorBidi" w:hAnsiTheme="majorBidi" w:cstheme="majorBidi"/>
          <w:sz w:val="24"/>
          <w:szCs w:val="24"/>
        </w:rPr>
        <w:br/>
        <w:t>as the desire of the shark is in the sea:</w:t>
      </w:r>
      <w:r w:rsidRPr="00050DAE">
        <w:rPr>
          <w:rFonts w:asciiTheme="majorBidi" w:hAnsiTheme="majorBidi" w:cstheme="majorBidi"/>
          <w:sz w:val="24"/>
          <w:szCs w:val="24"/>
        </w:rPr>
        <w:br/>
        <w:t>as wild bulls yearn for pools,</w:t>
      </w:r>
      <w:r w:rsidRPr="00050DAE">
        <w:rPr>
          <w:rFonts w:asciiTheme="majorBidi" w:hAnsiTheme="majorBidi" w:cstheme="majorBidi"/>
          <w:sz w:val="24"/>
          <w:szCs w:val="24"/>
        </w:rPr>
        <w:br/>
        <w:t>or the hind longs for the spring.</w:t>
      </w:r>
      <w:r w:rsidRPr="00050DAE">
        <w:rPr>
          <w:rFonts w:asciiTheme="majorBidi" w:hAnsiTheme="majorBidi" w:cstheme="majorBidi"/>
          <w:sz w:val="24"/>
          <w:szCs w:val="24"/>
        </w:rPr>
        <w:br/>
        <w:t>Look, in truth does my throat devour clay,</w:t>
      </w:r>
      <w:r w:rsidRPr="00050DAE">
        <w:rPr>
          <w:rFonts w:asciiTheme="majorBidi" w:hAnsiTheme="majorBidi" w:cstheme="majorBidi"/>
          <w:sz w:val="24"/>
          <w:szCs w:val="24"/>
        </w:rPr>
        <w:br/>
        <w:t>and with both my hands I devour them.</w:t>
      </w:r>
    </w:p>
    <w:p w14:paraId="0B5CA84B"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1.5 20</w:t>
      </w:r>
      <w:r w:rsidRPr="00050DAE">
        <w:rPr>
          <w:rFonts w:asciiTheme="majorBidi" w:hAnsiTheme="majorBidi" w:cstheme="majorBidi"/>
          <w:sz w:val="24"/>
          <w:szCs w:val="24"/>
        </w:rPr>
        <w:br/>
        <w:t>My seven portions are on the plate,</w:t>
      </w:r>
      <w:r w:rsidRPr="00050DAE">
        <w:rPr>
          <w:rFonts w:asciiTheme="majorBidi" w:hAnsiTheme="majorBidi" w:cstheme="majorBidi"/>
          <w:sz w:val="24"/>
          <w:szCs w:val="24"/>
        </w:rPr>
        <w:br/>
        <w:t>and Nahar has mixed my cup.</w:t>
      </w:r>
      <w:r w:rsidRPr="00050DAE">
        <w:rPr>
          <w:rFonts w:asciiTheme="majorBidi" w:hAnsiTheme="majorBidi" w:cstheme="majorBidi"/>
          <w:sz w:val="24"/>
          <w:szCs w:val="24"/>
        </w:rPr>
        <w:br/>
        <w:t>For Baal did not invite me with my brothers,</w:t>
      </w:r>
      <w:r w:rsidRPr="00050DAE">
        <w:rPr>
          <w:rFonts w:asciiTheme="majorBidi" w:hAnsiTheme="majorBidi" w:cstheme="majorBidi"/>
          <w:sz w:val="24"/>
          <w:szCs w:val="24"/>
        </w:rPr>
        <w:br/>
        <w:t>(nor) did Hadd summon me with my kinsmen,</w:t>
      </w:r>
      <w:r w:rsidRPr="00050DAE">
        <w:rPr>
          <w:rFonts w:asciiTheme="majorBidi" w:hAnsiTheme="majorBidi" w:cstheme="majorBidi"/>
          <w:sz w:val="24"/>
          <w:szCs w:val="24"/>
        </w:rPr>
        <w:br/>
        <w:t>but he ate food with my brothers,</w:t>
      </w:r>
      <w:r w:rsidRPr="00050DAE">
        <w:rPr>
          <w:rFonts w:asciiTheme="majorBidi" w:hAnsiTheme="majorBidi" w:cstheme="majorBidi"/>
          <w:sz w:val="24"/>
          <w:szCs w:val="24"/>
        </w:rPr>
        <w:br/>
        <w:t>and drank wine with my kinsmen!</w:t>
      </w:r>
      <w:r w:rsidRPr="00050DAE">
        <w:rPr>
          <w:rFonts w:asciiTheme="majorBidi" w:hAnsiTheme="majorBidi" w:cstheme="majorBidi"/>
          <w:sz w:val="24"/>
          <w:szCs w:val="24"/>
        </w:rPr>
        <w:br/>
        <w:t>But you forget, Baal, that I can indeed pierce you.</w:t>
      </w:r>
      <w:r w:rsidRPr="00050DAE">
        <w:rPr>
          <w:rFonts w:asciiTheme="majorBidi" w:hAnsiTheme="majorBidi" w:cstheme="majorBidi"/>
          <w:sz w:val="24"/>
          <w:szCs w:val="24"/>
        </w:rPr>
        <w:br/>
        <w:t>[ . ]</w:t>
      </w:r>
    </w:p>
    <w:p w14:paraId="7CB101DC"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II</w:t>
      </w:r>
      <w:r w:rsidRPr="00050DAE">
        <w:rPr>
          <w:rFonts w:asciiTheme="majorBidi" w:hAnsiTheme="majorBidi" w:cstheme="majorBidi"/>
          <w:sz w:val="24"/>
          <w:szCs w:val="24"/>
        </w:rPr>
        <w:br/>
        <w:t>Though you smote [Litan the wr]iggling [serpent],</w:t>
      </w:r>
      <w:r w:rsidRPr="00050DAE">
        <w:rPr>
          <w:rFonts w:asciiTheme="majorBidi" w:hAnsiTheme="majorBidi" w:cstheme="majorBidi"/>
          <w:sz w:val="24"/>
          <w:szCs w:val="24"/>
        </w:rPr>
        <w:br/>
        <w:t>finished off [the writhing serpent],</w:t>
      </w:r>
      <w:r w:rsidRPr="00050DAE">
        <w:rPr>
          <w:rFonts w:asciiTheme="majorBidi" w:hAnsiTheme="majorBidi" w:cstheme="majorBidi"/>
          <w:sz w:val="24"/>
          <w:szCs w:val="24"/>
        </w:rPr>
        <w:br/>
        <w:t>Encircler-[with-seven-heads],</w:t>
      </w:r>
      <w:r w:rsidRPr="00050DAE">
        <w:rPr>
          <w:rFonts w:asciiTheme="majorBidi" w:hAnsiTheme="majorBidi" w:cstheme="majorBidi"/>
          <w:sz w:val="24"/>
          <w:szCs w:val="24"/>
        </w:rPr>
        <w:br/>
        <w:t>[the heavens] will be hot, [they will shine]</w:t>
      </w:r>
    </w:p>
    <w:p w14:paraId="2DA1531A"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II 30</w:t>
      </w:r>
      <w:r w:rsidRPr="00050DAE">
        <w:rPr>
          <w:rFonts w:asciiTheme="majorBidi" w:hAnsiTheme="majorBidi" w:cstheme="majorBidi"/>
          <w:sz w:val="24"/>
          <w:szCs w:val="24"/>
        </w:rPr>
        <w:br/>
        <w:t>[when I tear you in pieces],</w:t>
      </w:r>
      <w:r w:rsidRPr="00050DAE">
        <w:rPr>
          <w:rFonts w:asciiTheme="majorBidi" w:hAnsiTheme="majorBidi" w:cstheme="majorBidi"/>
          <w:sz w:val="24"/>
          <w:szCs w:val="24"/>
        </w:rPr>
        <w:br/>
        <w:t>[I shall devour (you)],</w:t>
      </w:r>
      <w:r w:rsidRPr="00050DAE">
        <w:rPr>
          <w:rFonts w:asciiTheme="majorBidi" w:hAnsiTheme="majorBidi" w:cstheme="majorBidi"/>
          <w:sz w:val="24"/>
          <w:szCs w:val="24"/>
        </w:rPr>
        <w:br/>
        <w:t>[thighs, blood and forearms:]</w:t>
      </w:r>
      <w:r w:rsidRPr="00050DAE">
        <w:rPr>
          <w:rFonts w:asciiTheme="majorBidi" w:hAnsiTheme="majorBidi" w:cstheme="majorBidi"/>
          <w:sz w:val="24"/>
          <w:szCs w:val="24"/>
        </w:rPr>
        <w:br/>
        <w:t>[you will indeed go down into the throat of divine Mot,]</w:t>
      </w:r>
      <w:r w:rsidRPr="00050DAE">
        <w:rPr>
          <w:rFonts w:asciiTheme="majorBidi" w:hAnsiTheme="majorBidi" w:cstheme="majorBidi"/>
          <w:sz w:val="24"/>
          <w:szCs w:val="24"/>
        </w:rPr>
        <w:br/>
        <w:t>[into the maw of the Beloved of El, the hero.]</w:t>
      </w:r>
      <w:r w:rsidRPr="00050DAE">
        <w:rPr>
          <w:rFonts w:asciiTheme="majorBidi" w:hAnsiTheme="majorBidi" w:cstheme="majorBidi"/>
          <w:sz w:val="24"/>
          <w:szCs w:val="24"/>
        </w:rPr>
        <w:br/>
        <w:t>(12 vv. missing)</w:t>
      </w:r>
    </w:p>
    <w:p w14:paraId="20FDE1CA"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II</w:t>
      </w:r>
      <w:r w:rsidRPr="00050DAE">
        <w:rPr>
          <w:rFonts w:asciiTheme="majorBidi" w:hAnsiTheme="majorBidi" w:cstheme="majorBidi"/>
          <w:sz w:val="24"/>
          <w:szCs w:val="24"/>
        </w:rPr>
        <w:br/>
        <w:t>[He extends] a lip to the ea[r]th,</w:t>
      </w:r>
      <w:r w:rsidRPr="00050DAE">
        <w:rPr>
          <w:rFonts w:asciiTheme="majorBidi" w:hAnsiTheme="majorBidi" w:cstheme="majorBidi"/>
          <w:sz w:val="24"/>
          <w:szCs w:val="24"/>
        </w:rPr>
        <w:br/>
        <w:t>a lip to the heavens,</w:t>
      </w:r>
      <w:r w:rsidRPr="00050DAE">
        <w:rPr>
          <w:rFonts w:asciiTheme="majorBidi" w:hAnsiTheme="majorBidi" w:cstheme="majorBidi"/>
          <w:sz w:val="24"/>
          <w:szCs w:val="24"/>
        </w:rPr>
        <w:br/>
        <w:t>[he extends] a tongue to the stars,</w:t>
      </w:r>
      <w:r w:rsidRPr="00050DAE">
        <w:rPr>
          <w:rFonts w:asciiTheme="majorBidi" w:hAnsiTheme="majorBidi" w:cstheme="majorBidi"/>
          <w:sz w:val="24"/>
          <w:szCs w:val="24"/>
        </w:rPr>
        <w:br/>
        <w:t>[Ba]al must enter his belly,</w:t>
      </w:r>
      <w:r w:rsidRPr="00050DAE">
        <w:rPr>
          <w:rFonts w:asciiTheme="majorBidi" w:hAnsiTheme="majorBidi" w:cstheme="majorBidi"/>
          <w:sz w:val="24"/>
          <w:szCs w:val="24"/>
        </w:rPr>
        <w:br/>
        <w:t>down into his mouth he must go,</w:t>
      </w:r>
      <w:r w:rsidRPr="00050DAE">
        <w:rPr>
          <w:rFonts w:asciiTheme="majorBidi" w:hAnsiTheme="majorBidi" w:cstheme="majorBidi"/>
          <w:sz w:val="24"/>
          <w:szCs w:val="24"/>
        </w:rPr>
        <w:br/>
        <w:t>since he scorched the olive,</w:t>
      </w:r>
      <w:r w:rsidRPr="00050DAE">
        <w:rPr>
          <w:rFonts w:asciiTheme="majorBidi" w:hAnsiTheme="majorBidi" w:cstheme="majorBidi"/>
          <w:sz w:val="24"/>
          <w:szCs w:val="24"/>
        </w:rPr>
        <w:br/>
        <w:t>the produce of the earth,</w:t>
      </w:r>
      <w:r w:rsidRPr="00050DAE">
        <w:rPr>
          <w:rFonts w:asciiTheme="majorBidi" w:hAnsiTheme="majorBidi" w:cstheme="majorBidi"/>
          <w:sz w:val="24"/>
          <w:szCs w:val="24"/>
        </w:rPr>
        <w:br/>
        <w:t>and the fruit of the tree,</w:t>
      </w:r>
      <w:r w:rsidRPr="00050DAE">
        <w:rPr>
          <w:rFonts w:asciiTheme="majorBidi" w:hAnsiTheme="majorBidi" w:cstheme="majorBidi"/>
          <w:sz w:val="24"/>
          <w:szCs w:val="24"/>
        </w:rPr>
        <w:br/>
        <w:t>Valiant Baal was afraid of him:</w:t>
      </w:r>
      <w:r w:rsidRPr="00050DAE">
        <w:rPr>
          <w:rFonts w:asciiTheme="majorBidi" w:hAnsiTheme="majorBidi" w:cstheme="majorBidi"/>
          <w:sz w:val="24"/>
          <w:szCs w:val="24"/>
        </w:rPr>
        <w:br/>
        <w:t>Valiant Warrior was in dread of him.</w:t>
      </w:r>
    </w:p>
    <w:p w14:paraId="46CBD7F3"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II 10</w:t>
      </w:r>
      <w:r w:rsidRPr="00050DAE">
        <w:rPr>
          <w:rFonts w:asciiTheme="majorBidi" w:hAnsiTheme="majorBidi" w:cstheme="majorBidi"/>
          <w:sz w:val="24"/>
          <w:szCs w:val="24"/>
        </w:rPr>
        <w:br/>
        <w:t>“Depart,” said to divine Mot,</w:t>
      </w:r>
      <w:r w:rsidRPr="00050DAE">
        <w:rPr>
          <w:rFonts w:asciiTheme="majorBidi" w:hAnsiTheme="majorBidi" w:cstheme="majorBidi"/>
          <w:sz w:val="24"/>
          <w:szCs w:val="24"/>
        </w:rPr>
        <w:br/>
        <w:t>declare to the Beloved of El, the hero:</w:t>
      </w:r>
      <w:r w:rsidRPr="00050DAE">
        <w:rPr>
          <w:rFonts w:asciiTheme="majorBidi" w:hAnsiTheme="majorBidi" w:cstheme="majorBidi"/>
          <w:sz w:val="24"/>
          <w:szCs w:val="24"/>
        </w:rPr>
        <w:br/>
        <w:t>“Message of Valiant Baal,</w:t>
      </w:r>
      <w:r w:rsidRPr="00050DAE">
        <w:rPr>
          <w:rFonts w:asciiTheme="majorBidi" w:hAnsiTheme="majorBidi" w:cstheme="majorBidi"/>
          <w:sz w:val="24"/>
          <w:szCs w:val="24"/>
        </w:rPr>
        <w:br/>
        <w:t>word of Valiant Warrior:</w:t>
      </w:r>
      <w:r w:rsidRPr="00050DAE">
        <w:rPr>
          <w:rFonts w:asciiTheme="majorBidi" w:hAnsiTheme="majorBidi" w:cstheme="majorBidi"/>
          <w:sz w:val="24"/>
          <w:szCs w:val="24"/>
        </w:rPr>
        <w:br/>
        <w:t>Greetings, O divine Mot,</w:t>
      </w:r>
      <w:r w:rsidRPr="00050DAE">
        <w:rPr>
          <w:rFonts w:asciiTheme="majorBidi" w:hAnsiTheme="majorBidi" w:cstheme="majorBidi"/>
          <w:sz w:val="24"/>
          <w:szCs w:val="24"/>
        </w:rPr>
        <w:br/>
        <w:t>your servant am I, and forever so”.</w:t>
      </w:r>
      <w:r w:rsidRPr="00050DAE">
        <w:rPr>
          <w:rFonts w:asciiTheme="majorBidi" w:hAnsiTheme="majorBidi" w:cstheme="majorBidi"/>
          <w:sz w:val="24"/>
          <w:szCs w:val="24"/>
        </w:rPr>
        <w:br/>
        <w:t>The gods departed and did not stay.</w:t>
      </w:r>
      <w:r w:rsidRPr="00050DAE">
        <w:rPr>
          <w:rFonts w:asciiTheme="majorBidi" w:hAnsiTheme="majorBidi" w:cstheme="majorBidi"/>
          <w:sz w:val="24"/>
          <w:szCs w:val="24"/>
        </w:rPr>
        <w:br/>
        <w:t>Then</w:t>
      </w:r>
      <w:r w:rsidRPr="00050DAE">
        <w:rPr>
          <w:rFonts w:asciiTheme="majorBidi" w:hAnsiTheme="majorBidi" w:cstheme="majorBidi"/>
          <w:sz w:val="24"/>
          <w:szCs w:val="24"/>
        </w:rPr>
        <w:br/>
        <w:t>they set their faces</w:t>
      </w:r>
      <w:r w:rsidRPr="00050DAE">
        <w:rPr>
          <w:rFonts w:asciiTheme="majorBidi" w:hAnsiTheme="majorBidi" w:cstheme="majorBidi"/>
          <w:sz w:val="24"/>
          <w:szCs w:val="24"/>
        </w:rPr>
        <w:br/>
        <w:t>towards divine Mot,</w:t>
      </w:r>
    </w:p>
    <w:p w14:paraId="15286FC1"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II 15</w:t>
      </w:r>
      <w:r w:rsidRPr="00050DAE">
        <w:rPr>
          <w:rFonts w:asciiTheme="majorBidi" w:hAnsiTheme="majorBidi" w:cstheme="majorBidi"/>
          <w:sz w:val="24"/>
          <w:szCs w:val="24"/>
        </w:rPr>
        <w:br/>
        <w:t>towards his city Muddy,</w:t>
      </w:r>
      <w:r w:rsidRPr="00050DAE">
        <w:rPr>
          <w:rFonts w:asciiTheme="majorBidi" w:hAnsiTheme="majorBidi" w:cstheme="majorBidi"/>
          <w:sz w:val="24"/>
          <w:szCs w:val="24"/>
        </w:rPr>
        <w:br/>
        <w:t>a pit the seat of [his] enthronement,</w:t>
      </w:r>
      <w:r w:rsidRPr="00050DAE">
        <w:rPr>
          <w:rFonts w:asciiTheme="majorBidi" w:hAnsiTheme="majorBidi" w:cstheme="majorBidi"/>
          <w:sz w:val="24"/>
          <w:szCs w:val="24"/>
        </w:rPr>
        <w:br/>
        <w:t>a crevice the land of his inheritance.</w:t>
      </w:r>
      <w:r w:rsidRPr="00050DAE">
        <w:rPr>
          <w:rFonts w:asciiTheme="majorBidi" w:hAnsiTheme="majorBidi" w:cstheme="majorBidi"/>
          <w:sz w:val="24"/>
          <w:szCs w:val="24"/>
        </w:rPr>
        <w:br/>
        <w:t>They lifted up their voices and cried:</w:t>
      </w:r>
      <w:r w:rsidRPr="00050DAE">
        <w:rPr>
          <w:rFonts w:asciiTheme="majorBidi" w:hAnsiTheme="majorBidi" w:cstheme="majorBidi"/>
          <w:sz w:val="24"/>
          <w:szCs w:val="24"/>
        </w:rPr>
        <w:br/>
        <w:t>“Message of Valiant Baal,</w:t>
      </w:r>
      <w:r w:rsidRPr="00050DAE">
        <w:rPr>
          <w:rFonts w:asciiTheme="majorBidi" w:hAnsiTheme="majorBidi" w:cstheme="majorBidi"/>
          <w:sz w:val="24"/>
          <w:szCs w:val="24"/>
        </w:rPr>
        <w:br/>
        <w:t>word of Valiant Warrior:</w:t>
      </w:r>
      <w:r w:rsidRPr="00050DAE">
        <w:rPr>
          <w:rFonts w:asciiTheme="majorBidi" w:hAnsiTheme="majorBidi" w:cstheme="majorBidi"/>
          <w:sz w:val="24"/>
          <w:szCs w:val="24"/>
        </w:rPr>
        <w:br/>
        <w:t>“Greetings, O divine Mot,</w:t>
      </w:r>
      <w:r w:rsidRPr="00050DAE">
        <w:rPr>
          <w:rFonts w:asciiTheme="majorBidi" w:hAnsiTheme="majorBidi" w:cstheme="majorBidi"/>
          <w:sz w:val="24"/>
          <w:szCs w:val="24"/>
        </w:rPr>
        <w:br/>
        <w:t>your servant am I, and forever so”.</w:t>
      </w:r>
      <w:r w:rsidRPr="00050DAE">
        <w:rPr>
          <w:rFonts w:asciiTheme="majorBidi" w:hAnsiTheme="majorBidi" w:cstheme="majorBidi"/>
          <w:sz w:val="24"/>
          <w:szCs w:val="24"/>
        </w:rPr>
        <w:br/>
        <w:t>Divine Mot rejoiced,</w:t>
      </w:r>
      <w:r w:rsidRPr="00050DAE">
        <w:rPr>
          <w:rFonts w:asciiTheme="majorBidi" w:hAnsiTheme="majorBidi" w:cstheme="majorBidi"/>
          <w:sz w:val="24"/>
          <w:szCs w:val="24"/>
        </w:rPr>
        <w:br/>
        <w:t>[he lifted up] his voice and cried:</w:t>
      </w:r>
      <w:r w:rsidRPr="00050DAE">
        <w:rPr>
          <w:rFonts w:asciiTheme="majorBidi" w:hAnsiTheme="majorBidi" w:cstheme="majorBidi"/>
          <w:sz w:val="24"/>
          <w:szCs w:val="24"/>
        </w:rPr>
        <w:br/>
        <w:t>“Why, has [Baal] invited me [with my brothers],</w:t>
      </w:r>
      <w:r w:rsidRPr="00050DAE">
        <w:rPr>
          <w:rFonts w:asciiTheme="majorBidi" w:hAnsiTheme="majorBidi" w:cstheme="majorBidi"/>
          <w:sz w:val="24"/>
          <w:szCs w:val="24"/>
        </w:rPr>
        <w:br/>
        <w:t>has Hadd summoned me [with my kinsmen]?”</w:t>
      </w:r>
    </w:p>
    <w:p w14:paraId="4B53F6DC"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IV</w:t>
      </w:r>
      <w:r w:rsidRPr="00050DAE">
        <w:rPr>
          <w:rFonts w:asciiTheme="majorBidi" w:hAnsiTheme="majorBidi" w:cstheme="majorBidi"/>
          <w:sz w:val="24"/>
          <w:szCs w:val="24"/>
        </w:rPr>
        <w:br/>
        <w:t>(4 unintelligible vv.)</w:t>
      </w:r>
      <w:r w:rsidRPr="00050DAE">
        <w:rPr>
          <w:rFonts w:asciiTheme="majorBidi" w:hAnsiTheme="majorBidi" w:cstheme="majorBidi"/>
          <w:sz w:val="24"/>
          <w:szCs w:val="24"/>
        </w:rPr>
        <w:br/>
        <w:t>He lifted up his voice [and cried]:</w:t>
      </w:r>
      <w:r w:rsidRPr="00050DAE">
        <w:rPr>
          <w:rFonts w:asciiTheme="majorBidi" w:hAnsiTheme="majorBidi" w:cstheme="majorBidi"/>
          <w:sz w:val="24"/>
          <w:szCs w:val="24"/>
        </w:rPr>
        <w:br/>
        <w:t>“Now where is Baa[l],</w:t>
      </w:r>
      <w:r w:rsidRPr="00050DAE">
        <w:rPr>
          <w:rFonts w:asciiTheme="majorBidi" w:hAnsiTheme="majorBidi" w:cstheme="majorBidi"/>
          <w:sz w:val="24"/>
          <w:szCs w:val="24"/>
        </w:rPr>
        <w:br/>
        <w:t>where is Hadd, who [ ]?”</w:t>
      </w:r>
      <w:r w:rsidRPr="00050DAE">
        <w:rPr>
          <w:rFonts w:asciiTheme="majorBidi" w:hAnsiTheme="majorBidi" w:cstheme="majorBidi"/>
          <w:sz w:val="24"/>
          <w:szCs w:val="24"/>
        </w:rPr>
        <w:br/>
        <w:t>Baal appeared [with his seven divine assistants],</w:t>
      </w:r>
      <w:r w:rsidRPr="00050DAE">
        <w:rPr>
          <w:rFonts w:asciiTheme="majorBidi" w:hAnsiTheme="majorBidi" w:cstheme="majorBidi"/>
          <w:sz w:val="24"/>
          <w:szCs w:val="24"/>
        </w:rPr>
        <w:br/>
        <w:t>with his eight [boars].</w:t>
      </w:r>
    </w:p>
    <w:p w14:paraId="6F323527"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IV 10</w:t>
      </w:r>
      <w:r w:rsidRPr="00050DAE">
        <w:rPr>
          <w:rFonts w:asciiTheme="majorBidi" w:hAnsiTheme="majorBidi" w:cstheme="majorBidi"/>
          <w:sz w:val="24"/>
          <w:szCs w:val="24"/>
        </w:rPr>
        <w:br/>
        <w:t>He drew near [ ]</w:t>
      </w:r>
      <w:r w:rsidRPr="00050DAE">
        <w:rPr>
          <w:rFonts w:asciiTheme="majorBidi" w:hAnsiTheme="majorBidi" w:cstheme="majorBidi"/>
          <w:sz w:val="24"/>
          <w:szCs w:val="24"/>
        </w:rPr>
        <w:br/>
        <w:t>to eat [ ]</w:t>
      </w:r>
      <w:r w:rsidRPr="00050DAE">
        <w:rPr>
          <w:rFonts w:asciiTheme="majorBidi" w:hAnsiTheme="majorBidi" w:cstheme="majorBidi"/>
          <w:sz w:val="24"/>
          <w:szCs w:val="24"/>
        </w:rPr>
        <w:br/>
        <w:t>While [the gods] ate [and drank],</w:t>
      </w:r>
      <w:r w:rsidRPr="00050DAE">
        <w:rPr>
          <w:rFonts w:asciiTheme="majorBidi" w:hAnsiTheme="majorBidi" w:cstheme="majorBidi"/>
          <w:sz w:val="24"/>
          <w:szCs w:val="24"/>
        </w:rPr>
        <w:br/>
        <w:t>the [gods] were served with suck[ling animals],</w:t>
      </w:r>
      <w:r w:rsidRPr="00050DAE">
        <w:rPr>
          <w:rFonts w:asciiTheme="majorBidi" w:hAnsiTheme="majorBidi" w:cstheme="majorBidi"/>
          <w:sz w:val="24"/>
          <w:szCs w:val="24"/>
        </w:rPr>
        <w:br/>
        <w:t>with [a jaw-shaped] knife [fillets of fatling].</w:t>
      </w:r>
      <w:r w:rsidRPr="00050DAE">
        <w:rPr>
          <w:rFonts w:asciiTheme="majorBidi" w:hAnsiTheme="majorBidi" w:cstheme="majorBidi"/>
          <w:sz w:val="24"/>
          <w:szCs w:val="24"/>
        </w:rPr>
        <w:br/>
        <w:t>They drank gob[lets of wine],</w:t>
      </w:r>
      <w:r w:rsidRPr="00050DAE">
        <w:rPr>
          <w:rFonts w:asciiTheme="majorBidi" w:hAnsiTheme="majorBidi" w:cstheme="majorBidi"/>
          <w:sz w:val="24"/>
          <w:szCs w:val="24"/>
        </w:rPr>
        <w:br/>
        <w:t>from cups of gol[d the juice of grapes],</w:t>
      </w:r>
      <w:r w:rsidRPr="00050DAE">
        <w:rPr>
          <w:rFonts w:asciiTheme="majorBidi" w:hAnsiTheme="majorBidi" w:cstheme="majorBidi"/>
          <w:sz w:val="24"/>
          <w:szCs w:val="24"/>
        </w:rPr>
        <w:br/>
        <w:t>Cups of silver [ ],</w:t>
      </w:r>
      <w:r w:rsidRPr="00050DAE">
        <w:rPr>
          <w:rFonts w:asciiTheme="majorBidi" w:hAnsiTheme="majorBidi" w:cstheme="majorBidi"/>
          <w:sz w:val="24"/>
          <w:szCs w:val="24"/>
        </w:rPr>
        <w:br/>
        <w:t>goblets [of gold ]</w:t>
      </w:r>
    </w:p>
    <w:p w14:paraId="742E1433"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V</w:t>
      </w:r>
      <w:r w:rsidRPr="00050DAE">
        <w:rPr>
          <w:rFonts w:asciiTheme="majorBidi" w:hAnsiTheme="majorBidi" w:cstheme="majorBidi"/>
          <w:sz w:val="24"/>
          <w:szCs w:val="24"/>
        </w:rPr>
        <w:br/>
        <w:t>(about 25 vv. missing)</w:t>
      </w:r>
      <w:r w:rsidRPr="00050DAE">
        <w:rPr>
          <w:rFonts w:asciiTheme="majorBidi" w:hAnsiTheme="majorBidi" w:cstheme="majorBidi"/>
          <w:sz w:val="24"/>
          <w:szCs w:val="24"/>
        </w:rPr>
        <w:br/>
        <w:t>[Baal ] your torch</w:t>
      </w:r>
      <w:r w:rsidRPr="00050DAE">
        <w:rPr>
          <w:rFonts w:asciiTheme="majorBidi" w:hAnsiTheme="majorBidi" w:cstheme="majorBidi"/>
          <w:sz w:val="24"/>
          <w:szCs w:val="24"/>
        </w:rPr>
        <w:br/>
        <w:t>] your right hand</w:t>
      </w:r>
      <w:r w:rsidRPr="00050DAE">
        <w:rPr>
          <w:rFonts w:asciiTheme="majorBidi" w:hAnsiTheme="majorBidi" w:cstheme="majorBidi"/>
          <w:sz w:val="24"/>
          <w:szCs w:val="24"/>
        </w:rPr>
        <w:br/>
        <w:t>] your [so]n [will have] the appetite of a bull-calf.</w:t>
      </w:r>
      <w:r w:rsidRPr="00050DAE">
        <w:rPr>
          <w:rFonts w:asciiTheme="majorBidi" w:hAnsiTheme="majorBidi" w:cstheme="majorBidi"/>
          <w:sz w:val="24"/>
          <w:szCs w:val="24"/>
        </w:rPr>
        <w:br/>
        <w:t>I shall place him in a hole of the earth-gods.</w:t>
      </w:r>
      <w:r w:rsidRPr="00050DAE">
        <w:rPr>
          <w:rFonts w:asciiTheme="majorBidi" w:hAnsiTheme="majorBidi" w:cstheme="majorBidi"/>
          <w:sz w:val="24"/>
          <w:szCs w:val="24"/>
        </w:rPr>
        <w:br/>
        <w:t>As for you,</w:t>
      </w:r>
      <w:r w:rsidRPr="00050DAE">
        <w:rPr>
          <w:rFonts w:asciiTheme="majorBidi" w:hAnsiTheme="majorBidi" w:cstheme="majorBidi"/>
          <w:sz w:val="24"/>
          <w:szCs w:val="24"/>
        </w:rPr>
        <w:br/>
        <w:t>take your clouds,</w:t>
      </w:r>
      <w:r w:rsidRPr="00050DAE">
        <w:rPr>
          <w:rFonts w:asciiTheme="majorBidi" w:hAnsiTheme="majorBidi" w:cstheme="majorBidi"/>
          <w:sz w:val="24"/>
          <w:szCs w:val="24"/>
        </w:rPr>
        <w:br/>
        <w:t>your winds, your lightnings, your rains,</w:t>
      </w:r>
      <w:r w:rsidRPr="00050DAE">
        <w:rPr>
          <w:rFonts w:asciiTheme="majorBidi" w:hAnsiTheme="majorBidi" w:cstheme="majorBidi"/>
          <w:sz w:val="24"/>
          <w:szCs w:val="24"/>
        </w:rPr>
        <w:br/>
        <w:t>(take) with you your seven divine assistants,</w:t>
      </w:r>
      <w:r w:rsidRPr="00050DAE">
        <w:rPr>
          <w:rFonts w:asciiTheme="majorBidi" w:hAnsiTheme="majorBidi" w:cstheme="majorBidi"/>
          <w:sz w:val="24"/>
          <w:szCs w:val="24"/>
        </w:rPr>
        <w:br/>
        <w:t>your eight boars,</w:t>
      </w:r>
    </w:p>
    <w:p w14:paraId="26C9CC42"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V 10</w:t>
      </w:r>
      <w:r w:rsidRPr="00050DAE">
        <w:rPr>
          <w:rFonts w:asciiTheme="majorBidi" w:hAnsiTheme="majorBidi" w:cstheme="majorBidi"/>
          <w:sz w:val="24"/>
          <w:szCs w:val="24"/>
        </w:rPr>
        <w:br/>
        <w:t>(take) with you Pidray, daughter of Light,</w:t>
      </w:r>
      <w:r w:rsidRPr="00050DAE">
        <w:rPr>
          <w:rFonts w:asciiTheme="majorBidi" w:hAnsiTheme="majorBidi" w:cstheme="majorBidi"/>
          <w:sz w:val="24"/>
          <w:szCs w:val="24"/>
        </w:rPr>
        <w:br/>
        <w:t>(take) with you Taliy, daughter of Shower:</w:t>
      </w:r>
      <w:r w:rsidRPr="00050DAE">
        <w:rPr>
          <w:rFonts w:asciiTheme="majorBidi" w:hAnsiTheme="majorBidi" w:cstheme="majorBidi"/>
          <w:sz w:val="24"/>
          <w:szCs w:val="24"/>
        </w:rPr>
        <w:br/>
        <w:t>then set your face towards the mountain of my gullet.</w:t>
      </w:r>
      <w:r w:rsidRPr="00050DAE">
        <w:rPr>
          <w:rFonts w:asciiTheme="majorBidi" w:hAnsiTheme="majorBidi" w:cstheme="majorBidi"/>
          <w:sz w:val="24"/>
          <w:szCs w:val="24"/>
        </w:rPr>
        <w:br/>
        <w:t>Raise the mountain on your hands,</w:t>
      </w:r>
      <w:r w:rsidRPr="00050DAE">
        <w:rPr>
          <w:rFonts w:asciiTheme="majorBidi" w:hAnsiTheme="majorBidi" w:cstheme="majorBidi"/>
          <w:sz w:val="24"/>
          <w:szCs w:val="24"/>
        </w:rPr>
        <w:br/>
        <w:t>the hill on top of your palms,</w:t>
      </w:r>
      <w:r w:rsidRPr="00050DAE">
        <w:rPr>
          <w:rFonts w:asciiTheme="majorBidi" w:hAnsiTheme="majorBidi" w:cstheme="majorBidi"/>
          <w:sz w:val="24"/>
          <w:szCs w:val="24"/>
        </w:rPr>
        <w:br/>
        <w:t>and go down into the house of the couch of the earth,</w:t>
      </w:r>
      <w:r w:rsidRPr="00050DAE">
        <w:rPr>
          <w:rFonts w:asciiTheme="majorBidi" w:hAnsiTheme="majorBidi" w:cstheme="majorBidi"/>
          <w:sz w:val="24"/>
          <w:szCs w:val="24"/>
        </w:rPr>
        <w:br/>
        <w:t>be numbered among those who go down into the earth.</w:t>
      </w:r>
      <w:r w:rsidRPr="00050DAE">
        <w:rPr>
          <w:rFonts w:asciiTheme="majorBidi" w:hAnsiTheme="majorBidi" w:cstheme="majorBidi"/>
          <w:sz w:val="24"/>
          <w:szCs w:val="24"/>
        </w:rPr>
        <w:br/>
        <w:t>And you will know, god, that you are mortal.”</w:t>
      </w:r>
      <w:r w:rsidRPr="00050DAE">
        <w:rPr>
          <w:rFonts w:asciiTheme="majorBidi" w:hAnsiTheme="majorBidi" w:cstheme="majorBidi"/>
          <w:sz w:val="24"/>
          <w:szCs w:val="24"/>
        </w:rPr>
        <w:br/>
        <w:t>Valiant Baal obeyed.</w:t>
      </w:r>
      <w:r w:rsidRPr="00050DAE">
        <w:rPr>
          <w:rFonts w:asciiTheme="majorBidi" w:hAnsiTheme="majorBidi" w:cstheme="majorBidi"/>
          <w:sz w:val="24"/>
          <w:szCs w:val="24"/>
        </w:rPr>
        <w:br/>
        <w:t>He loved a heifer in the pasture land,</w:t>
      </w:r>
      <w:r w:rsidRPr="00050DAE">
        <w:rPr>
          <w:rFonts w:asciiTheme="majorBidi" w:hAnsiTheme="majorBidi" w:cstheme="majorBidi"/>
          <w:sz w:val="24"/>
          <w:szCs w:val="24"/>
        </w:rPr>
        <w:br/>
        <w:t>a cow in the steppe by the shore of death.</w:t>
      </w:r>
    </w:p>
    <w:p w14:paraId="26ADD0D3"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V 20</w:t>
      </w:r>
      <w:r w:rsidRPr="00050DAE">
        <w:rPr>
          <w:rFonts w:asciiTheme="majorBidi" w:hAnsiTheme="majorBidi" w:cstheme="majorBidi"/>
          <w:sz w:val="24"/>
          <w:szCs w:val="24"/>
        </w:rPr>
        <w:br/>
        <w:t>He lay with her seventy-seven times,</w:t>
      </w:r>
      <w:r w:rsidRPr="00050DAE">
        <w:rPr>
          <w:rFonts w:asciiTheme="majorBidi" w:hAnsiTheme="majorBidi" w:cstheme="majorBidi"/>
          <w:sz w:val="24"/>
          <w:szCs w:val="24"/>
        </w:rPr>
        <w:br/>
        <w:t>she made him mount eighty-eight times.</w:t>
      </w:r>
      <w:r w:rsidRPr="00050DAE">
        <w:rPr>
          <w:rFonts w:asciiTheme="majorBidi" w:hAnsiTheme="majorBidi" w:cstheme="majorBidi"/>
          <w:sz w:val="24"/>
          <w:szCs w:val="24"/>
        </w:rPr>
        <w:br/>
        <w:t>And he impregnated her and she bore a young male.</w:t>
      </w:r>
      <w:r w:rsidRPr="00050DAE">
        <w:rPr>
          <w:rFonts w:asciiTheme="majorBidi" w:hAnsiTheme="majorBidi" w:cstheme="majorBidi"/>
          <w:sz w:val="24"/>
          <w:szCs w:val="24"/>
        </w:rPr>
        <w:br/>
        <w:t>Valiant Baal caused him to be clothed.</w:t>
      </w:r>
      <w:r w:rsidRPr="00050DAE">
        <w:rPr>
          <w:rFonts w:asciiTheme="majorBidi" w:hAnsiTheme="majorBidi" w:cstheme="majorBidi"/>
          <w:sz w:val="24"/>
          <w:szCs w:val="24"/>
        </w:rPr>
        <w:br/>
        <w:t>(3 illegible vv., followed by about 11 missing ones)</w:t>
      </w:r>
    </w:p>
    <w:p w14:paraId="7531081D"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VI</w:t>
      </w:r>
      <w:r w:rsidRPr="00050DAE">
        <w:rPr>
          <w:rFonts w:asciiTheme="majorBidi" w:hAnsiTheme="majorBidi" w:cstheme="majorBidi"/>
          <w:sz w:val="24"/>
          <w:szCs w:val="24"/>
        </w:rPr>
        <w:br/>
        <w:t>(about 30 vv. missing, containing:)</w:t>
      </w:r>
      <w:r w:rsidRPr="00050DAE">
        <w:rPr>
          <w:rFonts w:asciiTheme="majorBidi" w:hAnsiTheme="majorBidi" w:cstheme="majorBidi"/>
          <w:sz w:val="24"/>
          <w:szCs w:val="24"/>
        </w:rPr>
        <w:br/>
        <w:t>[Then they set their faces indeed]</w:t>
      </w:r>
      <w:r w:rsidRPr="00050DAE">
        <w:rPr>
          <w:rFonts w:asciiTheme="majorBidi" w:hAnsiTheme="majorBidi" w:cstheme="majorBidi"/>
          <w:sz w:val="24"/>
          <w:szCs w:val="24"/>
        </w:rPr>
        <w:br/>
        <w:t>[towards El at the source of the rivers,]</w:t>
      </w:r>
      <w:r w:rsidRPr="00050DAE">
        <w:rPr>
          <w:rFonts w:asciiTheme="majorBidi" w:hAnsiTheme="majorBidi" w:cstheme="majorBidi"/>
          <w:sz w:val="24"/>
          <w:szCs w:val="24"/>
        </w:rPr>
        <w:br/>
        <w:t>[at the midst of the springs of the two deeps.]</w:t>
      </w:r>
      <w:r w:rsidRPr="00050DAE">
        <w:rPr>
          <w:rFonts w:asciiTheme="majorBidi" w:hAnsiTheme="majorBidi" w:cstheme="majorBidi"/>
          <w:sz w:val="24"/>
          <w:szCs w:val="24"/>
        </w:rPr>
        <w:br/>
        <w:t>[They rolled back the tent of El]</w:t>
      </w:r>
      <w:r w:rsidRPr="00050DAE">
        <w:rPr>
          <w:rFonts w:asciiTheme="majorBidi" w:hAnsiTheme="majorBidi" w:cstheme="majorBidi"/>
          <w:sz w:val="24"/>
          <w:szCs w:val="24"/>
        </w:rPr>
        <w:br/>
        <w:t>and came [to the pavilion of the King, the Father of] the Bright One.</w:t>
      </w:r>
      <w:r w:rsidRPr="00050DAE">
        <w:rPr>
          <w:rFonts w:asciiTheme="majorBidi" w:hAnsiTheme="majorBidi" w:cstheme="majorBidi"/>
          <w:sz w:val="24"/>
          <w:szCs w:val="24"/>
        </w:rPr>
        <w:br/>
        <w:t>[They lifted up their voices and cried:]</w:t>
      </w:r>
      <w:r w:rsidRPr="00050DAE">
        <w:rPr>
          <w:rFonts w:asciiTheme="majorBidi" w:hAnsiTheme="majorBidi" w:cstheme="majorBidi"/>
          <w:sz w:val="24"/>
          <w:szCs w:val="24"/>
        </w:rPr>
        <w:br/>
        <w:t>“We travelled to [the ends of the earth],</w:t>
      </w:r>
      <w:r w:rsidRPr="00050DAE">
        <w:rPr>
          <w:rFonts w:asciiTheme="majorBidi" w:hAnsiTheme="majorBidi" w:cstheme="majorBidi"/>
          <w:sz w:val="24"/>
          <w:szCs w:val="24"/>
        </w:rPr>
        <w:br/>
        <w:t>to the edge of the abyss:</w:t>
      </w:r>
      <w:r w:rsidRPr="00050DAE">
        <w:rPr>
          <w:rFonts w:asciiTheme="majorBidi" w:hAnsiTheme="majorBidi" w:cstheme="majorBidi"/>
          <w:sz w:val="24"/>
          <w:szCs w:val="24"/>
        </w:rPr>
        <w:br/>
        <w:t>we came to “Paradise” the land of pasture,</w:t>
      </w:r>
      <w:r w:rsidRPr="00050DAE">
        <w:rPr>
          <w:rFonts w:asciiTheme="majorBidi" w:hAnsiTheme="majorBidi" w:cstheme="majorBidi"/>
          <w:sz w:val="24"/>
          <w:szCs w:val="24"/>
        </w:rPr>
        <w:br/>
        <w:t>to “Delight”, the steppe by the shore of death.</w:t>
      </w:r>
      <w:r w:rsidRPr="00050DAE">
        <w:rPr>
          <w:rFonts w:asciiTheme="majorBidi" w:hAnsiTheme="majorBidi" w:cstheme="majorBidi"/>
          <w:sz w:val="24"/>
          <w:szCs w:val="24"/>
        </w:rPr>
        <w:br/>
        <w:t>We came upon Baal fallen to the earth:</w:t>
      </w:r>
      <w:r w:rsidRPr="00050DAE">
        <w:rPr>
          <w:rFonts w:asciiTheme="majorBidi" w:hAnsiTheme="majorBidi" w:cstheme="majorBidi"/>
          <w:sz w:val="24"/>
          <w:szCs w:val="24"/>
        </w:rPr>
        <w:br/>
        <w:t>dead was Valiant Baal,</w:t>
      </w:r>
    </w:p>
    <w:p w14:paraId="75113C17"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VI 10</w:t>
      </w:r>
      <w:r w:rsidRPr="00050DAE">
        <w:rPr>
          <w:rFonts w:asciiTheme="majorBidi" w:hAnsiTheme="majorBidi" w:cstheme="majorBidi"/>
          <w:sz w:val="24"/>
          <w:szCs w:val="24"/>
        </w:rPr>
        <w:br/>
        <w:t>perished was the Prince, Lord of the earth!”</w:t>
      </w:r>
      <w:r w:rsidRPr="00050DAE">
        <w:rPr>
          <w:rFonts w:asciiTheme="majorBidi" w:hAnsiTheme="majorBidi" w:cstheme="majorBidi"/>
          <w:sz w:val="24"/>
          <w:szCs w:val="24"/>
        </w:rPr>
        <w:br/>
        <w:t>Then the Compassionate, the god of mercy,</w:t>
      </w:r>
      <w:r w:rsidRPr="00050DAE">
        <w:rPr>
          <w:rFonts w:asciiTheme="majorBidi" w:hAnsiTheme="majorBidi" w:cstheme="majorBidi"/>
          <w:sz w:val="24"/>
          <w:szCs w:val="24"/>
        </w:rPr>
        <w:br/>
        <w:t>went down from his throne:</w:t>
      </w:r>
      <w:r w:rsidRPr="00050DAE">
        <w:rPr>
          <w:rFonts w:asciiTheme="majorBidi" w:hAnsiTheme="majorBidi" w:cstheme="majorBidi"/>
          <w:sz w:val="24"/>
          <w:szCs w:val="24"/>
        </w:rPr>
        <w:br/>
        <w:t>he sat on his footstool.</w:t>
      </w:r>
      <w:r w:rsidRPr="00050DAE">
        <w:rPr>
          <w:rFonts w:asciiTheme="majorBidi" w:hAnsiTheme="majorBidi" w:cstheme="majorBidi"/>
          <w:sz w:val="24"/>
          <w:szCs w:val="24"/>
        </w:rPr>
        <w:br/>
        <w:t>And from his footstool</w:t>
      </w:r>
      <w:r w:rsidRPr="00050DAE">
        <w:rPr>
          <w:rFonts w:asciiTheme="majorBidi" w:hAnsiTheme="majorBidi" w:cstheme="majorBidi"/>
          <w:sz w:val="24"/>
          <w:szCs w:val="24"/>
        </w:rPr>
        <w:br/>
        <w:t>he sat on the ground.</w:t>
      </w:r>
      <w:r w:rsidRPr="00050DAE">
        <w:rPr>
          <w:rFonts w:asciiTheme="majorBidi" w:hAnsiTheme="majorBidi" w:cstheme="majorBidi"/>
          <w:sz w:val="24"/>
          <w:szCs w:val="24"/>
        </w:rPr>
        <w:br/>
        <w:t>He poured the ashes of affliction on his head,</w:t>
      </w:r>
      <w:r w:rsidRPr="00050DAE">
        <w:rPr>
          <w:rFonts w:asciiTheme="majorBidi" w:hAnsiTheme="majorBidi" w:cstheme="majorBidi"/>
          <w:sz w:val="24"/>
          <w:szCs w:val="24"/>
        </w:rPr>
        <w:br/>
        <w:t>the dust of grovelling on his skull.</w:t>
      </w:r>
      <w:r w:rsidRPr="00050DAE">
        <w:rPr>
          <w:rFonts w:asciiTheme="majorBidi" w:hAnsiTheme="majorBidi" w:cstheme="majorBidi"/>
          <w:sz w:val="24"/>
          <w:szCs w:val="24"/>
        </w:rPr>
        <w:br/>
        <w:t>For clothing he put on a loin-cloth.</w:t>
      </w:r>
      <w:r w:rsidRPr="00050DAE">
        <w:rPr>
          <w:rFonts w:asciiTheme="majorBidi" w:hAnsiTheme="majorBidi" w:cstheme="majorBidi"/>
          <w:sz w:val="24"/>
          <w:szCs w:val="24"/>
        </w:rPr>
        <w:br/>
        <w:t>His skin with a stone he scored,</w:t>
      </w:r>
      <w:r w:rsidRPr="00050DAE">
        <w:rPr>
          <w:rFonts w:asciiTheme="majorBidi" w:hAnsiTheme="majorBidi" w:cstheme="majorBidi"/>
          <w:sz w:val="24"/>
          <w:szCs w:val="24"/>
        </w:rPr>
        <w:br/>
        <w:t>his side-locks with a razor,</w:t>
      </w:r>
      <w:r w:rsidRPr="00050DAE">
        <w:rPr>
          <w:rFonts w:asciiTheme="majorBidi" w:hAnsiTheme="majorBidi" w:cstheme="majorBidi"/>
          <w:sz w:val="24"/>
          <w:szCs w:val="24"/>
        </w:rPr>
        <w:br/>
        <w:t>he gashed cheeks and chin.</w:t>
      </w:r>
    </w:p>
    <w:p w14:paraId="313B2C6D"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VI 20</w:t>
      </w:r>
      <w:r w:rsidRPr="00050DAE">
        <w:rPr>
          <w:rFonts w:asciiTheme="majorBidi" w:hAnsiTheme="majorBidi" w:cstheme="majorBidi"/>
          <w:sz w:val="24"/>
          <w:szCs w:val="24"/>
        </w:rPr>
        <w:br/>
        <w:t>He ploughed his collar-bones,</w:t>
      </w:r>
      <w:r w:rsidRPr="00050DAE">
        <w:rPr>
          <w:rFonts w:asciiTheme="majorBidi" w:hAnsiTheme="majorBidi" w:cstheme="majorBidi"/>
          <w:sz w:val="24"/>
          <w:szCs w:val="24"/>
        </w:rPr>
        <w:br/>
        <w:t>he turned over like a garden his chest,</w:t>
      </w:r>
      <w:r w:rsidRPr="00050DAE">
        <w:rPr>
          <w:rFonts w:asciiTheme="majorBidi" w:hAnsiTheme="majorBidi" w:cstheme="majorBidi"/>
          <w:sz w:val="24"/>
          <w:szCs w:val="24"/>
        </w:rPr>
        <w:br/>
        <w:t>like a valley he ploughed his breast.</w:t>
      </w:r>
      <w:r w:rsidRPr="00050DAE">
        <w:rPr>
          <w:rFonts w:asciiTheme="majorBidi" w:hAnsiTheme="majorBidi" w:cstheme="majorBidi"/>
          <w:sz w:val="24"/>
          <w:szCs w:val="24"/>
        </w:rPr>
        <w:br/>
        <w:t>He lifted up his voice and cried:</w:t>
      </w:r>
      <w:r w:rsidRPr="00050DAE">
        <w:rPr>
          <w:rFonts w:asciiTheme="majorBidi" w:hAnsiTheme="majorBidi" w:cstheme="majorBidi"/>
          <w:sz w:val="24"/>
          <w:szCs w:val="24"/>
        </w:rPr>
        <w:br/>
        <w:t>“Baal is dead!</w:t>
      </w:r>
      <w:r w:rsidRPr="00050DAE">
        <w:rPr>
          <w:rFonts w:asciiTheme="majorBidi" w:hAnsiTheme="majorBidi" w:cstheme="majorBidi"/>
          <w:sz w:val="24"/>
          <w:szCs w:val="24"/>
        </w:rPr>
        <w:br/>
        <w:t>What has become of the Powerful One,</w:t>
      </w:r>
      <w:r w:rsidRPr="00050DAE">
        <w:rPr>
          <w:rFonts w:asciiTheme="majorBidi" w:hAnsiTheme="majorBidi" w:cstheme="majorBidi"/>
          <w:sz w:val="24"/>
          <w:szCs w:val="24"/>
        </w:rPr>
        <w:br/>
        <w:t>the Son of Dagan?</w:t>
      </w:r>
      <w:r w:rsidRPr="00050DAE">
        <w:rPr>
          <w:rFonts w:asciiTheme="majorBidi" w:hAnsiTheme="majorBidi" w:cstheme="majorBidi"/>
          <w:sz w:val="24"/>
          <w:szCs w:val="24"/>
        </w:rPr>
        <w:br/>
        <w:t>What has become of Tempest?</w:t>
      </w:r>
      <w:r w:rsidRPr="00050DAE">
        <w:rPr>
          <w:rFonts w:asciiTheme="majorBidi" w:hAnsiTheme="majorBidi" w:cstheme="majorBidi"/>
          <w:sz w:val="24"/>
          <w:szCs w:val="24"/>
        </w:rPr>
        <w:br/>
        <w:t>After Baal I shall go down into the underworld.”</w:t>
      </w:r>
      <w:r w:rsidRPr="00050DAE">
        <w:rPr>
          <w:rFonts w:asciiTheme="majorBidi" w:hAnsiTheme="majorBidi" w:cstheme="majorBidi"/>
          <w:sz w:val="24"/>
          <w:szCs w:val="24"/>
        </w:rPr>
        <w:br/>
        <w:t>Anat also went out,</w:t>
      </w:r>
      <w:r w:rsidRPr="00050DAE">
        <w:rPr>
          <w:rFonts w:asciiTheme="majorBidi" w:hAnsiTheme="majorBidi" w:cstheme="majorBidi"/>
          <w:sz w:val="24"/>
          <w:szCs w:val="24"/>
        </w:rPr>
        <w:br/>
        <w:t>and searched every mountain in the midst of the earth,</w:t>
      </w:r>
      <w:r w:rsidRPr="00050DAE">
        <w:rPr>
          <w:rFonts w:asciiTheme="majorBidi" w:hAnsiTheme="majorBidi" w:cstheme="majorBidi"/>
          <w:sz w:val="24"/>
          <w:szCs w:val="24"/>
        </w:rPr>
        <w:br/>
        <w:t>every hill in the midst of the steppe.</w:t>
      </w:r>
      <w:r w:rsidRPr="00050DAE">
        <w:rPr>
          <w:rFonts w:asciiTheme="majorBidi" w:hAnsiTheme="majorBidi" w:cstheme="majorBidi"/>
          <w:sz w:val="24"/>
          <w:szCs w:val="24"/>
        </w:rPr>
        <w:br/>
        <w:t>She came to “Para[di]se”, the land of [ ] pasture,</w:t>
      </w:r>
    </w:p>
    <w:p w14:paraId="462424FE"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1.5 VI 30</w:t>
      </w:r>
      <w:r w:rsidRPr="00050DAE">
        <w:rPr>
          <w:rFonts w:asciiTheme="majorBidi" w:hAnsiTheme="majorBidi" w:cstheme="majorBidi"/>
          <w:sz w:val="24"/>
          <w:szCs w:val="24"/>
        </w:rPr>
        <w:br/>
        <w:t>“Delight”, the steppe by the [shore of] death.</w:t>
      </w:r>
      <w:r w:rsidRPr="00050DAE">
        <w:rPr>
          <w:rFonts w:asciiTheme="majorBidi" w:hAnsiTheme="majorBidi" w:cstheme="majorBidi"/>
          <w:sz w:val="24"/>
          <w:szCs w:val="24"/>
        </w:rPr>
        <w:br/>
        <w:t>She f[ound] Baal,</w:t>
      </w:r>
      <w:r w:rsidRPr="00050DAE">
        <w:rPr>
          <w:rFonts w:asciiTheme="majorBidi" w:hAnsiTheme="majorBidi" w:cstheme="majorBidi"/>
          <w:sz w:val="24"/>
          <w:szCs w:val="24"/>
        </w:rPr>
        <w:br/>
        <w:t>fall[en to the ea]rth.</w:t>
      </w:r>
    </w:p>
    <w:p w14:paraId="73AC047B"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w:t>
      </w:r>
      <w:r w:rsidRPr="00050DAE">
        <w:rPr>
          <w:rFonts w:asciiTheme="majorBidi" w:hAnsiTheme="majorBidi" w:cstheme="majorBidi"/>
          <w:sz w:val="24"/>
          <w:szCs w:val="24"/>
        </w:rPr>
        <w:br/>
        <w:t>(Concerning Baal)</w:t>
      </w:r>
      <w:r w:rsidRPr="00050DAE">
        <w:rPr>
          <w:rFonts w:asciiTheme="majorBidi" w:hAnsiTheme="majorBidi" w:cstheme="majorBidi"/>
          <w:sz w:val="24"/>
          <w:szCs w:val="24"/>
        </w:rPr>
        <w:br/>
        <w:t>Her skin with a stone she scored,</w:t>
      </w:r>
      <w:r w:rsidRPr="00050DAE">
        <w:rPr>
          <w:rFonts w:asciiTheme="majorBidi" w:hAnsiTheme="majorBidi" w:cstheme="majorBidi"/>
          <w:sz w:val="24"/>
          <w:szCs w:val="24"/>
        </w:rPr>
        <w:br/>
        <w:t>her side-locks [with a razor],</w:t>
      </w:r>
      <w:r w:rsidRPr="00050DAE">
        <w:rPr>
          <w:rFonts w:asciiTheme="majorBidi" w:hAnsiTheme="majorBidi" w:cstheme="majorBidi"/>
          <w:sz w:val="24"/>
          <w:szCs w:val="24"/>
        </w:rPr>
        <w:br/>
        <w:t>she gashed cheeks and chin,</w:t>
      </w:r>
      <w:r w:rsidRPr="00050DAE">
        <w:rPr>
          <w:rFonts w:asciiTheme="majorBidi" w:hAnsiTheme="majorBidi" w:cstheme="majorBidi"/>
          <w:sz w:val="24"/>
          <w:szCs w:val="24"/>
        </w:rPr>
        <w:br/>
        <w:t>She [ploughed] her collar-bones,</w:t>
      </w:r>
      <w:r w:rsidRPr="00050DAE">
        <w:rPr>
          <w:rFonts w:asciiTheme="majorBidi" w:hAnsiTheme="majorBidi" w:cstheme="majorBidi"/>
          <w:sz w:val="24"/>
          <w:szCs w:val="24"/>
        </w:rPr>
        <w:br/>
        <w:t>she turned over like a garden her chest,</w:t>
      </w:r>
      <w:r w:rsidRPr="00050DAE">
        <w:rPr>
          <w:rFonts w:asciiTheme="majorBidi" w:hAnsiTheme="majorBidi" w:cstheme="majorBidi"/>
          <w:sz w:val="24"/>
          <w:szCs w:val="24"/>
        </w:rPr>
        <w:br/>
        <w:t>like a valley she ploughed her breast.</w:t>
      </w:r>
      <w:r w:rsidRPr="00050DAE">
        <w:rPr>
          <w:rFonts w:asciiTheme="majorBidi" w:hAnsiTheme="majorBidi" w:cstheme="majorBidi"/>
          <w:sz w:val="24"/>
          <w:szCs w:val="24"/>
        </w:rPr>
        <w:br/>
        <w:t>“Baal is dead!</w:t>
      </w:r>
      <w:r w:rsidRPr="00050DAE">
        <w:rPr>
          <w:rFonts w:asciiTheme="majorBidi" w:hAnsiTheme="majorBidi" w:cstheme="majorBidi"/>
          <w:sz w:val="24"/>
          <w:szCs w:val="24"/>
        </w:rPr>
        <w:br/>
        <w:t>What has become of the Powerful One,</w:t>
      </w:r>
      <w:r w:rsidRPr="00050DAE">
        <w:rPr>
          <w:rFonts w:asciiTheme="majorBidi" w:hAnsiTheme="majorBidi" w:cstheme="majorBidi"/>
          <w:sz w:val="24"/>
          <w:szCs w:val="24"/>
        </w:rPr>
        <w:br/>
        <w:t>the Son of Dagan!</w:t>
      </w:r>
      <w:r w:rsidRPr="00050DAE">
        <w:rPr>
          <w:rFonts w:asciiTheme="majorBidi" w:hAnsiTheme="majorBidi" w:cstheme="majorBidi"/>
          <w:sz w:val="24"/>
          <w:szCs w:val="24"/>
        </w:rPr>
        <w:br/>
        <w:t>What has become of Tempest?</w:t>
      </w:r>
      <w:r w:rsidRPr="00050DAE">
        <w:rPr>
          <w:rFonts w:asciiTheme="majorBidi" w:hAnsiTheme="majorBidi" w:cstheme="majorBidi"/>
          <w:sz w:val="24"/>
          <w:szCs w:val="24"/>
        </w:rPr>
        <w:br/>
        <w:t>After Baal we shall go down into the netherworld.”</w:t>
      </w:r>
      <w:r w:rsidRPr="00050DAE">
        <w:rPr>
          <w:rFonts w:asciiTheme="majorBidi" w:hAnsiTheme="majorBidi" w:cstheme="majorBidi"/>
          <w:sz w:val="24"/>
          <w:szCs w:val="24"/>
        </w:rPr>
        <w:br/>
        <w:t>With her went down the Luminary of the gods, Shapsh.</w:t>
      </w:r>
      <w:r w:rsidRPr="00050DAE">
        <w:rPr>
          <w:rFonts w:asciiTheme="majorBidi" w:hAnsiTheme="majorBidi" w:cstheme="majorBidi"/>
          <w:sz w:val="24"/>
          <w:szCs w:val="24"/>
        </w:rPr>
        <w:br/>
        <w:t>Until she was sated she wept,</w:t>
      </w:r>
    </w:p>
    <w:p w14:paraId="2934C537"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1.6 10</w:t>
      </w:r>
      <w:r w:rsidRPr="00050DAE">
        <w:rPr>
          <w:rFonts w:asciiTheme="majorBidi" w:hAnsiTheme="majorBidi" w:cstheme="majorBidi"/>
          <w:sz w:val="24"/>
          <w:szCs w:val="24"/>
        </w:rPr>
        <w:br/>
        <w:t>like wine she drank (her) tears.</w:t>
      </w:r>
      <w:r w:rsidRPr="00050DAE">
        <w:rPr>
          <w:rFonts w:asciiTheme="majorBidi" w:hAnsiTheme="majorBidi" w:cstheme="majorBidi"/>
          <w:sz w:val="24"/>
          <w:szCs w:val="24"/>
        </w:rPr>
        <w:br/>
        <w:t>Aloud she cried to the Luminary of the gods, Shapsh:</w:t>
      </w:r>
      <w:r w:rsidRPr="00050DAE">
        <w:rPr>
          <w:rFonts w:asciiTheme="majorBidi" w:hAnsiTheme="majorBidi" w:cstheme="majorBidi"/>
          <w:sz w:val="24"/>
          <w:szCs w:val="24"/>
        </w:rPr>
        <w:br/>
        <w:t>“Pray, load on to me Valiant Baal!”</w:t>
      </w:r>
      <w:r w:rsidRPr="00050DAE">
        <w:rPr>
          <w:rFonts w:asciiTheme="majorBidi" w:hAnsiTheme="majorBidi" w:cstheme="majorBidi"/>
          <w:sz w:val="24"/>
          <w:szCs w:val="24"/>
        </w:rPr>
        <w:br/>
        <w:t>The Luminary of the gods, Shapsh, obeyed:</w:t>
      </w:r>
      <w:r w:rsidRPr="00050DAE">
        <w:rPr>
          <w:rFonts w:asciiTheme="majorBidi" w:hAnsiTheme="majorBidi" w:cstheme="majorBidi"/>
          <w:sz w:val="24"/>
          <w:szCs w:val="24"/>
        </w:rPr>
        <w:br/>
        <w:t>she lifted up Valiant Baal;</w:t>
      </w:r>
      <w:r w:rsidRPr="00050DAE">
        <w:rPr>
          <w:rFonts w:asciiTheme="majorBidi" w:hAnsiTheme="majorBidi" w:cstheme="majorBidi"/>
          <w:sz w:val="24"/>
          <w:szCs w:val="24"/>
        </w:rPr>
        <w:br/>
        <w:t>on to the shoulders of Anat did she set him.</w:t>
      </w:r>
      <w:r w:rsidRPr="00050DAE">
        <w:rPr>
          <w:rFonts w:asciiTheme="majorBidi" w:hAnsiTheme="majorBidi" w:cstheme="majorBidi"/>
          <w:sz w:val="24"/>
          <w:szCs w:val="24"/>
        </w:rPr>
        <w:br/>
        <w:t>She took him up into the uttermost parts of Saphon,</w:t>
      </w:r>
      <w:r w:rsidRPr="00050DAE">
        <w:rPr>
          <w:rFonts w:asciiTheme="majorBidi" w:hAnsiTheme="majorBidi" w:cstheme="majorBidi"/>
          <w:sz w:val="24"/>
          <w:szCs w:val="24"/>
        </w:rPr>
        <w:br/>
        <w:t>she wept for him</w:t>
      </w:r>
      <w:r w:rsidRPr="00050DAE">
        <w:rPr>
          <w:rFonts w:asciiTheme="majorBidi" w:hAnsiTheme="majorBidi" w:cstheme="majorBidi"/>
          <w:sz w:val="24"/>
          <w:szCs w:val="24"/>
        </w:rPr>
        <w:br/>
        <w:t>and buried him.</w:t>
      </w:r>
      <w:r w:rsidRPr="00050DAE">
        <w:rPr>
          <w:rFonts w:asciiTheme="majorBidi" w:hAnsiTheme="majorBidi" w:cstheme="majorBidi"/>
          <w:sz w:val="24"/>
          <w:szCs w:val="24"/>
        </w:rPr>
        <w:br/>
        <w:t>She placed him in a grave of the gods of the underworld.</w:t>
      </w:r>
      <w:r w:rsidRPr="00050DAE">
        <w:rPr>
          <w:rFonts w:asciiTheme="majorBidi" w:hAnsiTheme="majorBidi" w:cstheme="majorBidi"/>
          <w:sz w:val="24"/>
          <w:szCs w:val="24"/>
        </w:rPr>
        <w:br/>
        <w:t>She slaughtered seventy wild bulls</w:t>
      </w:r>
    </w:p>
    <w:p w14:paraId="687EA36C"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1.6 20</w:t>
      </w:r>
      <w:r w:rsidRPr="00050DAE">
        <w:rPr>
          <w:rFonts w:asciiTheme="majorBidi" w:hAnsiTheme="majorBidi" w:cstheme="majorBidi"/>
          <w:sz w:val="24"/>
          <w:szCs w:val="24"/>
        </w:rPr>
        <w:br/>
        <w:t>as a funeral offering for Valiant Baal.</w:t>
      </w:r>
      <w:r w:rsidRPr="00050DAE">
        <w:rPr>
          <w:rFonts w:asciiTheme="majorBidi" w:hAnsiTheme="majorBidi" w:cstheme="majorBidi"/>
          <w:sz w:val="24"/>
          <w:szCs w:val="24"/>
        </w:rPr>
        <w:br/>
        <w:t>She slaughtered seventy oxen</w:t>
      </w:r>
      <w:r w:rsidRPr="00050DAE">
        <w:rPr>
          <w:rFonts w:asciiTheme="majorBidi" w:hAnsiTheme="majorBidi" w:cstheme="majorBidi"/>
          <w:sz w:val="24"/>
          <w:szCs w:val="24"/>
        </w:rPr>
        <w:br/>
        <w:t>as a funeral offering for Valiant Baal.</w:t>
      </w:r>
      <w:r w:rsidRPr="00050DAE">
        <w:rPr>
          <w:rFonts w:asciiTheme="majorBidi" w:hAnsiTheme="majorBidi" w:cstheme="majorBidi"/>
          <w:sz w:val="24"/>
          <w:szCs w:val="24"/>
        </w:rPr>
        <w:br/>
        <w:t>[She slaugh]tered seventy sheep</w:t>
      </w:r>
      <w:r w:rsidRPr="00050DAE">
        <w:rPr>
          <w:rFonts w:asciiTheme="majorBidi" w:hAnsiTheme="majorBidi" w:cstheme="majorBidi"/>
          <w:sz w:val="24"/>
          <w:szCs w:val="24"/>
        </w:rPr>
        <w:br/>
        <w:t>[as a fu]neral offering for Valiant Baal.</w:t>
      </w:r>
      <w:r w:rsidRPr="00050DAE">
        <w:rPr>
          <w:rFonts w:asciiTheme="majorBidi" w:hAnsiTheme="majorBidi" w:cstheme="majorBidi"/>
          <w:sz w:val="24"/>
          <w:szCs w:val="24"/>
        </w:rPr>
        <w:br/>
        <w:t>[She slau]ghtered seventy stags</w:t>
      </w:r>
      <w:r w:rsidRPr="00050DAE">
        <w:rPr>
          <w:rFonts w:asciiTheme="majorBidi" w:hAnsiTheme="majorBidi" w:cstheme="majorBidi"/>
          <w:sz w:val="24"/>
          <w:szCs w:val="24"/>
        </w:rPr>
        <w:br/>
        <w:t>[as a funeral offering for] Valiant Baal.</w:t>
      </w:r>
      <w:r w:rsidRPr="00050DAE">
        <w:rPr>
          <w:rFonts w:asciiTheme="majorBidi" w:hAnsiTheme="majorBidi" w:cstheme="majorBidi"/>
          <w:sz w:val="24"/>
          <w:szCs w:val="24"/>
        </w:rPr>
        <w:br/>
        <w:t>[She slaughtered se]venty mountain-goats</w:t>
      </w:r>
      <w:r w:rsidRPr="00050DAE">
        <w:rPr>
          <w:rFonts w:asciiTheme="majorBidi" w:hAnsiTheme="majorBidi" w:cstheme="majorBidi"/>
          <w:sz w:val="24"/>
          <w:szCs w:val="24"/>
        </w:rPr>
        <w:br/>
        <w:t>[as a funeral offering for Val]iant Baal.</w:t>
      </w:r>
      <w:r w:rsidRPr="00050DAE">
        <w:rPr>
          <w:rFonts w:asciiTheme="majorBidi" w:hAnsiTheme="majorBidi" w:cstheme="majorBidi"/>
          <w:sz w:val="24"/>
          <w:szCs w:val="24"/>
        </w:rPr>
        <w:br/>
        <w:t>[She slaughtered seventy an]telopes</w:t>
      </w:r>
      <w:r w:rsidRPr="00050DAE">
        <w:rPr>
          <w:rFonts w:asciiTheme="majorBidi" w:hAnsiTheme="majorBidi" w:cstheme="majorBidi"/>
          <w:sz w:val="24"/>
          <w:szCs w:val="24"/>
        </w:rPr>
        <w:br/>
        <w:t>[as a funeral offe[r]ing for Valiant Baal.</w:t>
      </w:r>
    </w:p>
    <w:p w14:paraId="5D505B45"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1.6 30</w:t>
      </w:r>
      <w:r w:rsidRPr="00050DAE">
        <w:rPr>
          <w:rFonts w:asciiTheme="majorBidi" w:hAnsiTheme="majorBidi" w:cstheme="majorBidi"/>
          <w:sz w:val="24"/>
          <w:szCs w:val="24"/>
        </w:rPr>
        <w:br/>
        <w:t>Her [sacrifi]ce she placed in the fu[rrows],</w:t>
      </w:r>
      <w:r w:rsidRPr="00050DAE">
        <w:rPr>
          <w:rFonts w:asciiTheme="majorBidi" w:hAnsiTheme="majorBidi" w:cstheme="majorBidi"/>
          <w:sz w:val="24"/>
          <w:szCs w:val="24"/>
        </w:rPr>
        <w:br/>
        <w:t>her [off]ering as a gift for the god(s).</w:t>
      </w:r>
      <w:r w:rsidRPr="00050DAE">
        <w:rPr>
          <w:rFonts w:asciiTheme="majorBidi" w:hAnsiTheme="majorBidi" w:cstheme="majorBidi"/>
          <w:sz w:val="24"/>
          <w:szCs w:val="24"/>
        </w:rPr>
        <w:br/>
        <w:t>[The]n indeed she set her face</w:t>
      </w:r>
      <w:r w:rsidRPr="00050DAE">
        <w:rPr>
          <w:rFonts w:asciiTheme="majorBidi" w:hAnsiTheme="majorBidi" w:cstheme="majorBidi"/>
          <w:sz w:val="24"/>
          <w:szCs w:val="24"/>
        </w:rPr>
        <w:br/>
        <w:t>towards El at the source of the rivers,</w:t>
      </w:r>
      <w:r w:rsidRPr="00050DAE">
        <w:rPr>
          <w:rFonts w:asciiTheme="majorBidi" w:hAnsiTheme="majorBidi" w:cstheme="majorBidi"/>
          <w:sz w:val="24"/>
          <w:szCs w:val="24"/>
        </w:rPr>
        <w:br/>
        <w:t>at the midst of the springs of the two deeps.</w:t>
      </w:r>
      <w:r w:rsidRPr="00050DAE">
        <w:rPr>
          <w:rFonts w:asciiTheme="majorBidi" w:hAnsiTheme="majorBidi" w:cstheme="majorBidi"/>
          <w:sz w:val="24"/>
          <w:szCs w:val="24"/>
        </w:rPr>
        <w:br/>
        <w:t>She rolled back the tent of El</w:t>
      </w:r>
      <w:r w:rsidRPr="00050DAE">
        <w:rPr>
          <w:rFonts w:asciiTheme="majorBidi" w:hAnsiTheme="majorBidi" w:cstheme="majorBidi"/>
          <w:sz w:val="24"/>
          <w:szCs w:val="24"/>
        </w:rPr>
        <w:br/>
        <w:t>and came to the pavilion of the king, father of the Bright One.</w:t>
      </w:r>
      <w:r w:rsidRPr="00050DAE">
        <w:rPr>
          <w:rFonts w:asciiTheme="majorBidi" w:hAnsiTheme="majorBidi" w:cstheme="majorBidi"/>
          <w:sz w:val="24"/>
          <w:szCs w:val="24"/>
        </w:rPr>
        <w:br/>
        <w:t>At the feet of El she bowed and fell down,</w:t>
      </w:r>
      <w:r w:rsidRPr="00050DAE">
        <w:rPr>
          <w:rFonts w:asciiTheme="majorBidi" w:hAnsiTheme="majorBidi" w:cstheme="majorBidi"/>
          <w:sz w:val="24"/>
          <w:szCs w:val="24"/>
        </w:rPr>
        <w:br/>
        <w:t>she paid him homage and honoured him.</w:t>
      </w:r>
      <w:r w:rsidRPr="00050DAE">
        <w:rPr>
          <w:rFonts w:asciiTheme="majorBidi" w:hAnsiTheme="majorBidi" w:cstheme="majorBidi"/>
          <w:sz w:val="24"/>
          <w:szCs w:val="24"/>
        </w:rPr>
        <w:br/>
        <w:t>She lifted up her voice and cried:</w:t>
      </w:r>
      <w:r w:rsidRPr="00050DAE">
        <w:rPr>
          <w:rFonts w:asciiTheme="majorBidi" w:hAnsiTheme="majorBidi" w:cstheme="majorBidi"/>
          <w:sz w:val="24"/>
          <w:szCs w:val="24"/>
        </w:rPr>
        <w:br/>
        <w:t>“Let her rejoice now,</w:t>
      </w:r>
    </w:p>
    <w:p w14:paraId="6ECA5BA0"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1.6 40</w:t>
      </w:r>
      <w:r w:rsidRPr="00050DAE">
        <w:rPr>
          <w:rFonts w:asciiTheme="majorBidi" w:hAnsiTheme="majorBidi" w:cstheme="majorBidi"/>
          <w:sz w:val="24"/>
          <w:szCs w:val="24"/>
        </w:rPr>
        <w:br/>
        <w:t>Athirat and her sons,</w:t>
      </w:r>
      <w:r w:rsidRPr="00050DAE">
        <w:rPr>
          <w:rFonts w:asciiTheme="majorBidi" w:hAnsiTheme="majorBidi" w:cstheme="majorBidi"/>
          <w:sz w:val="24"/>
          <w:szCs w:val="24"/>
        </w:rPr>
        <w:br/>
        <w:t>the goddess and the band of her kinsmen!</w:t>
      </w:r>
      <w:r w:rsidRPr="00050DAE">
        <w:rPr>
          <w:rFonts w:asciiTheme="majorBidi" w:hAnsiTheme="majorBidi" w:cstheme="majorBidi"/>
          <w:sz w:val="24"/>
          <w:szCs w:val="24"/>
        </w:rPr>
        <w:br/>
        <w:t>For dead is Valiant Baal,</w:t>
      </w:r>
      <w:r w:rsidRPr="00050DAE">
        <w:rPr>
          <w:rFonts w:asciiTheme="majorBidi" w:hAnsiTheme="majorBidi" w:cstheme="majorBidi"/>
          <w:sz w:val="24"/>
          <w:szCs w:val="24"/>
        </w:rPr>
        <w:br/>
        <w:t>for perished is the Prince, Lord of the Earth!”</w:t>
      </w:r>
      <w:r w:rsidRPr="00050DAE">
        <w:rPr>
          <w:rFonts w:asciiTheme="majorBidi" w:hAnsiTheme="majorBidi" w:cstheme="majorBidi"/>
          <w:sz w:val="24"/>
          <w:szCs w:val="24"/>
        </w:rPr>
        <w:br/>
        <w:t>Aloud cried El to the Great Lady-who-tramples-Yam:</w:t>
      </w:r>
      <w:r w:rsidRPr="00050DAE">
        <w:rPr>
          <w:rFonts w:asciiTheme="majorBidi" w:hAnsiTheme="majorBidi" w:cstheme="majorBidi"/>
          <w:sz w:val="24"/>
          <w:szCs w:val="24"/>
        </w:rPr>
        <w:br/>
        <w:t>“Listen, O Great Lady-who-tramples-Yam,</w:t>
      </w:r>
      <w:r w:rsidRPr="00050DAE">
        <w:rPr>
          <w:rFonts w:asciiTheme="majorBidi" w:hAnsiTheme="majorBidi" w:cstheme="majorBidi"/>
          <w:sz w:val="24"/>
          <w:szCs w:val="24"/>
        </w:rPr>
        <w:br/>
        <w:t>Give the first of your sons:</w:t>
      </w:r>
      <w:r w:rsidRPr="00050DAE">
        <w:rPr>
          <w:rFonts w:asciiTheme="majorBidi" w:hAnsiTheme="majorBidi" w:cstheme="majorBidi"/>
          <w:sz w:val="24"/>
          <w:szCs w:val="24"/>
        </w:rPr>
        <w:br/>
        <w:t>I shall make him king.”</w:t>
      </w:r>
      <w:r w:rsidRPr="00050DAE">
        <w:rPr>
          <w:rFonts w:asciiTheme="majorBidi" w:hAnsiTheme="majorBidi" w:cstheme="majorBidi"/>
          <w:sz w:val="24"/>
          <w:szCs w:val="24"/>
        </w:rPr>
        <w:br/>
        <w:t>And the Great Lady-who-tramples-Yam replied:</w:t>
      </w:r>
      <w:r w:rsidRPr="00050DAE">
        <w:rPr>
          <w:rFonts w:asciiTheme="majorBidi" w:hAnsiTheme="majorBidi" w:cstheme="majorBidi"/>
          <w:sz w:val="24"/>
          <w:szCs w:val="24"/>
        </w:rPr>
        <w:br/>
        <w:t>“Shall we not make king one who has knowledge and wit?”</w:t>
      </w:r>
      <w:r w:rsidRPr="00050DAE">
        <w:rPr>
          <w:rFonts w:asciiTheme="majorBidi" w:hAnsiTheme="majorBidi" w:cstheme="majorBidi"/>
          <w:sz w:val="24"/>
          <w:szCs w:val="24"/>
        </w:rPr>
        <w:br/>
        <w:t>And the Compassionate, god of mercy, replied:</w:t>
      </w:r>
    </w:p>
    <w:p w14:paraId="642A091A"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1.6 50</w:t>
      </w:r>
      <w:r w:rsidRPr="00050DAE">
        <w:rPr>
          <w:rFonts w:asciiTheme="majorBidi" w:hAnsiTheme="majorBidi" w:cstheme="majorBidi"/>
          <w:sz w:val="24"/>
          <w:szCs w:val="24"/>
        </w:rPr>
        <w:br/>
        <w:t>“One feeble in strength cannot run,</w:t>
      </w:r>
      <w:r w:rsidRPr="00050DAE">
        <w:rPr>
          <w:rFonts w:asciiTheme="majorBidi" w:hAnsiTheme="majorBidi" w:cstheme="majorBidi"/>
          <w:sz w:val="24"/>
          <w:szCs w:val="24"/>
        </w:rPr>
        <w:br/>
        <w:t>compared with Baal, he cannot brandish the lance,</w:t>
      </w:r>
      <w:r w:rsidRPr="00050DAE">
        <w:rPr>
          <w:rFonts w:asciiTheme="majorBidi" w:hAnsiTheme="majorBidi" w:cstheme="majorBidi"/>
          <w:sz w:val="24"/>
          <w:szCs w:val="24"/>
        </w:rPr>
        <w:br/>
        <w:t>compared with the Son of Dagan, how weak he is!”</w:t>
      </w:r>
      <w:r w:rsidRPr="00050DAE">
        <w:rPr>
          <w:rFonts w:asciiTheme="majorBidi" w:hAnsiTheme="majorBidi" w:cstheme="majorBidi"/>
          <w:sz w:val="24"/>
          <w:szCs w:val="24"/>
        </w:rPr>
        <w:br/>
        <w:t>The Great Lady-who-tramples-Yam replied:</w:t>
      </w:r>
      <w:r w:rsidRPr="00050DAE">
        <w:rPr>
          <w:rFonts w:asciiTheme="majorBidi" w:hAnsiTheme="majorBidi" w:cstheme="majorBidi"/>
          <w:sz w:val="24"/>
          <w:szCs w:val="24"/>
        </w:rPr>
        <w:br/>
        <w:t>“Indeed, let us make Athtar the Brilliant king:</w:t>
      </w:r>
      <w:r w:rsidRPr="00050DAE">
        <w:rPr>
          <w:rFonts w:asciiTheme="majorBidi" w:hAnsiTheme="majorBidi" w:cstheme="majorBidi"/>
          <w:sz w:val="24"/>
          <w:szCs w:val="24"/>
        </w:rPr>
        <w:br/>
        <w:t>Athtar the Brilliant shall rule!”</w:t>
      </w:r>
      <w:r w:rsidRPr="00050DAE">
        <w:rPr>
          <w:rFonts w:asciiTheme="majorBidi" w:hAnsiTheme="majorBidi" w:cstheme="majorBidi"/>
          <w:sz w:val="24"/>
          <w:szCs w:val="24"/>
        </w:rPr>
        <w:br/>
        <w:t>Then Athtar the Brilliant went up into the uttermost parts of Saphon:</w:t>
      </w:r>
      <w:r w:rsidRPr="00050DAE">
        <w:rPr>
          <w:rFonts w:asciiTheme="majorBidi" w:hAnsiTheme="majorBidi" w:cstheme="majorBidi"/>
          <w:sz w:val="24"/>
          <w:szCs w:val="24"/>
        </w:rPr>
        <w:br/>
        <w:t>he sat on the throne of Valiant Baal.</w:t>
      </w:r>
      <w:r w:rsidRPr="00050DAE">
        <w:rPr>
          <w:rFonts w:asciiTheme="majorBidi" w:hAnsiTheme="majorBidi" w:cstheme="majorBidi"/>
          <w:sz w:val="24"/>
          <w:szCs w:val="24"/>
        </w:rPr>
        <w:br/>
        <w:t>[But] his feet did not reach the footstool:</w:t>
      </w:r>
      <w:r w:rsidRPr="00050DAE">
        <w:rPr>
          <w:rFonts w:asciiTheme="majorBidi" w:hAnsiTheme="majorBidi" w:cstheme="majorBidi"/>
          <w:sz w:val="24"/>
          <w:szCs w:val="24"/>
        </w:rPr>
        <w:br/>
        <w:t>his head did not come up to its top.</w:t>
      </w:r>
    </w:p>
    <w:p w14:paraId="3BAC0D93"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1.6 60</w:t>
      </w:r>
      <w:r w:rsidRPr="00050DAE">
        <w:rPr>
          <w:rFonts w:asciiTheme="majorBidi" w:hAnsiTheme="majorBidi" w:cstheme="majorBidi"/>
          <w:sz w:val="24"/>
          <w:szCs w:val="24"/>
        </w:rPr>
        <w:br/>
        <w:t>Then Athtar the Brilliant said:</w:t>
      </w:r>
      <w:r w:rsidRPr="00050DAE">
        <w:rPr>
          <w:rFonts w:asciiTheme="majorBidi" w:hAnsiTheme="majorBidi" w:cstheme="majorBidi"/>
          <w:sz w:val="24"/>
          <w:szCs w:val="24"/>
        </w:rPr>
        <w:br/>
        <w:t>“I shall not rule in the uttermost parts of Saphon!”</w:t>
      </w:r>
      <w:r w:rsidRPr="00050DAE">
        <w:rPr>
          <w:rFonts w:asciiTheme="majorBidi" w:hAnsiTheme="majorBidi" w:cstheme="majorBidi"/>
          <w:sz w:val="24"/>
          <w:szCs w:val="24"/>
        </w:rPr>
        <w:br/>
        <w:t>Athtar the Brilliant came down,</w:t>
      </w:r>
      <w:r w:rsidRPr="00050DAE">
        <w:rPr>
          <w:rFonts w:asciiTheme="majorBidi" w:hAnsiTheme="majorBidi" w:cstheme="majorBidi"/>
          <w:sz w:val="24"/>
          <w:szCs w:val="24"/>
        </w:rPr>
        <w:br/>
        <w:t>he came down from the throne of Valiant Baal,</w:t>
      </w:r>
      <w:r w:rsidRPr="00050DAE">
        <w:rPr>
          <w:rFonts w:asciiTheme="majorBidi" w:hAnsiTheme="majorBidi" w:cstheme="majorBidi"/>
          <w:sz w:val="24"/>
          <w:szCs w:val="24"/>
        </w:rPr>
        <w:br/>
        <w:t>and ruled in the earth.</w:t>
      </w:r>
    </w:p>
    <w:p w14:paraId="5291A627"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II</w:t>
      </w:r>
      <w:r w:rsidRPr="00050DAE">
        <w:rPr>
          <w:rFonts w:asciiTheme="majorBidi" w:hAnsiTheme="majorBidi" w:cstheme="majorBidi"/>
          <w:sz w:val="24"/>
          <w:szCs w:val="24"/>
        </w:rPr>
        <w:br/>
        <w:t>god of it all,</w:t>
      </w:r>
      <w:r w:rsidRPr="00050DAE">
        <w:rPr>
          <w:rFonts w:asciiTheme="majorBidi" w:hAnsiTheme="majorBidi" w:cstheme="majorBidi"/>
          <w:sz w:val="24"/>
          <w:szCs w:val="24"/>
        </w:rPr>
        <w:br/>
        <w:t>[they drew water from amphorae,]</w:t>
      </w:r>
      <w:r w:rsidRPr="00050DAE">
        <w:rPr>
          <w:rFonts w:asciiTheme="majorBidi" w:hAnsiTheme="majorBidi" w:cstheme="majorBidi"/>
          <w:sz w:val="24"/>
          <w:szCs w:val="24"/>
        </w:rPr>
        <w:br/>
        <w:t>[they drew] water from vases.</w:t>
      </w:r>
      <w:r w:rsidRPr="00050DAE">
        <w:rPr>
          <w:rFonts w:asciiTheme="majorBidi" w:hAnsiTheme="majorBidi" w:cstheme="majorBidi"/>
          <w:sz w:val="24"/>
          <w:szCs w:val="24"/>
        </w:rPr>
        <w:br/>
        <w:t>(about 30 vv. missing)</w:t>
      </w:r>
      <w:r w:rsidRPr="00050DAE">
        <w:rPr>
          <w:rFonts w:asciiTheme="majorBidi" w:hAnsiTheme="majorBidi" w:cstheme="majorBidi"/>
          <w:sz w:val="24"/>
          <w:szCs w:val="24"/>
        </w:rPr>
        <w:br/>
        <w:t>(14 vv., fragmentary)</w:t>
      </w:r>
      <w:r w:rsidRPr="00050DAE">
        <w:rPr>
          <w:rFonts w:asciiTheme="majorBidi" w:hAnsiTheme="majorBidi" w:cstheme="majorBidi"/>
          <w:sz w:val="24"/>
          <w:szCs w:val="24"/>
        </w:rPr>
        <w:br/>
        <w:t>[A day, two days] passed,</w:t>
      </w:r>
      <w:r w:rsidRPr="00050DAE">
        <w:rPr>
          <w:rFonts w:asciiTheme="majorBidi" w:hAnsiTheme="majorBidi" w:cstheme="majorBidi"/>
          <w:sz w:val="24"/>
          <w:szCs w:val="24"/>
        </w:rPr>
        <w:br/>
        <w:t>and the w[omb of Anat] sought him.</w:t>
      </w:r>
      <w:r w:rsidRPr="00050DAE">
        <w:rPr>
          <w:rFonts w:asciiTheme="majorBidi" w:hAnsiTheme="majorBidi" w:cstheme="majorBidi"/>
          <w:sz w:val="24"/>
          <w:szCs w:val="24"/>
        </w:rPr>
        <w:br/>
        <w:t>As the heart of a cow to her calf,</w:t>
      </w:r>
      <w:r w:rsidRPr="00050DAE">
        <w:rPr>
          <w:rFonts w:asciiTheme="majorBidi" w:hAnsiTheme="majorBidi" w:cstheme="majorBidi"/>
          <w:sz w:val="24"/>
          <w:szCs w:val="24"/>
        </w:rPr>
        <w:br/>
        <w:t>as the heart of a ewe to her lamb,</w:t>
      </w:r>
      <w:r w:rsidRPr="00050DAE">
        <w:rPr>
          <w:rFonts w:asciiTheme="majorBidi" w:hAnsiTheme="majorBidi" w:cstheme="majorBidi"/>
          <w:sz w:val="24"/>
          <w:szCs w:val="24"/>
        </w:rPr>
        <w:br/>
        <w:t>so the heart of Anat went out to Baal.</w:t>
      </w:r>
    </w:p>
    <w:p w14:paraId="38A019A2"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II 10</w:t>
      </w:r>
      <w:r w:rsidRPr="00050DAE">
        <w:rPr>
          <w:rFonts w:asciiTheme="majorBidi" w:hAnsiTheme="majorBidi" w:cstheme="majorBidi"/>
          <w:sz w:val="24"/>
          <w:szCs w:val="24"/>
        </w:rPr>
        <w:br/>
        <w:t>She seized Mot by the edge of his garment,</w:t>
      </w:r>
      <w:r w:rsidRPr="00050DAE">
        <w:rPr>
          <w:rFonts w:asciiTheme="majorBidi" w:hAnsiTheme="majorBidi" w:cstheme="majorBidi"/>
          <w:sz w:val="24"/>
          <w:szCs w:val="24"/>
        </w:rPr>
        <w:br/>
        <w:t>she grasped [him] by the end of his robe.</w:t>
      </w:r>
      <w:r w:rsidRPr="00050DAE">
        <w:rPr>
          <w:rFonts w:asciiTheme="majorBidi" w:hAnsiTheme="majorBidi" w:cstheme="majorBidi"/>
          <w:sz w:val="24"/>
          <w:szCs w:val="24"/>
        </w:rPr>
        <w:br/>
        <w:t>She lifted up her voice and cried:</w:t>
      </w:r>
      <w:r w:rsidRPr="00050DAE">
        <w:rPr>
          <w:rFonts w:asciiTheme="majorBidi" w:hAnsiTheme="majorBidi" w:cstheme="majorBidi"/>
          <w:sz w:val="24"/>
          <w:szCs w:val="24"/>
        </w:rPr>
        <w:br/>
        <w:t>“Come, Mot, give (me) my brother!”</w:t>
      </w:r>
      <w:r w:rsidRPr="00050DAE">
        <w:rPr>
          <w:rFonts w:asciiTheme="majorBidi" w:hAnsiTheme="majorBidi" w:cstheme="majorBidi"/>
          <w:sz w:val="24"/>
          <w:szCs w:val="24"/>
        </w:rPr>
        <w:br/>
        <w:t>But divine Mot replied:</w:t>
      </w:r>
      <w:r w:rsidRPr="00050DAE">
        <w:rPr>
          <w:rFonts w:asciiTheme="majorBidi" w:hAnsiTheme="majorBidi" w:cstheme="majorBidi"/>
          <w:sz w:val="24"/>
          <w:szCs w:val="24"/>
        </w:rPr>
        <w:br/>
        <w:t>“What do you ask of me, O Virgin Anat?</w:t>
      </w:r>
      <w:r w:rsidRPr="00050DAE">
        <w:rPr>
          <w:rFonts w:asciiTheme="majorBidi" w:hAnsiTheme="majorBidi" w:cstheme="majorBidi"/>
          <w:sz w:val="24"/>
          <w:szCs w:val="24"/>
        </w:rPr>
        <w:br/>
        <w:t>I went out myself,</w:t>
      </w:r>
      <w:r w:rsidRPr="00050DAE">
        <w:rPr>
          <w:rFonts w:asciiTheme="majorBidi" w:hAnsiTheme="majorBidi" w:cstheme="majorBidi"/>
          <w:sz w:val="24"/>
          <w:szCs w:val="24"/>
        </w:rPr>
        <w:br/>
        <w:t>and searched every mountain in the midst of the earth,</w:t>
      </w:r>
      <w:r w:rsidRPr="00050DAE">
        <w:rPr>
          <w:rFonts w:asciiTheme="majorBidi" w:hAnsiTheme="majorBidi" w:cstheme="majorBidi"/>
          <w:sz w:val="24"/>
          <w:szCs w:val="24"/>
        </w:rPr>
        <w:br/>
        <w:t>every hill in the midst of the steppe.</w:t>
      </w:r>
      <w:r w:rsidRPr="00050DAE">
        <w:rPr>
          <w:rFonts w:asciiTheme="majorBidi" w:hAnsiTheme="majorBidi" w:cstheme="majorBidi"/>
          <w:sz w:val="24"/>
          <w:szCs w:val="24"/>
        </w:rPr>
        <w:br/>
        <w:t>My appetite felt the want of human beings,</w:t>
      </w:r>
      <w:r w:rsidRPr="00050DAE">
        <w:rPr>
          <w:rFonts w:asciiTheme="majorBidi" w:hAnsiTheme="majorBidi" w:cstheme="majorBidi"/>
          <w:sz w:val="24"/>
          <w:szCs w:val="24"/>
        </w:rPr>
        <w:br/>
        <w:t>my appetite the multitudes of the earth.</w:t>
      </w:r>
    </w:p>
    <w:p w14:paraId="7104322B"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II 20</w:t>
      </w:r>
      <w:r w:rsidRPr="00050DAE">
        <w:rPr>
          <w:rFonts w:asciiTheme="majorBidi" w:hAnsiTheme="majorBidi" w:cstheme="majorBidi"/>
          <w:sz w:val="24"/>
          <w:szCs w:val="24"/>
        </w:rPr>
        <w:br/>
        <w:t>I reached “Paradise”, the land of pasture,</w:t>
      </w:r>
      <w:r w:rsidRPr="00050DAE">
        <w:rPr>
          <w:rFonts w:asciiTheme="majorBidi" w:hAnsiTheme="majorBidi" w:cstheme="majorBidi"/>
          <w:sz w:val="24"/>
          <w:szCs w:val="24"/>
        </w:rPr>
        <w:br/>
        <w:t>“Delight”, the steppe by the shore of death.</w:t>
      </w:r>
      <w:r w:rsidRPr="00050DAE">
        <w:rPr>
          <w:rFonts w:asciiTheme="majorBidi" w:hAnsiTheme="majorBidi" w:cstheme="majorBidi"/>
          <w:sz w:val="24"/>
          <w:szCs w:val="24"/>
        </w:rPr>
        <w:br/>
        <w:t>It was I who approached Valiant Baal:</w:t>
      </w:r>
      <w:r w:rsidRPr="00050DAE">
        <w:rPr>
          <w:rFonts w:asciiTheme="majorBidi" w:hAnsiTheme="majorBidi" w:cstheme="majorBidi"/>
          <w:sz w:val="24"/>
          <w:szCs w:val="24"/>
        </w:rPr>
        <w:br/>
        <w:t>it was I who offered him up like a lamb in my mouth,</w:t>
      </w:r>
      <w:r w:rsidRPr="00050DAE">
        <w:rPr>
          <w:rFonts w:asciiTheme="majorBidi" w:hAnsiTheme="majorBidi" w:cstheme="majorBidi"/>
          <w:sz w:val="24"/>
          <w:szCs w:val="24"/>
        </w:rPr>
        <w:br/>
        <w:t>like a kid in the opening of my maw.</w:t>
      </w:r>
      <w:r w:rsidRPr="00050DAE">
        <w:rPr>
          <w:rFonts w:asciiTheme="majorBidi" w:hAnsiTheme="majorBidi" w:cstheme="majorBidi"/>
          <w:sz w:val="24"/>
          <w:szCs w:val="24"/>
        </w:rPr>
        <w:br/>
        <w:t>It was he who was carried away by the Luminary of the gods, Shapsh,</w:t>
      </w:r>
      <w:r w:rsidRPr="00050DAE">
        <w:rPr>
          <w:rFonts w:asciiTheme="majorBidi" w:hAnsiTheme="majorBidi" w:cstheme="majorBidi"/>
          <w:sz w:val="24"/>
          <w:szCs w:val="24"/>
        </w:rPr>
        <w:br/>
        <w:t>by the Burning One, strength of the heavens,</w:t>
      </w:r>
      <w:r w:rsidRPr="00050DAE">
        <w:rPr>
          <w:rFonts w:asciiTheme="majorBidi" w:hAnsiTheme="majorBidi" w:cstheme="majorBidi"/>
          <w:sz w:val="24"/>
          <w:szCs w:val="24"/>
        </w:rPr>
        <w:br/>
        <w:t>into the hand(s) of the divine Mot!”</w:t>
      </w:r>
      <w:r w:rsidRPr="00050DAE">
        <w:rPr>
          <w:rFonts w:asciiTheme="majorBidi" w:hAnsiTheme="majorBidi" w:cstheme="majorBidi"/>
          <w:sz w:val="24"/>
          <w:szCs w:val="24"/>
        </w:rPr>
        <w:br/>
        <w:t>A day, two days passed,</w:t>
      </w:r>
      <w:r w:rsidRPr="00050DAE">
        <w:rPr>
          <w:rFonts w:asciiTheme="majorBidi" w:hAnsiTheme="majorBidi" w:cstheme="majorBidi"/>
          <w:sz w:val="24"/>
          <w:szCs w:val="24"/>
        </w:rPr>
        <w:br/>
        <w:t>days turned to months.</w:t>
      </w:r>
      <w:r w:rsidRPr="00050DAE">
        <w:rPr>
          <w:rFonts w:asciiTheme="majorBidi" w:hAnsiTheme="majorBidi" w:cstheme="majorBidi"/>
          <w:sz w:val="24"/>
          <w:szCs w:val="24"/>
        </w:rPr>
        <w:br/>
        <w:t>The womb of Anat sought him.</w:t>
      </w:r>
      <w:r w:rsidRPr="00050DAE">
        <w:rPr>
          <w:rFonts w:asciiTheme="majorBidi" w:hAnsiTheme="majorBidi" w:cstheme="majorBidi"/>
          <w:sz w:val="24"/>
          <w:szCs w:val="24"/>
        </w:rPr>
        <w:br/>
        <w:t>As the heart of a cow to her calf,</w:t>
      </w:r>
      <w:r w:rsidRPr="00050DAE">
        <w:rPr>
          <w:rFonts w:asciiTheme="majorBidi" w:hAnsiTheme="majorBidi" w:cstheme="majorBidi"/>
          <w:sz w:val="24"/>
          <w:szCs w:val="24"/>
        </w:rPr>
        <w:br/>
        <w:t>as the heart of a ewe to her lamb,</w:t>
      </w:r>
    </w:p>
    <w:p w14:paraId="49057F0D"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II 30</w:t>
      </w:r>
      <w:r w:rsidRPr="00050DAE">
        <w:rPr>
          <w:rFonts w:asciiTheme="majorBidi" w:hAnsiTheme="majorBidi" w:cstheme="majorBidi"/>
          <w:sz w:val="24"/>
          <w:szCs w:val="24"/>
        </w:rPr>
        <w:br/>
        <w:t>so the heart of Anat went out to Baal.</w:t>
      </w:r>
      <w:r w:rsidRPr="00050DAE">
        <w:rPr>
          <w:rFonts w:asciiTheme="majorBidi" w:hAnsiTheme="majorBidi" w:cstheme="majorBidi"/>
          <w:sz w:val="24"/>
          <w:szCs w:val="24"/>
        </w:rPr>
        <w:br/>
        <w:t>She seized divine Mot.</w:t>
      </w:r>
      <w:r w:rsidRPr="00050DAE">
        <w:rPr>
          <w:rFonts w:asciiTheme="majorBidi" w:hAnsiTheme="majorBidi" w:cstheme="majorBidi"/>
          <w:sz w:val="24"/>
          <w:szCs w:val="24"/>
        </w:rPr>
        <w:br/>
        <w:t>With a knife she split him,</w:t>
      </w:r>
      <w:r w:rsidRPr="00050DAE">
        <w:rPr>
          <w:rFonts w:asciiTheme="majorBidi" w:hAnsiTheme="majorBidi" w:cstheme="majorBidi"/>
          <w:sz w:val="24"/>
          <w:szCs w:val="24"/>
        </w:rPr>
        <w:br/>
        <w:t>with a fan she winnowed him,</w:t>
      </w:r>
      <w:r w:rsidRPr="00050DAE">
        <w:rPr>
          <w:rFonts w:asciiTheme="majorBidi" w:hAnsiTheme="majorBidi" w:cstheme="majorBidi"/>
          <w:sz w:val="24"/>
          <w:szCs w:val="24"/>
        </w:rPr>
        <w:br/>
        <w:t>with fire she burnt him,</w:t>
      </w:r>
      <w:r w:rsidRPr="00050DAE">
        <w:rPr>
          <w:rFonts w:asciiTheme="majorBidi" w:hAnsiTheme="majorBidi" w:cstheme="majorBidi"/>
          <w:sz w:val="24"/>
          <w:szCs w:val="24"/>
        </w:rPr>
        <w:br/>
        <w:t>with millstones she ground him,</w:t>
      </w:r>
      <w:r w:rsidRPr="00050DAE">
        <w:rPr>
          <w:rFonts w:asciiTheme="majorBidi" w:hAnsiTheme="majorBidi" w:cstheme="majorBidi"/>
          <w:sz w:val="24"/>
          <w:szCs w:val="24"/>
        </w:rPr>
        <w:br/>
        <w:t>with a sieve she sifted him,</w:t>
      </w:r>
      <w:r w:rsidRPr="00050DAE">
        <w:rPr>
          <w:rFonts w:asciiTheme="majorBidi" w:hAnsiTheme="majorBidi" w:cstheme="majorBidi"/>
          <w:sz w:val="24"/>
          <w:szCs w:val="24"/>
        </w:rPr>
        <w:br/>
        <w:t>on the steppe she abandoned him,</w:t>
      </w:r>
      <w:r w:rsidRPr="00050DAE">
        <w:rPr>
          <w:rFonts w:asciiTheme="majorBidi" w:hAnsiTheme="majorBidi" w:cstheme="majorBidi"/>
          <w:sz w:val="24"/>
          <w:szCs w:val="24"/>
        </w:rPr>
        <w:br/>
        <w:t>in the sea she sowed him.</w:t>
      </w:r>
      <w:r w:rsidRPr="00050DAE">
        <w:rPr>
          <w:rFonts w:asciiTheme="majorBidi" w:hAnsiTheme="majorBidi" w:cstheme="majorBidi"/>
          <w:sz w:val="24"/>
          <w:szCs w:val="24"/>
        </w:rPr>
        <w:br/>
        <w:t>His remains the birds did indeed eat,</w:t>
      </w:r>
      <w:r w:rsidRPr="00050DAE">
        <w:rPr>
          <w:rFonts w:asciiTheme="majorBidi" w:hAnsiTheme="majorBidi" w:cstheme="majorBidi"/>
          <w:sz w:val="24"/>
          <w:szCs w:val="24"/>
        </w:rPr>
        <w:br/>
        <w:t>his scraps the sparrows did indeed consume,</w:t>
      </w:r>
      <w:r w:rsidRPr="00050DAE">
        <w:rPr>
          <w:rFonts w:asciiTheme="majorBidi" w:hAnsiTheme="majorBidi" w:cstheme="majorBidi"/>
          <w:sz w:val="24"/>
          <w:szCs w:val="24"/>
        </w:rPr>
        <w:br/>
        <w:t>remains to remains cried out.</w:t>
      </w:r>
    </w:p>
    <w:p w14:paraId="72E7F10F"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III</w:t>
      </w:r>
      <w:r w:rsidRPr="00050DAE">
        <w:rPr>
          <w:rFonts w:asciiTheme="majorBidi" w:hAnsiTheme="majorBidi" w:cstheme="majorBidi"/>
          <w:sz w:val="24"/>
          <w:szCs w:val="24"/>
        </w:rPr>
        <w:br/>
        <w:t>(about 40 vv. missing)</w:t>
      </w:r>
      <w:r w:rsidRPr="00050DAE">
        <w:rPr>
          <w:rFonts w:asciiTheme="majorBidi" w:hAnsiTheme="majorBidi" w:cstheme="majorBidi"/>
          <w:sz w:val="24"/>
          <w:szCs w:val="24"/>
        </w:rPr>
        <w:br/>
        <w:t>[For dead is Valiant Baal,]</w:t>
      </w:r>
      <w:r w:rsidRPr="00050DAE">
        <w:rPr>
          <w:rFonts w:asciiTheme="majorBidi" w:hAnsiTheme="majorBidi" w:cstheme="majorBidi"/>
          <w:sz w:val="24"/>
          <w:szCs w:val="24"/>
        </w:rPr>
        <w:br/>
        <w:t>for perished is the Prin[ce, Lord of the earth].</w:t>
      </w:r>
      <w:r w:rsidRPr="00050DAE">
        <w:rPr>
          <w:rFonts w:asciiTheme="majorBidi" w:hAnsiTheme="majorBidi" w:cstheme="majorBidi"/>
          <w:sz w:val="24"/>
          <w:szCs w:val="24"/>
        </w:rPr>
        <w:br/>
        <w:t>But if V[aliant Baal] should be alive,</w:t>
      </w:r>
      <w:r w:rsidRPr="00050DAE">
        <w:rPr>
          <w:rFonts w:asciiTheme="majorBidi" w:hAnsiTheme="majorBidi" w:cstheme="majorBidi"/>
          <w:sz w:val="24"/>
          <w:szCs w:val="24"/>
        </w:rPr>
        <w:br/>
        <w:t>and if the Prince, Lo[rd of the earth] should exist,</w:t>
      </w:r>
      <w:r w:rsidRPr="00050DAE">
        <w:rPr>
          <w:rFonts w:asciiTheme="majorBidi" w:hAnsiTheme="majorBidi" w:cstheme="majorBidi"/>
          <w:sz w:val="24"/>
          <w:szCs w:val="24"/>
        </w:rPr>
        <w:br/>
        <w:t>in a dream of the Compassionate, the god of mercy,</w:t>
      </w:r>
      <w:r w:rsidRPr="00050DAE">
        <w:rPr>
          <w:rFonts w:asciiTheme="majorBidi" w:hAnsiTheme="majorBidi" w:cstheme="majorBidi"/>
          <w:sz w:val="24"/>
          <w:szCs w:val="24"/>
        </w:rPr>
        <w:br/>
        <w:t>in a vision of the Creator of Creatures,</w:t>
      </w:r>
      <w:r w:rsidRPr="00050DAE">
        <w:rPr>
          <w:rFonts w:asciiTheme="majorBidi" w:hAnsiTheme="majorBidi" w:cstheme="majorBidi"/>
          <w:sz w:val="24"/>
          <w:szCs w:val="24"/>
        </w:rPr>
        <w:br/>
        <w:t>let the skies rain oil,</w:t>
      </w:r>
      <w:r w:rsidRPr="00050DAE">
        <w:rPr>
          <w:rFonts w:asciiTheme="majorBidi" w:hAnsiTheme="majorBidi" w:cstheme="majorBidi"/>
          <w:sz w:val="24"/>
          <w:szCs w:val="24"/>
        </w:rPr>
        <w:br/>
        <w:t>let the wadis run with honey!</w:t>
      </w:r>
      <w:r w:rsidRPr="00050DAE">
        <w:rPr>
          <w:rFonts w:asciiTheme="majorBidi" w:hAnsiTheme="majorBidi" w:cstheme="majorBidi"/>
          <w:sz w:val="24"/>
          <w:szCs w:val="24"/>
        </w:rPr>
        <w:br/>
        <w:t>And I shall know that Valiant Baal is alive,</w:t>
      </w:r>
      <w:r w:rsidRPr="00050DAE">
        <w:rPr>
          <w:rFonts w:asciiTheme="majorBidi" w:hAnsiTheme="majorBidi" w:cstheme="majorBidi"/>
          <w:sz w:val="24"/>
          <w:szCs w:val="24"/>
        </w:rPr>
        <w:br/>
        <w:t>that the Prince, Lord of the earth, exists!”</w:t>
      </w:r>
      <w:r w:rsidRPr="00050DAE">
        <w:rPr>
          <w:rFonts w:asciiTheme="majorBidi" w:hAnsiTheme="majorBidi" w:cstheme="majorBidi"/>
          <w:sz w:val="24"/>
          <w:szCs w:val="24"/>
        </w:rPr>
        <w:br/>
        <w:t>In a dream of the Compassionate, the god of mercy,</w:t>
      </w:r>
      <w:r w:rsidRPr="00050DAE">
        <w:rPr>
          <w:rFonts w:asciiTheme="majorBidi" w:hAnsiTheme="majorBidi" w:cstheme="majorBidi"/>
          <w:sz w:val="24"/>
          <w:szCs w:val="24"/>
        </w:rPr>
        <w:br/>
        <w:t>in a vision of the Creator of Creatures</w:t>
      </w:r>
    </w:p>
    <w:p w14:paraId="4717B666"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III 15</w:t>
      </w:r>
      <w:r w:rsidRPr="00050DAE">
        <w:rPr>
          <w:rFonts w:asciiTheme="majorBidi" w:hAnsiTheme="majorBidi" w:cstheme="majorBidi"/>
          <w:sz w:val="24"/>
          <w:szCs w:val="24"/>
        </w:rPr>
        <w:br/>
        <w:t>the skies rained oil,</w:t>
      </w:r>
      <w:r w:rsidRPr="00050DAE">
        <w:rPr>
          <w:rFonts w:asciiTheme="majorBidi" w:hAnsiTheme="majorBidi" w:cstheme="majorBidi"/>
          <w:sz w:val="24"/>
          <w:szCs w:val="24"/>
        </w:rPr>
        <w:br/>
        <w:t>the wadis ran with honey.</w:t>
      </w:r>
      <w:r w:rsidRPr="00050DAE">
        <w:rPr>
          <w:rFonts w:asciiTheme="majorBidi" w:hAnsiTheme="majorBidi" w:cstheme="majorBidi"/>
          <w:sz w:val="24"/>
          <w:szCs w:val="24"/>
        </w:rPr>
        <w:br/>
        <w:t>The Compassionate, the god of mercy, rejoiced.</w:t>
      </w:r>
      <w:r w:rsidRPr="00050DAE">
        <w:rPr>
          <w:rFonts w:asciiTheme="majorBidi" w:hAnsiTheme="majorBidi" w:cstheme="majorBidi"/>
          <w:sz w:val="24"/>
          <w:szCs w:val="24"/>
        </w:rPr>
        <w:br/>
        <w:t>His feet on the footstool he placed;</w:t>
      </w:r>
      <w:r w:rsidRPr="00050DAE">
        <w:rPr>
          <w:rFonts w:asciiTheme="majorBidi" w:hAnsiTheme="majorBidi" w:cstheme="majorBidi"/>
          <w:sz w:val="24"/>
          <w:szCs w:val="24"/>
        </w:rPr>
        <w:br/>
        <w:t>He unfurrowed his brows and laughed.</w:t>
      </w:r>
      <w:r w:rsidRPr="00050DAE">
        <w:rPr>
          <w:rFonts w:asciiTheme="majorBidi" w:hAnsiTheme="majorBidi" w:cstheme="majorBidi"/>
          <w:sz w:val="24"/>
          <w:szCs w:val="24"/>
        </w:rPr>
        <w:br/>
        <w:t>He lifted up his voice and cried:</w:t>
      </w:r>
      <w:r w:rsidRPr="00050DAE">
        <w:rPr>
          <w:rFonts w:asciiTheme="majorBidi" w:hAnsiTheme="majorBidi" w:cstheme="majorBidi"/>
          <w:sz w:val="24"/>
          <w:szCs w:val="24"/>
        </w:rPr>
        <w:br/>
        <w:t>“At last I may sit down and rest,</w:t>
      </w:r>
      <w:r w:rsidRPr="00050DAE">
        <w:rPr>
          <w:rFonts w:asciiTheme="majorBidi" w:hAnsiTheme="majorBidi" w:cstheme="majorBidi"/>
          <w:sz w:val="24"/>
          <w:szCs w:val="24"/>
        </w:rPr>
        <w:br/>
        <w:t>and my soul can rest in my breast!</w:t>
      </w:r>
      <w:r w:rsidRPr="00050DAE">
        <w:rPr>
          <w:rFonts w:asciiTheme="majorBidi" w:hAnsiTheme="majorBidi" w:cstheme="majorBidi"/>
          <w:sz w:val="24"/>
          <w:szCs w:val="24"/>
        </w:rPr>
        <w:br/>
        <w:t>For alive is Valiant Baal,</w:t>
      </w:r>
      <w:r w:rsidRPr="00050DAE">
        <w:rPr>
          <w:rFonts w:asciiTheme="majorBidi" w:hAnsiTheme="majorBidi" w:cstheme="majorBidi"/>
          <w:sz w:val="24"/>
          <w:szCs w:val="24"/>
        </w:rPr>
        <w:br/>
        <w:t>for the Prince, Lord of the earth, exists!”</w:t>
      </w:r>
      <w:r w:rsidRPr="00050DAE">
        <w:rPr>
          <w:rFonts w:asciiTheme="majorBidi" w:hAnsiTheme="majorBidi" w:cstheme="majorBidi"/>
          <w:sz w:val="24"/>
          <w:szCs w:val="24"/>
        </w:rPr>
        <w:br/>
        <w:t>Aloud he cried to Virgin Anat:</w:t>
      </w:r>
      <w:r w:rsidRPr="00050DAE">
        <w:rPr>
          <w:rFonts w:asciiTheme="majorBidi" w:hAnsiTheme="majorBidi" w:cstheme="majorBidi"/>
          <w:sz w:val="24"/>
          <w:szCs w:val="24"/>
        </w:rPr>
        <w:br/>
        <w:t>“Listen, O Virgin Anat!</w:t>
      </w:r>
      <w:r w:rsidRPr="00050DAE">
        <w:rPr>
          <w:rFonts w:asciiTheme="majorBidi" w:hAnsiTheme="majorBidi" w:cstheme="majorBidi"/>
          <w:sz w:val="24"/>
          <w:szCs w:val="24"/>
        </w:rPr>
        <w:br/>
        <w:t>Say to the Luminary of the god(s), Shapsh:</w:t>
      </w:r>
    </w:p>
    <w:p w14:paraId="73BD3AE6"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IV</w:t>
      </w:r>
      <w:r w:rsidRPr="00050DAE">
        <w:rPr>
          <w:rFonts w:asciiTheme="majorBidi" w:hAnsiTheme="majorBidi" w:cstheme="majorBidi"/>
          <w:sz w:val="24"/>
          <w:szCs w:val="24"/>
        </w:rPr>
        <w:br/>
        <w:t>“Search the wells of the steppe, O Shapsh,</w:t>
      </w:r>
      <w:r w:rsidRPr="00050DAE">
        <w:rPr>
          <w:rFonts w:asciiTheme="majorBidi" w:hAnsiTheme="majorBidi" w:cstheme="majorBidi"/>
          <w:sz w:val="24"/>
          <w:szCs w:val="24"/>
        </w:rPr>
        <w:br/>
        <w:t>search the wells of the vast steppe.</w:t>
      </w:r>
      <w:r w:rsidRPr="00050DAE">
        <w:rPr>
          <w:rFonts w:asciiTheme="majorBidi" w:hAnsiTheme="majorBidi" w:cstheme="majorBidi"/>
          <w:sz w:val="24"/>
          <w:szCs w:val="24"/>
        </w:rPr>
        <w:br/>
        <w:t>Baal has forsaken the furrows of the ploughland.</w:t>
      </w:r>
      <w:r w:rsidRPr="00050DAE">
        <w:rPr>
          <w:rFonts w:asciiTheme="majorBidi" w:hAnsiTheme="majorBidi" w:cstheme="majorBidi"/>
          <w:sz w:val="24"/>
          <w:szCs w:val="24"/>
        </w:rPr>
        <w:br/>
        <w:t>Where is Valiant Baal?</w:t>
      </w:r>
      <w:r w:rsidRPr="00050DAE">
        <w:rPr>
          <w:rFonts w:asciiTheme="majorBidi" w:hAnsiTheme="majorBidi" w:cstheme="majorBidi"/>
          <w:sz w:val="24"/>
          <w:szCs w:val="24"/>
        </w:rPr>
        <w:br/>
        <w:t>Where is the Prince, Lord of the earth?”</w:t>
      </w:r>
      <w:r w:rsidRPr="00050DAE">
        <w:rPr>
          <w:rFonts w:asciiTheme="majorBidi" w:hAnsiTheme="majorBidi" w:cstheme="majorBidi"/>
          <w:sz w:val="24"/>
          <w:szCs w:val="24"/>
        </w:rPr>
        <w:br/>
        <w:t>Virgin Anat departed.</w:t>
      </w:r>
      <w:r w:rsidRPr="00050DAE">
        <w:rPr>
          <w:rFonts w:asciiTheme="majorBidi" w:hAnsiTheme="majorBidi" w:cstheme="majorBidi"/>
          <w:sz w:val="24"/>
          <w:szCs w:val="24"/>
        </w:rPr>
        <w:br/>
        <w:t>Then she set her face towards the Luminary of the gods,</w:t>
      </w:r>
      <w:r w:rsidRPr="00050DAE">
        <w:rPr>
          <w:rFonts w:asciiTheme="majorBidi" w:hAnsiTheme="majorBidi" w:cstheme="majorBidi"/>
          <w:sz w:val="24"/>
          <w:szCs w:val="24"/>
        </w:rPr>
        <w:br/>
        <w:t>Shapsh.</w:t>
      </w:r>
      <w:r w:rsidRPr="00050DAE">
        <w:rPr>
          <w:rFonts w:asciiTheme="majorBidi" w:hAnsiTheme="majorBidi" w:cstheme="majorBidi"/>
          <w:sz w:val="24"/>
          <w:szCs w:val="24"/>
        </w:rPr>
        <w:br/>
        <w:t>She lifted up her voice and cried:</w:t>
      </w:r>
    </w:p>
    <w:p w14:paraId="3D896D36"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IV 10</w:t>
      </w:r>
      <w:r w:rsidRPr="00050DAE">
        <w:rPr>
          <w:rFonts w:asciiTheme="majorBidi" w:hAnsiTheme="majorBidi" w:cstheme="majorBidi"/>
          <w:sz w:val="24"/>
          <w:szCs w:val="24"/>
        </w:rPr>
        <w:br/>
        <w:t>“Message of Bull El, your father,</w:t>
      </w:r>
      <w:r w:rsidRPr="00050DAE">
        <w:rPr>
          <w:rFonts w:asciiTheme="majorBidi" w:hAnsiTheme="majorBidi" w:cstheme="majorBidi"/>
          <w:sz w:val="24"/>
          <w:szCs w:val="24"/>
        </w:rPr>
        <w:br/>
        <w:t>word of the Compassionate, your sire:</w:t>
      </w:r>
      <w:r w:rsidRPr="00050DAE">
        <w:rPr>
          <w:rFonts w:asciiTheme="majorBidi" w:hAnsiTheme="majorBidi" w:cstheme="majorBidi"/>
          <w:sz w:val="24"/>
          <w:szCs w:val="24"/>
        </w:rPr>
        <w:br/>
        <w:t>“Search the wells of the steppe, O Shapsh,</w:t>
      </w:r>
      <w:r w:rsidRPr="00050DAE">
        <w:rPr>
          <w:rFonts w:asciiTheme="majorBidi" w:hAnsiTheme="majorBidi" w:cstheme="majorBidi"/>
          <w:sz w:val="24"/>
          <w:szCs w:val="24"/>
        </w:rPr>
        <w:br/>
        <w:t>search the wells of the vast steppe.</w:t>
      </w:r>
      <w:r w:rsidRPr="00050DAE">
        <w:rPr>
          <w:rFonts w:asciiTheme="majorBidi" w:hAnsiTheme="majorBidi" w:cstheme="majorBidi"/>
          <w:sz w:val="24"/>
          <w:szCs w:val="24"/>
        </w:rPr>
        <w:br/>
        <w:t>Baal has forsaken the furrows of the ploughland.</w:t>
      </w:r>
      <w:r w:rsidRPr="00050DAE">
        <w:rPr>
          <w:rFonts w:asciiTheme="majorBidi" w:hAnsiTheme="majorBidi" w:cstheme="majorBidi"/>
          <w:sz w:val="24"/>
          <w:szCs w:val="24"/>
        </w:rPr>
        <w:br/>
        <w:t>Where is Valiant Baal?</w:t>
      </w:r>
      <w:r w:rsidRPr="00050DAE">
        <w:rPr>
          <w:rFonts w:asciiTheme="majorBidi" w:hAnsiTheme="majorBidi" w:cstheme="majorBidi"/>
          <w:sz w:val="24"/>
          <w:szCs w:val="24"/>
        </w:rPr>
        <w:br/>
        <w:t>Where is the Prince, Lord of the earth?”</w:t>
      </w:r>
      <w:r w:rsidRPr="00050DAE">
        <w:rPr>
          <w:rFonts w:asciiTheme="majorBidi" w:hAnsiTheme="majorBidi" w:cstheme="majorBidi"/>
          <w:sz w:val="24"/>
          <w:szCs w:val="24"/>
        </w:rPr>
        <w:br/>
        <w:t>And the Luminary of the gods, Shapsh, replied:</w:t>
      </w:r>
      <w:r w:rsidRPr="00050DAE">
        <w:rPr>
          <w:rFonts w:asciiTheme="majorBidi" w:hAnsiTheme="majorBidi" w:cstheme="majorBidi"/>
          <w:sz w:val="24"/>
          <w:szCs w:val="24"/>
        </w:rPr>
        <w:br/>
        <w:t>“Pour out sparkling wine from the chalice.</w:t>
      </w:r>
      <w:r w:rsidRPr="00050DAE">
        <w:rPr>
          <w:rFonts w:asciiTheme="majorBidi" w:hAnsiTheme="majorBidi" w:cstheme="majorBidi"/>
          <w:sz w:val="24"/>
          <w:szCs w:val="24"/>
        </w:rPr>
        <w:br/>
        <w:t>Let your kinsmen bring garlands</w:t>
      </w:r>
      <w:r w:rsidRPr="00050DAE">
        <w:rPr>
          <w:rFonts w:asciiTheme="majorBidi" w:hAnsiTheme="majorBidi" w:cstheme="majorBidi"/>
          <w:sz w:val="24"/>
          <w:szCs w:val="24"/>
        </w:rPr>
        <w:br/>
        <w:t>and I shall search for Valiant Baal.”</w:t>
      </w:r>
      <w:r w:rsidRPr="00050DAE">
        <w:rPr>
          <w:rFonts w:asciiTheme="majorBidi" w:hAnsiTheme="majorBidi" w:cstheme="majorBidi"/>
          <w:sz w:val="24"/>
          <w:szCs w:val="24"/>
        </w:rPr>
        <w:br/>
        <w:t>And Virgin Anat replied:</w:t>
      </w:r>
      <w:r w:rsidRPr="00050DAE">
        <w:rPr>
          <w:rFonts w:asciiTheme="majorBidi" w:hAnsiTheme="majorBidi" w:cstheme="majorBidi"/>
          <w:sz w:val="24"/>
          <w:szCs w:val="24"/>
        </w:rPr>
        <w:br/>
        <w:t>“Wherever, O Shapsh,</w:t>
      </w:r>
      <w:r w:rsidRPr="00050DAE">
        <w:rPr>
          <w:rFonts w:asciiTheme="majorBidi" w:hAnsiTheme="majorBidi" w:cstheme="majorBidi"/>
          <w:sz w:val="24"/>
          <w:szCs w:val="24"/>
        </w:rPr>
        <w:br/>
        <w:t>wherever (you go) may El keep you,</w:t>
      </w:r>
      <w:r w:rsidRPr="00050DAE">
        <w:rPr>
          <w:rFonts w:asciiTheme="majorBidi" w:hAnsiTheme="majorBidi" w:cstheme="majorBidi"/>
          <w:sz w:val="24"/>
          <w:szCs w:val="24"/>
        </w:rPr>
        <w:br/>
        <w:t>may [the gods] keep you in peace!”</w:t>
      </w:r>
    </w:p>
    <w:p w14:paraId="5C2F7A92"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V</w:t>
      </w:r>
      <w:r w:rsidRPr="00050DAE">
        <w:rPr>
          <w:rFonts w:asciiTheme="majorBidi" w:hAnsiTheme="majorBidi" w:cstheme="majorBidi"/>
          <w:sz w:val="24"/>
          <w:szCs w:val="24"/>
        </w:rPr>
        <w:br/>
        <w:t>Baal seized the sons of Athirat.</w:t>
      </w:r>
      <w:r w:rsidRPr="00050DAE">
        <w:rPr>
          <w:rFonts w:asciiTheme="majorBidi" w:hAnsiTheme="majorBidi" w:cstheme="majorBidi"/>
          <w:sz w:val="24"/>
          <w:szCs w:val="24"/>
        </w:rPr>
        <w:br/>
        <w:t>The great ones he smote with a blade,</w:t>
      </w:r>
      <w:r w:rsidRPr="00050DAE">
        <w:rPr>
          <w:rFonts w:asciiTheme="majorBidi" w:hAnsiTheme="majorBidi" w:cstheme="majorBidi"/>
          <w:sz w:val="24"/>
          <w:szCs w:val="24"/>
        </w:rPr>
        <w:br/>
        <w:t>the brilliant ones he smote with a mace,</w:t>
      </w:r>
      <w:r w:rsidRPr="00050DAE">
        <w:rPr>
          <w:rFonts w:asciiTheme="majorBidi" w:hAnsiTheme="majorBidi" w:cstheme="majorBidi"/>
          <w:sz w:val="24"/>
          <w:szCs w:val="24"/>
        </w:rPr>
        <w:br/>
        <w:t>the small ones he smote to the earth.</w:t>
      </w:r>
      <w:r w:rsidRPr="00050DAE">
        <w:rPr>
          <w:rFonts w:asciiTheme="majorBidi" w:hAnsiTheme="majorBidi" w:cstheme="majorBidi"/>
          <w:sz w:val="24"/>
          <w:szCs w:val="24"/>
        </w:rPr>
        <w:br/>
        <w:t>And Baal went up to the throne of his kingship,</w:t>
      </w:r>
      <w:r w:rsidRPr="00050DAE">
        <w:rPr>
          <w:rFonts w:asciiTheme="majorBidi" w:hAnsiTheme="majorBidi" w:cstheme="majorBidi"/>
          <w:sz w:val="24"/>
          <w:szCs w:val="24"/>
        </w:rPr>
        <w:br/>
        <w:t>[to the back-rest, to the siege of his dominion.]</w:t>
      </w:r>
      <w:r w:rsidRPr="00050DAE">
        <w:rPr>
          <w:rFonts w:asciiTheme="majorBidi" w:hAnsiTheme="majorBidi" w:cstheme="majorBidi"/>
          <w:sz w:val="24"/>
          <w:szCs w:val="24"/>
        </w:rPr>
        <w:br/>
        <w:t>[days (turned) to months,]</w:t>
      </w:r>
      <w:r w:rsidRPr="00050DAE">
        <w:rPr>
          <w:rFonts w:asciiTheme="majorBidi" w:hAnsiTheme="majorBidi" w:cstheme="majorBidi"/>
          <w:sz w:val="24"/>
          <w:szCs w:val="24"/>
        </w:rPr>
        <w:br/>
        <w:t>months (turned) to years.</w:t>
      </w:r>
      <w:r w:rsidRPr="00050DAE">
        <w:rPr>
          <w:rFonts w:asciiTheme="majorBidi" w:hAnsiTheme="majorBidi" w:cstheme="majorBidi"/>
          <w:sz w:val="24"/>
          <w:szCs w:val="24"/>
        </w:rPr>
        <w:br/>
        <w:t>[Lo,] in the seventh year,</w:t>
      </w:r>
      <w:r w:rsidRPr="00050DAE">
        <w:rPr>
          <w:rFonts w:asciiTheme="majorBidi" w:hAnsiTheme="majorBidi" w:cstheme="majorBidi"/>
          <w:sz w:val="24"/>
          <w:szCs w:val="24"/>
        </w:rPr>
        <w:br/>
        <w:t>divine Mot [came]</w:t>
      </w:r>
    </w:p>
    <w:p w14:paraId="247E1798"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sz w:val="24"/>
          <w:szCs w:val="24"/>
        </w:rPr>
        <w:t>towards Valiant Baal.</w:t>
      </w:r>
      <w:r w:rsidRPr="00050DAE">
        <w:rPr>
          <w:rFonts w:asciiTheme="majorBidi" w:hAnsiTheme="majorBidi" w:cstheme="majorBidi"/>
          <w:sz w:val="24"/>
          <w:szCs w:val="24"/>
        </w:rPr>
        <w:br/>
        <w:t>He lifted up his voice and cried:</w:t>
      </w:r>
    </w:p>
    <w:p w14:paraId="145BF2EB"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V 10</w:t>
      </w:r>
      <w:r w:rsidRPr="00050DAE">
        <w:rPr>
          <w:rFonts w:asciiTheme="majorBidi" w:hAnsiTheme="majorBidi" w:cstheme="majorBidi"/>
          <w:sz w:val="24"/>
          <w:szCs w:val="24"/>
        </w:rPr>
        <w:br/>
        <w:t>“Because of you, O Baal, I experienced downfall.</w:t>
      </w:r>
      <w:r w:rsidRPr="00050DAE">
        <w:rPr>
          <w:rFonts w:asciiTheme="majorBidi" w:hAnsiTheme="majorBidi" w:cstheme="majorBidi"/>
          <w:sz w:val="24"/>
          <w:szCs w:val="24"/>
        </w:rPr>
        <w:br/>
        <w:t>Because of you I experienced winnowing with a fan,</w:t>
      </w:r>
      <w:r w:rsidRPr="00050DAE">
        <w:rPr>
          <w:rFonts w:asciiTheme="majorBidi" w:hAnsiTheme="majorBidi" w:cstheme="majorBidi"/>
          <w:sz w:val="24"/>
          <w:szCs w:val="24"/>
        </w:rPr>
        <w:br/>
        <w:t>because of you I experienced splitting with a knife,</w:t>
      </w:r>
      <w:r w:rsidRPr="00050DAE">
        <w:rPr>
          <w:rFonts w:asciiTheme="majorBidi" w:hAnsiTheme="majorBidi" w:cstheme="majorBidi"/>
          <w:sz w:val="24"/>
          <w:szCs w:val="24"/>
        </w:rPr>
        <w:br/>
        <w:t>because of you I experienced burning with fire,</w:t>
      </w:r>
      <w:r w:rsidRPr="00050DAE">
        <w:rPr>
          <w:rFonts w:asciiTheme="majorBidi" w:hAnsiTheme="majorBidi" w:cstheme="majorBidi"/>
          <w:sz w:val="24"/>
          <w:szCs w:val="24"/>
        </w:rPr>
        <w:br/>
        <w:t>because of you I experienced grinding with millstones,</w:t>
      </w:r>
      <w:r w:rsidRPr="00050DAE">
        <w:rPr>
          <w:rFonts w:asciiTheme="majorBidi" w:hAnsiTheme="majorBidi" w:cstheme="majorBidi"/>
          <w:sz w:val="24"/>
          <w:szCs w:val="24"/>
        </w:rPr>
        <w:br/>
        <w:t>because of you I experienced sifting with a sieve,</w:t>
      </w:r>
      <w:r w:rsidRPr="00050DAE">
        <w:rPr>
          <w:rFonts w:asciiTheme="majorBidi" w:hAnsiTheme="majorBidi" w:cstheme="majorBidi"/>
          <w:sz w:val="24"/>
          <w:szCs w:val="24"/>
        </w:rPr>
        <w:br/>
        <w:t>because of you I experienced abandonment on the steppe,</w:t>
      </w:r>
      <w:r w:rsidRPr="00050DAE">
        <w:rPr>
          <w:rFonts w:asciiTheme="majorBidi" w:hAnsiTheme="majorBidi" w:cstheme="majorBidi"/>
          <w:sz w:val="24"/>
          <w:szCs w:val="24"/>
        </w:rPr>
        <w:br/>
        <w:t>because of you I experienced sowing in the sea.</w:t>
      </w:r>
      <w:r w:rsidRPr="00050DAE">
        <w:rPr>
          <w:rFonts w:asciiTheme="majorBidi" w:hAnsiTheme="majorBidi" w:cstheme="majorBidi"/>
          <w:sz w:val="24"/>
          <w:szCs w:val="24"/>
        </w:rPr>
        <w:br/>
        <w:t>Give the first of your brothers (whom) I may eat,</w:t>
      </w:r>
      <w:r w:rsidRPr="00050DAE">
        <w:rPr>
          <w:rFonts w:asciiTheme="majorBidi" w:hAnsiTheme="majorBidi" w:cstheme="majorBidi"/>
          <w:sz w:val="24"/>
          <w:szCs w:val="24"/>
        </w:rPr>
        <w:br/>
        <w:t>and the anger I feel will depart.</w:t>
      </w:r>
      <w:r w:rsidRPr="00050DAE">
        <w:rPr>
          <w:rFonts w:asciiTheme="majorBidi" w:hAnsiTheme="majorBidi" w:cstheme="majorBidi"/>
          <w:sz w:val="24"/>
          <w:szCs w:val="24"/>
        </w:rPr>
        <w:br/>
        <w:t>If the first of your brothers you do not give,</w:t>
      </w:r>
      <w:r w:rsidRPr="00050DAE">
        <w:rPr>
          <w:rFonts w:asciiTheme="majorBidi" w:hAnsiTheme="majorBidi" w:cstheme="majorBidi"/>
          <w:sz w:val="24"/>
          <w:szCs w:val="24"/>
        </w:rPr>
        <w:br/>
        <w:t>then I shall seize [ ]</w:t>
      </w:r>
      <w:r w:rsidRPr="00050DAE">
        <w:rPr>
          <w:rFonts w:asciiTheme="majorBidi" w:hAnsiTheme="majorBidi" w:cstheme="majorBidi"/>
          <w:sz w:val="24"/>
          <w:szCs w:val="24"/>
        </w:rPr>
        <w:br/>
        <w:t>(it will be) time I ate [mankind],</w:t>
      </w:r>
      <w:r w:rsidRPr="00050DAE">
        <w:rPr>
          <w:rFonts w:asciiTheme="majorBidi" w:hAnsiTheme="majorBidi" w:cstheme="majorBidi"/>
          <w:sz w:val="24"/>
          <w:szCs w:val="24"/>
        </w:rPr>
        <w:br/>
        <w:t>that I ate the multitudes of the earth!”</w:t>
      </w:r>
    </w:p>
    <w:p w14:paraId="2682ECE7"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VI</w:t>
      </w:r>
      <w:r w:rsidRPr="00050DAE">
        <w:rPr>
          <w:rFonts w:asciiTheme="majorBidi" w:hAnsiTheme="majorBidi" w:cstheme="majorBidi"/>
          <w:sz w:val="24"/>
          <w:szCs w:val="24"/>
        </w:rPr>
        <w:br/>
        <w:t>(4 illegible vv., followed by about 25 missing vv.)</w:t>
      </w:r>
      <w:r w:rsidRPr="00050DAE">
        <w:rPr>
          <w:rFonts w:asciiTheme="majorBidi" w:hAnsiTheme="majorBidi" w:cstheme="majorBidi"/>
          <w:sz w:val="24"/>
          <w:szCs w:val="24"/>
        </w:rPr>
        <w:br/>
        <w:t>[drive him out,]</w:t>
      </w:r>
      <w:r w:rsidRPr="00050DAE">
        <w:rPr>
          <w:rFonts w:asciiTheme="majorBidi" w:hAnsiTheme="majorBidi" w:cstheme="majorBidi"/>
          <w:sz w:val="24"/>
          <w:szCs w:val="24"/>
        </w:rPr>
        <w:br/>
        <w:t>[expel him.]</w:t>
      </w:r>
      <w:r w:rsidRPr="00050DAE">
        <w:rPr>
          <w:rFonts w:asciiTheme="majorBidi" w:hAnsiTheme="majorBidi" w:cstheme="majorBidi"/>
          <w:sz w:val="24"/>
          <w:szCs w:val="24"/>
        </w:rPr>
        <w:br/>
        <w:t>[ ]</w:t>
      </w:r>
      <w:r w:rsidRPr="00050DAE">
        <w:rPr>
          <w:rFonts w:asciiTheme="majorBidi" w:hAnsiTheme="majorBidi" w:cstheme="majorBidi"/>
          <w:sz w:val="24"/>
          <w:szCs w:val="24"/>
        </w:rPr>
        <w:br/>
        <w:t>[ ] Mot,</w:t>
      </w:r>
      <w:r w:rsidRPr="00050DAE">
        <w:rPr>
          <w:rFonts w:asciiTheme="majorBidi" w:hAnsiTheme="majorBidi" w:cstheme="majorBidi"/>
          <w:sz w:val="24"/>
          <w:szCs w:val="24"/>
        </w:rPr>
        <w:br/>
        <w:t>] the Powerful One</w:t>
      </w:r>
      <w:r w:rsidRPr="00050DAE">
        <w:rPr>
          <w:rFonts w:asciiTheme="majorBidi" w:hAnsiTheme="majorBidi" w:cstheme="majorBidi"/>
          <w:sz w:val="24"/>
          <w:szCs w:val="24"/>
        </w:rPr>
        <w:br/>
        <w:t>] divine Mot.</w:t>
      </w:r>
      <w:r w:rsidRPr="00050DAE">
        <w:rPr>
          <w:rFonts w:asciiTheme="majorBidi" w:hAnsiTheme="majorBidi" w:cstheme="majorBidi"/>
          <w:sz w:val="24"/>
          <w:szCs w:val="24"/>
        </w:rPr>
        <w:br/>
        <w:t>[He ate] his seven divine assistants.</w:t>
      </w:r>
      <w:r w:rsidRPr="00050DAE">
        <w:rPr>
          <w:rFonts w:asciiTheme="majorBidi" w:hAnsiTheme="majorBidi" w:cstheme="majorBidi"/>
          <w:sz w:val="24"/>
          <w:szCs w:val="24"/>
        </w:rPr>
        <w:br/>
        <w:t>Divine Mot [cried]:</w:t>
      </w:r>
      <w:r w:rsidRPr="00050DAE">
        <w:rPr>
          <w:rFonts w:asciiTheme="majorBidi" w:hAnsiTheme="majorBidi" w:cstheme="majorBidi"/>
          <w:sz w:val="24"/>
          <w:szCs w:val="24"/>
        </w:rPr>
        <w:br/>
        <w:t>“Loo[k!]</w:t>
      </w:r>
    </w:p>
    <w:p w14:paraId="07C710FE"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VI 10</w:t>
      </w:r>
      <w:r w:rsidRPr="00050DAE">
        <w:rPr>
          <w:rFonts w:asciiTheme="majorBidi" w:hAnsiTheme="majorBidi" w:cstheme="majorBidi"/>
          <w:sz w:val="24"/>
          <w:szCs w:val="24"/>
        </w:rPr>
        <w:br/>
        <w:t>[It is] my brothers [whom] Baal has given me for my meal,</w:t>
      </w:r>
      <w:r w:rsidRPr="00050DAE">
        <w:rPr>
          <w:rFonts w:asciiTheme="majorBidi" w:hAnsiTheme="majorBidi" w:cstheme="majorBidi"/>
          <w:sz w:val="24"/>
          <w:szCs w:val="24"/>
        </w:rPr>
        <w:br/>
        <w:t>my mother’s sons for my consumption!”</w:t>
      </w:r>
      <w:r w:rsidRPr="00050DAE">
        <w:rPr>
          <w:rFonts w:asciiTheme="majorBidi" w:hAnsiTheme="majorBidi" w:cstheme="majorBidi"/>
          <w:sz w:val="24"/>
          <w:szCs w:val="24"/>
        </w:rPr>
        <w:br/>
        <w:t>He returned to Baal in the recesses of Saphon.</w:t>
      </w:r>
      <w:r w:rsidRPr="00050DAE">
        <w:rPr>
          <w:rFonts w:asciiTheme="majorBidi" w:hAnsiTheme="majorBidi" w:cstheme="majorBidi"/>
          <w:sz w:val="24"/>
          <w:szCs w:val="24"/>
        </w:rPr>
        <w:br/>
        <w:t>He lifted up his voice and cried:</w:t>
      </w:r>
      <w:r w:rsidRPr="00050DAE">
        <w:rPr>
          <w:rFonts w:asciiTheme="majorBidi" w:hAnsiTheme="majorBidi" w:cstheme="majorBidi"/>
          <w:sz w:val="24"/>
          <w:szCs w:val="24"/>
        </w:rPr>
        <w:br/>
        <w:t>“It is my brothers you have given me, Baal, for my meal,</w:t>
      </w:r>
      <w:r w:rsidRPr="00050DAE">
        <w:rPr>
          <w:rFonts w:asciiTheme="majorBidi" w:hAnsiTheme="majorBidi" w:cstheme="majorBidi"/>
          <w:sz w:val="24"/>
          <w:szCs w:val="24"/>
        </w:rPr>
        <w:br/>
        <w:t>my mother’s sons for my consumption!”</w:t>
      </w:r>
      <w:r w:rsidRPr="00050DAE">
        <w:rPr>
          <w:rFonts w:asciiTheme="majorBidi" w:hAnsiTheme="majorBidi" w:cstheme="majorBidi"/>
          <w:sz w:val="24"/>
          <w:szCs w:val="24"/>
        </w:rPr>
        <w:br/>
        <w:t>They glowered at each other like burning coals.</w:t>
      </w:r>
      <w:r w:rsidRPr="00050DAE">
        <w:rPr>
          <w:rFonts w:asciiTheme="majorBidi" w:hAnsiTheme="majorBidi" w:cstheme="majorBidi"/>
          <w:sz w:val="24"/>
          <w:szCs w:val="24"/>
        </w:rPr>
        <w:br/>
        <w:t>Mot was strong:</w:t>
      </w:r>
      <w:r w:rsidRPr="00050DAE">
        <w:rPr>
          <w:rFonts w:asciiTheme="majorBidi" w:hAnsiTheme="majorBidi" w:cstheme="majorBidi"/>
          <w:sz w:val="24"/>
          <w:szCs w:val="24"/>
        </w:rPr>
        <w:br/>
        <w:t>Baal was strong.</w:t>
      </w:r>
      <w:r w:rsidRPr="00050DAE">
        <w:rPr>
          <w:rFonts w:asciiTheme="majorBidi" w:hAnsiTheme="majorBidi" w:cstheme="majorBidi"/>
          <w:sz w:val="24"/>
          <w:szCs w:val="24"/>
        </w:rPr>
        <w:br/>
        <w:t>They gored like wild bulls.</w:t>
      </w:r>
      <w:r w:rsidRPr="00050DAE">
        <w:rPr>
          <w:rFonts w:asciiTheme="majorBidi" w:hAnsiTheme="majorBidi" w:cstheme="majorBidi"/>
          <w:sz w:val="24"/>
          <w:szCs w:val="24"/>
        </w:rPr>
        <w:br/>
        <w:t>Mot was strong.</w:t>
      </w:r>
      <w:r w:rsidRPr="00050DAE">
        <w:rPr>
          <w:rFonts w:asciiTheme="majorBidi" w:hAnsiTheme="majorBidi" w:cstheme="majorBidi"/>
          <w:sz w:val="24"/>
          <w:szCs w:val="24"/>
        </w:rPr>
        <w:br/>
        <w:t>Baal was strong.</w:t>
      </w:r>
      <w:r w:rsidRPr="00050DAE">
        <w:rPr>
          <w:rFonts w:asciiTheme="majorBidi" w:hAnsiTheme="majorBidi" w:cstheme="majorBidi"/>
          <w:sz w:val="24"/>
          <w:szCs w:val="24"/>
        </w:rPr>
        <w:br/>
        <w:t>They bit like serpents.</w:t>
      </w:r>
      <w:r w:rsidRPr="00050DAE">
        <w:rPr>
          <w:rFonts w:asciiTheme="majorBidi" w:hAnsiTheme="majorBidi" w:cstheme="majorBidi"/>
          <w:sz w:val="24"/>
          <w:szCs w:val="24"/>
        </w:rPr>
        <w:br/>
        <w:t>Mot was strong.</w:t>
      </w:r>
      <w:r w:rsidRPr="00050DAE">
        <w:rPr>
          <w:rFonts w:asciiTheme="majorBidi" w:hAnsiTheme="majorBidi" w:cstheme="majorBidi"/>
          <w:sz w:val="24"/>
          <w:szCs w:val="24"/>
        </w:rPr>
        <w:br/>
        <w:t>Baal was strong.</w:t>
      </w:r>
      <w:r w:rsidRPr="00050DAE">
        <w:rPr>
          <w:rFonts w:asciiTheme="majorBidi" w:hAnsiTheme="majorBidi" w:cstheme="majorBidi"/>
          <w:sz w:val="24"/>
          <w:szCs w:val="24"/>
        </w:rPr>
        <w:br/>
        <w:t>They tugged like hunting-dogs.</w:t>
      </w:r>
      <w:r w:rsidRPr="00050DAE">
        <w:rPr>
          <w:rFonts w:asciiTheme="majorBidi" w:hAnsiTheme="majorBidi" w:cstheme="majorBidi"/>
          <w:sz w:val="24"/>
          <w:szCs w:val="24"/>
        </w:rPr>
        <w:br/>
        <w:t>Mot fell,</w:t>
      </w:r>
      <w:r w:rsidRPr="00050DAE">
        <w:rPr>
          <w:rFonts w:asciiTheme="majorBidi" w:hAnsiTheme="majorBidi" w:cstheme="majorBidi"/>
          <w:sz w:val="24"/>
          <w:szCs w:val="24"/>
        </w:rPr>
        <w:br/>
        <w:t>Baal fell on top of him.</w:t>
      </w:r>
      <w:r w:rsidRPr="00050DAE">
        <w:rPr>
          <w:rFonts w:asciiTheme="majorBidi" w:hAnsiTheme="majorBidi" w:cstheme="majorBidi"/>
          <w:sz w:val="24"/>
          <w:szCs w:val="24"/>
        </w:rPr>
        <w:br/>
        <w:t>Shapsh cried to Mot:</w:t>
      </w:r>
      <w:r w:rsidRPr="00050DAE">
        <w:rPr>
          <w:rFonts w:asciiTheme="majorBidi" w:hAnsiTheme="majorBidi" w:cstheme="majorBidi"/>
          <w:sz w:val="24"/>
          <w:szCs w:val="24"/>
        </w:rPr>
        <w:br/>
        <w:t>“Listen, pray, O divine Mot!</w:t>
      </w:r>
      <w:r w:rsidRPr="00050DAE">
        <w:rPr>
          <w:rFonts w:asciiTheme="majorBidi" w:hAnsiTheme="majorBidi" w:cstheme="majorBidi"/>
          <w:sz w:val="24"/>
          <w:szCs w:val="24"/>
        </w:rPr>
        <w:br/>
        <w:t>How can you fight with Valiant Baal?</w:t>
      </w:r>
      <w:r w:rsidRPr="00050DAE">
        <w:rPr>
          <w:rFonts w:asciiTheme="majorBidi" w:hAnsiTheme="majorBidi" w:cstheme="majorBidi"/>
          <w:sz w:val="24"/>
          <w:szCs w:val="24"/>
        </w:rPr>
        <w:br/>
        <w:t>How will Bull El your father not hear you?</w:t>
      </w:r>
      <w:r w:rsidRPr="00050DAE">
        <w:rPr>
          <w:rFonts w:asciiTheme="majorBidi" w:hAnsiTheme="majorBidi" w:cstheme="majorBidi"/>
          <w:sz w:val="24"/>
          <w:szCs w:val="24"/>
        </w:rPr>
        <w:br/>
        <w:t>He will surely pull down the pillars of your dwelling,</w:t>
      </w:r>
      <w:r w:rsidRPr="00050DAE">
        <w:rPr>
          <w:rFonts w:asciiTheme="majorBidi" w:hAnsiTheme="majorBidi" w:cstheme="majorBidi"/>
          <w:sz w:val="24"/>
          <w:szCs w:val="24"/>
        </w:rPr>
        <w:br/>
        <w:t>he will surely overturn the throne of your kingship,</w:t>
      </w:r>
      <w:r w:rsidRPr="00050DAE">
        <w:rPr>
          <w:rFonts w:asciiTheme="majorBidi" w:hAnsiTheme="majorBidi" w:cstheme="majorBidi"/>
          <w:sz w:val="24"/>
          <w:szCs w:val="24"/>
        </w:rPr>
        <w:br/>
        <w:t>he will surely break the sceptre of your rule!”</w:t>
      </w:r>
    </w:p>
    <w:p w14:paraId="7AE3A727" w14:textId="77777777" w:rsidR="00014F8D" w:rsidRPr="00050DAE" w:rsidRDefault="00014F8D" w:rsidP="008E68BB">
      <w:pPr>
        <w:spacing w:after="60" w:line="252" w:lineRule="auto"/>
        <w:rPr>
          <w:rFonts w:asciiTheme="majorBidi" w:hAnsiTheme="majorBidi" w:cstheme="majorBidi"/>
          <w:sz w:val="24"/>
          <w:szCs w:val="24"/>
        </w:rPr>
      </w:pPr>
      <w:r w:rsidRPr="00050DAE">
        <w:rPr>
          <w:rFonts w:asciiTheme="majorBidi" w:hAnsiTheme="majorBidi" w:cstheme="majorBidi"/>
          <w:b/>
          <w:sz w:val="24"/>
          <w:szCs w:val="24"/>
        </w:rPr>
        <w:t>1.6 VI 30</w:t>
      </w:r>
      <w:r w:rsidRPr="00050DAE">
        <w:rPr>
          <w:rFonts w:asciiTheme="majorBidi" w:hAnsiTheme="majorBidi" w:cstheme="majorBidi"/>
          <w:sz w:val="24"/>
          <w:szCs w:val="24"/>
        </w:rPr>
        <w:br/>
        <w:t>Divine &lt;M&gt;ot was afraid:</w:t>
      </w:r>
      <w:r w:rsidRPr="00050DAE">
        <w:rPr>
          <w:rFonts w:asciiTheme="majorBidi" w:hAnsiTheme="majorBidi" w:cstheme="majorBidi"/>
          <w:sz w:val="24"/>
          <w:szCs w:val="24"/>
        </w:rPr>
        <w:br/>
        <w:t>the Beloved of El, the hero was in dread.</w:t>
      </w:r>
      <w:r w:rsidRPr="00050DAE">
        <w:rPr>
          <w:rFonts w:asciiTheme="majorBidi" w:hAnsiTheme="majorBidi" w:cstheme="majorBidi"/>
          <w:sz w:val="24"/>
          <w:szCs w:val="24"/>
        </w:rPr>
        <w:br/>
        <w:t>Mot started at her voice.</w:t>
      </w:r>
      <w:r w:rsidRPr="00050DAE">
        <w:rPr>
          <w:rFonts w:asciiTheme="majorBidi" w:hAnsiTheme="majorBidi" w:cstheme="majorBidi"/>
          <w:sz w:val="24"/>
          <w:szCs w:val="24"/>
        </w:rPr>
        <w:br/>
        <w:t>[He lifted up his voice and cried:]</w:t>
      </w:r>
      <w:r w:rsidRPr="00050DAE">
        <w:rPr>
          <w:rFonts w:asciiTheme="majorBidi" w:hAnsiTheme="majorBidi" w:cstheme="majorBidi"/>
          <w:sz w:val="24"/>
          <w:szCs w:val="24"/>
        </w:rPr>
        <w:br/>
        <w:t>“Let Baal be installed [on the throne of] his kingship,</w:t>
      </w:r>
      <w:r w:rsidRPr="00050DAE">
        <w:rPr>
          <w:rFonts w:asciiTheme="majorBidi" w:hAnsiTheme="majorBidi" w:cstheme="majorBidi"/>
          <w:sz w:val="24"/>
          <w:szCs w:val="24"/>
        </w:rPr>
        <w:br/>
        <w:t>on [the back-rest, on the siege of] his dominion!”</w:t>
      </w:r>
      <w:r w:rsidRPr="00050DAE">
        <w:rPr>
          <w:rFonts w:asciiTheme="majorBidi" w:hAnsiTheme="majorBidi" w:cstheme="majorBidi"/>
          <w:sz w:val="24"/>
          <w:szCs w:val="24"/>
        </w:rPr>
        <w:br/>
        <w:t>(6 fragmentary vv.)</w:t>
      </w:r>
      <w:r w:rsidRPr="00050DAE">
        <w:rPr>
          <w:rFonts w:asciiTheme="majorBidi" w:hAnsiTheme="majorBidi" w:cstheme="majorBidi"/>
          <w:sz w:val="24"/>
          <w:szCs w:val="24"/>
        </w:rPr>
        <w:br/>
        <w:t>Come, pray, to the fresh meat;</w:t>
      </w:r>
      <w:r w:rsidRPr="00050DAE">
        <w:rPr>
          <w:rFonts w:asciiTheme="majorBidi" w:hAnsiTheme="majorBidi" w:cstheme="majorBidi"/>
          <w:sz w:val="24"/>
          <w:szCs w:val="24"/>
        </w:rPr>
        <w:br/>
        <w:t>yes, eat the offering-bread:</w:t>
      </w:r>
      <w:r w:rsidRPr="00050DAE">
        <w:rPr>
          <w:rFonts w:asciiTheme="majorBidi" w:hAnsiTheme="majorBidi" w:cstheme="majorBidi"/>
          <w:sz w:val="24"/>
          <w:szCs w:val="24"/>
        </w:rPr>
        <w:br/>
        <w:t>pray drink the libation-wine.</w:t>
      </w:r>
      <w:r w:rsidRPr="00050DAE">
        <w:rPr>
          <w:rFonts w:asciiTheme="majorBidi" w:hAnsiTheme="majorBidi" w:cstheme="majorBidi"/>
          <w:sz w:val="24"/>
          <w:szCs w:val="24"/>
        </w:rPr>
        <w:br/>
        <w:t>Shapsh, you rule the saviours,</w:t>
      </w:r>
      <w:r w:rsidRPr="00050DAE">
        <w:rPr>
          <w:rFonts w:asciiTheme="majorBidi" w:hAnsiTheme="majorBidi" w:cstheme="majorBidi"/>
          <w:sz w:val="24"/>
          <w:szCs w:val="24"/>
        </w:rPr>
        <w:br/>
        <w:t>Shapsh, you rule the chthonian gods.</w:t>
      </w:r>
      <w:r w:rsidRPr="00050DAE">
        <w:rPr>
          <w:rFonts w:asciiTheme="majorBidi" w:hAnsiTheme="majorBidi" w:cstheme="majorBidi"/>
          <w:sz w:val="24"/>
          <w:szCs w:val="24"/>
        </w:rPr>
        <w:br/>
        <w:t>Your company are the gods:</w:t>
      </w:r>
      <w:r w:rsidRPr="00050DAE">
        <w:rPr>
          <w:rFonts w:asciiTheme="majorBidi" w:hAnsiTheme="majorBidi" w:cstheme="majorBidi"/>
          <w:sz w:val="24"/>
          <w:szCs w:val="24"/>
        </w:rPr>
        <w:br/>
        <w:t>lo, mortals are your company.</w:t>
      </w:r>
      <w:r w:rsidRPr="00050DAE">
        <w:rPr>
          <w:rFonts w:asciiTheme="majorBidi" w:hAnsiTheme="majorBidi" w:cstheme="majorBidi"/>
          <w:sz w:val="24"/>
          <w:szCs w:val="24"/>
        </w:rPr>
        <w:br/>
        <w:t>Kothar is your associate,</w:t>
      </w:r>
      <w:r w:rsidRPr="00050DAE">
        <w:rPr>
          <w:rFonts w:asciiTheme="majorBidi" w:hAnsiTheme="majorBidi" w:cstheme="majorBidi"/>
          <w:sz w:val="24"/>
          <w:szCs w:val="24"/>
        </w:rPr>
        <w:br/>
        <w:t>and Hasis is your companion.</w:t>
      </w:r>
      <w:r w:rsidRPr="00050DAE">
        <w:rPr>
          <w:rFonts w:asciiTheme="majorBidi" w:hAnsiTheme="majorBidi" w:cstheme="majorBidi"/>
          <w:sz w:val="24"/>
          <w:szCs w:val="24"/>
        </w:rPr>
        <w:br/>
        <w:t>In the sea of Arsh and the dragon,</w:t>
      </w:r>
      <w:r w:rsidRPr="00050DAE">
        <w:rPr>
          <w:rFonts w:asciiTheme="majorBidi" w:hAnsiTheme="majorBidi" w:cstheme="majorBidi"/>
          <w:sz w:val="24"/>
          <w:szCs w:val="24"/>
        </w:rPr>
        <w:br/>
        <w:t>Kothar-and-Hasis, steer (the bark)!</w:t>
      </w:r>
      <w:r w:rsidRPr="00050DAE">
        <w:rPr>
          <w:rFonts w:asciiTheme="majorBidi" w:hAnsiTheme="majorBidi" w:cstheme="majorBidi"/>
          <w:sz w:val="24"/>
          <w:szCs w:val="24"/>
        </w:rPr>
        <w:br/>
        <w:t>Pilot (the ship), Kothar-and-Hasis!</w:t>
      </w:r>
    </w:p>
    <w:p w14:paraId="0A907CEE" w14:textId="77777777" w:rsidR="00014F8D" w:rsidRPr="00050DAE" w:rsidRDefault="00014F8D" w:rsidP="008E68BB">
      <w:pPr>
        <w:spacing w:after="60" w:line="252" w:lineRule="auto"/>
        <w:rPr>
          <w:rFonts w:asciiTheme="majorBidi" w:hAnsiTheme="majorBidi" w:cstheme="majorBidi"/>
        </w:rPr>
      </w:pPr>
      <w:r w:rsidRPr="00050DAE">
        <w:rPr>
          <w:rFonts w:asciiTheme="majorBidi" w:hAnsiTheme="majorBidi" w:cstheme="majorBidi"/>
          <w:b/>
          <w:sz w:val="24"/>
          <w:szCs w:val="24"/>
        </w:rPr>
        <w:t>1.6 VI 54-58</w:t>
      </w:r>
      <w:r w:rsidRPr="00050DAE">
        <w:rPr>
          <w:rFonts w:asciiTheme="majorBidi" w:hAnsiTheme="majorBidi" w:cstheme="majorBidi"/>
          <w:sz w:val="24"/>
          <w:szCs w:val="24"/>
        </w:rPr>
        <w:br/>
        <w:t>Ilimilku the Shubanitc wrote (it), the student of Allanu the diviner, chief of the priests, chief of the temple herdsmen, sacrificer of Niqmad, king of Ugarit, Lord of Yargub and Ruler of Sharruman.</w:t>
      </w:r>
      <w:r w:rsidRPr="00050DAE">
        <w:rPr>
          <w:rFonts w:asciiTheme="majorBidi" w:hAnsiTheme="majorBidi" w:cstheme="majorBidi"/>
          <w:sz w:val="24"/>
          <w:szCs w:val="24"/>
        </w:rPr>
        <w:br/>
      </w:r>
    </w:p>
    <w:p w14:paraId="64157061"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258522BD" w14:textId="77777777" w:rsidR="00014F8D" w:rsidRPr="00050DAE" w:rsidRDefault="00014F8D" w:rsidP="005D0E65">
      <w:pPr>
        <w:pStyle w:val="Heading3"/>
        <w:rPr>
          <w:rFonts w:asciiTheme="majorBidi" w:hAnsiTheme="majorBidi"/>
          <w:i/>
          <w:iCs/>
        </w:rPr>
      </w:pPr>
      <w:bookmarkStart w:id="218" w:name="_Toc234154345"/>
      <w:r w:rsidRPr="00050DAE">
        <w:rPr>
          <w:rFonts w:asciiTheme="majorBidi" w:hAnsiTheme="majorBidi"/>
          <w:i/>
          <w:iCs/>
        </w:rPr>
        <w:t>KTU 1.10 - Baal, the Heifer, and Anat</w:t>
      </w:r>
      <w:r w:rsidRPr="00050DAE">
        <w:rPr>
          <w:rStyle w:val="FootnoteReference"/>
          <w:rFonts w:asciiTheme="majorBidi" w:hAnsiTheme="majorBidi"/>
        </w:rPr>
        <w:footnoteReference w:id="369"/>
      </w:r>
      <w:bookmarkEnd w:id="218"/>
    </w:p>
    <w:p w14:paraId="7F927CE8"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Column II</w:t>
      </w:r>
    </w:p>
    <w:p w14:paraId="31CEBEBA"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1-5</w:t>
      </w:r>
    </w:p>
    <w:p w14:paraId="6377B584"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“Is Baal in his house?</w:t>
      </w:r>
    </w:p>
    <w:p w14:paraId="027B81E4"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Divine Hadd within his palace?”</w:t>
      </w:r>
    </w:p>
    <w:p w14:paraId="5732C1B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the divine messengers of Baal replied:</w:t>
      </w:r>
    </w:p>
    <w:p w14:paraId="513FA5E3"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“Baal is not in his house,</w:t>
      </w:r>
    </w:p>
    <w:p w14:paraId="11CBDCB8"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nor Divine Hadd within his palace.”</w:t>
      </w:r>
    </w:p>
    <w:p w14:paraId="54DF3DDC"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6-8</w:t>
      </w:r>
    </w:p>
    <w:p w14:paraId="1354F18C"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He took his bow in his hand,</w:t>
      </w:r>
    </w:p>
    <w:p w14:paraId="3CC34C6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his arrows in his right hand.</w:t>
      </w:r>
    </w:p>
    <w:p w14:paraId="2B57866E"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9-12</w:t>
      </w:r>
    </w:p>
    <w:p w14:paraId="57CCF078"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Then he set his face</w:t>
      </w:r>
    </w:p>
    <w:p w14:paraId="6C320282"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toward the shores of Shamak,</w:t>
      </w:r>
    </w:p>
    <w:p w14:paraId="55972A0A"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filled with wild oxen.</w:t>
      </w:r>
    </w:p>
    <w:p w14:paraId="2334A25E"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13-15</w:t>
      </w:r>
    </w:p>
    <w:p w14:paraId="3545B6B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Virgin Anat spread her wings,</w:t>
      </w:r>
    </w:p>
    <w:p w14:paraId="4E8001D1"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spread her wings</w:t>
      </w:r>
    </w:p>
    <w:p w14:paraId="1FD29F9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flew</w:t>
      </w:r>
    </w:p>
    <w:p w14:paraId="6E42516E"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16-18</w:t>
      </w:r>
    </w:p>
    <w:p w14:paraId="013ACB6C"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toward the shores of Shamak,</w:t>
      </w:r>
    </w:p>
    <w:p w14:paraId="479A956C"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filled with wild oxen.</w:t>
      </w:r>
    </w:p>
    <w:p w14:paraId="10632A01"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19-21</w:t>
      </w:r>
    </w:p>
    <w:p w14:paraId="474F182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Valiant Baal lifted up his eyes,</w:t>
      </w:r>
    </w:p>
    <w:p w14:paraId="405EFF1D"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saw Virgin Anat,</w:t>
      </w:r>
    </w:p>
    <w:p w14:paraId="176DDF0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the loveliest among the sisters of Baal.</w:t>
      </w:r>
    </w:p>
    <w:p w14:paraId="6D1264DD"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22-24</w:t>
      </w:r>
    </w:p>
    <w:p w14:paraId="75B45124"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To her he hurried and stood.</w:t>
      </w:r>
    </w:p>
    <w:p w14:paraId="2199D0C9"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At her feet he bowed and fell down.</w:t>
      </w:r>
    </w:p>
    <w:p w14:paraId="24EB687E"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25-27</w:t>
      </w:r>
    </w:p>
    <w:p w14:paraId="76146976"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He lifted up his voice and cried:</w:t>
      </w:r>
    </w:p>
    <w:p w14:paraId="081EBCD8"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“Life, sister,</w:t>
      </w:r>
    </w:p>
    <w:p w14:paraId="1E3F7061"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long life be yours!”</w:t>
      </w:r>
    </w:p>
    <w:p w14:paraId="02C6FEC7"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28-30</w:t>
      </w:r>
    </w:p>
    <w:p w14:paraId="2728BAFD"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“The horns of your power, Virgin Anat,</w:t>
      </w:r>
    </w:p>
    <w:p w14:paraId="609A333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let Baal anoint them</w:t>
      </w:r>
    </w:p>
    <w:p w14:paraId="16AB6B0C"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against weariness.”</w:t>
      </w:r>
    </w:p>
    <w:p w14:paraId="49366953"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31-33</w:t>
      </w:r>
    </w:p>
    <w:p w14:paraId="4773774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“Let us plant in the earth my foes,</w:t>
      </w:r>
    </w:p>
    <w:p w14:paraId="33B4E997"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in the earth</w:t>
      </w:r>
    </w:p>
    <w:p w14:paraId="3E72222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those who rise against your brother.”</w:t>
      </w:r>
    </w:p>
    <w:p w14:paraId="3B959D12"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34-36</w:t>
      </w:r>
    </w:p>
    <w:p w14:paraId="75B7800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Virgin Anat lifted her eyes</w:t>
      </w:r>
    </w:p>
    <w:p w14:paraId="1BB740C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saw a cow.</w:t>
      </w:r>
    </w:p>
    <w:p w14:paraId="603C9045"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37-39</w:t>
      </w:r>
    </w:p>
    <w:p w14:paraId="0E77849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It turned as it went,</w:t>
      </w:r>
    </w:p>
    <w:p w14:paraId="1A25EF9E"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turning in its pangs,</w:t>
      </w:r>
    </w:p>
    <w:p w14:paraId="3C664FAC"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turning in labor.</w:t>
      </w:r>
    </w:p>
    <w:p w14:paraId="3C0B5A11"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40</w:t>
      </w:r>
    </w:p>
    <w:p w14:paraId="1A8B1D30"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In the grace and beauty of the band of the Kotharat.</w:t>
      </w:r>
    </w:p>
    <w:p w14:paraId="65EB7A33"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Column III</w:t>
      </w:r>
    </w:p>
    <w:p w14:paraId="15BBE679"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1-4</w:t>
      </w:r>
    </w:p>
    <w:p w14:paraId="648571A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Anat addressed Baal:</w:t>
      </w:r>
    </w:p>
    <w:p w14:paraId="6E66926C"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“O Baal of the mist,</w:t>
      </w:r>
    </w:p>
    <w:p w14:paraId="700C2940"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Divine Hadd of the clouds,</w:t>
      </w:r>
    </w:p>
    <w:p w14:paraId="1D976B5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Valiant Baal...”</w:t>
      </w:r>
    </w:p>
    <w:p w14:paraId="54FEDD5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(fragment)</w:t>
      </w:r>
    </w:p>
    <w:p w14:paraId="507F78C0"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5-7</w:t>
      </w:r>
    </w:p>
    <w:p w14:paraId="45484587"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The cows gave birth.</w:t>
      </w:r>
    </w:p>
    <w:p w14:paraId="00A0157A"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 bull for Virgin Anat,</w:t>
      </w:r>
    </w:p>
    <w:p w14:paraId="18649D19"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a heifer for the Beloved of the Powerful One.</w:t>
      </w:r>
    </w:p>
    <w:p w14:paraId="66EB8F43"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8-10</w:t>
      </w:r>
    </w:p>
    <w:p w14:paraId="75E3F81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Valiant Baal said:</w:t>
      </w:r>
    </w:p>
    <w:p w14:paraId="45B2289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“Indeed, like our progenitor I shall mount you,</w:t>
      </w:r>
    </w:p>
    <w:p w14:paraId="5ECBB0D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like the generation that begot us.”</w:t>
      </w:r>
    </w:p>
    <w:p w14:paraId="474D458F"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11-13</w:t>
      </w:r>
    </w:p>
    <w:p w14:paraId="7A726406"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Baal advanced, his penis tumescent,</w:t>
      </w:r>
    </w:p>
    <w:p w14:paraId="11743BA9"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Divine Hadd,</w:t>
      </w:r>
    </w:p>
    <w:p w14:paraId="33217113"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his phallus erect.</w:t>
      </w:r>
    </w:p>
    <w:p w14:paraId="24FBC5F6"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14-16</w:t>
      </w:r>
    </w:p>
    <w:p w14:paraId="69E642F6"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Moist was the nethermouth of Virgin Anat,</w:t>
      </w:r>
    </w:p>
    <w:p w14:paraId="41A3B3F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the nethermouth of the most gracious</w:t>
      </w:r>
    </w:p>
    <w:p w14:paraId="403C6B24"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among Baal’s sisters.</w:t>
      </w:r>
    </w:p>
    <w:p w14:paraId="68E71E71"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17-20</w:t>
      </w:r>
    </w:p>
    <w:p w14:paraId="0587B124"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Baal went up onto the mountain,</w:t>
      </w:r>
    </w:p>
    <w:p w14:paraId="41A36E9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the son of Dagan into the heavens.</w:t>
      </w:r>
    </w:p>
    <w:p w14:paraId="35D79A9C"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Baal sat on the throne of his kingship,</w:t>
      </w:r>
    </w:p>
    <w:p w14:paraId="2B532C23"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upon the seat of his dominion.</w:t>
      </w:r>
    </w:p>
    <w:p w14:paraId="30D10FE9"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21-24</w:t>
      </w:r>
    </w:p>
    <w:p w14:paraId="5F5C2546"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To the bull he called.</w:t>
      </w:r>
    </w:p>
    <w:p w14:paraId="6D0EE124"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To the bull he cried out.</w:t>
      </w:r>
    </w:p>
    <w:p w14:paraId="6EE025CD"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She went and turned</w:t>
      </w:r>
    </w:p>
    <w:p w14:paraId="28170FE7"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in the grace and beauty of the band of the Kotharat.</w:t>
      </w:r>
    </w:p>
    <w:p w14:paraId="17C9D016"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25-27</w:t>
      </w:r>
    </w:p>
    <w:p w14:paraId="34409430"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 cow—</w:t>
      </w:r>
    </w:p>
    <w:p w14:paraId="2C81D81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 cow—</w:t>
      </w:r>
    </w:p>
    <w:p w14:paraId="0C4CD93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 bull she bore to Baal,</w:t>
      </w:r>
    </w:p>
    <w:p w14:paraId="7B3585B7"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28-29</w:t>
      </w:r>
    </w:p>
    <w:p w14:paraId="4F57B7EA"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a wild ox</w:t>
      </w:r>
    </w:p>
    <w:p w14:paraId="73375E5A"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to the Charioteer of the Clouds.</w:t>
      </w:r>
    </w:p>
    <w:p w14:paraId="2E2B9470"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30-33</w:t>
      </w:r>
    </w:p>
    <w:p w14:paraId="58EA5C56"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The cow embraced him.</w:t>
      </w:r>
    </w:p>
    <w:p w14:paraId="31E52C4E"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The cow embraced him</w:t>
      </w:r>
    </w:p>
    <w:p w14:paraId="3FE176BD"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covered him.</w:t>
      </w:r>
    </w:p>
    <w:p w14:paraId="479518A9"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34-35</w:t>
      </w:r>
    </w:p>
    <w:p w14:paraId="3DDFE9B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His navel</w:t>
      </w:r>
    </w:p>
    <w:p w14:paraId="521678B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his first milk.</w:t>
      </w:r>
    </w:p>
    <w:p w14:paraId="4321A66C"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36-39</w:t>
      </w:r>
    </w:p>
    <w:p w14:paraId="7CFA61EF"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By the slope she went up</w:t>
      </w:r>
    </w:p>
    <w:p w14:paraId="2C8C12D3"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onto the mountain of victory,</w:t>
      </w:r>
    </w:p>
    <w:p w14:paraId="14BAEC04"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from there up to Arur.</w:t>
      </w:r>
    </w:p>
    <w:p w14:paraId="61FD143E"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40-42</w:t>
      </w:r>
    </w:p>
    <w:p w14:paraId="44FE709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From Arur she went up to Saphon,</w:t>
      </w:r>
    </w:p>
    <w:p w14:paraId="7032BB3B"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into Paradise,</w:t>
      </w:r>
    </w:p>
    <w:p w14:paraId="6545A6DD"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the mountain of victory.</w:t>
      </w:r>
    </w:p>
    <w:p w14:paraId="3C1F63CC"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43-46</w:t>
      </w:r>
    </w:p>
    <w:p w14:paraId="1B445816"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Her voice she addressed to Baal:</w:t>
      </w:r>
    </w:p>
    <w:p w14:paraId="27F408B4"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“Hear the greatest good news, Baal!</w:t>
      </w:r>
    </w:p>
    <w:p w14:paraId="57FEAA8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Hear the news,</w:t>
      </w:r>
    </w:p>
    <w:p w14:paraId="5FE094F2"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O Son of Dagan!</w:t>
      </w:r>
    </w:p>
    <w:p w14:paraId="45BEDF95"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47-49</w:t>
      </w:r>
    </w:p>
    <w:p w14:paraId="46941E89"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For a bull is born to Baal,</w:t>
      </w:r>
    </w:p>
    <w:p w14:paraId="3B644B95"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and a wild ox</w:t>
      </w:r>
    </w:p>
    <w:p w14:paraId="11B4567E" w14:textId="77777777" w:rsidR="00014F8D" w:rsidRPr="00050DAE" w:rsidRDefault="00014F8D" w:rsidP="005D0E65">
      <w:pPr>
        <w:pStyle w:val="NoSpacing"/>
        <w:rPr>
          <w:rFonts w:asciiTheme="majorBidi" w:hAnsiTheme="majorBidi" w:cstheme="majorBidi"/>
          <w:sz w:val="24"/>
          <w:szCs w:val="24"/>
        </w:rPr>
      </w:pPr>
      <w:r w:rsidRPr="00050DAE">
        <w:rPr>
          <w:rFonts w:asciiTheme="majorBidi" w:hAnsiTheme="majorBidi" w:cstheme="majorBidi"/>
          <w:sz w:val="24"/>
          <w:szCs w:val="24"/>
        </w:rPr>
        <w:t>to the Charioteer of the Clouds.”</w:t>
      </w:r>
    </w:p>
    <w:p w14:paraId="4E66DE90" w14:textId="77777777" w:rsidR="00014F8D" w:rsidRPr="00050DAE" w:rsidRDefault="00014F8D" w:rsidP="005D0E65">
      <w:pPr>
        <w:pStyle w:val="NoSpacing"/>
        <w:rPr>
          <w:rFonts w:asciiTheme="majorBidi" w:hAnsiTheme="majorBidi" w:cstheme="majorBidi"/>
          <w:b/>
          <w:bCs/>
          <w:sz w:val="24"/>
          <w:szCs w:val="24"/>
        </w:rPr>
      </w:pPr>
      <w:r w:rsidRPr="00050DAE">
        <w:rPr>
          <w:rFonts w:asciiTheme="majorBidi" w:hAnsiTheme="majorBidi" w:cstheme="majorBidi"/>
          <w:b/>
          <w:bCs/>
          <w:sz w:val="24"/>
          <w:szCs w:val="24"/>
        </w:rPr>
        <w:t>50</w:t>
      </w:r>
    </w:p>
    <w:p w14:paraId="5B751C64" w14:textId="77777777" w:rsidR="00014F8D" w:rsidRPr="00050DAE" w:rsidRDefault="00014F8D" w:rsidP="005D0E65">
      <w:pPr>
        <w:pStyle w:val="NoSpacing"/>
        <w:rPr>
          <w:rFonts w:asciiTheme="majorBidi" w:hAnsiTheme="majorBidi" w:cstheme="majorBidi"/>
        </w:rPr>
      </w:pPr>
      <w:r w:rsidRPr="00050DAE">
        <w:rPr>
          <w:rFonts w:asciiTheme="majorBidi" w:hAnsiTheme="majorBidi" w:cstheme="majorBidi"/>
          <w:sz w:val="24"/>
          <w:szCs w:val="24"/>
        </w:rPr>
        <w:t>Valiant Baal rejoiced.</w:t>
      </w:r>
    </w:p>
    <w:p w14:paraId="36CF1F9D"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42FCAA78" w14:textId="77777777" w:rsidR="00014F8D" w:rsidRPr="00050DAE" w:rsidRDefault="00014F8D" w:rsidP="004D22B8">
      <w:pPr>
        <w:pStyle w:val="Heading3"/>
        <w:rPr>
          <w:rFonts w:asciiTheme="majorBidi" w:hAnsiTheme="majorBidi"/>
        </w:rPr>
      </w:pPr>
      <w:bookmarkStart w:id="219" w:name="_Toc234154346"/>
      <w:r w:rsidRPr="00050DAE">
        <w:rPr>
          <w:rFonts w:asciiTheme="majorBidi" w:hAnsiTheme="majorBidi"/>
          <w:i/>
          <w:iCs/>
        </w:rPr>
        <w:t>KTU 1.13 - Hymn to Anat</w:t>
      </w:r>
      <w:r w:rsidRPr="00050DAE">
        <w:rPr>
          <w:rStyle w:val="FootnoteReference"/>
          <w:rFonts w:asciiTheme="majorBidi" w:hAnsiTheme="majorBidi"/>
        </w:rPr>
        <w:footnoteReference w:id="370"/>
      </w:r>
      <w:bookmarkEnd w:id="219"/>
    </w:p>
    <w:p w14:paraId="72248EAA" w14:textId="77777777" w:rsidR="00014F8D" w:rsidRPr="00050DAE" w:rsidRDefault="00014F8D" w:rsidP="0095028A">
      <w:pPr>
        <w:pStyle w:val="NoSpacing"/>
        <w:rPr>
          <w:rFonts w:asciiTheme="majorBidi" w:hAnsiTheme="majorBidi" w:cstheme="majorBidi"/>
          <w:b/>
          <w:bCs/>
          <w:sz w:val="24"/>
          <w:szCs w:val="24"/>
        </w:rPr>
      </w:pPr>
      <w:r w:rsidRPr="00050DAE">
        <w:rPr>
          <w:rFonts w:asciiTheme="majorBidi" w:hAnsiTheme="majorBidi" w:cstheme="majorBidi"/>
          <w:b/>
          <w:bCs/>
          <w:sz w:val="24"/>
          <w:szCs w:val="24"/>
        </w:rPr>
        <w:t>1-5</w:t>
      </w:r>
    </w:p>
    <w:p w14:paraId="7F81FE20"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From the womb you are born.</w:t>
      </w:r>
    </w:p>
    <w:p w14:paraId="38FF00E5"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Exterminate on the second day,</w:t>
      </w:r>
    </w:p>
    <w:p w14:paraId="29D220FE"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fear on the third day,</w:t>
      </w:r>
    </w:p>
    <w:p w14:paraId="7D4874E8"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terror on the fourth day.</w:t>
      </w:r>
    </w:p>
    <w:p w14:paraId="5FB9D0CE" w14:textId="77777777" w:rsidR="00014F8D" w:rsidRPr="00050DAE" w:rsidRDefault="00014F8D" w:rsidP="0095028A">
      <w:pPr>
        <w:pStyle w:val="NoSpacing"/>
        <w:rPr>
          <w:rFonts w:asciiTheme="majorBidi" w:hAnsiTheme="majorBidi" w:cstheme="majorBidi"/>
          <w:b/>
          <w:bCs/>
          <w:sz w:val="24"/>
          <w:szCs w:val="24"/>
        </w:rPr>
      </w:pPr>
      <w:r w:rsidRPr="00050DAE">
        <w:rPr>
          <w:rFonts w:asciiTheme="majorBidi" w:hAnsiTheme="majorBidi" w:cstheme="majorBidi"/>
          <w:b/>
          <w:bCs/>
          <w:sz w:val="24"/>
          <w:szCs w:val="24"/>
        </w:rPr>
        <w:t>6-10</w:t>
      </w:r>
    </w:p>
    <w:p w14:paraId="768C57A8"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Sever hands,</w:t>
      </w:r>
    </w:p>
    <w:p w14:paraId="010BCCA9"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attach them to your girdle,</w:t>
      </w:r>
    </w:p>
    <w:p w14:paraId="3CB70FFD"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tie on the heads of your warriors.</w:t>
      </w:r>
    </w:p>
    <w:p w14:paraId="55ED3746"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Fly with your falcons</w:t>
      </w:r>
    </w:p>
    <w:p w14:paraId="086E5FFC"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and settle on your mountain Inbub.</w:t>
      </w:r>
    </w:p>
    <w:p w14:paraId="0D64FB13" w14:textId="77777777" w:rsidR="00014F8D" w:rsidRPr="00050DAE" w:rsidRDefault="00014F8D" w:rsidP="0095028A">
      <w:pPr>
        <w:pStyle w:val="NoSpacing"/>
        <w:rPr>
          <w:rFonts w:asciiTheme="majorBidi" w:hAnsiTheme="majorBidi" w:cstheme="majorBidi"/>
          <w:b/>
          <w:bCs/>
          <w:sz w:val="24"/>
          <w:szCs w:val="24"/>
        </w:rPr>
      </w:pPr>
      <w:r w:rsidRPr="00050DAE">
        <w:rPr>
          <w:rFonts w:asciiTheme="majorBidi" w:hAnsiTheme="majorBidi" w:cstheme="majorBidi"/>
          <w:b/>
          <w:bCs/>
          <w:sz w:val="24"/>
          <w:szCs w:val="24"/>
        </w:rPr>
        <w:t>11-20</w:t>
      </w:r>
    </w:p>
    <w:p w14:paraId="7600C80A"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Come to your mountain which I know.</w:t>
      </w:r>
    </w:p>
    <w:p w14:paraId="1707140F"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Come yourself to your dwelling;</w:t>
      </w:r>
    </w:p>
    <w:p w14:paraId="059930A3"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to the roof of the high heavens go,</w:t>
      </w:r>
    </w:p>
    <w:p w14:paraId="60EB7EA2"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and run toward the stars.</w:t>
      </w:r>
    </w:p>
    <w:p w14:paraId="4565E724"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There your warriors shall fall like poplars,</w:t>
      </w:r>
    </w:p>
    <w:p w14:paraId="71612532"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like the trunks of ash-trees.</w:t>
      </w:r>
    </w:p>
    <w:p w14:paraId="36DCD631"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Penetrate the boundary,</w:t>
      </w:r>
    </w:p>
    <w:p w14:paraId="5111E659"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and the altar,</w:t>
      </w:r>
    </w:p>
    <w:p w14:paraId="36BEC84A"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above the stars,</w:t>
      </w:r>
    </w:p>
    <w:p w14:paraId="50167E32"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the gracious image.</w:t>
      </w:r>
    </w:p>
    <w:p w14:paraId="09F430AA" w14:textId="77777777" w:rsidR="00014F8D" w:rsidRPr="00050DAE" w:rsidRDefault="00014F8D" w:rsidP="0095028A">
      <w:pPr>
        <w:pStyle w:val="NoSpacing"/>
        <w:rPr>
          <w:rFonts w:asciiTheme="majorBidi" w:hAnsiTheme="majorBidi" w:cstheme="majorBidi"/>
          <w:b/>
          <w:bCs/>
          <w:sz w:val="24"/>
          <w:szCs w:val="24"/>
        </w:rPr>
      </w:pPr>
      <w:r w:rsidRPr="00050DAE">
        <w:rPr>
          <w:rFonts w:asciiTheme="majorBidi" w:hAnsiTheme="majorBidi" w:cstheme="majorBidi"/>
          <w:b/>
          <w:bCs/>
          <w:sz w:val="24"/>
          <w:szCs w:val="24"/>
        </w:rPr>
        <w:t>21-30</w:t>
      </w:r>
    </w:p>
    <w:p w14:paraId="77FB9DD4"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Let Virgin Anat wash herself;</w:t>
      </w:r>
    </w:p>
    <w:p w14:paraId="0AE2D770"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let the Beloved of the Powerful One bathe herself;</w:t>
      </w:r>
    </w:p>
    <w:p w14:paraId="3B6F9C42"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let her go up to El the Bull, her father.</w:t>
      </w:r>
    </w:p>
    <w:p w14:paraId="43CA6F23"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May he hear you, O Cow,</w:t>
      </w:r>
    </w:p>
    <w:p w14:paraId="48165F6A"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and understand you, Beloved of the Powerful One.</w:t>
      </w:r>
    </w:p>
    <w:p w14:paraId="1D574D36"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May my voice be in your ear.</w:t>
      </w:r>
    </w:p>
    <w:p w14:paraId="3939D314"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Because you have bound up evil,</w:t>
      </w:r>
    </w:p>
    <w:p w14:paraId="7A638486"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because you have been clothed in light,</w:t>
      </w:r>
    </w:p>
    <w:p w14:paraId="56DFF5D9"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may the celestial messengers bless the prince;</w:t>
      </w:r>
    </w:p>
    <w:p w14:paraId="68E778B2"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may the celestial messengers send you strength.</w:t>
      </w:r>
    </w:p>
    <w:p w14:paraId="130E2FF7" w14:textId="77777777" w:rsidR="00014F8D" w:rsidRPr="00050DAE" w:rsidRDefault="00014F8D" w:rsidP="0095028A">
      <w:pPr>
        <w:pStyle w:val="NoSpacing"/>
        <w:rPr>
          <w:rFonts w:asciiTheme="majorBidi" w:hAnsiTheme="majorBidi" w:cstheme="majorBidi"/>
          <w:b/>
          <w:bCs/>
          <w:sz w:val="24"/>
          <w:szCs w:val="24"/>
        </w:rPr>
      </w:pPr>
      <w:r w:rsidRPr="00050DAE">
        <w:rPr>
          <w:rFonts w:asciiTheme="majorBidi" w:hAnsiTheme="majorBidi" w:cstheme="majorBidi"/>
          <w:b/>
          <w:bCs/>
          <w:sz w:val="24"/>
          <w:szCs w:val="24"/>
        </w:rPr>
        <w:t>31-35</w:t>
      </w:r>
    </w:p>
    <w:p w14:paraId="2252CE68"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I shall bless your son as a firstborn;</w:t>
      </w:r>
    </w:p>
    <w:p w14:paraId="5DC51DAF"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like a prince I shall bless you.</w:t>
      </w:r>
    </w:p>
    <w:p w14:paraId="6E109B5D"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Voracious was Anat, the cow of Baal;</w:t>
      </w:r>
    </w:p>
    <w:p w14:paraId="0E2521FE"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voracious was Anat in bringing forth,</w:t>
      </w:r>
    </w:p>
    <w:p w14:paraId="4195D3A2"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she whose womb had not known conception.</w:t>
      </w:r>
    </w:p>
    <w:p w14:paraId="2BE4B6D5" w14:textId="77777777" w:rsidR="00014F8D" w:rsidRPr="00050DAE" w:rsidRDefault="00014F8D" w:rsidP="0095028A">
      <w:pPr>
        <w:pStyle w:val="NoSpacing"/>
        <w:rPr>
          <w:rFonts w:asciiTheme="majorBidi" w:hAnsiTheme="majorBidi" w:cstheme="majorBidi"/>
          <w:b/>
          <w:bCs/>
          <w:sz w:val="24"/>
          <w:szCs w:val="24"/>
        </w:rPr>
      </w:pPr>
      <w:r w:rsidRPr="00050DAE">
        <w:rPr>
          <w:rFonts w:asciiTheme="majorBidi" w:hAnsiTheme="majorBidi" w:cstheme="majorBidi"/>
          <w:b/>
          <w:bCs/>
          <w:sz w:val="24"/>
          <w:szCs w:val="24"/>
        </w:rPr>
        <w:t xml:space="preserve">36-41 </w:t>
      </w:r>
    </w:p>
    <w:p w14:paraId="0046E013" w14:textId="77777777" w:rsidR="00014F8D" w:rsidRPr="00050DAE" w:rsidRDefault="00014F8D" w:rsidP="0095028A">
      <w:pPr>
        <w:pStyle w:val="NoSpacing"/>
        <w:rPr>
          <w:rFonts w:asciiTheme="majorBidi" w:hAnsiTheme="majorBidi" w:cstheme="majorBidi"/>
          <w:b/>
          <w:bCs/>
          <w:sz w:val="24"/>
          <w:szCs w:val="24"/>
        </w:rPr>
      </w:pPr>
      <w:r w:rsidRPr="00050DAE">
        <w:rPr>
          <w:rFonts w:asciiTheme="majorBidi" w:hAnsiTheme="majorBidi" w:cstheme="majorBidi"/>
          <w:sz w:val="24"/>
          <w:szCs w:val="24"/>
        </w:rPr>
        <w:t>(mostly lost)</w:t>
      </w:r>
    </w:p>
    <w:p w14:paraId="3A0EF273" w14:textId="77777777" w:rsidR="00014F8D" w:rsidRPr="00050DAE" w:rsidRDefault="00014F8D" w:rsidP="0095028A">
      <w:pPr>
        <w:pStyle w:val="NoSpacing"/>
        <w:rPr>
          <w:rFonts w:asciiTheme="majorBidi" w:hAnsiTheme="majorBidi" w:cstheme="majorBidi"/>
          <w:sz w:val="24"/>
          <w:szCs w:val="24"/>
        </w:rPr>
      </w:pPr>
      <w:r w:rsidRPr="00050DAE">
        <w:rPr>
          <w:rFonts w:asciiTheme="majorBidi" w:hAnsiTheme="majorBidi" w:cstheme="majorBidi"/>
          <w:sz w:val="24"/>
          <w:szCs w:val="24"/>
        </w:rPr>
        <w:t>... suckling ...</w:t>
      </w:r>
    </w:p>
    <w:p w14:paraId="6A77EC6F" w14:textId="77777777" w:rsidR="00014F8D" w:rsidRPr="00050DAE" w:rsidRDefault="00014F8D" w:rsidP="00D14175">
      <w:pPr>
        <w:pStyle w:val="NoSpacing"/>
        <w:rPr>
          <w:rFonts w:asciiTheme="majorBidi" w:hAnsiTheme="majorBidi" w:cstheme="majorBidi"/>
        </w:rPr>
      </w:pPr>
      <w:r w:rsidRPr="00050DAE">
        <w:rPr>
          <w:rFonts w:asciiTheme="majorBidi" w:hAnsiTheme="majorBidi" w:cstheme="majorBidi"/>
        </w:rPr>
        <w:t>…</w:t>
      </w:r>
    </w:p>
    <w:p w14:paraId="15B65191"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0E63E917" w14:textId="77777777" w:rsidR="00014F8D" w:rsidRPr="00050DAE" w:rsidRDefault="00014F8D" w:rsidP="002A42EC">
      <w:pPr>
        <w:pStyle w:val="Heading3"/>
        <w:rPr>
          <w:rFonts w:asciiTheme="majorBidi" w:hAnsiTheme="majorBidi"/>
        </w:rPr>
      </w:pPr>
      <w:bookmarkStart w:id="220" w:name="_Toc234154347"/>
      <w:r w:rsidRPr="00050DAE">
        <w:rPr>
          <w:rFonts w:asciiTheme="majorBidi" w:hAnsiTheme="majorBidi"/>
          <w:i/>
          <w:iCs/>
        </w:rPr>
        <w:t>KTU 1.20-1.22 - The Rapiuma (Rephaim)</w:t>
      </w:r>
      <w:r w:rsidRPr="00050DAE">
        <w:rPr>
          <w:rStyle w:val="FootnoteReference"/>
          <w:rFonts w:asciiTheme="majorBidi" w:hAnsiTheme="majorBidi"/>
        </w:rPr>
        <w:footnoteReference w:id="371"/>
      </w:r>
      <w:bookmarkEnd w:id="220"/>
    </w:p>
    <w:p w14:paraId="29F1E0C9"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Tablet 1 Side 1</w:t>
      </w:r>
    </w:p>
    <w:p w14:paraId="3F495929"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1-5</w:t>
      </w:r>
    </w:p>
    <w:p w14:paraId="7BEE4113"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(Narrator:)</w:t>
      </w:r>
    </w:p>
    <w:p w14:paraId="7E43652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sh]ades will feast, The spirits [seven] fold,</w:t>
      </w:r>
    </w:p>
    <w:p w14:paraId="7A8D18C8"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like the ancient dead.</w:t>
      </w:r>
    </w:p>
    <w:p w14:paraId="11FC9BB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when the assembly draws near,</w:t>
      </w:r>
    </w:p>
    <w:p w14:paraId="22EF1E2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on the festive summer day.</w:t>
      </w:r>
    </w:p>
    <w:p w14:paraId="4A641050"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6-11</w:t>
      </w:r>
    </w:p>
    <w:p w14:paraId="7BD2A09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spi]rits will eat.</w:t>
      </w:r>
    </w:p>
    <w:p w14:paraId="5A68487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will drink.</w:t>
      </w:r>
    </w:p>
    <w:p w14:paraId="6DB0649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god of the...[ ],</w:t>
      </w:r>
    </w:p>
    <w:p w14:paraId="230F64D3"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who is in charge of...</w:t>
      </w:r>
    </w:p>
    <w:p w14:paraId="209BAB3A"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the sacrifices of...</w:t>
      </w:r>
    </w:p>
    <w:p w14:paraId="0F0488DF"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w:t>
      </w:r>
    </w:p>
    <w:p w14:paraId="3C037A5A"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Side 2</w:t>
      </w:r>
    </w:p>
    <w:p w14:paraId="6C799008"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1-5</w:t>
      </w:r>
    </w:p>
    <w:p w14:paraId="0E976BBC"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(El:)</w:t>
      </w:r>
    </w:p>
    <w:p w14:paraId="620CC34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[“Seven in my house.] Eight within my palace.”</w:t>
      </w:r>
    </w:p>
    <w:p w14:paraId="1EABFBD8"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(Narrator:)</w:t>
      </w:r>
    </w:p>
    <w:p w14:paraId="46E955C6"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s[hades] hastened [to his shrine],</w:t>
      </w:r>
    </w:p>
    <w:p w14:paraId="008C71A3"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To his shrine hastened the spirits.</w:t>
      </w:r>
    </w:p>
    <w:p w14:paraId="26F0327D"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hitched [the chariots].</w:t>
      </w:r>
    </w:p>
    <w:p w14:paraId="67CDA8B2"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yoked the horses.</w:t>
      </w:r>
    </w:p>
    <w:p w14:paraId="57CD9E59"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raised the stan]dards.</w:t>
      </w:r>
    </w:p>
    <w:p w14:paraId="0640B139"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mount their chariots.</w:t>
      </w:r>
    </w:p>
    <w:p w14:paraId="7ADB98F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co[me on their stallions.]</w:t>
      </w:r>
    </w:p>
    <w:p w14:paraId="558843F3"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journey a day and a second,</w:t>
      </w:r>
    </w:p>
    <w:p w14:paraId="67A3A3C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At night[fall on the third,]</w:t>
      </w:r>
    </w:p>
    <w:p w14:paraId="0BD01092"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6-11</w:t>
      </w:r>
    </w:p>
    <w:p w14:paraId="481878BF"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shades reached the threshing squares,</w:t>
      </w:r>
    </w:p>
    <w:p w14:paraId="6DDD0AB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sp[irits] the planted fields.</w:t>
      </w:r>
    </w:p>
    <w:p w14:paraId="53F09AF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Then up spoke Daniel, [man of Rapiu.]</w:t>
      </w:r>
    </w:p>
    <w:p w14:paraId="5076E900"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Replied the hero, man of the Hamemite:</w:t>
      </w:r>
    </w:p>
    <w:p w14:paraId="7CD57FF6"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(Daniel:)</w:t>
      </w:r>
    </w:p>
    <w:p w14:paraId="259AEDD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shades] are at the threshing squares,</w:t>
      </w:r>
    </w:p>
    <w:p w14:paraId="43A3131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spirits are at the plan[ted fields.]</w:t>
      </w:r>
    </w:p>
    <w:p w14:paraId="622140B6"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Those who came, let them be fed, Feed (the ancient ones (?).]</w:t>
      </w:r>
    </w:p>
    <w:p w14:paraId="30BC65A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apples, delights (?)”</w:t>
      </w:r>
    </w:p>
    <w:p w14:paraId="469481D9"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w:t>
      </w:r>
    </w:p>
    <w:p w14:paraId="4A4634ED"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Second Tablet Side 1</w:t>
      </w:r>
    </w:p>
    <w:p w14:paraId="026952CD"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1-4</w:t>
      </w:r>
    </w:p>
    <w:p w14:paraId="1D9A28C3"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(El:)</w:t>
      </w:r>
    </w:p>
    <w:p w14:paraId="3E1A93B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“[Come to] my banquet. Set off to my house, O shades.</w:t>
      </w:r>
    </w:p>
    <w:p w14:paraId="1CA199EA"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[Into] my [hous]e I bid you I beckon [you into] my [pa]lace.”</w:t>
      </w:r>
    </w:p>
    <w:p w14:paraId="7E9A75F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(Narrator:)</w:t>
      </w:r>
    </w:p>
    <w:p w14:paraId="06AC0A9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To his shrine, O shades, [hasten.] [To his shrine,] hasten, O spirits.</w:t>
      </w:r>
    </w:p>
    <w:p w14:paraId="111E89D7"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5-9</w:t>
      </w:r>
    </w:p>
    <w:p w14:paraId="5B9AA7D0"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(EI)</w:t>
      </w:r>
    </w:p>
    <w:p w14:paraId="5724C4E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my banquet.</w:t>
      </w:r>
    </w:p>
    <w:p w14:paraId="38A3CDA8"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Then O shad[es] [ ] like a shepherd</w:t>
      </w:r>
    </w:p>
    <w:p w14:paraId="7F156EC8"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Now I shall journey, [a day and a second]</w:t>
      </w:r>
    </w:p>
    <w:p w14:paraId="7447FD2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[On] the third I shall reach [my] house.</w:t>
      </w:r>
    </w:p>
    <w:p w14:paraId="08C8470C"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[I will arrive] at my palace.”</w:t>
      </w:r>
    </w:p>
    <w:p w14:paraId="065A448C"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Again El spoke:</w:t>
      </w:r>
    </w:p>
    <w:p w14:paraId="5004504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“[Come to] my [banq]uet. Set off to my house, O shades.</w:t>
      </w:r>
    </w:p>
    <w:p w14:paraId="50888E15"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10-12</w:t>
      </w:r>
    </w:p>
    <w:p w14:paraId="21BF90C0"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[Into my house I b]id you, I beckon you [into] my [pal]ace.”</w:t>
      </w:r>
    </w:p>
    <w:p w14:paraId="4D20D66A"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(Narrator:)</w:t>
      </w:r>
    </w:p>
    <w:p w14:paraId="7FCE70FA"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To his shrine, O shades, [hasten,] To his sh[rine], hasten, O spirits.]</w:t>
      </w:r>
    </w:p>
    <w:p w14:paraId="2DD12A2C"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w:t>
      </w:r>
    </w:p>
    <w:p w14:paraId="4C4B9D7F"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Side 2</w:t>
      </w:r>
    </w:p>
    <w:p w14:paraId="0BE5DDD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to the earth</w:t>
      </w:r>
    </w:p>
    <w:p w14:paraId="0C7D4121"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Third Tablet Side 1</w:t>
      </w:r>
    </w:p>
    <w:p w14:paraId="3C383A4C"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1-4</w:t>
      </w:r>
    </w:p>
    <w:p w14:paraId="54214EFF"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(EI:)</w:t>
      </w:r>
    </w:p>
    <w:p w14:paraId="1CE0813A"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“On the thi[rd I shall reach my house. I will arrive] at my palace.”</w:t>
      </w:r>
    </w:p>
    <w:p w14:paraId="6BCA59D2"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[Again El spoke:] “[Come to my banquet.] Set off to my house, O sh[ades.]</w:t>
      </w:r>
    </w:p>
    <w:p w14:paraId="4CE4BFA1"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[Into my house I bid] you, I beck[on you into my palace.”]</w:t>
      </w:r>
    </w:p>
    <w:p w14:paraId="7E986484"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5-12</w:t>
      </w:r>
    </w:p>
    <w:p w14:paraId="375524C6"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(Narrator:)</w:t>
      </w:r>
    </w:p>
    <w:p w14:paraId="58708D7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To his shrine, O sh[ades. hasten.] [To his shrine], hasten, O sp[irits.]</w:t>
      </w:r>
    </w:p>
    <w:p w14:paraId="70F08172"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Warriors of Baal, [Warriors of] Anat.</w:t>
      </w:r>
    </w:p>
    <w:p w14:paraId="55A2E37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(El:)</w:t>
      </w:r>
    </w:p>
    <w:p w14:paraId="64FDC34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“Set off to [my] hou[se, O shades.]</w:t>
      </w:r>
    </w:p>
    <w:p w14:paraId="763902E2"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[Into my house] I bid you, I [beckon you into] my palace.”</w:t>
      </w:r>
    </w:p>
    <w:p w14:paraId="0430899F"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(Narrator:)</w:t>
      </w:r>
    </w:p>
    <w:p w14:paraId="551C536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To his shrine, [O shades, hasten,] To his shrine, has[ten, O spirits.]</w:t>
      </w:r>
    </w:p>
    <w:p w14:paraId="3AB9856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Armed forces encircle (?) ...</w:t>
      </w:r>
    </w:p>
    <w:p w14:paraId="7A402745"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13-22</w:t>
      </w:r>
    </w:p>
    <w:p w14:paraId="0A2F7443"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Listen, you [shades (?)] [Pay attention, O spi]rits.</w:t>
      </w:r>
    </w:p>
    <w:p w14:paraId="598BDAEC"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...Oil... He vows...</w:t>
      </w:r>
    </w:p>
    <w:p w14:paraId="655A6C7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He gras[ps the throne of his royalty.]</w:t>
      </w:r>
    </w:p>
    <w:p w14:paraId="5901190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dais, the seat of his dom[inion.]</w:t>
      </w:r>
    </w:p>
    <w:p w14:paraId="1A2A1A08"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(El:)</w:t>
      </w:r>
    </w:p>
    <w:p w14:paraId="5C355B61"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[“Into my house] I bade the shades, [I beckoned the spirits] into [my pal]ace.”</w:t>
      </w:r>
    </w:p>
    <w:p w14:paraId="05FF741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(Narrator:)</w:t>
      </w:r>
    </w:p>
    <w:p w14:paraId="3415D772"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[To his shrine, the shades] hastened To his shrine, [hastened the spirits.]</w:t>
      </w:r>
    </w:p>
    <w:p w14:paraId="44F70DA0"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hitched [their] char[iots.]</w:t>
      </w:r>
    </w:p>
    <w:p w14:paraId="54D28B7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yoked the horses.]</w:t>
      </w:r>
    </w:p>
    <w:p w14:paraId="2C3D33FE"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23-26</w:t>
      </w:r>
    </w:p>
    <w:p w14:paraId="43004FFF"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mount [their] char[iots.]</w:t>
      </w:r>
    </w:p>
    <w:p w14:paraId="7E09B05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come on] their stallions.</w:t>
      </w:r>
    </w:p>
    <w:p w14:paraId="54BFF1F8"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jour[ney a day and a second,] [At nightfall] on the third.</w:t>
      </w:r>
    </w:p>
    <w:p w14:paraId="62B29F9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shades] reached [the threshing squares.]</w:t>
      </w:r>
    </w:p>
    <w:p w14:paraId="79A25925"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spir[its the planted fields.]</w:t>
      </w:r>
    </w:p>
    <w:p w14:paraId="6442DE18"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 ]</w:t>
      </w:r>
    </w:p>
    <w:p w14:paraId="744F3015"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Side 2</w:t>
      </w:r>
    </w:p>
    <w:p w14:paraId="1CF48F04"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1-10</w:t>
      </w:r>
    </w:p>
    <w:p w14:paraId="6D1F49D1"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Behold your son, behold... (your) grandson [ ] your shrine;</w:t>
      </w:r>
    </w:p>
    <w:p w14:paraId="645FCE0F"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Behold... your hand.</w:t>
      </w:r>
    </w:p>
    <w:p w14:paraId="4A710E75"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small one will kiss your lips.</w:t>
      </w:r>
    </w:p>
    <w:p w14:paraId="6E4485C1"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There, shoulder to shoulder. Brothers, attendants of El...</w:t>
      </w:r>
    </w:p>
    <w:p w14:paraId="55CC227E"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There mortals... the name of El, ... heroes bless the name of El.</w:t>
      </w:r>
    </w:p>
    <w:p w14:paraId="13540C79"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There the shades of Baal.... Warriors of Baal, Warriors of Anat.</w:t>
      </w:r>
    </w:p>
    <w:p w14:paraId="1A6F497D"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There armed forces encircle (?). The eternal royal princes.</w:t>
      </w:r>
    </w:p>
    <w:p w14:paraId="3A62F77C"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10-20</w:t>
      </w:r>
    </w:p>
    <w:p w14:paraId="01BD16EF"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As when Anat hastens to the hunt, sets to flight the birds of the heavens.</w:t>
      </w:r>
    </w:p>
    <w:p w14:paraId="4E257BD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slaughtered oxen: sheep as well;</w:t>
      </w:r>
    </w:p>
    <w:p w14:paraId="0F0D60C6"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They felled bulls, fatlings too,</w:t>
      </w:r>
    </w:p>
    <w:p w14:paraId="0F4638BD"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Also rams and year old calves. They butchered lambs and ewe</w:t>
      </w:r>
    </w:p>
    <w:p w14:paraId="13FB75F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kids.</w:t>
      </w:r>
    </w:p>
    <w:p w14:paraId="30E94D43"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Olive oil-like silver to travelers... -like gold to travelers.</w:t>
      </w:r>
    </w:p>
    <w:p w14:paraId="0145D69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a table set with fruit, Laid with fruit fit for kings.</w:t>
      </w:r>
    </w:p>
    <w:p w14:paraId="6F460AC3"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Daylong they pour the wine, ... must-wine, fit for rulers.</w:t>
      </w:r>
    </w:p>
    <w:p w14:paraId="6D17C59D"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Wine, sweet and abundant, Select wine...</w:t>
      </w:r>
    </w:p>
    <w:p w14:paraId="4404F745"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choice wine of Lebanon, Must nurtured by El.</w:t>
      </w:r>
    </w:p>
    <w:p w14:paraId="0D8EE6D0" w14:textId="77777777" w:rsidR="00014F8D" w:rsidRPr="00050DAE" w:rsidRDefault="00014F8D" w:rsidP="00D61C57">
      <w:pPr>
        <w:pStyle w:val="NoSpacing"/>
        <w:rPr>
          <w:rFonts w:asciiTheme="majorBidi" w:hAnsiTheme="majorBidi" w:cstheme="majorBidi"/>
          <w:b/>
          <w:bCs/>
          <w:sz w:val="24"/>
          <w:szCs w:val="24"/>
        </w:rPr>
      </w:pPr>
      <w:r w:rsidRPr="00050DAE">
        <w:rPr>
          <w:rFonts w:asciiTheme="majorBidi" w:hAnsiTheme="majorBidi" w:cstheme="majorBidi"/>
          <w:b/>
          <w:bCs/>
          <w:sz w:val="24"/>
          <w:szCs w:val="24"/>
        </w:rPr>
        <w:t>21-28</w:t>
      </w:r>
    </w:p>
    <w:p w14:paraId="3E397DBF"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One day passed, then a second the shades eat, they drink;</w:t>
      </w:r>
    </w:p>
    <w:p w14:paraId="3E99ED77"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xml:space="preserve">A third day, then a fourth; A fifth day, then a sixth; </w:t>
      </w:r>
    </w:p>
    <w:p w14:paraId="3237C958"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the shades eat, they drink.</w:t>
      </w:r>
    </w:p>
    <w:p w14:paraId="21340A04"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In the banquet house, on the summit,</w:t>
      </w:r>
    </w:p>
    <w:p w14:paraId="6470F525"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in the heart of Lebanon</w:t>
      </w:r>
    </w:p>
    <w:p w14:paraId="5C798766"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Finally, on the seventh [day] Mighty Baal [ ]</w:t>
      </w:r>
    </w:p>
    <w:p w14:paraId="3D4C30AB" w14:textId="77777777" w:rsidR="00014F8D" w:rsidRPr="00050DAE" w:rsidRDefault="00014F8D" w:rsidP="00D61C57">
      <w:pPr>
        <w:pStyle w:val="NoSpacing"/>
        <w:rPr>
          <w:rFonts w:asciiTheme="majorBidi" w:hAnsiTheme="majorBidi" w:cstheme="majorBidi"/>
          <w:sz w:val="24"/>
          <w:szCs w:val="24"/>
        </w:rPr>
      </w:pPr>
      <w:r w:rsidRPr="00050DAE">
        <w:rPr>
          <w:rFonts w:asciiTheme="majorBidi" w:hAnsiTheme="majorBidi" w:cstheme="majorBidi"/>
          <w:sz w:val="24"/>
          <w:szCs w:val="24"/>
        </w:rPr>
        <w:t>[... ]</w:t>
      </w:r>
    </w:p>
    <w:p w14:paraId="2EF3D714" w14:textId="77777777" w:rsidR="00014F8D" w:rsidRPr="00050DAE" w:rsidRDefault="00014F8D" w:rsidP="00D61C57">
      <w:pPr>
        <w:pStyle w:val="NoSpacing"/>
        <w:rPr>
          <w:rFonts w:asciiTheme="majorBidi" w:hAnsiTheme="majorBidi" w:cstheme="majorBidi"/>
        </w:rPr>
      </w:pPr>
    </w:p>
    <w:p w14:paraId="5B8EF4A1" w14:textId="77777777" w:rsidR="00014F8D" w:rsidRPr="00050DAE" w:rsidRDefault="00014F8D">
      <w:pPr>
        <w:rPr>
          <w:rFonts w:asciiTheme="majorBidi" w:eastAsiaTheme="majorEastAsia" w:hAnsiTheme="majorBidi" w:cstheme="majorBidi"/>
          <w:color w:val="0F4761" w:themeColor="accent1" w:themeShade="BF"/>
          <w:sz w:val="28"/>
          <w:szCs w:val="28"/>
        </w:rPr>
      </w:pPr>
      <w:r w:rsidRPr="00050DAE">
        <w:rPr>
          <w:rFonts w:asciiTheme="majorBidi" w:hAnsiTheme="majorBidi" w:cstheme="majorBidi"/>
        </w:rPr>
        <w:br w:type="page"/>
      </w:r>
    </w:p>
    <w:p w14:paraId="164BA094" w14:textId="77777777" w:rsidR="00014F8D" w:rsidRPr="00050DAE" w:rsidRDefault="00014F8D" w:rsidP="005D3E2E">
      <w:pPr>
        <w:pStyle w:val="Heading3"/>
        <w:rPr>
          <w:rFonts w:asciiTheme="majorBidi" w:hAnsiTheme="majorBidi"/>
        </w:rPr>
      </w:pPr>
      <w:bookmarkStart w:id="221" w:name="_Toc234154348"/>
      <w:r w:rsidRPr="00050DAE">
        <w:rPr>
          <w:rFonts w:asciiTheme="majorBidi" w:hAnsiTheme="majorBidi"/>
          <w:i/>
          <w:iCs/>
        </w:rPr>
        <w:t>KTU 1.96 - Anat/The Eye Consumes Her Brother</w:t>
      </w:r>
      <w:r w:rsidRPr="00050DAE">
        <w:rPr>
          <w:rStyle w:val="FootnoteReference"/>
          <w:rFonts w:asciiTheme="majorBidi" w:hAnsiTheme="majorBidi"/>
        </w:rPr>
        <w:footnoteReference w:id="372"/>
      </w:r>
      <w:bookmarkEnd w:id="221"/>
    </w:p>
    <w:p w14:paraId="6E5C0A4E" w14:textId="77777777" w:rsidR="00014F8D" w:rsidRPr="00050DAE" w:rsidRDefault="00014F8D" w:rsidP="005D3E2E">
      <w:pPr>
        <w:pStyle w:val="NoSpacing"/>
        <w:rPr>
          <w:rFonts w:asciiTheme="majorBidi" w:hAnsiTheme="majorBidi" w:cstheme="majorBidi"/>
          <w:b/>
          <w:bCs/>
          <w:sz w:val="24"/>
          <w:szCs w:val="24"/>
        </w:rPr>
      </w:pPr>
      <w:r w:rsidRPr="00050DAE">
        <w:rPr>
          <w:rFonts w:asciiTheme="majorBidi" w:hAnsiTheme="majorBidi" w:cstheme="majorBidi"/>
          <w:b/>
          <w:bCs/>
          <w:sz w:val="24"/>
          <w:szCs w:val="24"/>
        </w:rPr>
        <w:t>1-3</w:t>
      </w:r>
    </w:p>
    <w:p w14:paraId="5C04498C" w14:textId="77777777" w:rsidR="00014F8D" w:rsidRPr="00050DAE" w:rsidRDefault="00014F8D" w:rsidP="005D3E2E">
      <w:pPr>
        <w:pStyle w:val="NoSpacing"/>
        <w:rPr>
          <w:rFonts w:asciiTheme="majorBidi" w:hAnsiTheme="majorBidi" w:cstheme="majorBidi"/>
          <w:sz w:val="24"/>
          <w:szCs w:val="24"/>
        </w:rPr>
      </w:pPr>
      <w:r w:rsidRPr="00050DAE">
        <w:rPr>
          <w:rFonts w:asciiTheme="majorBidi" w:hAnsiTheme="majorBidi" w:cstheme="majorBidi"/>
          <w:sz w:val="24"/>
          <w:szCs w:val="24"/>
        </w:rPr>
        <w:t>Anat/the Eye went and admired / The beauty of her brother. / Indeed, her brother’s loveliness, /  handsome as he is.</w:t>
      </w:r>
    </w:p>
    <w:p w14:paraId="2B865966" w14:textId="77777777" w:rsidR="00014F8D" w:rsidRPr="00050DAE" w:rsidRDefault="00014F8D" w:rsidP="005D3E2E">
      <w:pPr>
        <w:pStyle w:val="NoSpacing"/>
        <w:rPr>
          <w:rFonts w:asciiTheme="majorBidi" w:hAnsiTheme="majorBidi" w:cstheme="majorBidi"/>
          <w:b/>
          <w:bCs/>
          <w:sz w:val="24"/>
          <w:szCs w:val="24"/>
        </w:rPr>
      </w:pPr>
      <w:r w:rsidRPr="00050DAE">
        <w:rPr>
          <w:rFonts w:asciiTheme="majorBidi" w:hAnsiTheme="majorBidi" w:cstheme="majorBidi"/>
          <w:b/>
          <w:bCs/>
          <w:sz w:val="24"/>
          <w:szCs w:val="24"/>
        </w:rPr>
        <w:t>3-5</w:t>
      </w:r>
    </w:p>
    <w:p w14:paraId="5C207A37" w14:textId="77777777" w:rsidR="00014F8D" w:rsidRPr="00050DAE" w:rsidRDefault="00014F8D" w:rsidP="005D3E2E">
      <w:pPr>
        <w:pStyle w:val="NoSpacing"/>
        <w:rPr>
          <w:rFonts w:asciiTheme="majorBidi" w:hAnsiTheme="majorBidi" w:cstheme="majorBidi"/>
          <w:sz w:val="24"/>
          <w:szCs w:val="24"/>
        </w:rPr>
      </w:pPr>
      <w:r w:rsidRPr="00050DAE">
        <w:rPr>
          <w:rFonts w:asciiTheme="majorBidi" w:hAnsiTheme="majorBidi" w:cstheme="majorBidi"/>
          <w:sz w:val="24"/>
          <w:szCs w:val="24"/>
        </w:rPr>
        <w:t>She eats his flesh without a knife, / She drinks his blood without a cup. / Anat Visits Springs (?)</w:t>
      </w:r>
    </w:p>
    <w:p w14:paraId="64FD79DA" w14:textId="77777777" w:rsidR="00014F8D" w:rsidRPr="00050DAE" w:rsidRDefault="00014F8D" w:rsidP="005D3E2E">
      <w:pPr>
        <w:pStyle w:val="NoSpacing"/>
        <w:rPr>
          <w:rFonts w:asciiTheme="majorBidi" w:hAnsiTheme="majorBidi" w:cstheme="majorBidi"/>
          <w:b/>
          <w:bCs/>
          <w:sz w:val="24"/>
          <w:szCs w:val="24"/>
        </w:rPr>
      </w:pPr>
      <w:r w:rsidRPr="00050DAE">
        <w:rPr>
          <w:rFonts w:asciiTheme="majorBidi" w:hAnsiTheme="majorBidi" w:cstheme="majorBidi"/>
          <w:b/>
          <w:bCs/>
          <w:sz w:val="24"/>
          <w:szCs w:val="24"/>
        </w:rPr>
        <w:t>5-6</w:t>
      </w:r>
    </w:p>
    <w:p w14:paraId="6B389348" w14:textId="77777777" w:rsidR="00014F8D" w:rsidRPr="00050DAE" w:rsidRDefault="00014F8D" w:rsidP="005D3E2E">
      <w:pPr>
        <w:pStyle w:val="NoSpacing"/>
        <w:rPr>
          <w:rFonts w:asciiTheme="majorBidi" w:hAnsiTheme="majorBidi" w:cstheme="majorBidi"/>
          <w:sz w:val="24"/>
          <w:szCs w:val="24"/>
        </w:rPr>
      </w:pPr>
      <w:r w:rsidRPr="00050DAE">
        <w:rPr>
          <w:rFonts w:asciiTheme="majorBidi" w:hAnsiTheme="majorBidi" w:cstheme="majorBidi"/>
          <w:sz w:val="24"/>
          <w:szCs w:val="24"/>
        </w:rPr>
        <w:t xml:space="preserve">She faces the spring of sex (?), The spring of sex (?) she faces: </w:t>
      </w:r>
    </w:p>
    <w:p w14:paraId="7477315B" w14:textId="77777777" w:rsidR="00014F8D" w:rsidRPr="00050DAE" w:rsidRDefault="00014F8D" w:rsidP="005D3E2E">
      <w:pPr>
        <w:pStyle w:val="NoSpacing"/>
        <w:rPr>
          <w:rFonts w:asciiTheme="majorBidi" w:hAnsiTheme="majorBidi" w:cstheme="majorBidi"/>
          <w:b/>
          <w:bCs/>
          <w:sz w:val="24"/>
          <w:szCs w:val="24"/>
        </w:rPr>
      </w:pPr>
      <w:r w:rsidRPr="00050DAE">
        <w:rPr>
          <w:rFonts w:asciiTheme="majorBidi" w:hAnsiTheme="majorBidi" w:cstheme="majorBidi"/>
          <w:b/>
          <w:bCs/>
          <w:sz w:val="24"/>
          <w:szCs w:val="24"/>
        </w:rPr>
        <w:t>7-8</w:t>
      </w:r>
    </w:p>
    <w:p w14:paraId="1BAD682C" w14:textId="77777777" w:rsidR="00014F8D" w:rsidRPr="00050DAE" w:rsidRDefault="00014F8D" w:rsidP="005D3E2E">
      <w:pPr>
        <w:pStyle w:val="NoSpacing"/>
        <w:rPr>
          <w:rFonts w:asciiTheme="majorBidi" w:hAnsiTheme="majorBidi" w:cstheme="majorBidi"/>
          <w:sz w:val="24"/>
          <w:szCs w:val="24"/>
        </w:rPr>
      </w:pPr>
      <w:r w:rsidRPr="00050DAE">
        <w:rPr>
          <w:rFonts w:asciiTheme="majorBidi" w:hAnsiTheme="majorBidi" w:cstheme="majorBidi"/>
          <w:sz w:val="24"/>
          <w:szCs w:val="24"/>
        </w:rPr>
        <w:t>The spring of the market, /  The spring of the assembly, / The spring of the gate.</w:t>
      </w:r>
    </w:p>
    <w:p w14:paraId="66821A0D" w14:textId="77777777" w:rsidR="00014F8D" w:rsidRPr="00050DAE" w:rsidRDefault="00014F8D" w:rsidP="005D3E2E">
      <w:pPr>
        <w:pStyle w:val="NoSpacing"/>
        <w:rPr>
          <w:rFonts w:asciiTheme="majorBidi" w:hAnsiTheme="majorBidi" w:cstheme="majorBidi"/>
          <w:b/>
          <w:bCs/>
          <w:sz w:val="24"/>
          <w:szCs w:val="24"/>
        </w:rPr>
      </w:pPr>
      <w:r w:rsidRPr="00050DAE">
        <w:rPr>
          <w:rFonts w:asciiTheme="majorBidi" w:hAnsiTheme="majorBidi" w:cstheme="majorBidi"/>
          <w:b/>
          <w:bCs/>
          <w:sz w:val="24"/>
          <w:szCs w:val="24"/>
        </w:rPr>
        <w:t>8-11</w:t>
      </w:r>
    </w:p>
    <w:p w14:paraId="282E5C29" w14:textId="77777777" w:rsidR="00014F8D" w:rsidRPr="00050DAE" w:rsidRDefault="00014F8D" w:rsidP="005D3E2E">
      <w:pPr>
        <w:pStyle w:val="NoSpacing"/>
        <w:rPr>
          <w:rFonts w:asciiTheme="majorBidi" w:hAnsiTheme="majorBidi" w:cstheme="majorBidi"/>
          <w:sz w:val="24"/>
          <w:szCs w:val="24"/>
        </w:rPr>
      </w:pPr>
      <w:r w:rsidRPr="00050DAE">
        <w:rPr>
          <w:rFonts w:asciiTheme="majorBidi" w:hAnsiTheme="majorBidi" w:cstheme="majorBidi"/>
          <w:sz w:val="24"/>
          <w:szCs w:val="24"/>
        </w:rPr>
        <w:t>To the spring of the gate from the gate she turns, / To the spring of assembly from the assembly she turns, / To the spring of market from the market she turns,</w:t>
      </w:r>
    </w:p>
    <w:p w14:paraId="159258E7" w14:textId="77777777" w:rsidR="00014F8D" w:rsidRPr="00050DAE" w:rsidRDefault="00014F8D" w:rsidP="005D3E2E">
      <w:pPr>
        <w:pStyle w:val="NoSpacing"/>
        <w:rPr>
          <w:rFonts w:asciiTheme="majorBidi" w:hAnsiTheme="majorBidi" w:cstheme="majorBidi"/>
          <w:b/>
          <w:bCs/>
          <w:sz w:val="24"/>
          <w:szCs w:val="24"/>
        </w:rPr>
      </w:pPr>
      <w:r w:rsidRPr="00050DAE">
        <w:rPr>
          <w:rFonts w:asciiTheme="majorBidi" w:hAnsiTheme="majorBidi" w:cstheme="majorBidi"/>
          <w:b/>
          <w:bCs/>
          <w:sz w:val="24"/>
          <w:szCs w:val="24"/>
        </w:rPr>
        <w:t>11-13</w:t>
      </w:r>
    </w:p>
    <w:p w14:paraId="2A695EC0" w14:textId="77777777" w:rsidR="00014F8D" w:rsidRPr="00050DAE" w:rsidRDefault="00014F8D" w:rsidP="005D3E2E">
      <w:pPr>
        <w:pStyle w:val="NoSpacing"/>
        <w:rPr>
          <w:rFonts w:asciiTheme="majorBidi" w:hAnsiTheme="majorBidi" w:cstheme="majorBidi"/>
          <w:sz w:val="24"/>
          <w:szCs w:val="24"/>
        </w:rPr>
      </w:pPr>
      <w:r w:rsidRPr="00050DAE">
        <w:rPr>
          <w:rFonts w:asciiTheme="majorBidi" w:hAnsiTheme="majorBidi" w:cstheme="majorBidi"/>
          <w:sz w:val="24"/>
          <w:szCs w:val="24"/>
        </w:rPr>
        <w:t>To the spring of sex (?) from the place of sex (?) she turns, / To the spring of sex (?) from the place of sex (?) [she turns.]</w:t>
      </w:r>
    </w:p>
    <w:p w14:paraId="2764B482"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5D6DA103" w14:textId="77777777" w:rsidR="00014F8D" w:rsidRPr="00050DAE" w:rsidRDefault="00014F8D" w:rsidP="0077607F">
      <w:pPr>
        <w:pStyle w:val="Heading3"/>
        <w:rPr>
          <w:rFonts w:asciiTheme="majorBidi" w:hAnsiTheme="majorBidi"/>
        </w:rPr>
      </w:pPr>
      <w:bookmarkStart w:id="222" w:name="_Toc234154349"/>
      <w:r w:rsidRPr="00050DAE">
        <w:rPr>
          <w:rFonts w:asciiTheme="majorBidi" w:hAnsiTheme="majorBidi"/>
          <w:i/>
          <w:iCs/>
        </w:rPr>
        <w:t>KTU 1.108 An Intercessory Prayer to Rapiu and Other Deities</w:t>
      </w:r>
      <w:r w:rsidRPr="00050DAE">
        <w:rPr>
          <w:rStyle w:val="FootnoteReference"/>
          <w:rFonts w:asciiTheme="majorBidi" w:hAnsiTheme="majorBidi"/>
        </w:rPr>
        <w:footnoteReference w:id="373"/>
      </w:r>
      <w:bookmarkEnd w:id="222"/>
    </w:p>
    <w:p w14:paraId="51C6DC5C"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1-5</w:t>
      </w:r>
    </w:p>
    <w:p w14:paraId="5500A151"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May Rapiu, King of Eternity, drink wine;</w:t>
      </w:r>
    </w:p>
    <w:p w14:paraId="14398FD9"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yea, may he drink, the powerful and noble god,</w:t>
      </w:r>
    </w:p>
    <w:p w14:paraId="7F502F20"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god enthroned in Athtarat,</w:t>
      </w:r>
    </w:p>
    <w:p w14:paraId="422CE0C7"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god who rules in Edrei,</w:t>
      </w:r>
    </w:p>
    <w:p w14:paraId="4EB7F966"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whom men hymn and honor with music.</w:t>
      </w:r>
    </w:p>
    <w:p w14:paraId="02E7A65C"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6-10</w:t>
      </w:r>
    </w:p>
    <w:p w14:paraId="0BE5C4E8"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On the lyre and the flute,</w:t>
      </w:r>
    </w:p>
    <w:p w14:paraId="08BFB594"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on drum and cymbals,</w:t>
      </w:r>
    </w:p>
    <w:p w14:paraId="3DA5A933"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with castanets of ivory,</w:t>
      </w:r>
    </w:p>
    <w:p w14:paraId="1758EE30"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among the goodly companions of Kothar.</w:t>
      </w:r>
    </w:p>
    <w:p w14:paraId="49B66028"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And may Anat the Powerful drink.</w:t>
      </w:r>
    </w:p>
    <w:p w14:paraId="7493CBA0"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11-15</w:t>
      </w:r>
    </w:p>
    <w:p w14:paraId="64F7A4F2"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Mistress of Kingship,</w:t>
      </w:r>
    </w:p>
    <w:p w14:paraId="0B7FC071"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Mistress of Dominion,</w:t>
      </w:r>
    </w:p>
    <w:p w14:paraId="3F067170"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Mistress of the High Heavens,</w:t>
      </w:r>
    </w:p>
    <w:p w14:paraId="753AACFA"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Mistress of the Earth.</w:t>
      </w:r>
    </w:p>
    <w:p w14:paraId="670AE41C"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And may Anat fly.</w:t>
      </w:r>
    </w:p>
    <w:p w14:paraId="27DDF897"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16-20</w:t>
      </w:r>
    </w:p>
    <w:p w14:paraId="09967A59"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May the Bird soar in the high heavens,</w:t>
      </w:r>
    </w:p>
    <w:p w14:paraId="6CE0525D"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she who ate the calf of El,</w:t>
      </w:r>
    </w:p>
    <w:p w14:paraId="74C4B62A"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drinking from the horn.</w:t>
      </w:r>
    </w:p>
    <w:p w14:paraId="398D572E"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And may the god drink,</w:t>
      </w:r>
    </w:p>
    <w:p w14:paraId="7E56452A"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god who subdued the calf of El.</w:t>
      </w:r>
    </w:p>
    <w:p w14:paraId="4EA86B12"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21-25</w:t>
      </w:r>
    </w:p>
    <w:p w14:paraId="2E207379"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god Shad,</w:t>
      </w:r>
    </w:p>
    <w:p w14:paraId="2DFAABF2"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may the King of Eternity hunt.</w:t>
      </w:r>
    </w:p>
    <w:p w14:paraId="04A3253B"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w:t>
      </w:r>
    </w:p>
    <w:p w14:paraId="01D7F266"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Reshef ...</w:t>
      </w:r>
    </w:p>
    <w:p w14:paraId="547ADBBD"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w:t>
      </w:r>
    </w:p>
    <w:p w14:paraId="084CD3B5"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(The tablet is broken here.)</w:t>
      </w:r>
    </w:p>
    <w:p w14:paraId="06627C68" w14:textId="77777777" w:rsidR="00014F8D" w:rsidRPr="00050DAE" w:rsidRDefault="00014F8D" w:rsidP="0077607F">
      <w:pPr>
        <w:pStyle w:val="NoSpacing"/>
        <w:rPr>
          <w:rFonts w:asciiTheme="majorBidi" w:hAnsiTheme="majorBidi" w:cstheme="majorBidi"/>
          <w:sz w:val="24"/>
          <w:szCs w:val="24"/>
        </w:rPr>
      </w:pPr>
    </w:p>
    <w:p w14:paraId="0B4B575C"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Fragmentary Middle Section</w:t>
      </w:r>
    </w:p>
    <w:p w14:paraId="64631306"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Much of the middle of the tablet is lost. Only scattered references survive, including:</w:t>
      </w:r>
    </w:p>
    <w:p w14:paraId="47DDCCA2"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 intercede with Baal ...</w:t>
      </w:r>
    </w:p>
    <w:p w14:paraId="23003B92"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 your achievements ...</w:t>
      </w:r>
    </w:p>
    <w:p w14:paraId="5AFA05E9"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 your efficacy ...</w:t>
      </w:r>
    </w:p>
    <w:p w14:paraId="44C1AC7D"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 your intercession ...</w:t>
      </w:r>
    </w:p>
    <w:p w14:paraId="55030004" w14:textId="77777777" w:rsidR="00014F8D" w:rsidRPr="00050DAE" w:rsidRDefault="00014F8D" w:rsidP="0077607F">
      <w:pPr>
        <w:pStyle w:val="NoSpacing"/>
        <w:rPr>
          <w:rFonts w:asciiTheme="majorBidi" w:hAnsiTheme="majorBidi" w:cstheme="majorBidi"/>
          <w:sz w:val="24"/>
          <w:szCs w:val="24"/>
        </w:rPr>
      </w:pPr>
    </w:p>
    <w:p w14:paraId="6F2473AA"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Closing Prayer (surviving lines)</w:t>
      </w:r>
    </w:p>
    <w:p w14:paraId="64763545"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26-33</w:t>
      </w:r>
    </w:p>
    <w:p w14:paraId="25E6834A"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With the strength of Rapiu, King of Eternity,</w:t>
      </w:r>
    </w:p>
    <w:p w14:paraId="174784F4"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with his help,</w:t>
      </w:r>
    </w:p>
    <w:p w14:paraId="2DC43AAA"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with his power,</w:t>
      </w:r>
    </w:p>
    <w:p w14:paraId="5C0B642C"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by his rule,</w:t>
      </w:r>
    </w:p>
    <w:p w14:paraId="3C0ED2B6"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by his splendor,</w:t>
      </w:r>
    </w:p>
    <w:p w14:paraId="1FB66B15"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among the Saviors of the Underworld,</w:t>
      </w:r>
    </w:p>
    <w:p w14:paraId="3436CBBD"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may your strength,</w:t>
      </w:r>
    </w:p>
    <w:p w14:paraId="3532D399"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your help,</w:t>
      </w:r>
    </w:p>
    <w:p w14:paraId="79EC686C"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your power,</w:t>
      </w:r>
    </w:p>
    <w:p w14:paraId="7D6F0140" w14:textId="77777777" w:rsidR="00014F8D" w:rsidRPr="00050DAE" w:rsidRDefault="00014F8D" w:rsidP="0077607F">
      <w:pPr>
        <w:pStyle w:val="NoSpacing"/>
        <w:rPr>
          <w:rFonts w:asciiTheme="majorBidi" w:hAnsiTheme="majorBidi" w:cstheme="majorBidi"/>
          <w:b/>
          <w:bCs/>
          <w:sz w:val="24"/>
          <w:szCs w:val="24"/>
        </w:rPr>
      </w:pPr>
      <w:r w:rsidRPr="00050DAE">
        <w:rPr>
          <w:rFonts w:asciiTheme="majorBidi" w:hAnsiTheme="majorBidi" w:cstheme="majorBidi"/>
          <w:b/>
          <w:bCs/>
          <w:sz w:val="24"/>
          <w:szCs w:val="24"/>
        </w:rPr>
        <w:t>34-38</w:t>
      </w:r>
    </w:p>
    <w:p w14:paraId="268FE492"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your rule,</w:t>
      </w:r>
    </w:p>
    <w:p w14:paraId="7940734D"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your splendor,</w:t>
      </w:r>
    </w:p>
    <w:p w14:paraId="38944F01"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be in the midst of Ugarit,</w:t>
      </w:r>
    </w:p>
    <w:p w14:paraId="2CA7A0EC"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throughout the days and months,</w:t>
      </w:r>
    </w:p>
    <w:p w14:paraId="35D5431E" w14:textId="77777777" w:rsidR="00014F8D" w:rsidRPr="00050DAE" w:rsidRDefault="00014F8D" w:rsidP="0077607F">
      <w:pPr>
        <w:pStyle w:val="NoSpacing"/>
        <w:rPr>
          <w:rFonts w:asciiTheme="majorBidi" w:hAnsiTheme="majorBidi" w:cstheme="majorBidi"/>
          <w:sz w:val="24"/>
          <w:szCs w:val="24"/>
        </w:rPr>
      </w:pPr>
      <w:r w:rsidRPr="00050DAE">
        <w:rPr>
          <w:rFonts w:asciiTheme="majorBidi" w:hAnsiTheme="majorBidi" w:cstheme="majorBidi"/>
          <w:sz w:val="24"/>
          <w:szCs w:val="24"/>
        </w:rPr>
        <w:t>and the gracious years of El.</w:t>
      </w:r>
    </w:p>
    <w:p w14:paraId="517CB761"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3893EA24" w14:textId="77777777" w:rsidR="00014F8D" w:rsidRPr="00050DAE" w:rsidRDefault="00014F8D" w:rsidP="00BB1595">
      <w:pPr>
        <w:pStyle w:val="Heading3"/>
        <w:rPr>
          <w:rFonts w:asciiTheme="majorBidi" w:hAnsiTheme="majorBidi"/>
          <w:i/>
          <w:iCs/>
        </w:rPr>
      </w:pPr>
      <w:bookmarkStart w:id="223" w:name="_Toc234154350"/>
      <w:r w:rsidRPr="00050DAE">
        <w:rPr>
          <w:rFonts w:asciiTheme="majorBidi" w:hAnsiTheme="majorBidi"/>
          <w:i/>
          <w:iCs/>
        </w:rPr>
        <w:t>RS 34.126 A Funerary Ritual in Poetic Form (KTU 1.162)</w:t>
      </w:r>
      <w:r w:rsidRPr="00050DAE">
        <w:rPr>
          <w:rStyle w:val="FootnoteReference"/>
          <w:rFonts w:asciiTheme="majorBidi" w:hAnsiTheme="majorBidi"/>
        </w:rPr>
        <w:footnoteReference w:id="374"/>
      </w:r>
      <w:bookmarkEnd w:id="223"/>
    </w:p>
    <w:p w14:paraId="1D8A421E" w14:textId="77777777" w:rsidR="00014F8D" w:rsidRPr="00050DAE" w:rsidRDefault="00014F8D" w:rsidP="00BB1595">
      <w:pPr>
        <w:spacing w:after="0" w:line="240" w:lineRule="auto"/>
        <w:rPr>
          <w:rFonts w:asciiTheme="majorBidi" w:hAnsiTheme="majorBidi" w:cstheme="majorBidi"/>
          <w:b/>
          <w:bCs/>
          <w:sz w:val="24"/>
          <w:szCs w:val="24"/>
        </w:rPr>
      </w:pPr>
      <w:r w:rsidRPr="00050DAE">
        <w:rPr>
          <w:rFonts w:asciiTheme="majorBidi" w:hAnsiTheme="majorBidi" w:cstheme="majorBidi"/>
          <w:b/>
          <w:bCs/>
          <w:sz w:val="24"/>
          <w:szCs w:val="24"/>
        </w:rPr>
        <w:t>1-5</w:t>
      </w:r>
    </w:p>
    <w:p w14:paraId="5C1746F9"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Document of the sacrificial liturgy of the Shades.</w:t>
      </w:r>
    </w:p>
    <w:p w14:paraId="040AA2A4"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You have been called, O </w:t>
      </w:r>
      <w:r w:rsidRPr="00050DAE">
        <w:rPr>
          <w:rFonts w:asciiTheme="majorBidi" w:hAnsiTheme="majorBidi" w:cstheme="majorBidi"/>
          <w:i/>
          <w:iCs/>
          <w:sz w:val="24"/>
          <w:szCs w:val="24"/>
        </w:rPr>
        <w:t>Rapaˀūma</w:t>
      </w:r>
      <w:r w:rsidRPr="00050DAE">
        <w:rPr>
          <w:rFonts w:asciiTheme="majorBidi" w:hAnsiTheme="majorBidi" w:cstheme="majorBidi"/>
          <w:i/>
          <w:iCs/>
          <w:sz w:val="24"/>
          <w:szCs w:val="24"/>
          <w:vertAlign w:val="superscript"/>
        </w:rPr>
        <w:footnoteReference w:id="375"/>
      </w:r>
      <w:r w:rsidRPr="00050DAE">
        <w:rPr>
          <w:rFonts w:asciiTheme="majorBidi" w:hAnsiTheme="majorBidi" w:cstheme="majorBidi"/>
          <w:sz w:val="24"/>
          <w:szCs w:val="24"/>
        </w:rPr>
        <w:t xml:space="preserve"> of the Earth,</w:t>
      </w:r>
    </w:p>
    <w:p w14:paraId="270E1B70"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You have been summoned, O Assembly of </w:t>
      </w:r>
      <w:r w:rsidRPr="00050DAE">
        <w:rPr>
          <w:rFonts w:asciiTheme="majorBidi" w:hAnsiTheme="majorBidi" w:cstheme="majorBidi"/>
          <w:i/>
          <w:iCs/>
          <w:sz w:val="24"/>
          <w:szCs w:val="24"/>
        </w:rPr>
        <w:t>Didānu</w:t>
      </w:r>
      <w:r w:rsidRPr="00050DAE">
        <w:rPr>
          <w:rFonts w:asciiTheme="majorBidi" w:hAnsiTheme="majorBidi" w:cstheme="majorBidi"/>
          <w:sz w:val="24"/>
          <w:szCs w:val="24"/>
        </w:rPr>
        <w:t>;</w:t>
      </w:r>
    </w:p>
    <w:p w14:paraId="633F5175"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ʿULKN the </w:t>
      </w:r>
      <w:r w:rsidRPr="00050DAE">
        <w:rPr>
          <w:rFonts w:asciiTheme="majorBidi" w:hAnsiTheme="majorBidi" w:cstheme="majorBidi"/>
          <w:i/>
          <w:iCs/>
          <w:sz w:val="24"/>
          <w:szCs w:val="24"/>
        </w:rPr>
        <w:t>Rapaˀu</w:t>
      </w:r>
      <w:r w:rsidRPr="00050DAE">
        <w:rPr>
          <w:rFonts w:asciiTheme="majorBidi" w:hAnsiTheme="majorBidi" w:cstheme="majorBidi"/>
          <w:sz w:val="24"/>
          <w:szCs w:val="24"/>
        </w:rPr>
        <w:t xml:space="preserve"> has been called, TRMN the </w:t>
      </w:r>
      <w:r w:rsidRPr="00050DAE">
        <w:rPr>
          <w:rFonts w:asciiTheme="majorBidi" w:hAnsiTheme="majorBidi" w:cstheme="majorBidi"/>
          <w:i/>
          <w:iCs/>
          <w:sz w:val="24"/>
          <w:szCs w:val="24"/>
        </w:rPr>
        <w:t>Rapaˀu</w:t>
      </w:r>
      <w:r w:rsidRPr="00050DAE">
        <w:rPr>
          <w:rFonts w:asciiTheme="majorBidi" w:hAnsiTheme="majorBidi" w:cstheme="majorBidi"/>
          <w:sz w:val="24"/>
          <w:szCs w:val="24"/>
        </w:rPr>
        <w:t xml:space="preserve"> has been called,</w:t>
      </w:r>
    </w:p>
    <w:p w14:paraId="0F24D112" w14:textId="77777777" w:rsidR="00014F8D" w:rsidRPr="00050DAE" w:rsidRDefault="00014F8D" w:rsidP="00BB1595">
      <w:pPr>
        <w:spacing w:after="0" w:line="240" w:lineRule="auto"/>
        <w:rPr>
          <w:rFonts w:asciiTheme="majorBidi" w:hAnsiTheme="majorBidi" w:cstheme="majorBidi"/>
          <w:b/>
          <w:bCs/>
          <w:sz w:val="24"/>
          <w:szCs w:val="24"/>
        </w:rPr>
      </w:pPr>
      <w:r w:rsidRPr="00050DAE">
        <w:rPr>
          <w:rFonts w:asciiTheme="majorBidi" w:hAnsiTheme="majorBidi" w:cstheme="majorBidi"/>
          <w:b/>
          <w:bCs/>
          <w:sz w:val="24"/>
          <w:szCs w:val="24"/>
        </w:rPr>
        <w:t>6-10</w:t>
      </w:r>
    </w:p>
    <w:p w14:paraId="127551AB"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SDN-</w:t>
      </w:r>
      <w:r w:rsidRPr="00050DAE">
        <w:rPr>
          <w:rFonts w:asciiTheme="majorBidi" w:hAnsiTheme="majorBidi" w:cstheme="majorBidi"/>
          <w:i/>
          <w:iCs/>
          <w:sz w:val="24"/>
          <w:szCs w:val="24"/>
        </w:rPr>
        <w:t>wa</w:t>
      </w:r>
      <w:r w:rsidRPr="00050DAE">
        <w:rPr>
          <w:rFonts w:asciiTheme="majorBidi" w:hAnsiTheme="majorBidi" w:cstheme="majorBidi"/>
          <w:sz w:val="24"/>
          <w:szCs w:val="24"/>
        </w:rPr>
        <w:t>-RDN has been called, T̲RʿLLMN has been called,</w:t>
      </w:r>
    </w:p>
    <w:p w14:paraId="39CAD474"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They have called the Ancient </w:t>
      </w:r>
      <w:r w:rsidRPr="00050DAE">
        <w:rPr>
          <w:rFonts w:asciiTheme="majorBidi" w:hAnsiTheme="majorBidi" w:cstheme="majorBidi"/>
          <w:i/>
          <w:iCs/>
          <w:sz w:val="24"/>
          <w:szCs w:val="24"/>
        </w:rPr>
        <w:t>Rapaˀūma</w:t>
      </w:r>
      <w:r w:rsidRPr="00050DAE">
        <w:rPr>
          <w:rFonts w:asciiTheme="majorBidi" w:hAnsiTheme="majorBidi" w:cstheme="majorBidi"/>
          <w:sz w:val="24"/>
          <w:szCs w:val="24"/>
        </w:rPr>
        <w:t>.</w:t>
      </w:r>
    </w:p>
    <w:p w14:paraId="35453CFC"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You have been called, O </w:t>
      </w:r>
      <w:r w:rsidRPr="00050DAE">
        <w:rPr>
          <w:rFonts w:asciiTheme="majorBidi" w:hAnsiTheme="majorBidi" w:cstheme="majorBidi"/>
          <w:i/>
          <w:iCs/>
          <w:sz w:val="24"/>
          <w:szCs w:val="24"/>
        </w:rPr>
        <w:t>Rapaˀūma</w:t>
      </w:r>
      <w:r w:rsidRPr="00050DAE">
        <w:rPr>
          <w:rFonts w:asciiTheme="majorBidi" w:hAnsiTheme="majorBidi" w:cstheme="majorBidi"/>
          <w:sz w:val="24"/>
          <w:szCs w:val="24"/>
        </w:rPr>
        <w:t xml:space="preserve"> of the Earth,</w:t>
      </w:r>
    </w:p>
    <w:p w14:paraId="3C415707"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You have been summoned, O Assembly of </w:t>
      </w:r>
      <w:r w:rsidRPr="00050DAE">
        <w:rPr>
          <w:rFonts w:asciiTheme="majorBidi" w:hAnsiTheme="majorBidi" w:cstheme="majorBidi"/>
          <w:i/>
          <w:iCs/>
          <w:sz w:val="24"/>
          <w:szCs w:val="24"/>
        </w:rPr>
        <w:t>Didānu</w:t>
      </w:r>
      <w:r w:rsidRPr="00050DAE">
        <w:rPr>
          <w:rFonts w:asciiTheme="majorBidi" w:hAnsiTheme="majorBidi" w:cstheme="majorBidi"/>
          <w:sz w:val="24"/>
          <w:szCs w:val="24"/>
        </w:rPr>
        <w:t>;</w:t>
      </w:r>
    </w:p>
    <w:p w14:paraId="31B48C53" w14:textId="77777777" w:rsidR="00014F8D" w:rsidRPr="00050DAE" w:rsidRDefault="00014F8D" w:rsidP="00BB1595">
      <w:pPr>
        <w:spacing w:after="0" w:line="240" w:lineRule="auto"/>
        <w:rPr>
          <w:rFonts w:asciiTheme="majorBidi" w:hAnsiTheme="majorBidi" w:cstheme="majorBidi"/>
          <w:b/>
          <w:bCs/>
          <w:sz w:val="24"/>
          <w:szCs w:val="24"/>
        </w:rPr>
      </w:pPr>
      <w:r w:rsidRPr="00050DAE">
        <w:rPr>
          <w:rFonts w:asciiTheme="majorBidi" w:hAnsiTheme="majorBidi" w:cstheme="majorBidi"/>
          <w:b/>
          <w:bCs/>
          <w:sz w:val="24"/>
          <w:szCs w:val="24"/>
        </w:rPr>
        <w:t>11-15</w:t>
      </w:r>
    </w:p>
    <w:p w14:paraId="76780B64"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King </w:t>
      </w:r>
      <w:r w:rsidRPr="00050DAE">
        <w:rPr>
          <w:rFonts w:asciiTheme="majorBidi" w:hAnsiTheme="majorBidi" w:cstheme="majorBidi"/>
          <w:i/>
          <w:iCs/>
          <w:sz w:val="24"/>
          <w:szCs w:val="24"/>
        </w:rPr>
        <w:t>ʿAmmitt̲amru</w:t>
      </w:r>
      <w:r w:rsidRPr="00050DAE">
        <w:rPr>
          <w:rFonts w:asciiTheme="majorBidi" w:hAnsiTheme="majorBidi" w:cstheme="majorBidi"/>
          <w:sz w:val="24"/>
          <w:szCs w:val="24"/>
        </w:rPr>
        <w:t xml:space="preserve"> has been called,</w:t>
      </w:r>
    </w:p>
    <w:p w14:paraId="7659E0DA"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King </w:t>
      </w:r>
      <w:r w:rsidRPr="00050DAE">
        <w:rPr>
          <w:rFonts w:asciiTheme="majorBidi" w:hAnsiTheme="majorBidi" w:cstheme="majorBidi"/>
          <w:i/>
          <w:iCs/>
          <w:sz w:val="24"/>
          <w:szCs w:val="24"/>
        </w:rPr>
        <w:t>Niqmaddu</w:t>
      </w:r>
      <w:r w:rsidRPr="00050DAE">
        <w:rPr>
          <w:rFonts w:asciiTheme="majorBidi" w:hAnsiTheme="majorBidi" w:cstheme="majorBidi"/>
          <w:sz w:val="24"/>
          <w:szCs w:val="24"/>
        </w:rPr>
        <w:t xml:space="preserve"> has been called as well.</w:t>
      </w:r>
    </w:p>
    <w:p w14:paraId="71141031"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O Throne of </w:t>
      </w:r>
      <w:r w:rsidRPr="00050DAE">
        <w:rPr>
          <w:rFonts w:asciiTheme="majorBidi" w:hAnsiTheme="majorBidi" w:cstheme="majorBidi"/>
          <w:i/>
          <w:iCs/>
          <w:sz w:val="24"/>
          <w:szCs w:val="24"/>
        </w:rPr>
        <w:t>Niqmaddu</w:t>
      </w:r>
      <w:r w:rsidRPr="00050DAE">
        <w:rPr>
          <w:rFonts w:asciiTheme="majorBidi" w:hAnsiTheme="majorBidi" w:cstheme="majorBidi"/>
          <w:sz w:val="24"/>
          <w:szCs w:val="24"/>
        </w:rPr>
        <w:t>, be bewept,</w:t>
      </w:r>
    </w:p>
    <w:p w14:paraId="29BE1187"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And may tears be shed over the footstool of his feet.</w:t>
      </w:r>
    </w:p>
    <w:p w14:paraId="7BB326E8"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Before him they must beweep the king’s table,</w:t>
      </w:r>
    </w:p>
    <w:p w14:paraId="22E87B55" w14:textId="77777777" w:rsidR="00014F8D" w:rsidRPr="00050DAE" w:rsidRDefault="00014F8D" w:rsidP="00BB1595">
      <w:pPr>
        <w:spacing w:after="0" w:line="240" w:lineRule="auto"/>
        <w:rPr>
          <w:rFonts w:asciiTheme="majorBidi" w:hAnsiTheme="majorBidi" w:cstheme="majorBidi"/>
          <w:b/>
          <w:bCs/>
          <w:sz w:val="24"/>
          <w:szCs w:val="24"/>
        </w:rPr>
      </w:pPr>
      <w:r w:rsidRPr="00050DAE">
        <w:rPr>
          <w:rFonts w:asciiTheme="majorBidi" w:hAnsiTheme="majorBidi" w:cstheme="majorBidi"/>
          <w:b/>
          <w:bCs/>
          <w:sz w:val="24"/>
          <w:szCs w:val="24"/>
        </w:rPr>
        <w:t>16-20</w:t>
      </w:r>
    </w:p>
    <w:p w14:paraId="4BD038D4"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Each must swallow down his tears:</w:t>
      </w:r>
    </w:p>
    <w:p w14:paraId="0E210BC3"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Desolation and desolation of desolations!</w:t>
      </w:r>
    </w:p>
    <w:p w14:paraId="24CCFD27"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Be hot, O </w:t>
      </w:r>
      <w:r w:rsidRPr="00050DAE">
        <w:rPr>
          <w:rFonts w:asciiTheme="majorBidi" w:hAnsiTheme="majorBidi" w:cstheme="majorBidi"/>
          <w:i/>
          <w:iCs/>
          <w:sz w:val="24"/>
          <w:szCs w:val="24"/>
        </w:rPr>
        <w:t>Šapšu</w:t>
      </w:r>
      <w:r w:rsidRPr="00050DAE">
        <w:rPr>
          <w:rFonts w:asciiTheme="majorBidi" w:hAnsiTheme="majorBidi" w:cstheme="majorBidi"/>
          <w:sz w:val="24"/>
          <w:szCs w:val="24"/>
        </w:rPr>
        <w:t>,</w:t>
      </w:r>
    </w:p>
    <w:p w14:paraId="67187551"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Yea, be hot, O Great Light.</w:t>
      </w:r>
    </w:p>
    <w:p w14:paraId="30598E73"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On high </w:t>
      </w:r>
      <w:r w:rsidRPr="00050DAE">
        <w:rPr>
          <w:rFonts w:asciiTheme="majorBidi" w:hAnsiTheme="majorBidi" w:cstheme="majorBidi"/>
          <w:i/>
          <w:iCs/>
          <w:sz w:val="24"/>
          <w:szCs w:val="24"/>
        </w:rPr>
        <w:t>Šapšu</w:t>
      </w:r>
      <w:r w:rsidRPr="00050DAE">
        <w:rPr>
          <w:rFonts w:asciiTheme="majorBidi" w:hAnsiTheme="majorBidi" w:cstheme="majorBidi"/>
          <w:sz w:val="24"/>
          <w:szCs w:val="24"/>
        </w:rPr>
        <w:t xml:space="preserve"> cries out: After your lords, from the throne,</w:t>
      </w:r>
    </w:p>
    <w:p w14:paraId="76BAAC70" w14:textId="77777777" w:rsidR="00014F8D" w:rsidRPr="00050DAE" w:rsidRDefault="00014F8D" w:rsidP="00BB1595">
      <w:pPr>
        <w:spacing w:after="0" w:line="240" w:lineRule="auto"/>
        <w:rPr>
          <w:rFonts w:asciiTheme="majorBidi" w:hAnsiTheme="majorBidi" w:cstheme="majorBidi"/>
          <w:b/>
          <w:bCs/>
          <w:sz w:val="24"/>
          <w:szCs w:val="24"/>
        </w:rPr>
      </w:pPr>
      <w:r w:rsidRPr="00050DAE">
        <w:rPr>
          <w:rFonts w:asciiTheme="majorBidi" w:hAnsiTheme="majorBidi" w:cstheme="majorBidi"/>
          <w:b/>
          <w:bCs/>
          <w:sz w:val="24"/>
          <w:szCs w:val="24"/>
        </w:rPr>
        <w:t>21-25</w:t>
      </w:r>
    </w:p>
    <w:p w14:paraId="72763CA5"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After your lords descend into the earth,</w:t>
      </w:r>
    </w:p>
    <w:p w14:paraId="3D017ECD"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Into the earth descend and lower yourself into the dust:</w:t>
      </w:r>
    </w:p>
    <w:p w14:paraId="7D6A57DC"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Under SDN-</w:t>
      </w:r>
      <w:r w:rsidRPr="00050DAE">
        <w:rPr>
          <w:rFonts w:asciiTheme="majorBidi" w:hAnsiTheme="majorBidi" w:cstheme="majorBidi"/>
          <w:i/>
          <w:iCs/>
          <w:sz w:val="24"/>
          <w:szCs w:val="24"/>
        </w:rPr>
        <w:t>wa</w:t>
      </w:r>
      <w:r w:rsidRPr="00050DAE">
        <w:rPr>
          <w:rFonts w:asciiTheme="majorBidi" w:hAnsiTheme="majorBidi" w:cstheme="majorBidi"/>
          <w:sz w:val="24"/>
          <w:szCs w:val="24"/>
        </w:rPr>
        <w:t>-RDN,</w:t>
      </w:r>
    </w:p>
    <w:p w14:paraId="73B98782"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Under T̲RʿLLMN,</w:t>
      </w:r>
    </w:p>
    <w:p w14:paraId="2F907858"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Under the Ancient </w:t>
      </w:r>
      <w:r w:rsidRPr="00050DAE">
        <w:rPr>
          <w:rFonts w:asciiTheme="majorBidi" w:hAnsiTheme="majorBidi" w:cstheme="majorBidi"/>
          <w:i/>
          <w:iCs/>
          <w:sz w:val="24"/>
          <w:szCs w:val="24"/>
        </w:rPr>
        <w:t>Rapaˀūma</w:t>
      </w:r>
      <w:r w:rsidRPr="00050DAE">
        <w:rPr>
          <w:rFonts w:asciiTheme="majorBidi" w:hAnsiTheme="majorBidi" w:cstheme="majorBidi"/>
          <w:sz w:val="24"/>
          <w:szCs w:val="24"/>
        </w:rPr>
        <w:t>;</w:t>
      </w:r>
    </w:p>
    <w:p w14:paraId="54659405"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Under King </w:t>
      </w:r>
      <w:r w:rsidRPr="00050DAE">
        <w:rPr>
          <w:rFonts w:asciiTheme="majorBidi" w:hAnsiTheme="majorBidi" w:cstheme="majorBidi"/>
          <w:i/>
          <w:iCs/>
          <w:sz w:val="24"/>
          <w:szCs w:val="24"/>
        </w:rPr>
        <w:t>ʿAmmitt̲amru</w:t>
      </w:r>
      <w:r w:rsidRPr="00050DAE">
        <w:rPr>
          <w:rFonts w:asciiTheme="majorBidi" w:hAnsiTheme="majorBidi" w:cstheme="majorBidi"/>
          <w:sz w:val="24"/>
          <w:szCs w:val="24"/>
        </w:rPr>
        <w:t>,</w:t>
      </w:r>
    </w:p>
    <w:p w14:paraId="57EC6BAA" w14:textId="77777777" w:rsidR="00014F8D" w:rsidRPr="00050DAE" w:rsidRDefault="00014F8D" w:rsidP="00BB1595">
      <w:pPr>
        <w:spacing w:after="0" w:line="240" w:lineRule="auto"/>
        <w:rPr>
          <w:rFonts w:asciiTheme="majorBidi" w:hAnsiTheme="majorBidi" w:cstheme="majorBidi"/>
          <w:b/>
          <w:bCs/>
          <w:sz w:val="24"/>
          <w:szCs w:val="24"/>
        </w:rPr>
      </w:pPr>
      <w:r w:rsidRPr="00050DAE">
        <w:rPr>
          <w:rFonts w:asciiTheme="majorBidi" w:hAnsiTheme="majorBidi" w:cstheme="majorBidi"/>
          <w:b/>
          <w:bCs/>
          <w:sz w:val="24"/>
          <w:szCs w:val="24"/>
        </w:rPr>
        <w:t>26-30</w:t>
      </w:r>
    </w:p>
    <w:p w14:paraId="23EB4F85"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Under King </w:t>
      </w:r>
      <w:r w:rsidRPr="00050DAE">
        <w:rPr>
          <w:rFonts w:asciiTheme="majorBidi" w:hAnsiTheme="majorBidi" w:cstheme="majorBidi"/>
          <w:i/>
          <w:iCs/>
          <w:sz w:val="24"/>
          <w:szCs w:val="24"/>
        </w:rPr>
        <w:t>Niqmaddu</w:t>
      </w:r>
      <w:r w:rsidRPr="00050DAE">
        <w:rPr>
          <w:rFonts w:asciiTheme="majorBidi" w:hAnsiTheme="majorBidi" w:cstheme="majorBidi"/>
          <w:sz w:val="24"/>
          <w:szCs w:val="24"/>
        </w:rPr>
        <w:t xml:space="preserve"> as well.</w:t>
      </w:r>
    </w:p>
    <w:p w14:paraId="15567756"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Once and perform the t̲ʿ-sacrifice,</w:t>
      </w:r>
    </w:p>
    <w:p w14:paraId="312CE5CD"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Twice and perform the t̲ʿ-sacrifice,</w:t>
      </w:r>
    </w:p>
    <w:p w14:paraId="2278AEDC"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Thrice and perform the t̲ʿ-sacrifice,</w:t>
      </w:r>
    </w:p>
    <w:p w14:paraId="0AD8E90B"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Four times and perform the t̲ʿ-sacrifice,</w:t>
      </w:r>
    </w:p>
    <w:p w14:paraId="3E710A89"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Five times and perform the t̲ʿ-sacrifice,</w:t>
      </w:r>
    </w:p>
    <w:p w14:paraId="11AE04D0"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Six times and perform the t̲ʿ-sacrifice,</w:t>
      </w:r>
    </w:p>
    <w:p w14:paraId="5BFB4746"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Seven times and perform the t̲ʿ-sacrifice.</w:t>
      </w:r>
    </w:p>
    <w:p w14:paraId="51EA2C9C" w14:textId="77777777" w:rsidR="00014F8D" w:rsidRPr="00050DAE" w:rsidRDefault="00014F8D" w:rsidP="00BB1595">
      <w:pPr>
        <w:spacing w:after="0" w:line="240" w:lineRule="auto"/>
        <w:rPr>
          <w:rFonts w:asciiTheme="majorBidi" w:hAnsiTheme="majorBidi" w:cstheme="majorBidi"/>
          <w:b/>
          <w:bCs/>
          <w:sz w:val="24"/>
          <w:szCs w:val="24"/>
        </w:rPr>
      </w:pPr>
      <w:r w:rsidRPr="00050DAE">
        <w:rPr>
          <w:rFonts w:asciiTheme="majorBidi" w:hAnsiTheme="majorBidi" w:cstheme="majorBidi"/>
          <w:b/>
          <w:bCs/>
          <w:sz w:val="24"/>
          <w:szCs w:val="24"/>
        </w:rPr>
        <w:t>31-34</w:t>
      </w:r>
    </w:p>
    <w:p w14:paraId="1FBE30E5"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You shall present bird(s) of well- being:</w:t>
      </w:r>
    </w:p>
    <w:p w14:paraId="5E667AF6"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Well-being for </w:t>
      </w:r>
      <w:r w:rsidRPr="00050DAE">
        <w:rPr>
          <w:rFonts w:asciiTheme="majorBidi" w:hAnsiTheme="majorBidi" w:cstheme="majorBidi"/>
          <w:i/>
          <w:iCs/>
          <w:sz w:val="24"/>
          <w:szCs w:val="24"/>
        </w:rPr>
        <w:t>ʿAmmurapiˀ</w:t>
      </w:r>
      <w:r w:rsidRPr="00050DAE">
        <w:rPr>
          <w:rFonts w:asciiTheme="majorBidi" w:hAnsiTheme="majorBidi" w:cstheme="majorBidi"/>
          <w:sz w:val="24"/>
          <w:szCs w:val="24"/>
        </w:rPr>
        <w:t>, well-being for his house!;</w:t>
      </w:r>
    </w:p>
    <w:p w14:paraId="1C880AEF"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 xml:space="preserve">Well-being for </w:t>
      </w:r>
      <w:r w:rsidRPr="00050DAE">
        <w:rPr>
          <w:rFonts w:asciiTheme="majorBidi" w:hAnsiTheme="majorBidi" w:cstheme="majorBidi"/>
          <w:i/>
          <w:iCs/>
          <w:sz w:val="24"/>
          <w:szCs w:val="24"/>
        </w:rPr>
        <w:t>T̲arriyelli</w:t>
      </w:r>
      <w:r w:rsidRPr="00050DAE">
        <w:rPr>
          <w:rFonts w:asciiTheme="majorBidi" w:hAnsiTheme="majorBidi" w:cstheme="majorBidi"/>
          <w:sz w:val="24"/>
          <w:szCs w:val="24"/>
        </w:rPr>
        <w:t>, well-being for her house;</w:t>
      </w:r>
    </w:p>
    <w:p w14:paraId="2A1824F4" w14:textId="77777777" w:rsidR="00014F8D" w:rsidRPr="00050DAE" w:rsidRDefault="00014F8D" w:rsidP="00BB1595">
      <w:pPr>
        <w:spacing w:after="0" w:line="240" w:lineRule="auto"/>
        <w:rPr>
          <w:rFonts w:asciiTheme="majorBidi" w:hAnsiTheme="majorBidi" w:cstheme="majorBidi"/>
          <w:sz w:val="24"/>
          <w:szCs w:val="24"/>
        </w:rPr>
      </w:pPr>
      <w:r w:rsidRPr="00050DAE">
        <w:rPr>
          <w:rFonts w:asciiTheme="majorBidi" w:hAnsiTheme="majorBidi" w:cstheme="majorBidi"/>
          <w:sz w:val="24"/>
          <w:szCs w:val="24"/>
        </w:rPr>
        <w:t>Well-being for Ugarit, well-being for her gates.</w:t>
      </w:r>
    </w:p>
    <w:p w14:paraId="7B4E6BF8" w14:textId="77777777" w:rsidR="00014F8D" w:rsidRPr="00050DAE" w:rsidRDefault="00014F8D">
      <w:pPr>
        <w:rPr>
          <w:rFonts w:asciiTheme="majorBidi" w:hAnsiTheme="majorBidi" w:cstheme="majorBidi"/>
          <w:sz w:val="24"/>
          <w:szCs w:val="24"/>
        </w:rPr>
      </w:pPr>
      <w:r w:rsidRPr="00050DAE">
        <w:rPr>
          <w:rFonts w:asciiTheme="majorBidi" w:hAnsiTheme="majorBidi" w:cstheme="majorBidi"/>
          <w:sz w:val="24"/>
          <w:szCs w:val="24"/>
        </w:rPr>
        <w:br w:type="page"/>
      </w:r>
    </w:p>
    <w:p w14:paraId="0A91064D" w14:textId="77777777" w:rsidR="00014F8D" w:rsidRPr="00050DAE" w:rsidRDefault="00014F8D" w:rsidP="000C6F67">
      <w:pPr>
        <w:pStyle w:val="Heading2"/>
        <w:rPr>
          <w:rFonts w:asciiTheme="majorBidi" w:hAnsiTheme="majorBidi"/>
          <w:sz w:val="24"/>
          <w:szCs w:val="24"/>
        </w:rPr>
      </w:pPr>
      <w:bookmarkStart w:id="224" w:name="_Toc234154351"/>
      <w:r w:rsidRPr="00050DAE">
        <w:rPr>
          <w:rFonts w:asciiTheme="majorBidi" w:hAnsiTheme="majorBidi"/>
          <w:sz w:val="24"/>
          <w:szCs w:val="24"/>
        </w:rPr>
        <w:t>Demeter and Kore/Persephone Secondary Corpus Texts</w:t>
      </w:r>
      <w:bookmarkEnd w:id="224"/>
    </w:p>
    <w:p w14:paraId="78AB7F87" w14:textId="77777777" w:rsidR="00014F8D" w:rsidRPr="00050DAE" w:rsidRDefault="00014F8D" w:rsidP="000C6F67">
      <w:pPr>
        <w:pStyle w:val="Heading3"/>
        <w:rPr>
          <w:rFonts w:asciiTheme="majorBidi" w:hAnsiTheme="majorBidi"/>
          <w:i/>
          <w:iCs/>
          <w:sz w:val="24"/>
          <w:szCs w:val="24"/>
        </w:rPr>
      </w:pPr>
      <w:bookmarkStart w:id="225" w:name="_Toc234154352"/>
      <w:r w:rsidRPr="00050DAE">
        <w:rPr>
          <w:rFonts w:asciiTheme="majorBidi" w:hAnsiTheme="majorBidi"/>
          <w:i/>
          <w:iCs/>
          <w:sz w:val="24"/>
          <w:szCs w:val="24"/>
        </w:rPr>
        <w:t>Orphic Hymn 29. Hymn to Persephone</w:t>
      </w:r>
      <w:r w:rsidRPr="00050DAE">
        <w:rPr>
          <w:rStyle w:val="FootnoteReference"/>
          <w:rFonts w:asciiTheme="majorBidi" w:hAnsiTheme="majorBidi"/>
          <w:sz w:val="24"/>
          <w:szCs w:val="24"/>
        </w:rPr>
        <w:footnoteReference w:id="376"/>
      </w:r>
      <w:bookmarkEnd w:id="225"/>
    </w:p>
    <w:p w14:paraId="664849CA"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Persephone, great Zeus’ daughter, come, blessed,</w:t>
      </w:r>
    </w:p>
    <w:p w14:paraId="7E43AC03"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only-born goddess, accept our welcome offerings;</w:t>
      </w:r>
    </w:p>
    <w:p w14:paraId="052AE2EF"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Pluto’s much-honoured wife, noble, life-giving,</w:t>
      </w:r>
    </w:p>
    <w:p w14:paraId="59509768"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 xml:space="preserve"> who keeps Hades’ gates in the vaults of the earth,</w:t>
      </w:r>
    </w:p>
    <w:p w14:paraId="03CD4D8C" w14:textId="77777777" w:rsidR="00014F8D" w:rsidRPr="00050DAE" w:rsidRDefault="00014F8D" w:rsidP="006C4CEF">
      <w:pPr>
        <w:pStyle w:val="NoSpacing"/>
        <w:rPr>
          <w:rFonts w:asciiTheme="majorBidi" w:hAnsiTheme="majorBidi" w:cstheme="majorBidi"/>
          <w:b/>
          <w:bCs/>
          <w:sz w:val="24"/>
          <w:szCs w:val="24"/>
        </w:rPr>
      </w:pPr>
      <w:r w:rsidRPr="00050DAE">
        <w:rPr>
          <w:rFonts w:asciiTheme="majorBidi" w:hAnsiTheme="majorBidi" w:cstheme="majorBidi"/>
          <w:b/>
          <w:bCs/>
          <w:sz w:val="24"/>
          <w:szCs w:val="24"/>
        </w:rPr>
        <w:t xml:space="preserve">5 </w:t>
      </w:r>
    </w:p>
    <w:p w14:paraId="7624A263"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Praxidike, love-locked, pure shoot of Deo,</w:t>
      </w:r>
    </w:p>
    <w:p w14:paraId="7676A872"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mother of Furies, queen of the underworld,</w:t>
      </w:r>
    </w:p>
    <w:p w14:paraId="4129209D"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maiden Zeus sired in secret conception,</w:t>
      </w:r>
    </w:p>
    <w:p w14:paraId="61D502F8"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mother of loud-roaring, many-formed Eubouleus,</w:t>
      </w:r>
    </w:p>
    <w:p w14:paraId="43DFDF6D"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fellow-weaver of the Hours, light-bearer, bright-form,</w:t>
      </w:r>
    </w:p>
    <w:p w14:paraId="7E8B31AF" w14:textId="77777777" w:rsidR="00014F8D" w:rsidRPr="00050DAE" w:rsidRDefault="00014F8D" w:rsidP="006C4CEF">
      <w:pPr>
        <w:pStyle w:val="NoSpacing"/>
        <w:rPr>
          <w:rFonts w:asciiTheme="majorBidi" w:hAnsiTheme="majorBidi" w:cstheme="majorBidi"/>
          <w:b/>
          <w:bCs/>
          <w:sz w:val="24"/>
          <w:szCs w:val="24"/>
        </w:rPr>
      </w:pPr>
      <w:r w:rsidRPr="00050DAE">
        <w:rPr>
          <w:rFonts w:asciiTheme="majorBidi" w:hAnsiTheme="majorBidi" w:cstheme="majorBidi"/>
          <w:b/>
          <w:bCs/>
          <w:sz w:val="24"/>
          <w:szCs w:val="24"/>
        </w:rPr>
        <w:t>10</w:t>
      </w:r>
    </w:p>
    <w:p w14:paraId="3CFE05A7"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holy one, all-ruler, maiden swelling with fruit,</w:t>
      </w:r>
    </w:p>
    <w:p w14:paraId="782BB3E7"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brilliant, horned one, sole longing of mortals;</w:t>
      </w:r>
    </w:p>
    <w:p w14:paraId="3FA195C3"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spring goddess, glad in the breath of the meadows,</w:t>
      </w:r>
    </w:p>
    <w:p w14:paraId="34FB2299"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revealing your sacred form in green-fruited shoots;</w:t>
      </w:r>
    </w:p>
    <w:p w14:paraId="216B095F"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stolen one, wed at autumnal nuptials,</w:t>
      </w:r>
    </w:p>
    <w:p w14:paraId="2253476C" w14:textId="77777777" w:rsidR="00014F8D" w:rsidRPr="00050DAE" w:rsidRDefault="00014F8D" w:rsidP="006C4CEF">
      <w:pPr>
        <w:pStyle w:val="NoSpacing"/>
        <w:rPr>
          <w:rFonts w:asciiTheme="majorBidi" w:hAnsiTheme="majorBidi" w:cstheme="majorBidi"/>
          <w:b/>
          <w:bCs/>
          <w:sz w:val="24"/>
          <w:szCs w:val="24"/>
        </w:rPr>
      </w:pPr>
      <w:r w:rsidRPr="00050DAE">
        <w:rPr>
          <w:rFonts w:asciiTheme="majorBidi" w:hAnsiTheme="majorBidi" w:cstheme="majorBidi"/>
          <w:b/>
          <w:bCs/>
          <w:sz w:val="24"/>
          <w:szCs w:val="24"/>
        </w:rPr>
        <w:t>15</w:t>
      </w:r>
    </w:p>
    <w:p w14:paraId="6FE7BFC4"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sole life and death to long-suffering mortals,</w:t>
      </w:r>
    </w:p>
    <w:p w14:paraId="28B4B1A0"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Phersephone: for you ever feed and slay all.</w:t>
      </w:r>
    </w:p>
    <w:p w14:paraId="370EFE7F"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Hear, blessed goddess, send up fruits from the earth,</w:t>
      </w:r>
    </w:p>
    <w:p w14:paraId="554630E4"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blooming with peace and soft-handed health,</w:t>
      </w:r>
    </w:p>
    <w:p w14:paraId="00CE841B"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and a prosperous life that leads sleek old age</w:t>
      </w:r>
    </w:p>
    <w:p w14:paraId="0DAEBB28" w14:textId="77777777" w:rsidR="00014F8D" w:rsidRPr="00050DAE" w:rsidRDefault="00014F8D" w:rsidP="006C4CEF">
      <w:pPr>
        <w:pStyle w:val="NoSpacing"/>
        <w:rPr>
          <w:rFonts w:asciiTheme="majorBidi" w:hAnsiTheme="majorBidi" w:cstheme="majorBidi"/>
          <w:b/>
          <w:bCs/>
          <w:sz w:val="24"/>
          <w:szCs w:val="24"/>
        </w:rPr>
      </w:pPr>
      <w:r w:rsidRPr="00050DAE">
        <w:rPr>
          <w:rFonts w:asciiTheme="majorBidi" w:hAnsiTheme="majorBidi" w:cstheme="majorBidi"/>
          <w:b/>
          <w:bCs/>
          <w:sz w:val="24"/>
          <w:szCs w:val="24"/>
        </w:rPr>
        <w:t>20</w:t>
      </w:r>
    </w:p>
    <w:p w14:paraId="034E9B9E"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to your country, queen, and almighty Pluto.</w:t>
      </w:r>
    </w:p>
    <w:p w14:paraId="79B4B035" w14:textId="77777777" w:rsidR="00014F8D" w:rsidRPr="00050DAE" w:rsidRDefault="00014F8D">
      <w:pPr>
        <w:rPr>
          <w:rFonts w:asciiTheme="majorBidi" w:hAnsiTheme="majorBidi" w:cstheme="majorBidi"/>
        </w:rPr>
      </w:pPr>
    </w:p>
    <w:p w14:paraId="23D8E578" w14:textId="77777777" w:rsidR="00014F8D" w:rsidRPr="00050DAE" w:rsidRDefault="00014F8D" w:rsidP="000C6F67">
      <w:pPr>
        <w:pStyle w:val="Heading3"/>
        <w:rPr>
          <w:rFonts w:asciiTheme="majorBidi" w:hAnsiTheme="majorBidi"/>
        </w:rPr>
      </w:pPr>
      <w:bookmarkStart w:id="226" w:name="_Toc234154353"/>
      <w:r w:rsidRPr="00050DAE">
        <w:rPr>
          <w:rFonts w:asciiTheme="majorBidi" w:hAnsiTheme="majorBidi"/>
          <w:i/>
          <w:iCs/>
        </w:rPr>
        <w:t>Orphic Hymn 41. Offering of Mother Antaia, spices</w:t>
      </w:r>
      <w:r w:rsidRPr="00050DAE">
        <w:rPr>
          <w:rStyle w:val="FootnoteReference"/>
          <w:rFonts w:asciiTheme="majorBidi" w:hAnsiTheme="majorBidi"/>
        </w:rPr>
        <w:footnoteReference w:id="377"/>
      </w:r>
      <w:bookmarkEnd w:id="226"/>
    </w:p>
    <w:p w14:paraId="52E7F74C"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Queen Antaia, goddess, many-named mother</w:t>
      </w:r>
    </w:p>
    <w:p w14:paraId="2806FC1F"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of immortal gods and humans that die,</w:t>
      </w:r>
    </w:p>
    <w:p w14:paraId="2F02FF1D"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who once, searching in wide-roaming sorrow,</w:t>
      </w:r>
    </w:p>
    <w:p w14:paraId="2101CAD0"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put a stop to your fasting in the hollows of Eleusis</w:t>
      </w:r>
    </w:p>
    <w:p w14:paraId="5CCE47C8" w14:textId="77777777" w:rsidR="00014F8D" w:rsidRPr="00050DAE" w:rsidRDefault="00014F8D" w:rsidP="006C4CEF">
      <w:pPr>
        <w:pStyle w:val="NoSpacing"/>
        <w:rPr>
          <w:rFonts w:asciiTheme="majorBidi" w:hAnsiTheme="majorBidi" w:cstheme="majorBidi"/>
          <w:b/>
          <w:bCs/>
          <w:sz w:val="24"/>
          <w:szCs w:val="24"/>
        </w:rPr>
      </w:pPr>
      <w:r w:rsidRPr="00050DAE">
        <w:rPr>
          <w:rFonts w:asciiTheme="majorBidi" w:hAnsiTheme="majorBidi" w:cstheme="majorBidi"/>
          <w:b/>
          <w:bCs/>
          <w:sz w:val="24"/>
          <w:szCs w:val="24"/>
        </w:rPr>
        <w:t>5</w:t>
      </w:r>
    </w:p>
    <w:p w14:paraId="70A4A2AA"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and came into Hades, to noble Persephone,</w:t>
      </w:r>
    </w:p>
    <w:p w14:paraId="770139E2"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taking as guide the pure child of Dysaules,</w:t>
      </w:r>
    </w:p>
    <w:p w14:paraId="05168320"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revealer of pure chthonic Zeus’ holy bed,</w:t>
      </w:r>
    </w:p>
    <w:p w14:paraId="4BB10504"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from the mortal bond making Euboulos a god.</w:t>
      </w:r>
    </w:p>
    <w:p w14:paraId="611A529A"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But, goddess, I pray you, much-implored queen,</w:t>
      </w:r>
    </w:p>
    <w:p w14:paraId="49DFCA37" w14:textId="77777777" w:rsidR="00014F8D" w:rsidRPr="00050DAE" w:rsidRDefault="00014F8D" w:rsidP="006C4CEF">
      <w:pPr>
        <w:pStyle w:val="NoSpacing"/>
        <w:rPr>
          <w:rFonts w:asciiTheme="majorBidi" w:hAnsiTheme="majorBidi" w:cstheme="majorBidi"/>
          <w:b/>
          <w:bCs/>
          <w:sz w:val="24"/>
          <w:szCs w:val="24"/>
        </w:rPr>
      </w:pPr>
      <w:r w:rsidRPr="00050DAE">
        <w:rPr>
          <w:rFonts w:asciiTheme="majorBidi" w:hAnsiTheme="majorBidi" w:cstheme="majorBidi"/>
          <w:b/>
          <w:bCs/>
          <w:sz w:val="24"/>
          <w:szCs w:val="24"/>
        </w:rPr>
        <w:t>10</w:t>
      </w:r>
    </w:p>
    <w:p w14:paraId="295D8BE1"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 xml:space="preserve">come to your sacred initiate, gracious. </w:t>
      </w:r>
    </w:p>
    <w:p w14:paraId="04CBFFCC" w14:textId="77777777" w:rsidR="00014F8D" w:rsidRPr="00050DAE" w:rsidRDefault="00014F8D">
      <w:pPr>
        <w:rPr>
          <w:rFonts w:asciiTheme="majorBidi" w:hAnsiTheme="majorBidi" w:cstheme="majorBidi"/>
          <w:sz w:val="24"/>
          <w:szCs w:val="24"/>
        </w:rPr>
      </w:pPr>
      <w:r w:rsidRPr="00050DAE">
        <w:rPr>
          <w:rFonts w:asciiTheme="majorBidi" w:hAnsiTheme="majorBidi" w:cstheme="majorBidi"/>
          <w:sz w:val="24"/>
          <w:szCs w:val="24"/>
        </w:rPr>
        <w:br w:type="page"/>
      </w:r>
    </w:p>
    <w:p w14:paraId="2120EC69" w14:textId="77777777" w:rsidR="00014F8D" w:rsidRPr="00050DAE" w:rsidRDefault="00014F8D" w:rsidP="006C4CEF">
      <w:pPr>
        <w:pStyle w:val="Heading3"/>
        <w:rPr>
          <w:rFonts w:asciiTheme="majorBidi" w:hAnsiTheme="majorBidi"/>
          <w:i/>
          <w:iCs/>
        </w:rPr>
      </w:pPr>
      <w:bookmarkStart w:id="227" w:name="_Toc234154354"/>
      <w:r w:rsidRPr="00050DAE">
        <w:rPr>
          <w:rFonts w:asciiTheme="majorBidi" w:hAnsiTheme="majorBidi"/>
          <w:i/>
          <w:iCs/>
        </w:rPr>
        <w:t>Orphic Hymn 43. Offering of the Horai, spices</w:t>
      </w:r>
      <w:r w:rsidRPr="00050DAE">
        <w:rPr>
          <w:rStyle w:val="FootnoteReference"/>
          <w:rFonts w:asciiTheme="majorBidi" w:hAnsiTheme="majorBidi"/>
        </w:rPr>
        <w:footnoteReference w:id="378"/>
      </w:r>
      <w:bookmarkEnd w:id="227"/>
    </w:p>
    <w:p w14:paraId="071A2D92" w14:textId="77777777" w:rsidR="00014F8D" w:rsidRPr="00050DAE" w:rsidRDefault="00014F8D" w:rsidP="006C4CEF">
      <w:pPr>
        <w:pStyle w:val="NoSpacing"/>
        <w:rPr>
          <w:rFonts w:asciiTheme="majorBidi" w:hAnsiTheme="majorBidi" w:cstheme="majorBidi"/>
        </w:rPr>
      </w:pPr>
      <w:r w:rsidRPr="00050DAE">
        <w:rPr>
          <w:rFonts w:asciiTheme="majorBidi" w:hAnsiTheme="majorBidi" w:cstheme="majorBidi"/>
        </w:rPr>
        <w:t>Hours, daughters of Themis and Zeus the king,</w:t>
      </w:r>
    </w:p>
    <w:p w14:paraId="12530113"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Eunomie, Dike and Eirene the blessed,</w:t>
      </w:r>
    </w:p>
    <w:p w14:paraId="155CF0E0"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of the spring, of the meadows, blossom-rich, pure,</w:t>
      </w:r>
    </w:p>
    <w:p w14:paraId="299172FB"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all-coloured, all-scented in flowery breezes;</w:t>
      </w:r>
    </w:p>
    <w:p w14:paraId="4BF4C41A"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 xml:space="preserve">5 </w:t>
      </w:r>
    </w:p>
    <w:p w14:paraId="0813E6C6"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Hours ever-blooming, revolving, sweet-faced,</w:t>
      </w:r>
    </w:p>
    <w:p w14:paraId="7E88FEC9"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wearing dewy robes of flowers abundant,</w:t>
      </w:r>
    </w:p>
    <w:p w14:paraId="68A36273"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Persephone’s play-mates, when the Fates</w:t>
      </w:r>
    </w:p>
    <w:p w14:paraId="5F04B250"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and the Graces lead her in round dances up to the light,</w:t>
      </w:r>
    </w:p>
    <w:p w14:paraId="52398D6A"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cheering to Zeus and the fruit-giving mother.</w:t>
      </w:r>
    </w:p>
    <w:p w14:paraId="04F2F9FF"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10</w:t>
      </w:r>
    </w:p>
    <w:p w14:paraId="786D60FC" w14:textId="77777777" w:rsidR="00014F8D" w:rsidRPr="00050DAE" w:rsidRDefault="00014F8D" w:rsidP="006C4CEF">
      <w:pPr>
        <w:pStyle w:val="NoSpacing"/>
        <w:rPr>
          <w:rFonts w:asciiTheme="majorBidi" w:hAnsiTheme="majorBidi" w:cstheme="majorBidi"/>
          <w:sz w:val="24"/>
          <w:szCs w:val="24"/>
        </w:rPr>
      </w:pPr>
      <w:r w:rsidRPr="00050DAE">
        <w:rPr>
          <w:rFonts w:asciiTheme="majorBidi" w:hAnsiTheme="majorBidi" w:cstheme="majorBidi"/>
          <w:sz w:val="24"/>
          <w:szCs w:val="24"/>
        </w:rPr>
        <w:t>Come to the holy, fair-spoken rites of initiation,</w:t>
      </w:r>
    </w:p>
    <w:p w14:paraId="172E89FA" w14:textId="77777777" w:rsidR="00014F8D" w:rsidRPr="00050DAE" w:rsidRDefault="00014F8D" w:rsidP="006C4CEF">
      <w:pPr>
        <w:pStyle w:val="NoSpacing"/>
        <w:rPr>
          <w:rFonts w:asciiTheme="majorBidi" w:hAnsiTheme="majorBidi" w:cstheme="majorBidi"/>
        </w:rPr>
      </w:pPr>
      <w:r w:rsidRPr="00050DAE">
        <w:rPr>
          <w:rFonts w:asciiTheme="majorBidi" w:hAnsiTheme="majorBidi" w:cstheme="majorBidi"/>
          <w:sz w:val="24"/>
          <w:szCs w:val="24"/>
        </w:rPr>
        <w:t>bring blameless the fair-fruited births of the seasons.</w:t>
      </w:r>
      <w:r w:rsidRPr="00050DAE">
        <w:rPr>
          <w:rFonts w:asciiTheme="majorBidi" w:hAnsiTheme="majorBidi" w:cstheme="majorBidi"/>
        </w:rPr>
        <w:t xml:space="preserve"> </w:t>
      </w:r>
      <w:r w:rsidRPr="00050DAE">
        <w:rPr>
          <w:rFonts w:asciiTheme="majorBidi" w:hAnsiTheme="majorBidi" w:cstheme="majorBidi"/>
        </w:rPr>
        <w:br w:type="page"/>
      </w:r>
    </w:p>
    <w:p w14:paraId="6F6FFAFB" w14:textId="77777777" w:rsidR="00014F8D" w:rsidRPr="00050DAE" w:rsidRDefault="00014F8D" w:rsidP="005F508B">
      <w:pPr>
        <w:pStyle w:val="Heading1"/>
        <w:rPr>
          <w:rFonts w:asciiTheme="majorBidi" w:hAnsiTheme="majorBidi"/>
        </w:rPr>
      </w:pPr>
      <w:bookmarkStart w:id="228" w:name="_Toc234154355"/>
      <w:bookmarkStart w:id="229" w:name="_Toc234154373"/>
      <w:r w:rsidRPr="00050DAE">
        <w:rPr>
          <w:rFonts w:asciiTheme="majorBidi" w:hAnsiTheme="majorBidi"/>
        </w:rPr>
        <w:t>Bibliography of Works Cited</w:t>
      </w:r>
      <w:bookmarkEnd w:id="228"/>
      <w:bookmarkEnd w:id="229"/>
    </w:p>
    <w:p w14:paraId="35FC741B" w14:textId="77777777" w:rsidR="00014F8D" w:rsidRPr="00050DAE" w:rsidRDefault="00014F8D" w:rsidP="005F508B">
      <w:pPr>
        <w:pStyle w:val="Heading2"/>
        <w:rPr>
          <w:rFonts w:asciiTheme="majorBidi" w:hAnsiTheme="majorBidi"/>
        </w:rPr>
      </w:pPr>
      <w:bookmarkStart w:id="230" w:name="_Toc234154356"/>
      <w:r w:rsidRPr="00050DAE">
        <w:rPr>
          <w:rFonts w:asciiTheme="majorBidi" w:hAnsiTheme="majorBidi"/>
        </w:rPr>
        <w:t>Primary</w:t>
      </w:r>
      <w:bookmarkEnd w:id="230"/>
    </w:p>
    <w:p w14:paraId="30FF12A4"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AESCHYLUS, 2009a. </w:t>
      </w:r>
      <w:r w:rsidRPr="00050DAE">
        <w:rPr>
          <w:rFonts w:asciiTheme="majorBidi" w:hAnsiTheme="majorBidi" w:cstheme="majorBidi"/>
          <w:i/>
          <w:iCs/>
        </w:rPr>
        <w:t>Eumenides</w:t>
      </w:r>
      <w:r w:rsidRPr="00050DAE">
        <w:rPr>
          <w:rFonts w:asciiTheme="majorBidi" w:hAnsiTheme="majorBidi" w:cstheme="majorBidi"/>
        </w:rPr>
        <w:t xml:space="preserve">. In: A.H. SOMMERSTEIN, ed, </w:t>
      </w:r>
      <w:r w:rsidRPr="00050DAE">
        <w:rPr>
          <w:rFonts w:asciiTheme="majorBidi" w:hAnsiTheme="majorBidi" w:cstheme="majorBidi"/>
          <w:i/>
          <w:iCs/>
        </w:rPr>
        <w:t>Aeschylus II- Oresteia: Agamemnon. Libation-Bearers. Eumenides</w:t>
      </w:r>
      <w:r w:rsidRPr="00050DAE">
        <w:rPr>
          <w:rFonts w:asciiTheme="majorBidi" w:hAnsiTheme="majorBidi" w:cstheme="majorBidi"/>
        </w:rPr>
        <w:t>. Cambridge, MA: Harvard University Press.</w:t>
      </w:r>
    </w:p>
    <w:p w14:paraId="447AE775"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AESCHYLUS, 2009b. </w:t>
      </w:r>
      <w:r w:rsidRPr="00050DAE">
        <w:rPr>
          <w:rFonts w:asciiTheme="majorBidi" w:hAnsiTheme="majorBidi" w:cstheme="majorBidi"/>
          <w:i/>
          <w:iCs/>
        </w:rPr>
        <w:t>Libation-Bearers</w:t>
      </w:r>
      <w:r w:rsidRPr="00050DAE">
        <w:rPr>
          <w:rFonts w:asciiTheme="majorBidi" w:hAnsiTheme="majorBidi" w:cstheme="majorBidi"/>
        </w:rPr>
        <w:t xml:space="preserve">. In: A.H. SOMMERSTEIN, ed, </w:t>
      </w:r>
      <w:r w:rsidRPr="00050DAE">
        <w:rPr>
          <w:rFonts w:asciiTheme="majorBidi" w:hAnsiTheme="majorBidi" w:cstheme="majorBidi"/>
          <w:i/>
          <w:iCs/>
        </w:rPr>
        <w:t>Aeschylus II- Oresteia: Agamemnon. Libation-Bearers</w:t>
      </w:r>
      <w:r w:rsidRPr="00050DAE">
        <w:rPr>
          <w:rFonts w:asciiTheme="majorBidi" w:hAnsiTheme="majorBidi" w:cstheme="majorBidi"/>
        </w:rPr>
        <w:t>. Eumenides. Cambridge, MA: Harvard University Press.</w:t>
      </w:r>
    </w:p>
    <w:p w14:paraId="3A0E5117" w14:textId="350CB52D"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ALIGHIERI, D., 1980. </w:t>
      </w:r>
      <w:r w:rsidRPr="00050DAE">
        <w:rPr>
          <w:rFonts w:asciiTheme="majorBidi" w:hAnsiTheme="majorBidi" w:cstheme="majorBidi"/>
          <w:i/>
          <w:iCs/>
        </w:rPr>
        <w:t>La Commedia secondo l’antica vulgata- Inferno</w:t>
      </w:r>
      <w:r w:rsidRPr="00050DAE">
        <w:rPr>
          <w:rFonts w:asciiTheme="majorBidi" w:hAnsiTheme="majorBidi" w:cstheme="majorBidi"/>
        </w:rPr>
        <w:t>. Petrocchi Edition. New York: Columbia University Press.</w:t>
      </w:r>
    </w:p>
    <w:p w14:paraId="5249B42C"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AMIN, O.S.M., 2019a. </w:t>
      </w:r>
      <w:r w:rsidRPr="00050DAE">
        <w:rPr>
          <w:rFonts w:asciiTheme="majorBidi" w:hAnsiTheme="majorBidi" w:cstheme="majorBidi"/>
          <w:i/>
          <w:iCs/>
        </w:rPr>
        <w:t>Offering to Inanna, Warka Vase</w:t>
      </w:r>
      <w:r w:rsidRPr="00050DAE">
        <w:rPr>
          <w:rFonts w:asciiTheme="majorBidi" w:hAnsiTheme="majorBidi" w:cstheme="majorBidi"/>
        </w:rPr>
        <w:t xml:space="preserve"> [Top Register].</w:t>
      </w:r>
    </w:p>
    <w:p w14:paraId="7091ED80" w14:textId="15D32756"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AMIN, O.S.M., 2019b</w:t>
      </w:r>
      <w:r w:rsidR="00887238" w:rsidRPr="00050DAE">
        <w:rPr>
          <w:rFonts w:asciiTheme="majorBidi" w:hAnsiTheme="majorBidi" w:cstheme="majorBidi"/>
        </w:rPr>
        <w:t>.</w:t>
      </w:r>
      <w:r w:rsidRPr="00050DAE">
        <w:rPr>
          <w:rFonts w:asciiTheme="majorBidi" w:hAnsiTheme="majorBidi" w:cstheme="majorBidi"/>
        </w:rPr>
        <w:t xml:space="preserve"> </w:t>
      </w:r>
      <w:r w:rsidRPr="00050DAE">
        <w:rPr>
          <w:rFonts w:asciiTheme="majorBidi" w:hAnsiTheme="majorBidi" w:cstheme="majorBidi"/>
          <w:i/>
          <w:iCs/>
        </w:rPr>
        <w:t>The Mask of Warka</w:t>
      </w:r>
      <w:r w:rsidRPr="00050DAE">
        <w:rPr>
          <w:rFonts w:asciiTheme="majorBidi" w:hAnsiTheme="majorBidi" w:cstheme="majorBidi"/>
        </w:rPr>
        <w:t>. Available: https://www.worldhistory.org/image/10265/the-mask-of-warka/ [Apr 28, 2026].</w:t>
      </w:r>
    </w:p>
    <w:p w14:paraId="29512875"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ANONYMOUS, 2026-last update, </w:t>
      </w:r>
      <w:r w:rsidRPr="00050DAE">
        <w:rPr>
          <w:rFonts w:asciiTheme="majorBidi" w:hAnsiTheme="majorBidi" w:cstheme="majorBidi"/>
          <w:i/>
          <w:iCs/>
        </w:rPr>
        <w:t>Hymn 2 to Demeter</w:t>
      </w:r>
      <w:r w:rsidRPr="00050DAE">
        <w:rPr>
          <w:rFonts w:asciiTheme="majorBidi" w:hAnsiTheme="majorBidi" w:cstheme="majorBidi"/>
        </w:rPr>
        <w:t xml:space="preserve"> [Homepage of Trustees of Tufts University], [Online]. Available: https://scaife.perseus.org/reader/urn:cts:greekLit:tlg0013.tlg002.perseus-eng2:1-135 [Jan 1, 2026].</w:t>
      </w:r>
    </w:p>
    <w:p w14:paraId="2989EC25"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ANONYMOUS, 2003a. </w:t>
      </w:r>
      <w:r w:rsidRPr="00050DAE">
        <w:rPr>
          <w:rFonts w:asciiTheme="majorBidi" w:hAnsiTheme="majorBidi" w:cstheme="majorBidi"/>
          <w:i/>
          <w:iCs/>
        </w:rPr>
        <w:t>Minyas</w:t>
      </w:r>
      <w:r w:rsidRPr="00050DAE">
        <w:rPr>
          <w:rFonts w:asciiTheme="majorBidi" w:hAnsiTheme="majorBidi" w:cstheme="majorBidi"/>
        </w:rPr>
        <w:t xml:space="preserve">. In: M.L. WEST, ed, </w:t>
      </w:r>
      <w:r w:rsidRPr="00050DAE">
        <w:rPr>
          <w:rFonts w:asciiTheme="majorBidi" w:hAnsiTheme="majorBidi" w:cstheme="majorBidi"/>
          <w:i/>
          <w:iCs/>
        </w:rPr>
        <w:t>Greek Epic Fragments: From the Seventh to the Fifth Centuries BC</w:t>
      </w:r>
      <w:r w:rsidRPr="00050DAE">
        <w:rPr>
          <w:rFonts w:asciiTheme="majorBidi" w:hAnsiTheme="majorBidi" w:cstheme="majorBidi"/>
        </w:rPr>
        <w:t>. Cambridge, MA: Harvard University Press.</w:t>
      </w:r>
    </w:p>
    <w:p w14:paraId="2B35008A"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ANONYMOUS, 2003b. </w:t>
      </w:r>
      <w:r w:rsidRPr="00050DAE">
        <w:rPr>
          <w:rFonts w:asciiTheme="majorBidi" w:hAnsiTheme="majorBidi" w:cstheme="majorBidi"/>
          <w:i/>
          <w:iCs/>
        </w:rPr>
        <w:t>The Theban Cycle- Thebaid</w:t>
      </w:r>
      <w:r w:rsidRPr="00050DAE">
        <w:rPr>
          <w:rFonts w:asciiTheme="majorBidi" w:hAnsiTheme="majorBidi" w:cstheme="majorBidi"/>
        </w:rPr>
        <w:t xml:space="preserve">. In: M.L. WEST, ed, </w:t>
      </w:r>
      <w:r w:rsidRPr="00050DAE">
        <w:rPr>
          <w:rFonts w:asciiTheme="majorBidi" w:hAnsiTheme="majorBidi" w:cstheme="majorBidi"/>
          <w:i/>
          <w:iCs/>
        </w:rPr>
        <w:t>Greek Epic Fragments: From the Seventh to the Fifth Centuries BC</w:t>
      </w:r>
      <w:r w:rsidRPr="00050DAE">
        <w:rPr>
          <w:rFonts w:asciiTheme="majorBidi" w:hAnsiTheme="majorBidi" w:cstheme="majorBidi"/>
        </w:rPr>
        <w:t>. Cambridge, MA: Harvard University Press.</w:t>
      </w:r>
    </w:p>
    <w:p w14:paraId="2B627158"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ANONYMOUS, 1993. 931L = </w:t>
      </w:r>
      <w:r w:rsidRPr="00050DAE">
        <w:rPr>
          <w:rFonts w:asciiTheme="majorBidi" w:hAnsiTheme="majorBidi" w:cstheme="majorBidi"/>
          <w:i/>
          <w:iCs/>
        </w:rPr>
        <w:t>S460-472 Oxyrhynchus papyrus</w:t>
      </w:r>
      <w:r w:rsidRPr="00050DAE">
        <w:rPr>
          <w:rFonts w:asciiTheme="majorBidi" w:hAnsiTheme="majorBidi" w:cstheme="majorBidi"/>
        </w:rPr>
        <w:t xml:space="preserve"> (2nd c. a.d.). In: D.A. CAMPBELL, ed, </w:t>
      </w:r>
      <w:r w:rsidRPr="00050DAE">
        <w:rPr>
          <w:rFonts w:asciiTheme="majorBidi" w:hAnsiTheme="majorBidi" w:cstheme="majorBidi"/>
          <w:i/>
          <w:iCs/>
        </w:rPr>
        <w:t>Greek Lyric V</w:t>
      </w:r>
      <w:r w:rsidRPr="00050DAE">
        <w:rPr>
          <w:rFonts w:asciiTheme="majorBidi" w:hAnsiTheme="majorBidi" w:cstheme="majorBidi"/>
        </w:rPr>
        <w:t>. Cambridge, MA: Harvard University Press.</w:t>
      </w:r>
    </w:p>
    <w:p w14:paraId="7AA3142F"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APOLLODORUS, 1921a. </w:t>
      </w:r>
      <w:r w:rsidRPr="00050DAE">
        <w:rPr>
          <w:rFonts w:asciiTheme="majorBidi" w:hAnsiTheme="majorBidi" w:cstheme="majorBidi"/>
          <w:i/>
          <w:iCs/>
        </w:rPr>
        <w:t>Apollodorus I- The Library, Volume I: Books 1-3.9</w:t>
      </w:r>
      <w:r w:rsidRPr="00050DAE">
        <w:rPr>
          <w:rFonts w:asciiTheme="majorBidi" w:hAnsiTheme="majorBidi" w:cstheme="majorBidi"/>
        </w:rPr>
        <w:t>. Cambridge, MA: Harvard University Press.</w:t>
      </w:r>
    </w:p>
    <w:p w14:paraId="5D4A3965"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APOLLODORUS, 1921b. </w:t>
      </w:r>
      <w:r w:rsidRPr="00050DAE">
        <w:rPr>
          <w:rFonts w:asciiTheme="majorBidi" w:hAnsiTheme="majorBidi" w:cstheme="majorBidi"/>
          <w:i/>
          <w:iCs/>
        </w:rPr>
        <w:t>Apollodorus. The Library, Volume II: Book 3.10-end</w:t>
      </w:r>
      <w:r w:rsidRPr="00050DAE">
        <w:rPr>
          <w:rFonts w:asciiTheme="majorBidi" w:hAnsiTheme="majorBidi" w:cstheme="majorBidi"/>
        </w:rPr>
        <w:t>. Epitome. Cambridge, MA: Harvard University Press.</w:t>
      </w:r>
    </w:p>
    <w:p w14:paraId="0388CE4F"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ARISTOPHANES, 2002. </w:t>
      </w:r>
      <w:r w:rsidRPr="00050DAE">
        <w:rPr>
          <w:rFonts w:asciiTheme="majorBidi" w:hAnsiTheme="majorBidi" w:cstheme="majorBidi"/>
          <w:i/>
          <w:iCs/>
        </w:rPr>
        <w:t>Frogs</w:t>
      </w:r>
      <w:r w:rsidRPr="00050DAE">
        <w:rPr>
          <w:rFonts w:asciiTheme="majorBidi" w:hAnsiTheme="majorBidi" w:cstheme="majorBidi"/>
        </w:rPr>
        <w:t xml:space="preserve">. In: J. HENDERSON, ed, </w:t>
      </w:r>
      <w:r w:rsidRPr="00050DAE">
        <w:rPr>
          <w:rFonts w:asciiTheme="majorBidi" w:hAnsiTheme="majorBidi" w:cstheme="majorBidi"/>
          <w:i/>
          <w:iCs/>
        </w:rPr>
        <w:t>Aristophanes IV. Frogs. Assemblywomen. Wealth</w:t>
      </w:r>
      <w:r w:rsidRPr="00050DAE">
        <w:rPr>
          <w:rFonts w:asciiTheme="majorBidi" w:hAnsiTheme="majorBidi" w:cstheme="majorBidi"/>
        </w:rPr>
        <w:t>. Cambridge, MA: Harvard University Press.</w:t>
      </w:r>
    </w:p>
    <w:p w14:paraId="325F4E6B"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ARISTOPHANES, 1998. </w:t>
      </w:r>
      <w:r w:rsidRPr="00050DAE">
        <w:rPr>
          <w:rFonts w:asciiTheme="majorBidi" w:hAnsiTheme="majorBidi" w:cstheme="majorBidi"/>
          <w:i/>
          <w:iCs/>
        </w:rPr>
        <w:t>Knights</w:t>
      </w:r>
      <w:r w:rsidRPr="00050DAE">
        <w:rPr>
          <w:rFonts w:asciiTheme="majorBidi" w:hAnsiTheme="majorBidi" w:cstheme="majorBidi"/>
        </w:rPr>
        <w:t xml:space="preserve">. In: J. HENDERSON, ed, </w:t>
      </w:r>
      <w:r w:rsidRPr="00050DAE">
        <w:rPr>
          <w:rFonts w:asciiTheme="majorBidi" w:hAnsiTheme="majorBidi" w:cstheme="majorBidi"/>
          <w:i/>
          <w:iCs/>
        </w:rPr>
        <w:t>Aristophanes I. Acharnians. Knights</w:t>
      </w:r>
      <w:r w:rsidRPr="00050DAE">
        <w:rPr>
          <w:rFonts w:asciiTheme="majorBidi" w:hAnsiTheme="majorBidi" w:cstheme="majorBidi"/>
        </w:rPr>
        <w:t>. Cambridge, MA: Harvard University Press.</w:t>
      </w:r>
    </w:p>
    <w:p w14:paraId="0D502EAC"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ATHANASSAKIS, A. and WOLKOW, B.M., 2013. </w:t>
      </w:r>
      <w:r w:rsidRPr="00050DAE">
        <w:rPr>
          <w:rFonts w:asciiTheme="majorBidi" w:hAnsiTheme="majorBidi" w:cstheme="majorBidi"/>
          <w:i/>
          <w:iCs/>
        </w:rPr>
        <w:t>The Orphic Hymns</w:t>
      </w:r>
      <w:r w:rsidRPr="00050DAE">
        <w:rPr>
          <w:rFonts w:asciiTheme="majorBidi" w:hAnsiTheme="majorBidi" w:cstheme="majorBidi"/>
        </w:rPr>
        <w:t xml:space="preserve">. Baltimore, Maryland: Johns Hopkins University Press. </w:t>
      </w:r>
    </w:p>
    <w:p w14:paraId="581B411E"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ATHENAEUS, 2009. </w:t>
      </w:r>
      <w:r w:rsidRPr="00050DAE">
        <w:rPr>
          <w:rFonts w:asciiTheme="majorBidi" w:hAnsiTheme="majorBidi" w:cstheme="majorBidi"/>
          <w:i/>
          <w:iCs/>
        </w:rPr>
        <w:t xml:space="preserve">The Learned Banqueters </w:t>
      </w:r>
      <w:r w:rsidRPr="00050DAE">
        <w:rPr>
          <w:rFonts w:asciiTheme="majorBidi" w:hAnsiTheme="majorBidi" w:cstheme="majorBidi"/>
        </w:rPr>
        <w:t xml:space="preserve">-Book XI. In: S.D. OLSON, ed, Athenaeus. </w:t>
      </w:r>
      <w:r w:rsidRPr="00050DAE">
        <w:rPr>
          <w:rFonts w:asciiTheme="majorBidi" w:hAnsiTheme="majorBidi" w:cstheme="majorBidi"/>
          <w:i/>
          <w:iCs/>
        </w:rPr>
        <w:t>The Learned Banqueters, Volume V: Books 10.420e-11.</w:t>
      </w:r>
      <w:r w:rsidRPr="00050DAE">
        <w:rPr>
          <w:rFonts w:asciiTheme="majorBidi" w:hAnsiTheme="majorBidi" w:cstheme="majorBidi"/>
        </w:rPr>
        <w:t xml:space="preserve"> Cambridge, MA: Harvard University Press.</w:t>
      </w:r>
    </w:p>
    <w:p w14:paraId="289E046D"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ATHENAEUS, 1854. </w:t>
      </w:r>
      <w:r w:rsidRPr="00050DAE">
        <w:rPr>
          <w:rFonts w:asciiTheme="majorBidi" w:hAnsiTheme="majorBidi" w:cstheme="majorBidi"/>
          <w:i/>
          <w:iCs/>
        </w:rPr>
        <w:t>The Deipnosophists, or, Banquet of the Learned of Athenaeus</w:t>
      </w:r>
      <w:r w:rsidRPr="00050DAE">
        <w:rPr>
          <w:rFonts w:asciiTheme="majorBidi" w:hAnsiTheme="majorBidi" w:cstheme="majorBidi"/>
        </w:rPr>
        <w:t>. London: Henry G. Bohn.</w:t>
      </w:r>
    </w:p>
    <w:p w14:paraId="511C8BFC"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AYALI-DARSHAN, N., 2020. ‘The Closing Hymn of the Ugaritic Baal Cycle (KTU 1.6 VI 42-54); A Mesopotamian Background?’ </w:t>
      </w:r>
      <w:r w:rsidRPr="00050DAE">
        <w:rPr>
          <w:rFonts w:asciiTheme="majorBidi" w:hAnsiTheme="majorBidi" w:cstheme="majorBidi"/>
          <w:i/>
          <w:iCs/>
        </w:rPr>
        <w:t>Die Welt des Orients</w:t>
      </w:r>
      <w:r w:rsidRPr="00050DAE">
        <w:rPr>
          <w:rFonts w:asciiTheme="majorBidi" w:hAnsiTheme="majorBidi" w:cstheme="majorBidi"/>
        </w:rPr>
        <w:t>, 50(1).</w:t>
      </w:r>
    </w:p>
    <w:p w14:paraId="4F3319D6"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BIBLE HUB, 2026a-last update, </w:t>
      </w:r>
      <w:r w:rsidRPr="00050DAE">
        <w:rPr>
          <w:rFonts w:asciiTheme="majorBidi" w:hAnsiTheme="majorBidi" w:cstheme="majorBidi"/>
          <w:i/>
          <w:iCs/>
        </w:rPr>
        <w:t>Azazel: The Scapegoat - Topical Encyclopedia</w:t>
      </w:r>
      <w:r w:rsidRPr="00050DAE">
        <w:rPr>
          <w:rFonts w:asciiTheme="majorBidi" w:hAnsiTheme="majorBidi" w:cstheme="majorBidi"/>
        </w:rPr>
        <w:t>. Available: https://biblehub.com/topical/naves/a/azazel--the_scapegoat.htm [Apr 4, 2026].</w:t>
      </w:r>
    </w:p>
    <w:p w14:paraId="76731808"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BIBLE HUB, 2026b-last update, </w:t>
      </w:r>
      <w:r w:rsidRPr="00050DAE">
        <w:rPr>
          <w:rFonts w:asciiTheme="majorBidi" w:hAnsiTheme="majorBidi" w:cstheme="majorBidi"/>
          <w:i/>
          <w:iCs/>
        </w:rPr>
        <w:t>Leviticus 16</w:t>
      </w:r>
      <w:r w:rsidRPr="00050DAE">
        <w:rPr>
          <w:rFonts w:asciiTheme="majorBidi" w:hAnsiTheme="majorBidi" w:cstheme="majorBidi"/>
        </w:rPr>
        <w:t>. Available: https://biblehub.com/bsb/leviticus/16.htm [Apr 4, 2026].</w:t>
      </w:r>
    </w:p>
    <w:p w14:paraId="386DDD53" w14:textId="77777777" w:rsidR="00014F8D" w:rsidRPr="00050DAE" w:rsidRDefault="00014F8D" w:rsidP="00B02495">
      <w:pPr>
        <w:pStyle w:val="Bibliography"/>
        <w:rPr>
          <w:rFonts w:asciiTheme="majorBidi" w:hAnsiTheme="majorBidi" w:cstheme="majorBidi"/>
          <w:color w:val="000000"/>
          <w:sz w:val="21"/>
          <w:szCs w:val="21"/>
          <w:shd w:val="clear" w:color="auto" w:fill="FFFFFF"/>
        </w:rPr>
      </w:pPr>
      <w:r w:rsidRPr="00050DAE">
        <w:rPr>
          <w:rFonts w:asciiTheme="majorBidi" w:hAnsiTheme="majorBidi" w:cstheme="majorBidi"/>
        </w:rPr>
        <w:t>BLACK, J.A., CUNNINGHAM, G., EBELING, J., FLÜCKIGER-HAWKER, E., ROBSON, E., TAYLOR, J. and ZÓLYOMI, G., 2003-last update, Death of Gilgameš - ETCSL [Homepage of University of Oxford], [Online]. Available: https://etcsl.orinst.ox.ac.uk/cgi-bin/etcsl.cgi?text=t.1.8.1.3# [Nov 27, 2025].</w:t>
      </w:r>
      <w:r w:rsidRPr="00050DAE">
        <w:rPr>
          <w:rFonts w:asciiTheme="majorBidi" w:hAnsiTheme="majorBidi" w:cstheme="majorBidi"/>
          <w:color w:val="000000"/>
          <w:sz w:val="21"/>
          <w:szCs w:val="21"/>
          <w:shd w:val="clear" w:color="auto" w:fill="FFFFFF"/>
        </w:rPr>
        <w:t xml:space="preserve"> </w:t>
      </w:r>
    </w:p>
    <w:p w14:paraId="69D07AB6"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BLACK, J.A., CUNNINGHAM, G., FLUCKIGER-HAWKER, E, ROBSON, E., AND ZÓLYOMI, G., 2003-last update, Death of Ur-Namma (Ur-Namma A) - ETCSL. Available: https://etcsl.orinst.ox.ac.uk/cgi-bin/etcsl.cgi?text=t.2.4.1.1# [Jun 15, 2026].</w:t>
      </w:r>
    </w:p>
    <w:p w14:paraId="7E0095D8"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D, 2003b-last update, </w:t>
      </w:r>
      <w:r w:rsidRPr="00050DAE">
        <w:rPr>
          <w:rFonts w:asciiTheme="majorBidi" w:hAnsiTheme="majorBidi" w:cstheme="majorBidi"/>
          <w:i/>
          <w:iCs/>
        </w:rPr>
        <w:t>Dumuzid’s dream - ETCSL</w:t>
      </w:r>
      <w:r w:rsidRPr="00050DAE">
        <w:rPr>
          <w:rFonts w:asciiTheme="majorBidi" w:hAnsiTheme="majorBidi" w:cstheme="majorBidi"/>
        </w:rPr>
        <w:t xml:space="preserve"> [Homepage of University of Oxford], [Online]. Available: https://etcsl.orinst.ox.ac.uk/cgi-bin/etcsl.cgi?text=t.1.4.3# [Nov 27, 2025].</w:t>
      </w:r>
    </w:p>
    <w:p w14:paraId="778177BA"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E, 2003a-last update, </w:t>
      </w:r>
      <w:r w:rsidRPr="00050DAE">
        <w:rPr>
          <w:rFonts w:asciiTheme="majorBidi" w:hAnsiTheme="majorBidi" w:cstheme="majorBidi"/>
          <w:i/>
          <w:iCs/>
        </w:rPr>
        <w:t>Dumuzid and Ĝeštin-ana - ETCSL</w:t>
      </w:r>
      <w:r w:rsidRPr="00050DAE">
        <w:rPr>
          <w:rFonts w:asciiTheme="majorBidi" w:hAnsiTheme="majorBidi" w:cstheme="majorBidi"/>
        </w:rPr>
        <w:t xml:space="preserve"> [Homepage of University of Oxford], [Online]. Available: https://etcsl.orinst.ox.ac.uk/cgi-bin/etcsl.cgi?text=t.1.4.1.1# [Nov 27, 2025].</w:t>
      </w:r>
    </w:p>
    <w:p w14:paraId="3CDB08F1"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2005-last update, </w:t>
      </w:r>
      <w:r w:rsidRPr="00050DAE">
        <w:rPr>
          <w:rFonts w:asciiTheme="majorBidi" w:hAnsiTheme="majorBidi" w:cstheme="majorBidi"/>
          <w:i/>
          <w:iCs/>
        </w:rPr>
        <w:t>Dumuzid and his sisters - ETCSL</w:t>
      </w:r>
      <w:r w:rsidRPr="00050DAE">
        <w:rPr>
          <w:rFonts w:asciiTheme="majorBidi" w:hAnsiTheme="majorBidi" w:cstheme="majorBidi"/>
        </w:rPr>
        <w:t xml:space="preserve"> [Homepage of University of Oxford], [Online]. Available: https://etcsl.orinst.ox.ac.uk/cgi-bin/etcsl.cgi?text=t.1.4.1.3# [Nov 27, 2025].</w:t>
      </w:r>
    </w:p>
    <w:p w14:paraId="39F2CE75"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B, 2001b-last update, </w:t>
      </w:r>
      <w:r w:rsidRPr="00050DAE">
        <w:rPr>
          <w:rFonts w:asciiTheme="majorBidi" w:hAnsiTheme="majorBidi" w:cstheme="majorBidi"/>
          <w:i/>
          <w:iCs/>
        </w:rPr>
        <w:t>Enmerkar and En-suhgir-ana - ETCSL</w:t>
      </w:r>
      <w:r w:rsidRPr="00050DAE">
        <w:rPr>
          <w:rFonts w:asciiTheme="majorBidi" w:hAnsiTheme="majorBidi" w:cstheme="majorBidi"/>
        </w:rPr>
        <w:t xml:space="preserve"> [Homepage of University of Oxford], [Online]. Available: https://etcsl.orinst.ox.ac.uk/section1/tr1824.htm [Nov 27, 2025].</w:t>
      </w:r>
    </w:p>
    <w:p w14:paraId="32E72E3B"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B, 1999a-last update, </w:t>
      </w:r>
      <w:r w:rsidRPr="00050DAE">
        <w:rPr>
          <w:rFonts w:asciiTheme="majorBidi" w:hAnsiTheme="majorBidi" w:cstheme="majorBidi"/>
          <w:i/>
          <w:iCs/>
        </w:rPr>
        <w:t>Enmerkar and the lord of Aratta - ETCSL</w:t>
      </w:r>
      <w:r w:rsidRPr="00050DAE">
        <w:rPr>
          <w:rFonts w:asciiTheme="majorBidi" w:hAnsiTheme="majorBidi" w:cstheme="majorBidi"/>
        </w:rPr>
        <w:t xml:space="preserve"> [Homepage of University of Oxford], [Online]. Available: https://etcsl.orinst.ox.ac.uk/section1/tr1823.htm [Nov 27, 2025].</w:t>
      </w:r>
    </w:p>
    <w:p w14:paraId="69E54B19"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2003f-last update, </w:t>
      </w:r>
      <w:r w:rsidRPr="00050DAE">
        <w:rPr>
          <w:rFonts w:asciiTheme="majorBidi" w:hAnsiTheme="majorBidi" w:cstheme="majorBidi"/>
          <w:i/>
          <w:iCs/>
        </w:rPr>
        <w:t xml:space="preserve">The Flood story - ETCSL </w:t>
      </w:r>
      <w:r w:rsidRPr="00050DAE">
        <w:rPr>
          <w:rFonts w:asciiTheme="majorBidi" w:hAnsiTheme="majorBidi" w:cstheme="majorBidi"/>
        </w:rPr>
        <w:t>[Homepage of University of Oxford], [Online]. Available: https://etcsl.orinst.ox.ac.uk/cgi-bin/etcsl.cgi?text=t.1.7.4# [Nov 27, 2025].</w:t>
      </w:r>
    </w:p>
    <w:p w14:paraId="1C7EEABB"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A, 1999b-last update, </w:t>
      </w:r>
      <w:r w:rsidRPr="00050DAE">
        <w:rPr>
          <w:rFonts w:asciiTheme="majorBidi" w:hAnsiTheme="majorBidi" w:cstheme="majorBidi"/>
          <w:i/>
          <w:iCs/>
        </w:rPr>
        <w:t>Gilgamesh and the Bull of Heaven -ETCSL</w:t>
      </w:r>
      <w:r w:rsidRPr="00050DAE">
        <w:rPr>
          <w:rFonts w:asciiTheme="majorBidi" w:hAnsiTheme="majorBidi" w:cstheme="majorBidi"/>
        </w:rPr>
        <w:t xml:space="preserve"> [Homepage of University of Oxford], [Online]. Available: https://etcsl.orinst.ox.ac.uk/cgi-bin/etcsl.cgi?text=t.1.3.3&amp;display=Crit&amp;charenc=gcirc&amp;lineid=t133.p17#t133.p17 [May 3, 2026]. </w:t>
      </w:r>
    </w:p>
    <w:p w14:paraId="4BFFC9F2"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FLÜCKIGER-HAWKER, E, ROBSON, E., AND ZÓLYOMI, G., A, 2001-last update, </w:t>
      </w:r>
      <w:r w:rsidRPr="00050DAE">
        <w:rPr>
          <w:rFonts w:asciiTheme="majorBidi" w:hAnsiTheme="majorBidi" w:cstheme="majorBidi"/>
          <w:i/>
          <w:iCs/>
        </w:rPr>
        <w:t>Gilgamesh, Enkidu and the Nether world - ETCSL</w:t>
      </w:r>
      <w:r w:rsidRPr="00050DAE">
        <w:rPr>
          <w:rFonts w:asciiTheme="majorBidi" w:hAnsiTheme="majorBidi" w:cstheme="majorBidi"/>
        </w:rPr>
        <w:t>. Available: https://etcsl.orinst.ox.ac.uk/section1/tr1814.htm [Mar 15, 2026].</w:t>
      </w:r>
    </w:p>
    <w:p w14:paraId="40AE761B"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C, 2001a-last update, </w:t>
      </w:r>
      <w:r w:rsidRPr="00050DAE">
        <w:rPr>
          <w:rFonts w:asciiTheme="majorBidi" w:hAnsiTheme="majorBidi" w:cstheme="majorBidi"/>
          <w:i/>
          <w:iCs/>
        </w:rPr>
        <w:t>A hymn to Ninkasi -ETCSL</w:t>
      </w:r>
      <w:r w:rsidRPr="00050DAE">
        <w:rPr>
          <w:rFonts w:asciiTheme="majorBidi" w:hAnsiTheme="majorBidi" w:cstheme="majorBidi"/>
        </w:rPr>
        <w:t xml:space="preserve"> [Homepage of University of Oxford], [Online]. Available: https://etcsl.orinst.ox.ac.uk/section4/tr4231.htm [May 3, 2026].</w:t>
      </w:r>
    </w:p>
    <w:p w14:paraId="7FF5B3FC"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A, 2003c-last update, </w:t>
      </w:r>
      <w:r w:rsidRPr="00050DAE">
        <w:rPr>
          <w:rFonts w:asciiTheme="majorBidi" w:hAnsiTheme="majorBidi" w:cstheme="majorBidi"/>
          <w:i/>
          <w:iCs/>
        </w:rPr>
        <w:t>Inana and An-  ETCSL</w:t>
      </w:r>
      <w:r w:rsidRPr="00050DAE">
        <w:rPr>
          <w:rFonts w:asciiTheme="majorBidi" w:hAnsiTheme="majorBidi" w:cstheme="majorBidi"/>
        </w:rPr>
        <w:t xml:space="preserve"> [Homepage of University of Oxford], [Online]. Available: https://etcsl.orinst.ox.ac.uk/cgi-bin/etcsl.cgi?text=t.1.3.5# [Nov 27, 2025].</w:t>
      </w:r>
    </w:p>
    <w:p w14:paraId="1006C402"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FLÜCKIGER-HAWKER, E, ROBSON, E., AND ZÓLYOMI, G., C, 1999-last update, </w:t>
      </w:r>
      <w:r w:rsidRPr="00050DAE">
        <w:rPr>
          <w:rFonts w:asciiTheme="majorBidi" w:hAnsiTheme="majorBidi" w:cstheme="majorBidi"/>
          <w:i/>
          <w:iCs/>
        </w:rPr>
        <w:t>Inana and Bilulu - ETCSL</w:t>
      </w:r>
      <w:r w:rsidRPr="00050DAE">
        <w:rPr>
          <w:rFonts w:asciiTheme="majorBidi" w:hAnsiTheme="majorBidi" w:cstheme="majorBidi"/>
        </w:rPr>
        <w:t>. Available: https://etcsl.orinst.ox.ac.uk/section1/tr144.htm [Mar 15, 2026].</w:t>
      </w:r>
    </w:p>
    <w:p w14:paraId="6E9A4522"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B, 2003d-last update, </w:t>
      </w:r>
      <w:r w:rsidRPr="00050DAE">
        <w:rPr>
          <w:rFonts w:asciiTheme="majorBidi" w:hAnsiTheme="majorBidi" w:cstheme="majorBidi"/>
          <w:i/>
          <w:iCs/>
        </w:rPr>
        <w:t>Inana and Ebiḫ - ETCSL</w:t>
      </w:r>
      <w:r w:rsidRPr="00050DAE">
        <w:rPr>
          <w:rFonts w:asciiTheme="majorBidi" w:hAnsiTheme="majorBidi" w:cstheme="majorBidi"/>
        </w:rPr>
        <w:t xml:space="preserve"> [Homepage of University of Oxford], [Online]. Available: https://etcsl.orinst.ox.ac.uk/cgi-bin/etcsl.cgi?text=t.1.3.2# [Nov 27, 2025].</w:t>
      </w:r>
    </w:p>
    <w:p w14:paraId="2F5B2356"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FLÜCKIGER-HAWKER, E., ROBSON, E. and ZÓLYOMI, G., B, 1998a-last update, </w:t>
      </w:r>
      <w:r w:rsidRPr="00050DAE">
        <w:rPr>
          <w:rFonts w:asciiTheme="majorBidi" w:hAnsiTheme="majorBidi" w:cstheme="majorBidi"/>
          <w:i/>
          <w:iCs/>
        </w:rPr>
        <w:t>Inana and Enki - ETCSL</w:t>
      </w:r>
      <w:r w:rsidRPr="00050DAE">
        <w:rPr>
          <w:rFonts w:asciiTheme="majorBidi" w:hAnsiTheme="majorBidi" w:cstheme="majorBidi"/>
        </w:rPr>
        <w:t>. Available: https://etcsl.orinst.ox.ac.uk/section1/tr131.htm [Mar 10, 2026].</w:t>
      </w:r>
    </w:p>
    <w:p w14:paraId="566768FE" w14:textId="77777777" w:rsidR="00014F8D" w:rsidRPr="00050DAE" w:rsidRDefault="00014F8D" w:rsidP="00B02495">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C, 2003e-last update, </w:t>
      </w:r>
      <w:r w:rsidRPr="00050DAE">
        <w:rPr>
          <w:rFonts w:asciiTheme="majorBidi" w:hAnsiTheme="majorBidi" w:cstheme="majorBidi"/>
          <w:i/>
          <w:iCs/>
        </w:rPr>
        <w:t xml:space="preserve">Inana and Gudam - ETCSL </w:t>
      </w:r>
      <w:r w:rsidRPr="00050DAE">
        <w:rPr>
          <w:rFonts w:asciiTheme="majorBidi" w:hAnsiTheme="majorBidi" w:cstheme="majorBidi"/>
        </w:rPr>
        <w:t>[Homepage of University of Oxford], [Online]. Available: https://etcsl.orinst.ox.ac.uk/cgi-bin/etcsl.cgi?text=t.1.3.4# [Nov 27, 2025].</w:t>
      </w:r>
    </w:p>
    <w:p w14:paraId="5833AE71"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BLACK, J.A., CUNNINGHAM, G., EBELING, J., FLÜCKIGER-HAWKER, E., ROBSON, E., TAYLOR, J. and ZÓLYOMI, G., 2006-last update, </w:t>
      </w:r>
      <w:r w:rsidRPr="00050DAE">
        <w:rPr>
          <w:rFonts w:asciiTheme="majorBidi" w:hAnsiTheme="majorBidi" w:cstheme="majorBidi"/>
          <w:i/>
          <w:iCs/>
        </w:rPr>
        <w:t>Inana and Šu-kale-tuda</w:t>
      </w:r>
      <w:r w:rsidRPr="00050DAE">
        <w:rPr>
          <w:rFonts w:asciiTheme="majorBidi" w:hAnsiTheme="majorBidi" w:cstheme="majorBidi"/>
        </w:rPr>
        <w:t xml:space="preserve"> </w:t>
      </w:r>
      <w:r w:rsidRPr="00050DAE">
        <w:rPr>
          <w:rFonts w:asciiTheme="majorBidi" w:hAnsiTheme="majorBidi" w:cstheme="majorBidi"/>
          <w:i/>
          <w:iCs/>
        </w:rPr>
        <w:t xml:space="preserve">- ETCSL </w:t>
      </w:r>
      <w:r w:rsidRPr="00050DAE">
        <w:rPr>
          <w:rFonts w:asciiTheme="majorBidi" w:hAnsiTheme="majorBidi" w:cstheme="majorBidi"/>
        </w:rPr>
        <w:t>[Homepage of University of Oxford], [Online]. Available: https://etcsl.orinst.ox.ac.uk/cgi-bin/etcsl.cgi?text=t.1.3.3&amp;display=Crit&amp;charenc=gcirc&amp;lineid=t133.p17#t133.p17 [Nov 27, 2025].</w:t>
      </w:r>
    </w:p>
    <w:p w14:paraId="51B7FA8B"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BLACK, J.A., CUNNINGHAM, G., FLÜCKIGER-HAWKER, E., ROBSON, E. and ZÓLYOMI, G., A, 1998b-last update, </w:t>
      </w:r>
      <w:r w:rsidRPr="00050DAE">
        <w:rPr>
          <w:rFonts w:asciiTheme="majorBidi" w:hAnsiTheme="majorBidi" w:cstheme="majorBidi"/>
          <w:i/>
          <w:iCs/>
        </w:rPr>
        <w:t>Inana’s Descent to the Nether World - ETCSL</w:t>
      </w:r>
      <w:r w:rsidRPr="00050DAE">
        <w:rPr>
          <w:rFonts w:asciiTheme="majorBidi" w:hAnsiTheme="majorBidi" w:cstheme="majorBidi"/>
        </w:rPr>
        <w:t>. Available: http://www-etcsl.orient.ox.ac.uk/ [February 2, 2026].</w:t>
      </w:r>
    </w:p>
    <w:p w14:paraId="1A138A01" w14:textId="77777777" w:rsidR="00014F8D" w:rsidRPr="00050DAE" w:rsidRDefault="00014F8D" w:rsidP="00CC49DC">
      <w:pPr>
        <w:pStyle w:val="Bibliography"/>
        <w:rPr>
          <w:rFonts w:asciiTheme="majorBidi" w:hAnsiTheme="majorBidi" w:cstheme="majorBidi"/>
        </w:rPr>
      </w:pPr>
      <w:r w:rsidRPr="00050DAE">
        <w:rPr>
          <w:rFonts w:asciiTheme="majorBidi" w:hAnsiTheme="majorBidi" w:cstheme="majorBidi"/>
        </w:rPr>
        <w:t xml:space="preserve">BRITISH MUSEUM. </w:t>
      </w:r>
      <w:r w:rsidRPr="00050DAE">
        <w:rPr>
          <w:rFonts w:asciiTheme="majorBidi" w:hAnsiTheme="majorBidi" w:cstheme="majorBidi"/>
          <w:i/>
          <w:iCs/>
        </w:rPr>
        <w:t>EA191 Deir el-Medina Stela of the chief craftsman Qeh</w:t>
      </w:r>
      <w:r w:rsidRPr="00050DAE">
        <w:rPr>
          <w:rFonts w:asciiTheme="majorBidi" w:hAnsiTheme="majorBidi" w:cstheme="majorBidi"/>
        </w:rPr>
        <w:t>.</w:t>
      </w:r>
    </w:p>
    <w:p w14:paraId="7AA2043A"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BRITISH MUSEUM. </w:t>
      </w:r>
      <w:r w:rsidRPr="00050DAE">
        <w:rPr>
          <w:rFonts w:asciiTheme="majorBidi" w:hAnsiTheme="majorBidi" w:cstheme="majorBidi"/>
          <w:i/>
          <w:iCs/>
        </w:rPr>
        <w:t>BM 132824 Cylinder seal with storm god and winged warrior goddess</w:t>
      </w:r>
      <w:r w:rsidRPr="00050DAE">
        <w:rPr>
          <w:rFonts w:asciiTheme="majorBidi" w:hAnsiTheme="majorBidi" w:cstheme="majorBidi"/>
        </w:rPr>
        <w:t>.</w:t>
      </w:r>
    </w:p>
    <w:p w14:paraId="34892A4B"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BRITISH MUSEUM. </w:t>
      </w:r>
      <w:r w:rsidRPr="00050DAE">
        <w:rPr>
          <w:rFonts w:asciiTheme="majorBidi" w:hAnsiTheme="majorBidi" w:cstheme="majorBidi"/>
          <w:i/>
          <w:iCs/>
        </w:rPr>
        <w:t>0316.1 Myrina (Turkey) Terracotta figure possibly of Demeter and Persephone</w:t>
      </w:r>
      <w:r w:rsidRPr="00050DAE">
        <w:rPr>
          <w:rFonts w:asciiTheme="majorBidi" w:hAnsiTheme="majorBidi" w:cstheme="majorBidi"/>
        </w:rPr>
        <w:t>.</w:t>
      </w:r>
    </w:p>
    <w:p w14:paraId="0D285797"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BRITISH MUSEUM. </w:t>
      </w:r>
      <w:r w:rsidRPr="00050DAE">
        <w:rPr>
          <w:rFonts w:asciiTheme="majorBidi" w:hAnsiTheme="majorBidi" w:cstheme="majorBidi"/>
          <w:i/>
          <w:iCs/>
        </w:rPr>
        <w:t>BM 116722 cylinder seal</w:t>
      </w:r>
      <w:r w:rsidRPr="00050DAE">
        <w:rPr>
          <w:rFonts w:asciiTheme="majorBidi" w:hAnsiTheme="majorBidi" w:cstheme="majorBidi"/>
        </w:rPr>
        <w:t>.</w:t>
      </w:r>
    </w:p>
    <w:p w14:paraId="5FB4F540"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BRITISH MUSEUM. </w:t>
      </w:r>
      <w:r w:rsidRPr="00050DAE">
        <w:rPr>
          <w:rFonts w:asciiTheme="majorBidi" w:hAnsiTheme="majorBidi" w:cstheme="majorBidi"/>
          <w:i/>
          <w:iCs/>
        </w:rPr>
        <w:t>BM 123279 Orange-cream shell cylinder seal</w:t>
      </w:r>
      <w:r w:rsidRPr="00050DAE">
        <w:rPr>
          <w:rFonts w:asciiTheme="majorBidi" w:hAnsiTheme="majorBidi" w:cstheme="majorBidi"/>
        </w:rPr>
        <w:t>.</w:t>
      </w:r>
    </w:p>
    <w:p w14:paraId="3C317756"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BRITISH MUSEUM. </w:t>
      </w:r>
      <w:r w:rsidRPr="00050DAE">
        <w:rPr>
          <w:rFonts w:asciiTheme="majorBidi" w:hAnsiTheme="majorBidi" w:cstheme="majorBidi"/>
          <w:i/>
          <w:iCs/>
        </w:rPr>
        <w:t>BM 89435 Pale white-blue chalcedony cylinder seal with Gilgamesh, Enkidu, and the Bull of Heaven</w:t>
      </w:r>
      <w:r w:rsidRPr="00050DAE">
        <w:rPr>
          <w:rFonts w:asciiTheme="majorBidi" w:hAnsiTheme="majorBidi" w:cstheme="majorBidi"/>
        </w:rPr>
        <w:t>.</w:t>
      </w:r>
    </w:p>
    <w:p w14:paraId="50BBE4F9"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CALLIMACHUS, 2022. </w:t>
      </w:r>
      <w:r w:rsidRPr="00050DAE">
        <w:rPr>
          <w:rFonts w:asciiTheme="majorBidi" w:hAnsiTheme="majorBidi" w:cstheme="majorBidi"/>
          <w:i/>
          <w:iCs/>
        </w:rPr>
        <w:t>Callimachus II- Hecale. Hymns.</w:t>
      </w:r>
      <w:r w:rsidRPr="00050DAE">
        <w:rPr>
          <w:rFonts w:asciiTheme="majorBidi" w:hAnsiTheme="majorBidi" w:cstheme="majorBidi"/>
        </w:rPr>
        <w:t xml:space="preserve"> Epigrams. In: J. HENDERSON, ed, </w:t>
      </w:r>
      <w:r w:rsidRPr="00050DAE">
        <w:rPr>
          <w:rFonts w:asciiTheme="majorBidi" w:hAnsiTheme="majorBidi" w:cstheme="majorBidi"/>
          <w:i/>
          <w:iCs/>
        </w:rPr>
        <w:t>Callimachus II- Hecale. Hymns. Epigrams</w:t>
      </w:r>
      <w:r w:rsidRPr="00050DAE">
        <w:rPr>
          <w:rFonts w:asciiTheme="majorBidi" w:hAnsiTheme="majorBidi" w:cstheme="majorBidi"/>
        </w:rPr>
        <w:t>. Cambridge, MA: Harvard University Press.</w:t>
      </w:r>
    </w:p>
    <w:p w14:paraId="534C1047"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CALLIMACHUS, 1918. </w:t>
      </w:r>
      <w:r w:rsidRPr="00050DAE">
        <w:rPr>
          <w:rFonts w:asciiTheme="majorBidi" w:hAnsiTheme="majorBidi" w:cstheme="majorBidi"/>
          <w:i/>
          <w:iCs/>
        </w:rPr>
        <w:t>Book XIII. Epigrams in Various Metres- 25</w:t>
      </w:r>
      <w:r w:rsidRPr="00050DAE">
        <w:rPr>
          <w:rFonts w:asciiTheme="majorBidi" w:hAnsiTheme="majorBidi" w:cstheme="majorBidi"/>
        </w:rPr>
        <w:t xml:space="preserve">. Callimachus. </w:t>
      </w:r>
      <w:r w:rsidRPr="00050DAE">
        <w:rPr>
          <w:rFonts w:asciiTheme="majorBidi" w:hAnsiTheme="majorBidi" w:cstheme="majorBidi"/>
          <w:i/>
          <w:iCs/>
        </w:rPr>
        <w:t>The Greek Anthology, Volume V: Books 13-16.</w:t>
      </w:r>
      <w:r w:rsidRPr="00050DAE">
        <w:rPr>
          <w:rFonts w:asciiTheme="majorBidi" w:hAnsiTheme="majorBidi" w:cstheme="majorBidi"/>
        </w:rPr>
        <w:t xml:space="preserve"> Cambridge, MA: Harvard University Press.</w:t>
      </w:r>
    </w:p>
    <w:p w14:paraId="28195C3F"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CLAUDIAN, 1922. </w:t>
      </w:r>
      <w:r w:rsidRPr="00050DAE">
        <w:rPr>
          <w:rFonts w:asciiTheme="majorBidi" w:hAnsiTheme="majorBidi" w:cstheme="majorBidi"/>
          <w:i/>
          <w:iCs/>
        </w:rPr>
        <w:t>Rape of Proserpina</w:t>
      </w:r>
      <w:r w:rsidRPr="00050DAE">
        <w:rPr>
          <w:rFonts w:asciiTheme="majorBidi" w:hAnsiTheme="majorBidi" w:cstheme="majorBidi"/>
        </w:rPr>
        <w:t xml:space="preserve">. In: J. HENDERSON, ed, </w:t>
      </w:r>
      <w:r w:rsidRPr="00050DAE">
        <w:rPr>
          <w:rFonts w:asciiTheme="majorBidi" w:hAnsiTheme="majorBidi" w:cstheme="majorBidi"/>
          <w:i/>
          <w:iCs/>
        </w:rPr>
        <w:t>Claudian II- On Stilicho’s Consulship 2-3. Panegyric on the Sixth Consulship of Honorius. The Gothic War. Shorter Poems. Rape of Proserpina</w:t>
      </w:r>
      <w:r w:rsidRPr="00050DAE">
        <w:rPr>
          <w:rFonts w:asciiTheme="majorBidi" w:hAnsiTheme="majorBidi" w:cstheme="majorBidi"/>
        </w:rPr>
        <w:t>. Cambridge, MA: Harvard University Press.</w:t>
      </w:r>
    </w:p>
    <w:p w14:paraId="6FF4984D"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CLEMENT OF ALEXANDRIA, 1919. </w:t>
      </w:r>
      <w:r w:rsidRPr="00050DAE">
        <w:rPr>
          <w:rFonts w:asciiTheme="majorBidi" w:hAnsiTheme="majorBidi" w:cstheme="majorBidi"/>
          <w:i/>
          <w:iCs/>
        </w:rPr>
        <w:t>Clement of Alexandria. The Exhortation to the Greeks. The Rich Man’s Salvation. To the Newly Baptized</w:t>
      </w:r>
      <w:r w:rsidRPr="00050DAE">
        <w:rPr>
          <w:rFonts w:asciiTheme="majorBidi" w:hAnsiTheme="majorBidi" w:cstheme="majorBidi"/>
        </w:rPr>
        <w:t>. Cambridge, MA: Harvard University Press.</w:t>
      </w:r>
    </w:p>
    <w:p w14:paraId="1583C3C0"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COMMUNIO TEMPLORUM, 2026-last update, </w:t>
      </w:r>
      <w:r w:rsidRPr="00050DAE">
        <w:rPr>
          <w:rFonts w:asciiTheme="majorBidi" w:hAnsiTheme="majorBidi" w:cstheme="majorBidi"/>
          <w:i/>
          <w:iCs/>
        </w:rPr>
        <w:t>Inana and Ebiḫ.</w:t>
      </w:r>
      <w:r w:rsidRPr="00050DAE">
        <w:rPr>
          <w:rFonts w:asciiTheme="majorBidi" w:hAnsiTheme="majorBidi" w:cstheme="majorBidi"/>
        </w:rPr>
        <w:t xml:space="preserve"> Available: https://communio-templorum.github.io/cuneiform-text-corpus/#!/etcsl/1.3.2 [Mar 29, 2026].</w:t>
      </w:r>
    </w:p>
    <w:p w14:paraId="7AF9674D"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DE MOOR, J.C., 1987. </w:t>
      </w:r>
      <w:r w:rsidRPr="00050DAE">
        <w:rPr>
          <w:rFonts w:asciiTheme="majorBidi" w:hAnsiTheme="majorBidi" w:cstheme="majorBidi"/>
          <w:i/>
          <w:iCs/>
        </w:rPr>
        <w:t>Anthology of Religious Texts from Ugarit</w:t>
      </w:r>
      <w:r w:rsidRPr="00050DAE">
        <w:rPr>
          <w:rFonts w:asciiTheme="majorBidi" w:hAnsiTheme="majorBidi" w:cstheme="majorBidi"/>
        </w:rPr>
        <w:t>. Leiden: Brill.</w:t>
      </w:r>
    </w:p>
    <w:p w14:paraId="4CFCEAE9"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DE MOOR, J.C. and SPRONK, K., 1987. </w:t>
      </w:r>
      <w:r w:rsidRPr="00050DAE">
        <w:rPr>
          <w:rFonts w:asciiTheme="majorBidi" w:hAnsiTheme="majorBidi" w:cstheme="majorBidi"/>
          <w:i/>
          <w:iCs/>
        </w:rPr>
        <w:t>A Cuneiform Anthology of Religious Text from Ugarit</w:t>
      </w:r>
      <w:r w:rsidRPr="00050DAE">
        <w:rPr>
          <w:rFonts w:asciiTheme="majorBidi" w:hAnsiTheme="majorBidi" w:cstheme="majorBidi"/>
        </w:rPr>
        <w:t>. Leiden: E.J. Brill.</w:t>
      </w:r>
    </w:p>
    <w:p w14:paraId="1DCCC2E4"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EBL 01 VALIANT IŠTAR, A, 2026-last update, </w:t>
      </w:r>
      <w:r w:rsidRPr="00050DAE">
        <w:rPr>
          <w:rFonts w:asciiTheme="majorBidi" w:hAnsiTheme="majorBidi" w:cstheme="majorBidi"/>
          <w:i/>
          <w:iCs/>
        </w:rPr>
        <w:t>šuʾilas to Ištar Chapter 1 Incantation: O Valiant Ištar, Cherished One Among The Goddesses</w:t>
      </w:r>
      <w:r w:rsidRPr="00050DAE">
        <w:rPr>
          <w:rFonts w:asciiTheme="majorBidi" w:hAnsiTheme="majorBidi" w:cstheme="majorBidi"/>
        </w:rPr>
        <w:t>. Available: https://www.ebl.lmu.de/corpus/Mag/2/2/SB/1 [Apr 3, 2026].</w:t>
      </w:r>
    </w:p>
    <w:p w14:paraId="535D5AED" w14:textId="77777777" w:rsidR="00014F8D" w:rsidRPr="00050DAE" w:rsidRDefault="00014F8D" w:rsidP="00423511">
      <w:pPr>
        <w:pStyle w:val="Bibliography"/>
        <w:rPr>
          <w:rFonts w:asciiTheme="majorBidi" w:hAnsiTheme="majorBidi" w:cstheme="majorBidi"/>
        </w:rPr>
      </w:pPr>
      <w:r w:rsidRPr="00050DAE">
        <w:rPr>
          <w:rFonts w:asciiTheme="majorBidi" w:hAnsiTheme="majorBidi" w:cstheme="majorBidi"/>
        </w:rPr>
        <w:t xml:space="preserve">EBL 03 O SUBLIME IŠTAR, B, 2026-last update, </w:t>
      </w:r>
      <w:r w:rsidRPr="00050DAE">
        <w:rPr>
          <w:rFonts w:asciiTheme="majorBidi" w:hAnsiTheme="majorBidi" w:cstheme="majorBidi"/>
          <w:i/>
          <w:iCs/>
        </w:rPr>
        <w:t>šuʾilas to Ištar Chapter 3 Incantation: O Sublime Ištar, Illuminator Of The World</w:t>
      </w:r>
      <w:r w:rsidRPr="00050DAE">
        <w:rPr>
          <w:rFonts w:asciiTheme="majorBidi" w:hAnsiTheme="majorBidi" w:cstheme="majorBidi"/>
        </w:rPr>
        <w:t>. Available: https://www.ebl.lmu.de/corpus/Mag/2/2/SB/3 [Apr 3, 2026].</w:t>
      </w:r>
    </w:p>
    <w:p w14:paraId="3F76157B" w14:textId="32FB79B9"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EBL 23 O IŠTAR, C, 2026-last update, </w:t>
      </w:r>
      <w:r w:rsidRPr="00050DAE">
        <w:rPr>
          <w:rFonts w:asciiTheme="majorBidi" w:hAnsiTheme="majorBidi" w:cstheme="majorBidi"/>
          <w:i/>
          <w:iCs/>
        </w:rPr>
        <w:t>šuʾilas to Ištar Chapter 23 Incantation: O Ištar, Lady of the Heavens and the Earth</w:t>
      </w:r>
      <w:r w:rsidRPr="00050DAE">
        <w:rPr>
          <w:rFonts w:asciiTheme="majorBidi" w:hAnsiTheme="majorBidi" w:cstheme="majorBidi"/>
        </w:rPr>
        <w:t xml:space="preserve">. Available: </w:t>
      </w:r>
      <w:hyperlink r:id="rId49" w:history="1">
        <w:r w:rsidRPr="00050DAE">
          <w:rPr>
            <w:rStyle w:val="Hyperlink"/>
            <w:rFonts w:asciiTheme="majorBidi" w:hAnsiTheme="majorBidi" w:cstheme="majorBidi"/>
          </w:rPr>
          <w:t>https://www.ebl.lmu.de/corpus/Mag/2/13/SB/23</w:t>
        </w:r>
      </w:hyperlink>
      <w:r w:rsidRPr="00050DAE">
        <w:rPr>
          <w:rFonts w:asciiTheme="majorBidi" w:hAnsiTheme="majorBidi" w:cstheme="majorBidi"/>
        </w:rPr>
        <w:t xml:space="preserve"> [Apr 3, 2026].</w:t>
      </w:r>
    </w:p>
    <w:p w14:paraId="3022F24A"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EURIPIDES, 2002. </w:t>
      </w:r>
      <w:r w:rsidRPr="00050DAE">
        <w:rPr>
          <w:rFonts w:asciiTheme="majorBidi" w:hAnsiTheme="majorBidi" w:cstheme="majorBidi"/>
          <w:i/>
          <w:iCs/>
        </w:rPr>
        <w:t>Helen</w:t>
      </w:r>
      <w:r w:rsidRPr="00050DAE">
        <w:rPr>
          <w:rFonts w:asciiTheme="majorBidi" w:hAnsiTheme="majorBidi" w:cstheme="majorBidi"/>
        </w:rPr>
        <w:t xml:space="preserve">. In: D. KOVACS, ed, </w:t>
      </w:r>
      <w:r w:rsidRPr="00050DAE">
        <w:rPr>
          <w:rFonts w:asciiTheme="majorBidi" w:hAnsiTheme="majorBidi" w:cstheme="majorBidi"/>
          <w:i/>
          <w:iCs/>
        </w:rPr>
        <w:t xml:space="preserve">Euripides V Helen. Phoenician Women. Orestes. </w:t>
      </w:r>
      <w:r w:rsidRPr="00050DAE">
        <w:rPr>
          <w:rFonts w:asciiTheme="majorBidi" w:hAnsiTheme="majorBidi" w:cstheme="majorBidi"/>
        </w:rPr>
        <w:t>Cambridge, MA: Harvard University Press.</w:t>
      </w:r>
    </w:p>
    <w:p w14:paraId="47B5DC38"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EURIPIDES, 1998. </w:t>
      </w:r>
      <w:r w:rsidRPr="00050DAE">
        <w:rPr>
          <w:rFonts w:asciiTheme="majorBidi" w:hAnsiTheme="majorBidi" w:cstheme="majorBidi"/>
          <w:i/>
          <w:iCs/>
        </w:rPr>
        <w:t>Suppliant Women</w:t>
      </w:r>
      <w:r w:rsidRPr="00050DAE">
        <w:rPr>
          <w:rFonts w:asciiTheme="majorBidi" w:hAnsiTheme="majorBidi" w:cstheme="majorBidi"/>
        </w:rPr>
        <w:t xml:space="preserve">. In: D. KOVACS, ed, </w:t>
      </w:r>
      <w:r w:rsidRPr="00050DAE">
        <w:rPr>
          <w:rFonts w:asciiTheme="majorBidi" w:hAnsiTheme="majorBidi" w:cstheme="majorBidi"/>
          <w:i/>
          <w:iCs/>
        </w:rPr>
        <w:t>Euripides III- Suppliant Women. Electra. Heracles</w:t>
      </w:r>
      <w:r w:rsidRPr="00050DAE">
        <w:rPr>
          <w:rFonts w:asciiTheme="majorBidi" w:hAnsiTheme="majorBidi" w:cstheme="majorBidi"/>
        </w:rPr>
        <w:t>. Cambridge, MA: Harvard University Press.</w:t>
      </w:r>
    </w:p>
    <w:p w14:paraId="26CE3A4B"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EURIPIDES, 1995. </w:t>
      </w:r>
      <w:r w:rsidRPr="00050DAE">
        <w:rPr>
          <w:rFonts w:asciiTheme="majorBidi" w:hAnsiTheme="majorBidi" w:cstheme="majorBidi"/>
          <w:i/>
          <w:iCs/>
        </w:rPr>
        <w:t>Hippolytus</w:t>
      </w:r>
      <w:r w:rsidRPr="00050DAE">
        <w:rPr>
          <w:rFonts w:asciiTheme="majorBidi" w:hAnsiTheme="majorBidi" w:cstheme="majorBidi"/>
        </w:rPr>
        <w:t xml:space="preserve">. In: D. KOVACS, ed, </w:t>
      </w:r>
      <w:r w:rsidRPr="00050DAE">
        <w:rPr>
          <w:rFonts w:asciiTheme="majorBidi" w:hAnsiTheme="majorBidi" w:cstheme="majorBidi"/>
          <w:i/>
          <w:iCs/>
        </w:rPr>
        <w:t>Euripides Vol II- Children of Heracles. Hippolytus. Andromache. Hecuba</w:t>
      </w:r>
      <w:r w:rsidRPr="00050DAE">
        <w:rPr>
          <w:rFonts w:asciiTheme="majorBidi" w:hAnsiTheme="majorBidi" w:cstheme="majorBidi"/>
        </w:rPr>
        <w:t>. Cambridge, MA: Harvard University Press, pp. 117-265.</w:t>
      </w:r>
    </w:p>
    <w:p w14:paraId="509F22F1"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EURIPIDES, 1994. </w:t>
      </w:r>
      <w:r w:rsidRPr="00050DAE">
        <w:rPr>
          <w:rFonts w:asciiTheme="majorBidi" w:hAnsiTheme="majorBidi" w:cstheme="majorBidi"/>
          <w:i/>
          <w:iCs/>
        </w:rPr>
        <w:t>Alcestis</w:t>
      </w:r>
      <w:r w:rsidRPr="00050DAE">
        <w:rPr>
          <w:rFonts w:asciiTheme="majorBidi" w:hAnsiTheme="majorBidi" w:cstheme="majorBidi"/>
        </w:rPr>
        <w:t xml:space="preserve">. In: D. KOVACS, ed, </w:t>
      </w:r>
      <w:r w:rsidRPr="00050DAE">
        <w:rPr>
          <w:rFonts w:asciiTheme="majorBidi" w:hAnsiTheme="majorBidi" w:cstheme="majorBidi"/>
          <w:i/>
          <w:iCs/>
        </w:rPr>
        <w:t>Euripides I - Cyclops. Alcestis. Medea</w:t>
      </w:r>
      <w:r w:rsidRPr="00050DAE">
        <w:rPr>
          <w:rFonts w:asciiTheme="majorBidi" w:hAnsiTheme="majorBidi" w:cstheme="majorBidi"/>
        </w:rPr>
        <w:t>. Cambridge, MA: Harvard University Press, pp. 146-275.</w:t>
      </w:r>
    </w:p>
    <w:p w14:paraId="040C4D46" w14:textId="438F41A9"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FAULKNER, R.O., 2004. </w:t>
      </w:r>
      <w:r w:rsidRPr="00050DAE">
        <w:rPr>
          <w:rFonts w:asciiTheme="majorBidi" w:hAnsiTheme="majorBidi" w:cstheme="majorBidi"/>
          <w:i/>
          <w:iCs/>
        </w:rPr>
        <w:t>The Ancient Egyptian Coffin Text</w:t>
      </w:r>
      <w:r w:rsidRPr="00050DAE">
        <w:rPr>
          <w:rFonts w:asciiTheme="majorBidi" w:hAnsiTheme="majorBidi" w:cstheme="majorBidi"/>
        </w:rPr>
        <w:t xml:space="preserve">. Combined Hardback ed. Oxford, UK: Aris &amp; Phillips. </w:t>
      </w:r>
    </w:p>
    <w:p w14:paraId="66FD221C"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FINKELSTEIN, J.J., 1981. ‘The Ox That Gored.’ </w:t>
      </w:r>
      <w:r w:rsidRPr="00050DAE">
        <w:rPr>
          <w:rFonts w:asciiTheme="majorBidi" w:hAnsiTheme="majorBidi" w:cstheme="majorBidi"/>
          <w:i/>
          <w:iCs/>
        </w:rPr>
        <w:t>Transactions of the American Philosophical Society</w:t>
      </w:r>
      <w:r w:rsidRPr="00050DAE">
        <w:rPr>
          <w:rFonts w:asciiTheme="majorBidi" w:hAnsiTheme="majorBidi" w:cstheme="majorBidi"/>
        </w:rPr>
        <w:t>, 71(2).</w:t>
      </w:r>
    </w:p>
    <w:p w14:paraId="18128868"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FÖLDI, Z.J., HEINRICH, A.C., JIMÉNEZ, E. and MITTO, T.D.N., 2021-last update, </w:t>
      </w:r>
      <w:r w:rsidRPr="00050DAE">
        <w:rPr>
          <w:rFonts w:asciiTheme="majorBidi" w:hAnsiTheme="majorBidi" w:cstheme="majorBidi"/>
          <w:i/>
          <w:iCs/>
        </w:rPr>
        <w:t>A Syncretistic Hymn to Ištar - Daughter Of Sîn, Who Among All The Great Gods Controls All The Decrees - Zarpānītu.</w:t>
      </w:r>
      <w:r w:rsidRPr="00050DAE">
        <w:rPr>
          <w:rFonts w:asciiTheme="majorBidi" w:hAnsiTheme="majorBidi" w:cstheme="majorBidi"/>
        </w:rPr>
        <w:t xml:space="preserve"> Available: https://www.ebl.lmu.de/corpus/L/3/8/SB/- [4/3, 2026].</w:t>
      </w:r>
    </w:p>
    <w:p w14:paraId="1A07B767"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FOLEY, H.P., 1994. </w:t>
      </w:r>
      <w:r w:rsidRPr="00050DAE">
        <w:rPr>
          <w:rFonts w:asciiTheme="majorBidi" w:hAnsiTheme="majorBidi" w:cstheme="majorBidi"/>
          <w:i/>
          <w:iCs/>
        </w:rPr>
        <w:t>The Homeric Hymn to Demeter: Translation, Commentary, and Interpretive Essays</w:t>
      </w:r>
      <w:r w:rsidRPr="00050DAE">
        <w:rPr>
          <w:rFonts w:asciiTheme="majorBidi" w:hAnsiTheme="majorBidi" w:cstheme="majorBidi"/>
        </w:rPr>
        <w:t>. Princeton: Princeton University Press.</w:t>
      </w:r>
    </w:p>
    <w:p w14:paraId="3513B80B" w14:textId="013B3316"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GELLER, M.J., 2018. ‘The Exorcist’s Manual (KAR 44</w:t>
      </w:r>
      <w:r w:rsidRPr="00050DAE">
        <w:rPr>
          <w:rFonts w:asciiTheme="majorBidi" w:hAnsiTheme="majorBidi" w:cstheme="majorBidi"/>
          <w:i/>
          <w:iCs/>
        </w:rPr>
        <w:t>)</w:t>
      </w:r>
      <w:r w:rsidRPr="00050DAE">
        <w:rPr>
          <w:rFonts w:asciiTheme="majorBidi" w:hAnsiTheme="majorBidi" w:cstheme="majorBidi"/>
        </w:rPr>
        <w:t xml:space="preserve">.’ In: U. STEINERT, ed, </w:t>
      </w:r>
      <w:r w:rsidRPr="00050DAE">
        <w:rPr>
          <w:rFonts w:asciiTheme="majorBidi" w:hAnsiTheme="majorBidi" w:cstheme="majorBidi"/>
          <w:i/>
          <w:iCs/>
        </w:rPr>
        <w:t>Assyrian and Babylonian Scholarly Text Catalogues</w:t>
      </w:r>
      <w:r w:rsidRPr="00050DAE">
        <w:rPr>
          <w:rFonts w:asciiTheme="majorBidi" w:hAnsiTheme="majorBidi" w:cstheme="majorBidi"/>
        </w:rPr>
        <w:t>. 1</w:t>
      </w:r>
      <w:r w:rsidR="00527EF9" w:rsidRPr="00527EF9">
        <w:rPr>
          <w:rFonts w:asciiTheme="majorBidi" w:hAnsiTheme="majorBidi" w:cstheme="majorBidi"/>
          <w:vertAlign w:val="superscript"/>
        </w:rPr>
        <w:t>st</w:t>
      </w:r>
      <w:r w:rsidR="00527EF9">
        <w:rPr>
          <w:rFonts w:asciiTheme="majorBidi" w:hAnsiTheme="majorBidi" w:cstheme="majorBidi"/>
        </w:rPr>
        <w:t xml:space="preserve"> </w:t>
      </w:r>
      <w:r w:rsidRPr="00050DAE">
        <w:rPr>
          <w:rFonts w:asciiTheme="majorBidi" w:hAnsiTheme="majorBidi" w:cstheme="majorBidi"/>
        </w:rPr>
        <w:t>ed. De Gruyter.</w:t>
      </w:r>
    </w:p>
    <w:p w14:paraId="50885EBA"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GEORGE, A.R., 2003. </w:t>
      </w:r>
      <w:r w:rsidRPr="00050DAE">
        <w:rPr>
          <w:rFonts w:asciiTheme="majorBidi" w:hAnsiTheme="majorBidi" w:cstheme="majorBidi"/>
          <w:i/>
          <w:iCs/>
        </w:rPr>
        <w:t>The Babylonian Gilgamesh Epic</w:t>
      </w:r>
      <w:r w:rsidRPr="00050DAE">
        <w:rPr>
          <w:rFonts w:asciiTheme="majorBidi" w:hAnsiTheme="majorBidi" w:cstheme="majorBidi"/>
        </w:rPr>
        <w:t>. Oxford, UK: Oxford University Press.</w:t>
      </w:r>
    </w:p>
    <w:p w14:paraId="1AA6F285"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GURNEY, O.R., 1960. ‘The </w:t>
      </w:r>
      <w:r w:rsidRPr="00050DAE">
        <w:rPr>
          <w:rFonts w:asciiTheme="majorBidi" w:hAnsiTheme="majorBidi" w:cstheme="majorBidi"/>
          <w:i/>
          <w:iCs/>
        </w:rPr>
        <w:t>Sultantepe Tablets</w:t>
      </w:r>
      <w:r w:rsidRPr="00050DAE">
        <w:rPr>
          <w:rFonts w:asciiTheme="majorBidi" w:hAnsiTheme="majorBidi" w:cstheme="majorBidi"/>
        </w:rPr>
        <w:t xml:space="preserve"> (Continued): VII. </w:t>
      </w:r>
      <w:r w:rsidRPr="00050DAE">
        <w:rPr>
          <w:rFonts w:asciiTheme="majorBidi" w:hAnsiTheme="majorBidi" w:cstheme="majorBidi"/>
          <w:i/>
          <w:iCs/>
        </w:rPr>
        <w:t>The Myth of Nergal and Ereshkigal</w:t>
      </w:r>
      <w:r w:rsidRPr="00050DAE">
        <w:rPr>
          <w:rFonts w:asciiTheme="majorBidi" w:hAnsiTheme="majorBidi" w:cstheme="majorBidi"/>
        </w:rPr>
        <w:t xml:space="preserve">.’ </w:t>
      </w:r>
      <w:r w:rsidRPr="00050DAE">
        <w:rPr>
          <w:rFonts w:asciiTheme="majorBidi" w:hAnsiTheme="majorBidi" w:cstheme="majorBidi"/>
          <w:i/>
          <w:iCs/>
        </w:rPr>
        <w:t>Anatolian Studies</w:t>
      </w:r>
      <w:r w:rsidRPr="00050DAE">
        <w:rPr>
          <w:rFonts w:asciiTheme="majorBidi" w:hAnsiTheme="majorBidi" w:cstheme="majorBidi"/>
        </w:rPr>
        <w:t xml:space="preserve">, 10. </w:t>
      </w:r>
    </w:p>
    <w:p w14:paraId="11B28FD7"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HESIOD, 2018a. ‘Other Fragments.’ In: MOST GLEN W, ed, </w:t>
      </w:r>
      <w:r w:rsidRPr="00050DAE">
        <w:rPr>
          <w:rFonts w:asciiTheme="majorBidi" w:hAnsiTheme="majorBidi" w:cstheme="majorBidi"/>
          <w:i/>
          <w:iCs/>
        </w:rPr>
        <w:t>Hesiod II- The Shield. Catalogue of Women. Other Fragments</w:t>
      </w:r>
      <w:r w:rsidRPr="00050DAE">
        <w:rPr>
          <w:rFonts w:asciiTheme="majorBidi" w:hAnsiTheme="majorBidi" w:cstheme="majorBidi"/>
        </w:rPr>
        <w:t>. Cambridge, MA: Harvard University Press.</w:t>
      </w:r>
    </w:p>
    <w:p w14:paraId="0A44F570"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HESIOD, 2018b. </w:t>
      </w:r>
      <w:r w:rsidRPr="00050DAE">
        <w:rPr>
          <w:rFonts w:asciiTheme="majorBidi" w:hAnsiTheme="majorBidi" w:cstheme="majorBidi"/>
          <w:i/>
          <w:iCs/>
        </w:rPr>
        <w:t>Theogony</w:t>
      </w:r>
      <w:r w:rsidRPr="00050DAE">
        <w:rPr>
          <w:rFonts w:asciiTheme="majorBidi" w:hAnsiTheme="majorBidi" w:cstheme="majorBidi"/>
        </w:rPr>
        <w:t xml:space="preserve">. In: MOST GLEN W, ed, </w:t>
      </w:r>
      <w:r w:rsidRPr="00050DAE">
        <w:rPr>
          <w:rFonts w:asciiTheme="majorBidi" w:hAnsiTheme="majorBidi" w:cstheme="majorBidi"/>
          <w:i/>
          <w:iCs/>
        </w:rPr>
        <w:t>Hesiod I- Theogony. Works and Days. Testimonia</w:t>
      </w:r>
      <w:r w:rsidRPr="00050DAE">
        <w:rPr>
          <w:rFonts w:asciiTheme="majorBidi" w:hAnsiTheme="majorBidi" w:cstheme="majorBidi"/>
        </w:rPr>
        <w:t>. Cambridge, MA: Harvard University Press.</w:t>
      </w:r>
    </w:p>
    <w:p w14:paraId="1288845C"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HESIOD, 2018c. </w:t>
      </w:r>
      <w:r w:rsidRPr="00050DAE">
        <w:rPr>
          <w:rFonts w:asciiTheme="majorBidi" w:hAnsiTheme="majorBidi" w:cstheme="majorBidi"/>
          <w:i/>
          <w:iCs/>
        </w:rPr>
        <w:t>Works and Days</w:t>
      </w:r>
      <w:r w:rsidRPr="00050DAE">
        <w:rPr>
          <w:rFonts w:asciiTheme="majorBidi" w:hAnsiTheme="majorBidi" w:cstheme="majorBidi"/>
        </w:rPr>
        <w:t xml:space="preserve">. In: MOST GLEN W, ed, </w:t>
      </w:r>
      <w:r w:rsidRPr="00050DAE">
        <w:rPr>
          <w:rFonts w:asciiTheme="majorBidi" w:hAnsiTheme="majorBidi" w:cstheme="majorBidi"/>
          <w:i/>
          <w:iCs/>
        </w:rPr>
        <w:t>Hesiod I- Theogony. Works and Days. Testimonia</w:t>
      </w:r>
      <w:r w:rsidRPr="00050DAE">
        <w:rPr>
          <w:rFonts w:asciiTheme="majorBidi" w:hAnsiTheme="majorBidi" w:cstheme="majorBidi"/>
        </w:rPr>
        <w:t>. Cambridge, MA: Harvard University Press.</w:t>
      </w:r>
    </w:p>
    <w:p w14:paraId="1A4A7984"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HOMER, 2004a. </w:t>
      </w:r>
      <w:r w:rsidRPr="00050DAE">
        <w:rPr>
          <w:rFonts w:asciiTheme="majorBidi" w:hAnsiTheme="majorBidi" w:cstheme="majorBidi"/>
          <w:i/>
          <w:iCs/>
        </w:rPr>
        <w:t>The Iliad</w:t>
      </w:r>
      <w:r w:rsidRPr="00050DAE">
        <w:rPr>
          <w:rFonts w:asciiTheme="majorBidi" w:hAnsiTheme="majorBidi" w:cstheme="majorBidi"/>
        </w:rPr>
        <w:t>. USA: Project Gutenberg.</w:t>
      </w:r>
    </w:p>
    <w:p w14:paraId="36248A5B"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HOMER, 2004b. </w:t>
      </w:r>
      <w:r w:rsidRPr="00050DAE">
        <w:rPr>
          <w:rFonts w:asciiTheme="majorBidi" w:hAnsiTheme="majorBidi" w:cstheme="majorBidi"/>
          <w:i/>
          <w:iCs/>
        </w:rPr>
        <w:t>The Iliad</w:t>
      </w:r>
      <w:r w:rsidRPr="00050DAE">
        <w:rPr>
          <w:rFonts w:asciiTheme="majorBidi" w:hAnsiTheme="majorBidi" w:cstheme="majorBidi"/>
        </w:rPr>
        <w:t xml:space="preserve"> - Book XVIII. USA: Project Gutenberg.</w:t>
      </w:r>
    </w:p>
    <w:p w14:paraId="32DC90E3"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HOMER, 2003. </w:t>
      </w:r>
      <w:r w:rsidRPr="00050DAE">
        <w:rPr>
          <w:rFonts w:asciiTheme="majorBidi" w:hAnsiTheme="majorBidi" w:cstheme="majorBidi"/>
          <w:i/>
          <w:iCs/>
        </w:rPr>
        <w:t>To Demeter</w:t>
      </w:r>
      <w:r w:rsidRPr="00050DAE">
        <w:rPr>
          <w:rFonts w:asciiTheme="majorBidi" w:hAnsiTheme="majorBidi" w:cstheme="majorBidi"/>
        </w:rPr>
        <w:t>. Cambridge, MA: Harvard University Press.</w:t>
      </w:r>
    </w:p>
    <w:p w14:paraId="52AF2769"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HOMER, 1999. </w:t>
      </w:r>
      <w:r w:rsidRPr="00050DAE">
        <w:rPr>
          <w:rFonts w:asciiTheme="majorBidi" w:hAnsiTheme="majorBidi" w:cstheme="majorBidi"/>
          <w:i/>
          <w:iCs/>
        </w:rPr>
        <w:t>The Odyssey - Book X</w:t>
      </w:r>
      <w:r w:rsidRPr="00050DAE">
        <w:rPr>
          <w:rFonts w:asciiTheme="majorBidi" w:hAnsiTheme="majorBidi" w:cstheme="majorBidi"/>
        </w:rPr>
        <w:t>I. USA: Project Gutenberg.</w:t>
      </w:r>
    </w:p>
    <w:p w14:paraId="2487C3E8"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HOMER and HESIOD, 2008. </w:t>
      </w:r>
      <w:r w:rsidRPr="00050DAE">
        <w:rPr>
          <w:rFonts w:asciiTheme="majorBidi" w:hAnsiTheme="majorBidi" w:cstheme="majorBidi"/>
          <w:i/>
          <w:iCs/>
        </w:rPr>
        <w:t>To Demeter. Hesiod, The Homeric Hymns, and Homerica</w:t>
      </w:r>
      <w:r w:rsidRPr="00050DAE">
        <w:rPr>
          <w:rFonts w:asciiTheme="majorBidi" w:hAnsiTheme="majorBidi" w:cstheme="majorBidi"/>
        </w:rPr>
        <w:t>. USA: Project Gutenberg.</w:t>
      </w:r>
    </w:p>
    <w:p w14:paraId="0773702E"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HURT, J., 2002-last update, </w:t>
      </w:r>
      <w:r w:rsidRPr="00050DAE">
        <w:rPr>
          <w:rFonts w:asciiTheme="majorBidi" w:hAnsiTheme="majorBidi" w:cstheme="majorBidi"/>
          <w:i/>
          <w:iCs/>
        </w:rPr>
        <w:t>Deuteronomy Chapter 14 - Parallel Hebrew Old Testament</w:t>
      </w:r>
      <w:r w:rsidRPr="00050DAE">
        <w:rPr>
          <w:rFonts w:asciiTheme="majorBidi" w:hAnsiTheme="majorBidi" w:cstheme="majorBidi"/>
        </w:rPr>
        <w:t>. Available: https://www.hebrewoldtestament.com/B05C014.htm#V1 [Apr 11, 2026].</w:t>
      </w:r>
    </w:p>
    <w:p w14:paraId="72A34077"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JACOBSEN, T., 1981. ‘The Eridu Genesis.’ </w:t>
      </w:r>
      <w:r w:rsidRPr="00050DAE">
        <w:rPr>
          <w:rFonts w:asciiTheme="majorBidi" w:hAnsiTheme="majorBidi" w:cstheme="majorBidi"/>
          <w:i/>
          <w:iCs/>
        </w:rPr>
        <w:t>Journal of Biblical Literature</w:t>
      </w:r>
      <w:r w:rsidRPr="00050DAE">
        <w:rPr>
          <w:rFonts w:asciiTheme="majorBidi" w:hAnsiTheme="majorBidi" w:cstheme="majorBidi"/>
        </w:rPr>
        <w:t>, 100(4).</w:t>
      </w:r>
    </w:p>
    <w:p w14:paraId="7BED186D"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JACOBSEN, T., 1976. </w:t>
      </w:r>
      <w:r w:rsidRPr="00050DAE">
        <w:rPr>
          <w:rFonts w:asciiTheme="majorBidi" w:hAnsiTheme="majorBidi" w:cstheme="majorBidi"/>
          <w:i/>
          <w:iCs/>
        </w:rPr>
        <w:t>The Treasures of Darkness: A History of Mesopotamian Religion</w:t>
      </w:r>
      <w:r w:rsidRPr="00050DAE">
        <w:rPr>
          <w:rFonts w:asciiTheme="majorBidi" w:hAnsiTheme="majorBidi" w:cstheme="majorBidi"/>
        </w:rPr>
        <w:t>. New Haven: Yale University Press.</w:t>
      </w:r>
    </w:p>
    <w:p w14:paraId="51CF0FE6"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JACOBSEN, T. and KRAMER, S.N., 1953. ‘The Myth of Inanna and Bilulu.’ </w:t>
      </w:r>
      <w:r w:rsidRPr="00050DAE">
        <w:rPr>
          <w:rFonts w:asciiTheme="majorBidi" w:hAnsiTheme="majorBidi" w:cstheme="majorBidi"/>
          <w:i/>
          <w:iCs/>
        </w:rPr>
        <w:t>Journal of Near Eastern Studies</w:t>
      </w:r>
      <w:r w:rsidRPr="00050DAE">
        <w:rPr>
          <w:rFonts w:asciiTheme="majorBidi" w:hAnsiTheme="majorBidi" w:cstheme="majorBidi"/>
        </w:rPr>
        <w:t>, 12(3).</w:t>
      </w:r>
    </w:p>
    <w:p w14:paraId="0FA1BF9A" w14:textId="77777777" w:rsidR="00014F8D" w:rsidRPr="00050DAE" w:rsidRDefault="00014F8D" w:rsidP="00251FD7">
      <w:pPr>
        <w:pStyle w:val="Bibliography"/>
        <w:rPr>
          <w:rFonts w:asciiTheme="majorBidi" w:hAnsiTheme="majorBidi" w:cstheme="majorBidi"/>
        </w:rPr>
      </w:pPr>
      <w:r w:rsidRPr="00050DAE">
        <w:rPr>
          <w:rFonts w:asciiTheme="majorBidi" w:hAnsiTheme="majorBidi" w:cstheme="majorBidi"/>
        </w:rPr>
        <w:t xml:space="preserve">KOVACS, M.G. and CARNAHAN, W., 1998-last update, </w:t>
      </w:r>
      <w:r w:rsidRPr="00050DAE">
        <w:rPr>
          <w:rFonts w:asciiTheme="majorBidi" w:hAnsiTheme="majorBidi" w:cstheme="majorBidi"/>
          <w:i/>
          <w:iCs/>
        </w:rPr>
        <w:t>Epic of Gilgamesh</w:t>
      </w:r>
      <w:r w:rsidRPr="00050DAE">
        <w:rPr>
          <w:rFonts w:asciiTheme="majorBidi" w:hAnsiTheme="majorBidi" w:cstheme="majorBidi"/>
        </w:rPr>
        <w:t>. Available: https://ia802901.us.archive.org/9/items/0000-00-00-00-worst-case-00/THE%20EPIC%20OF%20GILGAMESH.pdf.</w:t>
      </w:r>
    </w:p>
    <w:p w14:paraId="4B4030A4"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KRAMER, S.N., 1980. ‘The Death of Dumuzi: a New Sumerian Version.’ </w:t>
      </w:r>
      <w:r w:rsidRPr="00050DAE">
        <w:rPr>
          <w:rFonts w:asciiTheme="majorBidi" w:hAnsiTheme="majorBidi" w:cstheme="majorBidi"/>
          <w:i/>
          <w:iCs/>
        </w:rPr>
        <w:t>Anatolian Studies</w:t>
      </w:r>
      <w:r w:rsidRPr="00050DAE">
        <w:rPr>
          <w:rFonts w:asciiTheme="majorBidi" w:hAnsiTheme="majorBidi" w:cstheme="majorBidi"/>
        </w:rPr>
        <w:t>, 30.</w:t>
      </w:r>
    </w:p>
    <w:p w14:paraId="7896D82B"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KRAMER, S.N., 1940. ‘Ištar in the Nether World According to a New Sumerian Text.’ </w:t>
      </w:r>
      <w:r w:rsidRPr="00050DAE">
        <w:rPr>
          <w:rFonts w:asciiTheme="majorBidi" w:hAnsiTheme="majorBidi" w:cstheme="majorBidi"/>
          <w:i/>
          <w:iCs/>
        </w:rPr>
        <w:t>Bulletin of the American Schools of Oriental Research</w:t>
      </w:r>
      <w:r w:rsidRPr="00050DAE">
        <w:rPr>
          <w:rFonts w:asciiTheme="majorBidi" w:hAnsiTheme="majorBidi" w:cstheme="majorBidi"/>
        </w:rPr>
        <w:t>, (79).</w:t>
      </w:r>
    </w:p>
    <w:p w14:paraId="4DEFEC98"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LASUS, 1991. ‘</w:t>
      </w:r>
      <w:r w:rsidRPr="00050DAE">
        <w:rPr>
          <w:rFonts w:asciiTheme="majorBidi" w:hAnsiTheme="majorBidi" w:cstheme="majorBidi"/>
          <w:i/>
          <w:iCs/>
        </w:rPr>
        <w:t>702 Hymn to Demeter of Hermione</w:t>
      </w:r>
      <w:r w:rsidRPr="00050DAE">
        <w:rPr>
          <w:rFonts w:asciiTheme="majorBidi" w:hAnsiTheme="majorBidi" w:cstheme="majorBidi"/>
        </w:rPr>
        <w:t xml:space="preserve">.’ In: D.A. CAMPBELL, ed, </w:t>
      </w:r>
      <w:r w:rsidRPr="00050DAE">
        <w:rPr>
          <w:rFonts w:asciiTheme="majorBidi" w:hAnsiTheme="majorBidi" w:cstheme="majorBidi"/>
          <w:i/>
          <w:iCs/>
        </w:rPr>
        <w:t>Greek Lyric, Volume III: Stesichorus, Ibycus, Simonides, and Others</w:t>
      </w:r>
      <w:r w:rsidRPr="00050DAE">
        <w:rPr>
          <w:rFonts w:asciiTheme="majorBidi" w:hAnsiTheme="majorBidi" w:cstheme="majorBidi"/>
        </w:rPr>
        <w:t>. Cambridge, MA: Harvard University Press,.</w:t>
      </w:r>
    </w:p>
    <w:p w14:paraId="0854708B"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LICHTHEIM, M., 1976. </w:t>
      </w:r>
      <w:r w:rsidRPr="00050DAE">
        <w:rPr>
          <w:rFonts w:asciiTheme="majorBidi" w:hAnsiTheme="majorBidi" w:cstheme="majorBidi"/>
          <w:i/>
          <w:iCs/>
        </w:rPr>
        <w:t>Ancient Egyptian Literature: A Book of Readings. Volume2: The New Kingdom.</w:t>
      </w:r>
      <w:r w:rsidRPr="00050DAE">
        <w:rPr>
          <w:rFonts w:asciiTheme="majorBidi" w:hAnsiTheme="majorBidi" w:cstheme="majorBidi"/>
        </w:rPr>
        <w:t xml:space="preserve"> Berkeley CA USA: University of California Press.</w:t>
      </w:r>
    </w:p>
    <w:p w14:paraId="2A6E387F"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LIVINGSTONE, A., 1989a. ‘</w:t>
      </w:r>
      <w:r w:rsidRPr="00050DAE">
        <w:rPr>
          <w:rFonts w:asciiTheme="majorBidi" w:hAnsiTheme="majorBidi" w:cstheme="majorBidi"/>
          <w:i/>
          <w:iCs/>
        </w:rPr>
        <w:t>Assurbanipal’s Hymn to Ištar of Nineveh (SAA 03 007).’</w:t>
      </w:r>
      <w:r w:rsidRPr="00050DAE">
        <w:rPr>
          <w:rFonts w:asciiTheme="majorBidi" w:hAnsiTheme="majorBidi" w:cstheme="majorBidi"/>
        </w:rPr>
        <w:t xml:space="preserve"> In: R.M. WHITING, ed, </w:t>
      </w:r>
      <w:r w:rsidRPr="00050DAE">
        <w:rPr>
          <w:rFonts w:asciiTheme="majorBidi" w:hAnsiTheme="majorBidi" w:cstheme="majorBidi"/>
          <w:i/>
          <w:iCs/>
        </w:rPr>
        <w:t>State Archives of Assyria</w:t>
      </w:r>
      <w:r w:rsidRPr="00050DAE">
        <w:rPr>
          <w:rFonts w:asciiTheme="majorBidi" w:hAnsiTheme="majorBidi" w:cstheme="majorBidi"/>
        </w:rPr>
        <w:t>. Helsinki: Helsinki University Press.</w:t>
      </w:r>
    </w:p>
    <w:p w14:paraId="617A3C39"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LIVINGSTONE, A., 1989b. ‘</w:t>
      </w:r>
      <w:r w:rsidRPr="00050DAE">
        <w:rPr>
          <w:rFonts w:asciiTheme="majorBidi" w:hAnsiTheme="majorBidi" w:cstheme="majorBidi"/>
          <w:i/>
          <w:iCs/>
        </w:rPr>
        <w:t>Assurbanipal’s Hymn to the Istars of Nineveh and Arbela (SAA 03 003).’</w:t>
      </w:r>
      <w:r w:rsidRPr="00050DAE">
        <w:rPr>
          <w:rFonts w:asciiTheme="majorBidi" w:hAnsiTheme="majorBidi" w:cstheme="majorBidi"/>
        </w:rPr>
        <w:t xml:space="preserve"> In: R.M. WHITING, ed, </w:t>
      </w:r>
      <w:r w:rsidRPr="00050DAE">
        <w:rPr>
          <w:rFonts w:asciiTheme="majorBidi" w:hAnsiTheme="majorBidi" w:cstheme="majorBidi"/>
          <w:i/>
          <w:iCs/>
        </w:rPr>
        <w:t>State Archives of Assyria</w:t>
      </w:r>
      <w:r w:rsidRPr="00050DAE">
        <w:rPr>
          <w:rFonts w:asciiTheme="majorBidi" w:hAnsiTheme="majorBidi" w:cstheme="majorBidi"/>
        </w:rPr>
        <w:t>. Helsinki: Helsinki University Press.</w:t>
      </w:r>
    </w:p>
    <w:p w14:paraId="2965399D"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LIVINGSTONE, A., 1989c. ‘</w:t>
      </w:r>
      <w:r w:rsidRPr="00050DAE">
        <w:rPr>
          <w:rFonts w:asciiTheme="majorBidi" w:hAnsiTheme="majorBidi" w:cstheme="majorBidi"/>
          <w:i/>
          <w:iCs/>
        </w:rPr>
        <w:t>Hymn to the City of Arbela (SAA 03 008)</w:t>
      </w:r>
      <w:r w:rsidRPr="00050DAE">
        <w:rPr>
          <w:rFonts w:asciiTheme="majorBidi" w:hAnsiTheme="majorBidi" w:cstheme="majorBidi"/>
        </w:rPr>
        <w:t xml:space="preserve">.’ In: R.M. WHITING, ed, </w:t>
      </w:r>
      <w:r w:rsidRPr="00050DAE">
        <w:rPr>
          <w:rFonts w:asciiTheme="majorBidi" w:hAnsiTheme="majorBidi" w:cstheme="majorBidi"/>
          <w:i/>
          <w:iCs/>
        </w:rPr>
        <w:t>State Archives of Assyria</w:t>
      </w:r>
      <w:r w:rsidRPr="00050DAE">
        <w:rPr>
          <w:rFonts w:asciiTheme="majorBidi" w:hAnsiTheme="majorBidi" w:cstheme="majorBidi"/>
        </w:rPr>
        <w:t>. Helsinki: Helsinki University Press.</w:t>
      </w:r>
    </w:p>
    <w:p w14:paraId="2B600CE2"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LUCIAN, 1925a. ‘</w:t>
      </w:r>
      <w:r w:rsidRPr="00050DAE">
        <w:rPr>
          <w:rFonts w:asciiTheme="majorBidi" w:hAnsiTheme="majorBidi" w:cstheme="majorBidi"/>
          <w:i/>
          <w:iCs/>
        </w:rPr>
        <w:t>Menippus or The Descent into Hades</w:t>
      </w:r>
      <w:r w:rsidRPr="00050DAE">
        <w:rPr>
          <w:rFonts w:asciiTheme="majorBidi" w:hAnsiTheme="majorBidi" w:cstheme="majorBidi"/>
        </w:rPr>
        <w:t xml:space="preserve">.’ IN: </w:t>
      </w:r>
      <w:r w:rsidRPr="00050DAE">
        <w:rPr>
          <w:rFonts w:asciiTheme="majorBidi" w:hAnsiTheme="majorBidi" w:cstheme="majorBidi"/>
          <w:i/>
          <w:iCs/>
        </w:rPr>
        <w:t>Lucian IV- Anacharsis or Athletics. Menippus or The Descent into Hades. On Funerals. A Professor of Public Speaking. Alexander the False Prophet. Essays in Portraiture. Essays in Portraiture Defended. The Goddesse of Surrye.</w:t>
      </w:r>
      <w:r w:rsidRPr="00050DAE">
        <w:rPr>
          <w:rFonts w:asciiTheme="majorBidi" w:hAnsiTheme="majorBidi" w:cstheme="majorBidi"/>
        </w:rPr>
        <w:t xml:space="preserve"> Cambridge, MA: Harvard University Press.</w:t>
      </w:r>
    </w:p>
    <w:p w14:paraId="1EDB1391"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LUCIAN, 1925b. </w:t>
      </w:r>
      <w:r w:rsidRPr="00050DAE">
        <w:rPr>
          <w:rFonts w:asciiTheme="majorBidi" w:hAnsiTheme="majorBidi" w:cstheme="majorBidi"/>
          <w:i/>
          <w:iCs/>
        </w:rPr>
        <w:t>On Funerals. Lucian IV- Anacharsis or Athletics. Menippus or The Descent into Hades. On Funerals. A Professor of Public Speaking. Alexander the False Prophet. Essays in Portraiture. Essays in Portraiture Defended. The Goddesse of Surrye.</w:t>
      </w:r>
      <w:r w:rsidRPr="00050DAE">
        <w:rPr>
          <w:rFonts w:asciiTheme="majorBidi" w:hAnsiTheme="majorBidi" w:cstheme="majorBidi"/>
        </w:rPr>
        <w:t xml:space="preserve"> Cambridge, MA: Harvard University Press.</w:t>
      </w:r>
    </w:p>
    <w:p w14:paraId="558A76DE" w14:textId="77777777" w:rsidR="00014F8D" w:rsidRPr="00050DAE" w:rsidRDefault="00014F8D" w:rsidP="00913CFB">
      <w:pPr>
        <w:rPr>
          <w:rFonts w:asciiTheme="majorBidi" w:hAnsiTheme="majorBidi" w:cstheme="majorBidi"/>
        </w:rPr>
      </w:pPr>
      <w:r w:rsidRPr="00050DAE">
        <w:rPr>
          <w:rFonts w:asciiTheme="majorBidi" w:hAnsiTheme="majorBidi" w:cstheme="majorBidi"/>
        </w:rPr>
        <w:t xml:space="preserve">MALAMIS, D., 2025. </w:t>
      </w:r>
      <w:r w:rsidRPr="00050DAE">
        <w:rPr>
          <w:rFonts w:asciiTheme="majorBidi" w:hAnsiTheme="majorBidi" w:cstheme="majorBidi"/>
          <w:i/>
          <w:iCs/>
        </w:rPr>
        <w:t>The Orphic Hymns: Poetry and Genre, with a Critical Text and Translation</w:t>
      </w:r>
      <w:r w:rsidRPr="00050DAE">
        <w:rPr>
          <w:rFonts w:asciiTheme="majorBidi" w:hAnsiTheme="majorBidi" w:cstheme="majorBidi"/>
        </w:rPr>
        <w:t>. Brill.</w:t>
      </w:r>
    </w:p>
    <w:p w14:paraId="3BFF10A5"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MANETHO, 1940. </w:t>
      </w:r>
      <w:r w:rsidRPr="00050DAE">
        <w:rPr>
          <w:rFonts w:asciiTheme="majorBidi" w:hAnsiTheme="majorBidi" w:cstheme="majorBidi"/>
          <w:i/>
          <w:iCs/>
        </w:rPr>
        <w:t>An Epitome of Physical Doctrines</w:t>
      </w:r>
      <w:r w:rsidRPr="00050DAE">
        <w:rPr>
          <w:rFonts w:asciiTheme="majorBidi" w:hAnsiTheme="majorBidi" w:cstheme="majorBidi"/>
        </w:rPr>
        <w:t xml:space="preserve">. In: W.G. WADDELL, ed, </w:t>
      </w:r>
      <w:r w:rsidRPr="00050DAE">
        <w:rPr>
          <w:rFonts w:asciiTheme="majorBidi" w:hAnsiTheme="majorBidi" w:cstheme="majorBidi"/>
          <w:i/>
          <w:iCs/>
        </w:rPr>
        <w:t>History of Egypt and Other Works</w:t>
      </w:r>
      <w:r w:rsidRPr="00050DAE">
        <w:rPr>
          <w:rFonts w:asciiTheme="majorBidi" w:hAnsiTheme="majorBidi" w:cstheme="majorBidi"/>
        </w:rPr>
        <w:t>. Cambridge, MA: Harvard University Press.</w:t>
      </w:r>
    </w:p>
    <w:p w14:paraId="432E564B"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MATUSZAK, J., 2025. ‘Of Captive Storm Gods and Cunning Foxes: New Insights into Early Sumerian Mythology, With an Edition of NI 1250.’ </w:t>
      </w:r>
      <w:r w:rsidRPr="00050DAE">
        <w:rPr>
          <w:rFonts w:asciiTheme="majorBidi" w:hAnsiTheme="majorBidi" w:cstheme="majorBidi"/>
          <w:i/>
          <w:iCs/>
        </w:rPr>
        <w:t>Iraq</w:t>
      </w:r>
      <w:r w:rsidRPr="00050DAE">
        <w:rPr>
          <w:rFonts w:asciiTheme="majorBidi" w:hAnsiTheme="majorBidi" w:cstheme="majorBidi"/>
        </w:rPr>
        <w:t>, 86.</w:t>
      </w:r>
    </w:p>
    <w:p w14:paraId="63B1589B" w14:textId="2FF4840A" w:rsidR="00014F8D" w:rsidRPr="00050DAE" w:rsidRDefault="00014F8D" w:rsidP="00913CFB">
      <w:pPr>
        <w:rPr>
          <w:rFonts w:asciiTheme="majorBidi" w:hAnsiTheme="majorBidi" w:cstheme="majorBidi"/>
        </w:rPr>
      </w:pPr>
      <w:r w:rsidRPr="00050DAE">
        <w:rPr>
          <w:rFonts w:asciiTheme="majorBidi" w:hAnsiTheme="majorBidi" w:cstheme="majorBidi"/>
        </w:rPr>
        <w:t>MEADOR, B.D.S. and GRAHN, J., 2000. </w:t>
      </w:r>
      <w:r w:rsidRPr="00050DAE">
        <w:rPr>
          <w:rFonts w:asciiTheme="majorBidi" w:hAnsiTheme="majorBidi" w:cstheme="majorBidi"/>
          <w:i/>
          <w:iCs/>
        </w:rPr>
        <w:t>Inanna, Lady of Largest Heart: Poems of the Sumerian High Priestess Enheduanna. </w:t>
      </w:r>
      <w:r w:rsidRPr="00050DAE">
        <w:rPr>
          <w:rFonts w:asciiTheme="majorBidi" w:hAnsiTheme="majorBidi" w:cstheme="majorBidi"/>
        </w:rPr>
        <w:t>1</w:t>
      </w:r>
      <w:r w:rsidR="00527EF9" w:rsidRPr="00527EF9">
        <w:rPr>
          <w:rFonts w:asciiTheme="majorBidi" w:hAnsiTheme="majorBidi" w:cstheme="majorBidi"/>
          <w:vertAlign w:val="superscript"/>
        </w:rPr>
        <w:t>st</w:t>
      </w:r>
      <w:r w:rsidR="00527EF9">
        <w:rPr>
          <w:rFonts w:asciiTheme="majorBidi" w:hAnsiTheme="majorBidi" w:cstheme="majorBidi"/>
        </w:rPr>
        <w:t xml:space="preserve"> </w:t>
      </w:r>
      <w:r w:rsidRPr="00050DAE">
        <w:rPr>
          <w:rFonts w:asciiTheme="majorBidi" w:hAnsiTheme="majorBidi" w:cstheme="majorBidi"/>
        </w:rPr>
        <w:t>ed. Austin: University of Texas Press.</w:t>
      </w:r>
    </w:p>
    <w:p w14:paraId="25A11896"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NAGY, G., 2021-last update, </w:t>
      </w:r>
      <w:r w:rsidRPr="00050DAE">
        <w:rPr>
          <w:rFonts w:asciiTheme="majorBidi" w:hAnsiTheme="majorBidi" w:cstheme="majorBidi"/>
          <w:i/>
          <w:iCs/>
        </w:rPr>
        <w:t>Homeric Hymn to Demeter</w:t>
      </w:r>
      <w:r w:rsidRPr="00050DAE">
        <w:rPr>
          <w:rFonts w:asciiTheme="majorBidi" w:hAnsiTheme="majorBidi" w:cstheme="majorBidi"/>
        </w:rPr>
        <w:t>. Available: https://chs.harvard.edu/primary-source/homeric-hymn-to-demeter-sb/ [Feb 28, 2026].</w:t>
      </w:r>
    </w:p>
    <w:p w14:paraId="30390A02"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OVID, 1931. </w:t>
      </w:r>
      <w:r w:rsidRPr="00050DAE">
        <w:rPr>
          <w:rFonts w:asciiTheme="majorBidi" w:hAnsiTheme="majorBidi" w:cstheme="majorBidi"/>
          <w:i/>
          <w:iCs/>
        </w:rPr>
        <w:t>Ovid V- Fasti</w:t>
      </w:r>
      <w:r w:rsidRPr="00050DAE">
        <w:rPr>
          <w:rFonts w:asciiTheme="majorBidi" w:hAnsiTheme="majorBidi" w:cstheme="majorBidi"/>
        </w:rPr>
        <w:t>. Cambridge, MA: Harvard University Press.</w:t>
      </w:r>
    </w:p>
    <w:p w14:paraId="1741CE90" w14:textId="3AAA88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OVID, 1916a. </w:t>
      </w:r>
      <w:r w:rsidRPr="00050DAE">
        <w:rPr>
          <w:rFonts w:asciiTheme="majorBidi" w:hAnsiTheme="majorBidi" w:cstheme="majorBidi"/>
          <w:i/>
          <w:iCs/>
        </w:rPr>
        <w:t>Ovid III- Metamorphoses, Volume I: Books 1-8</w:t>
      </w:r>
      <w:r w:rsidRPr="00050DAE">
        <w:rPr>
          <w:rFonts w:asciiTheme="majorBidi" w:hAnsiTheme="majorBidi" w:cstheme="majorBidi"/>
        </w:rPr>
        <w:t xml:space="preserve">. </w:t>
      </w:r>
      <w:r w:rsidR="00527EF9">
        <w:rPr>
          <w:rFonts w:asciiTheme="majorBidi" w:hAnsiTheme="majorBidi" w:cstheme="majorBidi"/>
        </w:rPr>
        <w:t>3</w:t>
      </w:r>
      <w:r w:rsidR="00527EF9" w:rsidRPr="00527EF9">
        <w:rPr>
          <w:rFonts w:asciiTheme="majorBidi" w:hAnsiTheme="majorBidi" w:cstheme="majorBidi"/>
          <w:vertAlign w:val="superscript"/>
        </w:rPr>
        <w:t>rd</w:t>
      </w:r>
      <w:r w:rsidR="00527EF9">
        <w:rPr>
          <w:rFonts w:asciiTheme="majorBidi" w:hAnsiTheme="majorBidi" w:cstheme="majorBidi"/>
        </w:rPr>
        <w:t xml:space="preserve"> ed</w:t>
      </w:r>
      <w:r w:rsidRPr="00050DAE">
        <w:rPr>
          <w:rFonts w:asciiTheme="majorBidi" w:hAnsiTheme="majorBidi" w:cstheme="majorBidi"/>
        </w:rPr>
        <w:t>. Cambridge, MA: Harvard University Press.</w:t>
      </w:r>
    </w:p>
    <w:p w14:paraId="529E2A00"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OVID, 1916b. </w:t>
      </w:r>
      <w:r w:rsidRPr="00050DAE">
        <w:rPr>
          <w:rFonts w:asciiTheme="majorBidi" w:hAnsiTheme="majorBidi" w:cstheme="majorBidi"/>
          <w:i/>
          <w:iCs/>
        </w:rPr>
        <w:t>Ovid IV- Metamorphoses, Volume II: Books 9-15</w:t>
      </w:r>
      <w:r w:rsidRPr="00050DAE">
        <w:rPr>
          <w:rFonts w:asciiTheme="majorBidi" w:hAnsiTheme="majorBidi" w:cstheme="majorBidi"/>
        </w:rPr>
        <w:t>. Cambridge, MA: Harvard University Press.</w:t>
      </w:r>
    </w:p>
    <w:p w14:paraId="18BE2AFA"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PARDEE, D., 2002. </w:t>
      </w:r>
      <w:r w:rsidRPr="00050DAE">
        <w:rPr>
          <w:rFonts w:asciiTheme="majorBidi" w:hAnsiTheme="majorBidi" w:cstheme="majorBidi"/>
          <w:i/>
          <w:iCs/>
        </w:rPr>
        <w:t>Ritual and Cult at Ugarit</w:t>
      </w:r>
      <w:r w:rsidRPr="00050DAE">
        <w:rPr>
          <w:rFonts w:asciiTheme="majorBidi" w:hAnsiTheme="majorBidi" w:cstheme="majorBidi"/>
        </w:rPr>
        <w:t>. Atlanta, GA USA: Society of Biblical Literature.</w:t>
      </w:r>
    </w:p>
    <w:p w14:paraId="52837EA7"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PARKER, S.B., 1997. </w:t>
      </w:r>
      <w:r w:rsidRPr="00050DAE">
        <w:rPr>
          <w:rFonts w:asciiTheme="majorBidi" w:hAnsiTheme="majorBidi" w:cstheme="majorBidi"/>
          <w:i/>
          <w:iCs/>
        </w:rPr>
        <w:t>Ugaritic Narrative Poetry</w:t>
      </w:r>
      <w:r w:rsidRPr="00050DAE">
        <w:rPr>
          <w:rFonts w:asciiTheme="majorBidi" w:hAnsiTheme="majorBidi" w:cstheme="majorBidi"/>
        </w:rPr>
        <w:t>. Atlanta, GA USA: Scholars Press.</w:t>
      </w:r>
    </w:p>
    <w:p w14:paraId="199EB199"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PARPOLA, S., 1997. </w:t>
      </w:r>
      <w:r w:rsidRPr="00050DAE">
        <w:rPr>
          <w:rFonts w:asciiTheme="majorBidi" w:hAnsiTheme="majorBidi" w:cstheme="majorBidi"/>
          <w:i/>
          <w:iCs/>
        </w:rPr>
        <w:t>Assyrian Prophecies (SAA 09 001)</w:t>
      </w:r>
      <w:r w:rsidRPr="00050DAE">
        <w:rPr>
          <w:rFonts w:asciiTheme="majorBidi" w:hAnsiTheme="majorBidi" w:cstheme="majorBidi"/>
        </w:rPr>
        <w:t>. State Archives of Assyria Online, P333952. Helsinki: Helsinki University Press.</w:t>
      </w:r>
    </w:p>
    <w:p w14:paraId="781007C1"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PATON, W.R., 1916. ‘Book 6: The Dedicatory Epigrams</w:t>
      </w:r>
      <w:r w:rsidRPr="00050DAE">
        <w:rPr>
          <w:rFonts w:asciiTheme="majorBidi" w:hAnsiTheme="majorBidi" w:cstheme="majorBidi"/>
          <w:i/>
          <w:iCs/>
        </w:rPr>
        <w:t>.</w:t>
      </w:r>
      <w:r w:rsidRPr="00050DAE">
        <w:rPr>
          <w:rFonts w:asciiTheme="majorBidi" w:hAnsiTheme="majorBidi" w:cstheme="majorBidi"/>
        </w:rPr>
        <w:t>’ In:</w:t>
      </w:r>
      <w:r w:rsidRPr="00050DAE">
        <w:rPr>
          <w:rFonts w:asciiTheme="majorBidi" w:hAnsiTheme="majorBidi" w:cstheme="majorBidi"/>
          <w:i/>
          <w:iCs/>
        </w:rPr>
        <w:t xml:space="preserve"> The Greek Anthology, Volume I: Books 1-6</w:t>
      </w:r>
      <w:r w:rsidRPr="00050DAE">
        <w:rPr>
          <w:rFonts w:asciiTheme="majorBidi" w:hAnsiTheme="majorBidi" w:cstheme="majorBidi"/>
        </w:rPr>
        <w:t>. Cambridge, MA: Harvard University Press.</w:t>
      </w:r>
    </w:p>
    <w:p w14:paraId="1A067AC4" w14:textId="77777777" w:rsidR="00014F8D" w:rsidRPr="00050DAE" w:rsidRDefault="00014F8D" w:rsidP="004F1BBB">
      <w:pPr>
        <w:pStyle w:val="Bibliography"/>
        <w:rPr>
          <w:rFonts w:asciiTheme="majorBidi" w:hAnsiTheme="majorBidi" w:cstheme="majorBidi"/>
        </w:rPr>
      </w:pPr>
      <w:r w:rsidRPr="00050DAE">
        <w:rPr>
          <w:rFonts w:asciiTheme="majorBidi" w:hAnsiTheme="majorBidi" w:cstheme="majorBidi"/>
        </w:rPr>
        <w:t>PENN MUSEUM, 2000-1600 BCE. Tablet CBS 13932 Old Babylonian manuscript of Inanna’s Descent to the Netherworld - CDLI P268937.</w:t>
      </w:r>
    </w:p>
    <w:p w14:paraId="05A06A3A"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PHILICUS, 1941. ‘</w:t>
      </w:r>
      <w:r w:rsidRPr="00050DAE">
        <w:rPr>
          <w:rFonts w:asciiTheme="majorBidi" w:hAnsiTheme="majorBidi" w:cstheme="majorBidi"/>
          <w:i/>
          <w:iCs/>
        </w:rPr>
        <w:t>Hymn to Demeter</w:t>
      </w:r>
      <w:r w:rsidRPr="00050DAE">
        <w:rPr>
          <w:rFonts w:asciiTheme="majorBidi" w:hAnsiTheme="majorBidi" w:cstheme="majorBidi"/>
        </w:rPr>
        <w:t xml:space="preserve">.’ In: D.L. PAGE, ed, </w:t>
      </w:r>
      <w:r w:rsidRPr="00050DAE">
        <w:rPr>
          <w:rFonts w:asciiTheme="majorBidi" w:hAnsiTheme="majorBidi" w:cstheme="majorBidi"/>
          <w:i/>
          <w:iCs/>
        </w:rPr>
        <w:t>Select Papyri, Volume III: Poetry</w:t>
      </w:r>
      <w:r w:rsidRPr="00050DAE">
        <w:rPr>
          <w:rFonts w:asciiTheme="majorBidi" w:hAnsiTheme="majorBidi" w:cstheme="majorBidi"/>
        </w:rPr>
        <w:t>. Cambridge, MA: Harvard University Press.</w:t>
      </w:r>
    </w:p>
    <w:p w14:paraId="7617EF4F"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PHILITAS, 2009. ‘Philitas’ Demeter.’ In: J.L. LIGHTFOOT, ed, Hellenistic Collection: </w:t>
      </w:r>
      <w:r w:rsidRPr="00050DAE">
        <w:rPr>
          <w:rFonts w:asciiTheme="majorBidi" w:hAnsiTheme="majorBidi" w:cstheme="majorBidi"/>
          <w:i/>
          <w:iCs/>
        </w:rPr>
        <w:t>Philitas. Alexander of Aetolia. Hermesianax. Euphorion. Parthenius</w:t>
      </w:r>
      <w:r w:rsidRPr="00050DAE">
        <w:rPr>
          <w:rFonts w:asciiTheme="majorBidi" w:hAnsiTheme="majorBidi" w:cstheme="majorBidi"/>
        </w:rPr>
        <w:t>. Cambridge, MA: Harvard University Press.</w:t>
      </w:r>
    </w:p>
    <w:p w14:paraId="0F44AB67"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PHILODEMUS, 1993. ‘</w:t>
      </w:r>
      <w:r w:rsidRPr="00050DAE">
        <w:rPr>
          <w:rFonts w:asciiTheme="majorBidi" w:hAnsiTheme="majorBidi" w:cstheme="majorBidi"/>
          <w:i/>
          <w:iCs/>
        </w:rPr>
        <w:t>On Piety</w:t>
      </w:r>
      <w:r w:rsidRPr="00050DAE">
        <w:rPr>
          <w:rFonts w:asciiTheme="majorBidi" w:hAnsiTheme="majorBidi" w:cstheme="majorBidi"/>
        </w:rPr>
        <w:t xml:space="preserve">.’ In: D.A. CAMPBELL, ed, </w:t>
      </w:r>
      <w:r w:rsidRPr="00050DAE">
        <w:rPr>
          <w:rFonts w:asciiTheme="majorBidi" w:hAnsiTheme="majorBidi" w:cstheme="majorBidi"/>
          <w:i/>
          <w:iCs/>
        </w:rPr>
        <w:t>Greek Lyric, Volume V: The New School of Poetry and Anonymous Songs and Hymns</w:t>
      </w:r>
      <w:r w:rsidRPr="00050DAE">
        <w:rPr>
          <w:rFonts w:asciiTheme="majorBidi" w:hAnsiTheme="majorBidi" w:cstheme="majorBidi"/>
        </w:rPr>
        <w:t>. Cambridge, MA: Harvard University Press.</w:t>
      </w:r>
    </w:p>
    <w:p w14:paraId="58705214"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PLATO, 2017. </w:t>
      </w:r>
      <w:r w:rsidRPr="00050DAE">
        <w:rPr>
          <w:rFonts w:asciiTheme="majorBidi" w:hAnsiTheme="majorBidi" w:cstheme="majorBidi"/>
          <w:i/>
          <w:iCs/>
        </w:rPr>
        <w:t>Apology</w:t>
      </w:r>
      <w:r w:rsidRPr="00050DAE">
        <w:rPr>
          <w:rFonts w:asciiTheme="majorBidi" w:hAnsiTheme="majorBidi" w:cstheme="majorBidi"/>
        </w:rPr>
        <w:t xml:space="preserve">. In: C. EMLYN-JONES and W. PREDDY, eds, </w:t>
      </w:r>
      <w:r w:rsidRPr="00050DAE">
        <w:rPr>
          <w:rFonts w:asciiTheme="majorBidi" w:hAnsiTheme="majorBidi" w:cstheme="majorBidi"/>
          <w:i/>
          <w:iCs/>
        </w:rPr>
        <w:t>Plato I- Euthyphro. Apology. Crito. Phaedo</w:t>
      </w:r>
      <w:r w:rsidRPr="00050DAE">
        <w:rPr>
          <w:rFonts w:asciiTheme="majorBidi" w:hAnsiTheme="majorBidi" w:cstheme="majorBidi"/>
        </w:rPr>
        <w:t>. Cambridge, MA: Harvard University Press.</w:t>
      </w:r>
    </w:p>
    <w:p w14:paraId="6809A3ED"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PLUTARCH, 1969. </w:t>
      </w:r>
      <w:r w:rsidRPr="00050DAE">
        <w:rPr>
          <w:rFonts w:asciiTheme="majorBidi" w:hAnsiTheme="majorBidi" w:cstheme="majorBidi"/>
          <w:i/>
          <w:iCs/>
        </w:rPr>
        <w:t>Plutarch. Moralia, Volume XV: Fragments</w:t>
      </w:r>
      <w:r w:rsidRPr="00050DAE">
        <w:rPr>
          <w:rFonts w:asciiTheme="majorBidi" w:hAnsiTheme="majorBidi" w:cstheme="majorBidi"/>
        </w:rPr>
        <w:t>. Cambridge, MA: Harvard University Press.</w:t>
      </w:r>
    </w:p>
    <w:p w14:paraId="54E2B30F"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PLUTARCH, 1936. </w:t>
      </w:r>
      <w:r w:rsidRPr="00050DAE">
        <w:rPr>
          <w:rFonts w:asciiTheme="majorBidi" w:hAnsiTheme="majorBidi" w:cstheme="majorBidi"/>
          <w:i/>
          <w:iCs/>
        </w:rPr>
        <w:t>Isis And Osiris. Plutarch. Moralia, Volume V: Isis and Osiris. The E at Delphi. The Oracles at Delphi No Longer Given in Verse. The Obsolescence of Oracles</w:t>
      </w:r>
      <w:r w:rsidRPr="00050DAE">
        <w:rPr>
          <w:rFonts w:asciiTheme="majorBidi" w:hAnsiTheme="majorBidi" w:cstheme="majorBidi"/>
        </w:rPr>
        <w:t>. Cambridge, MA: Harvard University Press.</w:t>
      </w:r>
    </w:p>
    <w:p w14:paraId="17FC18E0"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PORPHYRY, 2017. </w:t>
      </w:r>
      <w:r w:rsidRPr="00050DAE">
        <w:rPr>
          <w:rFonts w:asciiTheme="majorBidi" w:hAnsiTheme="majorBidi" w:cstheme="majorBidi"/>
          <w:i/>
          <w:iCs/>
        </w:rPr>
        <w:t>Porphyry’s On the Abstinence from Animal Food</w:t>
      </w:r>
      <w:r w:rsidRPr="00050DAE">
        <w:rPr>
          <w:rFonts w:asciiTheme="majorBidi" w:hAnsiTheme="majorBidi" w:cstheme="majorBidi"/>
        </w:rPr>
        <w:t>. Walnut, CA USA: Mt. San Antonio College.</w:t>
      </w:r>
    </w:p>
    <w:p w14:paraId="3D52F55C"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PORPHYRY, 1823-last update, </w:t>
      </w:r>
      <w:r w:rsidRPr="00050DAE">
        <w:rPr>
          <w:rFonts w:asciiTheme="majorBidi" w:hAnsiTheme="majorBidi" w:cstheme="majorBidi"/>
          <w:i/>
          <w:iCs/>
        </w:rPr>
        <w:t>On abstinence from animal food (1823) Book 4</w:t>
      </w:r>
      <w:r w:rsidRPr="00050DAE">
        <w:rPr>
          <w:rFonts w:asciiTheme="majorBidi" w:hAnsiTheme="majorBidi" w:cstheme="majorBidi"/>
        </w:rPr>
        <w:t>. pp.110-138. Available: https://www.tertullian.org/fathers/porphyry_abstinence_04_book4.htm?utm_source=chatgpt.com [Apr 12, 2026].</w:t>
      </w:r>
    </w:p>
    <w:p w14:paraId="329B95CD"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ROZZI, G. and JIMÉNEZ, E., 2023-last update, </w:t>
      </w:r>
      <w:r w:rsidRPr="00050DAE">
        <w:rPr>
          <w:rFonts w:asciiTheme="majorBidi" w:hAnsiTheme="majorBidi" w:cstheme="majorBidi"/>
          <w:i/>
          <w:iCs/>
        </w:rPr>
        <w:t>Hymn to Ištar (“Ištar 2”) - O Priestess, I Will Praise Your Greatness</w:t>
      </w:r>
      <w:r w:rsidRPr="00050DAE">
        <w:rPr>
          <w:rFonts w:asciiTheme="majorBidi" w:hAnsiTheme="majorBidi" w:cstheme="majorBidi"/>
        </w:rPr>
        <w:t>. Available: https://www.ebl.lmu.de/corpus/L/3/9/SB/- .</w:t>
      </w:r>
    </w:p>
    <w:p w14:paraId="15CEA8F9"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SETÄLÄ, A., FÖLDI, Z.J., HÄTINEN, A., JIMÉNEZ, E. and ROZZI, G., 2022-last update, </w:t>
      </w:r>
      <w:r w:rsidRPr="00050DAE">
        <w:rPr>
          <w:rFonts w:asciiTheme="majorBidi" w:hAnsiTheme="majorBidi" w:cstheme="majorBidi"/>
          <w:i/>
          <w:iCs/>
        </w:rPr>
        <w:t>Descent of Ištar Chapter Standard Babylonian</w:t>
      </w:r>
      <w:r w:rsidRPr="00050DAE">
        <w:rPr>
          <w:rFonts w:asciiTheme="majorBidi" w:hAnsiTheme="majorBidi" w:cstheme="majorBidi"/>
        </w:rPr>
        <w:t>. Available: https://www.ebl.lmu.de/corpus/L/1/8/SB/- .</w:t>
      </w:r>
    </w:p>
    <w:p w14:paraId="34352795" w14:textId="77777777" w:rsidR="00014F8D" w:rsidRPr="00050DAE" w:rsidRDefault="00014F8D" w:rsidP="00B72319">
      <w:pPr>
        <w:pStyle w:val="Bibliography"/>
        <w:rPr>
          <w:rFonts w:asciiTheme="majorBidi" w:hAnsiTheme="majorBidi" w:cstheme="majorBidi"/>
        </w:rPr>
      </w:pPr>
      <w:r w:rsidRPr="00050DAE">
        <w:rPr>
          <w:rFonts w:asciiTheme="majorBidi" w:hAnsiTheme="majorBidi" w:cstheme="majorBidi"/>
        </w:rPr>
        <w:t xml:space="preserve">SIGRIST, R.M. </w:t>
      </w:r>
      <w:r w:rsidRPr="00050DAE">
        <w:rPr>
          <w:rFonts w:asciiTheme="majorBidi" w:hAnsiTheme="majorBidi" w:cstheme="majorBidi"/>
          <w:i/>
          <w:iCs/>
        </w:rPr>
        <w:t>Les Sattukku dans l’Ešumeša durant la période d’Isin et Larsa</w:t>
      </w:r>
      <w:r w:rsidRPr="00050DAE">
        <w:rPr>
          <w:rFonts w:asciiTheme="majorBidi" w:hAnsiTheme="majorBidi" w:cstheme="majorBidi"/>
        </w:rPr>
        <w:t>. Buccellati G, editor. Malibu, CA USA: Undena Publications.; 1984.</w:t>
      </w:r>
    </w:p>
    <w:p w14:paraId="763C51C6" w14:textId="77777777" w:rsidR="00014F8D" w:rsidRPr="00050DAE" w:rsidRDefault="00014F8D" w:rsidP="007D1D9D">
      <w:pPr>
        <w:pStyle w:val="Bibliography"/>
        <w:rPr>
          <w:rFonts w:asciiTheme="majorBidi" w:hAnsiTheme="majorBidi" w:cstheme="majorBidi"/>
        </w:rPr>
      </w:pPr>
      <w:r w:rsidRPr="00050DAE">
        <w:rPr>
          <w:rFonts w:asciiTheme="majorBidi" w:hAnsiTheme="majorBidi" w:cstheme="majorBidi"/>
        </w:rPr>
        <w:t xml:space="preserve">SLADEK, W.R., 1974. </w:t>
      </w:r>
      <w:r w:rsidRPr="00050DAE">
        <w:rPr>
          <w:rFonts w:asciiTheme="majorBidi" w:hAnsiTheme="majorBidi" w:cstheme="majorBidi"/>
          <w:i/>
          <w:iCs/>
        </w:rPr>
        <w:t>Inanna’s descent to the Netherworld</w:t>
      </w:r>
      <w:r w:rsidRPr="00050DAE">
        <w:rPr>
          <w:rFonts w:asciiTheme="majorBidi" w:hAnsiTheme="majorBidi" w:cstheme="majorBidi"/>
        </w:rPr>
        <w:t>, Johns Hopkins University.</w:t>
      </w:r>
    </w:p>
    <w:p w14:paraId="031A002F"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SMITH, M.S., 1994. </w:t>
      </w:r>
      <w:r w:rsidRPr="00050DAE">
        <w:rPr>
          <w:rFonts w:asciiTheme="majorBidi" w:hAnsiTheme="majorBidi" w:cstheme="majorBidi"/>
          <w:i/>
          <w:iCs/>
        </w:rPr>
        <w:t>The Ugaritic Baal Cycle, Volume 1</w:t>
      </w:r>
      <w:r w:rsidRPr="00050DAE">
        <w:rPr>
          <w:rFonts w:asciiTheme="majorBidi" w:hAnsiTheme="majorBidi" w:cstheme="majorBidi"/>
        </w:rPr>
        <w:t>. New York: Brill.</w:t>
      </w:r>
    </w:p>
    <w:p w14:paraId="1785CA3E"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SMITH, M.S. and PITARD, W.T., 2009. </w:t>
      </w:r>
      <w:r w:rsidRPr="00050DAE">
        <w:rPr>
          <w:rFonts w:asciiTheme="majorBidi" w:hAnsiTheme="majorBidi" w:cstheme="majorBidi"/>
          <w:i/>
          <w:iCs/>
        </w:rPr>
        <w:t>The Ugaritic Baal Cycle Vol 2</w:t>
      </w:r>
      <w:r w:rsidRPr="00050DAE">
        <w:rPr>
          <w:rFonts w:asciiTheme="majorBidi" w:hAnsiTheme="majorBidi" w:cstheme="majorBidi"/>
        </w:rPr>
        <w:t>. Leiden, Netherlands: Brill.</w:t>
      </w:r>
    </w:p>
    <w:p w14:paraId="02AC64BA"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THUREAU-DANGIN, F., 1925, 2008. </w:t>
      </w:r>
      <w:r w:rsidRPr="00050DAE">
        <w:rPr>
          <w:rFonts w:asciiTheme="majorBidi" w:hAnsiTheme="majorBidi" w:cstheme="majorBidi"/>
          <w:i/>
          <w:iCs/>
        </w:rPr>
        <w:t>To Ištar</w:t>
      </w:r>
      <w:r w:rsidRPr="00050DAE">
        <w:rPr>
          <w:rFonts w:asciiTheme="majorBidi" w:hAnsiTheme="majorBidi" w:cstheme="majorBidi"/>
        </w:rPr>
        <w:t xml:space="preserve"> [Homepage of University of Oxford], [Online]. Available: https://www.cdli.ox.ac.uk/wiki/doku.php?id=to_Ištar [Apr 3, 2026].</w:t>
      </w:r>
    </w:p>
    <w:p w14:paraId="2AA0E087"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VANSTIPHOUT, H.L.J., 2004. </w:t>
      </w:r>
      <w:r w:rsidRPr="00050DAE">
        <w:rPr>
          <w:rFonts w:asciiTheme="majorBidi" w:hAnsiTheme="majorBidi" w:cstheme="majorBidi"/>
          <w:i/>
          <w:iCs/>
        </w:rPr>
        <w:t>Epics of Sumerian Kings: The Matter of Aratta</w:t>
      </w:r>
      <w:r w:rsidRPr="00050DAE">
        <w:rPr>
          <w:rFonts w:asciiTheme="majorBidi" w:hAnsiTheme="majorBidi" w:cstheme="majorBidi"/>
        </w:rPr>
        <w:t>. Atlanta, GA USA: Society of Biblical Literature.</w:t>
      </w:r>
    </w:p>
    <w:p w14:paraId="78D27448"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VIRGIL, 1918. ‘</w:t>
      </w:r>
      <w:r w:rsidRPr="00050DAE">
        <w:rPr>
          <w:rFonts w:asciiTheme="majorBidi" w:hAnsiTheme="majorBidi" w:cstheme="majorBidi"/>
          <w:i/>
          <w:iCs/>
        </w:rPr>
        <w:t>Appendix Vergiliana- Culex.’</w:t>
      </w:r>
      <w:r w:rsidRPr="00050DAE">
        <w:rPr>
          <w:rFonts w:asciiTheme="majorBidi" w:hAnsiTheme="majorBidi" w:cstheme="majorBidi"/>
        </w:rPr>
        <w:t xml:space="preserve"> In: D. KOVACS, ed, </w:t>
      </w:r>
      <w:r w:rsidRPr="00050DAE">
        <w:rPr>
          <w:rFonts w:asciiTheme="majorBidi" w:hAnsiTheme="majorBidi" w:cstheme="majorBidi"/>
          <w:i/>
          <w:iCs/>
        </w:rPr>
        <w:t>Virgil II- Aeneid, Books 7-12. Appendix Vergiliana</w:t>
      </w:r>
      <w:r w:rsidRPr="00050DAE">
        <w:rPr>
          <w:rFonts w:asciiTheme="majorBidi" w:hAnsiTheme="majorBidi" w:cstheme="majorBidi"/>
        </w:rPr>
        <w:t>. Cambridge, MA: Harvard University Press.</w:t>
      </w:r>
    </w:p>
    <w:p w14:paraId="3CC3EBD0"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VIRGIL, 1916. ‘</w:t>
      </w:r>
      <w:r w:rsidRPr="00050DAE">
        <w:rPr>
          <w:rFonts w:asciiTheme="majorBidi" w:hAnsiTheme="majorBidi" w:cstheme="majorBidi"/>
          <w:i/>
          <w:iCs/>
        </w:rPr>
        <w:t>Georgics</w:t>
      </w:r>
      <w:r w:rsidRPr="00050DAE">
        <w:rPr>
          <w:rFonts w:asciiTheme="majorBidi" w:hAnsiTheme="majorBidi" w:cstheme="majorBidi"/>
        </w:rPr>
        <w:t xml:space="preserve">.’ In: J. HENDERSON and G. MANUWALD, eds, </w:t>
      </w:r>
      <w:r w:rsidRPr="00050DAE">
        <w:rPr>
          <w:rFonts w:asciiTheme="majorBidi" w:hAnsiTheme="majorBidi" w:cstheme="majorBidi"/>
          <w:i/>
          <w:iCs/>
        </w:rPr>
        <w:t>Virgil I- Eclogues. Georgics. Aeneid, Books 1-6.</w:t>
      </w:r>
      <w:r w:rsidRPr="00050DAE">
        <w:rPr>
          <w:rFonts w:asciiTheme="majorBidi" w:hAnsiTheme="majorBidi" w:cstheme="majorBidi"/>
        </w:rPr>
        <w:t xml:space="preserve"> Cambridge, MA: Harvard University Press.</w:t>
      </w:r>
    </w:p>
    <w:p w14:paraId="433A5591" w14:textId="77777777"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WALLS, N.H., 1992. </w:t>
      </w:r>
      <w:r w:rsidRPr="00050DAE">
        <w:rPr>
          <w:rFonts w:asciiTheme="majorBidi" w:hAnsiTheme="majorBidi" w:cstheme="majorBidi"/>
          <w:i/>
          <w:iCs/>
        </w:rPr>
        <w:t>The Goddess Anat in Ugaritic Myth</w:t>
      </w:r>
      <w:r w:rsidRPr="00050DAE">
        <w:rPr>
          <w:rFonts w:asciiTheme="majorBidi" w:hAnsiTheme="majorBidi" w:cstheme="majorBidi"/>
        </w:rPr>
        <w:t>. Society of Biblical Literature.</w:t>
      </w:r>
    </w:p>
    <w:p w14:paraId="2FF16EB3" w14:textId="79516814"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WOLKSTEIN, D. and KRAMER, S.N., 1983. </w:t>
      </w:r>
      <w:r w:rsidRPr="00050DAE">
        <w:rPr>
          <w:rFonts w:asciiTheme="majorBidi" w:hAnsiTheme="majorBidi" w:cstheme="majorBidi"/>
          <w:i/>
          <w:iCs/>
        </w:rPr>
        <w:t>Inanna: Queen of Heaven and Earth: Her Stories and Hymns from Sumer.</w:t>
      </w:r>
      <w:r w:rsidRPr="00050DAE">
        <w:rPr>
          <w:rFonts w:asciiTheme="majorBidi" w:hAnsiTheme="majorBidi" w:cstheme="majorBidi"/>
        </w:rPr>
        <w:t xml:space="preserve"> </w:t>
      </w:r>
      <w:r w:rsidR="00527EF9">
        <w:rPr>
          <w:rFonts w:asciiTheme="majorBidi" w:hAnsiTheme="majorBidi" w:cstheme="majorBidi"/>
        </w:rPr>
        <w:t>1</w:t>
      </w:r>
      <w:r w:rsidR="00527EF9" w:rsidRPr="00527EF9">
        <w:rPr>
          <w:rFonts w:asciiTheme="majorBidi" w:hAnsiTheme="majorBidi" w:cstheme="majorBidi"/>
          <w:vertAlign w:val="superscript"/>
        </w:rPr>
        <w:t>st</w:t>
      </w:r>
      <w:r w:rsidR="00527EF9">
        <w:rPr>
          <w:rFonts w:asciiTheme="majorBidi" w:hAnsiTheme="majorBidi" w:cstheme="majorBidi"/>
        </w:rPr>
        <w:t xml:space="preserve"> ed</w:t>
      </w:r>
      <w:r w:rsidRPr="00050DAE">
        <w:rPr>
          <w:rFonts w:asciiTheme="majorBidi" w:hAnsiTheme="majorBidi" w:cstheme="majorBidi"/>
        </w:rPr>
        <w:t>. New York, NY USA: Harper Perennial.</w:t>
      </w:r>
    </w:p>
    <w:p w14:paraId="5C308664" w14:textId="0E499F26" w:rsidR="00014F8D" w:rsidRPr="00050DAE" w:rsidRDefault="00014F8D" w:rsidP="00C85304">
      <w:pPr>
        <w:pStyle w:val="Bibliography"/>
        <w:rPr>
          <w:rFonts w:asciiTheme="majorBidi" w:hAnsiTheme="majorBidi" w:cstheme="majorBidi"/>
        </w:rPr>
      </w:pPr>
      <w:r w:rsidRPr="00050DAE">
        <w:rPr>
          <w:rFonts w:asciiTheme="majorBidi" w:hAnsiTheme="majorBidi" w:cstheme="majorBidi"/>
        </w:rPr>
        <w:t xml:space="preserve">WYATT, N., 1998. </w:t>
      </w:r>
      <w:r w:rsidRPr="00050DAE">
        <w:rPr>
          <w:rFonts w:asciiTheme="majorBidi" w:hAnsiTheme="majorBidi" w:cstheme="majorBidi"/>
          <w:i/>
          <w:iCs/>
        </w:rPr>
        <w:t>Religious Texts from Ugarit: The Words of Ilimilku and His Colleagues</w:t>
      </w:r>
      <w:r w:rsidRPr="00050DAE">
        <w:rPr>
          <w:rFonts w:asciiTheme="majorBidi" w:hAnsiTheme="majorBidi" w:cstheme="majorBidi"/>
        </w:rPr>
        <w:t xml:space="preserve">. </w:t>
      </w:r>
      <w:r w:rsidR="00527EF9">
        <w:rPr>
          <w:rFonts w:asciiTheme="majorBidi" w:hAnsiTheme="majorBidi" w:cstheme="majorBidi"/>
        </w:rPr>
        <w:t>1</w:t>
      </w:r>
      <w:r w:rsidR="00527EF9" w:rsidRPr="00527EF9">
        <w:rPr>
          <w:rFonts w:asciiTheme="majorBidi" w:hAnsiTheme="majorBidi" w:cstheme="majorBidi"/>
          <w:vertAlign w:val="superscript"/>
        </w:rPr>
        <w:t>st</w:t>
      </w:r>
      <w:r w:rsidR="00527EF9">
        <w:rPr>
          <w:rFonts w:asciiTheme="majorBidi" w:hAnsiTheme="majorBidi" w:cstheme="majorBidi"/>
        </w:rPr>
        <w:t xml:space="preserve"> ed</w:t>
      </w:r>
      <w:r w:rsidRPr="00050DAE">
        <w:rPr>
          <w:rFonts w:asciiTheme="majorBidi" w:hAnsiTheme="majorBidi" w:cstheme="majorBidi"/>
        </w:rPr>
        <w:t>. Sheffield, UK: Sheffield Academic Press.</w:t>
      </w:r>
    </w:p>
    <w:p w14:paraId="4CA0A177" w14:textId="77777777" w:rsidR="00014F8D" w:rsidRPr="00050DAE" w:rsidRDefault="00014F8D">
      <w:pPr>
        <w:rPr>
          <w:rFonts w:asciiTheme="majorBidi" w:hAnsiTheme="majorBidi" w:cstheme="majorBidi"/>
        </w:rPr>
      </w:pPr>
      <w:r w:rsidRPr="00050DAE">
        <w:rPr>
          <w:rFonts w:asciiTheme="majorBidi" w:hAnsiTheme="majorBidi" w:cstheme="majorBidi"/>
        </w:rPr>
        <w:br w:type="page"/>
      </w:r>
    </w:p>
    <w:p w14:paraId="495F24BA" w14:textId="77777777" w:rsidR="00014F8D" w:rsidRPr="00050DAE" w:rsidRDefault="00014F8D" w:rsidP="005F508B">
      <w:pPr>
        <w:pStyle w:val="Heading2"/>
        <w:rPr>
          <w:rFonts w:asciiTheme="majorBidi" w:hAnsiTheme="majorBidi"/>
        </w:rPr>
      </w:pPr>
      <w:bookmarkStart w:id="231" w:name="_Toc234154357"/>
      <w:r w:rsidRPr="00050DAE">
        <w:rPr>
          <w:rFonts w:asciiTheme="majorBidi" w:hAnsiTheme="majorBidi"/>
        </w:rPr>
        <w:t>Secondary</w:t>
      </w:r>
      <w:bookmarkEnd w:id="231"/>
    </w:p>
    <w:p w14:paraId="6210CCE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ABUSCH, T., 2001. ‘The Development and Meaning of the Epic of Gilgamesh: An Interpretive Essay.’ </w:t>
      </w:r>
      <w:r w:rsidRPr="00050DAE">
        <w:rPr>
          <w:rFonts w:asciiTheme="majorBidi" w:hAnsiTheme="majorBidi" w:cstheme="majorBidi"/>
          <w:i/>
          <w:iCs/>
        </w:rPr>
        <w:t>Journal of the American Oriental Society</w:t>
      </w:r>
      <w:r w:rsidRPr="00050DAE">
        <w:rPr>
          <w:rFonts w:asciiTheme="majorBidi" w:hAnsiTheme="majorBidi" w:cstheme="majorBidi"/>
        </w:rPr>
        <w:t>, 121(4).</w:t>
      </w:r>
    </w:p>
    <w:p w14:paraId="3990E7B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ABUSCH, T., 1986. ‘Ištar’s Proposal and Gilgamesh’s Refusal: An Interpretation of ‘The Gilgamesh Epic’, Tablet 6, Lines 1-79.’ </w:t>
      </w:r>
      <w:r w:rsidRPr="00050DAE">
        <w:rPr>
          <w:rFonts w:asciiTheme="majorBidi" w:hAnsiTheme="majorBidi" w:cstheme="majorBidi"/>
          <w:i/>
          <w:iCs/>
        </w:rPr>
        <w:t>History of Religions</w:t>
      </w:r>
      <w:r w:rsidRPr="00050DAE">
        <w:rPr>
          <w:rFonts w:asciiTheme="majorBidi" w:hAnsiTheme="majorBidi" w:cstheme="majorBidi"/>
        </w:rPr>
        <w:t>, 26(2).</w:t>
      </w:r>
    </w:p>
    <w:p w14:paraId="0716741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ACKERMAN, J.S., 1975. ‘Prophecy and Warfare in Early Israel: A Study of the Deborah-Barak Story.’ </w:t>
      </w:r>
      <w:r w:rsidRPr="00050DAE">
        <w:rPr>
          <w:rFonts w:asciiTheme="majorBidi" w:hAnsiTheme="majorBidi" w:cstheme="majorBidi"/>
          <w:i/>
          <w:iCs/>
        </w:rPr>
        <w:t>Bulletin of the American Schools of Oriental Research</w:t>
      </w:r>
      <w:r w:rsidRPr="00050DAE">
        <w:rPr>
          <w:rFonts w:asciiTheme="majorBidi" w:hAnsiTheme="majorBidi" w:cstheme="majorBidi"/>
        </w:rPr>
        <w:t>, (220).</w:t>
      </w:r>
    </w:p>
    <w:p w14:paraId="0370153C"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AKULOV, A., 2023. ‘Some thoughts on the original name of Inanna.’ </w:t>
      </w:r>
      <w:r w:rsidRPr="00050DAE">
        <w:rPr>
          <w:rFonts w:asciiTheme="majorBidi" w:hAnsiTheme="majorBidi" w:cstheme="majorBidi"/>
          <w:i/>
          <w:iCs/>
        </w:rPr>
        <w:t>CAES</w:t>
      </w:r>
      <w:r w:rsidRPr="00050DAE">
        <w:rPr>
          <w:rFonts w:asciiTheme="majorBidi" w:hAnsiTheme="majorBidi" w:cstheme="majorBidi"/>
        </w:rPr>
        <w:t>, 9(4).</w:t>
      </w:r>
    </w:p>
    <w:p w14:paraId="7DEB5CD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ALBENDA, P., 1983. ‘Western Asiatic Women in the Iron Age: Their Image Revealed.’ </w:t>
      </w:r>
      <w:r w:rsidRPr="00050DAE">
        <w:rPr>
          <w:rFonts w:asciiTheme="majorBidi" w:hAnsiTheme="majorBidi" w:cstheme="majorBidi"/>
          <w:i/>
          <w:iCs/>
        </w:rPr>
        <w:t>The Biblical Archaeologist</w:t>
      </w:r>
      <w:r w:rsidRPr="00050DAE">
        <w:rPr>
          <w:rFonts w:asciiTheme="majorBidi" w:hAnsiTheme="majorBidi" w:cstheme="majorBidi"/>
        </w:rPr>
        <w:t>, 46(2).</w:t>
      </w:r>
    </w:p>
    <w:p w14:paraId="495566DE" w14:textId="38AB6699"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ALBRIGHT, W.F., 1942. </w:t>
      </w:r>
      <w:r w:rsidRPr="00050DAE">
        <w:rPr>
          <w:rFonts w:asciiTheme="majorBidi" w:hAnsiTheme="majorBidi" w:cstheme="majorBidi"/>
          <w:i/>
          <w:iCs/>
        </w:rPr>
        <w:t>Archaeology of the Religion of Israel</w:t>
      </w:r>
      <w:r w:rsidRPr="00050DAE">
        <w:rPr>
          <w:rFonts w:asciiTheme="majorBidi" w:hAnsiTheme="majorBidi" w:cstheme="majorBidi"/>
        </w:rPr>
        <w:t xml:space="preserve">. 1956 </w:t>
      </w:r>
      <w:r w:rsidR="00527EF9">
        <w:rPr>
          <w:rFonts w:asciiTheme="majorBidi" w:hAnsiTheme="majorBidi" w:cstheme="majorBidi"/>
        </w:rPr>
        <w:t>4</w:t>
      </w:r>
      <w:r w:rsidR="00527EF9" w:rsidRPr="00527EF9">
        <w:rPr>
          <w:rFonts w:asciiTheme="majorBidi" w:hAnsiTheme="majorBidi" w:cstheme="majorBidi"/>
          <w:vertAlign w:val="superscript"/>
        </w:rPr>
        <w:t>th</w:t>
      </w:r>
      <w:r w:rsidR="00527EF9">
        <w:rPr>
          <w:rFonts w:asciiTheme="majorBidi" w:hAnsiTheme="majorBidi" w:cstheme="majorBidi"/>
        </w:rPr>
        <w:t xml:space="preserve"> ed</w:t>
      </w:r>
      <w:r w:rsidRPr="00050DAE">
        <w:rPr>
          <w:rFonts w:asciiTheme="majorBidi" w:hAnsiTheme="majorBidi" w:cstheme="majorBidi"/>
        </w:rPr>
        <w:t>. Baltimore MD USA: John Hopkins Press.</w:t>
      </w:r>
    </w:p>
    <w:p w14:paraId="6C58267E"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ALBRIGHT, W.F., 1925a. ‘Further Observations on the Name Anat-Attah.’ </w:t>
      </w:r>
      <w:r w:rsidRPr="00050DAE">
        <w:rPr>
          <w:rFonts w:asciiTheme="majorBidi" w:hAnsiTheme="majorBidi" w:cstheme="majorBidi"/>
          <w:i/>
          <w:iCs/>
        </w:rPr>
        <w:t>The American Journal of Semitic Languages and Literatures</w:t>
      </w:r>
      <w:r w:rsidRPr="00050DAE">
        <w:rPr>
          <w:rFonts w:asciiTheme="majorBidi" w:hAnsiTheme="majorBidi" w:cstheme="majorBidi"/>
        </w:rPr>
        <w:t>, 41(4).</w:t>
      </w:r>
    </w:p>
    <w:p w14:paraId="0CC9936E"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ALBRIGHT, W.F., 1925b. ‘The Evolution of the West-Semitic Divinity An-Anat-Attâ’. </w:t>
      </w:r>
      <w:r w:rsidRPr="00050DAE">
        <w:rPr>
          <w:rFonts w:asciiTheme="majorBidi" w:hAnsiTheme="majorBidi" w:cstheme="majorBidi"/>
          <w:i/>
          <w:iCs/>
        </w:rPr>
        <w:t>The American Journal of Semitic Languages and Literatures</w:t>
      </w:r>
      <w:r w:rsidRPr="00050DAE">
        <w:rPr>
          <w:rFonts w:asciiTheme="majorBidi" w:hAnsiTheme="majorBidi" w:cstheme="majorBidi"/>
        </w:rPr>
        <w:t>.</w:t>
      </w:r>
    </w:p>
    <w:p w14:paraId="2C29ACEB"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AL-KHAMIS, U., 1990. ‘The Iconography of Early Islamic Lusterware from Mesopotamia: New Considerations.’ </w:t>
      </w:r>
      <w:r w:rsidRPr="00050DAE">
        <w:rPr>
          <w:rFonts w:asciiTheme="majorBidi" w:hAnsiTheme="majorBidi" w:cstheme="majorBidi"/>
          <w:i/>
          <w:iCs/>
        </w:rPr>
        <w:t>Muqarnas</w:t>
      </w:r>
      <w:r w:rsidRPr="00050DAE">
        <w:rPr>
          <w:rFonts w:asciiTheme="majorBidi" w:hAnsiTheme="majorBidi" w:cstheme="majorBidi"/>
        </w:rPr>
        <w:t>, 7.</w:t>
      </w:r>
    </w:p>
    <w:p w14:paraId="55DB7190" w14:textId="77777777" w:rsidR="00014F8D" w:rsidRPr="00050DAE" w:rsidRDefault="00014F8D" w:rsidP="004237EE">
      <w:pPr>
        <w:pStyle w:val="Bibliography"/>
        <w:rPr>
          <w:rFonts w:asciiTheme="majorBidi" w:hAnsiTheme="majorBidi" w:cstheme="majorBidi"/>
        </w:rPr>
      </w:pPr>
      <w:r w:rsidRPr="00050DAE">
        <w:rPr>
          <w:rFonts w:asciiTheme="majorBidi" w:hAnsiTheme="majorBidi" w:cstheme="majorBidi"/>
        </w:rPr>
        <w:t xml:space="preserve">ALLAN, W., 2006. ‘Divine Justice and Cosmic Order in Early Greek Epic.’ </w:t>
      </w:r>
      <w:r w:rsidRPr="00050DAE">
        <w:rPr>
          <w:rFonts w:asciiTheme="majorBidi" w:hAnsiTheme="majorBidi" w:cstheme="majorBidi"/>
          <w:i/>
          <w:iCs/>
        </w:rPr>
        <w:t>The Journal of Hellenic Studies</w:t>
      </w:r>
      <w:r w:rsidRPr="00050DAE">
        <w:rPr>
          <w:rFonts w:asciiTheme="majorBidi" w:hAnsiTheme="majorBidi" w:cstheme="majorBidi"/>
        </w:rPr>
        <w:t>, 126, pp. 1–35.</w:t>
      </w:r>
    </w:p>
    <w:p w14:paraId="5EA0720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ALTAWEEL, M., SQUITIERI, A., ECKMEIER, E., GARZANTI, E. and RADNER, K., 2026. ‘The sand deposit underneath the Ištar Temple in Assur, Iraq: Origin and implications for the foundation of the goddess’s cult and sanctuary.’ </w:t>
      </w:r>
      <w:r w:rsidRPr="00050DAE">
        <w:rPr>
          <w:rFonts w:asciiTheme="majorBidi" w:hAnsiTheme="majorBidi" w:cstheme="majorBidi"/>
          <w:i/>
          <w:iCs/>
        </w:rPr>
        <w:t>Journal of Archaeological Science: Reports</w:t>
      </w:r>
      <w:r w:rsidRPr="00050DAE">
        <w:rPr>
          <w:rFonts w:asciiTheme="majorBidi" w:hAnsiTheme="majorBidi" w:cstheme="majorBidi"/>
        </w:rPr>
        <w:t>, 69.</w:t>
      </w:r>
    </w:p>
    <w:p w14:paraId="4C42A89E"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ANTHONIOZ, S., 2014. ‘Astarte in the Bible and her Relation to Asherah.’ In: D.T. SUGIMOTO, ed, </w:t>
      </w:r>
      <w:r w:rsidRPr="00050DAE">
        <w:rPr>
          <w:rFonts w:asciiTheme="majorBidi" w:hAnsiTheme="majorBidi" w:cstheme="majorBidi"/>
          <w:i/>
          <w:iCs/>
        </w:rPr>
        <w:t>Transformation of a Goddess: Ištar-Astarte-Aphrodite</w:t>
      </w:r>
      <w:r w:rsidRPr="00050DAE">
        <w:rPr>
          <w:rFonts w:asciiTheme="majorBidi" w:hAnsiTheme="majorBidi" w:cstheme="majorBidi"/>
        </w:rPr>
        <w:t>. Fribourg, CH: Academic Press Fribourg.</w:t>
      </w:r>
    </w:p>
    <w:p w14:paraId="344B92D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ASHER-GREVE, J.M. and WESTENHOLZ, J.G., 2013. </w:t>
      </w:r>
      <w:r w:rsidRPr="00050DAE">
        <w:rPr>
          <w:rFonts w:asciiTheme="majorBidi" w:hAnsiTheme="majorBidi" w:cstheme="majorBidi"/>
          <w:i/>
          <w:iCs/>
        </w:rPr>
        <w:t>Goddesses in context: on divine powers, roles, relationships and gender in Mesopotamian textual and visual sources</w:t>
      </w:r>
      <w:r w:rsidRPr="00050DAE">
        <w:rPr>
          <w:rFonts w:asciiTheme="majorBidi" w:hAnsiTheme="majorBidi" w:cstheme="majorBidi"/>
        </w:rPr>
        <w:t>. Fribourg, CH: Academic Press Fribourg.</w:t>
      </w:r>
    </w:p>
    <w:p w14:paraId="524CE2A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BÄR, J., 2003. ‘Sumerians, Gutians and Hurrians at Ashur? A Re-Examination of Ištar Temples G and F.’ </w:t>
      </w:r>
      <w:r w:rsidRPr="00050DAE">
        <w:rPr>
          <w:rFonts w:asciiTheme="majorBidi" w:hAnsiTheme="majorBidi" w:cstheme="majorBidi"/>
          <w:i/>
          <w:iCs/>
        </w:rPr>
        <w:t>Iraq</w:t>
      </w:r>
      <w:r w:rsidRPr="00050DAE">
        <w:rPr>
          <w:rFonts w:asciiTheme="majorBidi" w:hAnsiTheme="majorBidi" w:cstheme="majorBidi"/>
        </w:rPr>
        <w:t>, 65.</w:t>
      </w:r>
    </w:p>
    <w:p w14:paraId="6A9EE785"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BEACH, E.F., 1992. ‘The Samaria Ivories, Marzeaḥ and Biblical Texts.’ </w:t>
      </w:r>
      <w:r w:rsidRPr="00050DAE">
        <w:rPr>
          <w:rFonts w:asciiTheme="majorBidi" w:hAnsiTheme="majorBidi" w:cstheme="majorBidi"/>
          <w:i/>
          <w:iCs/>
        </w:rPr>
        <w:t>The Biblical Archaeologist</w:t>
      </w:r>
      <w:r w:rsidRPr="00050DAE">
        <w:rPr>
          <w:rFonts w:asciiTheme="majorBidi" w:hAnsiTheme="majorBidi" w:cstheme="majorBidi"/>
        </w:rPr>
        <w:t>, 55(3).</w:t>
      </w:r>
    </w:p>
    <w:p w14:paraId="6D24B98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BEEKES, R. and VAN BEEK, L., 2010. </w:t>
      </w:r>
      <w:r w:rsidRPr="00050DAE">
        <w:rPr>
          <w:rFonts w:asciiTheme="majorBidi" w:hAnsiTheme="majorBidi" w:cstheme="majorBidi"/>
          <w:i/>
          <w:iCs/>
        </w:rPr>
        <w:t>Etymological Dictionary of Greek</w:t>
      </w:r>
      <w:r w:rsidRPr="00050DAE">
        <w:rPr>
          <w:rFonts w:asciiTheme="majorBidi" w:hAnsiTheme="majorBidi" w:cstheme="majorBidi"/>
        </w:rPr>
        <w:t>. Leiden, Netherlands: Brill.</w:t>
      </w:r>
    </w:p>
    <w:p w14:paraId="34EE2C3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BONFANTE, L., 1989. ‘Nudity as a Costume in Classical Art.’ </w:t>
      </w:r>
      <w:r w:rsidRPr="00050DAE">
        <w:rPr>
          <w:rFonts w:asciiTheme="majorBidi" w:hAnsiTheme="majorBidi" w:cstheme="majorBidi"/>
          <w:i/>
          <w:iCs/>
        </w:rPr>
        <w:t>American Journal of Archaeology</w:t>
      </w:r>
      <w:r w:rsidRPr="00050DAE">
        <w:rPr>
          <w:rFonts w:asciiTheme="majorBidi" w:hAnsiTheme="majorBidi" w:cstheme="majorBidi"/>
        </w:rPr>
        <w:t>, 93(4).</w:t>
      </w:r>
    </w:p>
    <w:p w14:paraId="3022E81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BROWNSMITH, E., 2020. ‘To Serve Woman: Jezebel, Anat, and the Metaphor of Women as Food.’ In: M. PALLAVIDINI and L. PORTUESE, eds, </w:t>
      </w:r>
      <w:r w:rsidRPr="00050DAE">
        <w:rPr>
          <w:rFonts w:asciiTheme="majorBidi" w:hAnsiTheme="majorBidi" w:cstheme="majorBidi"/>
          <w:i/>
          <w:iCs/>
        </w:rPr>
        <w:t>Researching Metaphor in the Ancient Near East</w:t>
      </w:r>
      <w:r w:rsidRPr="00050DAE">
        <w:rPr>
          <w:rFonts w:asciiTheme="majorBidi" w:hAnsiTheme="majorBidi" w:cstheme="majorBidi"/>
        </w:rPr>
        <w:t>. Harrassowitz Verlag.</w:t>
      </w:r>
    </w:p>
    <w:p w14:paraId="462D7C7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BUDIN, S.L., 2014. ‘Before Kypris was Aphrodite.’ In: D.T. SUGIMOTO, ed, </w:t>
      </w:r>
      <w:r w:rsidRPr="00050DAE">
        <w:rPr>
          <w:rFonts w:asciiTheme="majorBidi" w:hAnsiTheme="majorBidi" w:cstheme="majorBidi"/>
          <w:i/>
          <w:iCs/>
        </w:rPr>
        <w:t>Transformation of a Goddess: Ištar-Astarte-Aphrodite</w:t>
      </w:r>
      <w:r w:rsidRPr="00050DAE">
        <w:rPr>
          <w:rFonts w:asciiTheme="majorBidi" w:hAnsiTheme="majorBidi" w:cstheme="majorBidi"/>
        </w:rPr>
        <w:t>. Fribourg, CH: Academic Press Fribourg, pp. 195-216.</w:t>
      </w:r>
    </w:p>
    <w:p w14:paraId="5A0D969C"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BUDIN, S.L., 2000. </w:t>
      </w:r>
      <w:r w:rsidRPr="00050DAE">
        <w:rPr>
          <w:rFonts w:asciiTheme="majorBidi" w:hAnsiTheme="majorBidi" w:cstheme="majorBidi"/>
          <w:i/>
          <w:iCs/>
        </w:rPr>
        <w:t>The origins of Aphrodite</w:t>
      </w:r>
      <w:r w:rsidRPr="00050DAE">
        <w:rPr>
          <w:rFonts w:asciiTheme="majorBidi" w:hAnsiTheme="majorBidi" w:cstheme="majorBidi"/>
        </w:rPr>
        <w:t>, University of Pennsylvania.</w:t>
      </w:r>
    </w:p>
    <w:p w14:paraId="5657B84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BURKERT, W., 1987. </w:t>
      </w:r>
      <w:r w:rsidRPr="00050DAE">
        <w:rPr>
          <w:rFonts w:asciiTheme="majorBidi" w:hAnsiTheme="majorBidi" w:cstheme="majorBidi"/>
          <w:i/>
          <w:iCs/>
        </w:rPr>
        <w:t>Ancient Mystery Cults</w:t>
      </w:r>
      <w:r w:rsidRPr="00050DAE">
        <w:rPr>
          <w:rFonts w:asciiTheme="majorBidi" w:hAnsiTheme="majorBidi" w:cstheme="majorBidi"/>
        </w:rPr>
        <w:t>. Cambridge, MA: Harvard University Press.</w:t>
      </w:r>
    </w:p>
    <w:p w14:paraId="7E45ABA5" w14:textId="77777777" w:rsidR="00014F8D" w:rsidRPr="00050DAE" w:rsidRDefault="00014F8D" w:rsidP="00AC567B">
      <w:pPr>
        <w:pStyle w:val="Bibliography"/>
        <w:rPr>
          <w:rFonts w:asciiTheme="majorBidi" w:hAnsiTheme="majorBidi" w:cstheme="majorBidi"/>
        </w:rPr>
      </w:pPr>
      <w:r w:rsidRPr="00050DAE">
        <w:rPr>
          <w:rFonts w:asciiTheme="majorBidi" w:hAnsiTheme="majorBidi" w:cstheme="majorBidi"/>
        </w:rPr>
        <w:t xml:space="preserve">DUNDES, A., 1997. ‘Binary Opposition in Myth: The Propp/Lévi-Strauss Debate in Retrospect.’ </w:t>
      </w:r>
      <w:r w:rsidRPr="00050DAE">
        <w:rPr>
          <w:rFonts w:asciiTheme="majorBidi" w:hAnsiTheme="majorBidi" w:cstheme="majorBidi"/>
          <w:i/>
          <w:iCs/>
        </w:rPr>
        <w:t>Western folklore</w:t>
      </w:r>
      <w:r w:rsidRPr="00050DAE">
        <w:rPr>
          <w:rFonts w:asciiTheme="majorBidi" w:hAnsiTheme="majorBidi" w:cstheme="majorBidi"/>
        </w:rPr>
        <w:t>, 56(1), pp. 39-50.</w:t>
      </w:r>
    </w:p>
    <w:p w14:paraId="51D6E50E"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CABRERA, R., 2018. ‘The Three Faces of Inanna: an Approach to her Polysemic Figure in her descent to the Netherworld.’ </w:t>
      </w:r>
      <w:r w:rsidRPr="00050DAE">
        <w:rPr>
          <w:rFonts w:asciiTheme="majorBidi" w:hAnsiTheme="majorBidi" w:cstheme="majorBidi"/>
          <w:i/>
          <w:iCs/>
        </w:rPr>
        <w:t>Journal of Northwest Semitic Languages</w:t>
      </w:r>
      <w:r w:rsidRPr="00050DAE">
        <w:rPr>
          <w:rFonts w:asciiTheme="majorBidi" w:hAnsiTheme="majorBidi" w:cstheme="majorBidi"/>
        </w:rPr>
        <w:t>, 44(2).</w:t>
      </w:r>
    </w:p>
    <w:p w14:paraId="3C1E3DB3"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CARVALHO, A.G. and DA SILVA, I.V., 2023. ‘Enheduana: A Feminine Key to the Reinforcement of Akkadian Power in Sumer.’ </w:t>
      </w:r>
      <w:r w:rsidRPr="00050DAE">
        <w:rPr>
          <w:rFonts w:asciiTheme="majorBidi" w:hAnsiTheme="majorBidi" w:cstheme="majorBidi"/>
          <w:i/>
          <w:iCs/>
        </w:rPr>
        <w:t>Heródoto : revista do Grupo de Estudos e Pesquisas sobre a Antiguidade Clássica e suas Conexões Afro-Asiáticas</w:t>
      </w:r>
      <w:r w:rsidRPr="00050DAE">
        <w:rPr>
          <w:rFonts w:asciiTheme="majorBidi" w:hAnsiTheme="majorBidi" w:cstheme="majorBidi"/>
        </w:rPr>
        <w:t>, 8(1).</w:t>
      </w:r>
    </w:p>
    <w:p w14:paraId="6F31E047"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CHOZA, J., 2025. ‘The Feminine Sacred: An Ontosociology of Woman as a Symbol.’ </w:t>
      </w:r>
      <w:r w:rsidRPr="00050DAE">
        <w:rPr>
          <w:rFonts w:asciiTheme="majorBidi" w:hAnsiTheme="majorBidi" w:cstheme="majorBidi"/>
          <w:i/>
          <w:iCs/>
        </w:rPr>
        <w:t>Religions</w:t>
      </w:r>
      <w:r w:rsidRPr="00050DAE">
        <w:rPr>
          <w:rFonts w:asciiTheme="majorBidi" w:hAnsiTheme="majorBidi" w:cstheme="majorBidi"/>
        </w:rPr>
        <w:t>, 16(4).</w:t>
      </w:r>
    </w:p>
    <w:p w14:paraId="67760558"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CLINTON, K., 2003. ‘Stages of initiation in the Eleusinian and Samothracian mysteries.’ In: M.B. COSMOPOULOS, ed, </w:t>
      </w:r>
      <w:r w:rsidRPr="00050DAE">
        <w:rPr>
          <w:rFonts w:asciiTheme="majorBidi" w:hAnsiTheme="majorBidi" w:cstheme="majorBidi"/>
          <w:i/>
          <w:iCs/>
        </w:rPr>
        <w:t>Greek Mysteries: The Archaeology and Ritual of Ancient Greek Secret Cults</w:t>
      </w:r>
      <w:r w:rsidRPr="00050DAE">
        <w:rPr>
          <w:rFonts w:asciiTheme="majorBidi" w:hAnsiTheme="majorBidi" w:cstheme="majorBidi"/>
        </w:rPr>
        <w:t>. London: Routledge.</w:t>
      </w:r>
    </w:p>
    <w:p w14:paraId="35B7DD0E"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CLINTON, K., 1992. </w:t>
      </w:r>
      <w:r w:rsidRPr="00050DAE">
        <w:rPr>
          <w:rFonts w:asciiTheme="majorBidi" w:hAnsiTheme="majorBidi" w:cstheme="majorBidi"/>
          <w:i/>
          <w:iCs/>
        </w:rPr>
        <w:t>Myth and Cult: The iconography of the Eleusinian mysteries: the Martin P. Nilsson lectures on Greek religion, delivered 19-21 November 1990 at the Swedish Institute at Athens</w:t>
      </w:r>
      <w:r w:rsidRPr="00050DAE">
        <w:rPr>
          <w:rFonts w:asciiTheme="majorBidi" w:hAnsiTheme="majorBidi" w:cstheme="majorBidi"/>
        </w:rPr>
        <w:t>. Stockholm, Sweden: Svenska institutet i Athen.</w:t>
      </w:r>
    </w:p>
    <w:p w14:paraId="69A844F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CORNELIUS, I., 2014. ‘“Revisiting” Astarte in the Iconography of the Bronze Age Levant.’ In: D.T. SUGIMOTO, ed, </w:t>
      </w:r>
      <w:r w:rsidRPr="00050DAE">
        <w:rPr>
          <w:rFonts w:asciiTheme="majorBidi" w:hAnsiTheme="majorBidi" w:cstheme="majorBidi"/>
          <w:i/>
          <w:iCs/>
        </w:rPr>
        <w:t>Transformation of a Goddess: Ištar-Astarte-Aphrodite</w:t>
      </w:r>
      <w:r w:rsidRPr="00050DAE">
        <w:rPr>
          <w:rFonts w:asciiTheme="majorBidi" w:hAnsiTheme="majorBidi" w:cstheme="majorBidi"/>
        </w:rPr>
        <w:t>. Fribourg, CH: Academic Press Fribourg.</w:t>
      </w:r>
    </w:p>
    <w:p w14:paraId="776B951E" w14:textId="77777777" w:rsidR="00014F8D" w:rsidRPr="00050DAE" w:rsidRDefault="00014F8D" w:rsidP="004237EE">
      <w:pPr>
        <w:pStyle w:val="Bibliography"/>
        <w:rPr>
          <w:rFonts w:asciiTheme="majorBidi" w:hAnsiTheme="majorBidi" w:cstheme="majorBidi"/>
        </w:rPr>
      </w:pPr>
      <w:r w:rsidRPr="00050DAE">
        <w:rPr>
          <w:rFonts w:asciiTheme="majorBidi" w:hAnsiTheme="majorBidi" w:cstheme="majorBidi"/>
        </w:rPr>
        <w:t xml:space="preserve">CORNELLI, G., 2016. Aristotle and the Pythagorean Myths of Metempsychosis. </w:t>
      </w:r>
      <w:r w:rsidRPr="00050DAE">
        <w:rPr>
          <w:rFonts w:asciiTheme="majorBidi" w:hAnsiTheme="majorBidi" w:cstheme="majorBidi"/>
          <w:i/>
          <w:iCs/>
        </w:rPr>
        <w:t>Méthexis</w:t>
      </w:r>
      <w:r w:rsidRPr="00050DAE">
        <w:rPr>
          <w:rFonts w:asciiTheme="majorBidi" w:hAnsiTheme="majorBidi" w:cstheme="majorBidi"/>
        </w:rPr>
        <w:t>, 28(1), pp. 1–13.</w:t>
      </w:r>
    </w:p>
    <w:p w14:paraId="75449FB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COSMOPOULOS, M. B, 2003. </w:t>
      </w:r>
      <w:r w:rsidRPr="00050DAE">
        <w:rPr>
          <w:rFonts w:asciiTheme="majorBidi" w:hAnsiTheme="majorBidi" w:cstheme="majorBidi"/>
          <w:i/>
          <w:iCs/>
        </w:rPr>
        <w:t>Greek Mysteries: The Archaeology and Ritual of Ancient Greek Secret Cults</w:t>
      </w:r>
      <w:r w:rsidRPr="00050DAE">
        <w:rPr>
          <w:rFonts w:asciiTheme="majorBidi" w:hAnsiTheme="majorBidi" w:cstheme="majorBidi"/>
        </w:rPr>
        <w:t>. New York, NY USA: Routledge.</w:t>
      </w:r>
    </w:p>
    <w:p w14:paraId="64B077E9" w14:textId="228BBF9E"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COTTERELL, A., 1997. </w:t>
      </w:r>
      <w:r w:rsidRPr="00050DAE">
        <w:rPr>
          <w:rFonts w:asciiTheme="majorBidi" w:hAnsiTheme="majorBidi" w:cstheme="majorBidi"/>
          <w:i/>
          <w:iCs/>
        </w:rPr>
        <w:t>A Dictionary of World Mythology</w:t>
      </w:r>
      <w:r w:rsidRPr="00050DAE">
        <w:rPr>
          <w:rFonts w:asciiTheme="majorBidi" w:hAnsiTheme="majorBidi" w:cstheme="majorBidi"/>
        </w:rPr>
        <w:t>. New ed., revised and expanded ed.</w:t>
      </w:r>
    </w:p>
    <w:p w14:paraId="60F521A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DALLEY, S., 1989. </w:t>
      </w:r>
      <w:r w:rsidRPr="00050DAE">
        <w:rPr>
          <w:rFonts w:asciiTheme="majorBidi" w:hAnsiTheme="majorBidi" w:cstheme="majorBidi"/>
          <w:i/>
          <w:iCs/>
        </w:rPr>
        <w:t>Myths from Mesopotamia: Creation, the Flood, Gilgamesh, and Others</w:t>
      </w:r>
      <w:r w:rsidRPr="00050DAE">
        <w:rPr>
          <w:rFonts w:asciiTheme="majorBidi" w:hAnsiTheme="majorBidi" w:cstheme="majorBidi"/>
        </w:rPr>
        <w:t>. Oxford, UK: Oxford University Press.</w:t>
      </w:r>
    </w:p>
    <w:p w14:paraId="3718CEBF"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DAY, P.L., 1995. ‘Anat.’ In: K. VAN DER TOORN, B. BECKING and P.W. VAN DER HORST, eds, </w:t>
      </w:r>
      <w:r w:rsidRPr="00050DAE">
        <w:rPr>
          <w:rFonts w:asciiTheme="majorBidi" w:hAnsiTheme="majorBidi" w:cstheme="majorBidi"/>
          <w:i/>
          <w:iCs/>
        </w:rPr>
        <w:t>Dictionary Of Deities and Demons in the Bible</w:t>
      </w:r>
      <w:r w:rsidRPr="00050DAE">
        <w:rPr>
          <w:rFonts w:asciiTheme="majorBidi" w:hAnsiTheme="majorBidi" w:cstheme="majorBidi"/>
        </w:rPr>
        <w:t>. Leiden, The Netherlands: Brill.</w:t>
      </w:r>
    </w:p>
    <w:p w14:paraId="4DC04F6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DAY, P.L., 1992. Anat: Ugarit’s “Mistress of Animals”. Journal of Near Eastern Studies, 51(3).</w:t>
      </w:r>
    </w:p>
    <w:p w14:paraId="65B1F57B"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DRILLINGS, R., 2025. “The Many Faces of Dumuzi”. State University of New York New Paltz.</w:t>
      </w:r>
    </w:p>
    <w:p w14:paraId="77236731"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FELIU, L., 2003. </w:t>
      </w:r>
      <w:r w:rsidRPr="00050DAE">
        <w:rPr>
          <w:rFonts w:asciiTheme="majorBidi" w:hAnsiTheme="majorBidi" w:cstheme="majorBidi"/>
          <w:i/>
          <w:iCs/>
        </w:rPr>
        <w:t>The God Dagan in Bronze Age Syria</w:t>
      </w:r>
      <w:r w:rsidRPr="00050DAE">
        <w:rPr>
          <w:rFonts w:asciiTheme="majorBidi" w:hAnsiTheme="majorBidi" w:cstheme="majorBidi"/>
        </w:rPr>
        <w:t>. Leiden: Brill.</w:t>
      </w:r>
    </w:p>
    <w:p w14:paraId="243AB824" w14:textId="057372A5"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GADOTTI, A., 2006. ‘Gilgameš, Gudam, and the Singer in Sumerian Literature.’ In: P. MICHALOWSKI and N. VELDHUIS, eds, </w:t>
      </w:r>
      <w:r w:rsidRPr="00050DAE">
        <w:rPr>
          <w:rFonts w:asciiTheme="majorBidi" w:hAnsiTheme="majorBidi" w:cstheme="majorBidi"/>
          <w:i/>
          <w:iCs/>
        </w:rPr>
        <w:t>Approaches to Sumerian Literature</w:t>
      </w:r>
      <w:r w:rsidRPr="00050DAE">
        <w:rPr>
          <w:rFonts w:asciiTheme="majorBidi" w:hAnsiTheme="majorBidi" w:cstheme="majorBidi"/>
        </w:rPr>
        <w:t xml:space="preserve">. </w:t>
      </w:r>
      <w:r w:rsidR="00527EF9">
        <w:rPr>
          <w:rFonts w:asciiTheme="majorBidi" w:hAnsiTheme="majorBidi" w:cstheme="majorBidi"/>
        </w:rPr>
        <w:t>1</w:t>
      </w:r>
      <w:r w:rsidR="00527EF9" w:rsidRPr="00527EF9">
        <w:rPr>
          <w:rFonts w:asciiTheme="majorBidi" w:hAnsiTheme="majorBidi" w:cstheme="majorBidi"/>
          <w:vertAlign w:val="superscript"/>
        </w:rPr>
        <w:t>st</w:t>
      </w:r>
      <w:r w:rsidR="00527EF9">
        <w:rPr>
          <w:rFonts w:asciiTheme="majorBidi" w:hAnsiTheme="majorBidi" w:cstheme="majorBidi"/>
        </w:rPr>
        <w:t xml:space="preserve"> ed</w:t>
      </w:r>
      <w:r w:rsidRPr="00050DAE">
        <w:rPr>
          <w:rFonts w:asciiTheme="majorBidi" w:hAnsiTheme="majorBidi" w:cstheme="majorBidi"/>
        </w:rPr>
        <w:t>. Boston: Brill.</w:t>
      </w:r>
    </w:p>
    <w:p w14:paraId="7BB701EF"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GARLAND, R., 1985. </w:t>
      </w:r>
      <w:r w:rsidRPr="00050DAE">
        <w:rPr>
          <w:rFonts w:asciiTheme="majorBidi" w:hAnsiTheme="majorBidi" w:cstheme="majorBidi"/>
          <w:i/>
          <w:iCs/>
        </w:rPr>
        <w:t>The Greek Way of Death</w:t>
      </w:r>
      <w:r w:rsidRPr="00050DAE">
        <w:rPr>
          <w:rFonts w:asciiTheme="majorBidi" w:hAnsiTheme="majorBidi" w:cstheme="majorBidi"/>
        </w:rPr>
        <w:t>. Ithaca, NY USA: Cornell University Press.</w:t>
      </w:r>
    </w:p>
    <w:p w14:paraId="36D22B41" w14:textId="423637EF"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GASPARRO, G.S., 2005. ‘Demeter and Persephone.’ In: L. JONES, ed, </w:t>
      </w:r>
      <w:r w:rsidRPr="00050DAE">
        <w:rPr>
          <w:rFonts w:asciiTheme="majorBidi" w:hAnsiTheme="majorBidi" w:cstheme="majorBidi"/>
          <w:i/>
          <w:iCs/>
        </w:rPr>
        <w:t>Encyclopedia of Religion</w:t>
      </w:r>
      <w:r w:rsidRPr="00050DAE">
        <w:rPr>
          <w:rFonts w:asciiTheme="majorBidi" w:hAnsiTheme="majorBidi" w:cstheme="majorBidi"/>
        </w:rPr>
        <w:t>. 2nd ed. Detroit, MI: Macmillan Reference USA.</w:t>
      </w:r>
    </w:p>
    <w:p w14:paraId="37D23927"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GRAF, F., 2017. ‘Myth and Ritual.’ In: S.I. JOHNSTON, ed, </w:t>
      </w:r>
      <w:r w:rsidRPr="00050DAE">
        <w:rPr>
          <w:rFonts w:asciiTheme="majorBidi" w:hAnsiTheme="majorBidi" w:cstheme="majorBidi"/>
          <w:i/>
          <w:iCs/>
        </w:rPr>
        <w:t>Religion: Narrating Religion.</w:t>
      </w:r>
      <w:r w:rsidRPr="00050DAE">
        <w:rPr>
          <w:rFonts w:asciiTheme="majorBidi" w:hAnsiTheme="majorBidi" w:cstheme="majorBidi"/>
        </w:rPr>
        <w:t xml:space="preserve"> Farmington Hills, MI: Macmillan Reference USA, pp. 33-47.</w:t>
      </w:r>
    </w:p>
    <w:p w14:paraId="16E74D2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GRAF, F., 2003. ‘Lesser Mysteries - not less mysterious.’ In: M.B. COSMOPOULOS, ed, </w:t>
      </w:r>
      <w:r w:rsidRPr="00050DAE">
        <w:rPr>
          <w:rFonts w:asciiTheme="majorBidi" w:hAnsiTheme="majorBidi" w:cstheme="majorBidi"/>
          <w:i/>
          <w:iCs/>
        </w:rPr>
        <w:t>Greek Mysteries: The Archaeology of Ancient Greek Secret Cults</w:t>
      </w:r>
      <w:r w:rsidRPr="00050DAE">
        <w:rPr>
          <w:rFonts w:asciiTheme="majorBidi" w:hAnsiTheme="majorBidi" w:cstheme="majorBidi"/>
        </w:rPr>
        <w:t>. London: Routledge.</w:t>
      </w:r>
    </w:p>
    <w:p w14:paraId="4287D604"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GRAHAM, L.D., 2013. Resurrecting the Maiden: From Hades to the Grid. USA: Academia.edu. </w:t>
      </w:r>
    </w:p>
    <w:p w14:paraId="702A332A"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GRAHN, J., 2010. ‘Ecology of the Erotic in a Myth of Inanna.’ </w:t>
      </w:r>
      <w:r w:rsidRPr="00050DAE">
        <w:rPr>
          <w:rFonts w:asciiTheme="majorBidi" w:hAnsiTheme="majorBidi" w:cstheme="majorBidi"/>
          <w:i/>
          <w:iCs/>
        </w:rPr>
        <w:t>International Journal of Transpersonal Studies</w:t>
      </w:r>
      <w:r w:rsidRPr="00050DAE">
        <w:rPr>
          <w:rFonts w:asciiTheme="majorBidi" w:hAnsiTheme="majorBidi" w:cstheme="majorBidi"/>
        </w:rPr>
        <w:t>, 29(2), pp. 7.</w:t>
      </w:r>
    </w:p>
    <w:p w14:paraId="1DF9B8B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GÜL, S. and MERAL, K., 2024. ‘İnanna’dan Venüs’e, Bir Mezopotamya Tanrıçasının Değişimi.’ </w:t>
      </w:r>
      <w:r w:rsidRPr="00050DAE">
        <w:rPr>
          <w:rFonts w:asciiTheme="majorBidi" w:hAnsiTheme="majorBidi" w:cstheme="majorBidi"/>
          <w:i/>
          <w:iCs/>
        </w:rPr>
        <w:t>Current Perspectives in Social Sciences</w:t>
      </w:r>
      <w:r w:rsidRPr="00050DAE">
        <w:rPr>
          <w:rFonts w:asciiTheme="majorBidi" w:hAnsiTheme="majorBidi" w:cstheme="majorBidi"/>
        </w:rPr>
        <w:t>, 28(2).</w:t>
      </w:r>
    </w:p>
    <w:p w14:paraId="102EF71B"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GURNEY, O. R. 1962. ‘Tammuz Reconsidered: Some Recent Developments.’ </w:t>
      </w:r>
      <w:r w:rsidRPr="00050DAE">
        <w:rPr>
          <w:rFonts w:asciiTheme="majorBidi" w:hAnsiTheme="majorBidi" w:cstheme="majorBidi"/>
          <w:i/>
          <w:iCs/>
        </w:rPr>
        <w:t>Journal of Semitic Studies</w:t>
      </w:r>
      <w:r w:rsidRPr="00050DAE">
        <w:rPr>
          <w:rFonts w:asciiTheme="majorBidi" w:hAnsiTheme="majorBidi" w:cstheme="majorBidi"/>
        </w:rPr>
        <w:t>, 7(2).</w:t>
      </w:r>
    </w:p>
    <w:p w14:paraId="74CA7F0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HARRIS, R., 1991. ‘Inanna-Ištar as Paradox and a Coincidence of Opposites.’ </w:t>
      </w:r>
      <w:r w:rsidRPr="00050DAE">
        <w:rPr>
          <w:rFonts w:asciiTheme="majorBidi" w:hAnsiTheme="majorBidi" w:cstheme="majorBidi"/>
          <w:i/>
          <w:iCs/>
        </w:rPr>
        <w:t>History of Religions</w:t>
      </w:r>
      <w:r w:rsidRPr="00050DAE">
        <w:rPr>
          <w:rFonts w:asciiTheme="majorBidi" w:hAnsiTheme="majorBidi" w:cstheme="majorBidi"/>
        </w:rPr>
        <w:t>, 30(3).</w:t>
      </w:r>
    </w:p>
    <w:p w14:paraId="17772C0C"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HAUPT, P., 1907. ‘The Name Istar.’ </w:t>
      </w:r>
      <w:r w:rsidRPr="00050DAE">
        <w:rPr>
          <w:rFonts w:asciiTheme="majorBidi" w:hAnsiTheme="majorBidi" w:cstheme="majorBidi"/>
          <w:i/>
          <w:iCs/>
        </w:rPr>
        <w:t>Journal of the American Oriental Society</w:t>
      </w:r>
      <w:r w:rsidRPr="00050DAE">
        <w:rPr>
          <w:rFonts w:asciiTheme="majorBidi" w:hAnsiTheme="majorBidi" w:cstheme="majorBidi"/>
        </w:rPr>
        <w:t>, 28.</w:t>
      </w:r>
    </w:p>
    <w:p w14:paraId="51E1846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HOFFMEIER, J.K. and KITCHEN, K.A., 2007. ‘Reshep and Astarte in North Sinai: A Recently Discovered Stela from Tell El-Borg.’ </w:t>
      </w:r>
      <w:r w:rsidRPr="00050DAE">
        <w:rPr>
          <w:rFonts w:asciiTheme="majorBidi" w:hAnsiTheme="majorBidi" w:cstheme="majorBidi"/>
          <w:i/>
          <w:iCs/>
        </w:rPr>
        <w:t>Ägypten und Levante / Egypt and the Levant</w:t>
      </w:r>
      <w:r w:rsidRPr="00050DAE">
        <w:rPr>
          <w:rFonts w:asciiTheme="majorBidi" w:hAnsiTheme="majorBidi" w:cstheme="majorBidi"/>
        </w:rPr>
        <w:t>, 17.</w:t>
      </w:r>
    </w:p>
    <w:p w14:paraId="53A043AC"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HUSSER, J., 2008. La mort d’Aqhat: chasse et rites de passage à Ugarit. Revue de l’histoire des religions, 225(3).</w:t>
      </w:r>
    </w:p>
    <w:p w14:paraId="4650ED6F"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KARAHASHI, F. and LÓPEZ-RUIZ, C., 2006. ‘Love Rejected: Some Notes on the Mesopotamian “Epic of Gilgamesh” and the Greek Myth of “Hippolytus”.’ </w:t>
      </w:r>
      <w:r w:rsidRPr="00050DAE">
        <w:rPr>
          <w:rFonts w:asciiTheme="majorBidi" w:hAnsiTheme="majorBidi" w:cstheme="majorBidi"/>
          <w:i/>
          <w:iCs/>
        </w:rPr>
        <w:t>Journal of Cuneiform Studies</w:t>
      </w:r>
      <w:r w:rsidRPr="00050DAE">
        <w:rPr>
          <w:rFonts w:asciiTheme="majorBidi" w:hAnsiTheme="majorBidi" w:cstheme="majorBidi"/>
        </w:rPr>
        <w:t>, 58.</w:t>
      </w:r>
    </w:p>
    <w:p w14:paraId="29B18DE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KEETMAN, J., 2022. ‘Die Unterdrückung von Uruk: Einwände gegen die Deutung als mythical history.’ </w:t>
      </w:r>
      <w:r w:rsidRPr="00050DAE">
        <w:rPr>
          <w:rFonts w:asciiTheme="majorBidi" w:hAnsiTheme="majorBidi" w:cstheme="majorBidi"/>
          <w:i/>
          <w:iCs/>
        </w:rPr>
        <w:t>Journal of ancient Near Eastern history</w:t>
      </w:r>
      <w:r w:rsidRPr="00050DAE">
        <w:rPr>
          <w:rFonts w:asciiTheme="majorBidi" w:hAnsiTheme="majorBidi" w:cstheme="majorBidi"/>
        </w:rPr>
        <w:t>, 10(1).</w:t>
      </w:r>
    </w:p>
    <w:p w14:paraId="1B9D6A7A"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KIRBY, J., ‘Gods and Goddesses,’ 2001. In: J.T. KIRBY, ed, </w:t>
      </w:r>
      <w:r w:rsidRPr="00050DAE">
        <w:rPr>
          <w:rFonts w:asciiTheme="majorBidi" w:hAnsiTheme="majorBidi" w:cstheme="majorBidi"/>
          <w:i/>
          <w:iCs/>
        </w:rPr>
        <w:t>World Eras Vol 6- Classical Greek Civilization</w:t>
      </w:r>
      <w:r w:rsidRPr="00050DAE">
        <w:rPr>
          <w:rFonts w:asciiTheme="majorBidi" w:hAnsiTheme="majorBidi" w:cstheme="majorBidi"/>
        </w:rPr>
        <w:t>. Detroit, MI: Gale.</w:t>
      </w:r>
    </w:p>
    <w:p w14:paraId="010A8D7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1985. ‘BM 23631: Bread for Enlil, Sex for Inanna’. </w:t>
      </w:r>
      <w:r w:rsidRPr="00050DAE">
        <w:rPr>
          <w:rFonts w:asciiTheme="majorBidi" w:hAnsiTheme="majorBidi" w:cstheme="majorBidi"/>
          <w:i/>
          <w:iCs/>
        </w:rPr>
        <w:t>Orientalia</w:t>
      </w:r>
      <w:r w:rsidRPr="00050DAE">
        <w:rPr>
          <w:rFonts w:asciiTheme="majorBidi" w:hAnsiTheme="majorBidi" w:cstheme="majorBidi"/>
        </w:rPr>
        <w:t>, 54(1).</w:t>
      </w:r>
    </w:p>
    <w:p w14:paraId="0CE191C1"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1983a. </w:t>
      </w:r>
      <w:r w:rsidRPr="00050DAE">
        <w:rPr>
          <w:rFonts w:asciiTheme="majorBidi" w:hAnsiTheme="majorBidi" w:cstheme="majorBidi"/>
          <w:i/>
          <w:iCs/>
        </w:rPr>
        <w:t>Inanna: Queen of Heaven and Earth</w:t>
      </w:r>
      <w:r w:rsidRPr="00050DAE">
        <w:rPr>
          <w:rFonts w:asciiTheme="majorBidi" w:hAnsiTheme="majorBidi" w:cstheme="majorBidi"/>
        </w:rPr>
        <w:t>. New York: Harper &amp; Row.</w:t>
      </w:r>
    </w:p>
    <w:p w14:paraId="44A1613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1983b. ‘The Weeping Goddess: Sumerian Prototypes of the Mater Dolorosa.’ </w:t>
      </w:r>
      <w:r w:rsidRPr="00050DAE">
        <w:rPr>
          <w:rFonts w:asciiTheme="majorBidi" w:hAnsiTheme="majorBidi" w:cstheme="majorBidi"/>
          <w:i/>
          <w:iCs/>
        </w:rPr>
        <w:t>The Biblical Archaeologist</w:t>
      </w:r>
      <w:r w:rsidRPr="00050DAE">
        <w:rPr>
          <w:rFonts w:asciiTheme="majorBidi" w:hAnsiTheme="majorBidi" w:cstheme="majorBidi"/>
        </w:rPr>
        <w:t>, 46(2).</w:t>
      </w:r>
    </w:p>
    <w:p w14:paraId="7E1A967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1980a. ‘Sumerian Literature and the British Museum: The Promise of the Future.’ </w:t>
      </w:r>
      <w:r w:rsidRPr="00050DAE">
        <w:rPr>
          <w:rFonts w:asciiTheme="majorBidi" w:hAnsiTheme="majorBidi" w:cstheme="majorBidi"/>
          <w:i/>
          <w:iCs/>
        </w:rPr>
        <w:t>Proceedings of the American Philosophical Society</w:t>
      </w:r>
      <w:r w:rsidRPr="00050DAE">
        <w:rPr>
          <w:rFonts w:asciiTheme="majorBidi" w:hAnsiTheme="majorBidi" w:cstheme="majorBidi"/>
        </w:rPr>
        <w:t>, 124(4).</w:t>
      </w:r>
    </w:p>
    <w:p w14:paraId="5D0B268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1974. ‘“CT” XXXVI: Corrigenda and Addenda.’ </w:t>
      </w:r>
      <w:r w:rsidRPr="00050DAE">
        <w:rPr>
          <w:rFonts w:asciiTheme="majorBidi" w:hAnsiTheme="majorBidi" w:cstheme="majorBidi"/>
          <w:i/>
          <w:iCs/>
        </w:rPr>
        <w:t>Iraq</w:t>
      </w:r>
      <w:r w:rsidRPr="00050DAE">
        <w:rPr>
          <w:rFonts w:asciiTheme="majorBidi" w:hAnsiTheme="majorBidi" w:cstheme="majorBidi"/>
        </w:rPr>
        <w:t>, 36(1).</w:t>
      </w:r>
    </w:p>
    <w:p w14:paraId="0FD2C877"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1969. ‘Inanna and Šulgi: A Sumerian Fertility Song.’ </w:t>
      </w:r>
      <w:r w:rsidRPr="00050DAE">
        <w:rPr>
          <w:rFonts w:asciiTheme="majorBidi" w:hAnsiTheme="majorBidi" w:cstheme="majorBidi"/>
          <w:i/>
          <w:iCs/>
        </w:rPr>
        <w:t>Iraq</w:t>
      </w:r>
      <w:r w:rsidRPr="00050DAE">
        <w:rPr>
          <w:rFonts w:asciiTheme="majorBidi" w:hAnsiTheme="majorBidi" w:cstheme="majorBidi"/>
        </w:rPr>
        <w:t>, 31(1).</w:t>
      </w:r>
    </w:p>
    <w:p w14:paraId="24613D85"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1966. ‘Dumuzi’s Annual Resurrection: An Important Correction to “Inanna’s Descent”.’ </w:t>
      </w:r>
      <w:r w:rsidRPr="00050DAE">
        <w:rPr>
          <w:rFonts w:asciiTheme="majorBidi" w:hAnsiTheme="majorBidi" w:cstheme="majorBidi"/>
          <w:i/>
          <w:iCs/>
        </w:rPr>
        <w:t>Bulletin of the American Schools of Oriental Research</w:t>
      </w:r>
      <w:r w:rsidRPr="00050DAE">
        <w:rPr>
          <w:rFonts w:asciiTheme="majorBidi" w:hAnsiTheme="majorBidi" w:cstheme="majorBidi"/>
        </w:rPr>
        <w:t>, (183).</w:t>
      </w:r>
    </w:p>
    <w:p w14:paraId="4181EB5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1963a. ‘Cuneiform Studies and the History of Literature: The Sumerian Sacred Marriage Texts.’ </w:t>
      </w:r>
      <w:r w:rsidRPr="00050DAE">
        <w:rPr>
          <w:rFonts w:asciiTheme="majorBidi" w:hAnsiTheme="majorBidi" w:cstheme="majorBidi"/>
          <w:i/>
          <w:iCs/>
        </w:rPr>
        <w:t>Proceedings of the American Philosophical Society</w:t>
      </w:r>
      <w:r w:rsidRPr="00050DAE">
        <w:rPr>
          <w:rFonts w:asciiTheme="majorBidi" w:hAnsiTheme="majorBidi" w:cstheme="majorBidi"/>
        </w:rPr>
        <w:t>, 107(6).</w:t>
      </w:r>
    </w:p>
    <w:p w14:paraId="302D274B"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1963b. </w:t>
      </w:r>
      <w:r w:rsidRPr="00050DAE">
        <w:rPr>
          <w:rFonts w:asciiTheme="majorBidi" w:hAnsiTheme="majorBidi" w:cstheme="majorBidi"/>
          <w:i/>
          <w:iCs/>
        </w:rPr>
        <w:t>The Sumerians: their history, culture, and character</w:t>
      </w:r>
      <w:r w:rsidRPr="00050DAE">
        <w:rPr>
          <w:rFonts w:asciiTheme="majorBidi" w:hAnsiTheme="majorBidi" w:cstheme="majorBidi"/>
        </w:rPr>
        <w:t>. Chicago, IL USA: University of Chicago Press.</w:t>
      </w:r>
    </w:p>
    <w:p w14:paraId="4F4929CF"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1960. ‘Death and Nether World According to the Sumerian Literary Texts.’ </w:t>
      </w:r>
      <w:r w:rsidRPr="00050DAE">
        <w:rPr>
          <w:rFonts w:asciiTheme="majorBidi" w:hAnsiTheme="majorBidi" w:cstheme="majorBidi"/>
          <w:i/>
          <w:iCs/>
        </w:rPr>
        <w:t>Iraq</w:t>
      </w:r>
      <w:r w:rsidRPr="00050DAE">
        <w:rPr>
          <w:rFonts w:asciiTheme="majorBidi" w:hAnsiTheme="majorBidi" w:cstheme="majorBidi"/>
        </w:rPr>
        <w:t>, 22.</w:t>
      </w:r>
    </w:p>
    <w:p w14:paraId="44D5C191"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1950. ‘“Inanna’s Descent to the Nether World” Continued.’ </w:t>
      </w:r>
      <w:r w:rsidRPr="00050DAE">
        <w:rPr>
          <w:rFonts w:asciiTheme="majorBidi" w:hAnsiTheme="majorBidi" w:cstheme="majorBidi"/>
          <w:i/>
          <w:iCs/>
        </w:rPr>
        <w:t>Proceedings of the American Philosophical Society</w:t>
      </w:r>
      <w:r w:rsidRPr="00050DAE">
        <w:rPr>
          <w:rFonts w:asciiTheme="majorBidi" w:hAnsiTheme="majorBidi" w:cstheme="majorBidi"/>
        </w:rPr>
        <w:t>, 94(4).</w:t>
      </w:r>
    </w:p>
    <w:p w14:paraId="576FA99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1942. ‘The Oldest Literary Catalogue: A Sumerian List of Literary Compositions Compiled about 2000 B.C.’ </w:t>
      </w:r>
      <w:r w:rsidRPr="00050DAE">
        <w:rPr>
          <w:rFonts w:asciiTheme="majorBidi" w:hAnsiTheme="majorBidi" w:cstheme="majorBidi"/>
          <w:i/>
          <w:iCs/>
        </w:rPr>
        <w:t>Bulletin of the American Schools of Oriental Research</w:t>
      </w:r>
      <w:r w:rsidRPr="00050DAE">
        <w:rPr>
          <w:rFonts w:asciiTheme="majorBidi" w:hAnsiTheme="majorBidi" w:cstheme="majorBidi"/>
        </w:rPr>
        <w:t>, (88).</w:t>
      </w:r>
    </w:p>
    <w:p w14:paraId="71C93455"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1940a. ‘Ištar in the Nether World According to a New Sumerian Text.’ </w:t>
      </w:r>
      <w:r w:rsidRPr="00050DAE">
        <w:rPr>
          <w:rFonts w:asciiTheme="majorBidi" w:hAnsiTheme="majorBidi" w:cstheme="majorBidi"/>
          <w:i/>
          <w:iCs/>
        </w:rPr>
        <w:t>Bulletin of the American Schools of Oriental Research</w:t>
      </w:r>
      <w:r w:rsidRPr="00050DAE">
        <w:rPr>
          <w:rFonts w:asciiTheme="majorBidi" w:hAnsiTheme="majorBidi" w:cstheme="majorBidi"/>
        </w:rPr>
        <w:t>, (79).</w:t>
      </w:r>
    </w:p>
    <w:p w14:paraId="4EE9891B"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KRAMER, S.N., 1940b. ‘Langdon’s Historical and Religious Texts from the Temple Library of Nippur-Additions and Corrections.’ </w:t>
      </w:r>
      <w:r w:rsidRPr="00050DAE">
        <w:rPr>
          <w:rFonts w:asciiTheme="majorBidi" w:hAnsiTheme="majorBidi" w:cstheme="majorBidi"/>
          <w:i/>
          <w:iCs/>
        </w:rPr>
        <w:t>Journal of the American Oriental Society</w:t>
      </w:r>
      <w:r w:rsidRPr="00050DAE">
        <w:rPr>
          <w:rFonts w:asciiTheme="majorBidi" w:hAnsiTheme="majorBidi" w:cstheme="majorBidi"/>
        </w:rPr>
        <w:t>, 60(2).</w:t>
      </w:r>
    </w:p>
    <w:p w14:paraId="703D9DC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LAMBERT, W.G., 2016. </w:t>
      </w:r>
      <w:r w:rsidRPr="00050DAE">
        <w:rPr>
          <w:rFonts w:asciiTheme="majorBidi" w:hAnsiTheme="majorBidi" w:cstheme="majorBidi"/>
          <w:i/>
          <w:iCs/>
        </w:rPr>
        <w:t>Ancient Mesopotamian Religion and Mythology</w:t>
      </w:r>
      <w:r w:rsidRPr="00050DAE">
        <w:rPr>
          <w:rFonts w:asciiTheme="majorBidi" w:hAnsiTheme="majorBidi" w:cstheme="majorBidi"/>
        </w:rPr>
        <w:t>. Tubingen, DE: Mohr Siebeck.</w:t>
      </w:r>
    </w:p>
    <w:p w14:paraId="06DA0A3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LAMBERT, W.G., 2004. ‘Ištar of Nineveh.’ </w:t>
      </w:r>
      <w:r w:rsidRPr="00050DAE">
        <w:rPr>
          <w:rFonts w:asciiTheme="majorBidi" w:hAnsiTheme="majorBidi" w:cstheme="majorBidi"/>
          <w:i/>
          <w:iCs/>
        </w:rPr>
        <w:t>Iraq</w:t>
      </w:r>
      <w:r w:rsidRPr="00050DAE">
        <w:rPr>
          <w:rFonts w:asciiTheme="majorBidi" w:hAnsiTheme="majorBidi" w:cstheme="majorBidi"/>
        </w:rPr>
        <w:t>, 66.</w:t>
      </w:r>
    </w:p>
    <w:p w14:paraId="75C6F22A"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LAMBERT, W.G., 1988. </w:t>
      </w:r>
      <w:r w:rsidRPr="00050DAE">
        <w:rPr>
          <w:rFonts w:asciiTheme="majorBidi" w:hAnsiTheme="majorBidi" w:cstheme="majorBidi"/>
          <w:i/>
          <w:iCs/>
        </w:rPr>
        <w:t>Old Testament Mythology in its Ancient Near Eastern Context</w:t>
      </w:r>
      <w:r w:rsidRPr="00050DAE">
        <w:rPr>
          <w:rFonts w:asciiTheme="majorBidi" w:hAnsiTheme="majorBidi" w:cstheme="majorBidi"/>
        </w:rPr>
        <w:t>. Leiden, The Netherlands: Brill, pp. 124-143.</w:t>
      </w:r>
    </w:p>
    <w:p w14:paraId="6C451DB5"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LANERI, N., 2002. ‘The discovery of a funerary ritual: Inanna/Ištar and her descent to the nether world in Titriş Höyük, Turkey.’ </w:t>
      </w:r>
      <w:r w:rsidRPr="00050DAE">
        <w:rPr>
          <w:rFonts w:asciiTheme="majorBidi" w:hAnsiTheme="majorBidi" w:cstheme="majorBidi"/>
          <w:i/>
          <w:iCs/>
        </w:rPr>
        <w:t>East and West</w:t>
      </w:r>
      <w:r w:rsidRPr="00050DAE">
        <w:rPr>
          <w:rFonts w:asciiTheme="majorBidi" w:hAnsiTheme="majorBidi" w:cstheme="majorBidi"/>
        </w:rPr>
        <w:t>, 52(1/4).</w:t>
      </w:r>
    </w:p>
    <w:p w14:paraId="32918AB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LÉVI-STRAUSS, C., 1969. </w:t>
      </w:r>
      <w:r w:rsidRPr="00050DAE">
        <w:rPr>
          <w:rFonts w:asciiTheme="majorBidi" w:hAnsiTheme="majorBidi" w:cstheme="majorBidi"/>
          <w:i/>
          <w:iCs/>
        </w:rPr>
        <w:t>The Raw and the Cooked</w:t>
      </w:r>
      <w:r w:rsidRPr="00050DAE">
        <w:rPr>
          <w:rFonts w:asciiTheme="majorBidi" w:hAnsiTheme="majorBidi" w:cstheme="majorBidi"/>
        </w:rPr>
        <w:t>. New York: Harper &amp; Row.</w:t>
      </w:r>
    </w:p>
    <w:p w14:paraId="1482450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LÉVI-STRAUSS, C., 1955. ‘The Structural Study of Myth.’ </w:t>
      </w:r>
      <w:r w:rsidRPr="00050DAE">
        <w:rPr>
          <w:rFonts w:asciiTheme="majorBidi" w:hAnsiTheme="majorBidi" w:cstheme="majorBidi"/>
          <w:i/>
          <w:iCs/>
        </w:rPr>
        <w:t>The Journal of American Folklore</w:t>
      </w:r>
      <w:r w:rsidRPr="00050DAE">
        <w:rPr>
          <w:rFonts w:asciiTheme="majorBidi" w:hAnsiTheme="majorBidi" w:cstheme="majorBidi"/>
        </w:rPr>
        <w:t>, 68(270).</w:t>
      </w:r>
    </w:p>
    <w:p w14:paraId="649DDA47"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LEWIS, T.J., 1996. ‘The Disappearance of the Goddess Anat: The 1995 West Semitic Research Project on Ugaritic Epigraphy.’ </w:t>
      </w:r>
      <w:r w:rsidRPr="00050DAE">
        <w:rPr>
          <w:rFonts w:asciiTheme="majorBidi" w:hAnsiTheme="majorBidi" w:cstheme="majorBidi"/>
          <w:i/>
          <w:iCs/>
        </w:rPr>
        <w:t>The Biblical Archaeologist</w:t>
      </w:r>
      <w:r w:rsidRPr="00050DAE">
        <w:rPr>
          <w:rFonts w:asciiTheme="majorBidi" w:hAnsiTheme="majorBidi" w:cstheme="majorBidi"/>
        </w:rPr>
        <w:t>, 59(2).</w:t>
      </w:r>
    </w:p>
    <w:p w14:paraId="16CBC85C"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LIVERI, A., 2021. ‘Percussion Music in Athenian Religious Rituals and Festivals.’ </w:t>
      </w:r>
      <w:r w:rsidRPr="00050DAE">
        <w:rPr>
          <w:rFonts w:asciiTheme="majorBidi" w:hAnsiTheme="majorBidi" w:cstheme="majorBidi"/>
          <w:i/>
          <w:iCs/>
        </w:rPr>
        <w:t>Pallas</w:t>
      </w:r>
      <w:r w:rsidRPr="00050DAE">
        <w:rPr>
          <w:rFonts w:asciiTheme="majorBidi" w:hAnsiTheme="majorBidi" w:cstheme="majorBidi"/>
        </w:rPr>
        <w:t>, (115).</w:t>
      </w:r>
    </w:p>
    <w:p w14:paraId="22D240D9" w14:textId="77777777" w:rsidR="00014F8D" w:rsidRPr="00050DAE" w:rsidRDefault="00014F8D" w:rsidP="004237EE">
      <w:pPr>
        <w:pStyle w:val="Bibliography"/>
        <w:rPr>
          <w:rFonts w:asciiTheme="majorBidi" w:hAnsiTheme="majorBidi" w:cstheme="majorBidi"/>
        </w:rPr>
      </w:pPr>
      <w:r w:rsidRPr="00050DAE">
        <w:rPr>
          <w:rFonts w:asciiTheme="majorBidi" w:hAnsiTheme="majorBidi" w:cstheme="majorBidi"/>
        </w:rPr>
        <w:t xml:space="preserve">LONG, H.S., 1948. Plato's Doctrine of Metempsychosis and Its Source. </w:t>
      </w:r>
      <w:r w:rsidRPr="00050DAE">
        <w:rPr>
          <w:rFonts w:asciiTheme="majorBidi" w:hAnsiTheme="majorBidi" w:cstheme="majorBidi"/>
          <w:i/>
          <w:iCs/>
        </w:rPr>
        <w:t>The Classical Weekly</w:t>
      </w:r>
      <w:r w:rsidRPr="00050DAE">
        <w:rPr>
          <w:rFonts w:asciiTheme="majorBidi" w:hAnsiTheme="majorBidi" w:cstheme="majorBidi"/>
        </w:rPr>
        <w:t>, 41(10), pp. 149–155.</w:t>
      </w:r>
    </w:p>
    <w:p w14:paraId="770E8CFC"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LÓPEZ-RUIZ, C., 2014a. </w:t>
      </w:r>
      <w:r w:rsidRPr="00050DAE">
        <w:rPr>
          <w:rFonts w:asciiTheme="majorBidi" w:hAnsiTheme="majorBidi" w:cstheme="majorBidi"/>
          <w:i/>
          <w:iCs/>
        </w:rPr>
        <w:t>Gods, Heroes, and Monsters: A sourcebook of Greek, Roman, and Near Eastern Myths</w:t>
      </w:r>
      <w:r w:rsidRPr="00050DAE">
        <w:rPr>
          <w:rFonts w:asciiTheme="majorBidi" w:hAnsiTheme="majorBidi" w:cstheme="majorBidi"/>
        </w:rPr>
        <w:t>. New York, NY USA: Oxford University Press.</w:t>
      </w:r>
    </w:p>
    <w:p w14:paraId="04439CAE"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LÓPEZ-RUIZ, C., 2014b. ‘Greek and Canaanite Mythologies: Zeus, Baal, and their Rivals.’ </w:t>
      </w:r>
      <w:r w:rsidRPr="00050DAE">
        <w:rPr>
          <w:rFonts w:asciiTheme="majorBidi" w:hAnsiTheme="majorBidi" w:cstheme="majorBidi"/>
          <w:i/>
          <w:iCs/>
        </w:rPr>
        <w:t>Religion Compass</w:t>
      </w:r>
      <w:r w:rsidRPr="00050DAE">
        <w:rPr>
          <w:rFonts w:asciiTheme="majorBidi" w:hAnsiTheme="majorBidi" w:cstheme="majorBidi"/>
        </w:rPr>
        <w:t>, 8(1).</w:t>
      </w:r>
    </w:p>
    <w:p w14:paraId="30DE7FE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LÓPEZ-RUIZ, C., 2014c. ‘Greek and Near Eastern Mythologies: A Story of Mediterranean.’ In: L. EDMUNDS, ed, </w:t>
      </w:r>
      <w:r w:rsidRPr="00050DAE">
        <w:rPr>
          <w:rFonts w:asciiTheme="majorBidi" w:hAnsiTheme="majorBidi" w:cstheme="majorBidi"/>
          <w:i/>
          <w:iCs/>
        </w:rPr>
        <w:t>Approaches to Greek Myth</w:t>
      </w:r>
      <w:r w:rsidRPr="00050DAE">
        <w:rPr>
          <w:rFonts w:asciiTheme="majorBidi" w:hAnsiTheme="majorBidi" w:cstheme="majorBidi"/>
        </w:rPr>
        <w:t>. Baltimore MD USA: Johns Hopkins University Press.</w:t>
      </w:r>
    </w:p>
    <w:p w14:paraId="62DC84D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MANOS, J.K., WEBER, A., SHEPOSH, R., FATA, A., RUDY, L.J., ANDERSON, D., CHESTON, B., CLAMPITT, C., BEECH, L.W., MINICHIELLO, M., BENJAMIN, L., ZUKAUSKAS, R., JOY, M., JOSEPH, M., RECTOR, R.K., ACCETTOLA, A., CAFFREY, C. and DICKINSON, A.R., 2023. ‘Gods and Goddesses.’ In: M. SHALLY-JENSEN, ed, </w:t>
      </w:r>
      <w:r w:rsidRPr="00050DAE">
        <w:rPr>
          <w:rFonts w:asciiTheme="majorBidi" w:hAnsiTheme="majorBidi" w:cstheme="majorBidi"/>
          <w:i/>
          <w:iCs/>
        </w:rPr>
        <w:t>Critical Survey of Mythology and Folklore: Creation Myths</w:t>
      </w:r>
      <w:r w:rsidRPr="00050DAE">
        <w:rPr>
          <w:rFonts w:asciiTheme="majorBidi" w:hAnsiTheme="majorBidi" w:cstheme="majorBidi"/>
        </w:rPr>
        <w:t>. Ipswich, MA: Salem Press/Grey House, pp. 711-772.</w:t>
      </w:r>
    </w:p>
    <w:p w14:paraId="40E155D1"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MATSUSHIMA, E., 2014. ‘Ištar and Other Goddesses of the So-Called “Sacred Marriage” in Ancient Mesopotamia.’ In: D.T. SUGIMOTO, ed, </w:t>
      </w:r>
      <w:r w:rsidRPr="00050DAE">
        <w:rPr>
          <w:rFonts w:asciiTheme="majorBidi" w:hAnsiTheme="majorBidi" w:cstheme="majorBidi"/>
          <w:i/>
          <w:iCs/>
        </w:rPr>
        <w:t>Transformation of a Goddess: Ištar-Astarte-Aphrodite</w:t>
      </w:r>
      <w:r w:rsidRPr="00050DAE">
        <w:rPr>
          <w:rFonts w:asciiTheme="majorBidi" w:hAnsiTheme="majorBidi" w:cstheme="majorBidi"/>
        </w:rPr>
        <w:t xml:space="preserve">. Fribourg, CH: Academic Press Fribourg. </w:t>
      </w:r>
    </w:p>
    <w:p w14:paraId="1FA61CBA"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MEE STAFF, 2022-last update, ‘Palestinian farmer discovers 4,500 year old goddess statue in Gaza.’ Available: https://www.middleeasteye.net/news/palestinian-farmer-discovers-4500-year-old-goddess-statue-gaza [Apr 29, 2026].</w:t>
      </w:r>
    </w:p>
    <w:p w14:paraId="42A8D154"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MEEK, T.J., 1924. ‘Babylonian Parallels to the Song of Songs.’ </w:t>
      </w:r>
      <w:r w:rsidRPr="00050DAE">
        <w:rPr>
          <w:rFonts w:asciiTheme="majorBidi" w:hAnsiTheme="majorBidi" w:cstheme="majorBidi"/>
          <w:i/>
          <w:iCs/>
        </w:rPr>
        <w:t>Journal of Biblical Literature</w:t>
      </w:r>
      <w:r w:rsidRPr="00050DAE">
        <w:rPr>
          <w:rFonts w:asciiTheme="majorBidi" w:hAnsiTheme="majorBidi" w:cstheme="majorBidi"/>
        </w:rPr>
        <w:t>, 43(3).</w:t>
      </w:r>
    </w:p>
    <w:p w14:paraId="6173617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MIKALSON, J.D., 1975. </w:t>
      </w:r>
      <w:r w:rsidRPr="00050DAE">
        <w:rPr>
          <w:rFonts w:asciiTheme="majorBidi" w:hAnsiTheme="majorBidi" w:cstheme="majorBidi"/>
          <w:i/>
          <w:iCs/>
        </w:rPr>
        <w:t>The sacred and civil calendar of the Athenian year</w:t>
      </w:r>
      <w:r w:rsidRPr="00050DAE">
        <w:rPr>
          <w:rFonts w:asciiTheme="majorBidi" w:hAnsiTheme="majorBidi" w:cstheme="majorBidi"/>
        </w:rPr>
        <w:t>. Princeton, NJ USA: Princeton University Press.</w:t>
      </w:r>
    </w:p>
    <w:p w14:paraId="226F569F"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MILLARD, A.R., 1968. ‘Fragments of Historical Texts from Nineveh: Ashurbanipal.’ </w:t>
      </w:r>
      <w:r w:rsidRPr="00050DAE">
        <w:rPr>
          <w:rFonts w:asciiTheme="majorBidi" w:hAnsiTheme="majorBidi" w:cstheme="majorBidi"/>
          <w:i/>
          <w:iCs/>
        </w:rPr>
        <w:t>Iraq</w:t>
      </w:r>
      <w:r w:rsidRPr="00050DAE">
        <w:rPr>
          <w:rFonts w:asciiTheme="majorBidi" w:hAnsiTheme="majorBidi" w:cstheme="majorBidi"/>
        </w:rPr>
        <w:t>, 30(1).</w:t>
      </w:r>
    </w:p>
    <w:p w14:paraId="245AC850" w14:textId="77777777" w:rsidR="00014F8D" w:rsidRPr="00050DAE" w:rsidRDefault="00014F8D" w:rsidP="004237EE">
      <w:pPr>
        <w:pStyle w:val="Bibliography"/>
        <w:rPr>
          <w:rFonts w:asciiTheme="majorBidi" w:hAnsiTheme="majorBidi" w:cstheme="majorBidi"/>
        </w:rPr>
      </w:pPr>
      <w:r w:rsidRPr="00050DAE">
        <w:rPr>
          <w:rFonts w:asciiTheme="majorBidi" w:hAnsiTheme="majorBidi" w:cstheme="majorBidi"/>
        </w:rPr>
        <w:t xml:space="preserve">MORRIS, I., 1989. Attitudes toward Death in Archaic Greece. </w:t>
      </w:r>
      <w:r w:rsidRPr="00050DAE">
        <w:rPr>
          <w:rFonts w:asciiTheme="majorBidi" w:hAnsiTheme="majorBidi" w:cstheme="majorBidi"/>
          <w:i/>
          <w:iCs/>
        </w:rPr>
        <w:t>Classical Antiquity</w:t>
      </w:r>
      <w:r w:rsidRPr="00050DAE">
        <w:rPr>
          <w:rFonts w:asciiTheme="majorBidi" w:hAnsiTheme="majorBidi" w:cstheme="majorBidi"/>
        </w:rPr>
        <w:t>, 8(2), pp. 296–320.</w:t>
      </w:r>
    </w:p>
    <w:p w14:paraId="49C36188"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NAʾAMAN, N., 1980. ‘The Ištar Temple at Alalakh.’ </w:t>
      </w:r>
      <w:r w:rsidRPr="00050DAE">
        <w:rPr>
          <w:rFonts w:asciiTheme="majorBidi" w:hAnsiTheme="majorBidi" w:cstheme="majorBidi"/>
          <w:i/>
          <w:iCs/>
        </w:rPr>
        <w:t>Journal of Near Eastern Studies</w:t>
      </w:r>
      <w:r w:rsidRPr="00050DAE">
        <w:rPr>
          <w:rFonts w:asciiTheme="majorBidi" w:hAnsiTheme="majorBidi" w:cstheme="majorBidi"/>
        </w:rPr>
        <w:t>, 39(3).</w:t>
      </w:r>
    </w:p>
    <w:p w14:paraId="6781684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ORELLANA, M., 2017. </w:t>
      </w:r>
      <w:r w:rsidRPr="00050DAE">
        <w:rPr>
          <w:rFonts w:asciiTheme="majorBidi" w:hAnsiTheme="majorBidi" w:cstheme="majorBidi"/>
          <w:i/>
          <w:iCs/>
        </w:rPr>
        <w:t>The Legacy of Inanna</w:t>
      </w:r>
      <w:r w:rsidRPr="00050DAE">
        <w:rPr>
          <w:rFonts w:asciiTheme="majorBidi" w:hAnsiTheme="majorBidi" w:cstheme="majorBidi"/>
        </w:rPr>
        <w:t>, Andrews University.</w:t>
      </w:r>
    </w:p>
    <w:p w14:paraId="6A8A961A" w14:textId="2196E020"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PARKER, R., 2005. </w:t>
      </w:r>
      <w:r w:rsidRPr="00050DAE">
        <w:rPr>
          <w:rFonts w:asciiTheme="majorBidi" w:hAnsiTheme="majorBidi" w:cstheme="majorBidi"/>
          <w:i/>
          <w:iCs/>
        </w:rPr>
        <w:t>Polytheism and Society at Athens</w:t>
      </w:r>
      <w:r w:rsidRPr="00050DAE">
        <w:rPr>
          <w:rFonts w:asciiTheme="majorBidi" w:hAnsiTheme="majorBidi" w:cstheme="majorBidi"/>
        </w:rPr>
        <w:t xml:space="preserve">. </w:t>
      </w:r>
      <w:r w:rsidR="00527EF9">
        <w:rPr>
          <w:rFonts w:asciiTheme="majorBidi" w:hAnsiTheme="majorBidi" w:cstheme="majorBidi"/>
        </w:rPr>
        <w:t>1</w:t>
      </w:r>
      <w:r w:rsidR="00527EF9" w:rsidRPr="00527EF9">
        <w:rPr>
          <w:rFonts w:asciiTheme="majorBidi" w:hAnsiTheme="majorBidi" w:cstheme="majorBidi"/>
          <w:vertAlign w:val="superscript"/>
        </w:rPr>
        <w:t>st</w:t>
      </w:r>
      <w:r w:rsidR="00527EF9">
        <w:rPr>
          <w:rFonts w:asciiTheme="majorBidi" w:hAnsiTheme="majorBidi" w:cstheme="majorBidi"/>
        </w:rPr>
        <w:t xml:space="preserve"> ed</w:t>
      </w:r>
      <w:r w:rsidRPr="00050DAE">
        <w:rPr>
          <w:rFonts w:asciiTheme="majorBidi" w:hAnsiTheme="majorBidi" w:cstheme="majorBidi"/>
        </w:rPr>
        <w:t>. Oxford: Oxford University Press.</w:t>
      </w:r>
    </w:p>
    <w:p w14:paraId="61AD5EA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PARKES, R., 2020. ‘Political Rhetoric in Claudian’s </w:t>
      </w:r>
      <w:r w:rsidRPr="00050DAE">
        <w:rPr>
          <w:rFonts w:asciiTheme="majorBidi" w:hAnsiTheme="majorBidi" w:cstheme="majorBidi"/>
          <w:i/>
          <w:iCs/>
        </w:rPr>
        <w:t>De Raptu Proserpinae</w:t>
      </w:r>
      <w:r w:rsidRPr="00050DAE">
        <w:rPr>
          <w:rFonts w:asciiTheme="majorBidi" w:hAnsiTheme="majorBidi" w:cstheme="majorBidi"/>
        </w:rPr>
        <w:t xml:space="preserve">.’ </w:t>
      </w:r>
      <w:r w:rsidRPr="00050DAE">
        <w:rPr>
          <w:rFonts w:asciiTheme="majorBidi" w:hAnsiTheme="majorBidi" w:cstheme="majorBidi"/>
          <w:i/>
          <w:iCs/>
        </w:rPr>
        <w:t>Phoenix</w:t>
      </w:r>
      <w:r w:rsidRPr="00050DAE">
        <w:rPr>
          <w:rFonts w:asciiTheme="majorBidi" w:hAnsiTheme="majorBidi" w:cstheme="majorBidi"/>
        </w:rPr>
        <w:t xml:space="preserve"> (Toronto), 74(3).</w:t>
      </w:r>
    </w:p>
    <w:p w14:paraId="531411A4"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PARNELL, T.D., 1998. </w:t>
      </w:r>
      <w:r w:rsidRPr="00050DAE">
        <w:rPr>
          <w:rFonts w:asciiTheme="majorBidi" w:hAnsiTheme="majorBidi" w:cstheme="majorBidi"/>
          <w:i/>
          <w:iCs/>
        </w:rPr>
        <w:t>Eve’s stain: An analysis of the female destroyer in art and myth</w:t>
      </w:r>
      <w:r w:rsidRPr="00050DAE">
        <w:rPr>
          <w:rFonts w:asciiTheme="majorBidi" w:hAnsiTheme="majorBidi" w:cstheme="majorBidi"/>
        </w:rPr>
        <w:t>. University of Alabama at Birmingham.</w:t>
      </w:r>
    </w:p>
    <w:p w14:paraId="43F5A18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PARPOLA, S. In: “Le dieu Assur / La déesse Ishtar.” L’annuaire du Collège de France; 2010; Collège de France; 2010 (2014).</w:t>
      </w:r>
    </w:p>
    <w:p w14:paraId="4142E04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PELED, I., 2015. ‘kula’ūtam epēšum: Gender Ambiguity and Contempt in Mesopotamia.’ </w:t>
      </w:r>
      <w:r w:rsidRPr="00050DAE">
        <w:rPr>
          <w:rFonts w:asciiTheme="majorBidi" w:hAnsiTheme="majorBidi" w:cstheme="majorBidi"/>
          <w:i/>
          <w:iCs/>
        </w:rPr>
        <w:t>Journal of the American Oriental Society</w:t>
      </w:r>
      <w:r w:rsidRPr="00050DAE">
        <w:rPr>
          <w:rFonts w:asciiTheme="majorBidi" w:hAnsiTheme="majorBidi" w:cstheme="majorBidi"/>
        </w:rPr>
        <w:t>, 135(4).</w:t>
      </w:r>
    </w:p>
    <w:p w14:paraId="3DA2158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PELED, I., 2014. ‘Assinnu and Kurgarrû Revisited.’ </w:t>
      </w:r>
      <w:r w:rsidRPr="00050DAE">
        <w:rPr>
          <w:rFonts w:asciiTheme="majorBidi" w:hAnsiTheme="majorBidi" w:cstheme="majorBidi"/>
          <w:i/>
          <w:iCs/>
        </w:rPr>
        <w:t>Journal of Near Eastern Studies</w:t>
      </w:r>
      <w:r w:rsidRPr="00050DAE">
        <w:rPr>
          <w:rFonts w:asciiTheme="majorBidi" w:hAnsiTheme="majorBidi" w:cstheme="majorBidi"/>
        </w:rPr>
        <w:t>, 73(2).</w:t>
      </w:r>
    </w:p>
    <w:p w14:paraId="0E1F9AF5"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PORTER, B.N., 2004. ‘Ištar of Nineveh and Her Collaborator, Ištar of Arbela, in the Reign of Assurbanipal.’ </w:t>
      </w:r>
      <w:r w:rsidRPr="00050DAE">
        <w:rPr>
          <w:rFonts w:asciiTheme="majorBidi" w:hAnsiTheme="majorBidi" w:cstheme="majorBidi"/>
          <w:i/>
          <w:iCs/>
        </w:rPr>
        <w:t>Iraq</w:t>
      </w:r>
      <w:r w:rsidRPr="00050DAE">
        <w:rPr>
          <w:rFonts w:asciiTheme="majorBidi" w:hAnsiTheme="majorBidi" w:cstheme="majorBidi"/>
        </w:rPr>
        <w:t>, 66.</w:t>
      </w:r>
    </w:p>
    <w:p w14:paraId="6D88591B" w14:textId="3420F009"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POSTGATE, J.N., 2004. </w:t>
      </w:r>
      <w:r w:rsidRPr="00050DAE">
        <w:rPr>
          <w:rFonts w:asciiTheme="majorBidi" w:hAnsiTheme="majorBidi" w:cstheme="majorBidi"/>
          <w:i/>
          <w:iCs/>
        </w:rPr>
        <w:t>Early Mesopotamia: Society and Economy at the Dawn of History</w:t>
      </w:r>
      <w:r w:rsidRPr="00050DAE">
        <w:rPr>
          <w:rFonts w:asciiTheme="majorBidi" w:hAnsiTheme="majorBidi" w:cstheme="majorBidi"/>
        </w:rPr>
        <w:t>. 2004 ed. New York, NY USA: Routledge.</w:t>
      </w:r>
    </w:p>
    <w:p w14:paraId="22CF522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POSTGATE, J.N., 1994. ‘In Search of the First Empires.’ </w:t>
      </w:r>
      <w:r w:rsidRPr="00050DAE">
        <w:rPr>
          <w:rFonts w:asciiTheme="majorBidi" w:hAnsiTheme="majorBidi" w:cstheme="majorBidi"/>
          <w:i/>
          <w:iCs/>
        </w:rPr>
        <w:t>Bulletin of the American Schools of Oriental Research</w:t>
      </w:r>
      <w:r w:rsidRPr="00050DAE">
        <w:rPr>
          <w:rFonts w:asciiTheme="majorBidi" w:hAnsiTheme="majorBidi" w:cstheme="majorBidi"/>
        </w:rPr>
        <w:t>, (293).</w:t>
      </w:r>
    </w:p>
    <w:p w14:paraId="06905B72" w14:textId="77777777" w:rsidR="00014F8D" w:rsidRPr="00050DAE" w:rsidRDefault="00014F8D" w:rsidP="00AC567B">
      <w:pPr>
        <w:pStyle w:val="Bibliography"/>
        <w:rPr>
          <w:rFonts w:asciiTheme="majorBidi" w:hAnsiTheme="majorBidi" w:cstheme="majorBidi"/>
        </w:rPr>
      </w:pPr>
      <w:r w:rsidRPr="00050DAE">
        <w:rPr>
          <w:rFonts w:asciiTheme="majorBidi" w:hAnsiTheme="majorBidi" w:cstheme="majorBidi"/>
        </w:rPr>
        <w:t>PROPP, V., 1968. Morphology of the Folktale. Austin, TX USA: University of Texas.</w:t>
      </w:r>
    </w:p>
    <w:p w14:paraId="6B10E8BF"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READE, J., 2005. ‘The Ištar Temple at Nineveh.’ </w:t>
      </w:r>
      <w:r w:rsidRPr="00050DAE">
        <w:rPr>
          <w:rFonts w:asciiTheme="majorBidi" w:hAnsiTheme="majorBidi" w:cstheme="majorBidi"/>
          <w:i/>
          <w:iCs/>
        </w:rPr>
        <w:t>Iraq</w:t>
      </w:r>
      <w:r w:rsidRPr="00050DAE">
        <w:rPr>
          <w:rFonts w:asciiTheme="majorBidi" w:hAnsiTheme="majorBidi" w:cstheme="majorBidi"/>
        </w:rPr>
        <w:t>, 67(1).</w:t>
      </w:r>
    </w:p>
    <w:p w14:paraId="02BDDA68" w14:textId="446DE4E5"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RICHARDSON, NICHOLAS J, 2012. ‘Demeter.’ </w:t>
      </w:r>
      <w:r w:rsidRPr="00050DAE">
        <w:rPr>
          <w:rFonts w:asciiTheme="majorBidi" w:hAnsiTheme="majorBidi" w:cstheme="majorBidi"/>
          <w:i/>
          <w:iCs/>
        </w:rPr>
        <w:t>Oxford Classical Dictionary</w:t>
      </w:r>
      <w:r w:rsidRPr="00050DAE">
        <w:rPr>
          <w:rFonts w:asciiTheme="majorBidi" w:hAnsiTheme="majorBidi" w:cstheme="majorBidi"/>
        </w:rPr>
        <w:t>. 4</w:t>
      </w:r>
      <w:r w:rsidR="00527EF9" w:rsidRPr="00527EF9">
        <w:rPr>
          <w:rFonts w:asciiTheme="majorBidi" w:hAnsiTheme="majorBidi" w:cstheme="majorBidi"/>
          <w:vertAlign w:val="superscript"/>
        </w:rPr>
        <w:t>th</w:t>
      </w:r>
      <w:r w:rsidR="00527EF9">
        <w:rPr>
          <w:rFonts w:asciiTheme="majorBidi" w:hAnsiTheme="majorBidi" w:cstheme="majorBidi"/>
        </w:rPr>
        <w:t xml:space="preserve"> ed</w:t>
      </w:r>
      <w:r w:rsidRPr="00050DAE">
        <w:rPr>
          <w:rFonts w:asciiTheme="majorBidi" w:hAnsiTheme="majorBidi" w:cstheme="majorBidi"/>
        </w:rPr>
        <w:t>. Oxford, UK: Oxford University Press.</w:t>
      </w:r>
    </w:p>
    <w:p w14:paraId="4870745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RIGOGLIOSO, M., 2010. </w:t>
      </w:r>
      <w:r w:rsidRPr="00050DAE">
        <w:rPr>
          <w:rFonts w:asciiTheme="majorBidi" w:hAnsiTheme="majorBidi" w:cstheme="majorBidi"/>
          <w:i/>
          <w:iCs/>
        </w:rPr>
        <w:t>Virgin Mother Goddesses of Antiquity</w:t>
      </w:r>
      <w:r w:rsidRPr="00050DAE">
        <w:rPr>
          <w:rFonts w:asciiTheme="majorBidi" w:hAnsiTheme="majorBidi" w:cstheme="majorBidi"/>
        </w:rPr>
        <w:t>. New York, NY USA: Palgrave MacMillan.</w:t>
      </w:r>
    </w:p>
    <w:p w14:paraId="1D2CF08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RIGOGLIOSO, M., 2001. </w:t>
      </w:r>
      <w:r w:rsidRPr="00050DAE">
        <w:rPr>
          <w:rFonts w:asciiTheme="majorBidi" w:hAnsiTheme="majorBidi" w:cstheme="majorBidi"/>
          <w:i/>
          <w:iCs/>
        </w:rPr>
        <w:t>Mysticism, Mother Worship, and Misogyny in the Navel of Sicily: A Spiritual History of Enna, Lake Pergusa, Demeter, and Persephone</w:t>
      </w:r>
      <w:r w:rsidRPr="00050DAE">
        <w:rPr>
          <w:rFonts w:asciiTheme="majorBidi" w:hAnsiTheme="majorBidi" w:cstheme="majorBidi"/>
        </w:rPr>
        <w:t>. California Institute of Integral Studies.</w:t>
      </w:r>
    </w:p>
    <w:p w14:paraId="601516C1"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RODNEY, N.B., 1952. ‘Ištar, the Lady of Battle.’ </w:t>
      </w:r>
      <w:r w:rsidRPr="00050DAE">
        <w:rPr>
          <w:rFonts w:asciiTheme="majorBidi" w:hAnsiTheme="majorBidi" w:cstheme="majorBidi"/>
          <w:i/>
          <w:iCs/>
        </w:rPr>
        <w:t>The Metropolitan Museum of Art Bulletin</w:t>
      </w:r>
      <w:r w:rsidRPr="00050DAE">
        <w:rPr>
          <w:rFonts w:asciiTheme="majorBidi" w:hAnsiTheme="majorBidi" w:cstheme="majorBidi"/>
        </w:rPr>
        <w:t>, 10(7).</w:t>
      </w:r>
    </w:p>
    <w:p w14:paraId="2416D98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RUETHER, R.R., 2005. ‘Conclusion.’ </w:t>
      </w:r>
      <w:r w:rsidRPr="00050DAE">
        <w:rPr>
          <w:rFonts w:asciiTheme="majorBidi" w:hAnsiTheme="majorBidi" w:cstheme="majorBidi"/>
          <w:i/>
          <w:iCs/>
        </w:rPr>
        <w:t>Goddesses and the Divine Feminine</w:t>
      </w:r>
      <w:r w:rsidRPr="00050DAE">
        <w:rPr>
          <w:rFonts w:asciiTheme="majorBidi" w:hAnsiTheme="majorBidi" w:cstheme="majorBidi"/>
        </w:rPr>
        <w:t>. Berkley, CA USA: University of California Press.</w:t>
      </w:r>
    </w:p>
    <w:p w14:paraId="1BA4141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SANDIN, P., 2008. ‘Herodotus, Dionysus, and the Greek death taboo. The Homeric Hymn to Demeter and the construction of the “chthonic” in Greek literary tradition.’ </w:t>
      </w:r>
      <w:r w:rsidRPr="00050DAE">
        <w:rPr>
          <w:rFonts w:asciiTheme="majorBidi" w:hAnsiTheme="majorBidi" w:cstheme="majorBidi"/>
          <w:i/>
          <w:iCs/>
        </w:rPr>
        <w:t>Symbolae Osloenses</w:t>
      </w:r>
      <w:r w:rsidRPr="00050DAE">
        <w:rPr>
          <w:rFonts w:asciiTheme="majorBidi" w:hAnsiTheme="majorBidi" w:cstheme="majorBidi"/>
        </w:rPr>
        <w:t>, 83(1).</w:t>
      </w:r>
    </w:p>
    <w:p w14:paraId="00A2ABF8"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SAVAGE, C.T., 2019. ‘Tantric Chakras and the Descent of Inanna: Bridging the Archetypes and the Human Soul.’ </w:t>
      </w:r>
      <w:r w:rsidRPr="00050DAE">
        <w:rPr>
          <w:rFonts w:asciiTheme="majorBidi" w:hAnsiTheme="majorBidi" w:cstheme="majorBidi"/>
          <w:i/>
          <w:iCs/>
        </w:rPr>
        <w:t>Psychological perspectives</w:t>
      </w:r>
      <w:r w:rsidRPr="00050DAE">
        <w:rPr>
          <w:rFonts w:asciiTheme="majorBidi" w:hAnsiTheme="majorBidi" w:cstheme="majorBidi"/>
        </w:rPr>
        <w:t>, 62(2-3).</w:t>
      </w:r>
    </w:p>
    <w:p w14:paraId="7BABE9C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SCHMITT, R., 2013. ‘Astarte, Mistress of Horses, Lady of the Chariot: The Warrior Aspect of Astarte.’ </w:t>
      </w:r>
      <w:r w:rsidRPr="00050DAE">
        <w:rPr>
          <w:rFonts w:asciiTheme="majorBidi" w:hAnsiTheme="majorBidi" w:cstheme="majorBidi"/>
          <w:i/>
          <w:iCs/>
        </w:rPr>
        <w:t>Die Welt des Orients</w:t>
      </w:r>
      <w:r w:rsidRPr="00050DAE">
        <w:rPr>
          <w:rFonts w:asciiTheme="majorBidi" w:hAnsiTheme="majorBidi" w:cstheme="majorBidi"/>
        </w:rPr>
        <w:t>, 43(2), pp. 213-225.</w:t>
      </w:r>
    </w:p>
    <w:p w14:paraId="0D33BF2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SELZ, G.J., 2017. ‘Mythological Narratives and their Backgrounds: The Case of Inana’s Descent to the Netherworld.’ In: J. GIESSAUF, ed, </w:t>
      </w:r>
      <w:r w:rsidRPr="00050DAE">
        <w:rPr>
          <w:rFonts w:asciiTheme="majorBidi" w:hAnsiTheme="majorBidi" w:cstheme="majorBidi"/>
          <w:i/>
          <w:iCs/>
        </w:rPr>
        <w:t>Zwischen Karawane und Orientexpress Streifzüge durch Jahrtausende orientalischer Geschichte und Kultur</w:t>
      </w:r>
      <w:r w:rsidRPr="00050DAE">
        <w:rPr>
          <w:rFonts w:asciiTheme="majorBidi" w:hAnsiTheme="majorBidi" w:cstheme="majorBidi"/>
        </w:rPr>
        <w:t>. Münster: Ugarit-Verlag.</w:t>
      </w:r>
    </w:p>
    <w:p w14:paraId="1539DE91"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SIMMS, R.R., 1997. ‘Mourning and Community at the Athenian Adonia.’ </w:t>
      </w:r>
      <w:r w:rsidRPr="00050DAE">
        <w:rPr>
          <w:rFonts w:asciiTheme="majorBidi" w:hAnsiTheme="majorBidi" w:cstheme="majorBidi"/>
          <w:i/>
          <w:iCs/>
        </w:rPr>
        <w:t>The Classical Journal</w:t>
      </w:r>
      <w:r w:rsidRPr="00050DAE">
        <w:rPr>
          <w:rFonts w:asciiTheme="majorBidi" w:hAnsiTheme="majorBidi" w:cstheme="majorBidi"/>
        </w:rPr>
        <w:t>, 93(2).</w:t>
      </w:r>
    </w:p>
    <w:p w14:paraId="681C238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SOURVINOU-INWOOD, C., 2003. ‘Festival and Mysteries: aspects of the Eleusinian Cult.’ In: M.B. COSMOPOULOS, ed, </w:t>
      </w:r>
      <w:r w:rsidRPr="00050DAE">
        <w:rPr>
          <w:rFonts w:asciiTheme="majorBidi" w:hAnsiTheme="majorBidi" w:cstheme="majorBidi"/>
          <w:i/>
          <w:iCs/>
        </w:rPr>
        <w:t>Greek Mysteries: The Archaeology of Ancient Greek Secret Cults</w:t>
      </w:r>
      <w:r w:rsidRPr="00050DAE">
        <w:rPr>
          <w:rFonts w:asciiTheme="majorBidi" w:hAnsiTheme="majorBidi" w:cstheme="majorBidi"/>
        </w:rPr>
        <w:t>. London: Routledge.</w:t>
      </w:r>
    </w:p>
    <w:p w14:paraId="1A8B3355"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STARR, O.M., 1984. ‘An Apotropaic Incest Ritual in the Baal and Anath Cycle.’ </w:t>
      </w:r>
      <w:r w:rsidRPr="00050DAE">
        <w:rPr>
          <w:rFonts w:asciiTheme="majorBidi" w:hAnsiTheme="majorBidi" w:cstheme="majorBidi"/>
          <w:i/>
          <w:iCs/>
        </w:rPr>
        <w:t>Folklore</w:t>
      </w:r>
      <w:r w:rsidRPr="00050DAE">
        <w:rPr>
          <w:rFonts w:asciiTheme="majorBidi" w:hAnsiTheme="majorBidi" w:cstheme="majorBidi"/>
        </w:rPr>
        <w:t>, 95(2).</w:t>
      </w:r>
    </w:p>
    <w:p w14:paraId="693CF614"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STERN, P.D., 1994. ‘The “Bloodbath of Anat” and Psalm XXIII.’ </w:t>
      </w:r>
      <w:r w:rsidRPr="00050DAE">
        <w:rPr>
          <w:rFonts w:asciiTheme="majorBidi" w:hAnsiTheme="majorBidi" w:cstheme="majorBidi"/>
          <w:i/>
          <w:iCs/>
        </w:rPr>
        <w:t>Vetus Testamentum</w:t>
      </w:r>
      <w:r w:rsidRPr="00050DAE">
        <w:rPr>
          <w:rFonts w:asciiTheme="majorBidi" w:hAnsiTheme="majorBidi" w:cstheme="majorBidi"/>
        </w:rPr>
        <w:t>, 44(1).</w:t>
      </w:r>
    </w:p>
    <w:p w14:paraId="62B951E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STRONACH, D. and LUMSDEN, S., 1992. ‘UC Berkeley’s Excavations at Nineveh.’ </w:t>
      </w:r>
      <w:r w:rsidRPr="00050DAE">
        <w:rPr>
          <w:rFonts w:asciiTheme="majorBidi" w:hAnsiTheme="majorBidi" w:cstheme="majorBidi"/>
          <w:i/>
          <w:iCs/>
        </w:rPr>
        <w:t>The Biblical Archaeologist</w:t>
      </w:r>
      <w:r w:rsidRPr="00050DAE">
        <w:rPr>
          <w:rFonts w:asciiTheme="majorBidi" w:hAnsiTheme="majorBidi" w:cstheme="majorBidi"/>
        </w:rPr>
        <w:t>, 55(4).</w:t>
      </w:r>
    </w:p>
    <w:p w14:paraId="7A88EA2E"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SUGIMOTO, D.T., 2014. </w:t>
      </w:r>
      <w:r w:rsidRPr="00050DAE">
        <w:rPr>
          <w:rFonts w:asciiTheme="majorBidi" w:hAnsiTheme="majorBidi" w:cstheme="majorBidi"/>
          <w:i/>
          <w:iCs/>
        </w:rPr>
        <w:t>Transformation of a Goddess: Ištar-Astarte-Aphrodite</w:t>
      </w:r>
      <w:r w:rsidRPr="00050DAE">
        <w:rPr>
          <w:rFonts w:asciiTheme="majorBidi" w:hAnsiTheme="majorBidi" w:cstheme="majorBidi"/>
        </w:rPr>
        <w:t>. Fribourg, CH: Academic Press Fribourg.</w:t>
      </w:r>
    </w:p>
    <w:p w14:paraId="718CD4EE"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SURIANO, M.J., 2012. ‘Ruin Hills at the Threshold of the Netherworld: The Tell in the Conceptual Landscape of the Ba’al Cycle and Ancient Near Eastern Mythology.’ </w:t>
      </w:r>
      <w:r w:rsidRPr="00050DAE">
        <w:rPr>
          <w:rFonts w:asciiTheme="majorBidi" w:hAnsiTheme="majorBidi" w:cstheme="majorBidi"/>
          <w:i/>
          <w:iCs/>
        </w:rPr>
        <w:t>Die Welt des Orients</w:t>
      </w:r>
      <w:r w:rsidRPr="00050DAE">
        <w:rPr>
          <w:rFonts w:asciiTheme="majorBidi" w:hAnsiTheme="majorBidi" w:cstheme="majorBidi"/>
        </w:rPr>
        <w:t>, 42(2).</w:t>
      </w:r>
    </w:p>
    <w:p w14:paraId="42D18FCB"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TAYLOR, G.J., 1984. ‘Judith and the Infant Hercules: Its Iconography.’ </w:t>
      </w:r>
      <w:r w:rsidRPr="00050DAE">
        <w:rPr>
          <w:rFonts w:asciiTheme="majorBidi" w:hAnsiTheme="majorBidi" w:cstheme="majorBidi"/>
          <w:i/>
          <w:iCs/>
        </w:rPr>
        <w:t>American Imago</w:t>
      </w:r>
      <w:r w:rsidRPr="00050DAE">
        <w:rPr>
          <w:rFonts w:asciiTheme="majorBidi" w:hAnsiTheme="majorBidi" w:cstheme="majorBidi"/>
        </w:rPr>
        <w:t>, 41(2).</w:t>
      </w:r>
    </w:p>
    <w:p w14:paraId="7C8636C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TAZAWA, K., 2014. ‘Astarte in New Kingdom Egypt: Reconsideration of Her Role and Function.’ In: D.T. SUGIMOTO, ed, </w:t>
      </w:r>
      <w:r w:rsidRPr="00050DAE">
        <w:rPr>
          <w:rFonts w:asciiTheme="majorBidi" w:hAnsiTheme="majorBidi" w:cstheme="majorBidi"/>
          <w:i/>
          <w:iCs/>
        </w:rPr>
        <w:t>Transformation of a Goddess: Ištar-Astarte-Aphrodite</w:t>
      </w:r>
      <w:r w:rsidRPr="00050DAE">
        <w:rPr>
          <w:rFonts w:asciiTheme="majorBidi" w:hAnsiTheme="majorBidi" w:cstheme="majorBidi"/>
        </w:rPr>
        <w:t>. Fribourg, CH: Academic Press Fribourg.</w:t>
      </w:r>
    </w:p>
    <w:p w14:paraId="43F0A745"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THOMPSON, S.M., 2024. ‘A Childlike Goddess: The Derivation of Toy and Game Imagery in “The Elevation of Ištar”.’ </w:t>
      </w:r>
      <w:r w:rsidRPr="00050DAE">
        <w:rPr>
          <w:rFonts w:asciiTheme="majorBidi" w:hAnsiTheme="majorBidi" w:cstheme="majorBidi"/>
          <w:i/>
          <w:iCs/>
        </w:rPr>
        <w:t>Journal of the American Oriental Society</w:t>
      </w:r>
      <w:r w:rsidRPr="00050DAE">
        <w:rPr>
          <w:rFonts w:asciiTheme="majorBidi" w:hAnsiTheme="majorBidi" w:cstheme="majorBidi"/>
        </w:rPr>
        <w:t>, 144(2).</w:t>
      </w:r>
    </w:p>
    <w:p w14:paraId="024DCB6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TSUKIMOTO, A., 2014. “In the Shadow of Thy Wings”: A Review of the Winged Goddess in Ancient Near Eastern Iconography. In: D.T. SUGIMOTO, ed, Transformation of a Goddess: Ištar-Astarte-Aphrodite. Fribourg, CH: Academic Press Fribourg, pp. 15-32.</w:t>
      </w:r>
    </w:p>
    <w:p w14:paraId="7D81C167"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ULBRICH, A., 2005. ‘The worship of Anat and Astarte in Cypriot Iron Age sanctuaries’. In: J. CLARKE, ed, </w:t>
      </w:r>
      <w:r w:rsidRPr="00050DAE">
        <w:rPr>
          <w:rFonts w:asciiTheme="majorBidi" w:hAnsiTheme="majorBidi" w:cstheme="majorBidi"/>
          <w:i/>
          <w:iCs/>
        </w:rPr>
        <w:t>Archaeological Perspectives on the Transmission and Transformation of Culture in the Eastern Mediterranean</w:t>
      </w:r>
      <w:r w:rsidRPr="00050DAE">
        <w:rPr>
          <w:rFonts w:asciiTheme="majorBidi" w:hAnsiTheme="majorBidi" w:cstheme="majorBidi"/>
        </w:rPr>
        <w:t>. Council for British Research in the Levant (CBRL).</w:t>
      </w:r>
    </w:p>
    <w:p w14:paraId="75E57E15"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VAN DER TOORN, K., BECKING, B. and VAN DER HORST, P.W., 1995. </w:t>
      </w:r>
      <w:r w:rsidRPr="00050DAE">
        <w:rPr>
          <w:rFonts w:asciiTheme="majorBidi" w:hAnsiTheme="majorBidi" w:cstheme="majorBidi"/>
          <w:i/>
          <w:iCs/>
        </w:rPr>
        <w:t>Dictionary Of Deities and Demons in the Bible</w:t>
      </w:r>
      <w:r w:rsidRPr="00050DAE">
        <w:rPr>
          <w:rFonts w:asciiTheme="majorBidi" w:hAnsiTheme="majorBidi" w:cstheme="majorBidi"/>
        </w:rPr>
        <w:t>. Leiden, The Netherlands: Brill.</w:t>
      </w:r>
    </w:p>
    <w:p w14:paraId="0022F188"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VANNUCCI, M., 1998. ‘The Origin of the Cult of Demeter: The Story of Hexaploid Wheat’. </w:t>
      </w:r>
      <w:r w:rsidRPr="00050DAE">
        <w:rPr>
          <w:rFonts w:asciiTheme="majorBidi" w:hAnsiTheme="majorBidi" w:cstheme="majorBidi"/>
          <w:i/>
          <w:iCs/>
        </w:rPr>
        <w:t>Annals of the Bhandarkar Oriental Research Institute</w:t>
      </w:r>
      <w:r w:rsidRPr="00050DAE">
        <w:rPr>
          <w:rFonts w:asciiTheme="majorBidi" w:hAnsiTheme="majorBidi" w:cstheme="majorBidi"/>
        </w:rPr>
        <w:t>, 79(1).</w:t>
      </w:r>
    </w:p>
    <w:p w14:paraId="5798924C" w14:textId="6C1FD6A1"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VERNANT, J.P., 1983. </w:t>
      </w:r>
      <w:r w:rsidRPr="00050DAE">
        <w:rPr>
          <w:rFonts w:asciiTheme="majorBidi" w:hAnsiTheme="majorBidi" w:cstheme="majorBidi"/>
          <w:i/>
          <w:iCs/>
        </w:rPr>
        <w:t>Myth and Thought among the Greeks</w:t>
      </w:r>
      <w:r w:rsidRPr="00050DAE">
        <w:rPr>
          <w:rFonts w:asciiTheme="majorBidi" w:hAnsiTheme="majorBidi" w:cstheme="majorBidi"/>
        </w:rPr>
        <w:t>. English ed. Boston, MA USA: Routledge &amp; Kegan Paul.</w:t>
      </w:r>
    </w:p>
    <w:p w14:paraId="133147AD"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VOGEL, H., 2021. ‘Das Schilfringbündel-Motiv in Uruk IV/III-zeitlichen Bilderken.’ VAN ESS, and MARGARETE, eds. In: </w:t>
      </w:r>
      <w:r w:rsidRPr="00050DAE">
        <w:rPr>
          <w:rFonts w:asciiTheme="majorBidi" w:hAnsiTheme="majorBidi" w:cstheme="majorBidi"/>
          <w:i/>
          <w:iCs/>
        </w:rPr>
        <w:t>8th International Colloquium of the German Orient Society, 25-26 April 2013 2021</w:t>
      </w:r>
      <w:r w:rsidRPr="00050DAE">
        <w:rPr>
          <w:rFonts w:asciiTheme="majorBidi" w:hAnsiTheme="majorBidi" w:cstheme="majorBidi"/>
        </w:rPr>
        <w:t>, Harrassowitz Publishing.</w:t>
      </w:r>
    </w:p>
    <w:p w14:paraId="64978672"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WATSON, W.G.E., 1993. ‘The Goddesses of Ugarit: A Survey.’ </w:t>
      </w:r>
      <w:r w:rsidRPr="00050DAE">
        <w:rPr>
          <w:rFonts w:asciiTheme="majorBidi" w:hAnsiTheme="majorBidi" w:cstheme="majorBidi"/>
          <w:i/>
          <w:iCs/>
        </w:rPr>
        <w:t>Studi Epigrafici e Linguistici 10</w:t>
      </w:r>
      <w:r w:rsidRPr="00050DAE">
        <w:rPr>
          <w:rFonts w:asciiTheme="majorBidi" w:hAnsiTheme="majorBidi" w:cstheme="majorBidi"/>
        </w:rPr>
        <w:t>.</w:t>
      </w:r>
    </w:p>
    <w:p w14:paraId="240DB203"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WESSELS, L., 2013. ‘An analysis of the extent to which the trickster archetype can be applied to the goddess Inanna/Ištar.’ </w:t>
      </w:r>
      <w:r w:rsidRPr="00050DAE">
        <w:rPr>
          <w:rFonts w:asciiTheme="majorBidi" w:hAnsiTheme="majorBidi" w:cstheme="majorBidi"/>
          <w:i/>
          <w:iCs/>
        </w:rPr>
        <w:t>Journal for Semitics</w:t>
      </w:r>
      <w:r w:rsidRPr="00050DAE">
        <w:rPr>
          <w:rFonts w:asciiTheme="majorBidi" w:hAnsiTheme="majorBidi" w:cstheme="majorBidi"/>
        </w:rPr>
        <w:t>, 22(1).</w:t>
      </w:r>
    </w:p>
    <w:p w14:paraId="3C72D476"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WESTENHOLZ, J.G. and GOODISON, L., 1998. ‘Goddesses of the Ancient Near East 3000-1000 BC.’ In: L. GOODISON and C. MORRIS, eds, </w:t>
      </w:r>
      <w:r w:rsidRPr="00050DAE">
        <w:rPr>
          <w:rFonts w:asciiTheme="majorBidi" w:hAnsiTheme="majorBidi" w:cstheme="majorBidi"/>
          <w:i/>
          <w:iCs/>
        </w:rPr>
        <w:t>Ancient Goddesses. The Myths and the Evidence</w:t>
      </w:r>
      <w:r w:rsidRPr="00050DAE">
        <w:rPr>
          <w:rFonts w:asciiTheme="majorBidi" w:hAnsiTheme="majorBidi" w:cstheme="majorBidi"/>
        </w:rPr>
        <w:t>. Madison, WI USA: University of Wisconsin Press, pp. 63-81.</w:t>
      </w:r>
    </w:p>
    <w:p w14:paraId="1C4D95A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WILLIAMSON, P. and HILLARY, J., 2021. </w:t>
      </w:r>
      <w:r w:rsidRPr="00050DAE">
        <w:rPr>
          <w:rFonts w:asciiTheme="majorBidi" w:hAnsiTheme="majorBidi" w:cstheme="majorBidi"/>
          <w:i/>
          <w:iCs/>
        </w:rPr>
        <w:t>Union and the Underworld: The Presence and Development of Female Agency in the Marriages of Inanna, Ereshkigal, and Persephone</w:t>
      </w:r>
      <w:r w:rsidRPr="00050DAE">
        <w:rPr>
          <w:rFonts w:asciiTheme="majorBidi" w:hAnsiTheme="majorBidi" w:cstheme="majorBidi"/>
        </w:rPr>
        <w:t>, Pacifica Graduate Institute.</w:t>
      </w:r>
    </w:p>
    <w:p w14:paraId="6771DE09"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WIMBER, K.M., 2007. </w:t>
      </w:r>
      <w:r w:rsidRPr="00050DAE">
        <w:rPr>
          <w:rFonts w:asciiTheme="majorBidi" w:hAnsiTheme="majorBidi" w:cstheme="majorBidi"/>
          <w:i/>
          <w:iCs/>
        </w:rPr>
        <w:t>Four Greco-Roman Era Temples of near Eastern Fertility Goddesses: An Analysis of Architectural Tradition</w:t>
      </w:r>
      <w:r w:rsidRPr="00050DAE">
        <w:rPr>
          <w:rFonts w:asciiTheme="majorBidi" w:hAnsiTheme="majorBidi" w:cstheme="majorBidi"/>
        </w:rPr>
        <w:t>, Brigham Young University.</w:t>
      </w:r>
    </w:p>
    <w:p w14:paraId="165FE0FB"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WYATT, N., 2009. ‘The Concept and Purpose of Hell: Its Nature and Development in West Semitic Thought.’ </w:t>
      </w:r>
      <w:r w:rsidRPr="00050DAE">
        <w:rPr>
          <w:rFonts w:asciiTheme="majorBidi" w:hAnsiTheme="majorBidi" w:cstheme="majorBidi"/>
          <w:i/>
          <w:iCs/>
        </w:rPr>
        <w:t>Numen</w:t>
      </w:r>
      <w:r w:rsidRPr="00050DAE">
        <w:rPr>
          <w:rFonts w:asciiTheme="majorBidi" w:hAnsiTheme="majorBidi" w:cstheme="majorBidi"/>
        </w:rPr>
        <w:t>, 56(2).</w:t>
      </w:r>
    </w:p>
    <w:p w14:paraId="7746AB43"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YAMAUCHI, E.M., 1965. ‘Tammuz and the Bible.’ </w:t>
      </w:r>
      <w:r w:rsidRPr="00050DAE">
        <w:rPr>
          <w:rFonts w:asciiTheme="majorBidi" w:hAnsiTheme="majorBidi" w:cstheme="majorBidi"/>
          <w:i/>
          <w:iCs/>
        </w:rPr>
        <w:t>Journal of Biblical Literature</w:t>
      </w:r>
      <w:r w:rsidRPr="00050DAE">
        <w:rPr>
          <w:rFonts w:asciiTheme="majorBidi" w:hAnsiTheme="majorBidi" w:cstheme="majorBidi"/>
        </w:rPr>
        <w:t>, 84(3).</w:t>
      </w:r>
    </w:p>
    <w:p w14:paraId="6D251E60" w14:textId="77777777" w:rsidR="00014F8D" w:rsidRPr="00050DAE" w:rsidRDefault="00014F8D" w:rsidP="00F6666F">
      <w:pPr>
        <w:pStyle w:val="Bibliography"/>
        <w:rPr>
          <w:rFonts w:asciiTheme="majorBidi" w:hAnsiTheme="majorBidi" w:cstheme="majorBidi"/>
        </w:rPr>
      </w:pPr>
      <w:r w:rsidRPr="00050DAE">
        <w:rPr>
          <w:rFonts w:asciiTheme="majorBidi" w:hAnsiTheme="majorBidi" w:cstheme="majorBidi"/>
        </w:rPr>
        <w:t xml:space="preserve">ZETTLER, R.L., 2003. ‘Reconstructing the World of Ancient Mesopotamia: Divided Beginnings and Holistic History.’ </w:t>
      </w:r>
      <w:r w:rsidRPr="00050DAE">
        <w:rPr>
          <w:rFonts w:asciiTheme="majorBidi" w:hAnsiTheme="majorBidi" w:cstheme="majorBidi"/>
          <w:i/>
          <w:iCs/>
        </w:rPr>
        <w:t>Journal of the Economic &amp; Social History of the Orient</w:t>
      </w:r>
      <w:r w:rsidRPr="00050DAE">
        <w:rPr>
          <w:rFonts w:asciiTheme="majorBidi" w:hAnsiTheme="majorBidi" w:cstheme="majorBidi"/>
        </w:rPr>
        <w:t>, 46(1).</w:t>
      </w:r>
    </w:p>
    <w:p w14:paraId="5EB14F8B" w14:textId="77777777" w:rsidR="00900462" w:rsidRPr="00050DAE" w:rsidRDefault="00900462" w:rsidP="00900462">
      <w:pPr>
        <w:pStyle w:val="Caption"/>
        <w:rPr>
          <w:rFonts w:asciiTheme="majorBidi" w:hAnsiTheme="majorBidi" w:cstheme="majorBidi"/>
        </w:rPr>
      </w:pPr>
    </w:p>
    <w:sectPr w:rsidR="00900462" w:rsidRPr="00050DAE" w:rsidSect="00865517">
      <w:footerReference w:type="default" r:id="rId50"/>
      <w:footnotePr>
        <w:numRestart w:val="eachSect"/>
      </w:footnotePr>
      <w:pgSz w:w="11906" w:h="16838"/>
      <w:pgMar w:top="1206"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D856E" w14:textId="77777777" w:rsidR="00357D13" w:rsidRPr="00991402" w:rsidRDefault="00357D13" w:rsidP="000634E2">
      <w:pPr>
        <w:spacing w:after="0" w:line="240" w:lineRule="auto"/>
      </w:pPr>
      <w:r w:rsidRPr="00991402">
        <w:separator/>
      </w:r>
    </w:p>
  </w:endnote>
  <w:endnote w:type="continuationSeparator" w:id="0">
    <w:p w14:paraId="70DCBC35" w14:textId="77777777" w:rsidR="00357D13" w:rsidRPr="00991402" w:rsidRDefault="00357D13" w:rsidP="000634E2">
      <w:pPr>
        <w:spacing w:after="0" w:line="240" w:lineRule="auto"/>
      </w:pPr>
      <w:r w:rsidRPr="009914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88E57" w14:textId="77777777" w:rsidR="00DF319B" w:rsidRPr="00DF319B" w:rsidRDefault="00DF319B" w:rsidP="00DF319B">
    <w:pPr>
      <w:pStyle w:val="Footer"/>
      <w:rPr>
        <w:rFonts w:ascii="Times New Roman" w:hAnsi="Times New Roman" w:cs="Times New Roman"/>
      </w:rPr>
    </w:pPr>
    <w:r w:rsidRPr="00DF319B">
      <w:rPr>
        <w:rFonts w:ascii="Times New Roman" w:hAnsi="Times New Roman" w:cs="Times New Roman"/>
      </w:rPr>
      <w:t>Kyle T. Cobb, Jr.</w:t>
    </w:r>
    <w:r w:rsidRPr="00DF319B">
      <w:rPr>
        <w:rFonts w:ascii="Times New Roman" w:hAnsi="Times New Roman" w:cs="Times New Roman"/>
      </w:rPr>
      <w:ptab w:relativeTo="margin" w:alignment="center" w:leader="none"/>
    </w:r>
    <w:r w:rsidRPr="00DF319B">
      <w:rPr>
        <w:rFonts w:ascii="Times New Roman" w:hAnsi="Times New Roman" w:cs="Times New Roman"/>
      </w:rPr>
      <w:ptab w:relativeTo="margin" w:alignment="right" w:leader="none"/>
    </w:r>
    <w:r w:rsidRPr="00DF319B">
      <w:rPr>
        <w:rFonts w:ascii="Times New Roman" w:hAnsi="Times New Roman" w:cs="Times New Roman"/>
      </w:rPr>
      <w:t xml:space="preserve"> University of Wales Trinity Saint David</w:t>
    </w:r>
  </w:p>
  <w:p w14:paraId="4B329B31" w14:textId="77777777" w:rsidR="00DF319B" w:rsidRPr="00DF319B" w:rsidRDefault="00DF319B">
    <w:pPr>
      <w:pStyle w:val="Foo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44B75" w14:textId="5302FEA2" w:rsidR="008409D6" w:rsidRPr="00991402" w:rsidRDefault="00616D5B" w:rsidP="00DF319B">
    <w:pPr>
      <w:pStyle w:val="Footer"/>
      <w:rPr>
        <w:rFonts w:ascii="Times New Roman" w:hAnsi="Times New Roman" w:cs="Times New Roman"/>
      </w:rPr>
    </w:pPr>
    <w:r w:rsidRPr="00991402">
      <w:rPr>
        <w:rFonts w:ascii="Times New Roman" w:hAnsi="Times New Roman" w:cs="Times New Roman"/>
      </w:rPr>
      <w:t>Kyle T. Cobb, Jr.</w:t>
    </w:r>
    <w:r w:rsidRPr="00991402">
      <w:rPr>
        <w:rFonts w:ascii="Times New Roman" w:hAnsi="Times New Roman" w:cs="Times New Roman"/>
      </w:rPr>
      <w:ptab w:relativeTo="margin" w:alignment="center" w:leader="none"/>
    </w:r>
    <w:r w:rsidRPr="00991402">
      <w:rPr>
        <w:rFonts w:ascii="Times New Roman" w:hAnsi="Times New Roman" w:cs="Times New Roman"/>
      </w:rPr>
      <w:ptab w:relativeTo="margin" w:alignment="right" w:leader="none"/>
    </w:r>
    <w:r w:rsidR="00DF319B" w:rsidRPr="00DF319B">
      <w:t xml:space="preserve"> </w:t>
    </w:r>
    <w:r w:rsidR="00DF319B" w:rsidRPr="00DF319B">
      <w:rPr>
        <w:rFonts w:ascii="Times New Roman" w:hAnsi="Times New Roman" w:cs="Times New Roman"/>
      </w:rPr>
      <w:t>University of Wales Trinity Saint David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BFF5D" w14:textId="43A77E9A" w:rsidR="000634E2" w:rsidRPr="00991402" w:rsidRDefault="00616D5B">
    <w:pPr>
      <w:pStyle w:val="Footer"/>
      <w:rPr>
        <w:rFonts w:asciiTheme="majorBidi" w:hAnsiTheme="majorBidi" w:cstheme="majorBidi"/>
      </w:rPr>
    </w:pPr>
    <w:r w:rsidRPr="00991402">
      <w:rPr>
        <w:rFonts w:asciiTheme="majorBidi" w:hAnsiTheme="majorBidi" w:cstheme="majorBidi"/>
      </w:rPr>
      <w:t>Kyle T. Cobb, Jr.</w:t>
    </w:r>
    <w:r w:rsidR="000634E2" w:rsidRPr="00991402">
      <w:rPr>
        <w:rFonts w:asciiTheme="majorBidi" w:hAnsiTheme="majorBidi" w:cstheme="majorBidi"/>
      </w:rPr>
      <w:ptab w:relativeTo="margin" w:alignment="center" w:leader="none"/>
    </w:r>
    <w:r w:rsidR="000634E2" w:rsidRPr="00991402">
      <w:rPr>
        <w:rFonts w:asciiTheme="majorBidi" w:hAnsiTheme="majorBidi" w:cstheme="majorBidi"/>
      </w:rPr>
      <w:ptab w:relativeTo="margin" w:alignment="right" w:leader="none"/>
    </w:r>
    <w:r w:rsidR="00DF319B" w:rsidRPr="00DF319B">
      <w:t xml:space="preserve"> </w:t>
    </w:r>
    <w:r w:rsidR="00DF319B" w:rsidRPr="00DF319B">
      <w:rPr>
        <w:rFonts w:asciiTheme="majorBidi" w:hAnsiTheme="majorBidi" w:cstheme="majorBidi"/>
      </w:rPr>
      <w:t>University of Wales Trinity Saint David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F7A9E" w14:textId="77777777" w:rsidR="00865517" w:rsidRPr="00991402" w:rsidRDefault="00865517">
    <w:pPr>
      <w:pStyle w:val="Footer"/>
      <w:rPr>
        <w:rFonts w:asciiTheme="majorBidi" w:hAnsiTheme="majorBidi" w:cstheme="majorBidi"/>
      </w:rPr>
    </w:pPr>
    <w:r w:rsidRPr="00991402">
      <w:rPr>
        <w:rFonts w:asciiTheme="majorBidi" w:hAnsiTheme="majorBidi" w:cstheme="majorBidi"/>
      </w:rPr>
      <w:t>Kyle T. Cobb, Jr.</w:t>
    </w:r>
    <w:r w:rsidRPr="00991402">
      <w:rPr>
        <w:rFonts w:asciiTheme="majorBidi" w:hAnsiTheme="majorBidi" w:cstheme="majorBidi"/>
      </w:rPr>
      <w:ptab w:relativeTo="margin" w:alignment="center" w:leader="none"/>
    </w:r>
    <w:r w:rsidRPr="00991402">
      <w:rPr>
        <w:rFonts w:asciiTheme="majorBidi" w:hAnsiTheme="majorBidi" w:cstheme="majorBidi"/>
      </w:rPr>
      <w:fldChar w:fldCharType="begin"/>
    </w:r>
    <w:r w:rsidRPr="00991402">
      <w:rPr>
        <w:rFonts w:asciiTheme="majorBidi" w:hAnsiTheme="majorBidi" w:cstheme="majorBidi"/>
      </w:rPr>
      <w:instrText>PAGE   \* MERGEFORMAT</w:instrText>
    </w:r>
    <w:r w:rsidRPr="00991402">
      <w:rPr>
        <w:rFonts w:asciiTheme="majorBidi" w:hAnsiTheme="majorBidi" w:cstheme="majorBidi"/>
      </w:rPr>
      <w:fldChar w:fldCharType="separate"/>
    </w:r>
    <w:r w:rsidRPr="00991402">
      <w:rPr>
        <w:rFonts w:asciiTheme="majorBidi" w:hAnsiTheme="majorBidi" w:cstheme="majorBidi"/>
      </w:rPr>
      <w:t>1</w:t>
    </w:r>
    <w:r w:rsidRPr="00991402">
      <w:rPr>
        <w:rFonts w:asciiTheme="majorBidi" w:hAnsiTheme="majorBidi" w:cstheme="majorBidi"/>
      </w:rPr>
      <w:fldChar w:fldCharType="end"/>
    </w:r>
    <w:r w:rsidRPr="00991402">
      <w:rPr>
        <w:rFonts w:asciiTheme="majorBidi" w:hAnsiTheme="majorBidi" w:cstheme="majorBidi"/>
      </w:rPr>
      <w:ptab w:relativeTo="margin" w:alignment="right" w:leader="none"/>
    </w:r>
    <w:r w:rsidRPr="00DF319B">
      <w:t xml:space="preserve"> </w:t>
    </w:r>
    <w:r w:rsidRPr="00DF319B">
      <w:rPr>
        <w:rFonts w:asciiTheme="majorBidi" w:hAnsiTheme="majorBidi" w:cstheme="majorBidi"/>
      </w:rPr>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0BDE2" w14:textId="77777777" w:rsidR="00357D13" w:rsidRPr="00991402" w:rsidRDefault="00357D13" w:rsidP="000634E2">
      <w:pPr>
        <w:spacing w:after="0" w:line="240" w:lineRule="auto"/>
      </w:pPr>
      <w:r w:rsidRPr="00991402">
        <w:separator/>
      </w:r>
    </w:p>
  </w:footnote>
  <w:footnote w:type="continuationSeparator" w:id="0">
    <w:p w14:paraId="29F26578" w14:textId="77777777" w:rsidR="00357D13" w:rsidRPr="00991402" w:rsidRDefault="00357D13" w:rsidP="000634E2">
      <w:pPr>
        <w:spacing w:after="0" w:line="240" w:lineRule="auto"/>
      </w:pPr>
      <w:r w:rsidRPr="00991402">
        <w:continuationSeparator/>
      </w:r>
    </w:p>
  </w:footnote>
  <w:footnote w:id="1">
    <w:p w14:paraId="0567D6B2" w14:textId="77777777" w:rsidR="00504FF2" w:rsidRPr="007816A0" w:rsidRDefault="00504FF2" w:rsidP="00280D0B">
      <w:pPr>
        <w:pStyle w:val="FootnoteText"/>
        <w:rPr>
          <w:rFonts w:cs="Times New Roman"/>
        </w:rPr>
      </w:pPr>
      <w:r w:rsidRPr="007816A0">
        <w:rPr>
          <w:rStyle w:val="FootnoteReference"/>
          <w:rFonts w:cs="Times New Roman"/>
          <w:b/>
          <w:bCs/>
          <w:vanish/>
        </w:rPr>
        <w:footnoteRef/>
      </w:r>
      <w:r w:rsidRPr="007816A0">
        <w:rPr>
          <w:rFonts w:cs="Times New Roman"/>
          <w:vanish/>
        </w:rPr>
        <w:t xml:space="preserve"> </w:t>
      </w:r>
      <w:r w:rsidRPr="007816A0">
        <w:rPr>
          <w:rFonts w:cs="Times New Roman"/>
        </w:rPr>
        <w:t>Conventions used in this analysis:</w:t>
      </w:r>
    </w:p>
    <w:p w14:paraId="63CE899C" w14:textId="49DD5781" w:rsidR="00504FF2" w:rsidRDefault="00504FF2" w:rsidP="00280D0B">
      <w:pPr>
        <w:pStyle w:val="FootnoteText"/>
        <w:rPr>
          <w:rFonts w:cs="Times New Roman"/>
        </w:rPr>
      </w:pPr>
      <w:r w:rsidRPr="007816A0">
        <w:rPr>
          <w:rFonts w:cs="Times New Roman"/>
        </w:rPr>
        <w:t>Inanna, Ištar, Anat, Astarte</w:t>
      </w:r>
      <w:r w:rsidR="004F39C8" w:rsidRPr="007816A0">
        <w:rPr>
          <w:rFonts w:cs="Times New Roman"/>
        </w:rPr>
        <w:t xml:space="preserve">, Dumuzi, </w:t>
      </w:r>
      <w:r w:rsidR="00323CEE" w:rsidRPr="007816A0">
        <w:rPr>
          <w:rFonts w:cs="Times New Roman"/>
        </w:rPr>
        <w:t>Ereškigal</w:t>
      </w:r>
      <w:r w:rsidR="009B290D" w:rsidRPr="007816A0">
        <w:rPr>
          <w:rFonts w:cs="Times New Roman"/>
        </w:rPr>
        <w:t xml:space="preserve">, </w:t>
      </w:r>
      <w:r w:rsidR="004F39C8" w:rsidRPr="007816A0">
        <w:rPr>
          <w:rFonts w:cs="Times New Roman"/>
        </w:rPr>
        <w:t xml:space="preserve">and E-anna </w:t>
      </w:r>
      <w:r w:rsidRPr="007816A0">
        <w:rPr>
          <w:rFonts w:cs="Times New Roman"/>
        </w:rPr>
        <w:t>will be spelled this way except where directly quoted or when included in a reference title. In the case of name variances</w:t>
      </w:r>
      <w:r w:rsidR="0034442B" w:rsidRPr="007816A0">
        <w:rPr>
          <w:rFonts w:cs="Times New Roman"/>
        </w:rPr>
        <w:t>,</w:t>
      </w:r>
      <w:r w:rsidRPr="007816A0">
        <w:rPr>
          <w:rFonts w:cs="Times New Roman"/>
        </w:rPr>
        <w:t xml:space="preserve"> such as</w:t>
      </w:r>
      <w:r w:rsidR="00F42C20" w:rsidRPr="007816A0">
        <w:rPr>
          <w:rFonts w:cs="Times New Roman"/>
        </w:rPr>
        <w:t xml:space="preserve"> </w:t>
      </w:r>
      <w:r w:rsidR="00F42C20" w:rsidRPr="007816A0">
        <w:rPr>
          <w:rFonts w:cs="Times New Roman"/>
          <w:vertAlign w:val="superscript"/>
        </w:rPr>
        <w:t>d</w:t>
      </w:r>
      <w:r w:rsidR="00F42C20" w:rsidRPr="007816A0">
        <w:rPr>
          <w:rFonts w:cs="Times New Roman"/>
        </w:rPr>
        <w:t xml:space="preserve">Inanna, </w:t>
      </w:r>
      <w:r w:rsidR="00F42C20" w:rsidRPr="007816A0">
        <w:rPr>
          <w:rFonts w:cs="Times New Roman"/>
          <w:vertAlign w:val="superscript"/>
        </w:rPr>
        <w:t>c</w:t>
      </w:r>
      <w:r w:rsidRPr="007816A0">
        <w:rPr>
          <w:rFonts w:cs="Times New Roman"/>
        </w:rPr>
        <w:t xml:space="preserve">Anath </w:t>
      </w:r>
      <w:r w:rsidR="0034442B" w:rsidRPr="007816A0">
        <w:rPr>
          <w:rFonts w:cs="Times New Roman"/>
        </w:rPr>
        <w:t>and</w:t>
      </w:r>
      <w:r w:rsidRPr="007816A0">
        <w:rPr>
          <w:rFonts w:cs="Times New Roman"/>
        </w:rPr>
        <w:t xml:space="preserve"> </w:t>
      </w:r>
      <w:r w:rsidR="00F42C20" w:rsidRPr="007816A0">
        <w:rPr>
          <w:rFonts w:cs="Times New Roman"/>
          <w:vertAlign w:val="superscript"/>
        </w:rPr>
        <w:t>c</w:t>
      </w:r>
      <w:r w:rsidRPr="007816A0">
        <w:rPr>
          <w:rFonts w:cs="Times New Roman"/>
        </w:rPr>
        <w:t xml:space="preserve">Anat, the same rules for spelling will apply. Netherworld will be spelled as one word unless directly quoted or when included in a reference title. </w:t>
      </w:r>
      <w:r w:rsidR="00E844B5" w:rsidRPr="007816A0">
        <w:rPr>
          <w:rFonts w:cs="Times New Roman"/>
        </w:rPr>
        <w:t xml:space="preserve">Although many earlier translations of </w:t>
      </w:r>
      <w:r w:rsidR="00E844B5" w:rsidRPr="007816A0">
        <w:rPr>
          <w:rFonts w:cs="Times New Roman"/>
          <w:i/>
          <w:iCs/>
        </w:rPr>
        <w:t>Inana’s Descent to the Netherworld</w:t>
      </w:r>
      <w:r w:rsidR="00E844B5" w:rsidRPr="007816A0">
        <w:rPr>
          <w:rFonts w:cs="Times New Roman"/>
        </w:rPr>
        <w:t xml:space="preserve"> render the goddess’s name as “Inana,” this dissertation follows current scholarly convention in using “Inanna” throughout and refers to the text uniformly as </w:t>
      </w:r>
      <w:r w:rsidR="00E844B5" w:rsidRPr="007816A0">
        <w:rPr>
          <w:rFonts w:cs="Times New Roman"/>
          <w:i/>
          <w:iCs/>
        </w:rPr>
        <w:t>Inanna’s Descent to the Netherworld</w:t>
      </w:r>
      <w:r w:rsidR="00E844B5" w:rsidRPr="007816A0">
        <w:rPr>
          <w:rFonts w:cs="Times New Roman"/>
        </w:rPr>
        <w:t xml:space="preserve">, except in direct quotations. </w:t>
      </w:r>
      <w:r w:rsidRPr="007816A0">
        <w:rPr>
          <w:rFonts w:cs="Times New Roman"/>
        </w:rPr>
        <w:t xml:space="preserve">The sacred </w:t>
      </w:r>
      <w:r w:rsidRPr="007816A0">
        <w:rPr>
          <w:rFonts w:cs="Times New Roman"/>
          <w:b/>
          <w:bCs/>
          <w:i/>
          <w:iCs/>
        </w:rPr>
        <w:t>me</w:t>
      </w:r>
      <w:r w:rsidRPr="007816A0">
        <w:rPr>
          <w:rFonts w:cs="Times New Roman"/>
        </w:rPr>
        <w:t xml:space="preserve"> will always </w:t>
      </w:r>
      <w:r w:rsidR="0034442B" w:rsidRPr="007816A0">
        <w:rPr>
          <w:rFonts w:cs="Times New Roman"/>
        </w:rPr>
        <w:t xml:space="preserve">be </w:t>
      </w:r>
      <w:r w:rsidRPr="007816A0">
        <w:rPr>
          <w:rFonts w:cs="Times New Roman"/>
        </w:rPr>
        <w:t xml:space="preserve">printed in bold to distinguish it from the first-person singular pronoun. The plural will be </w:t>
      </w:r>
      <w:r w:rsidR="00796F8A" w:rsidRPr="007816A0">
        <w:rPr>
          <w:rFonts w:cs="Times New Roman"/>
        </w:rPr>
        <w:t xml:space="preserve">written </w:t>
      </w:r>
      <w:r w:rsidRPr="007816A0">
        <w:rPr>
          <w:rFonts w:cs="Times New Roman"/>
          <w:b/>
          <w:bCs/>
          <w:i/>
          <w:iCs/>
        </w:rPr>
        <w:t>me</w:t>
      </w:r>
      <w:r w:rsidRPr="007816A0">
        <w:rPr>
          <w:rFonts w:cs="Times New Roman"/>
        </w:rPr>
        <w:t xml:space="preserve">s, with the </w:t>
      </w:r>
      <w:r w:rsidR="00A652AD" w:rsidRPr="007816A0">
        <w:rPr>
          <w:rFonts w:cs="Times New Roman"/>
        </w:rPr>
        <w:t>“</w:t>
      </w:r>
      <w:r w:rsidRPr="007816A0">
        <w:rPr>
          <w:rFonts w:cs="Times New Roman"/>
        </w:rPr>
        <w:t>s</w:t>
      </w:r>
      <w:r w:rsidR="00A652AD" w:rsidRPr="007816A0">
        <w:rPr>
          <w:rFonts w:cs="Times New Roman"/>
        </w:rPr>
        <w:t>”</w:t>
      </w:r>
      <w:r w:rsidRPr="007816A0">
        <w:rPr>
          <w:rFonts w:cs="Times New Roman"/>
        </w:rPr>
        <w:t xml:space="preserve"> not in bold.</w:t>
      </w:r>
    </w:p>
    <w:p w14:paraId="155FD945" w14:textId="77777777" w:rsidR="00230A5D" w:rsidRPr="007816A0" w:rsidRDefault="00230A5D" w:rsidP="00280D0B">
      <w:pPr>
        <w:pStyle w:val="FootnoteText"/>
        <w:rPr>
          <w:rFonts w:cs="Times New Roman"/>
        </w:rPr>
      </w:pPr>
    </w:p>
  </w:footnote>
  <w:footnote w:id="2">
    <w:p w14:paraId="2A016881" w14:textId="6E0559AA" w:rsidR="002175E1" w:rsidRPr="002175E1" w:rsidRDefault="002175E1">
      <w:pPr>
        <w:pStyle w:val="FootnoteText"/>
        <w:rPr>
          <w:lang w:val="en-US"/>
        </w:rPr>
      </w:pPr>
      <w:r>
        <w:rPr>
          <w:rStyle w:val="FootnoteReference"/>
        </w:rPr>
        <w:footnoteRef/>
      </w:r>
      <w:r>
        <w:t xml:space="preserve"> </w:t>
      </w:r>
      <w:r w:rsidRPr="002175E1">
        <w:t>Warka Vase (detail of Inanna receiving offerings), c. 3200–3000 BCE, alabaster, Iraq Museum, modified photograph from ©2019 Amin.</w:t>
      </w:r>
    </w:p>
  </w:footnote>
  <w:footnote w:id="3">
    <w:p w14:paraId="0670BFFF" w14:textId="34FA0C91" w:rsidR="00064013" w:rsidRPr="007816A0" w:rsidRDefault="00504FF2"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Descent, </w:t>
      </w:r>
      <w:r w:rsidR="00D15DF2" w:rsidRPr="007816A0">
        <w:rPr>
          <w:rFonts w:cs="Times New Roman"/>
        </w:rPr>
        <w:t>vv</w:t>
      </w:r>
      <w:r w:rsidR="00BF7940" w:rsidRPr="007816A0">
        <w:rPr>
          <w:rFonts w:cs="Times New Roman"/>
        </w:rPr>
        <w:t>.</w:t>
      </w:r>
      <w:r w:rsidRPr="007816A0">
        <w:rPr>
          <w:rFonts w:cs="Times New Roman"/>
        </w:rPr>
        <w:t xml:space="preserve"> 1-5.</w:t>
      </w:r>
    </w:p>
  </w:footnote>
  <w:footnote w:id="4">
    <w:p w14:paraId="75055FE9" w14:textId="3D11C992" w:rsidR="00D15DF2" w:rsidRPr="007816A0" w:rsidRDefault="00D15DF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C83237" w:rsidRPr="007816A0">
        <w:rPr>
          <w:rFonts w:cs="Times New Roman"/>
        </w:rPr>
        <w:t xml:space="preserve">Kramer 1950, 361. </w:t>
      </w:r>
      <w:r w:rsidRPr="007816A0">
        <w:rPr>
          <w:rFonts w:cs="Times New Roman"/>
        </w:rPr>
        <w:t>Kramer, Wolkstein 1983, 127.</w:t>
      </w:r>
    </w:p>
  </w:footnote>
  <w:footnote w:id="5">
    <w:p w14:paraId="3A858503" w14:textId="27068BF8" w:rsidR="006C0E3A" w:rsidRPr="007816A0" w:rsidRDefault="006C0E3A"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FE4D39" w:rsidRPr="007816A0">
        <w:rPr>
          <w:rFonts w:cs="Times New Roman"/>
        </w:rPr>
        <w:t>Kramer 1950</w:t>
      </w:r>
      <w:r w:rsidRPr="007816A0">
        <w:rPr>
          <w:rFonts w:cs="Times New Roman"/>
        </w:rPr>
        <w:t>, 361-36</w:t>
      </w:r>
      <w:r w:rsidR="001754AC" w:rsidRPr="007816A0">
        <w:rPr>
          <w:rFonts w:cs="Times New Roman"/>
        </w:rPr>
        <w:t>3</w:t>
      </w:r>
      <w:r w:rsidRPr="007816A0">
        <w:rPr>
          <w:rFonts w:cs="Times New Roman"/>
        </w:rPr>
        <w:t>.</w:t>
      </w:r>
      <w:r w:rsidR="001754AC" w:rsidRPr="007816A0">
        <w:rPr>
          <w:rFonts w:cs="Times New Roman"/>
        </w:rPr>
        <w:t xml:space="preserve"> </w:t>
      </w:r>
      <w:r w:rsidR="00B15F70" w:rsidRPr="007816A0">
        <w:rPr>
          <w:rFonts w:cs="Times New Roman"/>
        </w:rPr>
        <w:t>Kramer 1940A</w:t>
      </w:r>
      <w:r w:rsidR="001754AC" w:rsidRPr="007816A0">
        <w:rPr>
          <w:rFonts w:cs="Times New Roman"/>
        </w:rPr>
        <w:t xml:space="preserve">, 19. </w:t>
      </w:r>
      <w:r w:rsidR="002A2120" w:rsidRPr="007816A0">
        <w:rPr>
          <w:rFonts w:cs="Times New Roman"/>
        </w:rPr>
        <w:t>Kramer 1980B</w:t>
      </w:r>
      <w:r w:rsidR="001754AC" w:rsidRPr="007816A0">
        <w:rPr>
          <w:rFonts w:cs="Times New Roman"/>
        </w:rPr>
        <w:t xml:space="preserve">, 299. </w:t>
      </w:r>
      <w:r w:rsidR="000E4620" w:rsidRPr="007816A0">
        <w:rPr>
          <w:rFonts w:cs="Times New Roman"/>
        </w:rPr>
        <w:t>Black et al. ETCSL Descent</w:t>
      </w:r>
      <w:r w:rsidR="001754AC" w:rsidRPr="007816A0">
        <w:rPr>
          <w:rFonts w:cs="Times New Roman"/>
        </w:rPr>
        <w:t>.</w:t>
      </w:r>
    </w:p>
  </w:footnote>
  <w:footnote w:id="6">
    <w:p w14:paraId="12EF2A01" w14:textId="6025B04C" w:rsidR="00D600F2" w:rsidRPr="007816A0" w:rsidRDefault="00D600F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6F3C84" w:rsidRPr="007816A0">
        <w:rPr>
          <w:rFonts w:cs="Times New Roman"/>
        </w:rPr>
        <w:t xml:space="preserve">As Mandelbaum translates, </w:t>
      </w:r>
      <w:r w:rsidR="00A652AD" w:rsidRPr="007816A0">
        <w:rPr>
          <w:rFonts w:cs="Times New Roman"/>
        </w:rPr>
        <w:t>“</w:t>
      </w:r>
      <w:r w:rsidR="006F3C84" w:rsidRPr="007816A0">
        <w:rPr>
          <w:rFonts w:cs="Times New Roman"/>
        </w:rPr>
        <w:t>Abandon Every Hope, Who Enter Here.</w:t>
      </w:r>
      <w:r w:rsidR="00A652AD" w:rsidRPr="007816A0">
        <w:rPr>
          <w:rFonts w:cs="Times New Roman"/>
        </w:rPr>
        <w:t>”</w:t>
      </w:r>
      <w:r w:rsidR="00694483" w:rsidRPr="007816A0">
        <w:rPr>
          <w:rFonts w:cs="Times New Roman"/>
        </w:rPr>
        <w:t xml:space="preserve"> Dante 1980, </w:t>
      </w:r>
      <w:r w:rsidR="00694483" w:rsidRPr="007816A0">
        <w:rPr>
          <w:rFonts w:cs="Times New Roman"/>
          <w:i/>
          <w:iCs/>
        </w:rPr>
        <w:t>Inferno</w:t>
      </w:r>
      <w:r w:rsidR="00694483" w:rsidRPr="007816A0">
        <w:rPr>
          <w:rFonts w:cs="Times New Roman"/>
        </w:rPr>
        <w:t xml:space="preserve"> 3.9.</w:t>
      </w:r>
    </w:p>
  </w:footnote>
  <w:footnote w:id="7">
    <w:p w14:paraId="67507C4B" w14:textId="318D35F3" w:rsidR="001C23CD" w:rsidRPr="007816A0" w:rsidRDefault="001C23CD"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6100C1" w:rsidRPr="007816A0">
        <w:rPr>
          <w:rFonts w:cs="Times New Roman"/>
        </w:rPr>
        <w:t>Rhetorically, prior to</w:t>
      </w:r>
      <w:r w:rsidRPr="007816A0">
        <w:rPr>
          <w:rFonts w:cs="Times New Roman"/>
        </w:rPr>
        <w:t xml:space="preserve"> </w:t>
      </w:r>
      <w:r w:rsidRPr="007816A0">
        <w:rPr>
          <w:rFonts w:cs="Times New Roman"/>
          <w:i/>
          <w:iCs/>
        </w:rPr>
        <w:t>Inanna</w:t>
      </w:r>
      <w:r w:rsidR="006100C1" w:rsidRPr="007816A0">
        <w:rPr>
          <w:rFonts w:cs="Times New Roman"/>
          <w:i/>
          <w:iCs/>
        </w:rPr>
        <w:t>’s Descent</w:t>
      </w:r>
      <w:r w:rsidRPr="007816A0">
        <w:rPr>
          <w:rFonts w:cs="Times New Roman"/>
        </w:rPr>
        <w:t xml:space="preserve">, </w:t>
      </w:r>
      <w:r w:rsidR="00AD2681" w:rsidRPr="007816A0">
        <w:rPr>
          <w:rFonts w:cs="Times New Roman"/>
        </w:rPr>
        <w:t>Enki had to father a divine child whose sacrifice secured the moon god Nanna's release from the Netherworld</w:t>
      </w:r>
      <w:r w:rsidRPr="007816A0">
        <w:rPr>
          <w:rFonts w:cs="Times New Roman"/>
        </w:rPr>
        <w:t>. Jacobsen 1976, 103-104.</w:t>
      </w:r>
    </w:p>
  </w:footnote>
  <w:footnote w:id="8">
    <w:p w14:paraId="239B8B84" w14:textId="537CD35C" w:rsidR="006C0E3A" w:rsidRPr="007816A0" w:rsidRDefault="006C0E3A" w:rsidP="00280D0B">
      <w:pPr>
        <w:pStyle w:val="FootnoteText"/>
        <w:rPr>
          <w:rFonts w:cs="Times New Roman"/>
        </w:rPr>
      </w:pPr>
      <w:r w:rsidRPr="007816A0">
        <w:rPr>
          <w:rStyle w:val="FootnoteReference"/>
          <w:rFonts w:cs="Times New Roman"/>
        </w:rPr>
        <w:footnoteRef/>
      </w:r>
      <w:r w:rsidRPr="007816A0">
        <w:rPr>
          <w:rFonts w:cs="Times New Roman"/>
        </w:rPr>
        <w:t xml:space="preserve"> Parnell 1998, 5. Kovacs 1998, 32.</w:t>
      </w:r>
    </w:p>
  </w:footnote>
  <w:footnote w:id="9">
    <w:p w14:paraId="4F64AB77" w14:textId="77777777" w:rsidR="00996232" w:rsidRPr="007816A0" w:rsidRDefault="00996232" w:rsidP="00996232">
      <w:pPr>
        <w:pStyle w:val="FootnoteText"/>
        <w:rPr>
          <w:rFonts w:cs="Times New Roman"/>
        </w:rPr>
      </w:pPr>
      <w:r w:rsidRPr="007816A0">
        <w:rPr>
          <w:rStyle w:val="FootnoteReference"/>
          <w:rFonts w:cs="Times New Roman"/>
        </w:rPr>
        <w:footnoteRef/>
      </w:r>
      <w:r w:rsidRPr="007816A0">
        <w:rPr>
          <w:rFonts w:cs="Times New Roman"/>
        </w:rPr>
        <w:t xml:space="preserve"> López-Ruiz 2014C, 154.</w:t>
      </w:r>
    </w:p>
  </w:footnote>
  <w:footnote w:id="10">
    <w:p w14:paraId="7EAA3968" w14:textId="7B834652" w:rsidR="00393B77" w:rsidRPr="007816A0" w:rsidRDefault="00393B77" w:rsidP="00393B77">
      <w:pPr>
        <w:pStyle w:val="FootnoteText"/>
        <w:rPr>
          <w:rFonts w:cs="Times New Roman"/>
        </w:rPr>
      </w:pPr>
      <w:r w:rsidRPr="007816A0">
        <w:rPr>
          <w:rStyle w:val="FootnoteReference"/>
          <w:rFonts w:cs="Times New Roman"/>
        </w:rPr>
        <w:footnoteRef/>
      </w:r>
      <w:r w:rsidRPr="007816A0">
        <w:rPr>
          <w:rFonts w:cs="Times New Roman"/>
        </w:rPr>
        <w:t xml:space="preserve"> The analysis centres on structural approaches to myth and narrative, see Lévi-Strauss 1955, 428-444, Propp 1968, 19-24, and Dundes 1997, 39-50. Dundes argues that structural analysis in practice often proceeds through comparison, since underlying relationships become visible through the examination of multiple narratives rather than isolated texts. He notes that Lévi-Strauss's structural analyses frequently relied upon comparison between multiple narratives. (Dundes 1997, 41–42)</w:t>
      </w:r>
    </w:p>
  </w:footnote>
  <w:footnote w:id="11">
    <w:p w14:paraId="4662D78B" w14:textId="1D8EE0C1" w:rsidR="000F1F28" w:rsidRPr="007816A0" w:rsidRDefault="000F1F2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257F5" w:rsidRPr="007816A0">
        <w:rPr>
          <w:rFonts w:cs="Times New Roman"/>
        </w:rPr>
        <w:t>Smith J 2000</w:t>
      </w:r>
      <w:r w:rsidRPr="007816A0">
        <w:rPr>
          <w:rFonts w:cs="Times New Roman"/>
        </w:rPr>
        <w:t>, 23-44.</w:t>
      </w:r>
      <w:r w:rsidR="00B84D2A" w:rsidRPr="007816A0">
        <w:rPr>
          <w:rFonts w:cs="Times New Roman"/>
        </w:rPr>
        <w:t xml:space="preserve"> </w:t>
      </w:r>
    </w:p>
  </w:footnote>
  <w:footnote w:id="12">
    <w:p w14:paraId="3AE54040" w14:textId="6D6DE10C" w:rsidR="007A0D78" w:rsidRPr="007816A0" w:rsidRDefault="007A0D78">
      <w:pPr>
        <w:pStyle w:val="FootnoteText"/>
        <w:rPr>
          <w:rFonts w:cs="Times New Roman"/>
        </w:rPr>
      </w:pPr>
      <w:r w:rsidRPr="007816A0">
        <w:rPr>
          <w:rStyle w:val="FootnoteReference"/>
          <w:rFonts w:cs="Times New Roman"/>
        </w:rPr>
        <w:footnoteRef/>
      </w:r>
      <w:r w:rsidRPr="007816A0">
        <w:rPr>
          <w:rFonts w:cs="Times New Roman"/>
        </w:rPr>
        <w:t xml:space="preserve"> As discussed, this specifically references the abduction from the </w:t>
      </w:r>
      <w:r w:rsidRPr="007816A0">
        <w:rPr>
          <w:rFonts w:cs="Times New Roman"/>
          <w:i/>
          <w:iCs/>
        </w:rPr>
        <w:t>Homeric Hymn to Demeter</w:t>
      </w:r>
      <w:r w:rsidRPr="007816A0">
        <w:rPr>
          <w:rFonts w:cs="Times New Roman"/>
        </w:rPr>
        <w:t>.</w:t>
      </w:r>
    </w:p>
  </w:footnote>
  <w:footnote w:id="13">
    <w:p w14:paraId="23F452FA" w14:textId="7E52162C" w:rsidR="00504FF2" w:rsidRPr="007816A0" w:rsidRDefault="00504FF2" w:rsidP="00280D0B">
      <w:pPr>
        <w:pStyle w:val="FootnoteText"/>
        <w:rPr>
          <w:rFonts w:cs="Times New Roman"/>
        </w:rPr>
      </w:pPr>
      <w:r w:rsidRPr="007816A0">
        <w:rPr>
          <w:rStyle w:val="FootnoteReference"/>
          <w:rFonts w:cs="Times New Roman"/>
        </w:rPr>
        <w:footnoteRef/>
      </w:r>
      <w:r w:rsidRPr="007816A0">
        <w:rPr>
          <w:rFonts w:cs="Times New Roman"/>
        </w:rPr>
        <w:t xml:space="preserve"> Ruether 2005, 42. Postgate 2004, 52. Grahn 2010, 65.</w:t>
      </w:r>
    </w:p>
  </w:footnote>
  <w:footnote w:id="14">
    <w:p w14:paraId="6D21ACDF" w14:textId="4FC941DB" w:rsidR="00504FF2" w:rsidRPr="007816A0" w:rsidRDefault="00504FF2" w:rsidP="00280D0B">
      <w:pPr>
        <w:pStyle w:val="FootnoteText"/>
        <w:rPr>
          <w:rFonts w:cs="Times New Roman"/>
        </w:rPr>
      </w:pPr>
      <w:r w:rsidRPr="007816A0">
        <w:rPr>
          <w:rStyle w:val="FootnoteReference"/>
          <w:rFonts w:cs="Times New Roman"/>
        </w:rPr>
        <w:footnoteRef/>
      </w:r>
      <w:r w:rsidRPr="007816A0">
        <w:rPr>
          <w:rFonts w:cs="Times New Roman"/>
        </w:rPr>
        <w:t xml:space="preserve"> Selz 2017, 278-279. Zettler 2003, 11.</w:t>
      </w:r>
    </w:p>
  </w:footnote>
  <w:footnote w:id="15">
    <w:p w14:paraId="3A5A8787" w14:textId="037A1BF7" w:rsidR="00504FF2" w:rsidRPr="007816A0" w:rsidRDefault="00504FF2" w:rsidP="00280D0B">
      <w:pPr>
        <w:pStyle w:val="FootnoteText"/>
        <w:rPr>
          <w:rFonts w:cs="Times New Roman"/>
        </w:rPr>
      </w:pPr>
      <w:r w:rsidRPr="007816A0">
        <w:rPr>
          <w:rStyle w:val="FootnoteReference"/>
          <w:rFonts w:cs="Times New Roman"/>
        </w:rPr>
        <w:footnoteRef/>
      </w:r>
      <w:r w:rsidRPr="007816A0">
        <w:rPr>
          <w:rFonts w:cs="Times New Roman"/>
        </w:rPr>
        <w:t xml:space="preserve"> Ruether 2005, 44-45.</w:t>
      </w:r>
      <w:r w:rsidRPr="007816A0">
        <w:rPr>
          <w:rFonts w:cs="Times New Roman"/>
        </w:rPr>
        <w:tab/>
      </w:r>
      <w:r w:rsidRPr="007816A0">
        <w:rPr>
          <w:rFonts w:cs="Times New Roman"/>
        </w:rPr>
        <w:tab/>
      </w:r>
      <w:r w:rsidRPr="007816A0">
        <w:rPr>
          <w:rFonts w:cs="Times New Roman"/>
        </w:rPr>
        <w:tab/>
      </w:r>
      <w:r w:rsidRPr="007816A0">
        <w:rPr>
          <w:rFonts w:cs="Times New Roman"/>
        </w:rPr>
        <w:tab/>
      </w:r>
      <w:r w:rsidRPr="007816A0">
        <w:rPr>
          <w:rFonts w:cs="Times New Roman"/>
        </w:rPr>
        <w:tab/>
      </w:r>
      <w:r w:rsidRPr="007816A0">
        <w:rPr>
          <w:rFonts w:cs="Times New Roman"/>
        </w:rPr>
        <w:tab/>
      </w:r>
    </w:p>
  </w:footnote>
  <w:footnote w:id="16">
    <w:p w14:paraId="19A2325A" w14:textId="77777777" w:rsidR="00F133A0" w:rsidRPr="007816A0" w:rsidRDefault="00F133A0" w:rsidP="00280D0B">
      <w:pPr>
        <w:pStyle w:val="FootnoteText"/>
        <w:rPr>
          <w:rFonts w:cs="Times New Roman"/>
        </w:rPr>
      </w:pPr>
      <w:r w:rsidRPr="007816A0">
        <w:rPr>
          <w:rStyle w:val="FootnoteReference"/>
          <w:rFonts w:cs="Times New Roman"/>
        </w:rPr>
        <w:footnoteRef/>
      </w:r>
      <w:r w:rsidRPr="007816A0">
        <w:rPr>
          <w:rFonts w:cs="Times New Roman"/>
        </w:rPr>
        <w:t xml:space="preserve"> Meador 2000, 12.</w:t>
      </w:r>
    </w:p>
  </w:footnote>
  <w:footnote w:id="17">
    <w:p w14:paraId="53CB3801" w14:textId="2E50BD32" w:rsidR="00E8122F" w:rsidRPr="007816A0" w:rsidRDefault="00E8122F" w:rsidP="00280D0B">
      <w:pPr>
        <w:pStyle w:val="FootnoteText"/>
        <w:rPr>
          <w:rFonts w:cs="Times New Roman"/>
        </w:rPr>
      </w:pPr>
      <w:r w:rsidRPr="007816A0">
        <w:rPr>
          <w:rStyle w:val="FootnoteReference"/>
          <w:rFonts w:cs="Times New Roman"/>
        </w:rPr>
        <w:footnoteRef/>
      </w:r>
      <w:r w:rsidRPr="007816A0">
        <w:rPr>
          <w:rFonts w:cs="Times New Roman"/>
        </w:rPr>
        <w:t xml:space="preserve"> BM 116722, photo courtesy </w:t>
      </w:r>
      <w:r w:rsidR="001B2B3C" w:rsidRPr="007816A0">
        <w:rPr>
          <w:rFonts w:cs="Times New Roman"/>
        </w:rPr>
        <w:t xml:space="preserve">of </w:t>
      </w:r>
      <w:r w:rsidRPr="007816A0">
        <w:rPr>
          <w:rFonts w:cs="Times New Roman"/>
        </w:rPr>
        <w:t>© The Trustees of the British Museum. Shared under a Creative Commons Attribution-</w:t>
      </w:r>
      <w:r w:rsidR="00467014" w:rsidRPr="007816A0">
        <w:rPr>
          <w:rFonts w:cs="Times New Roman"/>
        </w:rPr>
        <w:t>Non-</w:t>
      </w:r>
      <w:r w:rsidR="00F03932" w:rsidRPr="007816A0">
        <w:rPr>
          <w:rFonts w:cs="Times New Roman"/>
        </w:rPr>
        <w:t>Commercial</w:t>
      </w:r>
      <w:r w:rsidRPr="007816A0">
        <w:rPr>
          <w:rFonts w:cs="Times New Roman"/>
        </w:rPr>
        <w:t>-</w:t>
      </w:r>
      <w:r w:rsidR="00725797" w:rsidRPr="007816A0">
        <w:rPr>
          <w:rFonts w:cs="Times New Roman"/>
        </w:rPr>
        <w:t>Share Alike</w:t>
      </w:r>
      <w:r w:rsidRPr="007816A0">
        <w:rPr>
          <w:rFonts w:cs="Times New Roman"/>
        </w:rPr>
        <w:t xml:space="preserve"> 4.0 International (CC BY-NC-SA 4.0) licence.</w:t>
      </w:r>
    </w:p>
  </w:footnote>
  <w:footnote w:id="18">
    <w:p w14:paraId="31E0B664" w14:textId="513A3F63" w:rsidR="00504FF2" w:rsidRPr="007816A0" w:rsidRDefault="00504FF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FE4D39" w:rsidRPr="007816A0">
        <w:rPr>
          <w:rFonts w:cs="Times New Roman"/>
        </w:rPr>
        <w:t>Kramer 1963B</w:t>
      </w:r>
      <w:r w:rsidRPr="007816A0">
        <w:rPr>
          <w:rFonts w:cs="Times New Roman"/>
        </w:rPr>
        <w:t>, 154.</w:t>
      </w:r>
    </w:p>
  </w:footnote>
  <w:footnote w:id="19">
    <w:p w14:paraId="6B62B999" w14:textId="1A40ED52" w:rsidR="00504FF2" w:rsidRPr="007816A0" w:rsidRDefault="00504FF2"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135.</w:t>
      </w:r>
    </w:p>
  </w:footnote>
  <w:footnote w:id="20">
    <w:p w14:paraId="25AFCEC7" w14:textId="0991CA86" w:rsidR="00504FF2" w:rsidRPr="007816A0" w:rsidRDefault="00504FF2" w:rsidP="00280D0B">
      <w:pPr>
        <w:pStyle w:val="FootnoteText"/>
        <w:rPr>
          <w:rFonts w:cs="Times New Roman"/>
        </w:rPr>
      </w:pPr>
      <w:r w:rsidRPr="007816A0">
        <w:rPr>
          <w:rStyle w:val="FootnoteReference"/>
          <w:rFonts w:cs="Times New Roman"/>
        </w:rPr>
        <w:footnoteRef/>
      </w:r>
      <w:r w:rsidRPr="007816A0">
        <w:rPr>
          <w:rFonts w:cs="Times New Roman"/>
        </w:rPr>
        <w:t xml:space="preserve"> Akulov 2023, 24-27.</w:t>
      </w:r>
      <w:r w:rsidR="00AE45DF" w:rsidRPr="007816A0">
        <w:rPr>
          <w:rFonts w:cs="Times New Roman"/>
        </w:rPr>
        <w:t xml:space="preserve"> Vogel 2021, 412.</w:t>
      </w:r>
    </w:p>
  </w:footnote>
  <w:footnote w:id="21">
    <w:p w14:paraId="08D09ACB" w14:textId="449DEFCA" w:rsidR="00EA7E13" w:rsidRPr="007816A0" w:rsidRDefault="00EA7E13" w:rsidP="00280D0B">
      <w:pPr>
        <w:pStyle w:val="FootnoteText"/>
        <w:rPr>
          <w:rFonts w:cs="Times New Roman"/>
        </w:rPr>
      </w:pPr>
      <w:r w:rsidRPr="007816A0">
        <w:rPr>
          <w:rStyle w:val="FootnoteReference"/>
          <w:rFonts w:cs="Times New Roman"/>
        </w:rPr>
        <w:footnoteRef/>
      </w:r>
      <w:r w:rsidRPr="007816A0">
        <w:rPr>
          <w:rFonts w:cs="Times New Roman"/>
        </w:rPr>
        <w:t xml:space="preserve"> Courtesy of Akulov 2023, 26.</w:t>
      </w:r>
    </w:p>
  </w:footnote>
  <w:footnote w:id="22">
    <w:p w14:paraId="4EF88F51" w14:textId="59AC146D" w:rsidR="00EE6050" w:rsidRPr="007816A0" w:rsidRDefault="00EE6050"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0B3CFA" w:rsidRPr="007816A0">
        <w:rPr>
          <w:rFonts w:cs="Times New Roman"/>
        </w:rPr>
        <w:t>Ongoing archaeological and survey work at Uruk</w:t>
      </w:r>
      <w:r w:rsidRPr="007816A0">
        <w:rPr>
          <w:rFonts w:cs="Times New Roman"/>
        </w:rPr>
        <w:t xml:space="preserve"> (Warka), </w:t>
      </w:r>
      <w:r w:rsidR="000B3CFA" w:rsidRPr="007816A0">
        <w:rPr>
          <w:rFonts w:cs="Times New Roman"/>
        </w:rPr>
        <w:t xml:space="preserve">conducted by the German Archaeological Institute continues to expand the available evidentiary record. </w:t>
      </w:r>
      <w:r w:rsidRPr="007816A0">
        <w:rPr>
          <w:rFonts w:cs="Times New Roman"/>
        </w:rPr>
        <w:t>cf. M. van Ess and the DAI Uruk research program. https://www.dainst.org/en/departments/orient-department/about-us/organisation/uruk-warka-collection</w:t>
      </w:r>
      <w:r w:rsidR="00E43D7B" w:rsidRPr="007816A0">
        <w:rPr>
          <w:rFonts w:cs="Times New Roman"/>
        </w:rPr>
        <w:t>.</w:t>
      </w:r>
    </w:p>
  </w:footnote>
  <w:footnote w:id="23">
    <w:p w14:paraId="32B85086" w14:textId="7BE88974" w:rsidR="00252628" w:rsidRPr="007816A0" w:rsidRDefault="0025262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E2357" w:rsidRPr="007816A0">
        <w:rPr>
          <w:rFonts w:cs="Times New Roman"/>
        </w:rPr>
        <w:t xml:space="preserve">The primary text of </w:t>
      </w:r>
      <w:r w:rsidR="00E844B5" w:rsidRPr="007816A0">
        <w:rPr>
          <w:rFonts w:cs="Times New Roman"/>
          <w:i/>
          <w:iCs/>
        </w:rPr>
        <w:t>I</w:t>
      </w:r>
      <w:r w:rsidR="008E2357" w:rsidRPr="007816A0">
        <w:rPr>
          <w:rFonts w:cs="Times New Roman"/>
          <w:i/>
          <w:iCs/>
        </w:rPr>
        <w:t>nana and Enki</w:t>
      </w:r>
      <w:r w:rsidR="008E2357" w:rsidRPr="007816A0">
        <w:rPr>
          <w:rFonts w:cs="Times New Roman"/>
        </w:rPr>
        <w:t xml:space="preserve"> discusses how Inanna tricked a drunk Enki into granting </w:t>
      </w:r>
      <w:r w:rsidR="00C46CFA" w:rsidRPr="007816A0">
        <w:rPr>
          <w:rFonts w:cs="Times New Roman"/>
        </w:rPr>
        <w:t>many</w:t>
      </w:r>
      <w:r w:rsidR="008E2357" w:rsidRPr="007816A0">
        <w:rPr>
          <w:rFonts w:cs="Times New Roman"/>
        </w:rPr>
        <w:t xml:space="preserve"> divine powers referred to as the </w:t>
      </w:r>
      <w:r w:rsidR="008E2357" w:rsidRPr="007816A0">
        <w:rPr>
          <w:rFonts w:cs="Times New Roman"/>
          <w:b/>
          <w:bCs/>
          <w:i/>
          <w:iCs/>
        </w:rPr>
        <w:t>me</w:t>
      </w:r>
      <w:r w:rsidR="008E2357" w:rsidRPr="007816A0">
        <w:rPr>
          <w:rFonts w:cs="Times New Roman"/>
        </w:rPr>
        <w:t xml:space="preserve">. </w:t>
      </w:r>
      <w:r w:rsidR="002E7976" w:rsidRPr="007816A0">
        <w:rPr>
          <w:rFonts w:cs="Times New Roman"/>
        </w:rPr>
        <w:t>According to Kramer and Wolkstein (1983, 123 &amp; 173), t</w:t>
      </w:r>
      <w:r w:rsidR="001F567B" w:rsidRPr="007816A0">
        <w:rPr>
          <w:rFonts w:cs="Times New Roman"/>
        </w:rPr>
        <w:t xml:space="preserve">he </w:t>
      </w:r>
      <w:r w:rsidR="001F567B" w:rsidRPr="007816A0">
        <w:rPr>
          <w:rFonts w:cs="Times New Roman"/>
          <w:b/>
          <w:bCs/>
          <w:i/>
          <w:iCs/>
        </w:rPr>
        <w:t>me</w:t>
      </w:r>
      <w:r w:rsidR="00F71EB0" w:rsidRPr="007816A0">
        <w:rPr>
          <w:rFonts w:cs="Times New Roman"/>
          <w:i/>
          <w:iCs/>
        </w:rPr>
        <w:t>s</w:t>
      </w:r>
      <w:r w:rsidR="001F567B" w:rsidRPr="007816A0">
        <w:rPr>
          <w:rFonts w:cs="Times New Roman"/>
        </w:rPr>
        <w:t xml:space="preserve"> </w:t>
      </w:r>
      <w:r w:rsidR="002E7976" w:rsidRPr="007816A0">
        <w:rPr>
          <w:rFonts w:cs="Times New Roman"/>
        </w:rPr>
        <w:t xml:space="preserve">are a </w:t>
      </w:r>
      <w:r w:rsidR="00A652AD" w:rsidRPr="007816A0">
        <w:rPr>
          <w:rFonts w:cs="Times New Roman"/>
        </w:rPr>
        <w:t>“</w:t>
      </w:r>
      <w:r w:rsidR="002E7976" w:rsidRPr="007816A0">
        <w:rPr>
          <w:rFonts w:cs="Times New Roman"/>
        </w:rPr>
        <w:t>set of universal and immutable rules and limits which had to be observed by god and man alike</w:t>
      </w:r>
      <w:r w:rsidR="00A652AD" w:rsidRPr="007816A0">
        <w:rPr>
          <w:rFonts w:cs="Times New Roman"/>
        </w:rPr>
        <w:t>”</w:t>
      </w:r>
      <w:r w:rsidR="002E7976" w:rsidRPr="007816A0">
        <w:rPr>
          <w:rFonts w:cs="Times New Roman"/>
        </w:rPr>
        <w:t xml:space="preserve"> that give the owner the power to </w:t>
      </w:r>
      <w:r w:rsidR="00A652AD" w:rsidRPr="007816A0">
        <w:rPr>
          <w:rFonts w:cs="Times New Roman"/>
        </w:rPr>
        <w:t>“</w:t>
      </w:r>
      <w:r w:rsidR="002E7976" w:rsidRPr="007816A0">
        <w:rPr>
          <w:rFonts w:cs="Times New Roman"/>
        </w:rPr>
        <w:t>dictate the order and form of things.</w:t>
      </w:r>
      <w:r w:rsidR="00A652AD" w:rsidRPr="007816A0">
        <w:rPr>
          <w:rFonts w:cs="Times New Roman"/>
        </w:rPr>
        <w:t>”</w:t>
      </w:r>
      <w:r w:rsidR="002E7976" w:rsidRPr="007816A0">
        <w:rPr>
          <w:rFonts w:cs="Times New Roman"/>
        </w:rPr>
        <w:t xml:space="preserve"> </w:t>
      </w:r>
      <w:r w:rsidR="008E2357" w:rsidRPr="007816A0">
        <w:rPr>
          <w:rFonts w:cs="Times New Roman"/>
        </w:rPr>
        <w:t xml:space="preserve">Black et al. ETCSL Inanna/Enki, Segment D &amp;E. </w:t>
      </w:r>
      <w:r w:rsidR="00F71EB0" w:rsidRPr="007816A0">
        <w:rPr>
          <w:rFonts w:cs="Times New Roman"/>
        </w:rPr>
        <w:t>Harris 1991, 267.</w:t>
      </w:r>
    </w:p>
  </w:footnote>
  <w:footnote w:id="24">
    <w:p w14:paraId="334FC3FB" w14:textId="0C0AD8D9" w:rsidR="001A6E3E" w:rsidRPr="007816A0" w:rsidRDefault="001A6E3E"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E91A80" w:rsidRPr="007816A0">
        <w:rPr>
          <w:rFonts w:cs="Times New Roman"/>
        </w:rPr>
        <w:t>Walls 1992</w:t>
      </w:r>
      <w:r w:rsidRPr="007816A0">
        <w:rPr>
          <w:rFonts w:cs="Times New Roman"/>
        </w:rPr>
        <w:t>, 43-46.</w:t>
      </w:r>
    </w:p>
  </w:footnote>
  <w:footnote w:id="25">
    <w:p w14:paraId="0533B991" w14:textId="51DC9553" w:rsidR="00DC0EC9" w:rsidRPr="007816A0" w:rsidRDefault="00DC0EC9" w:rsidP="00280D0B">
      <w:pPr>
        <w:pStyle w:val="FootnoteText"/>
        <w:rPr>
          <w:rFonts w:cs="Times New Roman"/>
        </w:rPr>
      </w:pPr>
      <w:r w:rsidRPr="007816A0">
        <w:rPr>
          <w:rStyle w:val="FootnoteReference"/>
          <w:rFonts w:cs="Times New Roman"/>
        </w:rPr>
        <w:footnoteRef/>
      </w:r>
      <w:r w:rsidRPr="007816A0">
        <w:rPr>
          <w:rFonts w:cs="Times New Roman"/>
        </w:rPr>
        <w:t xml:space="preserve"> Matsushima 2014, 12.</w:t>
      </w:r>
      <w:r w:rsidR="008C4A77" w:rsidRPr="007816A0">
        <w:rPr>
          <w:rFonts w:cs="Times New Roman"/>
        </w:rPr>
        <w:t xml:space="preserve"> </w:t>
      </w:r>
      <w:r w:rsidR="00A717FC" w:rsidRPr="007816A0">
        <w:rPr>
          <w:rFonts w:cs="Times New Roman"/>
        </w:rPr>
        <w:t>Jacobsen 1976</w:t>
      </w:r>
      <w:r w:rsidR="008C4A77" w:rsidRPr="007816A0">
        <w:rPr>
          <w:rFonts w:cs="Times New Roman"/>
        </w:rPr>
        <w:t>, 27.</w:t>
      </w:r>
    </w:p>
  </w:footnote>
  <w:footnote w:id="26">
    <w:p w14:paraId="0B4CB1D9" w14:textId="7ABCE6D3" w:rsidR="00027FC6" w:rsidRPr="007816A0" w:rsidRDefault="00027FC6"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rPr>
        <w:t>Jacobsen 1976</w:t>
      </w:r>
      <w:r w:rsidRPr="007816A0">
        <w:rPr>
          <w:rFonts w:cs="Times New Roman"/>
        </w:rPr>
        <w:t>, 36.</w:t>
      </w:r>
    </w:p>
  </w:footnote>
  <w:footnote w:id="27">
    <w:p w14:paraId="15E409D5" w14:textId="08B076D4" w:rsidR="00967CD7" w:rsidRPr="007816A0" w:rsidRDefault="00967CD7"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Inanna/Shu-kale-tuda, </w:t>
      </w:r>
      <w:r w:rsidR="00C83237" w:rsidRPr="007816A0">
        <w:rPr>
          <w:rFonts w:cs="Times New Roman"/>
        </w:rPr>
        <w:t>v</w:t>
      </w:r>
      <w:r w:rsidR="00D15DF2" w:rsidRPr="007816A0">
        <w:rPr>
          <w:rFonts w:cs="Times New Roman"/>
        </w:rPr>
        <w:t>v</w:t>
      </w:r>
      <w:r w:rsidR="00BF7940" w:rsidRPr="007816A0">
        <w:rPr>
          <w:rFonts w:cs="Times New Roman"/>
        </w:rPr>
        <w:t>.</w:t>
      </w:r>
      <w:r w:rsidRPr="007816A0">
        <w:rPr>
          <w:rFonts w:cs="Times New Roman"/>
        </w:rPr>
        <w:t xml:space="preserve"> 290-310.</w:t>
      </w:r>
    </w:p>
  </w:footnote>
  <w:footnote w:id="28">
    <w:p w14:paraId="48431F31" w14:textId="74CB56B7" w:rsidR="00FC6098" w:rsidRPr="007816A0" w:rsidRDefault="00FC6098" w:rsidP="00280D0B">
      <w:pPr>
        <w:pStyle w:val="FootnoteText"/>
        <w:rPr>
          <w:rFonts w:cs="Times New Roman"/>
        </w:rPr>
      </w:pPr>
      <w:r w:rsidRPr="007816A0">
        <w:rPr>
          <w:rStyle w:val="FootnoteReference"/>
          <w:rFonts w:cs="Times New Roman"/>
        </w:rPr>
        <w:footnoteRef/>
      </w:r>
      <w:r w:rsidRPr="007816A0">
        <w:rPr>
          <w:rFonts w:cs="Times New Roman"/>
        </w:rPr>
        <w:t xml:space="preserve"> Kramer 1942, 13. Kramer 1960, 59. Ruether 2005, 42. Postgate 2004, 52. Grahn 2010, 65. Akulov 2023, 23. Keetman 2022, 1. Wimber 2007, 1. Reade 2005, 35. Stronach 1992, 227. </w:t>
      </w:r>
    </w:p>
  </w:footnote>
  <w:footnote w:id="29">
    <w:p w14:paraId="75A33EF7" w14:textId="568F1A7A" w:rsidR="00F8657B" w:rsidRPr="007816A0" w:rsidRDefault="00F8657B">
      <w:pPr>
        <w:pStyle w:val="FootnoteText"/>
        <w:rPr>
          <w:rFonts w:cs="Times New Roman"/>
        </w:rPr>
      </w:pPr>
      <w:r w:rsidRPr="007816A0">
        <w:rPr>
          <w:rStyle w:val="FootnoteReference"/>
          <w:rFonts w:cs="Times New Roman"/>
        </w:rPr>
        <w:footnoteRef/>
      </w:r>
      <w:r w:rsidRPr="007816A0">
        <w:rPr>
          <w:rFonts w:cs="Times New Roman"/>
        </w:rPr>
        <w:t xml:space="preserve"> It is worth noting that the character arc does not follow the extant tablet creation dating.</w:t>
      </w:r>
    </w:p>
  </w:footnote>
  <w:footnote w:id="30">
    <w:p w14:paraId="5D545995" w14:textId="0C736340" w:rsidR="0040094C" w:rsidRPr="007816A0" w:rsidRDefault="0040094C"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02F73" w:rsidRPr="007816A0">
        <w:rPr>
          <w:rFonts w:cs="Times New Roman"/>
        </w:rPr>
        <w:t>Kramer, Wolkstein</w:t>
      </w:r>
      <w:r w:rsidRPr="007816A0">
        <w:rPr>
          <w:rFonts w:cs="Times New Roman"/>
        </w:rPr>
        <w:t xml:space="preserve"> 1983, 4.</w:t>
      </w:r>
      <w:r w:rsidR="00517346" w:rsidRPr="007816A0">
        <w:rPr>
          <w:rFonts w:cs="Times New Roman"/>
        </w:rPr>
        <w:t xml:space="preserve"> Black et al. ETCSL Gilgamesh/Enkidu/Netherworld.</w:t>
      </w:r>
    </w:p>
  </w:footnote>
  <w:footnote w:id="31">
    <w:p w14:paraId="02A74783" w14:textId="22764A76" w:rsidR="00341167" w:rsidRPr="007816A0" w:rsidRDefault="00341167"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278EC" w:rsidRPr="007816A0">
        <w:rPr>
          <w:rFonts w:cs="Times New Roman"/>
        </w:rPr>
        <w:t xml:space="preserve">Discussion based on </w:t>
      </w:r>
      <w:r w:rsidRPr="007816A0">
        <w:rPr>
          <w:rFonts w:cs="Times New Roman"/>
        </w:rPr>
        <w:t xml:space="preserve">Kramer </w:t>
      </w:r>
      <w:r w:rsidR="00402F73" w:rsidRPr="007816A0">
        <w:rPr>
          <w:rFonts w:cs="Times New Roman"/>
        </w:rPr>
        <w:t>and</w:t>
      </w:r>
      <w:r w:rsidRPr="007816A0">
        <w:rPr>
          <w:rFonts w:cs="Times New Roman"/>
        </w:rPr>
        <w:t xml:space="preserve"> Wolkstein </w:t>
      </w:r>
      <w:r w:rsidR="008278EC" w:rsidRPr="007816A0">
        <w:rPr>
          <w:rFonts w:cs="Times New Roman"/>
        </w:rPr>
        <w:t>(</w:t>
      </w:r>
      <w:r w:rsidRPr="007816A0">
        <w:rPr>
          <w:rFonts w:cs="Times New Roman"/>
        </w:rPr>
        <w:t>1983, 4-9</w:t>
      </w:r>
      <w:r w:rsidR="008278EC" w:rsidRPr="007816A0">
        <w:rPr>
          <w:rFonts w:cs="Times New Roman"/>
        </w:rPr>
        <w:t>)</w:t>
      </w:r>
      <w:r w:rsidRPr="007816A0">
        <w:rPr>
          <w:rFonts w:cs="Times New Roman"/>
        </w:rPr>
        <w:t>.</w:t>
      </w:r>
    </w:p>
  </w:footnote>
  <w:footnote w:id="32">
    <w:p w14:paraId="20C4F2C3" w14:textId="10342B0B" w:rsidR="00357FD8" w:rsidRPr="007816A0" w:rsidRDefault="00357FD8"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Inanna/An.</w:t>
      </w:r>
    </w:p>
  </w:footnote>
  <w:footnote w:id="33">
    <w:p w14:paraId="03ABE366" w14:textId="2732A771" w:rsidR="00E70813" w:rsidRPr="007816A0" w:rsidRDefault="00E70813"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Inanna/Enki.</w:t>
      </w:r>
    </w:p>
  </w:footnote>
  <w:footnote w:id="34">
    <w:p w14:paraId="4D5F2781" w14:textId="77777777" w:rsidR="0078165B" w:rsidRPr="007816A0" w:rsidRDefault="0078165B" w:rsidP="00280D0B">
      <w:pPr>
        <w:pStyle w:val="FootnoteText"/>
        <w:rPr>
          <w:rFonts w:cs="Times New Roman"/>
        </w:rPr>
      </w:pPr>
      <w:r w:rsidRPr="007816A0">
        <w:rPr>
          <w:rStyle w:val="FootnoteReference"/>
          <w:rFonts w:cs="Times New Roman"/>
        </w:rPr>
        <w:footnoteRef/>
      </w:r>
      <w:r w:rsidRPr="007816A0">
        <w:rPr>
          <w:rFonts w:cs="Times New Roman"/>
        </w:rPr>
        <w:t xml:space="preserve"> Amin 2019. Photo ©Amin 2019.</w:t>
      </w:r>
    </w:p>
  </w:footnote>
  <w:footnote w:id="35">
    <w:p w14:paraId="4540CD59" w14:textId="7B6E1E0C" w:rsidR="00EC4672" w:rsidRPr="007816A0" w:rsidRDefault="00EC467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02F73" w:rsidRPr="007816A0">
        <w:rPr>
          <w:rFonts w:cs="Times New Roman"/>
        </w:rPr>
        <w:t>Kramer, Wolkstein</w:t>
      </w:r>
      <w:r w:rsidRPr="007816A0">
        <w:rPr>
          <w:rFonts w:cs="Times New Roman"/>
        </w:rPr>
        <w:t xml:space="preserve"> 1983, 30-50. </w:t>
      </w:r>
      <w:r w:rsidR="008278EC" w:rsidRPr="007816A0">
        <w:rPr>
          <w:rFonts w:cs="Times New Roman"/>
        </w:rPr>
        <w:t xml:space="preserve">This appears to establish a ritual </w:t>
      </w:r>
      <w:r w:rsidR="00BB4558" w:rsidRPr="007816A0">
        <w:rPr>
          <w:rFonts w:cs="Times New Roman"/>
        </w:rPr>
        <w:t>outline</w:t>
      </w:r>
      <w:r w:rsidR="008278EC" w:rsidRPr="007816A0">
        <w:rPr>
          <w:rFonts w:cs="Times New Roman"/>
        </w:rPr>
        <w:t xml:space="preserve"> for later sacred-marriage traditions when </w:t>
      </w:r>
      <w:r w:rsidRPr="007816A0">
        <w:rPr>
          <w:rFonts w:cs="Times New Roman"/>
        </w:rPr>
        <w:t xml:space="preserve">Inanna </w:t>
      </w:r>
      <w:r w:rsidR="008278EC" w:rsidRPr="007816A0">
        <w:rPr>
          <w:rFonts w:cs="Times New Roman"/>
        </w:rPr>
        <w:t xml:space="preserve">tells </w:t>
      </w:r>
      <w:r w:rsidRPr="007816A0">
        <w:rPr>
          <w:rFonts w:cs="Times New Roman"/>
        </w:rPr>
        <w:t xml:space="preserve">Dumuzi, </w:t>
      </w:r>
      <w:r w:rsidR="00A652AD" w:rsidRPr="007816A0">
        <w:rPr>
          <w:rFonts w:cs="Times New Roman"/>
        </w:rPr>
        <w:t>“</w:t>
      </w:r>
      <w:r w:rsidRPr="007816A0">
        <w:rPr>
          <w:rFonts w:cs="Times New Roman"/>
        </w:rPr>
        <w:t>You, the king, the faithful provider of Uruk…</w:t>
      </w:r>
      <w:r w:rsidR="00A652AD" w:rsidRPr="007816A0">
        <w:rPr>
          <w:rFonts w:cs="Times New Roman"/>
        </w:rPr>
        <w:t>”</w:t>
      </w:r>
      <w:r w:rsidRPr="007816A0">
        <w:rPr>
          <w:rFonts w:cs="Times New Roman"/>
        </w:rPr>
        <w:t xml:space="preserve"> and repeatedly references him as the King.</w:t>
      </w:r>
    </w:p>
  </w:footnote>
  <w:footnote w:id="36">
    <w:p w14:paraId="1E86D6B4" w14:textId="0B48698D" w:rsidR="00F458E7" w:rsidRPr="007816A0" w:rsidRDefault="00F458E7" w:rsidP="00280D0B">
      <w:pPr>
        <w:pStyle w:val="FootnoteText"/>
        <w:rPr>
          <w:rFonts w:cs="Times New Roman"/>
        </w:rPr>
      </w:pPr>
      <w:r w:rsidRPr="007816A0">
        <w:rPr>
          <w:rStyle w:val="FootnoteReference"/>
          <w:rFonts w:cs="Times New Roman"/>
        </w:rPr>
        <w:footnoteRef/>
      </w:r>
      <w:r w:rsidRPr="007816A0">
        <w:rPr>
          <w:rFonts w:cs="Times New Roman"/>
        </w:rPr>
        <w:t xml:space="preserve"> Walls 1992, 71. Drillings 2025, 6. </w:t>
      </w:r>
      <w:r w:rsidR="002A2120" w:rsidRPr="007816A0">
        <w:rPr>
          <w:rFonts w:cs="Times New Roman"/>
        </w:rPr>
        <w:t>Kramer 1983</w:t>
      </w:r>
      <w:r w:rsidRPr="007816A0">
        <w:rPr>
          <w:rFonts w:cs="Times New Roman"/>
        </w:rPr>
        <w:t xml:space="preserve">, </w:t>
      </w:r>
      <w:r w:rsidR="00E249FB" w:rsidRPr="007816A0">
        <w:rPr>
          <w:rFonts w:cs="Times New Roman"/>
        </w:rPr>
        <w:t>72-</w:t>
      </w:r>
      <w:r w:rsidRPr="007816A0">
        <w:rPr>
          <w:rFonts w:cs="Times New Roman"/>
        </w:rPr>
        <w:t>76</w:t>
      </w:r>
      <w:r w:rsidR="00711008" w:rsidRPr="007816A0">
        <w:rPr>
          <w:rFonts w:cs="Times New Roman"/>
        </w:rPr>
        <w:t>.</w:t>
      </w:r>
    </w:p>
  </w:footnote>
  <w:footnote w:id="37">
    <w:p w14:paraId="0D2913B9" w14:textId="247437C3" w:rsidR="00E249FB" w:rsidRPr="007816A0" w:rsidRDefault="00E249F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E91A80" w:rsidRPr="007816A0">
        <w:rPr>
          <w:rFonts w:cs="Times New Roman"/>
        </w:rPr>
        <w:t>Walls 1992</w:t>
      </w:r>
      <w:r w:rsidRPr="007816A0">
        <w:rPr>
          <w:rFonts w:cs="Times New Roman"/>
        </w:rPr>
        <w:t>, 71. Jacobsen 1976, 26-55.</w:t>
      </w:r>
    </w:p>
  </w:footnote>
  <w:footnote w:id="38">
    <w:p w14:paraId="2CCFF571" w14:textId="4E69AD34" w:rsidR="00E249FB" w:rsidRPr="007816A0" w:rsidRDefault="00E249FB"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27</w:t>
      </w:r>
      <w:r w:rsidR="00E37268" w:rsidRPr="007816A0">
        <w:rPr>
          <w:rFonts w:cs="Times New Roman"/>
        </w:rPr>
        <w:t>,</w:t>
      </w:r>
      <w:r w:rsidRPr="007816A0">
        <w:rPr>
          <w:rFonts w:cs="Times New Roman"/>
        </w:rPr>
        <w:t xml:space="preserve"> 31.</w:t>
      </w:r>
    </w:p>
  </w:footnote>
  <w:footnote w:id="39">
    <w:p w14:paraId="41DF32E6" w14:textId="312C745B" w:rsidR="00724A68" w:rsidRPr="007816A0" w:rsidRDefault="00724A68" w:rsidP="00280D0B">
      <w:pPr>
        <w:pStyle w:val="FootnoteText"/>
        <w:rPr>
          <w:rFonts w:cs="Times New Roman"/>
        </w:rPr>
      </w:pPr>
      <w:r w:rsidRPr="007816A0">
        <w:rPr>
          <w:rStyle w:val="FootnoteReference"/>
          <w:rFonts w:cs="Times New Roman"/>
        </w:rPr>
        <w:footnoteRef/>
      </w:r>
      <w:r w:rsidRPr="007816A0">
        <w:rPr>
          <w:rFonts w:cs="Times New Roman"/>
        </w:rPr>
        <w:t xml:space="preserve"> Though commenting on tables from the Neo-Assyrian period, Geller (2018, 293-295) in his work on the </w:t>
      </w:r>
      <w:r w:rsidRPr="007816A0">
        <w:rPr>
          <w:rFonts w:cs="Times New Roman"/>
          <w:i/>
          <w:iCs/>
        </w:rPr>
        <w:t>Exorcist’s Manual (KAR 44)</w:t>
      </w:r>
      <w:r w:rsidRPr="007816A0">
        <w:rPr>
          <w:rFonts w:cs="Times New Roman"/>
        </w:rPr>
        <w:t xml:space="preserve"> notes the relationship of bathing and water as part of the purification rituals</w:t>
      </w:r>
      <w:r w:rsidR="00E5347B" w:rsidRPr="007816A0">
        <w:rPr>
          <w:rFonts w:cs="Times New Roman"/>
        </w:rPr>
        <w:t xml:space="preserve"> linked to the god Ea that are seen as bestowing </w:t>
      </w:r>
      <w:r w:rsidR="00A652AD" w:rsidRPr="007816A0">
        <w:rPr>
          <w:rFonts w:cs="Times New Roman"/>
        </w:rPr>
        <w:t>“</w:t>
      </w:r>
      <w:r w:rsidR="00E5347B" w:rsidRPr="007816A0">
        <w:rPr>
          <w:rFonts w:cs="Times New Roman"/>
        </w:rPr>
        <w:t>esoteric knowledge.</w:t>
      </w:r>
      <w:r w:rsidR="00A652AD" w:rsidRPr="007816A0">
        <w:rPr>
          <w:rFonts w:cs="Times New Roman"/>
        </w:rPr>
        <w:t>”</w:t>
      </w:r>
      <w:r w:rsidR="003F6D8A" w:rsidRPr="007816A0">
        <w:rPr>
          <w:rFonts w:cs="Times New Roman"/>
        </w:rPr>
        <w:t xml:space="preserve"> Wyatt (1998, 169-173, </w:t>
      </w:r>
      <w:r w:rsidR="00D15DF2" w:rsidRPr="007816A0">
        <w:rPr>
          <w:rFonts w:cs="Times New Roman"/>
        </w:rPr>
        <w:t>vv</w:t>
      </w:r>
      <w:r w:rsidR="003F6D8A" w:rsidRPr="007816A0">
        <w:rPr>
          <w:rFonts w:cs="Times New Roman"/>
        </w:rPr>
        <w:t xml:space="preserve">.21-22) echoes this </w:t>
      </w:r>
      <w:r w:rsidR="00711008" w:rsidRPr="007816A0">
        <w:rPr>
          <w:rFonts w:cs="Times New Roman"/>
        </w:rPr>
        <w:t>behaviour</w:t>
      </w:r>
      <w:r w:rsidR="003F6D8A" w:rsidRPr="007816A0">
        <w:rPr>
          <w:rFonts w:cs="Times New Roman"/>
        </w:rPr>
        <w:t xml:space="preserve"> in the </w:t>
      </w:r>
      <w:r w:rsidR="003F6D8A" w:rsidRPr="007816A0">
        <w:rPr>
          <w:rFonts w:cs="Times New Roman"/>
          <w:i/>
          <w:iCs/>
        </w:rPr>
        <w:t>Hymn to Anat</w:t>
      </w:r>
      <w:r w:rsidR="003F6D8A" w:rsidRPr="007816A0">
        <w:rPr>
          <w:rFonts w:cs="Times New Roman"/>
        </w:rPr>
        <w:t xml:space="preserve"> (KTU 1.13).</w:t>
      </w:r>
    </w:p>
  </w:footnote>
  <w:footnote w:id="40">
    <w:p w14:paraId="61CDAD87" w14:textId="0AE16E08" w:rsidR="00D6354A" w:rsidRPr="007816A0" w:rsidRDefault="00D6354A"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32-33.</w:t>
      </w:r>
    </w:p>
  </w:footnote>
  <w:footnote w:id="41">
    <w:p w14:paraId="225100B5" w14:textId="5439F990" w:rsidR="005C3802" w:rsidRPr="007816A0" w:rsidRDefault="005C380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E561D" w:rsidRPr="007816A0">
        <w:rPr>
          <w:rFonts w:cs="Times New Roman"/>
        </w:rPr>
        <w:t xml:space="preserve">Black, Cunningham et al. 2001 </w:t>
      </w:r>
      <w:r w:rsidRPr="007816A0">
        <w:rPr>
          <w:rFonts w:cs="Times New Roman"/>
        </w:rPr>
        <w:t>Ninkasi</w:t>
      </w:r>
      <w:r w:rsidR="00AE561D" w:rsidRPr="007816A0">
        <w:rPr>
          <w:rFonts w:cs="Times New Roman"/>
        </w:rPr>
        <w:t xml:space="preserve">, </w:t>
      </w:r>
      <w:r w:rsidR="00D15DF2" w:rsidRPr="007816A0">
        <w:rPr>
          <w:rFonts w:cs="Times New Roman"/>
        </w:rPr>
        <w:t>vv</w:t>
      </w:r>
      <w:r w:rsidR="00BF7940" w:rsidRPr="007816A0">
        <w:rPr>
          <w:rFonts w:cs="Times New Roman"/>
        </w:rPr>
        <w:t>.</w:t>
      </w:r>
      <w:r w:rsidR="00AE561D" w:rsidRPr="007816A0">
        <w:rPr>
          <w:rFonts w:cs="Times New Roman"/>
        </w:rPr>
        <w:t xml:space="preserve"> 1-4.</w:t>
      </w:r>
    </w:p>
  </w:footnote>
  <w:footnote w:id="42">
    <w:p w14:paraId="19A6FEC9" w14:textId="6DB5C200" w:rsidR="000A5A5C" w:rsidRPr="007816A0" w:rsidRDefault="000A5A5C"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A2120" w:rsidRPr="007816A0">
        <w:rPr>
          <w:rFonts w:cs="Times New Roman"/>
        </w:rPr>
        <w:t>Kramer 1980A</w:t>
      </w:r>
      <w:r w:rsidRPr="007816A0">
        <w:rPr>
          <w:rFonts w:cs="Times New Roman"/>
        </w:rPr>
        <w:t>, 10. Alternately, version</w:t>
      </w:r>
      <w:r w:rsidR="00B364BD" w:rsidRPr="007816A0">
        <w:rPr>
          <w:rFonts w:cs="Times New Roman"/>
        </w:rPr>
        <w:t>s</w:t>
      </w:r>
      <w:r w:rsidRPr="007816A0">
        <w:rPr>
          <w:rFonts w:cs="Times New Roman"/>
        </w:rPr>
        <w:t xml:space="preserve"> of this tale </w:t>
      </w:r>
      <w:r w:rsidR="006A2674" w:rsidRPr="007816A0">
        <w:rPr>
          <w:rFonts w:cs="Times New Roman"/>
        </w:rPr>
        <w:t>appear</w:t>
      </w:r>
      <w:r w:rsidRPr="007816A0">
        <w:rPr>
          <w:rFonts w:cs="Times New Roman"/>
        </w:rPr>
        <w:t xml:space="preserve"> as</w:t>
      </w:r>
      <w:r w:rsidR="001A3098" w:rsidRPr="007816A0">
        <w:rPr>
          <w:rFonts w:cs="Times New Roman"/>
        </w:rPr>
        <w:t xml:space="preserve"> </w:t>
      </w:r>
      <w:r w:rsidR="001A3098" w:rsidRPr="007816A0">
        <w:rPr>
          <w:rFonts w:cs="Times New Roman"/>
          <w:i/>
          <w:iCs/>
        </w:rPr>
        <w:t>Dumuzid's Dream</w:t>
      </w:r>
      <w:r w:rsidR="001A3098" w:rsidRPr="007816A0">
        <w:rPr>
          <w:rFonts w:cs="Times New Roman"/>
        </w:rPr>
        <w:t xml:space="preserve"> </w:t>
      </w:r>
      <w:r w:rsidR="00B364BD" w:rsidRPr="007816A0">
        <w:rPr>
          <w:rFonts w:cs="Times New Roman"/>
        </w:rPr>
        <w:t xml:space="preserve">and </w:t>
      </w:r>
      <w:r w:rsidR="00B364BD" w:rsidRPr="007816A0">
        <w:rPr>
          <w:rFonts w:cs="Times New Roman"/>
          <w:i/>
          <w:iCs/>
        </w:rPr>
        <w:t>Dumuzid and Ĝeštinana</w:t>
      </w:r>
      <w:r w:rsidR="00B364BD" w:rsidRPr="007816A0">
        <w:rPr>
          <w:rFonts w:cs="Times New Roman"/>
        </w:rPr>
        <w:t xml:space="preserve"> </w:t>
      </w:r>
      <w:r w:rsidR="001A3098" w:rsidRPr="007816A0">
        <w:rPr>
          <w:rFonts w:cs="Times New Roman"/>
        </w:rPr>
        <w:t xml:space="preserve">where </w:t>
      </w:r>
      <w:r w:rsidR="00B364BD" w:rsidRPr="007816A0">
        <w:rPr>
          <w:rFonts w:cs="Times New Roman"/>
        </w:rPr>
        <w:t>they are</w:t>
      </w:r>
      <w:r w:rsidR="001A3098" w:rsidRPr="007816A0">
        <w:rPr>
          <w:rFonts w:cs="Times New Roman"/>
        </w:rPr>
        <w:t xml:space="preserve"> variant expansion</w:t>
      </w:r>
      <w:r w:rsidR="00B364BD" w:rsidRPr="007816A0">
        <w:rPr>
          <w:rFonts w:cs="Times New Roman"/>
        </w:rPr>
        <w:t>s</w:t>
      </w:r>
      <w:r w:rsidR="001A3098" w:rsidRPr="007816A0">
        <w:rPr>
          <w:rFonts w:cs="Times New Roman"/>
        </w:rPr>
        <w:t xml:space="preserve"> of Dumuzi’s hunt following Inanna’s decision to use him as her substitute in the Netherworld. </w:t>
      </w:r>
      <w:r w:rsidR="006A2674" w:rsidRPr="007816A0">
        <w:rPr>
          <w:rFonts w:cs="Times New Roman"/>
        </w:rPr>
        <w:t xml:space="preserve">The very fragmentary </w:t>
      </w:r>
      <w:r w:rsidR="006A2674" w:rsidRPr="007816A0">
        <w:rPr>
          <w:rFonts w:cs="Times New Roman"/>
          <w:i/>
          <w:iCs/>
        </w:rPr>
        <w:t>Dumuzid and his sisters</w:t>
      </w:r>
      <w:r w:rsidR="006A2674" w:rsidRPr="007816A0">
        <w:rPr>
          <w:rFonts w:cs="Times New Roman"/>
        </w:rPr>
        <w:t xml:space="preserve"> also apparently presented an expanded version of Dumuzi’s death. </w:t>
      </w:r>
      <w:r w:rsidR="001A3098" w:rsidRPr="007816A0">
        <w:rPr>
          <w:rFonts w:cs="Times New Roman"/>
        </w:rPr>
        <w:t>Black et al. ETCSL Dumuzid-Dream.</w:t>
      </w:r>
      <w:r w:rsidR="00B364BD" w:rsidRPr="007816A0">
        <w:rPr>
          <w:rFonts w:cs="Times New Roman"/>
        </w:rPr>
        <w:t xml:space="preserve"> Black et al. ETCSL Dumuzid- Ĝeštinana.</w:t>
      </w:r>
      <w:r w:rsidR="006A2674" w:rsidRPr="007816A0">
        <w:rPr>
          <w:rFonts w:cs="Times New Roman"/>
        </w:rPr>
        <w:t xml:space="preserve"> Black et al. ETCSL Dumuzid- Sisters.</w:t>
      </w:r>
    </w:p>
  </w:footnote>
  <w:footnote w:id="43">
    <w:p w14:paraId="48322721" w14:textId="7ADE8070" w:rsidR="00D6354A" w:rsidRPr="007816A0" w:rsidRDefault="00D6354A"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Bilulu, </w:t>
      </w:r>
      <w:r w:rsidR="00D15DF2" w:rsidRPr="007816A0">
        <w:rPr>
          <w:rFonts w:cs="Times New Roman"/>
        </w:rPr>
        <w:t>vv</w:t>
      </w:r>
      <w:r w:rsidR="00BF7940" w:rsidRPr="007816A0">
        <w:rPr>
          <w:rFonts w:cs="Times New Roman"/>
        </w:rPr>
        <w:t>.</w:t>
      </w:r>
      <w:r w:rsidRPr="007816A0">
        <w:rPr>
          <w:rFonts w:cs="Times New Roman"/>
        </w:rPr>
        <w:t xml:space="preserve"> 65-70.</w:t>
      </w:r>
    </w:p>
  </w:footnote>
  <w:footnote w:id="44">
    <w:p w14:paraId="670A50FE" w14:textId="2A2846D1" w:rsidR="00F442C0" w:rsidRPr="007816A0" w:rsidRDefault="00F442C0"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A2120" w:rsidRPr="007816A0">
        <w:rPr>
          <w:rFonts w:cs="Times New Roman"/>
        </w:rPr>
        <w:t>Kramer 1980A</w:t>
      </w:r>
      <w:r w:rsidRPr="007816A0">
        <w:rPr>
          <w:rFonts w:cs="Times New Roman"/>
        </w:rPr>
        <w:t xml:space="preserve">, 10 </w:t>
      </w:r>
      <w:r w:rsidR="00E37268" w:rsidRPr="007816A0">
        <w:rPr>
          <w:rFonts w:cs="Times New Roman"/>
        </w:rPr>
        <w:t>v</w:t>
      </w:r>
      <w:r w:rsidR="00D15DF2" w:rsidRPr="007816A0">
        <w:rPr>
          <w:rFonts w:cs="Times New Roman"/>
        </w:rPr>
        <w:t>v</w:t>
      </w:r>
      <w:r w:rsidR="00BF7940" w:rsidRPr="007816A0">
        <w:rPr>
          <w:rFonts w:cs="Times New Roman"/>
        </w:rPr>
        <w:t>.</w:t>
      </w:r>
      <w:r w:rsidRPr="007816A0">
        <w:rPr>
          <w:rFonts w:cs="Times New Roman"/>
        </w:rPr>
        <w:t xml:space="preserve"> 75-84.</w:t>
      </w:r>
    </w:p>
  </w:footnote>
  <w:footnote w:id="45">
    <w:p w14:paraId="416925B4" w14:textId="6D435306" w:rsidR="00F442C0" w:rsidRPr="007816A0" w:rsidRDefault="00F442C0"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A2120" w:rsidRPr="007816A0">
        <w:rPr>
          <w:rFonts w:cs="Times New Roman"/>
        </w:rPr>
        <w:t>Kramer 1983</w:t>
      </w:r>
      <w:r w:rsidRPr="007816A0">
        <w:rPr>
          <w:rFonts w:cs="Times New Roman"/>
        </w:rPr>
        <w:t>, 76.</w:t>
      </w:r>
    </w:p>
  </w:footnote>
  <w:footnote w:id="46">
    <w:p w14:paraId="1647539C" w14:textId="69ABA88B" w:rsidR="007856DB" w:rsidRPr="007816A0" w:rsidRDefault="007856DB" w:rsidP="00280D0B">
      <w:pPr>
        <w:pStyle w:val="FootnoteText"/>
        <w:rPr>
          <w:rFonts w:cs="Times New Roman"/>
        </w:rPr>
      </w:pPr>
      <w:r w:rsidRPr="007816A0">
        <w:rPr>
          <w:rStyle w:val="FootnoteReference"/>
          <w:rFonts w:cs="Times New Roman"/>
        </w:rPr>
        <w:footnoteRef/>
      </w:r>
      <w:r w:rsidRPr="007816A0">
        <w:rPr>
          <w:rFonts w:cs="Times New Roman"/>
        </w:rPr>
        <w:t xml:space="preserve"> Kramer (1983, 71-75) suggests that the most frequent weeping goddess lamentations </w:t>
      </w:r>
      <w:r w:rsidR="00AD0B30" w:rsidRPr="007816A0">
        <w:rPr>
          <w:rFonts w:cs="Times New Roman"/>
        </w:rPr>
        <w:t>centre</w:t>
      </w:r>
      <w:r w:rsidRPr="007816A0">
        <w:rPr>
          <w:rFonts w:cs="Times New Roman"/>
        </w:rPr>
        <w:t xml:space="preserve"> on the destruction of Ur by the Elamites and the Su-people. </w:t>
      </w:r>
      <w:r w:rsidR="00C54251" w:rsidRPr="007816A0">
        <w:rPr>
          <w:rFonts w:cs="Times New Roman"/>
        </w:rPr>
        <w:t>Though</w:t>
      </w:r>
      <w:r w:rsidRPr="007816A0">
        <w:rPr>
          <w:rFonts w:cs="Times New Roman"/>
        </w:rPr>
        <w:t xml:space="preserve"> the specific weeping goddess is interchangeable, they blame An and Enlil for catastrophe. In the </w:t>
      </w:r>
      <w:r w:rsidRPr="007816A0">
        <w:rPr>
          <w:rFonts w:cs="Times New Roman"/>
          <w:i/>
          <w:iCs/>
        </w:rPr>
        <w:t>Lamentation Over the Destruction of Erech</w:t>
      </w:r>
      <w:r w:rsidRPr="007816A0">
        <w:rPr>
          <w:rFonts w:cs="Times New Roman"/>
        </w:rPr>
        <w:t xml:space="preserve">, Inanna is not mentioned but the poem ends with the mention of the Evening and Morning Star accompanied by </w:t>
      </w:r>
      <w:r w:rsidR="00A652AD" w:rsidRPr="007816A0">
        <w:rPr>
          <w:rFonts w:cs="Times New Roman"/>
        </w:rPr>
        <w:t>“</w:t>
      </w:r>
      <w:r w:rsidRPr="007816A0">
        <w:rPr>
          <w:rFonts w:cs="Times New Roman"/>
        </w:rPr>
        <w:t>a prayer for the life of Ishme-Dagan who had restored the city.</w:t>
      </w:r>
      <w:r w:rsidR="00A652AD" w:rsidRPr="007816A0">
        <w:rPr>
          <w:rFonts w:cs="Times New Roman"/>
        </w:rPr>
        <w:t>”</w:t>
      </w:r>
      <w:r w:rsidRPr="007816A0">
        <w:rPr>
          <w:rFonts w:cs="Times New Roman"/>
        </w:rPr>
        <w:t xml:space="preserve"> Inanna and Ninisinna switch places in various versions of the weeping goddess laments.</w:t>
      </w:r>
      <w:r w:rsidR="00362CF4" w:rsidRPr="007816A0">
        <w:rPr>
          <w:rFonts w:cs="Times New Roman"/>
        </w:rPr>
        <w:t xml:space="preserve"> </w:t>
      </w:r>
      <w:r w:rsidR="00AD2681" w:rsidRPr="007816A0">
        <w:rPr>
          <w:rFonts w:cs="Times New Roman"/>
        </w:rPr>
        <w:t>It is also worth noting that, in Egyptian Coffin Spell 74</w:t>
      </w:r>
      <w:r w:rsidR="00362CF4" w:rsidRPr="007816A0">
        <w:rPr>
          <w:rFonts w:cs="Times New Roman"/>
        </w:rPr>
        <w:t xml:space="preserve">, Isis was a weeping goddess until Osiris </w:t>
      </w:r>
      <w:r w:rsidR="00A652AD" w:rsidRPr="007816A0">
        <w:rPr>
          <w:rFonts w:cs="Times New Roman"/>
        </w:rPr>
        <w:t>“</w:t>
      </w:r>
      <w:r w:rsidR="00362CF4" w:rsidRPr="007816A0">
        <w:rPr>
          <w:rFonts w:cs="Times New Roman"/>
        </w:rPr>
        <w:t>ascended into the Celestial waters.</w:t>
      </w:r>
      <w:r w:rsidR="00A652AD" w:rsidRPr="007816A0">
        <w:rPr>
          <w:rFonts w:cs="Times New Roman"/>
        </w:rPr>
        <w:t>”</w:t>
      </w:r>
      <w:r w:rsidR="00362CF4" w:rsidRPr="007816A0">
        <w:rPr>
          <w:rFonts w:cs="Times New Roman"/>
        </w:rPr>
        <w:t xml:space="preserve"> Faulkner 2004, 70</w:t>
      </w:r>
      <w:r w:rsidR="001B36A8" w:rsidRPr="007816A0">
        <w:rPr>
          <w:rFonts w:cs="Times New Roman"/>
        </w:rPr>
        <w:t xml:space="preserve"> </w:t>
      </w:r>
      <w:r w:rsidR="00362CF4" w:rsidRPr="007816A0">
        <w:rPr>
          <w:rFonts w:cs="Times New Roman"/>
        </w:rPr>
        <w:t>Spell 74.</w:t>
      </w:r>
    </w:p>
  </w:footnote>
  <w:footnote w:id="47">
    <w:p w14:paraId="64E8B86C" w14:textId="6FD1D4DD" w:rsidR="00F442C0" w:rsidRPr="007816A0" w:rsidRDefault="00F442C0"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50.</w:t>
      </w:r>
    </w:p>
  </w:footnote>
  <w:footnote w:id="48">
    <w:p w14:paraId="1BDAAA05" w14:textId="32E5DA9C" w:rsidR="003B3EFF" w:rsidRPr="007816A0" w:rsidRDefault="003B3EFF"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52.</w:t>
      </w:r>
    </w:p>
  </w:footnote>
  <w:footnote w:id="49">
    <w:p w14:paraId="1169997E" w14:textId="5538797C" w:rsidR="003B3EFF" w:rsidRPr="007816A0" w:rsidRDefault="003B3EFF" w:rsidP="00280D0B">
      <w:pPr>
        <w:pStyle w:val="FootnoteText"/>
        <w:rPr>
          <w:rFonts w:cs="Times New Roman"/>
        </w:rPr>
      </w:pPr>
      <w:r w:rsidRPr="007816A0">
        <w:rPr>
          <w:rStyle w:val="FootnoteReference"/>
          <w:rFonts w:cs="Times New Roman"/>
        </w:rPr>
        <w:footnoteRef/>
      </w:r>
      <w:r w:rsidRPr="007816A0">
        <w:rPr>
          <w:rFonts w:cs="Times New Roman"/>
        </w:rPr>
        <w:t xml:space="preserve"> Kramer 1960, 65.</w:t>
      </w:r>
      <w:r w:rsidR="00517346" w:rsidRPr="007816A0">
        <w:rPr>
          <w:rFonts w:cs="Times New Roman"/>
        </w:rPr>
        <w:t xml:space="preserve"> For version of existence</w:t>
      </w:r>
      <w:r w:rsidR="0054294A" w:rsidRPr="007816A0">
        <w:rPr>
          <w:rFonts w:cs="Times New Roman"/>
        </w:rPr>
        <w:t xml:space="preserve"> </w:t>
      </w:r>
      <w:r w:rsidR="00517346" w:rsidRPr="007816A0">
        <w:rPr>
          <w:rFonts w:cs="Times New Roman"/>
        </w:rPr>
        <w:t>in the Netherworld, see Black et al. ETCSL Gilgamesh/Enkidu/Netherworld.</w:t>
      </w:r>
    </w:p>
  </w:footnote>
  <w:footnote w:id="50">
    <w:p w14:paraId="01708C1F" w14:textId="711E001A" w:rsidR="00BB3024" w:rsidRPr="007816A0" w:rsidRDefault="00BB3024" w:rsidP="00280D0B">
      <w:pPr>
        <w:pStyle w:val="FootnoteText"/>
        <w:rPr>
          <w:rFonts w:cs="Times New Roman"/>
        </w:rPr>
      </w:pPr>
      <w:r w:rsidRPr="007816A0">
        <w:rPr>
          <w:rStyle w:val="FootnoteReference"/>
          <w:rFonts w:cs="Times New Roman"/>
        </w:rPr>
        <w:footnoteRef/>
      </w:r>
      <w:r w:rsidRPr="007816A0">
        <w:rPr>
          <w:rFonts w:cs="Times New Roman"/>
        </w:rPr>
        <w:t xml:space="preserve"> Walls 1992, 76. Thompson 2024, 381.</w:t>
      </w:r>
    </w:p>
  </w:footnote>
  <w:footnote w:id="51">
    <w:p w14:paraId="6F3414D6" w14:textId="2C32E71F" w:rsidR="00BB3024" w:rsidRPr="007816A0" w:rsidRDefault="00BB3024" w:rsidP="00280D0B">
      <w:pPr>
        <w:pStyle w:val="FootnoteText"/>
        <w:rPr>
          <w:rFonts w:cs="Times New Roman"/>
        </w:rPr>
      </w:pPr>
      <w:r w:rsidRPr="007816A0">
        <w:rPr>
          <w:rStyle w:val="FootnoteReference"/>
          <w:rFonts w:cs="Times New Roman"/>
        </w:rPr>
        <w:footnoteRef/>
      </w:r>
      <w:r w:rsidRPr="007816A0">
        <w:rPr>
          <w:rFonts w:cs="Times New Roman"/>
        </w:rPr>
        <w:t xml:space="preserve"> Westenholz, Goodison 1998, 72.</w:t>
      </w:r>
    </w:p>
  </w:footnote>
  <w:footnote w:id="52">
    <w:p w14:paraId="66330B77" w14:textId="360CB84E" w:rsidR="00BB3024" w:rsidRPr="007816A0" w:rsidRDefault="00BB3024" w:rsidP="00280D0B">
      <w:pPr>
        <w:pStyle w:val="FootnoteText"/>
        <w:rPr>
          <w:rFonts w:cs="Times New Roman"/>
        </w:rPr>
      </w:pPr>
      <w:r w:rsidRPr="007816A0">
        <w:rPr>
          <w:rStyle w:val="FootnoteReference"/>
          <w:rFonts w:cs="Times New Roman"/>
        </w:rPr>
        <w:footnoteRef/>
      </w:r>
      <w:r w:rsidRPr="007816A0">
        <w:rPr>
          <w:rFonts w:cs="Times New Roman"/>
        </w:rPr>
        <w:t xml:space="preserve"> Thompson 2024, 380.</w:t>
      </w:r>
    </w:p>
  </w:footnote>
  <w:footnote w:id="53">
    <w:p w14:paraId="0A2A4A63" w14:textId="7C4B61D5" w:rsidR="00BB3024" w:rsidRPr="007816A0" w:rsidRDefault="00BB3024" w:rsidP="00280D0B">
      <w:pPr>
        <w:pStyle w:val="FootnoteText"/>
        <w:rPr>
          <w:rFonts w:cs="Times New Roman"/>
        </w:rPr>
      </w:pPr>
      <w:r w:rsidRPr="007816A0">
        <w:rPr>
          <w:rStyle w:val="FootnoteReference"/>
          <w:rFonts w:cs="Times New Roman"/>
        </w:rPr>
        <w:footnoteRef/>
      </w:r>
      <w:r w:rsidRPr="007816A0">
        <w:rPr>
          <w:rFonts w:cs="Times New Roman"/>
        </w:rPr>
        <w:t xml:space="preserve"> Westenholz, Goodison 1998, 67. Meador 2000, 15.</w:t>
      </w:r>
    </w:p>
  </w:footnote>
  <w:footnote w:id="54">
    <w:p w14:paraId="7F6D22A2" w14:textId="283087FE" w:rsidR="00D27CE8" w:rsidRPr="007816A0" w:rsidRDefault="00D27CE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5E3B6D" w:rsidRPr="007816A0">
        <w:rPr>
          <w:rFonts w:cs="Times New Roman"/>
        </w:rPr>
        <w:t xml:space="preserve">Altaweel, Squitieri et al. 2026, 1. </w:t>
      </w:r>
      <w:r w:rsidRPr="007816A0">
        <w:rPr>
          <w:rFonts w:cs="Times New Roman"/>
        </w:rPr>
        <w:t>Bär 2003, 157-159.</w:t>
      </w:r>
    </w:p>
  </w:footnote>
  <w:footnote w:id="55">
    <w:p w14:paraId="71540583" w14:textId="3E99FE7C" w:rsidR="00906E65" w:rsidRPr="007816A0" w:rsidRDefault="00906E65"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140-141.</w:t>
      </w:r>
    </w:p>
  </w:footnote>
  <w:footnote w:id="56">
    <w:p w14:paraId="3DAB2B78" w14:textId="77777777" w:rsidR="001873A7" w:rsidRPr="007816A0" w:rsidRDefault="001873A7" w:rsidP="001873A7">
      <w:pPr>
        <w:pStyle w:val="FootnoteText"/>
        <w:rPr>
          <w:rFonts w:cs="Times New Roman"/>
        </w:rPr>
      </w:pPr>
      <w:r w:rsidRPr="007816A0">
        <w:rPr>
          <w:rStyle w:val="FootnoteReference"/>
          <w:rFonts w:cs="Times New Roman"/>
        </w:rPr>
        <w:footnoteRef/>
      </w:r>
      <w:r w:rsidRPr="007816A0">
        <w:rPr>
          <w:rFonts w:cs="Times New Roman"/>
        </w:rPr>
        <w:t xml:space="preserve"> Haupt 1907, 119.</w:t>
      </w:r>
    </w:p>
  </w:footnote>
  <w:footnote w:id="57">
    <w:p w14:paraId="17C5D237" w14:textId="7D1856B7" w:rsidR="00197C9C" w:rsidRPr="007816A0" w:rsidRDefault="00197C9C">
      <w:pPr>
        <w:pStyle w:val="FootnoteText"/>
        <w:rPr>
          <w:rFonts w:cs="Times New Roman"/>
        </w:rPr>
      </w:pPr>
      <w:r w:rsidRPr="007816A0">
        <w:rPr>
          <w:rStyle w:val="FootnoteReference"/>
          <w:rFonts w:cs="Times New Roman"/>
        </w:rPr>
        <w:footnoteRef/>
      </w:r>
      <w:r w:rsidRPr="007816A0">
        <w:rPr>
          <w:rFonts w:cs="Times New Roman"/>
        </w:rPr>
        <w:t xml:space="preserve"> </w:t>
      </w:r>
      <w:r w:rsidRPr="007816A0">
        <w:rPr>
          <w:rFonts w:cs="Times New Roman"/>
          <w:lang w:eastAsia="en-GB"/>
        </w:rPr>
        <w:t xml:space="preserve">Parpola </w:t>
      </w:r>
      <w:r w:rsidR="00CA32CB" w:rsidRPr="007816A0">
        <w:rPr>
          <w:rFonts w:cs="Times New Roman"/>
          <w:lang w:eastAsia="en-GB"/>
        </w:rPr>
        <w:t xml:space="preserve">(2010, 22) </w:t>
      </w:r>
      <w:r w:rsidRPr="007816A0">
        <w:rPr>
          <w:rFonts w:cs="Times New Roman"/>
          <w:lang w:eastAsia="en-GB"/>
        </w:rPr>
        <w:t>argues, “Ishtar n'était ainsi pas autre chose qu'Assur lui-même manifesté sous son aspect de Mère, le divin Amour sous-tendant toute existence.”</w:t>
      </w:r>
    </w:p>
  </w:footnote>
  <w:footnote w:id="58">
    <w:p w14:paraId="7D8D31BD" w14:textId="12EEF45B" w:rsidR="003E7D77" w:rsidRPr="007816A0" w:rsidRDefault="003E7D77" w:rsidP="00280D0B">
      <w:pPr>
        <w:pStyle w:val="FootnoteText"/>
        <w:rPr>
          <w:rFonts w:cs="Times New Roman"/>
        </w:rPr>
      </w:pPr>
      <w:r w:rsidRPr="007816A0">
        <w:rPr>
          <w:rStyle w:val="FootnoteReference"/>
          <w:rFonts w:cs="Times New Roman"/>
        </w:rPr>
        <w:footnoteRef/>
      </w:r>
      <w:r w:rsidRPr="007816A0">
        <w:rPr>
          <w:rFonts w:cs="Times New Roman"/>
        </w:rPr>
        <w:t xml:space="preserve"> Harris 1991, 261-262.</w:t>
      </w:r>
    </w:p>
  </w:footnote>
  <w:footnote w:id="59">
    <w:p w14:paraId="00FE7C37" w14:textId="40CB97A1"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D924FD" w:rsidRPr="007816A0">
        <w:rPr>
          <w:rFonts w:cs="Times New Roman"/>
        </w:rPr>
        <w:t>Carvalho, da Silva</w:t>
      </w:r>
      <w:r w:rsidR="003D6CFB" w:rsidRPr="007816A0">
        <w:rPr>
          <w:rFonts w:cs="Times New Roman"/>
        </w:rPr>
        <w:t xml:space="preserve"> </w:t>
      </w:r>
      <w:r w:rsidRPr="007816A0">
        <w:rPr>
          <w:rFonts w:cs="Times New Roman"/>
        </w:rPr>
        <w:t>2023, 9</w:t>
      </w:r>
      <w:r w:rsidR="00A7183A" w:rsidRPr="007816A0">
        <w:rPr>
          <w:rFonts w:cs="Times New Roman"/>
        </w:rPr>
        <w:t>,</w:t>
      </w:r>
      <w:r w:rsidRPr="007816A0">
        <w:rPr>
          <w:rFonts w:cs="Times New Roman"/>
        </w:rPr>
        <w:t xml:space="preserve"> 18.</w:t>
      </w:r>
      <w:r w:rsidR="00AF7759" w:rsidRPr="007816A0">
        <w:rPr>
          <w:rFonts w:cs="Times New Roman"/>
        </w:rPr>
        <w:t xml:space="preserve"> Matsushima 2014,</w:t>
      </w:r>
      <w:r w:rsidR="00B47738" w:rsidRPr="007816A0">
        <w:rPr>
          <w:rFonts w:cs="Times New Roman"/>
        </w:rPr>
        <w:t xml:space="preserve"> 13-</w:t>
      </w:r>
      <w:r w:rsidR="00AF7759" w:rsidRPr="007816A0">
        <w:rPr>
          <w:rFonts w:cs="Times New Roman"/>
        </w:rPr>
        <w:t>14.</w:t>
      </w:r>
    </w:p>
  </w:footnote>
  <w:footnote w:id="60">
    <w:p w14:paraId="1492C704" w14:textId="26D4360D"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D924FD" w:rsidRPr="007816A0">
        <w:rPr>
          <w:rFonts w:cs="Times New Roman"/>
        </w:rPr>
        <w:t>Carvalho, da Silva</w:t>
      </w:r>
      <w:r w:rsidR="003D6CFB" w:rsidRPr="007816A0">
        <w:rPr>
          <w:rFonts w:cs="Times New Roman"/>
        </w:rPr>
        <w:t xml:space="preserve"> </w:t>
      </w:r>
      <w:r w:rsidRPr="007816A0">
        <w:rPr>
          <w:rFonts w:cs="Times New Roman"/>
        </w:rPr>
        <w:t>2023, 9</w:t>
      </w:r>
      <w:r w:rsidR="00A7183A" w:rsidRPr="007816A0">
        <w:rPr>
          <w:rFonts w:cs="Times New Roman"/>
        </w:rPr>
        <w:t>,</w:t>
      </w:r>
      <w:r w:rsidRPr="007816A0">
        <w:rPr>
          <w:rFonts w:cs="Times New Roman"/>
        </w:rPr>
        <w:t xml:space="preserve"> 19.</w:t>
      </w:r>
    </w:p>
  </w:footnote>
  <w:footnote w:id="61">
    <w:p w14:paraId="6E8A8954" w14:textId="120ECFA8"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D924FD" w:rsidRPr="007816A0">
        <w:rPr>
          <w:rFonts w:cs="Times New Roman"/>
        </w:rPr>
        <w:t>Carvalho, da Silva</w:t>
      </w:r>
      <w:r w:rsidR="003D6CFB" w:rsidRPr="007816A0">
        <w:rPr>
          <w:rFonts w:cs="Times New Roman"/>
        </w:rPr>
        <w:t xml:space="preserve"> </w:t>
      </w:r>
      <w:r w:rsidRPr="007816A0">
        <w:rPr>
          <w:rFonts w:cs="Times New Roman"/>
        </w:rPr>
        <w:t>2023, 9</w:t>
      </w:r>
      <w:r w:rsidR="00E37268" w:rsidRPr="007816A0">
        <w:rPr>
          <w:rFonts w:cs="Times New Roman"/>
        </w:rPr>
        <w:t>,</w:t>
      </w:r>
      <w:r w:rsidRPr="007816A0">
        <w:rPr>
          <w:rFonts w:cs="Times New Roman"/>
        </w:rPr>
        <w:t xml:space="preserve"> 21.</w:t>
      </w:r>
    </w:p>
  </w:footnote>
  <w:footnote w:id="62">
    <w:p w14:paraId="02B876C7" w14:textId="23502F5C"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Meador 2000, 69. </w:t>
      </w:r>
      <w:r w:rsidR="00D924FD" w:rsidRPr="007816A0">
        <w:rPr>
          <w:rFonts w:cs="Times New Roman"/>
        </w:rPr>
        <w:t>Carvalho, da Silva</w:t>
      </w:r>
      <w:r w:rsidR="003D6CFB" w:rsidRPr="007816A0">
        <w:rPr>
          <w:rFonts w:cs="Times New Roman"/>
        </w:rPr>
        <w:t xml:space="preserve"> </w:t>
      </w:r>
      <w:r w:rsidRPr="007816A0">
        <w:rPr>
          <w:rFonts w:cs="Times New Roman"/>
        </w:rPr>
        <w:t>2023, 22.</w:t>
      </w:r>
    </w:p>
  </w:footnote>
  <w:footnote w:id="63">
    <w:p w14:paraId="2EDDDFBA" w14:textId="051D0825" w:rsidR="00254A8E" w:rsidRPr="007816A0" w:rsidRDefault="00254A8E" w:rsidP="00280D0B">
      <w:pPr>
        <w:pStyle w:val="FootnoteText"/>
        <w:rPr>
          <w:rFonts w:cs="Times New Roman"/>
        </w:rPr>
      </w:pPr>
      <w:r w:rsidRPr="007816A0">
        <w:rPr>
          <w:rStyle w:val="FootnoteReference"/>
          <w:rFonts w:cs="Times New Roman"/>
        </w:rPr>
        <w:footnoteRef/>
      </w:r>
      <w:r w:rsidRPr="007816A0">
        <w:rPr>
          <w:rFonts w:cs="Times New Roman"/>
        </w:rPr>
        <w:t xml:space="preserve"> Matsushima 2014, 1.</w:t>
      </w:r>
    </w:p>
  </w:footnote>
  <w:footnote w:id="64">
    <w:p w14:paraId="70138082" w14:textId="58EB8D86" w:rsidR="00393BDA" w:rsidRPr="007816A0" w:rsidRDefault="00393BDA" w:rsidP="00280D0B">
      <w:pPr>
        <w:pStyle w:val="FootnoteText"/>
        <w:rPr>
          <w:rFonts w:cs="Times New Roman"/>
        </w:rPr>
      </w:pPr>
      <w:r w:rsidRPr="007816A0">
        <w:rPr>
          <w:rStyle w:val="FootnoteReference"/>
          <w:rFonts w:cs="Times New Roman"/>
        </w:rPr>
        <w:footnoteRef/>
      </w:r>
      <w:r w:rsidRPr="007816A0">
        <w:rPr>
          <w:rFonts w:cs="Times New Roman"/>
        </w:rPr>
        <w:t xml:space="preserve"> Anthonioz 2014, 126.</w:t>
      </w:r>
      <w:r w:rsidR="00145386" w:rsidRPr="007816A0">
        <w:rPr>
          <w:rFonts w:cs="Times New Roman"/>
        </w:rPr>
        <w:t xml:space="preserve"> Matsushima 2014, 1.</w:t>
      </w:r>
    </w:p>
  </w:footnote>
  <w:footnote w:id="65">
    <w:p w14:paraId="434E29EF" w14:textId="64B94286" w:rsidR="00980766" w:rsidRPr="007816A0" w:rsidRDefault="00980766" w:rsidP="00280D0B">
      <w:pPr>
        <w:pStyle w:val="FootnoteText"/>
        <w:rPr>
          <w:rFonts w:cs="Times New Roman"/>
        </w:rPr>
      </w:pPr>
      <w:r w:rsidRPr="007816A0">
        <w:rPr>
          <w:rStyle w:val="FootnoteReference"/>
          <w:rFonts w:cs="Times New Roman"/>
        </w:rPr>
        <w:footnoteRef/>
      </w:r>
      <w:r w:rsidRPr="007816A0">
        <w:rPr>
          <w:rFonts w:cs="Times New Roman"/>
        </w:rPr>
        <w:t xml:space="preserve"> Thompson 2024, 379.</w:t>
      </w:r>
    </w:p>
  </w:footnote>
  <w:footnote w:id="66">
    <w:p w14:paraId="66B678D2" w14:textId="2B4BC8C4" w:rsidR="0075227D" w:rsidRPr="007816A0" w:rsidRDefault="0075227D"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56107F" w:rsidRPr="007816A0">
        <w:rPr>
          <w:rFonts w:cs="Times New Roman"/>
        </w:rPr>
        <w:t xml:space="preserve">Budin </w:t>
      </w:r>
      <w:r w:rsidRPr="007816A0">
        <w:rPr>
          <w:rFonts w:cs="Times New Roman"/>
        </w:rPr>
        <w:t>2000, 309-310. al Khamis 1990, 110. Grahn 2010, XI-XVI.</w:t>
      </w:r>
    </w:p>
  </w:footnote>
  <w:footnote w:id="67">
    <w:p w14:paraId="0C5A6022" w14:textId="266B48AF" w:rsidR="0075227D" w:rsidRPr="007816A0" w:rsidRDefault="0075227D" w:rsidP="00280D0B">
      <w:pPr>
        <w:pStyle w:val="FootnoteText"/>
        <w:rPr>
          <w:rFonts w:cs="Times New Roman"/>
        </w:rPr>
      </w:pPr>
      <w:r w:rsidRPr="007816A0">
        <w:rPr>
          <w:rStyle w:val="FootnoteReference"/>
          <w:rFonts w:cs="Times New Roman"/>
        </w:rPr>
        <w:footnoteRef/>
      </w:r>
      <w:r w:rsidRPr="007816A0">
        <w:rPr>
          <w:rFonts w:cs="Times New Roman"/>
        </w:rPr>
        <w:t xml:space="preserve"> Harris (1991, 265-266) suggests that Inanna-Ištar has a chaotic aspect and </w:t>
      </w:r>
      <w:r w:rsidR="00C368C5">
        <w:rPr>
          <w:rFonts w:cs="Times New Roman"/>
        </w:rPr>
        <w:t>describes her as</w:t>
      </w:r>
      <w:r w:rsidRPr="007816A0">
        <w:rPr>
          <w:rFonts w:cs="Times New Roman"/>
        </w:rPr>
        <w:t xml:space="preserve"> </w:t>
      </w:r>
      <w:r w:rsidR="00A652AD" w:rsidRPr="007816A0">
        <w:rPr>
          <w:rFonts w:cs="Times New Roman"/>
        </w:rPr>
        <w:t>“</w:t>
      </w:r>
      <w:r w:rsidRPr="007816A0">
        <w:rPr>
          <w:rFonts w:cs="Times New Roman"/>
        </w:rPr>
        <w:t>ambiguity incarnate.</w:t>
      </w:r>
      <w:r w:rsidR="00A652AD" w:rsidRPr="007816A0">
        <w:rPr>
          <w:rFonts w:cs="Times New Roman"/>
        </w:rPr>
        <w:t>”</w:t>
      </w:r>
      <w:r w:rsidRPr="007816A0">
        <w:rPr>
          <w:rFonts w:cs="Times New Roman"/>
        </w:rPr>
        <w:t xml:space="preserve"> He cites prayers to Inanna-Ištar that read in part, </w:t>
      </w:r>
      <w:r w:rsidR="00A652AD" w:rsidRPr="007816A0">
        <w:rPr>
          <w:rFonts w:cs="Times New Roman"/>
        </w:rPr>
        <w:t>“</w:t>
      </w:r>
      <w:r w:rsidR="005B2DE8" w:rsidRPr="007816A0">
        <w:rPr>
          <w:rFonts w:cs="Times New Roman"/>
        </w:rPr>
        <w:t>‘</w:t>
      </w:r>
      <w:r w:rsidRPr="007816A0">
        <w:rPr>
          <w:rFonts w:cs="Times New Roman"/>
        </w:rPr>
        <w:t>You have confusion those threads which have been ordered ... You those threads which bring confusion.... Inanna, you have what should not have been destroyed, you have made what have been made.</w:t>
      </w:r>
      <w:r w:rsidR="005B2DE8" w:rsidRPr="007816A0">
        <w:rPr>
          <w:rFonts w:cs="Times New Roman"/>
        </w:rPr>
        <w:t>’</w:t>
      </w:r>
      <w:r w:rsidRPr="007816A0">
        <w:rPr>
          <w:rFonts w:cs="Times New Roman"/>
        </w:rPr>
        <w:t xml:space="preserve"> Inanna-Ishtar as the source of human conflict and destruction is frequently underlined in prayers: </w:t>
      </w:r>
      <w:r w:rsidR="005B2DE8" w:rsidRPr="007816A0">
        <w:rPr>
          <w:rFonts w:cs="Times New Roman"/>
        </w:rPr>
        <w:t>‘</w:t>
      </w:r>
      <w:r w:rsidRPr="007816A0">
        <w:rPr>
          <w:rFonts w:cs="Times New Roman"/>
        </w:rPr>
        <w:t>Star of the battle-cry, brothers who have lived together in harmony fight each other.</w:t>
      </w:r>
      <w:r w:rsidR="005B2DE8" w:rsidRPr="007816A0">
        <w:rPr>
          <w:rFonts w:cs="Times New Roman"/>
        </w:rPr>
        <w:t>’</w:t>
      </w:r>
      <w:r w:rsidR="00A652AD" w:rsidRPr="007816A0">
        <w:rPr>
          <w:rFonts w:cs="Times New Roman"/>
        </w:rPr>
        <w:t>”</w:t>
      </w:r>
      <w:r w:rsidRPr="007816A0">
        <w:rPr>
          <w:rFonts w:cs="Times New Roman"/>
        </w:rPr>
        <w:t xml:space="preserve"> Wessels 2013, 43.</w:t>
      </w:r>
    </w:p>
  </w:footnote>
  <w:footnote w:id="68">
    <w:p w14:paraId="63E22F10" w14:textId="39272A04" w:rsidR="00FC4310" w:rsidRPr="007816A0" w:rsidRDefault="00FC4310" w:rsidP="00280D0B">
      <w:pPr>
        <w:pStyle w:val="FootnoteText"/>
        <w:rPr>
          <w:rFonts w:cs="Times New Roman"/>
        </w:rPr>
      </w:pPr>
      <w:r w:rsidRPr="007816A0">
        <w:rPr>
          <w:rStyle w:val="FootnoteReference"/>
          <w:rFonts w:cs="Times New Roman"/>
        </w:rPr>
        <w:footnoteRef/>
      </w:r>
      <w:r w:rsidRPr="007816A0">
        <w:rPr>
          <w:rFonts w:cs="Times New Roman"/>
        </w:rPr>
        <w:t xml:space="preserve"> Matsushima 2014, 3.</w:t>
      </w:r>
    </w:p>
  </w:footnote>
  <w:footnote w:id="69">
    <w:p w14:paraId="4EC5D31E" w14:textId="0871A2C1" w:rsidR="00F71EB0" w:rsidRPr="007816A0" w:rsidRDefault="00F71EB0" w:rsidP="00280D0B">
      <w:pPr>
        <w:pStyle w:val="FootnoteText"/>
        <w:rPr>
          <w:rFonts w:cs="Times New Roman"/>
        </w:rPr>
      </w:pPr>
      <w:r w:rsidRPr="007816A0">
        <w:rPr>
          <w:rStyle w:val="FootnoteReference"/>
          <w:rFonts w:cs="Times New Roman"/>
        </w:rPr>
        <w:footnoteRef/>
      </w:r>
      <w:r w:rsidRPr="007816A0">
        <w:rPr>
          <w:rFonts w:cs="Times New Roman"/>
        </w:rPr>
        <w:t xml:space="preserve"> Harris 1991, 261-262.</w:t>
      </w:r>
    </w:p>
  </w:footnote>
  <w:footnote w:id="70">
    <w:p w14:paraId="657EA859" w14:textId="77777777" w:rsidR="009D2921" w:rsidRPr="007816A0" w:rsidRDefault="009D2921" w:rsidP="009D2921">
      <w:pPr>
        <w:pStyle w:val="FootnoteText"/>
        <w:rPr>
          <w:rFonts w:cs="Times New Roman"/>
        </w:rPr>
      </w:pPr>
      <w:r w:rsidRPr="007816A0">
        <w:rPr>
          <w:rStyle w:val="FootnoteReference"/>
          <w:rFonts w:cs="Times New Roman"/>
        </w:rPr>
        <w:footnoteRef/>
      </w:r>
      <w:r w:rsidRPr="007816A0">
        <w:rPr>
          <w:rFonts w:cs="Times New Roman"/>
        </w:rPr>
        <w:t xml:space="preserve"> Wimber 2007, 1.</w:t>
      </w:r>
    </w:p>
  </w:footnote>
  <w:footnote w:id="71">
    <w:p w14:paraId="470D4489" w14:textId="77777777" w:rsidR="009D2921" w:rsidRPr="007816A0" w:rsidRDefault="009D2921" w:rsidP="009D2921">
      <w:pPr>
        <w:pStyle w:val="FootnoteText"/>
        <w:rPr>
          <w:rFonts w:cs="Times New Roman"/>
        </w:rPr>
      </w:pPr>
      <w:r w:rsidRPr="007816A0">
        <w:rPr>
          <w:rStyle w:val="FootnoteReference"/>
          <w:rFonts w:cs="Times New Roman"/>
        </w:rPr>
        <w:footnoteRef/>
      </w:r>
      <w:r w:rsidRPr="007816A0">
        <w:rPr>
          <w:rFonts w:cs="Times New Roman"/>
        </w:rPr>
        <w:t xml:space="preserve"> Thompson 2024, 380.</w:t>
      </w:r>
    </w:p>
  </w:footnote>
  <w:footnote w:id="72">
    <w:p w14:paraId="630B0C51" w14:textId="77777777" w:rsidR="009D2921" w:rsidRPr="007816A0" w:rsidRDefault="009D2921" w:rsidP="009D2921">
      <w:pPr>
        <w:pStyle w:val="FootnoteText"/>
        <w:rPr>
          <w:rFonts w:cs="Times New Roman"/>
        </w:rPr>
      </w:pPr>
      <w:r w:rsidRPr="007816A0">
        <w:rPr>
          <w:rStyle w:val="FootnoteReference"/>
          <w:rFonts w:cs="Times New Roman"/>
        </w:rPr>
        <w:footnoteRef/>
      </w:r>
      <w:r w:rsidRPr="007816A0">
        <w:rPr>
          <w:rFonts w:cs="Times New Roman"/>
        </w:rPr>
        <w:t xml:space="preserve"> Cornelius 2014, 87. Albenda 1983, 82.</w:t>
      </w:r>
    </w:p>
  </w:footnote>
  <w:footnote w:id="73">
    <w:p w14:paraId="39E46361" w14:textId="77777777" w:rsidR="009D2921" w:rsidRPr="007816A0" w:rsidRDefault="009D2921" w:rsidP="009D2921">
      <w:pPr>
        <w:pStyle w:val="FootnoteText"/>
        <w:rPr>
          <w:rFonts w:cs="Times New Roman"/>
        </w:rPr>
      </w:pPr>
      <w:r w:rsidRPr="007816A0">
        <w:rPr>
          <w:rStyle w:val="FootnoteReference"/>
          <w:rFonts w:cs="Times New Roman"/>
        </w:rPr>
        <w:footnoteRef/>
      </w:r>
      <w:r w:rsidRPr="007816A0">
        <w:rPr>
          <w:rFonts w:cs="Times New Roman"/>
        </w:rPr>
        <w:t xml:space="preserve"> Tsukimoto 2014, 15.</w:t>
      </w:r>
    </w:p>
  </w:footnote>
  <w:footnote w:id="74">
    <w:p w14:paraId="176620E2" w14:textId="1B1064B7" w:rsidR="00BC28FC" w:rsidRPr="007816A0" w:rsidRDefault="00BC28FC"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D86FE9" w:rsidRPr="007816A0">
        <w:rPr>
          <w:rFonts w:cs="Times New Roman"/>
        </w:rPr>
        <w:t xml:space="preserve">On display at </w:t>
      </w:r>
      <w:r w:rsidRPr="007816A0">
        <w:rPr>
          <w:rFonts w:cs="Times New Roman"/>
        </w:rPr>
        <w:t>Pergamon Museum, Berlin, Germany.</w:t>
      </w:r>
      <w:r w:rsidR="00D86FE9" w:rsidRPr="007816A0">
        <w:rPr>
          <w:rFonts w:cs="Times New Roman"/>
        </w:rPr>
        <w:t xml:space="preserve"> Photo courtesy of © Osama Shukir Muhammed Amin FRCP(Glasg), CC BY-SA 4.0 &lt;https://creativecommons.org/licenses/by-sa/4.0&gt;, via Wikimedia Commons.</w:t>
      </w:r>
    </w:p>
  </w:footnote>
  <w:footnote w:id="75">
    <w:p w14:paraId="33A2EF98" w14:textId="04A85172" w:rsidR="001568F3" w:rsidRPr="007816A0" w:rsidRDefault="001568F3" w:rsidP="00280D0B">
      <w:pPr>
        <w:pStyle w:val="FootnoteText"/>
        <w:rPr>
          <w:rFonts w:cs="Times New Roman"/>
        </w:rPr>
      </w:pPr>
      <w:r w:rsidRPr="007816A0">
        <w:rPr>
          <w:rStyle w:val="FootnoteReference"/>
          <w:rFonts w:cs="Times New Roman"/>
        </w:rPr>
        <w:footnoteRef/>
      </w:r>
      <w:r w:rsidRPr="007816A0">
        <w:rPr>
          <w:rFonts w:cs="Times New Roman"/>
        </w:rPr>
        <w:t xml:space="preserve"> Tsukimoto 2014, 26.</w:t>
      </w:r>
    </w:p>
  </w:footnote>
  <w:footnote w:id="76">
    <w:p w14:paraId="3E3AC3A3" w14:textId="3A606C1D" w:rsidR="001227E7" w:rsidRPr="007816A0" w:rsidRDefault="001227E7" w:rsidP="00280D0B">
      <w:pPr>
        <w:pStyle w:val="FootnoteText"/>
        <w:rPr>
          <w:rFonts w:cs="Times New Roman"/>
        </w:rPr>
      </w:pPr>
      <w:r w:rsidRPr="007816A0">
        <w:rPr>
          <w:rStyle w:val="FootnoteReference"/>
          <w:rFonts w:cs="Times New Roman"/>
        </w:rPr>
        <w:footnoteRef/>
      </w:r>
      <w:r w:rsidRPr="007816A0">
        <w:rPr>
          <w:rFonts w:cs="Times New Roman"/>
        </w:rPr>
        <w:t xml:space="preserve"> Tsukimoto 2014, 1</w:t>
      </w:r>
      <w:r w:rsidR="002213FA" w:rsidRPr="007816A0">
        <w:rPr>
          <w:rFonts w:cs="Times New Roman"/>
        </w:rPr>
        <w:t>5</w:t>
      </w:r>
      <w:r w:rsidRPr="007816A0">
        <w:rPr>
          <w:rFonts w:cs="Times New Roman"/>
        </w:rPr>
        <w:t>-1</w:t>
      </w:r>
      <w:r w:rsidR="00FC330D" w:rsidRPr="007816A0">
        <w:rPr>
          <w:rFonts w:cs="Times New Roman"/>
        </w:rPr>
        <w:t>9</w:t>
      </w:r>
      <w:r w:rsidRPr="007816A0">
        <w:rPr>
          <w:rFonts w:cs="Times New Roman"/>
        </w:rPr>
        <w:t>, 23.</w:t>
      </w:r>
    </w:p>
  </w:footnote>
  <w:footnote w:id="77">
    <w:p w14:paraId="4CC84839" w14:textId="40D099A9"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Thompson 2024, 381. </w:t>
      </w:r>
      <w:r w:rsidR="00E91A80" w:rsidRPr="007816A0">
        <w:rPr>
          <w:rFonts w:cs="Times New Roman"/>
        </w:rPr>
        <w:t>Walls 1992</w:t>
      </w:r>
      <w:r w:rsidRPr="007816A0">
        <w:rPr>
          <w:rFonts w:cs="Times New Roman"/>
        </w:rPr>
        <w:t>, 76.</w:t>
      </w:r>
    </w:p>
  </w:footnote>
  <w:footnote w:id="78">
    <w:p w14:paraId="626C6B4B" w14:textId="4395F042"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Thompson 2024, 378. Walls 1992, 76. Porter 2004, 43.</w:t>
      </w:r>
    </w:p>
  </w:footnote>
  <w:footnote w:id="79">
    <w:p w14:paraId="2D1FFE41" w14:textId="244F6925"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Parpola 1997 SAA 9, 1.</w:t>
      </w:r>
      <w:r w:rsidR="004F3A17" w:rsidRPr="007816A0">
        <w:rPr>
          <w:rFonts w:cs="Times New Roman"/>
        </w:rPr>
        <w:t xml:space="preserve"> Anthonioz 2014, 126. Thompson 2024, 382.</w:t>
      </w:r>
      <w:r w:rsidR="00150135" w:rsidRPr="007816A0">
        <w:rPr>
          <w:rFonts w:cs="Times New Roman"/>
        </w:rPr>
        <w:t xml:space="preserve"> Matsushima 2014, 2.</w:t>
      </w:r>
    </w:p>
  </w:footnote>
  <w:footnote w:id="80">
    <w:p w14:paraId="13B355A7" w14:textId="223BC504"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Thompson 2024, 382. Ackerman 1975, 6. Millard 1968, 105.</w:t>
      </w:r>
      <w:r w:rsidR="00FF1886" w:rsidRPr="007816A0">
        <w:rPr>
          <w:rFonts w:cs="Times New Roman"/>
        </w:rPr>
        <w:t xml:space="preserve"> Bloch-Smith 2014, 191-192</w:t>
      </w:r>
    </w:p>
  </w:footnote>
  <w:footnote w:id="81">
    <w:p w14:paraId="2B1B17F5" w14:textId="67C24191"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Zettler 2003, 4</w:t>
      </w:r>
      <w:r w:rsidR="009E0D4F" w:rsidRPr="007816A0">
        <w:rPr>
          <w:rFonts w:cs="Times New Roman"/>
        </w:rPr>
        <w:t>,</w:t>
      </w:r>
      <w:r w:rsidRPr="007816A0">
        <w:rPr>
          <w:rFonts w:cs="Times New Roman"/>
        </w:rPr>
        <w:t xml:space="preserve"> 11. </w:t>
      </w:r>
      <w:r w:rsidR="00890689" w:rsidRPr="007816A0">
        <w:rPr>
          <w:rFonts w:cs="Times New Roman"/>
        </w:rPr>
        <w:t xml:space="preserve">Naʾaman </w:t>
      </w:r>
      <w:r w:rsidRPr="007816A0">
        <w:rPr>
          <w:rFonts w:cs="Times New Roman"/>
        </w:rPr>
        <w:t>1980, 213</w:t>
      </w:r>
      <w:r w:rsidR="004F517B" w:rsidRPr="007816A0">
        <w:rPr>
          <w:rFonts w:cs="Times New Roman"/>
        </w:rPr>
        <w:t>.</w:t>
      </w:r>
    </w:p>
  </w:footnote>
  <w:footnote w:id="82">
    <w:p w14:paraId="584A5517" w14:textId="589F61A7" w:rsidR="001B6996" w:rsidRPr="007816A0" w:rsidRDefault="001B6996" w:rsidP="00280D0B">
      <w:pPr>
        <w:pStyle w:val="FootnoteText"/>
        <w:rPr>
          <w:rFonts w:cs="Times New Roman"/>
        </w:rPr>
      </w:pPr>
      <w:r w:rsidRPr="007816A0">
        <w:rPr>
          <w:rStyle w:val="FootnoteReference"/>
          <w:rFonts w:cs="Times New Roman"/>
        </w:rPr>
        <w:footnoteRef/>
      </w:r>
      <w:r w:rsidRPr="007816A0">
        <w:rPr>
          <w:rFonts w:cs="Times New Roman"/>
        </w:rPr>
        <w:t xml:space="preserve"> Peled 2014, 297.</w:t>
      </w:r>
    </w:p>
  </w:footnote>
  <w:footnote w:id="83">
    <w:p w14:paraId="77749E0C" w14:textId="6EBC4F53" w:rsidR="00A50362" w:rsidRPr="007816A0" w:rsidRDefault="00EB4BC4" w:rsidP="00280D0B">
      <w:pPr>
        <w:pStyle w:val="FootnoteText"/>
        <w:rPr>
          <w:rFonts w:cs="Times New Roman"/>
        </w:rPr>
      </w:pPr>
      <w:r w:rsidRPr="007816A0">
        <w:rPr>
          <w:rStyle w:val="FootnoteReference"/>
          <w:rFonts w:cs="Times New Roman"/>
        </w:rPr>
        <w:footnoteRef/>
      </w:r>
      <w:r w:rsidRPr="007816A0">
        <w:rPr>
          <w:rFonts w:cs="Times New Roman"/>
        </w:rPr>
        <w:t xml:space="preserve"> Harris 1991, 274</w:t>
      </w:r>
      <w:r w:rsidR="00A50362" w:rsidRPr="007816A0">
        <w:rPr>
          <w:rFonts w:cs="Times New Roman"/>
        </w:rPr>
        <w:t>.</w:t>
      </w:r>
    </w:p>
  </w:footnote>
  <w:footnote w:id="84">
    <w:p w14:paraId="0A135655" w14:textId="04CB0DEC" w:rsidR="002F0546" w:rsidRPr="007816A0" w:rsidRDefault="002F0546"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C84915" w:rsidRPr="007816A0">
        <w:rPr>
          <w:rFonts w:cs="Times New Roman"/>
        </w:rPr>
        <w:t>Her association with Adad invites comparison with Anat's relationship to Baal Haddad</w:t>
      </w:r>
      <w:r w:rsidRPr="007816A0">
        <w:rPr>
          <w:rFonts w:cs="Times New Roman"/>
        </w:rPr>
        <w:t>.</w:t>
      </w:r>
    </w:p>
  </w:footnote>
  <w:footnote w:id="85">
    <w:p w14:paraId="0351FDC5" w14:textId="238CA727" w:rsidR="002F0546" w:rsidRPr="007816A0" w:rsidRDefault="002F0546" w:rsidP="00280D0B">
      <w:pPr>
        <w:pStyle w:val="FootnoteText"/>
        <w:rPr>
          <w:rFonts w:cs="Times New Roman"/>
        </w:rPr>
      </w:pPr>
      <w:r w:rsidRPr="007816A0">
        <w:rPr>
          <w:rStyle w:val="FootnoteReference"/>
          <w:rFonts w:cs="Times New Roman"/>
        </w:rPr>
        <w:footnoteRef/>
      </w:r>
      <w:r w:rsidRPr="007816A0">
        <w:rPr>
          <w:rFonts w:cs="Times New Roman"/>
        </w:rPr>
        <w:t xml:space="preserve"> Rozzi, Jiménez 2023.</w:t>
      </w:r>
    </w:p>
  </w:footnote>
  <w:footnote w:id="86">
    <w:p w14:paraId="7C0CE141" w14:textId="77777777" w:rsidR="000929C6" w:rsidRPr="007816A0" w:rsidRDefault="000929C6" w:rsidP="000929C6">
      <w:pPr>
        <w:pStyle w:val="FootnoteText"/>
        <w:rPr>
          <w:rFonts w:cs="Times New Roman"/>
        </w:rPr>
      </w:pPr>
      <w:r w:rsidRPr="007816A0">
        <w:rPr>
          <w:rStyle w:val="FootnoteReference"/>
          <w:rFonts w:cs="Times New Roman"/>
        </w:rPr>
        <w:footnoteRef/>
      </w:r>
      <w:r w:rsidRPr="007816A0">
        <w:rPr>
          <w:rFonts w:cs="Times New Roman"/>
        </w:rPr>
        <w:t xml:space="preserve"> Földi, Heinrich et al. 2021.</w:t>
      </w:r>
    </w:p>
  </w:footnote>
  <w:footnote w:id="87">
    <w:p w14:paraId="56013D74" w14:textId="17D797A3" w:rsidR="00BA1C68" w:rsidRPr="007816A0" w:rsidRDefault="00CC53E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5B2DE8" w:rsidRPr="007816A0">
        <w:rPr>
          <w:rFonts w:cs="Times New Roman"/>
        </w:rPr>
        <w:t xml:space="preserve">This study uses George’s 2003 edition because of its extensive tablet-based comparative analysis. </w:t>
      </w:r>
      <w:r w:rsidR="00BA1C68" w:rsidRPr="007816A0">
        <w:rPr>
          <w:rFonts w:cs="Times New Roman"/>
        </w:rPr>
        <w:t xml:space="preserve">In his brief history of the </w:t>
      </w:r>
      <w:r w:rsidR="00BA1C68" w:rsidRPr="007816A0">
        <w:rPr>
          <w:rFonts w:cs="Times New Roman"/>
          <w:i/>
          <w:iCs/>
        </w:rPr>
        <w:t>Epic</w:t>
      </w:r>
      <w:r w:rsidR="00BA1C68" w:rsidRPr="007816A0">
        <w:rPr>
          <w:rFonts w:cs="Times New Roman"/>
        </w:rPr>
        <w:t>, Abusch (2001, 614-615, 618) explains that the entirety of Tablet VI was not a part of the 1750 BCE Old Babylonia version of the Epic.</w:t>
      </w:r>
      <w:r w:rsidR="00C36F18" w:rsidRPr="007816A0">
        <w:rPr>
          <w:rFonts w:cs="Times New Roman"/>
        </w:rPr>
        <w:t xml:space="preserve"> López-Ruiz (2014</w:t>
      </w:r>
      <w:r w:rsidR="00767487" w:rsidRPr="007816A0">
        <w:rPr>
          <w:rFonts w:cs="Times New Roman"/>
        </w:rPr>
        <w:t>C</w:t>
      </w:r>
      <w:r w:rsidR="00C36F18" w:rsidRPr="007816A0">
        <w:rPr>
          <w:rFonts w:cs="Times New Roman"/>
        </w:rPr>
        <w:t xml:space="preserve">, 153) supports Abusch’s </w:t>
      </w:r>
      <w:r w:rsidR="00D33E60" w:rsidRPr="007816A0">
        <w:rPr>
          <w:rFonts w:cs="Times New Roman"/>
        </w:rPr>
        <w:t xml:space="preserve">commentary </w:t>
      </w:r>
      <w:r w:rsidR="00C36F18" w:rsidRPr="007816A0">
        <w:rPr>
          <w:rFonts w:cs="Times New Roman"/>
        </w:rPr>
        <w:t xml:space="preserve">with </w:t>
      </w:r>
      <w:r w:rsidR="00D33E60" w:rsidRPr="007816A0">
        <w:rPr>
          <w:rFonts w:cs="Times New Roman"/>
        </w:rPr>
        <w:t xml:space="preserve">the reminder that the </w:t>
      </w:r>
      <w:r w:rsidR="00D33E60" w:rsidRPr="007816A0">
        <w:rPr>
          <w:rFonts w:cs="Times New Roman"/>
          <w:i/>
          <w:iCs/>
        </w:rPr>
        <w:t>Epic</w:t>
      </w:r>
      <w:r w:rsidR="00D33E60" w:rsidRPr="007816A0">
        <w:rPr>
          <w:rFonts w:cs="Times New Roman"/>
        </w:rPr>
        <w:t xml:space="preserve"> was based on </w:t>
      </w:r>
      <w:r w:rsidR="00A652AD" w:rsidRPr="007816A0">
        <w:rPr>
          <w:rFonts w:cs="Times New Roman"/>
        </w:rPr>
        <w:t>“</w:t>
      </w:r>
      <w:r w:rsidR="00C36F18" w:rsidRPr="007816A0">
        <w:rPr>
          <w:rFonts w:cs="Times New Roman"/>
        </w:rPr>
        <w:t>absorbing variant tradition</w:t>
      </w:r>
      <w:r w:rsidR="005B2DE8" w:rsidRPr="007816A0">
        <w:rPr>
          <w:rFonts w:cs="Times New Roman"/>
        </w:rPr>
        <w:t>.</w:t>
      </w:r>
      <w:r w:rsidR="00A652AD" w:rsidRPr="007816A0">
        <w:rPr>
          <w:rFonts w:cs="Times New Roman"/>
        </w:rPr>
        <w:t>”</w:t>
      </w:r>
    </w:p>
  </w:footnote>
  <w:footnote w:id="88">
    <w:p w14:paraId="41C55791" w14:textId="348A014D" w:rsidR="00637347" w:rsidRPr="007816A0" w:rsidRDefault="00CC53E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637347" w:rsidRPr="007816A0">
        <w:rPr>
          <w:rFonts w:cs="Times New Roman"/>
        </w:rPr>
        <w:t>George 2003, 471.</w:t>
      </w:r>
      <w:r w:rsidR="00504E70" w:rsidRPr="007816A0">
        <w:rPr>
          <w:rFonts w:cs="Times New Roman"/>
        </w:rPr>
        <w:t xml:space="preserve"> George 2003, 619 Tablet VI </w:t>
      </w:r>
      <w:r w:rsidR="00D15DF2" w:rsidRPr="007816A0">
        <w:rPr>
          <w:rFonts w:cs="Times New Roman"/>
        </w:rPr>
        <w:t>vv</w:t>
      </w:r>
      <w:r w:rsidR="00BF7940" w:rsidRPr="007816A0">
        <w:rPr>
          <w:rFonts w:cs="Times New Roman"/>
        </w:rPr>
        <w:t>.</w:t>
      </w:r>
      <w:r w:rsidR="00504E70" w:rsidRPr="007816A0">
        <w:rPr>
          <w:rFonts w:cs="Times New Roman"/>
        </w:rPr>
        <w:t xml:space="preserve"> 6-21.</w:t>
      </w:r>
    </w:p>
  </w:footnote>
  <w:footnote w:id="89">
    <w:p w14:paraId="67C372A2" w14:textId="0DD18A80" w:rsidR="00FF45DE" w:rsidRPr="007816A0" w:rsidRDefault="00FF45DE" w:rsidP="00280D0B">
      <w:pPr>
        <w:pStyle w:val="FootnoteText"/>
        <w:rPr>
          <w:rFonts w:cs="Times New Roman"/>
        </w:rPr>
      </w:pPr>
      <w:r w:rsidRPr="007816A0">
        <w:rPr>
          <w:rStyle w:val="FootnoteReference"/>
          <w:rFonts w:cs="Times New Roman"/>
        </w:rPr>
        <w:footnoteRef/>
      </w:r>
      <w:r w:rsidRPr="007816A0">
        <w:rPr>
          <w:rFonts w:cs="Times New Roman"/>
        </w:rPr>
        <w:t xml:space="preserve"> George 2003, 470-478.</w:t>
      </w:r>
    </w:p>
  </w:footnote>
  <w:footnote w:id="90">
    <w:p w14:paraId="4704021B" w14:textId="29DF7E3B"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George’s translation of Tablet VI</w:t>
      </w:r>
      <w:r w:rsidR="001B5C3B" w:rsidRPr="007816A0">
        <w:rPr>
          <w:rFonts w:cs="Times New Roman"/>
        </w:rPr>
        <w:t xml:space="preserve"> </w:t>
      </w:r>
      <w:r w:rsidRPr="007816A0">
        <w:rPr>
          <w:rFonts w:cs="Times New Roman"/>
        </w:rPr>
        <w:t>(2003, Tablet VI vv. 42-65), recounts the destructive fates of Ištar’s former lovers: “42 What bridegroom of yours endured for ever? 43 What brave warrior of yours is there [who] went up [to heaven?] 44 Come, let me count [the numbers) of your lovers. 45 As for him of</w:t>
      </w:r>
      <w:r w:rsidR="00B07249" w:rsidRPr="007816A0">
        <w:rPr>
          <w:rFonts w:cs="Times New Roman"/>
        </w:rPr>
        <w:t xml:space="preserve"> </w:t>
      </w:r>
      <w:r w:rsidRPr="007816A0">
        <w:rPr>
          <w:rFonts w:cs="Times New Roman"/>
        </w:rPr>
        <w:t>. . . . . . [. . .] his arm. 46 To Dumuzi, the husband of your youth, 47 to him you have allotted perpetual weeping, year on year. 48 You loved the speckled allallu-bird, 49 you struck him and broke his wing, 50 (now) he stands in the woods crying, “My wing!” 51 You loved the lion, perfect in strength, 52 seven and seven pits you have dug for him. 53 You loved the horse, famed in battle, 54 to him you have allotted whip, spurs, and lash. 55 To him you have allotted a seven-league gallop, / 56 to him you have allotted muddy water to drink. 57 To his mother Silili you have aliened perpetual weeping. 58 You loved the shepherd, the grazier, the herdsman, 59 who regularly piled up for you (bread baked in) embers, 60 slaughtering kids for you every day. 61 You struck him and turned him into a wolf, 62 so his own shepherd boys drive him away, 63 and his dogs take bites at his thighs. 64 You loved Išullānu, your father's gardener, 65 who regularly brought you a basket of dates, 66 daily making your table gleam...”</w:t>
      </w:r>
    </w:p>
  </w:footnote>
  <w:footnote w:id="91">
    <w:p w14:paraId="7FD19B69" w14:textId="77777777"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Homer, Hesiod 2008 Demeter, vv. 1-11, 370-374. Abusch 1986, 148-152, 157.</w:t>
      </w:r>
    </w:p>
  </w:footnote>
  <w:footnote w:id="92">
    <w:p w14:paraId="53EA90CF" w14:textId="0D0C1B04" w:rsidR="0082036C" w:rsidRPr="007816A0" w:rsidRDefault="0082036C" w:rsidP="00280D0B">
      <w:pPr>
        <w:pStyle w:val="FootnoteText"/>
        <w:rPr>
          <w:rFonts w:cs="Times New Roman"/>
        </w:rPr>
      </w:pPr>
      <w:r w:rsidRPr="007816A0">
        <w:rPr>
          <w:rStyle w:val="FootnoteReference"/>
          <w:rFonts w:cs="Times New Roman"/>
        </w:rPr>
        <w:footnoteRef/>
      </w:r>
      <w:r w:rsidRPr="007816A0">
        <w:rPr>
          <w:rFonts w:cs="Times New Roman"/>
        </w:rPr>
        <w:t xml:space="preserve"> BM 123279, photo courtesy of © The Trustees of the British Museum. Shared under a Creative Commons Attribution-</w:t>
      </w:r>
      <w:r w:rsidR="00467014" w:rsidRPr="007816A0">
        <w:rPr>
          <w:rFonts w:cs="Times New Roman"/>
        </w:rPr>
        <w:t>Non-</w:t>
      </w:r>
      <w:r w:rsidR="00435483" w:rsidRPr="007816A0">
        <w:rPr>
          <w:rFonts w:cs="Times New Roman"/>
        </w:rPr>
        <w:t>Commercial</w:t>
      </w:r>
      <w:r w:rsidRPr="007816A0">
        <w:rPr>
          <w:rFonts w:cs="Times New Roman"/>
        </w:rPr>
        <w:t>-</w:t>
      </w:r>
      <w:r w:rsidR="00725797" w:rsidRPr="007816A0">
        <w:rPr>
          <w:rFonts w:cs="Times New Roman"/>
        </w:rPr>
        <w:t>Share Alike</w:t>
      </w:r>
      <w:r w:rsidRPr="007816A0">
        <w:rPr>
          <w:rFonts w:cs="Times New Roman"/>
        </w:rPr>
        <w:t xml:space="preserve"> 4.0 International (CC BY-NC-SA 4.0) licence.</w:t>
      </w:r>
    </w:p>
  </w:footnote>
  <w:footnote w:id="93">
    <w:p w14:paraId="599A0C5F" w14:textId="2F7B1CE3" w:rsidR="00C55702" w:rsidRPr="007816A0" w:rsidRDefault="00C55702" w:rsidP="00280D0B">
      <w:pPr>
        <w:pStyle w:val="FootnoteText"/>
        <w:rPr>
          <w:rFonts w:cs="Times New Roman"/>
        </w:rPr>
      </w:pPr>
      <w:r w:rsidRPr="007816A0">
        <w:rPr>
          <w:rStyle w:val="FootnoteReference"/>
          <w:rFonts w:cs="Times New Roman"/>
        </w:rPr>
        <w:footnoteRef/>
      </w:r>
      <w:r w:rsidRPr="007816A0">
        <w:rPr>
          <w:rFonts w:cs="Times New Roman"/>
        </w:rPr>
        <w:t xml:space="preserve"> Abusch 1986, </w:t>
      </w:r>
      <w:r w:rsidR="006C7F13" w:rsidRPr="007816A0">
        <w:rPr>
          <w:rFonts w:cs="Times New Roman"/>
        </w:rPr>
        <w:t>148-</w:t>
      </w:r>
      <w:r w:rsidRPr="007816A0">
        <w:rPr>
          <w:rFonts w:cs="Times New Roman"/>
        </w:rPr>
        <w:t>149.</w:t>
      </w:r>
      <w:r w:rsidR="006C7F13" w:rsidRPr="007816A0">
        <w:rPr>
          <w:rFonts w:cs="Times New Roman"/>
        </w:rPr>
        <w:t xml:space="preserve"> Wessels 2013, 50. </w:t>
      </w:r>
      <w:r w:rsidR="00E91A80" w:rsidRPr="007816A0">
        <w:rPr>
          <w:rFonts w:cs="Times New Roman"/>
        </w:rPr>
        <w:t>Walls 1992</w:t>
      </w:r>
      <w:r w:rsidR="006C7F13" w:rsidRPr="007816A0">
        <w:rPr>
          <w:rFonts w:cs="Times New Roman"/>
        </w:rPr>
        <w:t>, 29</w:t>
      </w:r>
      <w:r w:rsidR="00F6122C" w:rsidRPr="007816A0">
        <w:rPr>
          <w:rFonts w:cs="Times New Roman"/>
        </w:rPr>
        <w:t>.</w:t>
      </w:r>
    </w:p>
  </w:footnote>
  <w:footnote w:id="94">
    <w:p w14:paraId="26493292" w14:textId="25C17637" w:rsidR="00571FF8" w:rsidRPr="007816A0" w:rsidRDefault="00517346">
      <w:pPr>
        <w:pStyle w:val="FootnoteText"/>
        <w:rPr>
          <w:rFonts w:cs="Times New Roman"/>
        </w:rPr>
      </w:pPr>
      <w:r w:rsidRPr="007816A0">
        <w:rPr>
          <w:rStyle w:val="FootnoteReference"/>
          <w:rFonts w:cs="Times New Roman"/>
        </w:rPr>
        <w:footnoteRef/>
      </w:r>
      <w:r w:rsidRPr="007816A0">
        <w:rPr>
          <w:rFonts w:cs="Times New Roman"/>
        </w:rPr>
        <w:t xml:space="preserve"> </w:t>
      </w:r>
      <w:r w:rsidR="00B26F98" w:rsidRPr="007816A0">
        <w:rPr>
          <w:rFonts w:cs="Times New Roman"/>
        </w:rPr>
        <w:t xml:space="preserve">While not direct evidence for Abusch’s interpretation, </w:t>
      </w:r>
      <w:r w:rsidR="00B26F98" w:rsidRPr="007816A0">
        <w:rPr>
          <w:rFonts w:cs="Times New Roman"/>
          <w:i/>
          <w:iCs/>
        </w:rPr>
        <w:t>The Death of Gilgamesh</w:t>
      </w:r>
      <w:r w:rsidR="00B26F98" w:rsidRPr="007816A0">
        <w:rPr>
          <w:rFonts w:cs="Times New Roman"/>
        </w:rPr>
        <w:t xml:space="preserve"> demonstrates that Mesopotamian tradition could envision Gilgamesh as a chthonic authority. There he is promised in death that he </w:t>
      </w:r>
      <w:r w:rsidR="00A56395" w:rsidRPr="007816A0">
        <w:rPr>
          <w:rFonts w:cs="Times New Roman"/>
        </w:rPr>
        <w:t>“will now be counted among the An</w:t>
      </w:r>
      <w:r w:rsidR="00AD63B5" w:rsidRPr="007816A0">
        <w:rPr>
          <w:rFonts w:cs="Times New Roman"/>
        </w:rPr>
        <w:t>n</w:t>
      </w:r>
      <w:r w:rsidR="00A56395" w:rsidRPr="007816A0">
        <w:rPr>
          <w:rFonts w:cs="Times New Roman"/>
        </w:rPr>
        <w:t xml:space="preserve">una gods. He will be counted a companion of the gods… the governor of the nether world. He will pass judgments and render verdicts, and what he says will be as weighty as the words of Ninĝišzida and Dumuzid.” </w:t>
      </w:r>
      <w:r w:rsidR="00571FF8" w:rsidRPr="007816A0">
        <w:rPr>
          <w:rFonts w:cs="Times New Roman"/>
        </w:rPr>
        <w:t>In The Death of Ur-Namma, Gilgamesh is addressed as “the king of the nether world” and carries a “battle-axe, an implement beloved of Ereškigala.”</w:t>
      </w:r>
    </w:p>
    <w:p w14:paraId="0BD6AC14" w14:textId="4A531C21" w:rsidR="00517346" w:rsidRPr="007816A0" w:rsidRDefault="00A56395">
      <w:pPr>
        <w:pStyle w:val="FootnoteText"/>
        <w:rPr>
          <w:rFonts w:cs="Times New Roman"/>
        </w:rPr>
      </w:pPr>
      <w:r w:rsidRPr="007816A0">
        <w:rPr>
          <w:rFonts w:cs="Times New Roman"/>
        </w:rPr>
        <w:t>Black et al. ETCSL Death/Gilgamesh, Me-Turan §F vv.82-86</w:t>
      </w:r>
      <w:r w:rsidR="00571FF8" w:rsidRPr="007816A0">
        <w:rPr>
          <w:rFonts w:cs="Times New Roman"/>
        </w:rPr>
        <w:t>. Black et al. ETCSL Death/Ur-Namma, vv. 92-96.</w:t>
      </w:r>
    </w:p>
  </w:footnote>
  <w:footnote w:id="95">
    <w:p w14:paraId="2F5C54B5" w14:textId="59C599A7" w:rsidR="00504E70" w:rsidRPr="007816A0" w:rsidRDefault="00504E70" w:rsidP="00280D0B">
      <w:pPr>
        <w:pStyle w:val="FootnoteText"/>
        <w:rPr>
          <w:rFonts w:cs="Times New Roman"/>
        </w:rPr>
      </w:pPr>
      <w:r w:rsidRPr="007816A0">
        <w:rPr>
          <w:rStyle w:val="FootnoteReference"/>
          <w:rFonts w:cs="Times New Roman"/>
        </w:rPr>
        <w:footnoteRef/>
      </w:r>
      <w:r w:rsidRPr="007816A0">
        <w:rPr>
          <w:rFonts w:cs="Times New Roman"/>
        </w:rPr>
        <w:t xml:space="preserve"> George 2003, 470-</w:t>
      </w:r>
      <w:r w:rsidR="00725797" w:rsidRPr="007816A0">
        <w:rPr>
          <w:rFonts w:cs="Times New Roman"/>
        </w:rPr>
        <w:t>478,</w:t>
      </w:r>
      <w:r w:rsidRPr="007816A0">
        <w:rPr>
          <w:rFonts w:cs="Times New Roman"/>
        </w:rPr>
        <w:t xml:space="preserve"> 619-631.</w:t>
      </w:r>
      <w:r w:rsidR="00AA5F6A" w:rsidRPr="007816A0">
        <w:rPr>
          <w:rFonts w:cs="Times New Roman"/>
        </w:rPr>
        <w:t xml:space="preserve"> </w:t>
      </w:r>
      <w:r w:rsidR="0010508F" w:rsidRPr="007816A0">
        <w:rPr>
          <w:rFonts w:cs="Times New Roman"/>
        </w:rPr>
        <w:t>A limited structural comparison may be drawn between Gilgamesh’s rejection of Ištar and Persephone’s union with Hādēs. In Tablet VI, the fates of Ištar’s former lovers suggest that intimacy with the goddess frequently results in suffering, transformation, or enduring lamentation, most notably in the case of Dumuzi. Some scholars therefore interpret Ištar’s proposal to Gilgamesh as carrying potentially chthonic implications rather than functioning solely as a conventional marriage offer. A comparable pattern appears in the Persephone</w:t>
      </w:r>
      <w:r w:rsidR="00EE7013" w:rsidRPr="007816A0">
        <w:rPr>
          <w:rFonts w:cs="Times New Roman"/>
        </w:rPr>
        <w:t xml:space="preserve"> text</w:t>
      </w:r>
      <w:r w:rsidR="0010508F" w:rsidRPr="007816A0">
        <w:rPr>
          <w:rFonts w:cs="Times New Roman"/>
        </w:rPr>
        <w:t xml:space="preserve">, where union with Hādēs entails entry into the realm of the dead and an altered mode of existence. The comparison remains limited, however, since the descent </w:t>
      </w:r>
      <w:r w:rsidR="00EE7013" w:rsidRPr="007816A0">
        <w:rPr>
          <w:rFonts w:cs="Times New Roman"/>
        </w:rPr>
        <w:t>motif is not parallel</w:t>
      </w:r>
      <w:r w:rsidR="0010508F" w:rsidRPr="007816A0">
        <w:rPr>
          <w:rFonts w:cs="Times New Roman"/>
        </w:rPr>
        <w:t xml:space="preserve">. Ištar functions as an active and punitive divine force, whereas Persephone’s role is shaped through abduction, mediation, and cyclical return. Additional Mesopotamian texts, including the </w:t>
      </w:r>
      <w:r w:rsidR="00C3030A" w:rsidRPr="007816A0">
        <w:rPr>
          <w:rFonts w:cs="Times New Roman"/>
          <w:i/>
          <w:iCs/>
        </w:rPr>
        <w:t>Descent of Ištar to the Netherworld</w:t>
      </w:r>
      <w:r w:rsidR="0010508F" w:rsidRPr="007816A0">
        <w:rPr>
          <w:rFonts w:cs="Times New Roman"/>
        </w:rPr>
        <w:t xml:space="preserve"> and Tablet XII of the </w:t>
      </w:r>
      <w:r w:rsidR="0010508F" w:rsidRPr="007816A0">
        <w:rPr>
          <w:rFonts w:cs="Times New Roman"/>
          <w:i/>
          <w:iCs/>
        </w:rPr>
        <w:t>Epic of Gilgamesh</w:t>
      </w:r>
      <w:r w:rsidR="0010508F" w:rsidRPr="007816A0">
        <w:rPr>
          <w:rFonts w:cs="Times New Roman"/>
        </w:rPr>
        <w:t>, further contextualize these chthonic associations without demonstrating direct literary dependence between the</w:t>
      </w:r>
      <w:r w:rsidR="00EE7013" w:rsidRPr="007816A0">
        <w:rPr>
          <w:rFonts w:cs="Times New Roman"/>
        </w:rPr>
        <w:t>m</w:t>
      </w:r>
      <w:r w:rsidR="0010508F" w:rsidRPr="007816A0">
        <w:rPr>
          <w:rFonts w:cs="Times New Roman"/>
        </w:rPr>
        <w:t>.</w:t>
      </w:r>
    </w:p>
  </w:footnote>
  <w:footnote w:id="96">
    <w:p w14:paraId="6D6D83A6" w14:textId="3F1BA456" w:rsidR="00FE0AB4" w:rsidRPr="007816A0" w:rsidRDefault="00FE0AB4" w:rsidP="00280D0B">
      <w:pPr>
        <w:pStyle w:val="FootnoteText"/>
        <w:rPr>
          <w:rFonts w:cs="Times New Roman"/>
        </w:rPr>
      </w:pPr>
      <w:r w:rsidRPr="007816A0">
        <w:rPr>
          <w:rStyle w:val="FootnoteReference"/>
          <w:rFonts w:cs="Times New Roman"/>
        </w:rPr>
        <w:footnoteRef/>
      </w:r>
      <w:r w:rsidRPr="007816A0">
        <w:rPr>
          <w:rFonts w:cs="Times New Roman"/>
        </w:rPr>
        <w:t xml:space="preserve"> Photo courtesy of </w:t>
      </w:r>
      <w:r w:rsidR="00E06125" w:rsidRPr="007816A0">
        <w:rPr>
          <w:rFonts w:cs="Times New Roman"/>
        </w:rPr>
        <w:t>© The Trustees of the British Museum. Shared under a Creative Commons Attribution-</w:t>
      </w:r>
      <w:r w:rsidR="00467014" w:rsidRPr="007816A0">
        <w:rPr>
          <w:rFonts w:cs="Times New Roman"/>
        </w:rPr>
        <w:t>Non-</w:t>
      </w:r>
      <w:r w:rsidR="00435483" w:rsidRPr="007816A0">
        <w:rPr>
          <w:rFonts w:cs="Times New Roman"/>
        </w:rPr>
        <w:t>Commercial</w:t>
      </w:r>
      <w:r w:rsidR="00E06125" w:rsidRPr="007816A0">
        <w:rPr>
          <w:rFonts w:cs="Times New Roman"/>
        </w:rPr>
        <w:t>-</w:t>
      </w:r>
      <w:r w:rsidR="00725797" w:rsidRPr="007816A0">
        <w:rPr>
          <w:rFonts w:cs="Times New Roman"/>
        </w:rPr>
        <w:t>Share Alike</w:t>
      </w:r>
      <w:r w:rsidR="00E06125" w:rsidRPr="007816A0">
        <w:rPr>
          <w:rFonts w:cs="Times New Roman"/>
        </w:rPr>
        <w:t xml:space="preserve"> 4.0 International (CC BY-NC-SA 4.0) licence.</w:t>
      </w:r>
    </w:p>
  </w:footnote>
  <w:footnote w:id="97">
    <w:p w14:paraId="21EA88CC" w14:textId="63A36A2A" w:rsidR="008A38ED" w:rsidRPr="007816A0" w:rsidRDefault="008A38ED"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FE4D39" w:rsidRPr="007816A0">
        <w:rPr>
          <w:rFonts w:cs="Times New Roman"/>
        </w:rPr>
        <w:t>Kramer 1963B</w:t>
      </w:r>
      <w:r w:rsidRPr="007816A0">
        <w:rPr>
          <w:rFonts w:cs="Times New Roman"/>
        </w:rPr>
        <w:t xml:space="preserve">, 168. Walls 1992, 75. Carvalho, da Silva 2023, 22. Black et al. ETCSL Descent, </w:t>
      </w:r>
      <w:r w:rsidR="00D15DF2" w:rsidRPr="007816A0">
        <w:rPr>
          <w:rFonts w:cs="Times New Roman"/>
        </w:rPr>
        <w:t>vv</w:t>
      </w:r>
      <w:r w:rsidR="00BF7940" w:rsidRPr="007816A0">
        <w:rPr>
          <w:rFonts w:cs="Times New Roman"/>
        </w:rPr>
        <w:t>.</w:t>
      </w:r>
      <w:r w:rsidRPr="007816A0">
        <w:rPr>
          <w:rFonts w:cs="Times New Roman"/>
        </w:rPr>
        <w:t xml:space="preserve"> 164-172</w:t>
      </w:r>
      <w:r w:rsidR="00E37268" w:rsidRPr="007816A0">
        <w:rPr>
          <w:rFonts w:cs="Times New Roman"/>
        </w:rPr>
        <w:t xml:space="preserve">, </w:t>
      </w:r>
      <w:r w:rsidRPr="007816A0">
        <w:rPr>
          <w:rFonts w:cs="Times New Roman"/>
        </w:rPr>
        <w:t xml:space="preserve">282-289). </w:t>
      </w:r>
    </w:p>
  </w:footnote>
  <w:footnote w:id="98">
    <w:p w14:paraId="2FFDB5E4" w14:textId="3D833DEE"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Descent. </w:t>
      </w:r>
      <w:r w:rsidR="00E91A80" w:rsidRPr="007816A0">
        <w:rPr>
          <w:rFonts w:cs="Times New Roman"/>
        </w:rPr>
        <w:t>Walls 1992</w:t>
      </w:r>
      <w:r w:rsidRPr="007816A0">
        <w:rPr>
          <w:rFonts w:cs="Times New Roman"/>
        </w:rPr>
        <w:t xml:space="preserve">, 73. </w:t>
      </w:r>
      <w:r w:rsidR="00FE4D39" w:rsidRPr="007816A0">
        <w:rPr>
          <w:rFonts w:cs="Times New Roman"/>
        </w:rPr>
        <w:t>Kramer 1963B</w:t>
      </w:r>
      <w:r w:rsidRPr="007816A0">
        <w:rPr>
          <w:rFonts w:cs="Times New Roman"/>
        </w:rPr>
        <w:t xml:space="preserve">, 168. </w:t>
      </w:r>
      <w:r w:rsidR="00EA56D8" w:rsidRPr="007816A0">
        <w:rPr>
          <w:rFonts w:cs="Times New Roman"/>
        </w:rPr>
        <w:t>Kramer, Wolkstein 1983</w:t>
      </w:r>
      <w:r w:rsidRPr="007816A0">
        <w:rPr>
          <w:rFonts w:cs="Times New Roman"/>
        </w:rPr>
        <w:t>, 52</w:t>
      </w:r>
      <w:r w:rsidR="00EE3F9F" w:rsidRPr="007816A0">
        <w:rPr>
          <w:rFonts w:cs="Times New Roman"/>
        </w:rPr>
        <w:t xml:space="preserve">. </w:t>
      </w:r>
      <w:r w:rsidR="00404BD3" w:rsidRPr="007816A0">
        <w:rPr>
          <w:rFonts w:cs="Times New Roman"/>
        </w:rPr>
        <w:t>Bonfante 1989, 545</w:t>
      </w:r>
      <w:r w:rsidR="00EE3F9F" w:rsidRPr="007816A0">
        <w:rPr>
          <w:rFonts w:cs="Times New Roman"/>
        </w:rPr>
        <w:t xml:space="preserve">. </w:t>
      </w:r>
      <w:r w:rsidR="00B15F70" w:rsidRPr="007816A0">
        <w:rPr>
          <w:rFonts w:cs="Times New Roman"/>
        </w:rPr>
        <w:t>Kramer 1940A</w:t>
      </w:r>
      <w:r w:rsidR="00EE3F9F" w:rsidRPr="007816A0">
        <w:rPr>
          <w:rFonts w:cs="Times New Roman"/>
        </w:rPr>
        <w:t xml:space="preserve">, 19. </w:t>
      </w:r>
      <w:r w:rsidR="007B14BD" w:rsidRPr="007816A0">
        <w:rPr>
          <w:rFonts w:cs="Times New Roman"/>
        </w:rPr>
        <w:t>Sladek 1974</w:t>
      </w:r>
      <w:r w:rsidR="00EE3F9F" w:rsidRPr="007816A0">
        <w:rPr>
          <w:rFonts w:cs="Times New Roman"/>
        </w:rPr>
        <w:t xml:space="preserve">, 154. </w:t>
      </w:r>
      <w:r w:rsidR="007B14BD" w:rsidRPr="007816A0">
        <w:rPr>
          <w:rFonts w:cs="Times New Roman"/>
        </w:rPr>
        <w:t>Smith, Pitard 2009</w:t>
      </w:r>
      <w:r w:rsidR="00EE3F9F" w:rsidRPr="007816A0">
        <w:rPr>
          <w:rFonts w:cs="Times New Roman"/>
        </w:rPr>
        <w:t>, 43.</w:t>
      </w:r>
      <w:r w:rsidR="004E6CB0" w:rsidRPr="007816A0">
        <w:rPr>
          <w:rFonts w:cs="Times New Roman"/>
        </w:rPr>
        <w:t xml:space="preserve"> Smith J 2005, 2539.</w:t>
      </w:r>
    </w:p>
  </w:footnote>
  <w:footnote w:id="99">
    <w:p w14:paraId="2145EEE9" w14:textId="5E87CF6D"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EE3F9F" w:rsidRPr="007816A0">
        <w:rPr>
          <w:rFonts w:cs="Times New Roman"/>
        </w:rPr>
        <w:t xml:space="preserve">Black et al. ETCSL Descent. </w:t>
      </w:r>
      <w:r w:rsidR="00B15F70" w:rsidRPr="007816A0">
        <w:rPr>
          <w:rFonts w:cs="Times New Roman"/>
        </w:rPr>
        <w:t>Kramer 1940A</w:t>
      </w:r>
      <w:r w:rsidR="00EE3F9F" w:rsidRPr="007816A0">
        <w:rPr>
          <w:rFonts w:cs="Times New Roman"/>
        </w:rPr>
        <w:t>, 19</w:t>
      </w:r>
      <w:r w:rsidR="005E7267" w:rsidRPr="007816A0">
        <w:rPr>
          <w:rFonts w:cs="Times New Roman"/>
        </w:rPr>
        <w:t>.</w:t>
      </w:r>
    </w:p>
  </w:footnote>
  <w:footnote w:id="100">
    <w:p w14:paraId="3F61EDC0" w14:textId="11569906" w:rsidR="00064013"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607ED" w:rsidRPr="007816A0">
        <w:rPr>
          <w:rFonts w:cs="Times New Roman"/>
        </w:rPr>
        <w:t>Setälä, Földi et al.</w:t>
      </w:r>
      <w:r w:rsidR="00064013" w:rsidRPr="007816A0">
        <w:rPr>
          <w:rFonts w:cs="Times New Roman"/>
        </w:rPr>
        <w:t xml:space="preserve"> 2022, </w:t>
      </w:r>
      <w:r w:rsidR="00D15DF2" w:rsidRPr="007816A0">
        <w:rPr>
          <w:rFonts w:cs="Times New Roman"/>
        </w:rPr>
        <w:t>vv</w:t>
      </w:r>
      <w:r w:rsidR="00BF7940" w:rsidRPr="007816A0">
        <w:rPr>
          <w:rFonts w:cs="Times New Roman"/>
        </w:rPr>
        <w:t>.</w:t>
      </w:r>
      <w:r w:rsidR="00064013" w:rsidRPr="007816A0">
        <w:rPr>
          <w:rFonts w:cs="Times New Roman"/>
        </w:rPr>
        <w:t xml:space="preserve"> 1-6. </w:t>
      </w:r>
      <w:r w:rsidR="0010508F" w:rsidRPr="007816A0">
        <w:rPr>
          <w:rFonts w:cs="Times New Roman"/>
        </w:rPr>
        <w:t xml:space="preserve">This parallels the opening of </w:t>
      </w:r>
      <w:r w:rsidR="00725797" w:rsidRPr="007816A0">
        <w:rPr>
          <w:rFonts w:cs="Times New Roman"/>
          <w:i/>
        </w:rPr>
        <w:t>Inanna’s</w:t>
      </w:r>
      <w:r w:rsidR="00DB0939" w:rsidRPr="007816A0">
        <w:rPr>
          <w:rFonts w:cs="Times New Roman"/>
          <w:i/>
        </w:rPr>
        <w:t xml:space="preserve"> </w:t>
      </w:r>
      <w:r w:rsidR="00725797" w:rsidRPr="007816A0">
        <w:rPr>
          <w:rFonts w:cs="Times New Roman"/>
          <w:i/>
        </w:rPr>
        <w:t xml:space="preserve">Descent </w:t>
      </w:r>
      <w:r w:rsidR="00725797" w:rsidRPr="007816A0">
        <w:rPr>
          <w:rFonts w:cs="Times New Roman"/>
        </w:rPr>
        <w:t>with</w:t>
      </w:r>
      <w:r w:rsidRPr="007816A0">
        <w:rPr>
          <w:rFonts w:cs="Times New Roman"/>
        </w:rPr>
        <w:t xml:space="preserve"> </w:t>
      </w:r>
      <w:r w:rsidR="00A652AD" w:rsidRPr="007816A0">
        <w:rPr>
          <w:rFonts w:cs="Times New Roman"/>
        </w:rPr>
        <w:t>“</w:t>
      </w:r>
      <w:r w:rsidR="00064013" w:rsidRPr="007816A0">
        <w:rPr>
          <w:rFonts w:cs="Times New Roman"/>
        </w:rPr>
        <w:t>From the great heaven she set her mind on the great below. From the great heaven the goddess set her mind on the great below. From the great heaven Inana set her mind on the great below. My mistress abandoned heaven, abandoned earth, and descended to the underworld. Inana abandoned heaven, abandoned earth, and descended to the underworld.</w:t>
      </w:r>
      <w:r w:rsidR="00A652AD" w:rsidRPr="007816A0">
        <w:rPr>
          <w:rFonts w:cs="Times New Roman"/>
        </w:rPr>
        <w:t>”</w:t>
      </w:r>
      <w:r w:rsidRPr="007816A0">
        <w:rPr>
          <w:rFonts w:cs="Times New Roman"/>
        </w:rPr>
        <w:t xml:space="preserve"> </w:t>
      </w:r>
      <w:r w:rsidR="00064013" w:rsidRPr="007816A0">
        <w:rPr>
          <w:rFonts w:cs="Times New Roman"/>
        </w:rPr>
        <w:t xml:space="preserve">Black et al. ETCSL Descent, </w:t>
      </w:r>
      <w:r w:rsidR="00D15DF2" w:rsidRPr="007816A0">
        <w:rPr>
          <w:rFonts w:cs="Times New Roman"/>
        </w:rPr>
        <w:t>vv</w:t>
      </w:r>
      <w:r w:rsidR="00BF7940" w:rsidRPr="007816A0">
        <w:rPr>
          <w:rFonts w:cs="Times New Roman"/>
        </w:rPr>
        <w:t>.</w:t>
      </w:r>
      <w:r w:rsidR="00064013" w:rsidRPr="007816A0">
        <w:rPr>
          <w:rFonts w:cs="Times New Roman"/>
        </w:rPr>
        <w:t xml:space="preserve"> 1-5. </w:t>
      </w:r>
      <w:r w:rsidR="00402F73" w:rsidRPr="007816A0">
        <w:rPr>
          <w:rFonts w:cs="Times New Roman"/>
        </w:rPr>
        <w:t>Kramer, Wolkstein</w:t>
      </w:r>
      <w:r w:rsidR="00064013" w:rsidRPr="007816A0">
        <w:rPr>
          <w:rFonts w:cs="Times New Roman"/>
        </w:rPr>
        <w:t xml:space="preserve"> 1983, 52.</w:t>
      </w:r>
    </w:p>
  </w:footnote>
  <w:footnote w:id="101">
    <w:p w14:paraId="26C115BF" w14:textId="3FC39E7E" w:rsidR="005E2390" w:rsidRPr="007816A0" w:rsidRDefault="005E2390" w:rsidP="00280D0B">
      <w:pPr>
        <w:pStyle w:val="FootnoteText"/>
        <w:rPr>
          <w:rFonts w:cs="Times New Roman"/>
        </w:rPr>
      </w:pPr>
      <w:r w:rsidRPr="007816A0">
        <w:rPr>
          <w:rStyle w:val="FootnoteReference"/>
          <w:rFonts w:cs="Times New Roman"/>
        </w:rPr>
        <w:footnoteRef/>
      </w:r>
      <w:r w:rsidRPr="007816A0">
        <w:rPr>
          <w:rFonts w:cs="Times New Roman"/>
        </w:rPr>
        <w:t xml:space="preserve"> Smith J 2005, 2539.</w:t>
      </w:r>
    </w:p>
  </w:footnote>
  <w:footnote w:id="102">
    <w:p w14:paraId="60B1AC73" w14:textId="5ED7E7C7"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EE3F9F" w:rsidRPr="007816A0">
        <w:rPr>
          <w:rFonts w:cs="Times New Roman"/>
        </w:rPr>
        <w:t>Kovacs 1998, 32.</w:t>
      </w:r>
    </w:p>
  </w:footnote>
  <w:footnote w:id="103">
    <w:p w14:paraId="616E5E37" w14:textId="72471339" w:rsidR="00AC09E4" w:rsidRPr="007816A0" w:rsidRDefault="002F40FA"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02F73" w:rsidRPr="007816A0">
        <w:rPr>
          <w:rFonts w:cs="Times New Roman"/>
        </w:rPr>
        <w:t>For analytical consistency, the study will treat Inanna-Ištar as a composite figure except where distinction is necessary.</w:t>
      </w:r>
      <w:r w:rsidR="00AC09E4" w:rsidRPr="007816A0">
        <w:rPr>
          <w:rFonts w:cs="Times New Roman"/>
        </w:rPr>
        <w:t xml:space="preserve"> </w:t>
      </w:r>
    </w:p>
  </w:footnote>
  <w:footnote w:id="104">
    <w:p w14:paraId="0C05A2E7" w14:textId="385B661A" w:rsidR="00402F73"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3964BA" w:rsidRPr="007816A0">
        <w:rPr>
          <w:rFonts w:cs="Times New Roman"/>
        </w:rPr>
        <w:t>Before descending through the seven gates, Inanna abandons her seven temples (Uruk, Babtibira, Zabalam, Adab, Nippur, Kish, and Akkad)</w:t>
      </w:r>
      <w:r w:rsidRPr="007816A0">
        <w:rPr>
          <w:rFonts w:cs="Times New Roman"/>
        </w:rPr>
        <w:t xml:space="preserve">. </w:t>
      </w:r>
      <w:r w:rsidR="00402F73" w:rsidRPr="007816A0">
        <w:rPr>
          <w:rFonts w:cs="Times New Roman"/>
        </w:rPr>
        <w:t>She gathers the sacred</w:t>
      </w:r>
      <w:r w:rsidRPr="007816A0">
        <w:rPr>
          <w:rFonts w:cs="Times New Roman"/>
        </w:rPr>
        <w:t xml:space="preserve"> </w:t>
      </w:r>
      <w:r w:rsidRPr="007816A0">
        <w:rPr>
          <w:rFonts w:cs="Times New Roman"/>
          <w:b/>
          <w:bCs/>
          <w:i/>
          <w:iCs/>
        </w:rPr>
        <w:t>me</w:t>
      </w:r>
      <w:r w:rsidRPr="007816A0">
        <w:rPr>
          <w:rFonts w:cs="Times New Roman"/>
        </w:rPr>
        <w:t xml:space="preserve"> </w:t>
      </w:r>
      <w:r w:rsidR="00402F73" w:rsidRPr="007816A0">
        <w:rPr>
          <w:rFonts w:cs="Times New Roman"/>
        </w:rPr>
        <w:t>associated with her authority</w:t>
      </w:r>
      <w:r w:rsidRPr="007816A0">
        <w:rPr>
          <w:rFonts w:cs="Times New Roman"/>
        </w:rPr>
        <w:t>. She adorns herself with seven sacred possessions:</w:t>
      </w:r>
    </w:p>
    <w:p w14:paraId="49A3C584" w14:textId="059A6B96" w:rsidR="00402F73" w:rsidRPr="007816A0" w:rsidRDefault="0006016B" w:rsidP="00280D0B">
      <w:pPr>
        <w:pStyle w:val="FootnoteText"/>
        <w:rPr>
          <w:rFonts w:cs="Times New Roman"/>
        </w:rPr>
      </w:pPr>
      <w:r w:rsidRPr="007816A0">
        <w:rPr>
          <w:rFonts w:cs="Times New Roman"/>
        </w:rPr>
        <w:t xml:space="preserve">1) </w:t>
      </w:r>
      <w:r w:rsidRPr="007816A0">
        <w:rPr>
          <w:rFonts w:cs="Times New Roman"/>
          <w:i/>
          <w:iCs/>
        </w:rPr>
        <w:t>shugurra</w:t>
      </w:r>
      <w:r w:rsidRPr="007816A0">
        <w:rPr>
          <w:rFonts w:cs="Times New Roman"/>
        </w:rPr>
        <w:t xml:space="preserve"> (the crown of the steppe)</w:t>
      </w:r>
      <w:r w:rsidR="00655E1E" w:rsidRPr="007816A0">
        <w:rPr>
          <w:rFonts w:cs="Times New Roman"/>
        </w:rPr>
        <w:t>;</w:t>
      </w:r>
    </w:p>
    <w:p w14:paraId="2C441564" w14:textId="6DAA8354" w:rsidR="00402F73" w:rsidRPr="007816A0" w:rsidRDefault="0006016B" w:rsidP="00280D0B">
      <w:pPr>
        <w:pStyle w:val="FootnoteText"/>
        <w:rPr>
          <w:rFonts w:cs="Times New Roman"/>
        </w:rPr>
      </w:pPr>
      <w:r w:rsidRPr="007816A0">
        <w:rPr>
          <w:rFonts w:cs="Times New Roman"/>
        </w:rPr>
        <w:t>2) a small lapis bead necklace</w:t>
      </w:r>
      <w:r w:rsidR="00655E1E" w:rsidRPr="007816A0">
        <w:rPr>
          <w:rFonts w:cs="Times New Roman"/>
        </w:rPr>
        <w:t>;</w:t>
      </w:r>
    </w:p>
    <w:p w14:paraId="6B2DE033" w14:textId="7A66BC8D" w:rsidR="00402F73" w:rsidRPr="007816A0" w:rsidRDefault="0006016B" w:rsidP="00280D0B">
      <w:pPr>
        <w:pStyle w:val="FootnoteText"/>
        <w:rPr>
          <w:rFonts w:cs="Times New Roman"/>
        </w:rPr>
      </w:pPr>
      <w:r w:rsidRPr="007816A0">
        <w:rPr>
          <w:rFonts w:cs="Times New Roman"/>
        </w:rPr>
        <w:t>3) a long strand of beads</w:t>
      </w:r>
      <w:r w:rsidR="00655E1E" w:rsidRPr="007816A0">
        <w:rPr>
          <w:rFonts w:cs="Times New Roman"/>
        </w:rPr>
        <w:t>;</w:t>
      </w:r>
    </w:p>
    <w:p w14:paraId="1DB97F69" w14:textId="40A7CBDB" w:rsidR="00402F73" w:rsidRPr="007816A0" w:rsidRDefault="0006016B" w:rsidP="00280D0B">
      <w:pPr>
        <w:pStyle w:val="FootnoteText"/>
        <w:rPr>
          <w:rFonts w:cs="Times New Roman"/>
        </w:rPr>
      </w:pPr>
      <w:r w:rsidRPr="007816A0">
        <w:rPr>
          <w:rFonts w:cs="Times New Roman"/>
        </w:rPr>
        <w:t>4) a royal robe</w:t>
      </w:r>
      <w:r w:rsidR="00655E1E" w:rsidRPr="007816A0">
        <w:rPr>
          <w:rFonts w:cs="Times New Roman"/>
        </w:rPr>
        <w:t>;</w:t>
      </w:r>
    </w:p>
    <w:p w14:paraId="2123420E" w14:textId="499EEEA7" w:rsidR="00402F73" w:rsidRPr="007816A0" w:rsidRDefault="0006016B" w:rsidP="00280D0B">
      <w:pPr>
        <w:pStyle w:val="FootnoteText"/>
        <w:rPr>
          <w:rFonts w:cs="Times New Roman"/>
        </w:rPr>
      </w:pPr>
      <w:r w:rsidRPr="007816A0">
        <w:rPr>
          <w:rFonts w:cs="Times New Roman"/>
        </w:rPr>
        <w:t xml:space="preserve">5) her breastplate, called </w:t>
      </w:r>
      <w:r w:rsidR="00A652AD" w:rsidRPr="007816A0">
        <w:rPr>
          <w:rFonts w:cs="Times New Roman"/>
        </w:rPr>
        <w:t>“</w:t>
      </w:r>
      <w:r w:rsidRPr="007816A0">
        <w:rPr>
          <w:rFonts w:cs="Times New Roman"/>
        </w:rPr>
        <w:t>Come, man, come!</w:t>
      </w:r>
      <w:r w:rsidR="00A652AD" w:rsidRPr="007816A0">
        <w:rPr>
          <w:rFonts w:cs="Times New Roman"/>
        </w:rPr>
        <w:t>”</w:t>
      </w:r>
      <w:r w:rsidR="00655E1E" w:rsidRPr="007816A0">
        <w:rPr>
          <w:rFonts w:cs="Times New Roman"/>
        </w:rPr>
        <w:t>;</w:t>
      </w:r>
    </w:p>
    <w:p w14:paraId="2733967F" w14:textId="0F249A2B" w:rsidR="00402F73" w:rsidRPr="007816A0" w:rsidRDefault="0006016B" w:rsidP="00280D0B">
      <w:pPr>
        <w:pStyle w:val="FootnoteText"/>
        <w:rPr>
          <w:rFonts w:cs="Times New Roman"/>
        </w:rPr>
      </w:pPr>
      <w:r w:rsidRPr="007816A0">
        <w:rPr>
          <w:rFonts w:cs="Times New Roman"/>
        </w:rPr>
        <w:t>6) a gold bracelet</w:t>
      </w:r>
      <w:r w:rsidR="00655E1E" w:rsidRPr="007816A0">
        <w:rPr>
          <w:rFonts w:cs="Times New Roman"/>
        </w:rPr>
        <w:t>;</w:t>
      </w:r>
    </w:p>
    <w:p w14:paraId="0A7E21D7" w14:textId="0A3B0D6F" w:rsidR="00402F73" w:rsidRPr="007816A0" w:rsidRDefault="0006016B" w:rsidP="00280D0B">
      <w:pPr>
        <w:pStyle w:val="FootnoteText"/>
        <w:rPr>
          <w:rFonts w:cs="Times New Roman"/>
        </w:rPr>
      </w:pPr>
      <w:r w:rsidRPr="007816A0">
        <w:rPr>
          <w:rFonts w:cs="Times New Roman"/>
        </w:rPr>
        <w:t>7) her lapis measuring rod.</w:t>
      </w:r>
    </w:p>
    <w:p w14:paraId="5ACFD3BE" w14:textId="1AA38187" w:rsidR="00402F73" w:rsidRPr="007816A0" w:rsidRDefault="0006016B" w:rsidP="00280D0B">
      <w:pPr>
        <w:pStyle w:val="FootnoteText"/>
        <w:rPr>
          <w:rFonts w:cs="Times New Roman"/>
        </w:rPr>
      </w:pPr>
      <w:r w:rsidRPr="007816A0">
        <w:rPr>
          <w:rFonts w:cs="Times New Roman"/>
        </w:rPr>
        <w:t xml:space="preserve">In </w:t>
      </w:r>
      <w:r w:rsidR="00093ECB">
        <w:rPr>
          <w:rFonts w:cs="Times New Roman"/>
        </w:rPr>
        <w:t xml:space="preserve">the </w:t>
      </w:r>
      <w:r w:rsidR="00093ECB" w:rsidRPr="00643239">
        <w:rPr>
          <w:rFonts w:cs="Times New Roman"/>
          <w:i/>
          <w:iCs/>
        </w:rPr>
        <w:t xml:space="preserve">Descent of </w:t>
      </w:r>
      <w:r w:rsidR="00A42A5C" w:rsidRPr="007816A0">
        <w:rPr>
          <w:rFonts w:cs="Times New Roman"/>
          <w:i/>
          <w:iCs/>
        </w:rPr>
        <w:t>Ištar</w:t>
      </w:r>
      <w:r w:rsidRPr="007816A0">
        <w:rPr>
          <w:rFonts w:cs="Times New Roman"/>
        </w:rPr>
        <w:t>,</w:t>
      </w:r>
      <w:r w:rsidR="00655E1E" w:rsidRPr="007816A0">
        <w:rPr>
          <w:rFonts w:cs="Times New Roman"/>
        </w:rPr>
        <w:t xml:space="preserve"> the dressing sequence is omitted, but the undressing sequence includes</w:t>
      </w:r>
      <w:r w:rsidRPr="007816A0">
        <w:rPr>
          <w:rFonts w:cs="Times New Roman"/>
        </w:rPr>
        <w:t>:</w:t>
      </w:r>
    </w:p>
    <w:p w14:paraId="44DCBA8F" w14:textId="2572C89C" w:rsidR="00402F73" w:rsidRPr="007816A0" w:rsidRDefault="0006016B" w:rsidP="00280D0B">
      <w:pPr>
        <w:pStyle w:val="FootnoteText"/>
        <w:rPr>
          <w:rFonts w:cs="Times New Roman"/>
        </w:rPr>
      </w:pPr>
      <w:r w:rsidRPr="007816A0">
        <w:rPr>
          <w:rFonts w:cs="Times New Roman"/>
        </w:rPr>
        <w:t>1) her tiara</w:t>
      </w:r>
      <w:r w:rsidR="00655E1E" w:rsidRPr="007816A0">
        <w:rPr>
          <w:rFonts w:cs="Times New Roman"/>
        </w:rPr>
        <w:t>;</w:t>
      </w:r>
    </w:p>
    <w:p w14:paraId="43668F15" w14:textId="3170B282" w:rsidR="00402F73" w:rsidRPr="007816A0" w:rsidRDefault="0006016B" w:rsidP="00280D0B">
      <w:pPr>
        <w:pStyle w:val="FootnoteText"/>
        <w:rPr>
          <w:rFonts w:cs="Times New Roman"/>
        </w:rPr>
      </w:pPr>
      <w:r w:rsidRPr="007816A0">
        <w:rPr>
          <w:rFonts w:cs="Times New Roman"/>
        </w:rPr>
        <w:t xml:space="preserve">2) her </w:t>
      </w:r>
      <w:r w:rsidR="00660164" w:rsidRPr="007816A0">
        <w:rPr>
          <w:rFonts w:cs="Times New Roman"/>
        </w:rPr>
        <w:t>earrings</w:t>
      </w:r>
      <w:r w:rsidR="00655E1E" w:rsidRPr="007816A0">
        <w:rPr>
          <w:rFonts w:cs="Times New Roman"/>
        </w:rPr>
        <w:t>;</w:t>
      </w:r>
    </w:p>
    <w:p w14:paraId="020B9318" w14:textId="10A3FF59" w:rsidR="00402F73" w:rsidRPr="007816A0" w:rsidRDefault="0006016B" w:rsidP="00280D0B">
      <w:pPr>
        <w:pStyle w:val="FootnoteText"/>
        <w:rPr>
          <w:rFonts w:cs="Times New Roman"/>
        </w:rPr>
      </w:pPr>
      <w:r w:rsidRPr="007816A0">
        <w:rPr>
          <w:rFonts w:cs="Times New Roman"/>
        </w:rPr>
        <w:t xml:space="preserve">3) the </w:t>
      </w:r>
      <w:r w:rsidR="00A652AD" w:rsidRPr="007816A0">
        <w:rPr>
          <w:rFonts w:cs="Times New Roman"/>
        </w:rPr>
        <w:t>“</w:t>
      </w:r>
      <w:r w:rsidRPr="007816A0">
        <w:rPr>
          <w:rFonts w:cs="Times New Roman"/>
        </w:rPr>
        <w:t>beads of her neck</w:t>
      </w:r>
      <w:r w:rsidR="00A652AD" w:rsidRPr="007816A0">
        <w:rPr>
          <w:rFonts w:cs="Times New Roman"/>
        </w:rPr>
        <w:t>”</w:t>
      </w:r>
      <w:r w:rsidR="00655E1E" w:rsidRPr="007816A0">
        <w:rPr>
          <w:rFonts w:cs="Times New Roman"/>
        </w:rPr>
        <w:t>;</w:t>
      </w:r>
    </w:p>
    <w:p w14:paraId="476A3114" w14:textId="0092973B" w:rsidR="00402F73" w:rsidRPr="007816A0" w:rsidRDefault="0006016B" w:rsidP="00280D0B">
      <w:pPr>
        <w:pStyle w:val="FootnoteText"/>
        <w:rPr>
          <w:rFonts w:cs="Times New Roman"/>
        </w:rPr>
      </w:pPr>
      <w:r w:rsidRPr="007816A0">
        <w:rPr>
          <w:rFonts w:cs="Times New Roman"/>
        </w:rPr>
        <w:t>4) the garment pins of her breast</w:t>
      </w:r>
      <w:r w:rsidR="00655E1E" w:rsidRPr="007816A0">
        <w:rPr>
          <w:rFonts w:cs="Times New Roman"/>
        </w:rPr>
        <w:t>;</w:t>
      </w:r>
    </w:p>
    <w:p w14:paraId="446CCA05" w14:textId="586578FD" w:rsidR="00402F73" w:rsidRPr="007816A0" w:rsidRDefault="0006016B" w:rsidP="00280D0B">
      <w:pPr>
        <w:pStyle w:val="FootnoteText"/>
        <w:rPr>
          <w:rFonts w:cs="Times New Roman"/>
        </w:rPr>
      </w:pPr>
      <w:r w:rsidRPr="007816A0">
        <w:rPr>
          <w:rFonts w:cs="Times New Roman"/>
        </w:rPr>
        <w:t xml:space="preserve">5) the </w:t>
      </w:r>
      <w:r w:rsidR="00A652AD" w:rsidRPr="007816A0">
        <w:rPr>
          <w:rFonts w:cs="Times New Roman"/>
        </w:rPr>
        <w:t>“</w:t>
      </w:r>
      <w:r w:rsidRPr="007816A0">
        <w:rPr>
          <w:rFonts w:cs="Times New Roman"/>
        </w:rPr>
        <w:t>girdle of birth stones of her waist</w:t>
      </w:r>
      <w:r w:rsidR="00A652AD" w:rsidRPr="007816A0">
        <w:rPr>
          <w:rFonts w:cs="Times New Roman"/>
        </w:rPr>
        <w:t>”</w:t>
      </w:r>
      <w:r w:rsidR="00655E1E" w:rsidRPr="007816A0">
        <w:rPr>
          <w:rFonts w:cs="Times New Roman"/>
        </w:rPr>
        <w:t>;</w:t>
      </w:r>
    </w:p>
    <w:p w14:paraId="5A160D80" w14:textId="2568B6CF" w:rsidR="00402F73" w:rsidRPr="007816A0" w:rsidRDefault="0006016B" w:rsidP="00280D0B">
      <w:pPr>
        <w:pStyle w:val="FootnoteText"/>
        <w:rPr>
          <w:rFonts w:cs="Times New Roman"/>
        </w:rPr>
      </w:pPr>
      <w:r w:rsidRPr="007816A0">
        <w:rPr>
          <w:rFonts w:cs="Times New Roman"/>
        </w:rPr>
        <w:t xml:space="preserve">6) </w:t>
      </w:r>
      <w:r w:rsidR="00A652AD" w:rsidRPr="007816A0">
        <w:rPr>
          <w:rFonts w:cs="Times New Roman"/>
        </w:rPr>
        <w:t>“</w:t>
      </w:r>
      <w:r w:rsidRPr="007816A0">
        <w:rPr>
          <w:rFonts w:cs="Times New Roman"/>
        </w:rPr>
        <w:t>removed her bracelets and anklets</w:t>
      </w:r>
      <w:r w:rsidR="00A652AD" w:rsidRPr="007816A0">
        <w:rPr>
          <w:rFonts w:cs="Times New Roman"/>
        </w:rPr>
        <w:t>”</w:t>
      </w:r>
      <w:r w:rsidR="00655E1E" w:rsidRPr="007816A0">
        <w:rPr>
          <w:rFonts w:cs="Times New Roman"/>
        </w:rPr>
        <w:t>;</w:t>
      </w:r>
    </w:p>
    <w:p w14:paraId="1846E0BE" w14:textId="3DC291A3" w:rsidR="00402F73" w:rsidRPr="007816A0" w:rsidRDefault="00655E1E" w:rsidP="00280D0B">
      <w:pPr>
        <w:pStyle w:val="FootnoteText"/>
        <w:rPr>
          <w:rFonts w:cs="Times New Roman"/>
        </w:rPr>
      </w:pPr>
      <w:r w:rsidRPr="007816A0">
        <w:rPr>
          <w:rFonts w:cs="Times New Roman"/>
        </w:rPr>
        <w:t>7)</w:t>
      </w:r>
      <w:r w:rsidR="0006016B" w:rsidRPr="007816A0">
        <w:rPr>
          <w:rFonts w:cs="Times New Roman"/>
        </w:rPr>
        <w:t xml:space="preserve"> the </w:t>
      </w:r>
      <w:r w:rsidR="00A652AD" w:rsidRPr="007816A0">
        <w:rPr>
          <w:rFonts w:cs="Times New Roman"/>
        </w:rPr>
        <w:t>“</w:t>
      </w:r>
      <w:r w:rsidR="0006016B" w:rsidRPr="007816A0">
        <w:rPr>
          <w:rFonts w:cs="Times New Roman"/>
        </w:rPr>
        <w:t>loincloth of her body</w:t>
      </w:r>
      <w:r w:rsidR="00991402" w:rsidRPr="007816A0">
        <w:rPr>
          <w:rFonts w:cs="Times New Roman"/>
        </w:rPr>
        <w:t>.”</w:t>
      </w:r>
    </w:p>
    <w:p w14:paraId="2726D95E" w14:textId="054B00DB" w:rsidR="00517346" w:rsidRPr="007816A0" w:rsidRDefault="00517346" w:rsidP="00280D0B">
      <w:pPr>
        <w:pStyle w:val="FootnoteText"/>
        <w:rPr>
          <w:rFonts w:cs="Times New Roman"/>
        </w:rPr>
      </w:pPr>
      <w:r w:rsidRPr="007816A0">
        <w:rPr>
          <w:rFonts w:cs="Times New Roman"/>
        </w:rPr>
        <w:t xml:space="preserve">This ritualised entrance stands in contrast to Enkidu’s descent in </w:t>
      </w:r>
      <w:r w:rsidRPr="007816A0">
        <w:rPr>
          <w:rFonts w:cs="Times New Roman"/>
          <w:i/>
          <w:iCs/>
        </w:rPr>
        <w:t xml:space="preserve">Gilgamesh, </w:t>
      </w:r>
      <w:r w:rsidR="00991402" w:rsidRPr="007816A0">
        <w:rPr>
          <w:rFonts w:cs="Times New Roman"/>
          <w:i/>
          <w:iCs/>
        </w:rPr>
        <w:t>Enkidu,</w:t>
      </w:r>
      <w:r w:rsidRPr="007816A0">
        <w:rPr>
          <w:rFonts w:cs="Times New Roman"/>
          <w:i/>
          <w:iCs/>
        </w:rPr>
        <w:t xml:space="preserve"> and the Netherworld</w:t>
      </w:r>
      <w:r w:rsidRPr="007816A0">
        <w:rPr>
          <w:rFonts w:cs="Times New Roman"/>
        </w:rPr>
        <w:t>.</w:t>
      </w:r>
    </w:p>
    <w:p w14:paraId="15481D48" w14:textId="4437CFC2" w:rsidR="0006016B" w:rsidRPr="007816A0" w:rsidRDefault="002607ED" w:rsidP="00280D0B">
      <w:pPr>
        <w:pStyle w:val="FootnoteText"/>
        <w:rPr>
          <w:rFonts w:cs="Times New Roman"/>
        </w:rPr>
      </w:pPr>
      <w:r w:rsidRPr="007816A0">
        <w:rPr>
          <w:rFonts w:cs="Times New Roman"/>
        </w:rPr>
        <w:t>Setälä, Földi et al.</w:t>
      </w:r>
      <w:r w:rsidR="0006016B" w:rsidRPr="007816A0">
        <w:rPr>
          <w:rFonts w:cs="Times New Roman"/>
        </w:rPr>
        <w:t xml:space="preserve"> 2022, </w:t>
      </w:r>
      <w:r w:rsidR="00D15DF2" w:rsidRPr="007816A0">
        <w:rPr>
          <w:rFonts w:cs="Times New Roman"/>
        </w:rPr>
        <w:t>vv</w:t>
      </w:r>
      <w:r w:rsidR="00BF7940" w:rsidRPr="007816A0">
        <w:rPr>
          <w:rFonts w:cs="Times New Roman"/>
        </w:rPr>
        <w:t>.</w:t>
      </w:r>
      <w:r w:rsidR="0006016B" w:rsidRPr="007816A0">
        <w:rPr>
          <w:rFonts w:cs="Times New Roman"/>
        </w:rPr>
        <w:t xml:space="preserve"> 42-62.</w:t>
      </w:r>
      <w:r w:rsidR="00A521FD" w:rsidRPr="007816A0">
        <w:rPr>
          <w:rFonts w:cs="Times New Roman"/>
        </w:rPr>
        <w:t xml:space="preserve"> </w:t>
      </w:r>
      <w:r w:rsidR="00402F73" w:rsidRPr="007816A0">
        <w:rPr>
          <w:rFonts w:cs="Times New Roman"/>
        </w:rPr>
        <w:t>Kramer, Wolkstein</w:t>
      </w:r>
      <w:r w:rsidR="00A521FD" w:rsidRPr="007816A0">
        <w:rPr>
          <w:rFonts w:cs="Times New Roman"/>
        </w:rPr>
        <w:t xml:space="preserve"> 1983, 52</w:t>
      </w:r>
      <w:r w:rsidR="00402F73" w:rsidRPr="007816A0">
        <w:rPr>
          <w:rFonts w:cs="Times New Roman"/>
        </w:rPr>
        <w:t>-53</w:t>
      </w:r>
      <w:r w:rsidR="00A521FD" w:rsidRPr="007816A0">
        <w:rPr>
          <w:rFonts w:cs="Times New Roman"/>
        </w:rPr>
        <w:t xml:space="preserve">. </w:t>
      </w:r>
      <w:r w:rsidR="00404BD3" w:rsidRPr="007816A0">
        <w:rPr>
          <w:rFonts w:cs="Times New Roman"/>
        </w:rPr>
        <w:t>Bonfante 1989, 545</w:t>
      </w:r>
      <w:r w:rsidR="00A521FD" w:rsidRPr="007816A0">
        <w:rPr>
          <w:rFonts w:cs="Times New Roman"/>
        </w:rPr>
        <w:t xml:space="preserve">. Black et al. ETCSL Descent. </w:t>
      </w:r>
      <w:r w:rsidR="00B15F70" w:rsidRPr="007816A0">
        <w:rPr>
          <w:rFonts w:cs="Times New Roman"/>
        </w:rPr>
        <w:t>Kramer 1940A</w:t>
      </w:r>
      <w:r w:rsidR="00A521FD" w:rsidRPr="007816A0">
        <w:rPr>
          <w:rFonts w:cs="Times New Roman"/>
        </w:rPr>
        <w:t>, 19</w:t>
      </w:r>
      <w:r w:rsidR="00EA56D8" w:rsidRPr="007816A0">
        <w:rPr>
          <w:rFonts w:cs="Times New Roman"/>
        </w:rPr>
        <w:t>.</w:t>
      </w:r>
      <w:r w:rsidR="00517346" w:rsidRPr="007816A0">
        <w:rPr>
          <w:rFonts w:cs="Times New Roman"/>
        </w:rPr>
        <w:t xml:space="preserve"> Black et al. ETCSL Gilgamesh/Enkidu/Netherworld.</w:t>
      </w:r>
    </w:p>
  </w:footnote>
  <w:footnote w:id="105">
    <w:p w14:paraId="49857183" w14:textId="4597B3F4" w:rsidR="00D77CEE" w:rsidRPr="007816A0" w:rsidRDefault="00D77CEE" w:rsidP="00280D0B">
      <w:pPr>
        <w:pStyle w:val="FootnoteText"/>
        <w:rPr>
          <w:rFonts w:cs="Times New Roman"/>
        </w:rPr>
      </w:pPr>
      <w:r w:rsidRPr="007816A0">
        <w:rPr>
          <w:rStyle w:val="FootnoteReference"/>
          <w:rFonts w:cs="Times New Roman"/>
        </w:rPr>
        <w:footnoteRef/>
      </w:r>
      <w:r w:rsidRPr="007816A0">
        <w:rPr>
          <w:rFonts w:cs="Times New Roman"/>
        </w:rPr>
        <w:t xml:space="preserve"> Bonfante 1989, 545. </w:t>
      </w:r>
      <w:r w:rsidR="00EA56D8" w:rsidRPr="007816A0">
        <w:rPr>
          <w:rFonts w:cs="Times New Roman"/>
        </w:rPr>
        <w:t>Kramer, Wolkstein 1983</w:t>
      </w:r>
      <w:r w:rsidRPr="007816A0">
        <w:rPr>
          <w:rFonts w:cs="Times New Roman"/>
        </w:rPr>
        <w:t xml:space="preserve">, 52. Walls 1992, 73. Contrast </w:t>
      </w:r>
      <w:r w:rsidRPr="007816A0">
        <w:rPr>
          <w:rFonts w:cs="Times New Roman"/>
          <w:i/>
          <w:iCs/>
        </w:rPr>
        <w:t>Inanna’s Descent</w:t>
      </w:r>
      <w:r w:rsidRPr="007816A0">
        <w:rPr>
          <w:rFonts w:cs="Times New Roman"/>
        </w:rPr>
        <w:t xml:space="preserve"> with the Old Babylonian version of </w:t>
      </w:r>
      <w:r w:rsidRPr="007816A0">
        <w:rPr>
          <w:rFonts w:cs="Times New Roman"/>
          <w:i/>
          <w:iCs/>
        </w:rPr>
        <w:t>Nergal and Ereškigal</w:t>
      </w:r>
      <w:r w:rsidRPr="007816A0">
        <w:rPr>
          <w:rFonts w:cs="Times New Roman"/>
        </w:rPr>
        <w:t xml:space="preserve">. In Dalley’s reconstruction, Nergal does not undergo the same </w:t>
      </w:r>
      <w:r w:rsidR="00C020C4" w:rsidRPr="007816A0">
        <w:rPr>
          <w:rFonts w:cs="Times New Roman"/>
        </w:rPr>
        <w:t>ritualised</w:t>
      </w:r>
      <w:r w:rsidRPr="007816A0">
        <w:rPr>
          <w:rFonts w:cs="Times New Roman"/>
        </w:rPr>
        <w:t xml:space="preserve"> disrobing sequence associated with Inanna’s passage through the seven gates. Instead, he descends carrying a </w:t>
      </w:r>
      <w:r w:rsidR="00A652AD" w:rsidRPr="007816A0">
        <w:rPr>
          <w:rFonts w:cs="Times New Roman"/>
        </w:rPr>
        <w:t>“</w:t>
      </w:r>
      <w:r w:rsidRPr="007816A0">
        <w:rPr>
          <w:rFonts w:cs="Times New Roman"/>
        </w:rPr>
        <w:t>ghost’s chair,</w:t>
      </w:r>
      <w:r w:rsidR="00A652AD" w:rsidRPr="007816A0">
        <w:rPr>
          <w:rFonts w:cs="Times New Roman"/>
        </w:rPr>
        <w:t>”</w:t>
      </w:r>
      <w:r w:rsidRPr="007816A0">
        <w:rPr>
          <w:rFonts w:cs="Times New Roman"/>
        </w:rPr>
        <w:t xml:space="preserve"> which Dalley connects to ritual texts intended to protect against hostile spirits. Gurney’s earlier reconstruction, however, preserves a gate sequence in which Nergal surrenders items individually, including the chair at the first gate. In the later recension of the myth, Nergal abandons ritual submission altogether and instead forces entry into the Netherworld through violence. These variations suggest that </w:t>
      </w:r>
      <w:r w:rsidR="00EE7013" w:rsidRPr="007816A0">
        <w:rPr>
          <w:rFonts w:cs="Times New Roman"/>
        </w:rPr>
        <w:t xml:space="preserve">the </w:t>
      </w:r>
      <w:r w:rsidRPr="007816A0">
        <w:rPr>
          <w:rFonts w:cs="Times New Roman"/>
        </w:rPr>
        <w:t>descent in Mesopotamia did not preserve a single fixed ritual pattern. See Dalley 1989, 164; Gurney 1960, 127.</w:t>
      </w:r>
    </w:p>
  </w:footnote>
  <w:footnote w:id="106">
    <w:p w14:paraId="04B473D2" w14:textId="5F45F7D2"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04BD3" w:rsidRPr="007816A0">
        <w:rPr>
          <w:rFonts w:cs="Times New Roman"/>
        </w:rPr>
        <w:t>Bonfante 1989, 545</w:t>
      </w:r>
      <w:r w:rsidR="00A521FD" w:rsidRPr="007816A0">
        <w:rPr>
          <w:rFonts w:cs="Times New Roman"/>
        </w:rPr>
        <w:t xml:space="preserve">. </w:t>
      </w:r>
      <w:r w:rsidR="00B15F70" w:rsidRPr="007816A0">
        <w:rPr>
          <w:rFonts w:cs="Times New Roman"/>
        </w:rPr>
        <w:t>Kramer 1940A</w:t>
      </w:r>
      <w:r w:rsidR="00A521FD" w:rsidRPr="007816A0">
        <w:rPr>
          <w:rFonts w:cs="Times New Roman"/>
        </w:rPr>
        <w:t xml:space="preserve">, 19. </w:t>
      </w:r>
      <w:r w:rsidR="00E91A80" w:rsidRPr="007816A0">
        <w:rPr>
          <w:rFonts w:cs="Times New Roman"/>
        </w:rPr>
        <w:t>Walls 1992</w:t>
      </w:r>
      <w:r w:rsidR="00A521FD" w:rsidRPr="007816A0">
        <w:rPr>
          <w:rFonts w:cs="Times New Roman"/>
        </w:rPr>
        <w:t>, 73.</w:t>
      </w:r>
    </w:p>
  </w:footnote>
  <w:footnote w:id="107">
    <w:p w14:paraId="3B562EF4" w14:textId="7EA42CD9" w:rsidR="00AC09E4" w:rsidRPr="007816A0" w:rsidRDefault="00AC09E4" w:rsidP="00280D0B">
      <w:pPr>
        <w:pStyle w:val="FootnoteText"/>
        <w:rPr>
          <w:rFonts w:cs="Times New Roman"/>
        </w:rPr>
      </w:pPr>
      <w:r w:rsidRPr="007816A0">
        <w:rPr>
          <w:rStyle w:val="FootnoteReference"/>
          <w:rFonts w:cs="Times New Roman"/>
        </w:rPr>
        <w:footnoteRef/>
      </w:r>
      <w:r w:rsidRPr="007816A0">
        <w:rPr>
          <w:rFonts w:cs="Times New Roman"/>
        </w:rPr>
        <w:t xml:space="preserve"> Finkelstein (1981, 10) </w:t>
      </w:r>
      <w:r w:rsidR="00655E1E" w:rsidRPr="007816A0">
        <w:rPr>
          <w:rFonts w:cs="Times New Roman"/>
        </w:rPr>
        <w:t>argues that</w:t>
      </w:r>
      <w:r w:rsidRPr="007816A0">
        <w:rPr>
          <w:rFonts w:cs="Times New Roman"/>
        </w:rPr>
        <w:t xml:space="preserve"> </w:t>
      </w:r>
      <w:r w:rsidR="00A652AD" w:rsidRPr="007816A0">
        <w:rPr>
          <w:rFonts w:cs="Times New Roman"/>
        </w:rPr>
        <w:t>“</w:t>
      </w:r>
      <w:r w:rsidRPr="007816A0">
        <w:rPr>
          <w:rFonts w:cs="Times New Roman"/>
        </w:rPr>
        <w:t>gods do not die; they are eternal. The Mesopotamians themselves stated this emphatically.</w:t>
      </w:r>
      <w:r w:rsidR="00A652AD" w:rsidRPr="007816A0">
        <w:rPr>
          <w:rFonts w:cs="Times New Roman"/>
        </w:rPr>
        <w:t>”</w:t>
      </w:r>
      <w:r w:rsidRPr="007816A0">
        <w:rPr>
          <w:rFonts w:cs="Times New Roman"/>
        </w:rPr>
        <w:t xml:space="preserve"> He notes that </w:t>
      </w:r>
      <w:r w:rsidR="00655E1E" w:rsidRPr="007816A0">
        <w:rPr>
          <w:rFonts w:cs="Times New Roman"/>
        </w:rPr>
        <w:t xml:space="preserve">Dumuzi </w:t>
      </w:r>
      <w:r w:rsidR="00FF5850" w:rsidRPr="007816A0">
        <w:rPr>
          <w:rFonts w:cs="Times New Roman"/>
        </w:rPr>
        <w:t>i</w:t>
      </w:r>
      <w:r w:rsidR="00655E1E" w:rsidRPr="007816A0">
        <w:rPr>
          <w:rFonts w:cs="Times New Roman"/>
        </w:rPr>
        <w:t>s a significant exception</w:t>
      </w:r>
      <w:r w:rsidRPr="007816A0">
        <w:rPr>
          <w:rFonts w:cs="Times New Roman"/>
        </w:rPr>
        <w:t>.</w:t>
      </w:r>
    </w:p>
  </w:footnote>
  <w:footnote w:id="108">
    <w:p w14:paraId="50939DEC" w14:textId="46A4A45F"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04BD3" w:rsidRPr="007816A0">
        <w:rPr>
          <w:rFonts w:cs="Times New Roman"/>
        </w:rPr>
        <w:t>Bonfante 1989, 545</w:t>
      </w:r>
      <w:r w:rsidR="007263D8" w:rsidRPr="007816A0">
        <w:rPr>
          <w:rFonts w:cs="Times New Roman"/>
        </w:rPr>
        <w:t xml:space="preserve">. </w:t>
      </w:r>
      <w:r w:rsidR="00B15F70" w:rsidRPr="007816A0">
        <w:rPr>
          <w:rFonts w:cs="Times New Roman"/>
        </w:rPr>
        <w:t>Kramer 1940A</w:t>
      </w:r>
      <w:r w:rsidR="007263D8" w:rsidRPr="007816A0">
        <w:rPr>
          <w:rFonts w:cs="Times New Roman"/>
        </w:rPr>
        <w:t xml:space="preserve">, 19. </w:t>
      </w:r>
      <w:r w:rsidR="00E91A80" w:rsidRPr="007816A0">
        <w:rPr>
          <w:rFonts w:cs="Times New Roman"/>
        </w:rPr>
        <w:t>Walls 1992</w:t>
      </w:r>
      <w:r w:rsidR="007263D8" w:rsidRPr="007816A0">
        <w:rPr>
          <w:rFonts w:cs="Times New Roman"/>
        </w:rPr>
        <w:t>, 73.</w:t>
      </w:r>
    </w:p>
  </w:footnote>
  <w:footnote w:id="109">
    <w:p w14:paraId="05583C50" w14:textId="58ED179C"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263D8" w:rsidRPr="007816A0">
        <w:rPr>
          <w:rFonts w:cs="Times New Roman"/>
        </w:rPr>
        <w:t xml:space="preserve">Black et al. ETCSL Descent. </w:t>
      </w:r>
      <w:r w:rsidR="00EA56D8" w:rsidRPr="007816A0">
        <w:rPr>
          <w:rFonts w:cs="Times New Roman"/>
        </w:rPr>
        <w:t>Kramer, Wolkstein 1983</w:t>
      </w:r>
      <w:r w:rsidR="007263D8" w:rsidRPr="007816A0">
        <w:rPr>
          <w:rFonts w:cs="Times New Roman"/>
        </w:rPr>
        <w:t>, 60.</w:t>
      </w:r>
    </w:p>
  </w:footnote>
  <w:footnote w:id="110">
    <w:p w14:paraId="250E7007" w14:textId="5D0D5400"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263D8" w:rsidRPr="007816A0">
        <w:rPr>
          <w:rFonts w:cs="Times New Roman"/>
        </w:rPr>
        <w:t>Kramer 1983, 123.</w:t>
      </w:r>
    </w:p>
  </w:footnote>
  <w:footnote w:id="111">
    <w:p w14:paraId="4D2D237C" w14:textId="70FDE6C7"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B15F70" w:rsidRPr="007816A0">
        <w:rPr>
          <w:rFonts w:cs="Times New Roman"/>
        </w:rPr>
        <w:t>Kramer 1940A</w:t>
      </w:r>
      <w:r w:rsidR="007263D8" w:rsidRPr="007816A0">
        <w:rPr>
          <w:rFonts w:cs="Times New Roman"/>
        </w:rPr>
        <w:t>, 19. Kramer 1983, 160.</w:t>
      </w:r>
    </w:p>
  </w:footnote>
  <w:footnote w:id="112">
    <w:p w14:paraId="7095F7ED" w14:textId="1860C121"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FE4D39" w:rsidRPr="007816A0">
        <w:rPr>
          <w:rFonts w:cs="Times New Roman"/>
        </w:rPr>
        <w:t>Kramer 1950</w:t>
      </w:r>
      <w:r w:rsidR="007263D8" w:rsidRPr="007816A0">
        <w:rPr>
          <w:rFonts w:cs="Times New Roman"/>
        </w:rPr>
        <w:t xml:space="preserve">, 362. Cotterell </w:t>
      </w:r>
      <w:r w:rsidR="008A0665" w:rsidRPr="007816A0">
        <w:rPr>
          <w:rFonts w:cs="Times New Roman"/>
        </w:rPr>
        <w:t>1997</w:t>
      </w:r>
      <w:r w:rsidR="007263D8" w:rsidRPr="007816A0">
        <w:rPr>
          <w:rFonts w:cs="Times New Roman"/>
        </w:rPr>
        <w:t xml:space="preserve">, 2. Kramer 1983, </w:t>
      </w:r>
      <w:r w:rsidR="00AD1F43" w:rsidRPr="007816A0">
        <w:rPr>
          <w:rFonts w:cs="Times New Roman"/>
        </w:rPr>
        <w:t>159-160.</w:t>
      </w:r>
    </w:p>
  </w:footnote>
  <w:footnote w:id="113">
    <w:p w14:paraId="44552C91" w14:textId="31501528"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rPr>
        <w:t>Jacobsen 1976</w:t>
      </w:r>
      <w:r w:rsidR="009B7970" w:rsidRPr="007816A0">
        <w:rPr>
          <w:rFonts w:cs="Times New Roman"/>
        </w:rPr>
        <w:t>, 59.</w:t>
      </w:r>
    </w:p>
  </w:footnote>
  <w:footnote w:id="114">
    <w:p w14:paraId="20E07BEC" w14:textId="4DD7E15C"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FE4D39" w:rsidRPr="007816A0">
        <w:rPr>
          <w:rFonts w:cs="Times New Roman"/>
        </w:rPr>
        <w:t>Kramer 1950</w:t>
      </w:r>
      <w:r w:rsidR="009B7970" w:rsidRPr="007816A0">
        <w:rPr>
          <w:rFonts w:cs="Times New Roman"/>
        </w:rPr>
        <w:t xml:space="preserve">, 362. </w:t>
      </w:r>
      <w:r w:rsidR="00A717FC" w:rsidRPr="007816A0">
        <w:rPr>
          <w:rFonts w:cs="Times New Roman"/>
        </w:rPr>
        <w:t>Jacobsen 1976</w:t>
      </w:r>
      <w:r w:rsidR="009B7970" w:rsidRPr="007816A0">
        <w:rPr>
          <w:rFonts w:cs="Times New Roman"/>
        </w:rPr>
        <w:t xml:space="preserve">, 58-60. </w:t>
      </w:r>
      <w:r w:rsidR="00FE4D39" w:rsidRPr="007816A0">
        <w:rPr>
          <w:rFonts w:cs="Times New Roman"/>
        </w:rPr>
        <w:t>Kramer 1963A</w:t>
      </w:r>
      <w:r w:rsidR="009B7970" w:rsidRPr="007816A0">
        <w:rPr>
          <w:rFonts w:cs="Times New Roman"/>
        </w:rPr>
        <w:t>, 14-15.</w:t>
      </w:r>
    </w:p>
  </w:footnote>
  <w:footnote w:id="115">
    <w:p w14:paraId="30CDA6B0" w14:textId="47113652"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rPr>
        <w:t>Jacobsen 1976</w:t>
      </w:r>
      <w:r w:rsidR="009A2948" w:rsidRPr="007816A0">
        <w:rPr>
          <w:rFonts w:cs="Times New Roman"/>
        </w:rPr>
        <w:t>, 59</w:t>
      </w:r>
      <w:r w:rsidR="007A4AF9" w:rsidRPr="007816A0">
        <w:rPr>
          <w:rFonts w:cs="Times New Roman"/>
        </w:rPr>
        <w:t>, 63</w:t>
      </w:r>
      <w:r w:rsidR="009A2948" w:rsidRPr="007816A0">
        <w:rPr>
          <w:rFonts w:cs="Times New Roman"/>
        </w:rPr>
        <w:t xml:space="preserve">. </w:t>
      </w:r>
      <w:r w:rsidR="00FE4D39" w:rsidRPr="007816A0">
        <w:rPr>
          <w:rFonts w:cs="Times New Roman"/>
        </w:rPr>
        <w:t>Kramer 1950</w:t>
      </w:r>
      <w:r w:rsidR="009A2948" w:rsidRPr="007816A0">
        <w:rPr>
          <w:rFonts w:cs="Times New Roman"/>
        </w:rPr>
        <w:t xml:space="preserve">, 362. Cotterell </w:t>
      </w:r>
      <w:r w:rsidR="008A0665" w:rsidRPr="007816A0">
        <w:rPr>
          <w:rFonts w:cs="Times New Roman"/>
        </w:rPr>
        <w:t>1997</w:t>
      </w:r>
      <w:r w:rsidR="009A2948" w:rsidRPr="007816A0">
        <w:rPr>
          <w:rFonts w:cs="Times New Roman"/>
        </w:rPr>
        <w:t>, 2.</w:t>
      </w:r>
    </w:p>
  </w:footnote>
  <w:footnote w:id="116">
    <w:p w14:paraId="4636D962" w14:textId="7B60FD92"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rPr>
        <w:t>Jacobsen 1976</w:t>
      </w:r>
      <w:r w:rsidR="009A2948" w:rsidRPr="007816A0">
        <w:rPr>
          <w:rFonts w:cs="Times New Roman"/>
        </w:rPr>
        <w:t xml:space="preserve">, 60. </w:t>
      </w:r>
      <w:r w:rsidR="00FE4D39" w:rsidRPr="007816A0">
        <w:rPr>
          <w:rFonts w:cs="Times New Roman"/>
        </w:rPr>
        <w:t>Kramer 1963A</w:t>
      </w:r>
      <w:r w:rsidR="009A2948" w:rsidRPr="007816A0">
        <w:rPr>
          <w:rFonts w:cs="Times New Roman"/>
        </w:rPr>
        <w:t>, 15.</w:t>
      </w:r>
    </w:p>
  </w:footnote>
  <w:footnote w:id="117">
    <w:p w14:paraId="46ED44AE" w14:textId="6C10C89C" w:rsidR="002C6D49" w:rsidRPr="007816A0" w:rsidRDefault="002C6D49"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02F73" w:rsidRPr="007816A0">
        <w:rPr>
          <w:rFonts w:cs="Times New Roman"/>
        </w:rPr>
        <w:t>Kramer, Wolkstein</w:t>
      </w:r>
      <w:r w:rsidRPr="007816A0">
        <w:rPr>
          <w:rFonts w:cs="Times New Roman"/>
        </w:rPr>
        <w:t xml:space="preserve"> 1983, 44.</w:t>
      </w:r>
      <w:r w:rsidR="006A3206" w:rsidRPr="007816A0">
        <w:rPr>
          <w:rFonts w:cs="Times New Roman"/>
        </w:rPr>
        <w:t xml:space="preserve"> </w:t>
      </w:r>
      <w:r w:rsidR="00F743FD" w:rsidRPr="007816A0">
        <w:rPr>
          <w:rFonts w:cs="Times New Roman"/>
        </w:rPr>
        <w:t xml:space="preserve">A comparable substitution motif appears in the </w:t>
      </w:r>
      <w:r w:rsidR="00F743FD" w:rsidRPr="007816A0">
        <w:rPr>
          <w:rFonts w:cs="Times New Roman"/>
          <w:i/>
          <w:iCs/>
        </w:rPr>
        <w:t>Alcestis</w:t>
      </w:r>
      <w:r w:rsidR="00F743FD" w:rsidRPr="007816A0">
        <w:rPr>
          <w:rFonts w:cs="Times New Roman"/>
        </w:rPr>
        <w:t xml:space="preserve"> </w:t>
      </w:r>
      <w:r w:rsidR="00EE7013" w:rsidRPr="007816A0">
        <w:rPr>
          <w:rFonts w:cs="Times New Roman"/>
        </w:rPr>
        <w:t>text</w:t>
      </w:r>
      <w:r w:rsidR="00F743FD" w:rsidRPr="007816A0">
        <w:rPr>
          <w:rFonts w:cs="Times New Roman"/>
        </w:rPr>
        <w:t>, where Alcestis dies in place of Admetus before later restoration through Heracles</w:t>
      </w:r>
      <w:r w:rsidR="006A3206" w:rsidRPr="007816A0">
        <w:rPr>
          <w:rFonts w:cs="Times New Roman"/>
        </w:rPr>
        <w:t xml:space="preserve">. See page </w:t>
      </w:r>
      <w:r w:rsidR="006A3206" w:rsidRPr="007816A0">
        <w:rPr>
          <w:rFonts w:cs="Times New Roman"/>
        </w:rPr>
        <w:fldChar w:fldCharType="begin"/>
      </w:r>
      <w:r w:rsidR="006A3206" w:rsidRPr="007816A0">
        <w:rPr>
          <w:rFonts w:cs="Times New Roman"/>
        </w:rPr>
        <w:instrText xml:space="preserve"> PAGEREF Alcestis \h </w:instrText>
      </w:r>
      <w:r w:rsidR="006A3206" w:rsidRPr="007816A0">
        <w:rPr>
          <w:rFonts w:cs="Times New Roman"/>
        </w:rPr>
      </w:r>
      <w:r w:rsidR="006A3206" w:rsidRPr="007816A0">
        <w:rPr>
          <w:rFonts w:cs="Times New Roman"/>
        </w:rPr>
        <w:fldChar w:fldCharType="separate"/>
      </w:r>
      <w:r w:rsidR="006A3206" w:rsidRPr="007816A0">
        <w:rPr>
          <w:rFonts w:cs="Times New Roman"/>
        </w:rPr>
        <w:t>48</w:t>
      </w:r>
      <w:r w:rsidR="006A3206" w:rsidRPr="007816A0">
        <w:rPr>
          <w:rFonts w:cs="Times New Roman"/>
        </w:rPr>
        <w:fldChar w:fldCharType="end"/>
      </w:r>
      <w:r w:rsidR="006A3206" w:rsidRPr="007816A0">
        <w:rPr>
          <w:rFonts w:cs="Times New Roman"/>
        </w:rPr>
        <w:t>.</w:t>
      </w:r>
    </w:p>
  </w:footnote>
  <w:footnote w:id="118">
    <w:p w14:paraId="62304821" w14:textId="58056920"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9A2948" w:rsidRPr="007816A0">
        <w:rPr>
          <w:rFonts w:cs="Times New Roman"/>
        </w:rPr>
        <w:t xml:space="preserve">Black et al. ETCSL Descent. </w:t>
      </w:r>
      <w:r w:rsidR="00A717FC" w:rsidRPr="007816A0">
        <w:rPr>
          <w:rFonts w:cs="Times New Roman"/>
        </w:rPr>
        <w:t>Jacobsen 1976</w:t>
      </w:r>
      <w:r w:rsidR="009A2948" w:rsidRPr="007816A0">
        <w:rPr>
          <w:rFonts w:cs="Times New Roman"/>
        </w:rPr>
        <w:t xml:space="preserve">, 60. </w:t>
      </w:r>
      <w:r w:rsidR="00E91A80" w:rsidRPr="007816A0">
        <w:rPr>
          <w:rFonts w:cs="Times New Roman"/>
        </w:rPr>
        <w:t>Walls 1992</w:t>
      </w:r>
      <w:r w:rsidR="009A2948" w:rsidRPr="007816A0">
        <w:rPr>
          <w:rFonts w:cs="Times New Roman"/>
        </w:rPr>
        <w:t>, 73</w:t>
      </w:r>
      <w:r w:rsidR="00AB22F7" w:rsidRPr="007816A0">
        <w:rPr>
          <w:rFonts w:cs="Times New Roman"/>
        </w:rPr>
        <w:t>.</w:t>
      </w:r>
    </w:p>
  </w:footnote>
  <w:footnote w:id="119">
    <w:p w14:paraId="1FF436CD" w14:textId="00B8C9AF"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9A2948" w:rsidRPr="007816A0">
        <w:rPr>
          <w:rFonts w:cs="Times New Roman"/>
        </w:rPr>
        <w:t xml:space="preserve">Black et al. ETCSL Descent. </w:t>
      </w:r>
      <w:r w:rsidR="00FE4D39" w:rsidRPr="007816A0">
        <w:rPr>
          <w:rFonts w:cs="Times New Roman"/>
        </w:rPr>
        <w:t>Kramer 1950</w:t>
      </w:r>
      <w:r w:rsidR="009A2948" w:rsidRPr="007816A0">
        <w:rPr>
          <w:rFonts w:cs="Times New Roman"/>
        </w:rPr>
        <w:t xml:space="preserve">, 362. </w:t>
      </w:r>
      <w:r w:rsidR="00B15F70" w:rsidRPr="007816A0">
        <w:rPr>
          <w:rFonts w:cs="Times New Roman"/>
        </w:rPr>
        <w:t>Kramer 1940A</w:t>
      </w:r>
      <w:r w:rsidR="009A2948" w:rsidRPr="007816A0">
        <w:rPr>
          <w:rFonts w:cs="Times New Roman"/>
        </w:rPr>
        <w:t>, 19.</w:t>
      </w:r>
      <w:r w:rsidR="00706978" w:rsidRPr="007816A0">
        <w:rPr>
          <w:rFonts w:cs="Times New Roman"/>
        </w:rPr>
        <w:t xml:space="preserve"> </w:t>
      </w:r>
      <w:r w:rsidR="00E91A80" w:rsidRPr="007816A0">
        <w:rPr>
          <w:rFonts w:cs="Times New Roman"/>
        </w:rPr>
        <w:t>Walls 1992</w:t>
      </w:r>
      <w:r w:rsidR="00706978" w:rsidRPr="007816A0">
        <w:rPr>
          <w:rFonts w:cs="Times New Roman"/>
        </w:rPr>
        <w:t>, 73</w:t>
      </w:r>
      <w:r w:rsidR="00AB22F7" w:rsidRPr="007816A0">
        <w:rPr>
          <w:rFonts w:cs="Times New Roman"/>
        </w:rPr>
        <w:t>.</w:t>
      </w:r>
    </w:p>
  </w:footnote>
  <w:footnote w:id="120">
    <w:p w14:paraId="6A392FDD" w14:textId="31BF46B6"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B15F70" w:rsidRPr="007816A0">
        <w:rPr>
          <w:rFonts w:cs="Times New Roman"/>
        </w:rPr>
        <w:t>Kramer 1940A</w:t>
      </w:r>
      <w:r w:rsidR="00706978" w:rsidRPr="007816A0">
        <w:rPr>
          <w:rFonts w:cs="Times New Roman"/>
        </w:rPr>
        <w:t xml:space="preserve">, 19. </w:t>
      </w:r>
      <w:r w:rsidR="00FE4D39" w:rsidRPr="007816A0">
        <w:rPr>
          <w:rFonts w:cs="Times New Roman"/>
        </w:rPr>
        <w:t>Kramer 1950</w:t>
      </w:r>
      <w:r w:rsidR="00706978" w:rsidRPr="007816A0">
        <w:rPr>
          <w:rFonts w:cs="Times New Roman"/>
        </w:rPr>
        <w:t>, 362.</w:t>
      </w:r>
    </w:p>
  </w:footnote>
  <w:footnote w:id="121">
    <w:p w14:paraId="67030856" w14:textId="6A4103F2"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06978" w:rsidRPr="007816A0">
        <w:rPr>
          <w:rFonts w:cs="Times New Roman"/>
        </w:rPr>
        <w:t xml:space="preserve">Parnell 1998, 5. </w:t>
      </w:r>
      <w:r w:rsidR="007F4B5D" w:rsidRPr="007816A0">
        <w:rPr>
          <w:rFonts w:cs="Times New Roman"/>
        </w:rPr>
        <w:t>Laneri 2002</w:t>
      </w:r>
      <w:r w:rsidR="00706978" w:rsidRPr="007816A0">
        <w:rPr>
          <w:rFonts w:cs="Times New Roman"/>
        </w:rPr>
        <w:t>, 28-30.</w:t>
      </w:r>
    </w:p>
  </w:footnote>
  <w:footnote w:id="122">
    <w:p w14:paraId="5253A7B7" w14:textId="1C4326FA" w:rsidR="002C6D49" w:rsidRPr="007816A0" w:rsidRDefault="002C6D49"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B7187A" w:rsidRPr="007816A0">
        <w:rPr>
          <w:rFonts w:cs="Times New Roman"/>
        </w:rPr>
        <w:t xml:space="preserve">The reference to the Bull of Heaven may reflect </w:t>
      </w:r>
      <w:r w:rsidR="00EE7013" w:rsidRPr="007816A0">
        <w:rPr>
          <w:rFonts w:cs="Times New Roman"/>
        </w:rPr>
        <w:t>myths</w:t>
      </w:r>
      <w:r w:rsidR="00B7187A" w:rsidRPr="007816A0">
        <w:rPr>
          <w:rFonts w:cs="Times New Roman"/>
        </w:rPr>
        <w:t xml:space="preserve"> associated with the conflict between Gilgamesh and Ištar.</w:t>
      </w:r>
      <w:r w:rsidRPr="007816A0">
        <w:rPr>
          <w:rFonts w:cs="Times New Roman"/>
        </w:rPr>
        <w:t xml:space="preserve"> </w:t>
      </w:r>
      <w:r w:rsidR="00A717FC" w:rsidRPr="007816A0">
        <w:rPr>
          <w:rFonts w:cs="Times New Roman"/>
        </w:rPr>
        <w:t>Jacobsen 1976</w:t>
      </w:r>
      <w:r w:rsidRPr="007816A0">
        <w:rPr>
          <w:rFonts w:cs="Times New Roman"/>
        </w:rPr>
        <w:t>, 56. Kovacs 19</w:t>
      </w:r>
      <w:r w:rsidR="00382E35" w:rsidRPr="007816A0">
        <w:rPr>
          <w:rFonts w:cs="Times New Roman"/>
        </w:rPr>
        <w:t>9</w:t>
      </w:r>
      <w:r w:rsidRPr="007816A0">
        <w:rPr>
          <w:rFonts w:cs="Times New Roman"/>
        </w:rPr>
        <w:t xml:space="preserve">8, 33. </w:t>
      </w:r>
      <w:r w:rsidR="00B15F70" w:rsidRPr="007816A0">
        <w:rPr>
          <w:rFonts w:cs="Times New Roman"/>
        </w:rPr>
        <w:t>Kramer 1940A</w:t>
      </w:r>
      <w:r w:rsidRPr="007816A0">
        <w:rPr>
          <w:rFonts w:cs="Times New Roman"/>
        </w:rPr>
        <w:t>, 19.</w:t>
      </w:r>
    </w:p>
  </w:footnote>
  <w:footnote w:id="123">
    <w:p w14:paraId="2DB8591F" w14:textId="6C3550A5"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3C1170" w:rsidRPr="007816A0">
        <w:rPr>
          <w:rFonts w:cs="Times New Roman"/>
        </w:rPr>
        <w:t xml:space="preserve">Black et al. ETCSL Descent. </w:t>
      </w:r>
      <w:r w:rsidR="00EA56D8" w:rsidRPr="007816A0">
        <w:rPr>
          <w:rFonts w:cs="Times New Roman"/>
        </w:rPr>
        <w:t>Kramer, Wolkstein 1983</w:t>
      </w:r>
      <w:r w:rsidR="003C1170" w:rsidRPr="007816A0">
        <w:rPr>
          <w:rFonts w:cs="Times New Roman"/>
        </w:rPr>
        <w:t>, 60.</w:t>
      </w:r>
    </w:p>
  </w:footnote>
  <w:footnote w:id="124">
    <w:p w14:paraId="143FCA10" w14:textId="76CBD2F3"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3C1170" w:rsidRPr="007816A0">
        <w:rPr>
          <w:rFonts w:cs="Times New Roman"/>
        </w:rPr>
        <w:t>Black et al. ETCSL Descent</w:t>
      </w:r>
      <w:r w:rsidR="00AB22F7" w:rsidRPr="007816A0">
        <w:rPr>
          <w:rFonts w:cs="Times New Roman"/>
        </w:rPr>
        <w:t>.</w:t>
      </w:r>
    </w:p>
  </w:footnote>
  <w:footnote w:id="125">
    <w:p w14:paraId="6413D9F0" w14:textId="3C430E13"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3C1170" w:rsidRPr="007816A0">
        <w:rPr>
          <w:rFonts w:cs="Times New Roman"/>
        </w:rPr>
        <w:t>Parnell 1998, 5. Kovacs 1998, 32.</w:t>
      </w:r>
    </w:p>
  </w:footnote>
  <w:footnote w:id="126">
    <w:p w14:paraId="1506E135" w14:textId="1941D95A" w:rsidR="00B96BE1" w:rsidRPr="007816A0" w:rsidRDefault="00B96BE1"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607ED" w:rsidRPr="007816A0">
        <w:rPr>
          <w:rFonts w:cs="Times New Roman"/>
        </w:rPr>
        <w:t>Setälä, Földi et al.</w:t>
      </w:r>
      <w:r w:rsidRPr="007816A0">
        <w:rPr>
          <w:rFonts w:cs="Times New Roman"/>
        </w:rPr>
        <w:t xml:space="preserve"> 2022, </w:t>
      </w:r>
      <w:r w:rsidR="00D15DF2" w:rsidRPr="007816A0">
        <w:rPr>
          <w:rFonts w:cs="Times New Roman"/>
        </w:rPr>
        <w:t>vv</w:t>
      </w:r>
      <w:r w:rsidR="00BF7940" w:rsidRPr="007816A0">
        <w:rPr>
          <w:rFonts w:cs="Times New Roman"/>
        </w:rPr>
        <w:t>.</w:t>
      </w:r>
      <w:r w:rsidRPr="007816A0">
        <w:rPr>
          <w:rFonts w:cs="Times New Roman"/>
        </w:rPr>
        <w:t xml:space="preserve"> 14-21.</w:t>
      </w:r>
      <w:r w:rsidR="00133D23" w:rsidRPr="007816A0">
        <w:rPr>
          <w:rFonts w:cs="Times New Roman"/>
        </w:rPr>
        <w:t xml:space="preserve"> </w:t>
      </w:r>
      <w:r w:rsidR="00B7187A" w:rsidRPr="007816A0">
        <w:rPr>
          <w:rFonts w:cs="Times New Roman"/>
        </w:rPr>
        <w:t xml:space="preserve">Similar infernal-threat formulas appear in later Mesopotamian descent </w:t>
      </w:r>
      <w:r w:rsidR="00EE7013" w:rsidRPr="007816A0">
        <w:rPr>
          <w:rFonts w:cs="Times New Roman"/>
        </w:rPr>
        <w:t>texts</w:t>
      </w:r>
      <w:r w:rsidR="00B7187A" w:rsidRPr="007816A0">
        <w:rPr>
          <w:rFonts w:cs="Times New Roman"/>
        </w:rPr>
        <w:t xml:space="preserve">. Dalley notes that Ereškigal issues a comparable warning in </w:t>
      </w:r>
      <w:r w:rsidR="00B7187A" w:rsidRPr="007816A0">
        <w:rPr>
          <w:rFonts w:cs="Times New Roman"/>
          <w:i/>
          <w:iCs/>
        </w:rPr>
        <w:t>Nergal and Ereškigal</w:t>
      </w:r>
      <w:r w:rsidR="00B7187A" w:rsidRPr="007816A0">
        <w:rPr>
          <w:rFonts w:cs="Times New Roman"/>
        </w:rPr>
        <w:t xml:space="preserve"> if Nergal is not returned to the Netherworld after fleeing her realm (Dalley 1989, 173). Gurney’s earlier reconstruction suggests that portions of the text may have been restored using parallels from the better-preserved </w:t>
      </w:r>
      <w:r w:rsidR="00C3030A" w:rsidRPr="007816A0">
        <w:rPr>
          <w:rFonts w:cs="Times New Roman"/>
          <w:i/>
          <w:iCs/>
        </w:rPr>
        <w:t>Descent of Ištar to the Netherworld</w:t>
      </w:r>
      <w:r w:rsidR="00B7187A" w:rsidRPr="007816A0">
        <w:rPr>
          <w:rFonts w:cs="Times New Roman"/>
        </w:rPr>
        <w:t xml:space="preserve">, which complicates direct comparison (Gurney 1960, 105, 114). A broader literary resonance may also be observed in Claudian’s </w:t>
      </w:r>
      <w:r w:rsidR="00B7187A" w:rsidRPr="007816A0">
        <w:rPr>
          <w:rFonts w:cs="Times New Roman"/>
          <w:i/>
          <w:iCs/>
        </w:rPr>
        <w:t>De Raptu Proserpinae</w:t>
      </w:r>
      <w:r w:rsidR="00B7187A" w:rsidRPr="007816A0">
        <w:rPr>
          <w:rFonts w:cs="Times New Roman"/>
        </w:rPr>
        <w:t>, where Pluto threatens cosmic disorder if denied Proserpina (Claudian 1922, 301). These parallels suggest recurring literary motifs associated with infernal authority and cosmic disruption without demonstrating direct literary dependence.</w:t>
      </w:r>
    </w:p>
  </w:footnote>
  <w:footnote w:id="127">
    <w:p w14:paraId="1A9BADC4" w14:textId="5C747125" w:rsidR="001418C2" w:rsidRPr="007816A0" w:rsidRDefault="001418C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9A7B1D" w:rsidRPr="007816A0">
        <w:rPr>
          <w:rFonts w:cs="Times New Roman"/>
        </w:rPr>
        <w:t>S</w:t>
      </w:r>
      <w:r w:rsidRPr="007816A0">
        <w:rPr>
          <w:rFonts w:cs="Times New Roman"/>
        </w:rPr>
        <w:t>ee footnote</w:t>
      </w:r>
      <w:r w:rsidR="007A7290" w:rsidRPr="007816A0">
        <w:rPr>
          <w:rFonts w:cs="Times New Roman"/>
        </w:rPr>
        <w:t xml:space="preserve"> </w:t>
      </w:r>
      <w:r w:rsidR="007A7290" w:rsidRPr="007816A0">
        <w:rPr>
          <w:rFonts w:cs="Times New Roman"/>
        </w:rPr>
        <w:fldChar w:fldCharType="begin"/>
      </w:r>
      <w:r w:rsidR="007A7290" w:rsidRPr="007816A0">
        <w:rPr>
          <w:rFonts w:cs="Times New Roman"/>
        </w:rPr>
        <w:instrText xml:space="preserve"> NOTEREF InannaStrips \h </w:instrText>
      </w:r>
      <w:r w:rsidR="006C171E" w:rsidRPr="007816A0">
        <w:rPr>
          <w:rFonts w:cs="Times New Roman"/>
        </w:rPr>
        <w:instrText xml:space="preserve"> \* MERGEFORMAT </w:instrText>
      </w:r>
      <w:r w:rsidR="007A7290" w:rsidRPr="007816A0">
        <w:rPr>
          <w:rFonts w:cs="Times New Roman"/>
        </w:rPr>
      </w:r>
      <w:r w:rsidR="007A7290" w:rsidRPr="007816A0">
        <w:rPr>
          <w:rFonts w:cs="Times New Roman"/>
        </w:rPr>
        <w:fldChar w:fldCharType="separate"/>
      </w:r>
      <w:r w:rsidR="007A7290" w:rsidRPr="007816A0">
        <w:rPr>
          <w:rFonts w:cs="Times New Roman"/>
        </w:rPr>
        <w:t>101</w:t>
      </w:r>
      <w:r w:rsidR="007A7290" w:rsidRPr="007816A0">
        <w:rPr>
          <w:rFonts w:cs="Times New Roman"/>
        </w:rPr>
        <w:fldChar w:fldCharType="end"/>
      </w:r>
      <w:r w:rsidR="009A7B1D" w:rsidRPr="007816A0">
        <w:rPr>
          <w:rFonts w:cs="Times New Roman"/>
        </w:rPr>
        <w:t xml:space="preserve"> for a comparison of the regalia surrendered by Inanna and Ištar.</w:t>
      </w:r>
    </w:p>
  </w:footnote>
  <w:footnote w:id="128">
    <w:p w14:paraId="3F51384E" w14:textId="70D81BFA" w:rsidR="001418C2" w:rsidRPr="007816A0" w:rsidRDefault="001418C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F4B5D" w:rsidRPr="007816A0">
        <w:rPr>
          <w:rFonts w:cs="Times New Roman"/>
        </w:rPr>
        <w:t>Laneri 2002</w:t>
      </w:r>
      <w:r w:rsidRPr="007816A0">
        <w:rPr>
          <w:rFonts w:cs="Times New Roman"/>
        </w:rPr>
        <w:t>, 28. Parnell 1998, 5.</w:t>
      </w:r>
    </w:p>
  </w:footnote>
  <w:footnote w:id="129">
    <w:p w14:paraId="0DBBDCD5" w14:textId="6DF0C155" w:rsidR="001418C2" w:rsidRPr="007816A0" w:rsidRDefault="001418C2"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Descent. Kovacs 1998, 32.</w:t>
      </w:r>
    </w:p>
  </w:footnote>
  <w:footnote w:id="130">
    <w:p w14:paraId="689CB503" w14:textId="70A5F2B3"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B15F70" w:rsidRPr="007816A0">
        <w:rPr>
          <w:rFonts w:cs="Times New Roman"/>
        </w:rPr>
        <w:t>Kramer 1940A</w:t>
      </w:r>
      <w:r w:rsidR="003C1170" w:rsidRPr="007816A0">
        <w:rPr>
          <w:rFonts w:cs="Times New Roman"/>
        </w:rPr>
        <w:t>, 19.</w:t>
      </w:r>
      <w:r w:rsidR="00715DAD" w:rsidRPr="007816A0">
        <w:rPr>
          <w:rFonts w:cs="Times New Roman"/>
        </w:rPr>
        <w:t xml:space="preserve"> </w:t>
      </w:r>
      <w:r w:rsidR="002607ED" w:rsidRPr="007816A0">
        <w:rPr>
          <w:rFonts w:cs="Times New Roman"/>
        </w:rPr>
        <w:t>Setälä, Földi et al.</w:t>
      </w:r>
      <w:r w:rsidR="00715DAD" w:rsidRPr="007816A0">
        <w:rPr>
          <w:rFonts w:cs="Times New Roman"/>
        </w:rPr>
        <w:t xml:space="preserve"> 2022, </w:t>
      </w:r>
      <w:r w:rsidR="00D15DF2" w:rsidRPr="007816A0">
        <w:rPr>
          <w:rFonts w:cs="Times New Roman"/>
        </w:rPr>
        <w:t>vv</w:t>
      </w:r>
      <w:r w:rsidR="00BF7940" w:rsidRPr="007816A0">
        <w:rPr>
          <w:rFonts w:cs="Times New Roman"/>
        </w:rPr>
        <w:t>.</w:t>
      </w:r>
      <w:r w:rsidR="00715DAD" w:rsidRPr="007816A0">
        <w:rPr>
          <w:rFonts w:cs="Times New Roman"/>
        </w:rPr>
        <w:t xml:space="preserve"> 64-75</w:t>
      </w:r>
      <w:r w:rsidR="00133D23" w:rsidRPr="007816A0">
        <w:rPr>
          <w:rFonts w:cs="Times New Roman"/>
        </w:rPr>
        <w:t>.</w:t>
      </w:r>
    </w:p>
  </w:footnote>
  <w:footnote w:id="131">
    <w:p w14:paraId="02559A4B" w14:textId="4EDFA660"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3C1170" w:rsidRPr="007816A0">
        <w:rPr>
          <w:rFonts w:cs="Times New Roman"/>
        </w:rPr>
        <w:t xml:space="preserve">Parnell 1998, 5. </w:t>
      </w:r>
      <w:r w:rsidR="00EA56D8" w:rsidRPr="007816A0">
        <w:rPr>
          <w:rFonts w:cs="Times New Roman"/>
        </w:rPr>
        <w:t>Kramer, Wolkstein 1983</w:t>
      </w:r>
      <w:r w:rsidR="003C1170" w:rsidRPr="007816A0">
        <w:rPr>
          <w:rFonts w:cs="Times New Roman"/>
        </w:rPr>
        <w:t>, 60. Black et al. ETCSL Descent</w:t>
      </w:r>
      <w:r w:rsidR="00133D23" w:rsidRPr="007816A0">
        <w:rPr>
          <w:rFonts w:cs="Times New Roman"/>
        </w:rPr>
        <w:t>.</w:t>
      </w:r>
    </w:p>
  </w:footnote>
  <w:footnote w:id="132">
    <w:p w14:paraId="6FF512C6" w14:textId="65641168"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B15F70" w:rsidRPr="007816A0">
        <w:rPr>
          <w:rFonts w:cs="Times New Roman"/>
        </w:rPr>
        <w:t>Kramer 1940A</w:t>
      </w:r>
      <w:r w:rsidR="003C1170" w:rsidRPr="007816A0">
        <w:rPr>
          <w:rFonts w:cs="Times New Roman"/>
        </w:rPr>
        <w:t>, 19. Kovacs 1998, 32.</w:t>
      </w:r>
      <w:r w:rsidR="00B85852" w:rsidRPr="007816A0">
        <w:rPr>
          <w:rFonts w:cs="Times New Roman"/>
        </w:rPr>
        <w:t xml:space="preserve"> </w:t>
      </w:r>
      <w:r w:rsidR="002607ED" w:rsidRPr="007816A0">
        <w:rPr>
          <w:rFonts w:cs="Times New Roman"/>
        </w:rPr>
        <w:t>Setälä, Földi et al.</w:t>
      </w:r>
      <w:r w:rsidR="00B85852" w:rsidRPr="007816A0">
        <w:rPr>
          <w:rFonts w:cs="Times New Roman"/>
        </w:rPr>
        <w:t xml:space="preserve"> 2022, </w:t>
      </w:r>
      <w:r w:rsidR="00D15DF2" w:rsidRPr="007816A0">
        <w:rPr>
          <w:rFonts w:cs="Times New Roman"/>
        </w:rPr>
        <w:t>vv</w:t>
      </w:r>
      <w:r w:rsidR="00BF7940" w:rsidRPr="007816A0">
        <w:rPr>
          <w:rFonts w:cs="Times New Roman"/>
        </w:rPr>
        <w:t>.</w:t>
      </w:r>
      <w:r w:rsidR="00B85852" w:rsidRPr="007816A0">
        <w:rPr>
          <w:rFonts w:cs="Times New Roman"/>
        </w:rPr>
        <w:t xml:space="preserve"> 76-80.</w:t>
      </w:r>
    </w:p>
  </w:footnote>
  <w:footnote w:id="133">
    <w:p w14:paraId="0077EEA0" w14:textId="5C55A04A" w:rsidR="00A44BDB" w:rsidRPr="007816A0" w:rsidRDefault="00A44BDB"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Descent. </w:t>
      </w:r>
      <w:r w:rsidR="00EA56D8" w:rsidRPr="007816A0">
        <w:rPr>
          <w:rFonts w:cs="Times New Roman"/>
        </w:rPr>
        <w:t>Kramer, Wolkstein 1983</w:t>
      </w:r>
      <w:r w:rsidRPr="007816A0">
        <w:rPr>
          <w:rFonts w:cs="Times New Roman"/>
        </w:rPr>
        <w:t>, 60. Cotterell 1997, 2.</w:t>
      </w:r>
    </w:p>
  </w:footnote>
  <w:footnote w:id="134">
    <w:p w14:paraId="173AAC7B" w14:textId="171B08A7" w:rsidR="00F46471" w:rsidRPr="007816A0" w:rsidRDefault="00F46471" w:rsidP="00280D0B">
      <w:pPr>
        <w:pStyle w:val="FootnoteText"/>
        <w:rPr>
          <w:rFonts w:cs="Times New Roman"/>
        </w:rPr>
      </w:pPr>
      <w:r w:rsidRPr="007816A0">
        <w:rPr>
          <w:rStyle w:val="FootnoteReference"/>
          <w:rFonts w:cs="Times New Roman"/>
        </w:rPr>
        <w:footnoteRef/>
      </w:r>
      <w:r w:rsidR="00A04C14" w:rsidRPr="007816A0">
        <w:rPr>
          <w:rFonts w:cs="Times New Roman"/>
        </w:rPr>
        <w:t xml:space="preserve"> </w:t>
      </w:r>
      <w:r w:rsidRPr="007816A0">
        <w:rPr>
          <w:rFonts w:cs="Times New Roman"/>
        </w:rPr>
        <w:t>Jacobsen 1976, 60. Black et al. ETCSL Descent. Kramer 1963A, 15.</w:t>
      </w:r>
    </w:p>
  </w:footnote>
  <w:footnote w:id="135">
    <w:p w14:paraId="3D6A588D" w14:textId="26C2C63B" w:rsidR="004E6CB0" w:rsidRPr="007816A0" w:rsidRDefault="004E6CB0" w:rsidP="00280D0B">
      <w:pPr>
        <w:pStyle w:val="FootnoteText"/>
        <w:rPr>
          <w:rFonts w:cs="Times New Roman"/>
        </w:rPr>
      </w:pPr>
      <w:r w:rsidRPr="007816A0">
        <w:rPr>
          <w:rStyle w:val="FootnoteReference"/>
          <w:rFonts w:cs="Times New Roman"/>
        </w:rPr>
        <w:footnoteRef/>
      </w:r>
      <w:r w:rsidRPr="007816A0">
        <w:rPr>
          <w:rFonts w:cs="Times New Roman"/>
        </w:rPr>
        <w:t xml:space="preserve"> Smith J 2005, 2539.</w:t>
      </w:r>
    </w:p>
  </w:footnote>
  <w:footnote w:id="136">
    <w:p w14:paraId="5049B090" w14:textId="5D3F70C2" w:rsidR="00013EF6" w:rsidRPr="007816A0" w:rsidRDefault="00013EF6" w:rsidP="00280D0B">
      <w:pPr>
        <w:pStyle w:val="FootnoteText"/>
        <w:rPr>
          <w:rFonts w:cs="Times New Roman"/>
        </w:rPr>
      </w:pPr>
      <w:r w:rsidRPr="007816A0">
        <w:rPr>
          <w:rStyle w:val="FootnoteReference"/>
          <w:rFonts w:cs="Times New Roman"/>
        </w:rPr>
        <w:footnoteRef/>
      </w:r>
      <w:r w:rsidRPr="007816A0">
        <w:rPr>
          <w:rFonts w:cs="Times New Roman"/>
        </w:rPr>
        <w:t xml:space="preserve"> Smith J 2005, 2539. Cf. Discussion of Dumuzi and Geshtinanna beginning on pag</w:t>
      </w:r>
      <w:r w:rsidR="00637A2E" w:rsidRPr="007816A0">
        <w:rPr>
          <w:rFonts w:cs="Times New Roman"/>
        </w:rPr>
        <w:t xml:space="preserve">e </w:t>
      </w:r>
      <w:r w:rsidR="00637A2E" w:rsidRPr="007816A0">
        <w:rPr>
          <w:rFonts w:cs="Times New Roman"/>
        </w:rPr>
        <w:fldChar w:fldCharType="begin"/>
      </w:r>
      <w:r w:rsidR="00637A2E" w:rsidRPr="007816A0">
        <w:rPr>
          <w:rFonts w:cs="Times New Roman"/>
        </w:rPr>
        <w:instrText xml:space="preserve"> PAGEREF _Ref232180554 </w:instrText>
      </w:r>
      <w:r w:rsidR="00637A2E" w:rsidRPr="007816A0">
        <w:rPr>
          <w:rFonts w:cs="Times New Roman"/>
        </w:rPr>
        <w:fldChar w:fldCharType="separate"/>
      </w:r>
      <w:r w:rsidR="00637A2E" w:rsidRPr="007816A0">
        <w:rPr>
          <w:rFonts w:cs="Times New Roman"/>
        </w:rPr>
        <w:t>23</w:t>
      </w:r>
      <w:r w:rsidR="00637A2E" w:rsidRPr="007816A0">
        <w:rPr>
          <w:rFonts w:cs="Times New Roman"/>
        </w:rPr>
        <w:fldChar w:fldCharType="end"/>
      </w:r>
      <w:r w:rsidRPr="007816A0">
        <w:rPr>
          <w:rFonts w:cs="Times New Roman"/>
        </w:rPr>
        <w:t>.</w:t>
      </w:r>
    </w:p>
  </w:footnote>
  <w:footnote w:id="137">
    <w:p w14:paraId="31402615" w14:textId="1D83D3DE" w:rsidR="00186FD5" w:rsidRPr="007816A0" w:rsidRDefault="00186FD5"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Descent. Parnell 1998, 5. Kovacs 1998, 32. Kramer 1940A, 20.</w:t>
      </w:r>
    </w:p>
  </w:footnote>
  <w:footnote w:id="138">
    <w:p w14:paraId="4001AC07" w14:textId="3D65E310" w:rsidR="00186FD5" w:rsidRPr="007816A0" w:rsidRDefault="00186FD5"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60. Kovacs 1998, 32. Ruether 2005, 55.</w:t>
      </w:r>
    </w:p>
  </w:footnote>
  <w:footnote w:id="139">
    <w:p w14:paraId="74EC00A9" w14:textId="331717D0" w:rsidR="00B468C7" w:rsidRPr="007816A0" w:rsidRDefault="00B468C7"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FE4D39" w:rsidRPr="007816A0">
        <w:rPr>
          <w:rFonts w:cs="Times New Roman"/>
        </w:rPr>
        <w:t>Kramer 1963A</w:t>
      </w:r>
      <w:r w:rsidRPr="007816A0">
        <w:rPr>
          <w:rFonts w:cs="Times New Roman"/>
        </w:rPr>
        <w:t>, 14. Ruether 2005, 55. Vernant 1983, 139.</w:t>
      </w:r>
    </w:p>
  </w:footnote>
  <w:footnote w:id="140">
    <w:p w14:paraId="3B17A1CB" w14:textId="52451FFF"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F53F64" w:rsidRPr="007816A0">
        <w:rPr>
          <w:rFonts w:cs="Times New Roman"/>
        </w:rPr>
        <w:t xml:space="preserve">Black et al. ETCSL Descent. </w:t>
      </w:r>
      <w:r w:rsidR="00A717FC" w:rsidRPr="007816A0">
        <w:rPr>
          <w:rFonts w:cs="Times New Roman"/>
        </w:rPr>
        <w:t>Jacobsen 1976</w:t>
      </w:r>
      <w:r w:rsidR="00F53F64" w:rsidRPr="007816A0">
        <w:rPr>
          <w:rFonts w:cs="Times New Roman"/>
        </w:rPr>
        <w:t>, 60</w:t>
      </w:r>
      <w:r w:rsidR="00FA0139" w:rsidRPr="007816A0">
        <w:rPr>
          <w:rFonts w:cs="Times New Roman"/>
        </w:rPr>
        <w:t>.</w:t>
      </w:r>
      <w:r w:rsidR="00F53F64" w:rsidRPr="007816A0">
        <w:rPr>
          <w:rFonts w:cs="Times New Roman"/>
        </w:rPr>
        <w:t xml:space="preserve"> </w:t>
      </w:r>
      <w:r w:rsidR="002607ED" w:rsidRPr="007816A0">
        <w:rPr>
          <w:rFonts w:cs="Times New Roman"/>
        </w:rPr>
        <w:t>Ruether 2005</w:t>
      </w:r>
      <w:r w:rsidR="00F53F64" w:rsidRPr="007816A0">
        <w:rPr>
          <w:rFonts w:cs="Times New Roman"/>
        </w:rPr>
        <w:t>, 55</w:t>
      </w:r>
      <w:r w:rsidR="00FA0139" w:rsidRPr="007816A0">
        <w:rPr>
          <w:rFonts w:cs="Times New Roman"/>
        </w:rPr>
        <w:t>.</w:t>
      </w:r>
    </w:p>
  </w:footnote>
  <w:footnote w:id="141">
    <w:p w14:paraId="54A913AB" w14:textId="573CDCA3" w:rsidR="00577CC8" w:rsidRPr="007816A0" w:rsidRDefault="00577CC8">
      <w:pPr>
        <w:pStyle w:val="FootnoteText"/>
        <w:rPr>
          <w:rFonts w:cs="Times New Roman"/>
        </w:rPr>
      </w:pPr>
      <w:r w:rsidRPr="007816A0">
        <w:rPr>
          <w:rStyle w:val="FootnoteReference"/>
          <w:rFonts w:cs="Times New Roman"/>
        </w:rPr>
        <w:footnoteRef/>
      </w:r>
      <w:r w:rsidRPr="007816A0">
        <w:rPr>
          <w:rFonts w:cs="Times New Roman"/>
        </w:rPr>
        <w:t xml:space="preserve"> </w:t>
      </w:r>
      <w:r w:rsidR="008B2C64" w:rsidRPr="007816A0">
        <w:rPr>
          <w:rFonts w:cs="Times New Roman"/>
        </w:rPr>
        <w:t xml:space="preserve">In the </w:t>
      </w:r>
      <w:r w:rsidR="008B2C64" w:rsidRPr="007816A0">
        <w:rPr>
          <w:rFonts w:cs="Times New Roman"/>
          <w:i/>
          <w:iCs/>
        </w:rPr>
        <w:t>Homeric Hymn to Demeter</w:t>
      </w:r>
      <w:r w:rsidR="008B2C64" w:rsidRPr="007816A0">
        <w:rPr>
          <w:rFonts w:cs="Times New Roman"/>
        </w:rPr>
        <w:t>, Zeus is not a background figure but the authority who makes Persephone’s return possible. Helios says that “cloud-gathering Zeus” gave her to Hades, Hermes announces that “Father Zeus bids me lead noble Persephone up from Erebos” so that Demeter may cease from anger, and Zeus then settles the final arrangement by dividing Persephone’s time between the underworld and the upper world (</w:t>
      </w:r>
      <w:r w:rsidR="008B2C64" w:rsidRPr="007816A0">
        <w:rPr>
          <w:rFonts w:cs="Times New Roman"/>
          <w:i/>
          <w:iCs/>
        </w:rPr>
        <w:t xml:space="preserve">Homeric Hymn </w:t>
      </w:r>
      <w:r w:rsidR="008B2C64" w:rsidRPr="007816A0">
        <w:rPr>
          <w:rFonts w:cs="Times New Roman"/>
        </w:rPr>
        <w:t xml:space="preserve">2008 Demeter, vv. 78-80, 344-350, 400, 445; Detienne 1984, 2). Allan’s account (2006, 3, 14) of the Homeric epic supplies the broader interpretive frame. The poems’ justice is “simultaneously cosmic and personal,” depends on “the personal authority of Zeus himself,” and what counts as human δίκη is inseparable from cosmic “order” because Zeus’s will extends to both. He further argues that Zeus’s approval is integral to the larger cosmic order he enforces, that even divine collaboration can appear vindictive from a human perspective while still maintaining divine order. Athena herself operates as an extension of Zeus’s will in preserving cosmic order (Allan 2006, 4, 7, 19, 21,29, 33). </w:t>
      </w:r>
      <w:r w:rsidR="00AD2681" w:rsidRPr="007816A0">
        <w:rPr>
          <w:rFonts w:cs="Times New Roman"/>
        </w:rPr>
        <w:t>Taken</w:t>
      </w:r>
      <w:r w:rsidR="008B2C64" w:rsidRPr="007816A0">
        <w:rPr>
          <w:rFonts w:cs="Times New Roman"/>
        </w:rPr>
        <w:t xml:space="preserve"> together, these passages show that Persephone’s return is negotiated within Zeus’s sovereign order </w:t>
      </w:r>
      <w:r w:rsidR="0020748E" w:rsidRPr="007816A0">
        <w:rPr>
          <w:rFonts w:cs="Times New Roman"/>
        </w:rPr>
        <w:t>rather than by the fixed impersonal law that governs the Mesopotamian Netherworld</w:t>
      </w:r>
      <w:r w:rsidR="008B2C64" w:rsidRPr="007816A0">
        <w:rPr>
          <w:rFonts w:cs="Times New Roman"/>
        </w:rPr>
        <w:t>. This particular Greek model therefore differs from the Mesopotamian descent traditions, where return is bound to stricter Netherworld law, substitution, and exchange.</w:t>
      </w:r>
    </w:p>
  </w:footnote>
  <w:footnote w:id="142">
    <w:p w14:paraId="3918293E" w14:textId="5A98A958"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rPr>
        <w:t>Jacobsen 1976</w:t>
      </w:r>
      <w:r w:rsidR="00941F33" w:rsidRPr="007816A0">
        <w:rPr>
          <w:rFonts w:cs="Times New Roman"/>
        </w:rPr>
        <w:t>, 528</w:t>
      </w:r>
      <w:r w:rsidR="00375A2B" w:rsidRPr="007816A0">
        <w:rPr>
          <w:rFonts w:cs="Times New Roman"/>
        </w:rPr>
        <w:t>.</w:t>
      </w:r>
    </w:p>
  </w:footnote>
  <w:footnote w:id="143">
    <w:p w14:paraId="22F032DE" w14:textId="416A4C69" w:rsidR="00657147" w:rsidRPr="007816A0" w:rsidRDefault="00657147"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rPr>
        <w:t>Jacobsen 1976</w:t>
      </w:r>
      <w:r w:rsidRPr="007816A0">
        <w:rPr>
          <w:rFonts w:cs="Times New Roman"/>
        </w:rPr>
        <w:t xml:space="preserve">, 60. </w:t>
      </w:r>
      <w:r w:rsidR="00FE4D39" w:rsidRPr="007816A0">
        <w:rPr>
          <w:rFonts w:cs="Times New Roman"/>
        </w:rPr>
        <w:t>Kramer 1963A</w:t>
      </w:r>
      <w:r w:rsidRPr="007816A0">
        <w:rPr>
          <w:rFonts w:cs="Times New Roman"/>
        </w:rPr>
        <w:t>, 15.</w:t>
      </w:r>
    </w:p>
  </w:footnote>
  <w:footnote w:id="144">
    <w:p w14:paraId="14F1F518" w14:textId="47578208" w:rsidR="00657147" w:rsidRPr="007816A0" w:rsidRDefault="00657147" w:rsidP="00280D0B">
      <w:pPr>
        <w:pStyle w:val="FootnoteText"/>
        <w:rPr>
          <w:rFonts w:cs="Times New Roman"/>
        </w:rPr>
      </w:pPr>
      <w:r w:rsidRPr="007816A0">
        <w:rPr>
          <w:rStyle w:val="FootnoteReference"/>
          <w:rFonts w:cs="Times New Roman"/>
        </w:rPr>
        <w:footnoteRef/>
      </w:r>
      <w:r w:rsidRPr="007816A0">
        <w:rPr>
          <w:rFonts w:cs="Times New Roman"/>
        </w:rPr>
        <w:t xml:space="preserve"> Ruether 2005, 55. Black et al. ETCSL Descent.</w:t>
      </w:r>
    </w:p>
  </w:footnote>
  <w:footnote w:id="145">
    <w:p w14:paraId="3CF86E4C" w14:textId="1CE1B728" w:rsidR="00941F33" w:rsidRPr="007816A0" w:rsidRDefault="00941F33" w:rsidP="007D1AD2">
      <w:pPr>
        <w:pStyle w:val="FootnoteText"/>
        <w:rPr>
          <w:rFonts w:cs="Times New Roman"/>
        </w:rPr>
      </w:pPr>
      <w:r w:rsidRPr="007816A0">
        <w:rPr>
          <w:rStyle w:val="FootnoteReference"/>
          <w:rFonts w:cs="Times New Roman"/>
        </w:rPr>
        <w:footnoteRef/>
      </w:r>
      <w:r w:rsidRPr="007816A0">
        <w:rPr>
          <w:rFonts w:cs="Times New Roman"/>
        </w:rPr>
        <w:t xml:space="preserve"> </w:t>
      </w:r>
      <w:r w:rsidR="007D1AD2" w:rsidRPr="007816A0">
        <w:rPr>
          <w:rFonts w:cs="Times New Roman"/>
        </w:rPr>
        <w:t xml:space="preserve">Black et al. ETCSL Descent. Jacobsen 1976, 60. A rare modification of Netherworld boundaries appears in </w:t>
      </w:r>
      <w:r w:rsidR="007D1AD2" w:rsidRPr="007816A0">
        <w:rPr>
          <w:rFonts w:cs="Times New Roman"/>
          <w:i/>
          <w:iCs/>
        </w:rPr>
        <w:t>Gilgamesh, Enkidu, and the Netherworld</w:t>
      </w:r>
      <w:r w:rsidR="007D1AD2" w:rsidRPr="007816A0">
        <w:rPr>
          <w:rFonts w:cs="Times New Roman"/>
        </w:rPr>
        <w:t>, where Enkidu, after becoming trapped in the Netherworld, is permitted through divine intervention to emerge temporarily as a spirit and speak with Gilgamesh.</w:t>
      </w:r>
      <w:r w:rsidR="000B083A" w:rsidRPr="007816A0">
        <w:rPr>
          <w:rFonts w:cs="Times New Roman"/>
        </w:rPr>
        <w:t xml:space="preserve"> </w:t>
      </w:r>
      <w:r w:rsidR="007D1AD2" w:rsidRPr="007816A0">
        <w:rPr>
          <w:rFonts w:cs="Times New Roman"/>
        </w:rPr>
        <w:t xml:space="preserve">Black et al. ETCSL </w:t>
      </w:r>
      <w:r w:rsidR="007816A0" w:rsidRPr="007816A0">
        <w:rPr>
          <w:rFonts w:cs="Times New Roman"/>
        </w:rPr>
        <w:t>G</w:t>
      </w:r>
      <w:r w:rsidR="007D1AD2" w:rsidRPr="007816A0">
        <w:rPr>
          <w:rFonts w:cs="Times New Roman"/>
        </w:rPr>
        <w:t>ilgamesh/Enkidu/Netherworld, Nibru vv. 230-242</w:t>
      </w:r>
      <w:r w:rsidR="00FF5850" w:rsidRPr="007816A0">
        <w:rPr>
          <w:rFonts w:cs="Times New Roman"/>
        </w:rPr>
        <w:t>.</w:t>
      </w:r>
    </w:p>
  </w:footnote>
  <w:footnote w:id="146">
    <w:p w14:paraId="48CB5CE7" w14:textId="2BA037A2" w:rsidR="00941F33" w:rsidRPr="007816A0" w:rsidRDefault="00941F33"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CE1782" w:rsidRPr="007816A0">
        <w:rPr>
          <w:rFonts w:cs="Times New Roman"/>
        </w:rPr>
        <w:t xml:space="preserve">Peled 2015, 752. </w:t>
      </w:r>
      <w:r w:rsidR="002607ED" w:rsidRPr="007816A0">
        <w:rPr>
          <w:rFonts w:cs="Times New Roman"/>
        </w:rPr>
        <w:t>Ruether 2005</w:t>
      </w:r>
      <w:r w:rsidRPr="007816A0">
        <w:rPr>
          <w:rFonts w:cs="Times New Roman"/>
        </w:rPr>
        <w:t>, 55. Black et al. ETCSL Descent.</w:t>
      </w:r>
    </w:p>
  </w:footnote>
  <w:footnote w:id="147">
    <w:p w14:paraId="37750CB9" w14:textId="77777777"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60. Black et al. ETCSL Descent. Kramer 1963A, 15.</w:t>
      </w:r>
    </w:p>
  </w:footnote>
  <w:footnote w:id="148">
    <w:p w14:paraId="2075E3E2" w14:textId="5705FD3B"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103-104) notes earlier the Mesopotamian precedent in which Enlil secures Nanna’s release from the Netherworld through substitution that will “take Nanna’s place in the Netherworld and save him for the world above.” A comparable substitution motif appears in later Semitic ritual</w:t>
      </w:r>
      <w:r w:rsidR="00F44839" w:rsidRPr="007816A0">
        <w:rPr>
          <w:rFonts w:cs="Times New Roman"/>
        </w:rPr>
        <w:t>s</w:t>
      </w:r>
      <w:r w:rsidRPr="007816A0">
        <w:rPr>
          <w:rFonts w:cs="Times New Roman"/>
        </w:rPr>
        <w:t>, particularly in the scapegoat rite associated with azazel (Leviticus 16). Although structurally different, both</w:t>
      </w:r>
      <w:r w:rsidR="00EE7013" w:rsidRPr="007816A0">
        <w:rPr>
          <w:rFonts w:cs="Times New Roman"/>
        </w:rPr>
        <w:t xml:space="preserve"> stories</w:t>
      </w:r>
      <w:r w:rsidRPr="007816A0">
        <w:rPr>
          <w:rFonts w:cs="Times New Roman"/>
        </w:rPr>
        <w:t xml:space="preserve"> involve the symbolic transfer of burden through ritual substitution rather than unrestricted release from guilt or impurity. Bible Hub 2026, Leviticus 16.</w:t>
      </w:r>
    </w:p>
  </w:footnote>
  <w:footnote w:id="149">
    <w:p w14:paraId="4491D821" w14:textId="77777777" w:rsidR="001F6D2A" w:rsidRPr="007816A0" w:rsidRDefault="001F6D2A" w:rsidP="001F6D2A">
      <w:pPr>
        <w:pStyle w:val="FootnoteText"/>
        <w:rPr>
          <w:rFonts w:cs="Times New Roman"/>
        </w:rPr>
      </w:pPr>
      <w:r w:rsidRPr="007816A0">
        <w:rPr>
          <w:rStyle w:val="FootnoteReference"/>
          <w:rFonts w:cs="Times New Roman"/>
        </w:rPr>
        <w:footnoteRef/>
      </w:r>
      <w:r w:rsidRPr="007816A0">
        <w:rPr>
          <w:rFonts w:cs="Times New Roman"/>
        </w:rPr>
        <w:t xml:space="preserve"> Black et al. ETCSL Descent. Jacobsen 1976, 60. Laneri 2002, 9. Kramer 1963A, 15.</w:t>
      </w:r>
    </w:p>
  </w:footnote>
  <w:footnote w:id="150">
    <w:p w14:paraId="1AC6FF29" w14:textId="14E0B415" w:rsidR="007F3FE7" w:rsidRPr="007816A0" w:rsidRDefault="007F3FE7" w:rsidP="00280D0B">
      <w:pPr>
        <w:pStyle w:val="FootnoteText"/>
        <w:rPr>
          <w:rFonts w:cs="Times New Roman"/>
        </w:rPr>
      </w:pPr>
      <w:r w:rsidRPr="007816A0">
        <w:rPr>
          <w:rStyle w:val="FootnoteReference"/>
          <w:rFonts w:cs="Times New Roman"/>
        </w:rPr>
        <w:footnoteRef/>
      </w:r>
      <w:r w:rsidRPr="007816A0">
        <w:rPr>
          <w:rFonts w:cs="Times New Roman"/>
        </w:rPr>
        <w:t xml:space="preserve"> BM 123279, photo courtesy of © The Trustees of the British Museum. Shared under a Creative Commons Attribution-Non-</w:t>
      </w:r>
      <w:r w:rsidR="00435483" w:rsidRPr="007816A0">
        <w:rPr>
          <w:rFonts w:cs="Times New Roman"/>
        </w:rPr>
        <w:t>Commercial</w:t>
      </w:r>
      <w:r w:rsidRPr="007816A0">
        <w:rPr>
          <w:rFonts w:cs="Times New Roman"/>
        </w:rPr>
        <w:t>-Share Alike 4.0 International (CC BY-NC-SA 4.0) licence.</w:t>
      </w:r>
    </w:p>
  </w:footnote>
  <w:footnote w:id="151">
    <w:p w14:paraId="2958EBF1" w14:textId="121E69E5" w:rsidR="00CF1D50" w:rsidRPr="007816A0" w:rsidRDefault="00CF1D50" w:rsidP="00280D0B">
      <w:pPr>
        <w:pStyle w:val="FootnoteText"/>
        <w:rPr>
          <w:rFonts w:cs="Times New Roman"/>
        </w:rPr>
      </w:pPr>
      <w:r w:rsidRPr="007816A0">
        <w:rPr>
          <w:rStyle w:val="FootnoteReference"/>
          <w:rFonts w:cs="Times New Roman"/>
        </w:rPr>
        <w:footnoteRef/>
      </w:r>
      <w:r w:rsidRPr="007816A0">
        <w:rPr>
          <w:rFonts w:cs="Times New Roman"/>
        </w:rPr>
        <w:t xml:space="preserve"> Cabrera 2018, 69. </w:t>
      </w:r>
      <w:r w:rsidR="00FE4D39" w:rsidRPr="007816A0">
        <w:rPr>
          <w:rFonts w:cs="Times New Roman"/>
        </w:rPr>
        <w:t>Kramer 1950</w:t>
      </w:r>
      <w:r w:rsidRPr="007816A0">
        <w:rPr>
          <w:rFonts w:cs="Times New Roman"/>
        </w:rPr>
        <w:t>, 363</w:t>
      </w:r>
    </w:p>
  </w:footnote>
  <w:footnote w:id="152">
    <w:p w14:paraId="3021800C" w14:textId="6072F883" w:rsidR="00CF1D50" w:rsidRPr="007816A0" w:rsidRDefault="00CF1D50" w:rsidP="00280D0B">
      <w:pPr>
        <w:pStyle w:val="FootnoteText"/>
        <w:rPr>
          <w:rFonts w:cs="Times New Roman"/>
        </w:rPr>
      </w:pPr>
      <w:r w:rsidRPr="007816A0">
        <w:rPr>
          <w:rStyle w:val="FootnoteReference"/>
          <w:rFonts w:cs="Times New Roman"/>
        </w:rPr>
        <w:footnoteRef/>
      </w:r>
      <w:r w:rsidRPr="007816A0">
        <w:rPr>
          <w:rFonts w:cs="Times New Roman"/>
        </w:rPr>
        <w:t xml:space="preserve"> Kramer </w:t>
      </w:r>
      <w:r w:rsidR="00402F73" w:rsidRPr="007816A0">
        <w:rPr>
          <w:rFonts w:cs="Times New Roman"/>
        </w:rPr>
        <w:t>and</w:t>
      </w:r>
      <w:r w:rsidRPr="007816A0">
        <w:rPr>
          <w:rFonts w:cs="Times New Roman"/>
        </w:rPr>
        <w:t xml:space="preserve"> Wolkstein (1983, 71</w:t>
      </w:r>
      <w:r w:rsidR="005C6814" w:rsidRPr="007816A0">
        <w:rPr>
          <w:rFonts w:cs="Times New Roman"/>
        </w:rPr>
        <w:t xml:space="preserve">, </w:t>
      </w:r>
      <w:r w:rsidRPr="007816A0">
        <w:rPr>
          <w:rFonts w:cs="Times New Roman"/>
        </w:rPr>
        <w:t xml:space="preserve">171) </w:t>
      </w:r>
      <w:r w:rsidR="005C6814" w:rsidRPr="007816A0">
        <w:rPr>
          <w:rFonts w:cs="Times New Roman"/>
        </w:rPr>
        <w:t xml:space="preserve">argue that </w:t>
      </w:r>
      <w:r w:rsidR="00A652AD" w:rsidRPr="007816A0">
        <w:rPr>
          <w:rFonts w:cs="Times New Roman"/>
        </w:rPr>
        <w:t>“</w:t>
      </w:r>
      <w:r w:rsidR="005C6814" w:rsidRPr="007816A0">
        <w:rPr>
          <w:rFonts w:cs="Times New Roman"/>
        </w:rPr>
        <w:t xml:space="preserve">once Inanna takes up the </w:t>
      </w:r>
      <w:r w:rsidR="005C6814" w:rsidRPr="007816A0">
        <w:rPr>
          <w:rFonts w:cs="Times New Roman"/>
          <w:b/>
          <w:bCs/>
          <w:i/>
          <w:iCs/>
        </w:rPr>
        <w:t>me</w:t>
      </w:r>
      <w:r w:rsidR="005C6814" w:rsidRPr="007816A0">
        <w:rPr>
          <w:rFonts w:cs="Times New Roman"/>
        </w:rPr>
        <w:t>, the holy form of things, she assumes her destined role, and her spiritual force moves from the wild and unpredictable ‘heart’ to the all-knowing and all-seeing ‘eye.’</w:t>
      </w:r>
      <w:r w:rsidR="00A652AD" w:rsidRPr="007816A0">
        <w:rPr>
          <w:rFonts w:cs="Times New Roman"/>
        </w:rPr>
        <w:t>”</w:t>
      </w:r>
      <w:r w:rsidR="005C6814" w:rsidRPr="007816A0">
        <w:rPr>
          <w:rFonts w:cs="Times New Roman"/>
        </w:rPr>
        <w:t xml:space="preserve"> </w:t>
      </w:r>
      <w:r w:rsidRPr="007816A0">
        <w:rPr>
          <w:rFonts w:cs="Times New Roman"/>
        </w:rPr>
        <w:t xml:space="preserve">The symbolism of </w:t>
      </w:r>
      <w:r w:rsidR="00A652AD" w:rsidRPr="007816A0">
        <w:rPr>
          <w:rFonts w:cs="Times New Roman"/>
        </w:rPr>
        <w:t>“</w:t>
      </w:r>
      <w:r w:rsidRPr="007816A0">
        <w:rPr>
          <w:rFonts w:cs="Times New Roman"/>
        </w:rPr>
        <w:t>the eye</w:t>
      </w:r>
      <w:r w:rsidR="00A652AD" w:rsidRPr="007816A0">
        <w:rPr>
          <w:rFonts w:cs="Times New Roman"/>
        </w:rPr>
        <w:t>”</w:t>
      </w:r>
      <w:r w:rsidRPr="007816A0">
        <w:rPr>
          <w:rFonts w:cs="Times New Roman"/>
        </w:rPr>
        <w:t xml:space="preserve"> is reiterated after the Annuna pass judgement with </w:t>
      </w:r>
      <w:r w:rsidR="00A652AD" w:rsidRPr="007816A0">
        <w:rPr>
          <w:rFonts w:cs="Times New Roman"/>
        </w:rPr>
        <w:t>“</w:t>
      </w:r>
      <w:r w:rsidR="00323CEE" w:rsidRPr="007816A0">
        <w:rPr>
          <w:rFonts w:cs="Times New Roman"/>
        </w:rPr>
        <w:t>Ereškigal</w:t>
      </w:r>
      <w:r w:rsidRPr="007816A0">
        <w:rPr>
          <w:rFonts w:cs="Times New Roman"/>
        </w:rPr>
        <w:t xml:space="preserve"> fastened on Inanna the eye of death. She spoke against her the word of wrath. She uttered against her the cry of guilt. She struck her. Inanna was turned into a corpse, A piece of rotting meat, </w:t>
      </w:r>
      <w:r w:rsidR="005C6814" w:rsidRPr="007816A0">
        <w:rPr>
          <w:rFonts w:cs="Times New Roman"/>
        </w:rPr>
        <w:t>a</w:t>
      </w:r>
      <w:r w:rsidRPr="007816A0">
        <w:rPr>
          <w:rFonts w:cs="Times New Roman"/>
        </w:rPr>
        <w:t>nd was hung from a hook on the wall.</w:t>
      </w:r>
      <w:r w:rsidR="00A652AD" w:rsidRPr="007816A0">
        <w:rPr>
          <w:rFonts w:cs="Times New Roman"/>
        </w:rPr>
        <w:t>”</w:t>
      </w:r>
      <w:r w:rsidRPr="007816A0">
        <w:rPr>
          <w:rFonts w:cs="Times New Roman"/>
        </w:rPr>
        <w:t xml:space="preserve"> </w:t>
      </w:r>
    </w:p>
  </w:footnote>
  <w:footnote w:id="153">
    <w:p w14:paraId="4FDAAC25" w14:textId="1FEE7DE5" w:rsidR="00CF1D50" w:rsidRPr="007816A0" w:rsidRDefault="00CF1D50"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C4024A" w:rsidRPr="007816A0">
        <w:rPr>
          <w:rFonts w:cs="Times New Roman"/>
        </w:rPr>
        <w:t>Cabrera 2018</w:t>
      </w:r>
      <w:r w:rsidRPr="007816A0">
        <w:rPr>
          <w:rFonts w:cs="Times New Roman"/>
        </w:rPr>
        <w:t xml:space="preserve">, 69. </w:t>
      </w:r>
      <w:r w:rsidR="00FE4D39" w:rsidRPr="007816A0">
        <w:rPr>
          <w:rFonts w:cs="Times New Roman"/>
        </w:rPr>
        <w:t>Kramer 1963A</w:t>
      </w:r>
      <w:r w:rsidRPr="007816A0">
        <w:rPr>
          <w:rFonts w:cs="Times New Roman"/>
        </w:rPr>
        <w:t xml:space="preserve">, 15. </w:t>
      </w:r>
      <w:r w:rsidR="00FE4D39" w:rsidRPr="007816A0">
        <w:rPr>
          <w:rFonts w:cs="Times New Roman"/>
        </w:rPr>
        <w:t>Kramer 1950</w:t>
      </w:r>
      <w:r w:rsidRPr="007816A0">
        <w:rPr>
          <w:rFonts w:cs="Times New Roman"/>
        </w:rPr>
        <w:t>, 363.</w:t>
      </w:r>
    </w:p>
  </w:footnote>
  <w:footnote w:id="154">
    <w:p w14:paraId="22D06013" w14:textId="6069E79D" w:rsidR="00CF1D50" w:rsidRPr="007816A0" w:rsidRDefault="00CF1D50"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rPr>
        <w:t>Jacobsen 1976</w:t>
      </w:r>
      <w:r w:rsidRPr="007816A0">
        <w:rPr>
          <w:rFonts w:cs="Times New Roman"/>
        </w:rPr>
        <w:t xml:space="preserve">, 60. </w:t>
      </w:r>
      <w:r w:rsidR="00FE4D39" w:rsidRPr="007816A0">
        <w:rPr>
          <w:rFonts w:cs="Times New Roman"/>
        </w:rPr>
        <w:t>Kramer 1963A</w:t>
      </w:r>
      <w:r w:rsidRPr="007816A0">
        <w:rPr>
          <w:rFonts w:cs="Times New Roman"/>
        </w:rPr>
        <w:t>, 15. Laneri 2002, 9</w:t>
      </w:r>
    </w:p>
  </w:footnote>
  <w:footnote w:id="155">
    <w:p w14:paraId="1D336ABB" w14:textId="1DC32F18" w:rsidR="003F7877" w:rsidRPr="007816A0" w:rsidRDefault="003F7877"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60. Kramer 1963A, 15. Kramer 1980B, 299. Black et al. ETCSL Descent. Kramer 1950, 363. Laneri 2002, 9.</w:t>
      </w:r>
    </w:p>
  </w:footnote>
  <w:footnote w:id="156">
    <w:p w14:paraId="2433A2D4" w14:textId="3030AF0E" w:rsidR="008568D4" w:rsidRPr="007816A0" w:rsidRDefault="008568D4"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816A0" w:rsidRPr="007816A0">
        <w:rPr>
          <w:rFonts w:cs="Times New Roman"/>
        </w:rPr>
        <w:t>I</w:t>
      </w:r>
      <w:r w:rsidRPr="007816A0">
        <w:rPr>
          <w:rFonts w:cs="Times New Roman"/>
        </w:rPr>
        <w:t xml:space="preserve">n the Ištar version, this is where </w:t>
      </w:r>
      <w:r w:rsidRPr="007816A0">
        <w:rPr>
          <w:rFonts w:cs="Times New Roman"/>
          <w:color w:val="000000" w:themeColor="text1"/>
        </w:rPr>
        <w:t>Tammuz’s story ends.</w:t>
      </w:r>
    </w:p>
  </w:footnote>
  <w:footnote w:id="157">
    <w:p w14:paraId="723BF874" w14:textId="230FD732" w:rsidR="00192969" w:rsidRPr="007816A0" w:rsidRDefault="00192969" w:rsidP="00280D0B">
      <w:pPr>
        <w:pStyle w:val="FootnoteText"/>
        <w:rPr>
          <w:rFonts w:cs="Times New Roman"/>
        </w:rPr>
      </w:pPr>
      <w:r w:rsidRPr="007816A0">
        <w:rPr>
          <w:rStyle w:val="FootnoteReference"/>
          <w:rFonts w:cs="Times New Roman"/>
        </w:rPr>
        <w:footnoteRef/>
      </w:r>
      <w:r w:rsidRPr="007816A0">
        <w:rPr>
          <w:rFonts w:cs="Times New Roman"/>
        </w:rPr>
        <w:t xml:space="preserve"> Kramer 1980B, 300. Laneri 2002, 25.</w:t>
      </w:r>
    </w:p>
  </w:footnote>
  <w:footnote w:id="158">
    <w:p w14:paraId="20B4305A" w14:textId="1467702F" w:rsidR="00192969" w:rsidRPr="007816A0" w:rsidRDefault="00192969" w:rsidP="00280D0B">
      <w:pPr>
        <w:pStyle w:val="FootnoteText"/>
        <w:rPr>
          <w:rFonts w:cs="Times New Roman"/>
        </w:rPr>
      </w:pPr>
      <w:r w:rsidRPr="007816A0">
        <w:rPr>
          <w:rStyle w:val="FootnoteReference"/>
          <w:rFonts w:cs="Times New Roman"/>
        </w:rPr>
        <w:footnoteRef/>
      </w:r>
      <w:r w:rsidRPr="007816A0">
        <w:rPr>
          <w:rFonts w:cs="Times New Roman"/>
        </w:rPr>
        <w:t xml:space="preserve"> Kramer, Wolkstein 1983, 131. Kramer 1950, 363. Kramer 1980B, 299. Kramer 1963A, 15. Cabrera 2018, 69. Jacobsen 1976, 60. Meador 2000, 22-23.</w:t>
      </w:r>
    </w:p>
  </w:footnote>
  <w:footnote w:id="159">
    <w:p w14:paraId="33D0093C" w14:textId="77E72443" w:rsidR="00192969" w:rsidRPr="007816A0" w:rsidRDefault="00192969"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47-48.</w:t>
      </w:r>
    </w:p>
  </w:footnote>
  <w:footnote w:id="160">
    <w:p w14:paraId="261ED6B9" w14:textId="0541FE48"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A2120" w:rsidRPr="007816A0">
        <w:rPr>
          <w:rFonts w:cs="Times New Roman"/>
        </w:rPr>
        <w:t>Kramer 1980B</w:t>
      </w:r>
      <w:r w:rsidR="005E4780" w:rsidRPr="007816A0">
        <w:rPr>
          <w:rFonts w:cs="Times New Roman"/>
        </w:rPr>
        <w:t xml:space="preserve">, 300. </w:t>
      </w:r>
      <w:r w:rsidR="007F4B5D" w:rsidRPr="007816A0">
        <w:rPr>
          <w:rFonts w:cs="Times New Roman"/>
        </w:rPr>
        <w:t>Laneri 2002</w:t>
      </w:r>
      <w:r w:rsidR="005E4780" w:rsidRPr="007816A0">
        <w:rPr>
          <w:rFonts w:cs="Times New Roman"/>
        </w:rPr>
        <w:t>, 25</w:t>
      </w:r>
      <w:r w:rsidR="0048064F" w:rsidRPr="007816A0">
        <w:rPr>
          <w:rFonts w:cs="Times New Roman"/>
        </w:rPr>
        <w:t xml:space="preserve">. </w:t>
      </w:r>
      <w:r w:rsidR="00DD2F02" w:rsidRPr="007816A0">
        <w:rPr>
          <w:rFonts w:cs="Times New Roman"/>
        </w:rPr>
        <w:t>Jacobsen 1976, 45-61.</w:t>
      </w:r>
    </w:p>
  </w:footnote>
  <w:footnote w:id="161">
    <w:p w14:paraId="226841D0" w14:textId="7E2DCCD2"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5E4780" w:rsidRPr="007816A0">
        <w:rPr>
          <w:rFonts w:cs="Times New Roman"/>
        </w:rPr>
        <w:t xml:space="preserve">Drillings 2025, 6. </w:t>
      </w:r>
      <w:r w:rsidR="00E91A80" w:rsidRPr="007816A0">
        <w:rPr>
          <w:rFonts w:cs="Times New Roman"/>
        </w:rPr>
        <w:t>Walls 1992</w:t>
      </w:r>
      <w:r w:rsidR="005E4780" w:rsidRPr="007816A0">
        <w:rPr>
          <w:rFonts w:cs="Times New Roman"/>
        </w:rPr>
        <w:t xml:space="preserve">, 71. </w:t>
      </w:r>
      <w:r w:rsidR="00890689" w:rsidRPr="007816A0">
        <w:rPr>
          <w:rFonts w:cs="Times New Roman"/>
        </w:rPr>
        <w:t>Meek 1924</w:t>
      </w:r>
      <w:r w:rsidR="005E4780" w:rsidRPr="007816A0">
        <w:rPr>
          <w:rFonts w:cs="Times New Roman"/>
        </w:rPr>
        <w:t xml:space="preserve">, 249. </w:t>
      </w:r>
      <w:r w:rsidR="00A717FC" w:rsidRPr="007816A0">
        <w:rPr>
          <w:rFonts w:cs="Times New Roman"/>
        </w:rPr>
        <w:t>Jacobsen 1976</w:t>
      </w:r>
      <w:r w:rsidR="005E4780" w:rsidRPr="007816A0">
        <w:rPr>
          <w:rFonts w:cs="Times New Roman"/>
        </w:rPr>
        <w:t>, 48.</w:t>
      </w:r>
    </w:p>
  </w:footnote>
  <w:footnote w:id="162">
    <w:p w14:paraId="544E9267" w14:textId="73F75BF8" w:rsidR="0048064F" w:rsidRPr="007816A0" w:rsidRDefault="0048064F" w:rsidP="00280D0B">
      <w:pPr>
        <w:pStyle w:val="FootnoteText"/>
        <w:rPr>
          <w:rFonts w:cs="Times New Roman"/>
        </w:rPr>
      </w:pPr>
      <w:r w:rsidRPr="007816A0">
        <w:rPr>
          <w:rStyle w:val="FootnoteReference"/>
          <w:rFonts w:cs="Times New Roman"/>
        </w:rPr>
        <w:footnoteRef/>
      </w:r>
      <w:r w:rsidRPr="007816A0">
        <w:rPr>
          <w:rFonts w:cs="Times New Roman"/>
        </w:rPr>
        <w:t xml:space="preserve"> Jacobsen 1976, 63.</w:t>
      </w:r>
    </w:p>
  </w:footnote>
  <w:footnote w:id="163">
    <w:p w14:paraId="36ADD055" w14:textId="7B18F6A3" w:rsidR="007A6A0F" w:rsidRPr="007816A0" w:rsidRDefault="007A6A0F" w:rsidP="00280D0B">
      <w:pPr>
        <w:pStyle w:val="FootnoteText"/>
        <w:rPr>
          <w:rFonts w:cs="Times New Roman"/>
        </w:rPr>
      </w:pPr>
      <w:r w:rsidRPr="007816A0">
        <w:rPr>
          <w:rStyle w:val="FootnoteReference"/>
          <w:rFonts w:cs="Times New Roman"/>
        </w:rPr>
        <w:footnoteRef/>
      </w:r>
      <w:r w:rsidRPr="007816A0">
        <w:rPr>
          <w:rFonts w:cs="Times New Roman"/>
        </w:rPr>
        <w:t xml:space="preserve"> Yamauchi 1965, 289. Smith J 2005, 2539.</w:t>
      </w:r>
    </w:p>
  </w:footnote>
  <w:footnote w:id="164">
    <w:p w14:paraId="6B068E36" w14:textId="0518E2E1" w:rsidR="002006EB" w:rsidRPr="007816A0" w:rsidRDefault="002006EB" w:rsidP="00280D0B">
      <w:pPr>
        <w:pStyle w:val="FootnoteText"/>
        <w:rPr>
          <w:rFonts w:cs="Times New Roman"/>
        </w:rPr>
      </w:pPr>
      <w:r w:rsidRPr="007816A0">
        <w:rPr>
          <w:rStyle w:val="FootnoteReference"/>
          <w:rFonts w:cs="Times New Roman"/>
        </w:rPr>
        <w:footnoteRef/>
      </w:r>
      <w:r w:rsidRPr="007816A0">
        <w:rPr>
          <w:rFonts w:cs="Times New Roman"/>
        </w:rPr>
        <w:t xml:space="preserve"> Gurney </w:t>
      </w:r>
      <w:r w:rsidR="005C6814" w:rsidRPr="007816A0">
        <w:rPr>
          <w:rFonts w:cs="Times New Roman"/>
        </w:rPr>
        <w:t>(</w:t>
      </w:r>
      <w:r w:rsidRPr="007816A0">
        <w:rPr>
          <w:rFonts w:cs="Times New Roman"/>
        </w:rPr>
        <w:t>1962, 160</w:t>
      </w:r>
      <w:r w:rsidR="005C6814" w:rsidRPr="007816A0">
        <w:rPr>
          <w:rFonts w:cs="Times New Roman"/>
        </w:rPr>
        <w:t xml:space="preserve">) rejects </w:t>
      </w:r>
      <w:r w:rsidR="003B7FAD" w:rsidRPr="007816A0">
        <w:rPr>
          <w:rFonts w:cs="Times New Roman"/>
        </w:rPr>
        <w:t>attempts</w:t>
      </w:r>
      <w:r w:rsidR="005C6814" w:rsidRPr="007816A0">
        <w:rPr>
          <w:rFonts w:cs="Times New Roman"/>
        </w:rPr>
        <w:t xml:space="preserve"> to interpret Tammuz within the broader </w:t>
      </w:r>
      <w:r w:rsidR="00A652AD" w:rsidRPr="007816A0">
        <w:rPr>
          <w:rFonts w:cs="Times New Roman"/>
        </w:rPr>
        <w:t>“</w:t>
      </w:r>
      <w:r w:rsidR="005C6814" w:rsidRPr="007816A0">
        <w:rPr>
          <w:rFonts w:cs="Times New Roman"/>
        </w:rPr>
        <w:t>dying-and-rising god</w:t>
      </w:r>
      <w:r w:rsidR="00A652AD" w:rsidRPr="007816A0">
        <w:rPr>
          <w:rFonts w:cs="Times New Roman"/>
        </w:rPr>
        <w:t>”</w:t>
      </w:r>
      <w:r w:rsidR="005C6814" w:rsidRPr="007816A0">
        <w:rPr>
          <w:rFonts w:cs="Times New Roman"/>
        </w:rPr>
        <w:t xml:space="preserve"> </w:t>
      </w:r>
      <w:r w:rsidR="00BB4558" w:rsidRPr="007816A0">
        <w:rPr>
          <w:rFonts w:cs="Times New Roman"/>
        </w:rPr>
        <w:t>motif asso</w:t>
      </w:r>
      <w:r w:rsidR="005C6814" w:rsidRPr="007816A0">
        <w:rPr>
          <w:rFonts w:cs="Times New Roman"/>
        </w:rPr>
        <w:t>ciated with figures such as Osiris, Adonis, and Attis</w:t>
      </w:r>
      <w:r w:rsidR="003B7FAD" w:rsidRPr="007816A0">
        <w:rPr>
          <w:rFonts w:cs="Times New Roman"/>
        </w:rPr>
        <w:t xml:space="preserve">. In particular, he challenges theories that treat these </w:t>
      </w:r>
      <w:r w:rsidR="00EE7013" w:rsidRPr="007816A0">
        <w:rPr>
          <w:rFonts w:cs="Times New Roman"/>
        </w:rPr>
        <w:t>cycles</w:t>
      </w:r>
      <w:r w:rsidR="003B7FAD" w:rsidRPr="007816A0">
        <w:rPr>
          <w:rFonts w:cs="Times New Roman"/>
        </w:rPr>
        <w:t xml:space="preserve"> as unified expressions of seasonal vegetation cycles </w:t>
      </w:r>
      <w:r w:rsidR="007D6735" w:rsidRPr="007816A0">
        <w:rPr>
          <w:rFonts w:cs="Times New Roman"/>
        </w:rPr>
        <w:t>symbolised</w:t>
      </w:r>
      <w:r w:rsidR="003B7FAD" w:rsidRPr="007816A0">
        <w:rPr>
          <w:rFonts w:cs="Times New Roman"/>
        </w:rPr>
        <w:t xml:space="preserve"> through divine death and rebirth. Nevertheless, certain thematic parallels remain observable. For example, the seasonal mourning associated with Dumuzi/Tammuz may be compared cautiously with the annual commemorati</w:t>
      </w:r>
      <w:r w:rsidR="00EE7013" w:rsidRPr="007816A0">
        <w:rPr>
          <w:rFonts w:cs="Times New Roman"/>
        </w:rPr>
        <w:t>on</w:t>
      </w:r>
      <w:r w:rsidR="003B7FAD" w:rsidRPr="007816A0">
        <w:rPr>
          <w:rFonts w:cs="Times New Roman"/>
        </w:rPr>
        <w:t xml:space="preserve"> surrounding Adonis, particularly in their shared emphasis on loss, fertility, and cyclical renewal. See discussion on page</w:t>
      </w:r>
      <w:r w:rsidR="004D4766" w:rsidRPr="007816A0">
        <w:rPr>
          <w:rFonts w:cs="Times New Roman"/>
        </w:rPr>
        <w:t xml:space="preserve"> </w:t>
      </w:r>
      <w:r w:rsidR="004D4766" w:rsidRPr="007816A0">
        <w:rPr>
          <w:rFonts w:cs="Times New Roman"/>
        </w:rPr>
        <w:fldChar w:fldCharType="begin"/>
      </w:r>
      <w:r w:rsidR="004D4766" w:rsidRPr="007816A0">
        <w:rPr>
          <w:rFonts w:cs="Times New Roman"/>
        </w:rPr>
        <w:instrText xml:space="preserve"> PAGEREF AltDescent \h </w:instrText>
      </w:r>
      <w:r w:rsidR="004D4766" w:rsidRPr="007816A0">
        <w:rPr>
          <w:rFonts w:cs="Times New Roman"/>
        </w:rPr>
      </w:r>
      <w:r w:rsidR="004D4766" w:rsidRPr="007816A0">
        <w:rPr>
          <w:rFonts w:cs="Times New Roman"/>
        </w:rPr>
        <w:fldChar w:fldCharType="separate"/>
      </w:r>
      <w:r w:rsidR="004D4766" w:rsidRPr="007816A0">
        <w:rPr>
          <w:rFonts w:cs="Times New Roman"/>
        </w:rPr>
        <w:t>43</w:t>
      </w:r>
      <w:r w:rsidR="004D4766" w:rsidRPr="007816A0">
        <w:rPr>
          <w:rFonts w:cs="Times New Roman"/>
        </w:rPr>
        <w:fldChar w:fldCharType="end"/>
      </w:r>
      <w:r w:rsidRPr="007816A0">
        <w:rPr>
          <w:rFonts w:cs="Times New Roman"/>
        </w:rPr>
        <w:t>.</w:t>
      </w:r>
    </w:p>
  </w:footnote>
  <w:footnote w:id="165">
    <w:p w14:paraId="62924763" w14:textId="657C9E3C" w:rsidR="00DD2F02" w:rsidRPr="007816A0" w:rsidRDefault="00DD2F02" w:rsidP="00280D0B">
      <w:pPr>
        <w:pStyle w:val="FootnoteText"/>
        <w:rPr>
          <w:rFonts w:cs="Times New Roman"/>
        </w:rPr>
      </w:pPr>
      <w:r w:rsidRPr="007816A0">
        <w:rPr>
          <w:rStyle w:val="FootnoteReference"/>
          <w:rFonts w:cs="Times New Roman"/>
        </w:rPr>
        <w:footnoteRef/>
      </w:r>
      <w:r w:rsidRPr="007816A0">
        <w:rPr>
          <w:rFonts w:cs="Times New Roman"/>
        </w:rPr>
        <w:t xml:space="preserve"> Smith J 2005, 2539.</w:t>
      </w:r>
    </w:p>
  </w:footnote>
  <w:footnote w:id="166">
    <w:p w14:paraId="40F2C1B9" w14:textId="5832E273" w:rsidR="00DD2F02" w:rsidRPr="007816A0" w:rsidRDefault="00DD2F02" w:rsidP="00280D0B">
      <w:pPr>
        <w:pStyle w:val="FootnoteText"/>
        <w:rPr>
          <w:rFonts w:cs="Times New Roman"/>
        </w:rPr>
      </w:pPr>
      <w:r w:rsidRPr="007816A0">
        <w:rPr>
          <w:rStyle w:val="FootnoteReference"/>
          <w:rFonts w:cs="Times New Roman"/>
        </w:rPr>
        <w:footnoteRef/>
      </w:r>
      <w:r w:rsidRPr="007816A0">
        <w:rPr>
          <w:rFonts w:cs="Times New Roman"/>
        </w:rPr>
        <w:t xml:space="preserve"> Smith J 2005, 2538.</w:t>
      </w:r>
    </w:p>
  </w:footnote>
  <w:footnote w:id="167">
    <w:p w14:paraId="4D6B0A9C" w14:textId="21EE01C0" w:rsidR="00184093" w:rsidRPr="007816A0" w:rsidRDefault="00184093" w:rsidP="00280D0B">
      <w:pPr>
        <w:pStyle w:val="FootnoteText"/>
        <w:rPr>
          <w:rFonts w:cs="Times New Roman"/>
        </w:rPr>
      </w:pPr>
      <w:r w:rsidRPr="007816A0">
        <w:rPr>
          <w:rStyle w:val="FootnoteReference"/>
          <w:rFonts w:cs="Times New Roman"/>
        </w:rPr>
        <w:footnoteRef/>
      </w:r>
      <w:r w:rsidRPr="007816A0">
        <w:rPr>
          <w:rFonts w:cs="Times New Roman"/>
        </w:rPr>
        <w:t xml:space="preserve"> Smith J 2005, 2539. Matsushima 2014, 3.</w:t>
      </w:r>
    </w:p>
  </w:footnote>
  <w:footnote w:id="168">
    <w:p w14:paraId="69356D2A" w14:textId="06845941" w:rsidR="00A40D62" w:rsidRPr="007816A0" w:rsidRDefault="00A40D6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A2120" w:rsidRPr="007816A0">
        <w:rPr>
          <w:rFonts w:cs="Times New Roman"/>
        </w:rPr>
        <w:t>Kramer 1980B</w:t>
      </w:r>
      <w:r w:rsidR="00AD2179" w:rsidRPr="007816A0">
        <w:rPr>
          <w:rFonts w:cs="Times New Roman"/>
        </w:rPr>
        <w:t xml:space="preserve">, 300. </w:t>
      </w:r>
      <w:r w:rsidR="00402F73" w:rsidRPr="007816A0">
        <w:rPr>
          <w:rFonts w:cs="Times New Roman"/>
        </w:rPr>
        <w:t>Kramer, Wolkstein</w:t>
      </w:r>
      <w:r w:rsidR="00AD2179" w:rsidRPr="007816A0">
        <w:rPr>
          <w:rFonts w:cs="Times New Roman"/>
        </w:rPr>
        <w:t xml:space="preserve"> 1983, 134-135. </w:t>
      </w:r>
      <w:r w:rsidR="007F4B5D" w:rsidRPr="007816A0">
        <w:rPr>
          <w:rFonts w:cs="Times New Roman"/>
        </w:rPr>
        <w:t>Laneri 2002</w:t>
      </w:r>
      <w:r w:rsidR="00AD2179" w:rsidRPr="007816A0">
        <w:rPr>
          <w:rFonts w:cs="Times New Roman"/>
        </w:rPr>
        <w:t>, 25.</w:t>
      </w:r>
    </w:p>
  </w:footnote>
  <w:footnote w:id="169">
    <w:p w14:paraId="2442BAD2" w14:textId="0A2CD96C"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EA56D8" w:rsidRPr="007816A0">
        <w:rPr>
          <w:rFonts w:cs="Times New Roman"/>
        </w:rPr>
        <w:t>Kramer, Wolkstein 1983</w:t>
      </w:r>
      <w:r w:rsidR="00AD2179" w:rsidRPr="007816A0">
        <w:rPr>
          <w:rFonts w:cs="Times New Roman"/>
        </w:rPr>
        <w:t xml:space="preserve">, 73. </w:t>
      </w:r>
      <w:r w:rsidR="007F4B5D" w:rsidRPr="007816A0">
        <w:rPr>
          <w:rFonts w:cs="Times New Roman"/>
        </w:rPr>
        <w:t>Laneri 2002</w:t>
      </w:r>
      <w:r w:rsidR="00AD2179" w:rsidRPr="007816A0">
        <w:rPr>
          <w:rFonts w:cs="Times New Roman"/>
        </w:rPr>
        <w:t>, 9.</w:t>
      </w:r>
    </w:p>
  </w:footnote>
  <w:footnote w:id="170">
    <w:p w14:paraId="0DB7B290" w14:textId="258CD191"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607ED" w:rsidRPr="007816A0">
        <w:rPr>
          <w:rFonts w:cs="Times New Roman"/>
        </w:rPr>
        <w:t>Savage 2019</w:t>
      </w:r>
      <w:r w:rsidR="00AD2179" w:rsidRPr="007816A0">
        <w:rPr>
          <w:rFonts w:cs="Times New Roman"/>
        </w:rPr>
        <w:t xml:space="preserve">, 249. </w:t>
      </w:r>
      <w:r w:rsidR="002A2120" w:rsidRPr="007816A0">
        <w:rPr>
          <w:rFonts w:cs="Times New Roman"/>
        </w:rPr>
        <w:t>Kramer 1980B</w:t>
      </w:r>
      <w:r w:rsidR="00AD2179" w:rsidRPr="007816A0">
        <w:rPr>
          <w:rFonts w:cs="Times New Roman"/>
        </w:rPr>
        <w:t>, 300</w:t>
      </w:r>
    </w:p>
  </w:footnote>
  <w:footnote w:id="171">
    <w:p w14:paraId="5B49FE86" w14:textId="299D99F3"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rPr>
        <w:t>Jacobsen 1976</w:t>
      </w:r>
      <w:r w:rsidR="00AD2179" w:rsidRPr="007816A0">
        <w:rPr>
          <w:rFonts w:cs="Times New Roman"/>
        </w:rPr>
        <w:t>, 27</w:t>
      </w:r>
      <w:r w:rsidR="00A5712B" w:rsidRPr="007816A0">
        <w:rPr>
          <w:rFonts w:cs="Times New Roman"/>
        </w:rPr>
        <w:t>.</w:t>
      </w:r>
    </w:p>
  </w:footnote>
  <w:footnote w:id="172">
    <w:p w14:paraId="67CDA752" w14:textId="1E72DEE6" w:rsidR="00CF6D6E" w:rsidRPr="007816A0" w:rsidRDefault="00CF6D6E" w:rsidP="00280D0B">
      <w:pPr>
        <w:pStyle w:val="FootnoteText"/>
        <w:rPr>
          <w:rFonts w:cs="Times New Roman"/>
        </w:rPr>
      </w:pPr>
      <w:r w:rsidRPr="007816A0">
        <w:rPr>
          <w:rStyle w:val="FootnoteReference"/>
          <w:rFonts w:cs="Times New Roman"/>
        </w:rPr>
        <w:footnoteRef/>
      </w:r>
      <w:r w:rsidRPr="007816A0">
        <w:rPr>
          <w:rFonts w:cs="Times New Roman"/>
        </w:rPr>
        <w:t xml:space="preserve"> Savage 2019, 249. </w:t>
      </w:r>
      <w:r w:rsidR="00EA56D8" w:rsidRPr="007816A0">
        <w:rPr>
          <w:rFonts w:cs="Times New Roman"/>
        </w:rPr>
        <w:t>Kramer, Wolkstein 1983</w:t>
      </w:r>
      <w:r w:rsidRPr="007816A0">
        <w:rPr>
          <w:rFonts w:cs="Times New Roman"/>
        </w:rPr>
        <w:t>, 73. Laneri 2002, 37.</w:t>
      </w:r>
    </w:p>
  </w:footnote>
  <w:footnote w:id="173">
    <w:p w14:paraId="51EA67A3" w14:textId="0185EF60" w:rsidR="00CF6D6E" w:rsidRPr="007816A0" w:rsidRDefault="00CF6D6E" w:rsidP="00280D0B">
      <w:pPr>
        <w:pStyle w:val="FootnoteText"/>
        <w:rPr>
          <w:rFonts w:cs="Times New Roman"/>
        </w:rPr>
      </w:pPr>
      <w:r w:rsidRPr="007816A0">
        <w:rPr>
          <w:rStyle w:val="FootnoteReference"/>
          <w:rFonts w:cs="Times New Roman"/>
        </w:rPr>
        <w:footnoteRef/>
      </w:r>
      <w:r w:rsidRPr="007816A0">
        <w:rPr>
          <w:rFonts w:cs="Times New Roman"/>
        </w:rPr>
        <w:t xml:space="preserve"> Kramer 1950, 363. Cabrera 2018, 69. Savage 2019, 249. Geshtinanna’s voluntary descent may be compared cautiously with the sacrifice of Alcestis, who dies in place of her husband Admetus before later restoration through Heracles. Although </w:t>
      </w:r>
      <w:r w:rsidR="00BF3AE4" w:rsidRPr="007816A0">
        <w:rPr>
          <w:rFonts w:cs="Times New Roman"/>
        </w:rPr>
        <w:t>divergent</w:t>
      </w:r>
      <w:r w:rsidRPr="007816A0">
        <w:rPr>
          <w:rFonts w:cs="Times New Roman"/>
        </w:rPr>
        <w:t xml:space="preserve">, both narratives associate substitutionary sacrifice with the temporary disruption of death’s finality. See discussion in Chapter 5, page </w:t>
      </w:r>
      <w:r w:rsidRPr="007816A0">
        <w:rPr>
          <w:rFonts w:cs="Times New Roman"/>
        </w:rPr>
        <w:fldChar w:fldCharType="begin"/>
      </w:r>
      <w:r w:rsidRPr="007816A0">
        <w:rPr>
          <w:rFonts w:cs="Times New Roman"/>
        </w:rPr>
        <w:instrText xml:space="preserve"> PAGEREF Alcestis \h </w:instrText>
      </w:r>
      <w:r w:rsidRPr="007816A0">
        <w:rPr>
          <w:rFonts w:cs="Times New Roman"/>
        </w:rPr>
      </w:r>
      <w:r w:rsidRPr="007816A0">
        <w:rPr>
          <w:rFonts w:cs="Times New Roman"/>
        </w:rPr>
        <w:fldChar w:fldCharType="separate"/>
      </w:r>
      <w:r w:rsidRPr="007816A0">
        <w:rPr>
          <w:rFonts w:cs="Times New Roman"/>
        </w:rPr>
        <w:t>48</w:t>
      </w:r>
      <w:r w:rsidRPr="007816A0">
        <w:rPr>
          <w:rFonts w:cs="Times New Roman"/>
        </w:rPr>
        <w:fldChar w:fldCharType="end"/>
      </w:r>
      <w:r w:rsidRPr="007816A0">
        <w:rPr>
          <w:rFonts w:cs="Times New Roman"/>
        </w:rPr>
        <w:t>. Savage 2019, 249. Laneri 2002, 9. Jacobsen 1976, 60.</w:t>
      </w:r>
    </w:p>
  </w:footnote>
  <w:footnote w:id="174">
    <w:p w14:paraId="1C0074A7" w14:textId="2BD197BB" w:rsidR="00CF6D6E" w:rsidRPr="007816A0" w:rsidRDefault="00CF6D6E" w:rsidP="00280D0B">
      <w:pPr>
        <w:pStyle w:val="FootnoteText"/>
        <w:rPr>
          <w:rFonts w:cs="Times New Roman"/>
        </w:rPr>
      </w:pPr>
      <w:r w:rsidRPr="007816A0">
        <w:rPr>
          <w:rStyle w:val="FootnoteReference"/>
          <w:rFonts w:cs="Times New Roman"/>
        </w:rPr>
        <w:footnoteRef/>
      </w:r>
      <w:r w:rsidRPr="007816A0">
        <w:rPr>
          <w:rFonts w:cs="Times New Roman"/>
        </w:rPr>
        <w:t xml:space="preserve"> Laneri 2002, 9. Kramer 1950, 363. Kramer 1963A, 15. Kramer 1966, 31. Kramer, Wolkstein 1983, 73. Savage 2019, 249.</w:t>
      </w:r>
    </w:p>
  </w:footnote>
  <w:footnote w:id="175">
    <w:p w14:paraId="0CD9EFE6" w14:textId="05498D42" w:rsidR="00130BF4" w:rsidRPr="007816A0" w:rsidRDefault="00130BF4" w:rsidP="00280D0B">
      <w:pPr>
        <w:pStyle w:val="FootnoteText"/>
        <w:rPr>
          <w:rFonts w:cs="Times New Roman"/>
        </w:rPr>
      </w:pPr>
      <w:r w:rsidRPr="007816A0">
        <w:rPr>
          <w:rStyle w:val="FootnoteReference"/>
          <w:rFonts w:cs="Times New Roman"/>
        </w:rPr>
        <w:footnoteRef/>
      </w:r>
      <w:r w:rsidRPr="007816A0">
        <w:rPr>
          <w:rFonts w:cs="Times New Roman"/>
        </w:rPr>
        <w:t xml:space="preserve"> Laneri 2002, 9. </w:t>
      </w:r>
      <w:r w:rsidR="00FE4D39" w:rsidRPr="007816A0">
        <w:rPr>
          <w:rFonts w:cs="Times New Roman"/>
        </w:rPr>
        <w:t>Kramer 1966</w:t>
      </w:r>
      <w:r w:rsidRPr="007816A0">
        <w:rPr>
          <w:rFonts w:cs="Times New Roman"/>
        </w:rPr>
        <w:t xml:space="preserve">, 31. </w:t>
      </w:r>
      <w:r w:rsidR="00FE4D39" w:rsidRPr="007816A0">
        <w:rPr>
          <w:rFonts w:cs="Times New Roman"/>
        </w:rPr>
        <w:t>Kramer 1963A</w:t>
      </w:r>
      <w:r w:rsidRPr="007816A0">
        <w:rPr>
          <w:rFonts w:cs="Times New Roman"/>
        </w:rPr>
        <w:t>, 14.</w:t>
      </w:r>
    </w:p>
  </w:footnote>
  <w:footnote w:id="176">
    <w:p w14:paraId="5AD1B846" w14:textId="0A3CE3F6" w:rsidR="0006016B" w:rsidRPr="007816A0" w:rsidRDefault="0006016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32A17" w:rsidRPr="007816A0">
        <w:rPr>
          <w:rFonts w:cs="Times New Roman"/>
        </w:rPr>
        <w:t xml:space="preserve">Jacobsen (1976, 62) associates the alternating descent cycle with seasonal patterns of agricultural production, noting that Geshtinanna’s name may be translated as </w:t>
      </w:r>
      <w:r w:rsidR="00A652AD" w:rsidRPr="007816A0">
        <w:rPr>
          <w:rFonts w:cs="Times New Roman"/>
        </w:rPr>
        <w:t>“</w:t>
      </w:r>
      <w:r w:rsidR="00432A17" w:rsidRPr="007816A0">
        <w:rPr>
          <w:rFonts w:cs="Times New Roman"/>
        </w:rPr>
        <w:t>the leafy grapevine,</w:t>
      </w:r>
      <w:r w:rsidR="00A652AD" w:rsidRPr="007816A0">
        <w:rPr>
          <w:rFonts w:cs="Times New Roman"/>
        </w:rPr>
        <w:t>”</w:t>
      </w:r>
      <w:r w:rsidR="00432A17" w:rsidRPr="007816A0">
        <w:rPr>
          <w:rFonts w:cs="Times New Roman"/>
        </w:rPr>
        <w:t xml:space="preserve"> while Dumuzi is linked symbolically with grain and beer production. He also observes that, in one version of the hunt for Dumuzi, the god is discovered hiding in a brewery. These associations reinforce the broader seasonal and agricultural symbolism underlying the descent. See also Laneri 2002, 9; Kramer</w:t>
      </w:r>
      <w:r w:rsidR="00A5712B" w:rsidRPr="007816A0">
        <w:rPr>
          <w:rFonts w:cs="Times New Roman"/>
        </w:rPr>
        <w:t xml:space="preserve">, </w:t>
      </w:r>
      <w:r w:rsidR="00432A17" w:rsidRPr="007816A0">
        <w:rPr>
          <w:rFonts w:cs="Times New Roman"/>
        </w:rPr>
        <w:t>Wolkstein 1983, 73;</w:t>
      </w:r>
      <w:r w:rsidR="00C74A86" w:rsidRPr="007816A0">
        <w:rPr>
          <w:rFonts w:cs="Times New Roman"/>
        </w:rPr>
        <w:t xml:space="preserve"> </w:t>
      </w:r>
      <w:r w:rsidR="00FE4D39" w:rsidRPr="007816A0">
        <w:rPr>
          <w:rFonts w:cs="Times New Roman"/>
        </w:rPr>
        <w:t>Kramer 1966</w:t>
      </w:r>
      <w:r w:rsidR="00C74A86" w:rsidRPr="007816A0">
        <w:rPr>
          <w:rFonts w:cs="Times New Roman"/>
        </w:rPr>
        <w:t>, 31</w:t>
      </w:r>
      <w:r w:rsidR="00BC2263" w:rsidRPr="007816A0">
        <w:rPr>
          <w:rFonts w:cs="Times New Roman"/>
        </w:rPr>
        <w:t>.</w:t>
      </w:r>
    </w:p>
  </w:footnote>
  <w:footnote w:id="177">
    <w:p w14:paraId="4EA257A7" w14:textId="06F53F6E" w:rsidR="0029201A" w:rsidRPr="007816A0" w:rsidRDefault="0029201A"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Descent. Laneri 2002, 9. </w:t>
      </w:r>
      <w:r w:rsidR="00EA56D8" w:rsidRPr="007816A0">
        <w:rPr>
          <w:rFonts w:cs="Times New Roman"/>
        </w:rPr>
        <w:t>Kramer, Wolkstein 1983</w:t>
      </w:r>
      <w:r w:rsidRPr="007816A0">
        <w:rPr>
          <w:rFonts w:cs="Times New Roman"/>
        </w:rPr>
        <w:t>, 73. Jacobsen 1976, 60.</w:t>
      </w:r>
    </w:p>
  </w:footnote>
  <w:footnote w:id="178">
    <w:p w14:paraId="0885792E" w14:textId="05EAF33E" w:rsidR="0029201A" w:rsidRPr="007816A0" w:rsidRDefault="0029201A" w:rsidP="00280D0B">
      <w:pPr>
        <w:pStyle w:val="FootnoteText"/>
        <w:rPr>
          <w:rFonts w:cs="Times New Roman"/>
        </w:rPr>
      </w:pPr>
      <w:r w:rsidRPr="007816A0">
        <w:rPr>
          <w:rStyle w:val="FootnoteReference"/>
          <w:rFonts w:cs="Times New Roman"/>
        </w:rPr>
        <w:footnoteRef/>
      </w:r>
      <w:r w:rsidRPr="007816A0">
        <w:rPr>
          <w:rFonts w:cs="Times New Roman"/>
        </w:rPr>
        <w:t xml:space="preserve"> Ruether 2005, 55. </w:t>
      </w:r>
      <w:r w:rsidR="00EA56D8" w:rsidRPr="007816A0">
        <w:rPr>
          <w:rFonts w:cs="Times New Roman"/>
        </w:rPr>
        <w:t>Kramer, Wolkstein 1983</w:t>
      </w:r>
      <w:r w:rsidRPr="007816A0">
        <w:rPr>
          <w:rFonts w:cs="Times New Roman"/>
        </w:rPr>
        <w:t xml:space="preserve">, 73. Jacobsen 1976, 60. For a comparison of the items surrendered by Inanna and Ištar, see footnote </w:t>
      </w:r>
      <w:r w:rsidRPr="007816A0">
        <w:rPr>
          <w:rFonts w:cs="Times New Roman"/>
        </w:rPr>
        <w:fldChar w:fldCharType="begin"/>
      </w:r>
      <w:r w:rsidRPr="007816A0">
        <w:rPr>
          <w:rFonts w:cs="Times New Roman"/>
        </w:rPr>
        <w:instrText xml:space="preserve"> NOTEREF InannaStrips \h  \* MERGEFORMAT </w:instrText>
      </w:r>
      <w:r w:rsidRPr="007816A0">
        <w:rPr>
          <w:rFonts w:cs="Times New Roman"/>
        </w:rPr>
      </w:r>
      <w:r w:rsidRPr="007816A0">
        <w:rPr>
          <w:rFonts w:cs="Times New Roman"/>
        </w:rPr>
        <w:fldChar w:fldCharType="separate"/>
      </w:r>
      <w:r w:rsidRPr="007816A0">
        <w:rPr>
          <w:rFonts w:cs="Times New Roman"/>
        </w:rPr>
        <w:t>103</w:t>
      </w:r>
      <w:r w:rsidRPr="007816A0">
        <w:rPr>
          <w:rFonts w:cs="Times New Roman"/>
        </w:rPr>
        <w:fldChar w:fldCharType="end"/>
      </w:r>
      <w:r w:rsidRPr="007816A0">
        <w:rPr>
          <w:rFonts w:cs="Times New Roman"/>
        </w:rPr>
        <w:t>.</w:t>
      </w:r>
    </w:p>
  </w:footnote>
  <w:footnote w:id="179">
    <w:p w14:paraId="00A8AA60" w14:textId="77777777" w:rsidR="000B1E47" w:rsidRPr="007816A0" w:rsidRDefault="000B1E47" w:rsidP="00280D0B">
      <w:pPr>
        <w:pStyle w:val="FootnoteText"/>
        <w:rPr>
          <w:rFonts w:cs="Times New Roman"/>
        </w:rPr>
      </w:pPr>
      <w:r w:rsidRPr="007816A0">
        <w:rPr>
          <w:rStyle w:val="FootnoteReference"/>
          <w:rFonts w:cs="Times New Roman"/>
        </w:rPr>
        <w:footnoteRef/>
      </w:r>
      <w:r w:rsidRPr="007816A0">
        <w:rPr>
          <w:rFonts w:cs="Times New Roman"/>
        </w:rPr>
        <w:t xml:space="preserve"> MEE staff 2022. Modified photo with base courtesy of ©Agence France-Presse, 2022.</w:t>
      </w:r>
    </w:p>
  </w:footnote>
  <w:footnote w:id="180">
    <w:p w14:paraId="4B85FAB8" w14:textId="3B6F05B5" w:rsidR="00936F9F" w:rsidRPr="007816A0" w:rsidRDefault="00936F9F"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32A17" w:rsidRPr="007816A0">
        <w:rPr>
          <w:rFonts w:cs="Times New Roman"/>
        </w:rPr>
        <w:t>Earlier scholarship sometimes interpreted Anat as a fertility goddess on the basis of fragmentary textual evidence. More recent studies, however, including Lewis (1996, 116</w:t>
      </w:r>
      <w:r w:rsidR="005A2BD2" w:rsidRPr="007816A0">
        <w:rPr>
          <w:rFonts w:cs="Times New Roman"/>
        </w:rPr>
        <w:t>-</w:t>
      </w:r>
      <w:r w:rsidR="00432A17" w:rsidRPr="007816A0">
        <w:rPr>
          <w:rFonts w:cs="Times New Roman"/>
        </w:rPr>
        <w:t xml:space="preserve">118) and Brownsmith (2020, 45), have challenged this interpretation and </w:t>
      </w:r>
      <w:r w:rsidR="00C020C4" w:rsidRPr="007816A0">
        <w:rPr>
          <w:rFonts w:cs="Times New Roman"/>
        </w:rPr>
        <w:t>emphasise</w:t>
      </w:r>
      <w:r w:rsidR="00432A17" w:rsidRPr="007816A0">
        <w:rPr>
          <w:rFonts w:cs="Times New Roman"/>
        </w:rPr>
        <w:t xml:space="preserve"> Anat’s martial and liminal characteristics instead. Albright (1925, 84</w:t>
      </w:r>
      <w:r w:rsidR="005A2BD2" w:rsidRPr="007816A0">
        <w:rPr>
          <w:rFonts w:cs="Times New Roman"/>
        </w:rPr>
        <w:t>-</w:t>
      </w:r>
      <w:r w:rsidR="00432A17" w:rsidRPr="007816A0">
        <w:rPr>
          <w:rFonts w:cs="Times New Roman"/>
        </w:rPr>
        <w:t>101) additionally proposed a possible connection between Anat and the earlier Sumero-Akkadian figure Ana-Anum, though this theory remains speculative.</w:t>
      </w:r>
    </w:p>
  </w:footnote>
  <w:footnote w:id="181">
    <w:p w14:paraId="596497E9" w14:textId="0B137683" w:rsidR="00C938C2" w:rsidRPr="007816A0" w:rsidRDefault="00C938C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32A17" w:rsidRPr="007816A0">
        <w:rPr>
          <w:rFonts w:cs="Times New Roman"/>
        </w:rPr>
        <w:t xml:space="preserve">Ulbrich (2005, 200) notes that Cyprus provides the clearest epigraphic evidence for the continued cult of Anat in the Mediterranean during the Iron Age. Smith (1994, 1) likewise summarizes scholarly attempts to date the extant tablets of the </w:t>
      </w:r>
      <w:r w:rsidR="00432A17" w:rsidRPr="007816A0">
        <w:rPr>
          <w:rFonts w:cs="Times New Roman"/>
          <w:i/>
          <w:iCs/>
        </w:rPr>
        <w:t>Baal Cycle</w:t>
      </w:r>
      <w:r w:rsidR="00432A17" w:rsidRPr="007816A0">
        <w:rPr>
          <w:rFonts w:cs="Times New Roman"/>
        </w:rPr>
        <w:t xml:space="preserve">, including de Moor’s proposal that the surviving recension may derive from the late fourteenth century BCE. </w:t>
      </w:r>
      <w:r w:rsidR="00AD2681" w:rsidRPr="007816A0">
        <w:rPr>
          <w:rFonts w:cs="Times New Roman"/>
        </w:rPr>
        <w:t>The chronological estimate applies to the extant text rather than to the origin of Anat worship itself.</w:t>
      </w:r>
      <w:r w:rsidR="00556A77" w:rsidRPr="007816A0">
        <w:rPr>
          <w:rFonts w:cs="Times New Roman"/>
        </w:rPr>
        <w:t xml:space="preserve"> de Moor 1987, vii-viii.</w:t>
      </w:r>
    </w:p>
  </w:footnote>
  <w:footnote w:id="182">
    <w:p w14:paraId="32C83C0E" w14:textId="67267B3D" w:rsidR="00C938C2" w:rsidRPr="007816A0" w:rsidRDefault="00C938C2" w:rsidP="00280D0B">
      <w:pPr>
        <w:pStyle w:val="FootnoteText"/>
        <w:rPr>
          <w:rFonts w:cs="Times New Roman"/>
        </w:rPr>
      </w:pPr>
      <w:r w:rsidRPr="007816A0">
        <w:rPr>
          <w:rStyle w:val="FootnoteReference"/>
          <w:rFonts w:cs="Times New Roman"/>
        </w:rPr>
        <w:footnoteRef/>
      </w:r>
      <w:r w:rsidRPr="007816A0">
        <w:rPr>
          <w:rFonts w:cs="Times New Roman"/>
        </w:rPr>
        <w:t xml:space="preserve"> Lambert 2016, 222.</w:t>
      </w:r>
      <w:r w:rsidR="006441B7" w:rsidRPr="007816A0">
        <w:rPr>
          <w:rFonts w:cs="Times New Roman"/>
        </w:rPr>
        <w:t xml:space="preserve"> Lambert 1988</w:t>
      </w:r>
      <w:r w:rsidR="00733BAE" w:rsidRPr="007816A0">
        <w:rPr>
          <w:rFonts w:cs="Times New Roman"/>
        </w:rPr>
        <w:t>,</w:t>
      </w:r>
      <w:r w:rsidR="006441B7" w:rsidRPr="007816A0">
        <w:rPr>
          <w:rFonts w:cs="Times New Roman"/>
        </w:rPr>
        <w:t xml:space="preserve"> 132. Watson 1993, 48.</w:t>
      </w:r>
    </w:p>
  </w:footnote>
  <w:footnote w:id="183">
    <w:p w14:paraId="45D24279" w14:textId="54BFC9A6" w:rsidR="00F03C95" w:rsidRPr="007816A0" w:rsidRDefault="00F03C95"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32A17" w:rsidRPr="007816A0">
        <w:rPr>
          <w:rFonts w:cs="Times New Roman"/>
        </w:rPr>
        <w:t>The stele, dated to approximately 750 BCE, depicts Anat alongside Ištar, Baal Haddad, and the regional governor, illustrating the continued integration of Anat within broader Near Eastern religious and political iconography (Asher-Greve, Westenholz 2013, 282).</w:t>
      </w:r>
    </w:p>
  </w:footnote>
  <w:footnote w:id="184">
    <w:p w14:paraId="335CB7CD" w14:textId="04EC7123" w:rsidR="00C938C2" w:rsidRPr="007816A0" w:rsidRDefault="00C938C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FC0E40" w:rsidRPr="007816A0">
        <w:rPr>
          <w:rFonts w:cs="Times New Roman"/>
        </w:rPr>
        <w:t>Day (1995, 36</w:t>
      </w:r>
      <w:r w:rsidR="005A2BD2" w:rsidRPr="007816A0">
        <w:rPr>
          <w:rFonts w:cs="Times New Roman"/>
        </w:rPr>
        <w:t>-</w:t>
      </w:r>
      <w:r w:rsidR="00FC0E40" w:rsidRPr="007816A0">
        <w:rPr>
          <w:rFonts w:cs="Times New Roman"/>
        </w:rPr>
        <w:t>40) challenges Lambert’s proposal that Anat derives directly from the Hanaean goddess Ḫanat. She notes that the goddess’s name appears in Ugaritic</w:t>
      </w:r>
      <w:r w:rsidR="00FC0E40" w:rsidRPr="007816A0">
        <w:rPr>
          <w:rFonts w:cs="Times New Roman"/>
          <w:i/>
          <w:iCs/>
          <w:vertAlign w:val="superscript"/>
        </w:rPr>
        <w:t xml:space="preserve"> c</w:t>
      </w:r>
      <w:r w:rsidR="00FC0E40" w:rsidRPr="007816A0">
        <w:rPr>
          <w:rFonts w:cs="Times New Roman"/>
          <w:i/>
          <w:iCs/>
        </w:rPr>
        <w:t xml:space="preserve">nt </w:t>
      </w:r>
      <w:r w:rsidR="00FC0E40" w:rsidRPr="007816A0">
        <w:rPr>
          <w:rFonts w:cs="Times New Roman"/>
        </w:rPr>
        <w:t>and in Akkadian as</w:t>
      </w:r>
      <w:r w:rsidR="00FC0E40" w:rsidRPr="007816A0">
        <w:rPr>
          <w:rFonts w:cs="Times New Roman"/>
          <w:i/>
          <w:iCs/>
        </w:rPr>
        <w:t xml:space="preserve"> Ḫanat, Anat</w:t>
      </w:r>
      <w:r w:rsidR="00FC0E40" w:rsidRPr="007816A0">
        <w:rPr>
          <w:rFonts w:cs="Times New Roman"/>
        </w:rPr>
        <w:t xml:space="preserve">, and, in one instance, </w:t>
      </w:r>
      <w:r w:rsidR="00FC0E40" w:rsidRPr="007816A0">
        <w:rPr>
          <w:rFonts w:cs="Times New Roman"/>
          <w:i/>
          <w:iCs/>
        </w:rPr>
        <w:t>Kanat</w:t>
      </w:r>
      <w:r w:rsidR="00FC0E40" w:rsidRPr="007816A0">
        <w:rPr>
          <w:rFonts w:cs="Times New Roman"/>
        </w:rPr>
        <w:t xml:space="preserve">, arguing that the evidence points more plausibly </w:t>
      </w:r>
      <w:r w:rsidR="0091193A" w:rsidRPr="007816A0">
        <w:rPr>
          <w:rFonts w:cs="Times New Roman"/>
        </w:rPr>
        <w:t>towards</w:t>
      </w:r>
      <w:r w:rsidR="00FC0E40" w:rsidRPr="007816A0">
        <w:rPr>
          <w:rFonts w:cs="Times New Roman"/>
        </w:rPr>
        <w:t xml:space="preserve"> a Proto-Semitic root involving </w:t>
      </w:r>
      <w:r w:rsidR="00FC0E40" w:rsidRPr="007816A0">
        <w:rPr>
          <w:rFonts w:cs="Times New Roman"/>
          <w:vertAlign w:val="superscript"/>
        </w:rPr>
        <w:t>*</w:t>
      </w:r>
      <w:r w:rsidR="00FC0E40" w:rsidRPr="007816A0">
        <w:rPr>
          <w:rFonts w:cs="Times New Roman"/>
          <w:i/>
          <w:iCs/>
          <w:vertAlign w:val="superscript"/>
        </w:rPr>
        <w:t>c</w:t>
      </w:r>
      <w:r w:rsidR="00FC0E40" w:rsidRPr="007816A0">
        <w:rPr>
          <w:rFonts w:cs="Times New Roman"/>
        </w:rPr>
        <w:t xml:space="preserve"> </w:t>
      </w:r>
      <w:r w:rsidR="0032446E" w:rsidRPr="007816A0">
        <w:rPr>
          <w:rFonts w:cs="Times New Roman"/>
        </w:rPr>
        <w:t xml:space="preserve">rather than a specifically Hanaean derivation. Day further contends that no extant text explicitly identifies Ḫanat as the goddess of the Hanaeans and that the city of Ḫanat itself was not located primarily within Hanaean territory. At the same time, she acknowledges the persistence of Ḫanat/Anat traditions within </w:t>
      </w:r>
      <w:r w:rsidR="0032446E" w:rsidRPr="007816A0">
        <w:rPr>
          <w:rFonts w:cs="Times New Roman"/>
          <w:vertAlign w:val="superscript"/>
        </w:rPr>
        <w:t>d</w:t>
      </w:r>
      <w:r w:rsidR="0032446E" w:rsidRPr="007816A0">
        <w:rPr>
          <w:rFonts w:cs="Times New Roman"/>
        </w:rPr>
        <w:t>Ḫa-na-ai</w:t>
      </w:r>
      <w:r w:rsidR="0032446E" w:rsidRPr="007816A0">
        <w:rPr>
          <w:rFonts w:cs="Times New Roman"/>
          <w:vertAlign w:val="superscript"/>
        </w:rPr>
        <w:t>ki</w:t>
      </w:r>
      <w:r w:rsidR="0032446E" w:rsidRPr="007816A0">
        <w:rPr>
          <w:rFonts w:cs="Times New Roman"/>
        </w:rPr>
        <w:t xml:space="preserve"> into the eighth century BCE, suggesting continued regional association without necessarily proving direct genealogical continuity. See also </w:t>
      </w:r>
      <w:r w:rsidR="00933810" w:rsidRPr="007816A0">
        <w:rPr>
          <w:rFonts w:cs="Times New Roman"/>
        </w:rPr>
        <w:t>Feliu 2003, 39-40</w:t>
      </w:r>
      <w:r w:rsidR="0032446E" w:rsidRPr="007816A0">
        <w:rPr>
          <w:rFonts w:cs="Times New Roman"/>
        </w:rPr>
        <w:t>;</w:t>
      </w:r>
      <w:r w:rsidR="00933810" w:rsidRPr="007816A0">
        <w:rPr>
          <w:rFonts w:cs="Times New Roman"/>
        </w:rPr>
        <w:t xml:space="preserve"> </w:t>
      </w:r>
      <w:r w:rsidR="00621E97" w:rsidRPr="007816A0">
        <w:rPr>
          <w:rFonts w:cs="Times New Roman"/>
        </w:rPr>
        <w:t>Watson 1993, 48</w:t>
      </w:r>
      <w:r w:rsidR="0032446E" w:rsidRPr="007816A0">
        <w:rPr>
          <w:rFonts w:cs="Times New Roman"/>
        </w:rPr>
        <w:t xml:space="preserve">; </w:t>
      </w:r>
      <w:r w:rsidRPr="007816A0">
        <w:rPr>
          <w:rFonts w:cs="Times New Roman"/>
        </w:rPr>
        <w:t>Smith, Pitard 2009, 149.</w:t>
      </w:r>
      <w:r w:rsidR="001B0E6B" w:rsidRPr="007816A0">
        <w:rPr>
          <w:rFonts w:cs="Times New Roman"/>
        </w:rPr>
        <w:t xml:space="preserve"> </w:t>
      </w:r>
    </w:p>
  </w:footnote>
  <w:footnote w:id="185">
    <w:p w14:paraId="2918C7BE" w14:textId="4C08196E" w:rsidR="00936F9F" w:rsidRPr="007816A0" w:rsidRDefault="00936F9F"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D633C7" w:rsidRPr="007816A0">
        <w:rPr>
          <w:rFonts w:cs="Times New Roman"/>
        </w:rPr>
        <w:t>Watson (1993, 49</w:t>
      </w:r>
      <w:r w:rsidR="005A2BD2" w:rsidRPr="007816A0">
        <w:rPr>
          <w:rFonts w:cs="Times New Roman"/>
        </w:rPr>
        <w:t>-</w:t>
      </w:r>
      <w:r w:rsidR="00D633C7" w:rsidRPr="007816A0">
        <w:rPr>
          <w:rFonts w:cs="Times New Roman"/>
        </w:rPr>
        <w:t xml:space="preserve">50) records several epithets associated with Anat, including </w:t>
      </w:r>
      <w:r w:rsidR="00A652AD" w:rsidRPr="007816A0">
        <w:rPr>
          <w:rFonts w:cs="Times New Roman"/>
        </w:rPr>
        <w:t>“</w:t>
      </w:r>
      <w:r w:rsidR="00D633C7" w:rsidRPr="007816A0">
        <w:rPr>
          <w:rFonts w:cs="Times New Roman"/>
        </w:rPr>
        <w:t>widow of the peoples,</w:t>
      </w:r>
      <w:r w:rsidR="00A652AD" w:rsidRPr="007816A0">
        <w:rPr>
          <w:rFonts w:cs="Times New Roman"/>
        </w:rPr>
        <w:t>”</w:t>
      </w:r>
      <w:r w:rsidR="00D633C7" w:rsidRPr="007816A0">
        <w:rPr>
          <w:rFonts w:cs="Times New Roman"/>
        </w:rPr>
        <w:t xml:space="preserve"> </w:t>
      </w:r>
      <w:r w:rsidR="00A652AD" w:rsidRPr="007816A0">
        <w:rPr>
          <w:rFonts w:cs="Times New Roman"/>
        </w:rPr>
        <w:t>“</w:t>
      </w:r>
      <w:r w:rsidR="00D633C7" w:rsidRPr="007816A0">
        <w:rPr>
          <w:rFonts w:cs="Times New Roman"/>
        </w:rPr>
        <w:t>widow of the god Lim,</w:t>
      </w:r>
      <w:r w:rsidR="00A652AD" w:rsidRPr="007816A0">
        <w:rPr>
          <w:rFonts w:cs="Times New Roman"/>
        </w:rPr>
        <w:t>”</w:t>
      </w:r>
      <w:r w:rsidR="00D633C7" w:rsidRPr="007816A0">
        <w:rPr>
          <w:rFonts w:cs="Times New Roman"/>
        </w:rPr>
        <w:t xml:space="preserve"> and titles emphasi</w:t>
      </w:r>
      <w:r w:rsidR="00455077">
        <w:rPr>
          <w:rFonts w:cs="Times New Roman"/>
        </w:rPr>
        <w:t>s</w:t>
      </w:r>
      <w:r w:rsidR="00D633C7" w:rsidRPr="007816A0">
        <w:rPr>
          <w:rFonts w:cs="Times New Roman"/>
        </w:rPr>
        <w:t xml:space="preserve">ing sovereignty and celestial authority. </w:t>
      </w:r>
      <w:r w:rsidR="00B67469" w:rsidRPr="007816A0">
        <w:rPr>
          <w:rFonts w:cs="Times New Roman"/>
        </w:rPr>
        <w:t xml:space="preserve">Tazawa (2014, 112) </w:t>
      </w:r>
      <w:r w:rsidR="00D633C7" w:rsidRPr="007816A0">
        <w:rPr>
          <w:rFonts w:cs="Times New Roman"/>
        </w:rPr>
        <w:t xml:space="preserve">likewise compiles elevated divine epithets such as </w:t>
      </w:r>
      <w:r w:rsidR="00A652AD" w:rsidRPr="007816A0">
        <w:rPr>
          <w:rFonts w:cs="Times New Roman"/>
        </w:rPr>
        <w:t>“</w:t>
      </w:r>
      <w:r w:rsidR="00D633C7" w:rsidRPr="007816A0">
        <w:rPr>
          <w:rFonts w:cs="Times New Roman"/>
        </w:rPr>
        <w:t>Anat, lady of heaven</w:t>
      </w:r>
      <w:r w:rsidR="00A652AD" w:rsidRPr="007816A0">
        <w:rPr>
          <w:rFonts w:cs="Times New Roman"/>
        </w:rPr>
        <w:t>”</w:t>
      </w:r>
      <w:r w:rsidR="00D633C7" w:rsidRPr="007816A0">
        <w:rPr>
          <w:rFonts w:cs="Times New Roman"/>
        </w:rPr>
        <w:t xml:space="preserve"> and </w:t>
      </w:r>
      <w:r w:rsidR="00A652AD" w:rsidRPr="007816A0">
        <w:rPr>
          <w:rFonts w:cs="Times New Roman"/>
        </w:rPr>
        <w:t>“</w:t>
      </w:r>
      <w:r w:rsidR="00D633C7" w:rsidRPr="007816A0">
        <w:rPr>
          <w:rFonts w:cs="Times New Roman"/>
        </w:rPr>
        <w:t>Mistress of the gods,</w:t>
      </w:r>
      <w:r w:rsidR="00A652AD" w:rsidRPr="007816A0">
        <w:rPr>
          <w:rFonts w:cs="Times New Roman"/>
        </w:rPr>
        <w:t>”</w:t>
      </w:r>
      <w:r w:rsidR="00D633C7" w:rsidRPr="007816A0">
        <w:rPr>
          <w:rFonts w:cs="Times New Roman"/>
        </w:rPr>
        <w:t xml:space="preserve"> reflecting the goddess’s broad political and cosmic significance within the Ugaritic tradition. Comparisons between Anat and Athena also appear in later interpretive </w:t>
      </w:r>
      <w:r w:rsidR="008845B6" w:rsidRPr="007816A0">
        <w:rPr>
          <w:rFonts w:cs="Times New Roman"/>
        </w:rPr>
        <w:t>religious texts</w:t>
      </w:r>
      <w:r w:rsidR="00D633C7" w:rsidRPr="007816A0">
        <w:rPr>
          <w:rFonts w:cs="Times New Roman"/>
        </w:rPr>
        <w:t xml:space="preserve">. Ulbrich (2005, 200) and Albright (1925, 82) note that certain Iron Age inscriptions associate Anat with the </w:t>
      </w:r>
      <w:r w:rsidR="00A652AD" w:rsidRPr="007816A0">
        <w:rPr>
          <w:rFonts w:cs="Times New Roman"/>
        </w:rPr>
        <w:t>“</w:t>
      </w:r>
      <w:r w:rsidR="00D633C7" w:rsidRPr="007816A0">
        <w:rPr>
          <w:rFonts w:cs="Times New Roman"/>
        </w:rPr>
        <w:t>virgin</w:t>
      </w:r>
      <w:r w:rsidR="00A652AD" w:rsidRPr="007816A0">
        <w:rPr>
          <w:rFonts w:cs="Times New Roman"/>
        </w:rPr>
        <w:t>”</w:t>
      </w:r>
      <w:r w:rsidR="00D633C7" w:rsidRPr="007816A0">
        <w:rPr>
          <w:rFonts w:cs="Times New Roman"/>
        </w:rPr>
        <w:t xml:space="preserve"> Athena, though such identifications reflect cross-cultural </w:t>
      </w:r>
      <w:r w:rsidR="00D633C7" w:rsidRPr="007816A0">
        <w:rPr>
          <w:rFonts w:cs="Times New Roman"/>
          <w:i/>
          <w:iCs/>
        </w:rPr>
        <w:t>interpretatio</w:t>
      </w:r>
      <w:r w:rsidR="00D633C7" w:rsidRPr="007816A0">
        <w:rPr>
          <w:rFonts w:cs="Times New Roman"/>
        </w:rPr>
        <w:t xml:space="preserve"> rather than strict theological equivalence. Hoffmeier</w:t>
      </w:r>
      <w:r w:rsidR="00515329" w:rsidRPr="007816A0">
        <w:rPr>
          <w:rFonts w:cs="Times New Roman"/>
        </w:rPr>
        <w:t xml:space="preserve">, </w:t>
      </w:r>
      <w:r w:rsidR="00D633C7" w:rsidRPr="007816A0">
        <w:rPr>
          <w:rFonts w:cs="Times New Roman"/>
        </w:rPr>
        <w:t xml:space="preserve">Kitchen (2007, 134) further observe that Anat, like some representations of Ištar, is occasionally depicted with wings (e.g. </w:t>
      </w:r>
      <w:r w:rsidR="00A652AD" w:rsidRPr="007816A0">
        <w:rPr>
          <w:rFonts w:cs="Times New Roman"/>
        </w:rPr>
        <w:t>“</w:t>
      </w:r>
      <w:r w:rsidR="00D633C7" w:rsidRPr="007816A0">
        <w:rPr>
          <w:rFonts w:cs="Times New Roman"/>
        </w:rPr>
        <w:t xml:space="preserve">Dame of royalty, dame of sovereignty, dame of the skies above Anat of </w:t>
      </w:r>
      <w:r w:rsidR="00D633C7" w:rsidRPr="007816A0">
        <w:rPr>
          <w:rFonts w:cs="Times New Roman"/>
          <w:i/>
          <w:iCs/>
        </w:rPr>
        <w:t>kpt</w:t>
      </w:r>
      <w:r w:rsidR="00D633C7" w:rsidRPr="007816A0">
        <w:rPr>
          <w:rFonts w:cs="Times New Roman"/>
        </w:rPr>
        <w:t>, and Anat who hovers in the skies above.</w:t>
      </w:r>
      <w:r w:rsidR="00A652AD" w:rsidRPr="007816A0">
        <w:rPr>
          <w:rFonts w:cs="Times New Roman"/>
        </w:rPr>
        <w:t>”</w:t>
      </w:r>
      <w:r w:rsidR="00D633C7" w:rsidRPr="007816A0">
        <w:rPr>
          <w:rFonts w:cs="Times New Roman"/>
        </w:rPr>
        <w:t>). This shared iconography reinforces the broader association of both goddesses with martial power, celestial authority, and liminal movement between divine spheres within the eastern Mediterranean religious world.</w:t>
      </w:r>
      <w:r w:rsidR="00ED7F46" w:rsidRPr="007816A0">
        <w:rPr>
          <w:rFonts w:cs="Times New Roman"/>
        </w:rPr>
        <w:t xml:space="preserve"> The reconstructed </w:t>
      </w:r>
      <w:r w:rsidR="00ED7F46" w:rsidRPr="007816A0">
        <w:rPr>
          <w:rFonts w:cs="Times New Roman"/>
          <w:i/>
          <w:iCs/>
        </w:rPr>
        <w:t>Hymn to Anat</w:t>
      </w:r>
      <w:r w:rsidR="00ED7F46" w:rsidRPr="007816A0">
        <w:rPr>
          <w:rFonts w:cs="Times New Roman"/>
        </w:rPr>
        <w:t xml:space="preserve"> (KTU 1.13) reinforces this </w:t>
      </w:r>
      <w:r w:rsidR="00D60948" w:rsidRPr="007816A0">
        <w:rPr>
          <w:rFonts w:cs="Times New Roman"/>
        </w:rPr>
        <w:t>characterisation</w:t>
      </w:r>
      <w:r w:rsidR="00ED7F46" w:rsidRPr="007816A0">
        <w:rPr>
          <w:rFonts w:cs="Times New Roman"/>
        </w:rPr>
        <w:t xml:space="preserve">. Anat is portrayed as a warrior who severs hands and heads, flies with falcons, ascends to the heavenly realm, and receives divine blessing from El. The hymn combines martial violence, celestial mobility, and filial connection to El, reflecting themes also present throughout the </w:t>
      </w:r>
      <w:r w:rsidR="00ED7F46" w:rsidRPr="00DF79DA">
        <w:rPr>
          <w:rFonts w:cs="Times New Roman"/>
          <w:i/>
          <w:iCs/>
        </w:rPr>
        <w:t>Baal Cycle</w:t>
      </w:r>
      <w:r w:rsidR="00ED7F46" w:rsidRPr="007816A0">
        <w:rPr>
          <w:rFonts w:cs="Times New Roman"/>
        </w:rPr>
        <w:t>. The reconstructed Wyatt (1998, 169-173) is available in the appendix.</w:t>
      </w:r>
    </w:p>
  </w:footnote>
  <w:footnote w:id="186">
    <w:p w14:paraId="2CA3A16D" w14:textId="6CE172AF" w:rsidR="00936F9F" w:rsidRPr="007816A0" w:rsidRDefault="00936F9F" w:rsidP="00280D0B">
      <w:pPr>
        <w:pStyle w:val="FootnoteText"/>
        <w:rPr>
          <w:rFonts w:cs="Times New Roman"/>
        </w:rPr>
      </w:pPr>
      <w:r w:rsidRPr="007816A0">
        <w:rPr>
          <w:rStyle w:val="FootnoteReference"/>
          <w:rFonts w:cs="Times New Roman"/>
        </w:rPr>
        <w:footnoteRef/>
      </w:r>
      <w:r w:rsidRPr="007816A0">
        <w:rPr>
          <w:rFonts w:cs="Times New Roman"/>
        </w:rPr>
        <w:t xml:space="preserve"> Day 1992, 183.</w:t>
      </w:r>
      <w:r w:rsidR="00974F5E" w:rsidRPr="007816A0">
        <w:rPr>
          <w:rFonts w:cs="Times New Roman"/>
        </w:rPr>
        <w:t xml:space="preserve"> Husser 2008, 337.</w:t>
      </w:r>
      <w:r w:rsidR="000B1E47" w:rsidRPr="007816A0">
        <w:rPr>
          <w:rFonts w:cs="Times New Roman"/>
        </w:rPr>
        <w:t xml:space="preserve"> Day 1995, 37.</w:t>
      </w:r>
    </w:p>
  </w:footnote>
  <w:footnote w:id="187">
    <w:p w14:paraId="7213A66B" w14:textId="6F47A253" w:rsidR="0098304A" w:rsidRPr="007816A0" w:rsidRDefault="0098304A" w:rsidP="00280D0B">
      <w:pPr>
        <w:pStyle w:val="FootnoteText"/>
        <w:rPr>
          <w:rFonts w:cs="Times New Roman"/>
        </w:rPr>
      </w:pPr>
      <w:r w:rsidRPr="007816A0">
        <w:rPr>
          <w:rStyle w:val="FootnoteReference"/>
          <w:rFonts w:cs="Times New Roman"/>
        </w:rPr>
        <w:footnoteRef/>
      </w:r>
      <w:r w:rsidRPr="007816A0">
        <w:rPr>
          <w:rFonts w:cs="Times New Roman"/>
        </w:rPr>
        <w:t xml:space="preserve"> Cornelius 2014, 28</w:t>
      </w:r>
      <w:r w:rsidR="002802DD" w:rsidRPr="007816A0">
        <w:rPr>
          <w:rFonts w:cs="Times New Roman"/>
        </w:rPr>
        <w:t>. Day 1992, 181-182</w:t>
      </w:r>
      <w:r w:rsidR="00681DA8" w:rsidRPr="007816A0">
        <w:rPr>
          <w:rFonts w:cs="Times New Roman"/>
        </w:rPr>
        <w:t>, 190.</w:t>
      </w:r>
    </w:p>
  </w:footnote>
  <w:footnote w:id="188">
    <w:p w14:paraId="28A1016C" w14:textId="5AE80DC6" w:rsidR="002802DD" w:rsidRPr="007816A0" w:rsidRDefault="002802DD" w:rsidP="00280D0B">
      <w:pPr>
        <w:pStyle w:val="FootnoteText"/>
        <w:rPr>
          <w:rFonts w:cs="Times New Roman"/>
        </w:rPr>
      </w:pPr>
      <w:r w:rsidRPr="007816A0">
        <w:rPr>
          <w:rStyle w:val="FootnoteReference"/>
          <w:rFonts w:cs="Times New Roman"/>
        </w:rPr>
        <w:footnoteRef/>
      </w:r>
      <w:r w:rsidRPr="007816A0">
        <w:rPr>
          <w:rFonts w:cs="Times New Roman"/>
        </w:rPr>
        <w:t xml:space="preserve"> Albright 1925</w:t>
      </w:r>
      <w:r w:rsidR="003B2810" w:rsidRPr="007816A0">
        <w:rPr>
          <w:rFonts w:cs="Times New Roman"/>
        </w:rPr>
        <w:t>B</w:t>
      </w:r>
      <w:r w:rsidRPr="007816A0">
        <w:rPr>
          <w:rFonts w:cs="Times New Roman"/>
        </w:rPr>
        <w:t>, 82.</w:t>
      </w:r>
    </w:p>
  </w:footnote>
  <w:footnote w:id="189">
    <w:p w14:paraId="238586AB" w14:textId="2DE3C037" w:rsidR="00CE50F0" w:rsidRPr="007816A0" w:rsidRDefault="00CE50F0" w:rsidP="00280D0B">
      <w:pPr>
        <w:pStyle w:val="FootnoteText"/>
        <w:rPr>
          <w:rFonts w:cs="Times New Roman"/>
        </w:rPr>
      </w:pPr>
      <w:r w:rsidRPr="007816A0">
        <w:rPr>
          <w:rStyle w:val="FootnoteReference"/>
          <w:rFonts w:cs="Times New Roman"/>
        </w:rPr>
        <w:footnoteRef/>
      </w:r>
      <w:r w:rsidRPr="007816A0">
        <w:rPr>
          <w:rFonts w:cs="Times New Roman"/>
        </w:rPr>
        <w:t xml:space="preserve"> Day 1995, 38.</w:t>
      </w:r>
    </w:p>
  </w:footnote>
  <w:footnote w:id="190">
    <w:p w14:paraId="75B77BB8" w14:textId="1BC4FACA" w:rsidR="00936F9F" w:rsidRPr="007816A0" w:rsidRDefault="00936F9F" w:rsidP="00280D0B">
      <w:pPr>
        <w:pStyle w:val="FootnoteText"/>
        <w:rPr>
          <w:rFonts w:cs="Times New Roman"/>
        </w:rPr>
      </w:pPr>
      <w:r w:rsidRPr="007816A0">
        <w:rPr>
          <w:rStyle w:val="FootnoteReference"/>
          <w:rFonts w:cs="Times New Roman"/>
        </w:rPr>
        <w:footnoteRef/>
      </w:r>
      <w:r w:rsidRPr="007816A0">
        <w:rPr>
          <w:rFonts w:cs="Times New Roman"/>
        </w:rPr>
        <w:t xml:space="preserve"> Ulbrich 2005, 200.</w:t>
      </w:r>
      <w:r w:rsidR="00DE47B9" w:rsidRPr="007816A0">
        <w:rPr>
          <w:rFonts w:cs="Times New Roman"/>
        </w:rPr>
        <w:t xml:space="preserve"> Day 1995, 39.</w:t>
      </w:r>
    </w:p>
  </w:footnote>
  <w:footnote w:id="191">
    <w:p w14:paraId="2ABCBF2E" w14:textId="43080010" w:rsidR="00936F9F" w:rsidRPr="007816A0" w:rsidRDefault="00936F9F"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D633C7" w:rsidRPr="007816A0">
        <w:rPr>
          <w:rFonts w:cs="Times New Roman"/>
        </w:rPr>
        <w:t>Albright (1942, 74, 84</w:t>
      </w:r>
      <w:r w:rsidR="005A2BD2" w:rsidRPr="007816A0">
        <w:rPr>
          <w:rFonts w:cs="Times New Roman"/>
        </w:rPr>
        <w:t>-</w:t>
      </w:r>
      <w:r w:rsidR="00D633C7" w:rsidRPr="007816A0">
        <w:rPr>
          <w:rFonts w:cs="Times New Roman"/>
        </w:rPr>
        <w:t>87) interprets Anat as both Baal’s sister and consort, reflecting an earlier tendency to reconstruct a sexual relationship between the two deities. More recent scholarship is considerably more cautious. Smith (1994, xxiii) and Day (1992, 186) allow for the possibility of a sibling relationship, while Day (1992, 186; 1995, 40</w:t>
      </w:r>
      <w:r w:rsidR="005A2BD2" w:rsidRPr="007816A0">
        <w:rPr>
          <w:rFonts w:cs="Times New Roman"/>
        </w:rPr>
        <w:t>-</w:t>
      </w:r>
      <w:r w:rsidR="00D633C7" w:rsidRPr="007816A0">
        <w:rPr>
          <w:rFonts w:cs="Times New Roman"/>
        </w:rPr>
        <w:t xml:space="preserve">41) </w:t>
      </w:r>
      <w:r w:rsidR="00C020C4" w:rsidRPr="007816A0">
        <w:rPr>
          <w:rFonts w:cs="Times New Roman"/>
        </w:rPr>
        <w:t>emphasise</w:t>
      </w:r>
      <w:r w:rsidR="00D633C7" w:rsidRPr="007816A0">
        <w:rPr>
          <w:rFonts w:cs="Times New Roman"/>
        </w:rPr>
        <w:t>s that no extant Ugaritic text explicitly describes a sexual relationship between Anat and Baal. Walls (1992, 145</w:t>
      </w:r>
      <w:r w:rsidR="005A2BD2" w:rsidRPr="007816A0">
        <w:rPr>
          <w:rFonts w:cs="Times New Roman"/>
        </w:rPr>
        <w:t>-</w:t>
      </w:r>
      <w:r w:rsidR="00D633C7" w:rsidRPr="007816A0">
        <w:rPr>
          <w:rFonts w:cs="Times New Roman"/>
        </w:rPr>
        <w:t xml:space="preserve">146, 158) likewise rejects the claim that Anat is clearly presented as Baal’s consort in the surviving corpus. Smith additionally notes the complexity introduced by </w:t>
      </w:r>
      <w:r w:rsidR="008845B6" w:rsidRPr="007816A0">
        <w:rPr>
          <w:rFonts w:cs="Times New Roman"/>
        </w:rPr>
        <w:t>when</w:t>
      </w:r>
      <w:r w:rsidR="00D633C7" w:rsidRPr="007816A0">
        <w:rPr>
          <w:rFonts w:cs="Times New Roman"/>
        </w:rPr>
        <w:t xml:space="preserve"> Anat and Astarte appear as consorts of Seth rather than Baal. See also Schmitt 2013, 213.</w:t>
      </w:r>
    </w:p>
  </w:footnote>
  <w:footnote w:id="192">
    <w:p w14:paraId="2B10B1E3" w14:textId="2F1EA521" w:rsidR="002A044A" w:rsidRPr="007816A0" w:rsidRDefault="002A044A"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B14BD" w:rsidRPr="007816A0">
        <w:rPr>
          <w:rFonts w:cs="Times New Roman"/>
        </w:rPr>
        <w:t>Smith, Pitard 2009</w:t>
      </w:r>
      <w:r w:rsidRPr="007816A0">
        <w:rPr>
          <w:rFonts w:cs="Times New Roman"/>
        </w:rPr>
        <w:t>, 48-49.</w:t>
      </w:r>
    </w:p>
  </w:footnote>
  <w:footnote w:id="193">
    <w:p w14:paraId="2E221CB5" w14:textId="57ED4A33" w:rsidR="00C17D28" w:rsidRPr="007816A0" w:rsidRDefault="00C17D2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C64F45" w:rsidRPr="007816A0">
        <w:rPr>
          <w:rFonts w:cs="Times New Roman"/>
        </w:rPr>
        <w:t>Albright 1942, 77.</w:t>
      </w:r>
      <w:r w:rsidR="004A2F33" w:rsidRPr="007816A0">
        <w:rPr>
          <w:rFonts w:cs="Times New Roman"/>
        </w:rPr>
        <w:t xml:space="preserve"> Stern 1994, 120.</w:t>
      </w:r>
      <w:r w:rsidR="00956183" w:rsidRPr="007816A0">
        <w:rPr>
          <w:rFonts w:cs="Times New Roman"/>
        </w:rPr>
        <w:t xml:space="preserve"> Ruether 2005, 74.</w:t>
      </w:r>
      <w:r w:rsidR="003D10DE" w:rsidRPr="007816A0">
        <w:rPr>
          <w:rFonts w:cs="Times New Roman"/>
        </w:rPr>
        <w:t xml:space="preserve"> </w:t>
      </w:r>
      <w:r w:rsidR="0084301A" w:rsidRPr="007816A0">
        <w:rPr>
          <w:rFonts w:cs="Times New Roman"/>
        </w:rPr>
        <w:t>Stern 1994, 123</w:t>
      </w:r>
      <w:r w:rsidR="003D10DE" w:rsidRPr="007816A0">
        <w:rPr>
          <w:rFonts w:cs="Times New Roman"/>
        </w:rPr>
        <w:t>.</w:t>
      </w:r>
      <w:r w:rsidR="0021303A" w:rsidRPr="007816A0">
        <w:rPr>
          <w:rFonts w:cs="Times New Roman"/>
        </w:rPr>
        <w:t xml:space="preserve"> Smith, Pitard 2009, 149.</w:t>
      </w:r>
    </w:p>
  </w:footnote>
  <w:footnote w:id="194">
    <w:p w14:paraId="309D8637" w14:textId="22785017" w:rsidR="00C17D28" w:rsidRPr="007816A0" w:rsidRDefault="00C17D2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736E9" w:rsidRPr="007816A0">
        <w:rPr>
          <w:rFonts w:cs="Times New Roman"/>
        </w:rPr>
        <w:t>Smith, Pitard</w:t>
      </w:r>
      <w:r w:rsidR="00250D30" w:rsidRPr="007816A0">
        <w:rPr>
          <w:rFonts w:cs="Times New Roman"/>
        </w:rPr>
        <w:t xml:space="preserve"> </w:t>
      </w:r>
      <w:r w:rsidRPr="007816A0">
        <w:rPr>
          <w:rFonts w:cs="Times New Roman"/>
        </w:rPr>
        <w:t>2009, 133-136.</w:t>
      </w:r>
      <w:r w:rsidR="003D10DE" w:rsidRPr="007816A0">
        <w:rPr>
          <w:rFonts w:cs="Times New Roman"/>
        </w:rPr>
        <w:t xml:space="preserve"> KTU 1.3 iii 30-38.</w:t>
      </w:r>
    </w:p>
  </w:footnote>
  <w:footnote w:id="195">
    <w:p w14:paraId="0212FB0A" w14:textId="0F2B17BD" w:rsidR="00C17D28" w:rsidRPr="007816A0" w:rsidRDefault="00C17D2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736E9" w:rsidRPr="007816A0">
        <w:rPr>
          <w:rFonts w:cs="Times New Roman"/>
        </w:rPr>
        <w:t>Smith, Pitard</w:t>
      </w:r>
      <w:r w:rsidR="00250D30" w:rsidRPr="007816A0">
        <w:rPr>
          <w:rFonts w:cs="Times New Roman"/>
        </w:rPr>
        <w:t xml:space="preserve"> </w:t>
      </w:r>
      <w:r w:rsidRPr="007816A0">
        <w:rPr>
          <w:rFonts w:cs="Times New Roman"/>
        </w:rPr>
        <w:t>2009, 133-136.</w:t>
      </w:r>
    </w:p>
  </w:footnote>
  <w:footnote w:id="196">
    <w:p w14:paraId="13BCA2CB" w14:textId="7324D4CB" w:rsidR="0024325A" w:rsidRPr="007816A0" w:rsidRDefault="0024325A">
      <w:pPr>
        <w:pStyle w:val="FootnoteText"/>
        <w:rPr>
          <w:rFonts w:cs="Times New Roman"/>
        </w:rPr>
      </w:pPr>
      <w:r w:rsidRPr="007816A0">
        <w:rPr>
          <w:rStyle w:val="FootnoteReference"/>
          <w:rFonts w:cs="Times New Roman"/>
        </w:rPr>
        <w:footnoteRef/>
      </w:r>
      <w:r w:rsidRPr="007816A0">
        <w:rPr>
          <w:rFonts w:cs="Times New Roman"/>
        </w:rPr>
        <w:t xml:space="preserve"> Walls 1992, 199.</w:t>
      </w:r>
    </w:p>
  </w:footnote>
  <w:footnote w:id="197">
    <w:p w14:paraId="69D786D6" w14:textId="577BB185" w:rsidR="00EA125B" w:rsidRPr="007816A0" w:rsidRDefault="00EA125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425DC" w:rsidRPr="007816A0">
        <w:rPr>
          <w:rFonts w:cs="Times New Roman"/>
        </w:rPr>
        <w:t xml:space="preserve">Smith and Pitard (2009, 38) argue that the </w:t>
      </w:r>
      <w:r w:rsidR="007425DC" w:rsidRPr="007816A0">
        <w:rPr>
          <w:rFonts w:cs="Times New Roman"/>
          <w:i/>
          <w:iCs/>
        </w:rPr>
        <w:t>Baal Cycle</w:t>
      </w:r>
      <w:r w:rsidR="007425DC" w:rsidRPr="007816A0">
        <w:rPr>
          <w:rFonts w:cs="Times New Roman"/>
        </w:rPr>
        <w:t xml:space="preserve"> reflects underlying tensions between Baal and the household of El and Athirat. El’s earlier support for Yamm, together with the list of enemies Anat claims to have defeated in KTU 1.3 III </w:t>
      </w:r>
      <w:r w:rsidR="007816A0">
        <w:rPr>
          <w:rFonts w:cs="Times New Roman"/>
        </w:rPr>
        <w:t xml:space="preserve">vv. </w:t>
      </w:r>
      <w:r w:rsidR="007425DC" w:rsidRPr="007816A0">
        <w:rPr>
          <w:rFonts w:cs="Times New Roman"/>
        </w:rPr>
        <w:t>38</w:t>
      </w:r>
      <w:r w:rsidR="005A2BD2" w:rsidRPr="007816A0">
        <w:rPr>
          <w:rFonts w:cs="Times New Roman"/>
        </w:rPr>
        <w:t>-</w:t>
      </w:r>
      <w:r w:rsidR="007425DC" w:rsidRPr="007816A0">
        <w:rPr>
          <w:rFonts w:cs="Times New Roman"/>
        </w:rPr>
        <w:t>47, suggests that Baal’s rise to sovereignty occurs within a contested divine hierarchy rather than through universally accepted authority.</w:t>
      </w:r>
    </w:p>
  </w:footnote>
  <w:footnote w:id="198">
    <w:p w14:paraId="7A37AD9C" w14:textId="312A5F05" w:rsidR="001578A0" w:rsidRPr="007816A0" w:rsidRDefault="001578A0"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E91A80" w:rsidRPr="007816A0">
        <w:rPr>
          <w:rFonts w:cs="Times New Roman"/>
        </w:rPr>
        <w:t>Walls 1992</w:t>
      </w:r>
      <w:r w:rsidRPr="007816A0">
        <w:rPr>
          <w:rFonts w:cs="Times New Roman"/>
        </w:rPr>
        <w:t>, 199</w:t>
      </w:r>
      <w:r w:rsidR="00904FAC" w:rsidRPr="007816A0">
        <w:rPr>
          <w:rFonts w:cs="Times New Roman"/>
        </w:rPr>
        <w:t>.</w:t>
      </w:r>
    </w:p>
  </w:footnote>
  <w:footnote w:id="199">
    <w:p w14:paraId="71DF766A" w14:textId="6B67D667" w:rsidR="00C17D28" w:rsidRPr="007816A0" w:rsidRDefault="00C17D28" w:rsidP="00280D0B">
      <w:pPr>
        <w:pStyle w:val="FootnoteText"/>
        <w:rPr>
          <w:rFonts w:cs="Times New Roman"/>
        </w:rPr>
      </w:pPr>
      <w:r w:rsidRPr="007816A0">
        <w:rPr>
          <w:rStyle w:val="FootnoteReference"/>
          <w:rFonts w:cs="Times New Roman"/>
        </w:rPr>
        <w:footnoteRef/>
      </w:r>
      <w:r w:rsidRPr="007816A0">
        <w:rPr>
          <w:rFonts w:cs="Times New Roman"/>
        </w:rPr>
        <w:t xml:space="preserve"> Smith</w:t>
      </w:r>
      <w:r w:rsidR="004736E9" w:rsidRPr="007816A0">
        <w:rPr>
          <w:rFonts w:cs="Times New Roman"/>
        </w:rPr>
        <w:t xml:space="preserve">, </w:t>
      </w:r>
      <w:r w:rsidRPr="007816A0">
        <w:rPr>
          <w:rFonts w:cs="Times New Roman"/>
        </w:rPr>
        <w:t>Pitard 2009, 149.</w:t>
      </w:r>
    </w:p>
  </w:footnote>
  <w:footnote w:id="200">
    <w:p w14:paraId="123DA2B5" w14:textId="7FCCA77A" w:rsidR="00E668FA" w:rsidRPr="007816A0" w:rsidRDefault="00E668FA"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425DC" w:rsidRPr="007816A0">
        <w:rPr>
          <w:rFonts w:cs="Times New Roman"/>
        </w:rPr>
        <w:t>Cornelius (2014, 10</w:t>
      </w:r>
      <w:r w:rsidR="005A2BD2" w:rsidRPr="007816A0">
        <w:rPr>
          <w:rFonts w:cs="Times New Roman"/>
        </w:rPr>
        <w:t>-</w:t>
      </w:r>
      <w:r w:rsidR="007425DC" w:rsidRPr="007816A0">
        <w:rPr>
          <w:rFonts w:cs="Times New Roman"/>
        </w:rPr>
        <w:t xml:space="preserve">12) criticizes earlier scholarship that </w:t>
      </w:r>
      <w:r w:rsidR="007D6735" w:rsidRPr="007816A0">
        <w:rPr>
          <w:rFonts w:cs="Times New Roman"/>
        </w:rPr>
        <w:t>characterised</w:t>
      </w:r>
      <w:r w:rsidR="007425DC" w:rsidRPr="007816A0">
        <w:rPr>
          <w:rFonts w:cs="Times New Roman"/>
        </w:rPr>
        <w:t xml:space="preserve"> Anat primarily through sensualized fertility imagery, including Donner and Röllig’s description of her as possessing the </w:t>
      </w:r>
      <w:r w:rsidR="00A652AD" w:rsidRPr="007816A0">
        <w:rPr>
          <w:rFonts w:cs="Times New Roman"/>
        </w:rPr>
        <w:t>“</w:t>
      </w:r>
      <w:r w:rsidR="007425DC" w:rsidRPr="007816A0">
        <w:rPr>
          <w:rFonts w:cs="Times New Roman"/>
        </w:rPr>
        <w:t>crudely sensual features of the Syrian fertility deities.</w:t>
      </w:r>
      <w:r w:rsidR="00A652AD" w:rsidRPr="007816A0">
        <w:rPr>
          <w:rFonts w:cs="Times New Roman"/>
        </w:rPr>
        <w:t>”</w:t>
      </w:r>
      <w:r w:rsidR="007425DC" w:rsidRPr="007816A0">
        <w:rPr>
          <w:rFonts w:cs="Times New Roman"/>
        </w:rPr>
        <w:t xml:space="preserve"> At the same time, difficult passages such as KTU 1.96 continue to generate debate. Some scholars interpret the text’s eucharistic imagery, where Anat </w:t>
      </w:r>
      <w:r w:rsidR="00A652AD" w:rsidRPr="007816A0">
        <w:rPr>
          <w:rFonts w:cs="Times New Roman"/>
        </w:rPr>
        <w:t>“</w:t>
      </w:r>
      <w:r w:rsidR="007425DC" w:rsidRPr="007816A0">
        <w:rPr>
          <w:rFonts w:cs="Times New Roman"/>
        </w:rPr>
        <w:t>eats</w:t>
      </w:r>
      <w:r w:rsidR="00A652AD" w:rsidRPr="007816A0">
        <w:rPr>
          <w:rFonts w:cs="Times New Roman"/>
        </w:rPr>
        <w:t>”</w:t>
      </w:r>
      <w:r w:rsidR="007425DC" w:rsidRPr="007816A0">
        <w:rPr>
          <w:rFonts w:cs="Times New Roman"/>
        </w:rPr>
        <w:t xml:space="preserve"> flesh and </w:t>
      </w:r>
      <w:r w:rsidR="00A652AD" w:rsidRPr="007816A0">
        <w:rPr>
          <w:rFonts w:cs="Times New Roman"/>
        </w:rPr>
        <w:t>“</w:t>
      </w:r>
      <w:r w:rsidR="007425DC" w:rsidRPr="007816A0">
        <w:rPr>
          <w:rFonts w:cs="Times New Roman"/>
        </w:rPr>
        <w:t>drinks</w:t>
      </w:r>
      <w:r w:rsidR="00A652AD" w:rsidRPr="007816A0">
        <w:rPr>
          <w:rFonts w:cs="Times New Roman"/>
        </w:rPr>
        <w:t>”</w:t>
      </w:r>
      <w:r w:rsidR="007425DC" w:rsidRPr="007816A0">
        <w:rPr>
          <w:rFonts w:cs="Times New Roman"/>
        </w:rPr>
        <w:t xml:space="preserve"> blood, as reflecting violent or sacrificial consumption motifs associated with ecstatic ritual</w:t>
      </w:r>
      <w:r w:rsidR="008845B6" w:rsidRPr="007816A0">
        <w:rPr>
          <w:rFonts w:cs="Times New Roman"/>
        </w:rPr>
        <w:t>s</w:t>
      </w:r>
      <w:r w:rsidR="007425DC" w:rsidRPr="007816A0">
        <w:rPr>
          <w:rFonts w:cs="Times New Roman"/>
        </w:rPr>
        <w:t xml:space="preserve">. Comparisons have occasionally been drawn with Dionysiac sparagmos, omophagic symbolism, and other ancient Mediterranean </w:t>
      </w:r>
      <w:r w:rsidR="008845B6" w:rsidRPr="007816A0">
        <w:rPr>
          <w:rFonts w:cs="Times New Roman"/>
        </w:rPr>
        <w:t>rites</w:t>
      </w:r>
      <w:r w:rsidR="007425DC" w:rsidRPr="007816A0">
        <w:rPr>
          <w:rFonts w:cs="Times New Roman"/>
        </w:rPr>
        <w:t xml:space="preserve"> involving </w:t>
      </w:r>
      <w:r w:rsidR="00C020C4" w:rsidRPr="007816A0">
        <w:rPr>
          <w:rFonts w:cs="Times New Roman"/>
        </w:rPr>
        <w:t>ritualised</w:t>
      </w:r>
      <w:r w:rsidR="007425DC" w:rsidRPr="007816A0">
        <w:rPr>
          <w:rFonts w:cs="Times New Roman"/>
        </w:rPr>
        <w:t xml:space="preserve"> consumption of divine or sacrificial substance (</w:t>
      </w:r>
      <w:r w:rsidR="00270F8B" w:rsidRPr="007816A0">
        <w:rPr>
          <w:rFonts w:cs="Times New Roman"/>
        </w:rPr>
        <w:t>Parker S 1997</w:t>
      </w:r>
      <w:r w:rsidR="007425DC" w:rsidRPr="007816A0">
        <w:rPr>
          <w:rFonts w:cs="Times New Roman"/>
        </w:rPr>
        <w:t>, 224). Such parallels remain interpretive and do not establish direct theological continuity.</w:t>
      </w:r>
    </w:p>
  </w:footnote>
  <w:footnote w:id="201">
    <w:p w14:paraId="18322423" w14:textId="2D39FAC4" w:rsidR="00DE47B9" w:rsidRPr="007816A0" w:rsidRDefault="00DE47B9" w:rsidP="00280D0B">
      <w:pPr>
        <w:pStyle w:val="FootnoteText"/>
        <w:rPr>
          <w:rFonts w:cs="Times New Roman"/>
        </w:rPr>
      </w:pPr>
      <w:r w:rsidRPr="007816A0">
        <w:rPr>
          <w:rStyle w:val="FootnoteReference"/>
          <w:rFonts w:cs="Times New Roman"/>
        </w:rPr>
        <w:footnoteRef/>
      </w:r>
      <w:r w:rsidRPr="007816A0">
        <w:rPr>
          <w:rFonts w:cs="Times New Roman"/>
        </w:rPr>
        <w:t xml:space="preserve"> Albright 1942, 75. Albright 1925</w:t>
      </w:r>
      <w:r w:rsidR="0021303A" w:rsidRPr="007816A0">
        <w:rPr>
          <w:rFonts w:cs="Times New Roman"/>
        </w:rPr>
        <w:t>B</w:t>
      </w:r>
      <w:r w:rsidRPr="007816A0">
        <w:rPr>
          <w:rFonts w:cs="Times New Roman"/>
        </w:rPr>
        <w:t>, 83. Day 1992, 190.</w:t>
      </w:r>
    </w:p>
  </w:footnote>
  <w:footnote w:id="202">
    <w:p w14:paraId="36838C88" w14:textId="46008518" w:rsidR="00B50F16" w:rsidRPr="007816A0" w:rsidRDefault="00B50F16" w:rsidP="00280D0B">
      <w:pPr>
        <w:pStyle w:val="FootnoteText"/>
        <w:rPr>
          <w:rFonts w:cs="Times New Roman"/>
        </w:rPr>
      </w:pPr>
      <w:r w:rsidRPr="007816A0">
        <w:rPr>
          <w:rStyle w:val="FootnoteReference"/>
          <w:rFonts w:cs="Times New Roman"/>
        </w:rPr>
        <w:footnoteRef/>
      </w:r>
      <w:r w:rsidRPr="007816A0">
        <w:rPr>
          <w:rFonts w:cs="Times New Roman"/>
        </w:rPr>
        <w:t xml:space="preserve"> Day 1995, 37.</w:t>
      </w:r>
    </w:p>
  </w:footnote>
  <w:footnote w:id="203">
    <w:p w14:paraId="5A351089" w14:textId="525FA74A"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Tazawa (2014, 103</w:t>
      </w:r>
      <w:r w:rsidR="005A2BD2" w:rsidRPr="007816A0">
        <w:rPr>
          <w:rFonts w:cs="Times New Roman"/>
        </w:rPr>
        <w:t>-</w:t>
      </w:r>
      <w:r w:rsidRPr="007816A0">
        <w:rPr>
          <w:rFonts w:cs="Times New Roman"/>
        </w:rPr>
        <w:t>109) argues that the incorporation of Levantine deities such as Anat, Baal, Reshef, Hauron, Astarte, and Qedeshet into Egyptian religious life helped address new military and political realities associated with the eastern Mediterranean world, including chariot warfare and horse culture. The chronology of Anat’s introduction into Egypt remains debated. Albright (1925B, 82</w:t>
      </w:r>
      <w:r w:rsidR="005A2BD2" w:rsidRPr="007816A0">
        <w:rPr>
          <w:rFonts w:cs="Times New Roman"/>
        </w:rPr>
        <w:t>-</w:t>
      </w:r>
      <w:r w:rsidRPr="007816A0">
        <w:rPr>
          <w:rFonts w:cs="Times New Roman"/>
        </w:rPr>
        <w:t xml:space="preserve">84, 99) associated her arrival with the Hyksos period, citing the princely name </w:t>
      </w:r>
      <w:r w:rsidRPr="007816A0">
        <w:rPr>
          <w:rFonts w:cs="Times New Roman"/>
          <w:vertAlign w:val="superscript"/>
        </w:rPr>
        <w:t>c</w:t>
      </w:r>
      <w:r w:rsidRPr="007816A0">
        <w:rPr>
          <w:rFonts w:cs="Times New Roman"/>
        </w:rPr>
        <w:t>Anat-hr(ty), though later scholarship treats the evidence more cautiously. Budin (2014, 211</w:t>
      </w:r>
      <w:r w:rsidR="005A2BD2" w:rsidRPr="007816A0">
        <w:rPr>
          <w:rFonts w:cs="Times New Roman"/>
        </w:rPr>
        <w:t>-</w:t>
      </w:r>
      <w:r w:rsidRPr="007816A0">
        <w:rPr>
          <w:rFonts w:cs="Times New Roman"/>
        </w:rPr>
        <w:t>212) further notes that both Anat and Astarte are attested on Cyprus by at least the fourteenth century BCE, illustrating the wider diffusion of Levantine goddess</w:t>
      </w:r>
      <w:r w:rsidR="008845B6" w:rsidRPr="007816A0">
        <w:rPr>
          <w:rFonts w:cs="Times New Roman"/>
        </w:rPr>
        <w:t>es</w:t>
      </w:r>
      <w:r w:rsidRPr="007816A0">
        <w:rPr>
          <w:rFonts w:cs="Times New Roman"/>
        </w:rPr>
        <w:t xml:space="preserve"> across the eastern Mediterranean. Smith and Pitard (2009, 337) additionally discuss a rare iconographic case in which a winged goddess identified as </w:t>
      </w:r>
      <w:r w:rsidRPr="007816A0">
        <w:rPr>
          <w:rFonts w:cs="Times New Roman"/>
          <w:vertAlign w:val="superscript"/>
        </w:rPr>
        <w:t>d</w:t>
      </w:r>
      <w:r w:rsidRPr="007816A0">
        <w:rPr>
          <w:rFonts w:cs="Times New Roman"/>
        </w:rPr>
        <w:t xml:space="preserve">Ištar may reflect the blending of Anat and Astarte imagery within a shared symbolic </w:t>
      </w:r>
      <w:r w:rsidR="00BB4558" w:rsidRPr="007816A0">
        <w:rPr>
          <w:rFonts w:cs="Times New Roman"/>
        </w:rPr>
        <w:t>representation</w:t>
      </w:r>
      <w:r w:rsidRPr="007816A0">
        <w:rPr>
          <w:rFonts w:cs="Times New Roman"/>
        </w:rPr>
        <w:t xml:space="preserve">. Such examples suggest ongoing religious interaction and syncretic adaptation without necessarily demonstrating complete theological equivalence between the goddesses. Albright 1942, 74-75, 91. Cornelius 2014, 88-90, 95. Day 1995, 40. Smith 1994, 295. Sugimoto 2014, 157. Ulbrich 2005, 198-199, 205. </w:t>
      </w:r>
    </w:p>
  </w:footnote>
  <w:footnote w:id="204">
    <w:p w14:paraId="40C83727" w14:textId="77777777"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Budin 2000, 18, 323. Orellana 2017, 2. Taylor 1984, 113. Graham 2013, 2. Rodney 1952, 211. Wimber 2007, 8. van der Toorn 1992, 97. Beach 1992, 132. Walls 1992, 42. Hoffmeier, Kitchen 2007, 134. Cornelius 2014, 34.</w:t>
      </w:r>
    </w:p>
  </w:footnote>
  <w:footnote w:id="205">
    <w:p w14:paraId="5BF8B5C6" w14:textId="689FEEAF"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The name Bint-ʿAnat literally means “daughter of Anat” and reflects the integration of Anat into Egyptian royal ideology during the Ramesside period. Ramesses II notably bestowed the name upon one of his daughters, illustrating the prestige and continuing political significance of Anat within Egyptian religious and military culture. See Schmitt 2013, 217; Cornelius 2014, 89; Smith, Pitard 2009, 151; Smith 1994, 311; Albright 1925B, 82</w:t>
      </w:r>
      <w:r w:rsidR="005A2BD2" w:rsidRPr="007816A0">
        <w:rPr>
          <w:rFonts w:cs="Times New Roman"/>
        </w:rPr>
        <w:t>-</w:t>
      </w:r>
      <w:r w:rsidRPr="007816A0">
        <w:rPr>
          <w:rFonts w:cs="Times New Roman"/>
        </w:rPr>
        <w:t xml:space="preserve">84. </w:t>
      </w:r>
    </w:p>
  </w:footnote>
  <w:footnote w:id="206">
    <w:p w14:paraId="6F624844" w14:textId="21E493EC"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Cornelius (2014, 18) notes that the exact structure of the Late Bronze Age Palestinian pantheon remains uncertain, including whether Anat (at Ugarit) or Astarte (at Emar) functioned as Baal’s principal female counterpart. Egyptian evidence further reflects significant overlap between Anat and Astarte, particularly in composite representations such as the Edwards Stele, where warrior, maternal, and sovereign attributes appear together within a shared iconographic framework. Egyptian religious </w:t>
      </w:r>
      <w:r w:rsidR="008845B6" w:rsidRPr="007816A0">
        <w:rPr>
          <w:rFonts w:cs="Times New Roman"/>
        </w:rPr>
        <w:t>texts</w:t>
      </w:r>
      <w:r w:rsidRPr="007816A0">
        <w:rPr>
          <w:rFonts w:cs="Times New Roman"/>
        </w:rPr>
        <w:t xml:space="preserve"> also associated both goddesses with Hathoric and solar imagery, at times identifying them as daughters of Ptah and Re and preserving titles such as “Lady of the Sky” and “Mistress of the Gods.” These examples illustrate substantial syncretic adaptation and interpretive overlap without necessarily demonstrating complete theological equivalence between the goddesses. Albright 1925B, 82-83. Budin 2014, 211. Choza 2025, 16, 450, 15. Cornelius 2014, 88-92, 95. Day 1992, 182. Hoffmeier, Kitchen 2007, 133. Schmitt 2013 Astarte, 214, 222-225. Tazawa 2014, 106-107, 109-112. Smith 1994, xxiii. </w:t>
      </w:r>
    </w:p>
  </w:footnote>
  <w:footnote w:id="207">
    <w:p w14:paraId="024D17A3" w14:textId="67B7C798" w:rsidR="00E826C7" w:rsidRPr="007816A0" w:rsidRDefault="00E826C7" w:rsidP="00280D0B">
      <w:pPr>
        <w:pStyle w:val="FootnoteText"/>
        <w:rPr>
          <w:rFonts w:cs="Times New Roman"/>
        </w:rPr>
      </w:pPr>
      <w:r w:rsidRPr="007816A0">
        <w:rPr>
          <w:rStyle w:val="FootnoteReference"/>
          <w:rFonts w:cs="Times New Roman"/>
        </w:rPr>
        <w:footnoteRef/>
      </w:r>
      <w:r w:rsidRPr="007816A0">
        <w:rPr>
          <w:rFonts w:cs="Times New Roman"/>
        </w:rPr>
        <w:t xml:space="preserve"> Photo </w:t>
      </w:r>
      <w:r w:rsidR="00057DA7" w:rsidRPr="007816A0">
        <w:rPr>
          <w:rFonts w:cs="Times New Roman"/>
        </w:rPr>
        <w:t>c</w:t>
      </w:r>
      <w:r w:rsidRPr="007816A0">
        <w:rPr>
          <w:rFonts w:cs="Times New Roman"/>
        </w:rPr>
        <w:t>ourtesy of</w:t>
      </w:r>
      <w:r w:rsidR="00057DA7" w:rsidRPr="007816A0">
        <w:rPr>
          <w:rFonts w:cs="Times New Roman"/>
        </w:rPr>
        <w:t xml:space="preserve"> © The Trustees of the British Museum.</w:t>
      </w:r>
    </w:p>
  </w:footnote>
  <w:footnote w:id="208">
    <w:p w14:paraId="68FF68EC" w14:textId="5DC87439" w:rsidR="003D0C32" w:rsidRPr="007816A0" w:rsidRDefault="003D0C3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6E26EC" w:rsidRPr="007816A0">
        <w:rPr>
          <w:rFonts w:cs="Times New Roman"/>
        </w:rPr>
        <w:t xml:space="preserve">In both the </w:t>
      </w:r>
      <w:r w:rsidR="006E26EC" w:rsidRPr="007816A0">
        <w:rPr>
          <w:rFonts w:cs="Times New Roman"/>
          <w:i/>
          <w:iCs/>
        </w:rPr>
        <w:t>Aqhat</w:t>
      </w:r>
      <w:r w:rsidR="006E26EC" w:rsidRPr="007816A0">
        <w:rPr>
          <w:rFonts w:cs="Times New Roman"/>
        </w:rPr>
        <w:t xml:space="preserve"> narrative and the </w:t>
      </w:r>
      <w:r w:rsidR="006E26EC" w:rsidRPr="007816A0">
        <w:rPr>
          <w:rFonts w:cs="Times New Roman"/>
          <w:i/>
          <w:iCs/>
        </w:rPr>
        <w:t>Baal Cycle</w:t>
      </w:r>
      <w:r w:rsidR="006E26EC" w:rsidRPr="007816A0">
        <w:rPr>
          <w:rFonts w:cs="Times New Roman"/>
        </w:rPr>
        <w:t xml:space="preserve">, Anat repeatedly employs threats and coercive pressure in her interactions with El. During the </w:t>
      </w:r>
      <w:r w:rsidR="006E26EC" w:rsidRPr="007816A0">
        <w:rPr>
          <w:rFonts w:cs="Times New Roman"/>
          <w:i/>
          <w:iCs/>
        </w:rPr>
        <w:t>Aqhat</w:t>
      </w:r>
      <w:r w:rsidR="006E26EC" w:rsidRPr="007816A0">
        <w:rPr>
          <w:rFonts w:cs="Times New Roman"/>
        </w:rPr>
        <w:t xml:space="preserve"> episode, she threatens El </w:t>
      </w:r>
      <w:r w:rsidR="00EE1D02" w:rsidRPr="007816A0">
        <w:rPr>
          <w:rFonts w:cs="Times New Roman"/>
        </w:rPr>
        <w:t>to</w:t>
      </w:r>
      <w:r w:rsidR="006E26EC" w:rsidRPr="007816A0">
        <w:rPr>
          <w:rFonts w:cs="Times New Roman"/>
        </w:rPr>
        <w:t xml:space="preserve"> secure permission to act against Aqhat, and a similar strategy reappears in the palace-building sequence of the </w:t>
      </w:r>
      <w:r w:rsidR="006E26EC" w:rsidRPr="007816A0">
        <w:rPr>
          <w:rFonts w:cs="Times New Roman"/>
          <w:i/>
          <w:iCs/>
        </w:rPr>
        <w:t>Baal Cycle</w:t>
      </w:r>
      <w:r w:rsidR="006E26EC" w:rsidRPr="007816A0">
        <w:rPr>
          <w:rFonts w:cs="Times New Roman"/>
        </w:rPr>
        <w:t xml:space="preserve">, where intimidation accompanies Baal’s quest for royal legitimacy. These repeated confrontations reinforce Anat’s </w:t>
      </w:r>
      <w:r w:rsidR="00322B7B" w:rsidRPr="007816A0">
        <w:rPr>
          <w:rFonts w:cs="Times New Roman"/>
        </w:rPr>
        <w:t xml:space="preserve">characterisation </w:t>
      </w:r>
      <w:r w:rsidR="006E26EC" w:rsidRPr="007816A0">
        <w:rPr>
          <w:rFonts w:cs="Times New Roman"/>
        </w:rPr>
        <w:t>as a goddess whose authority operates through force, volatility, and direct compulsion rather than through stable juridical order. See Brownsmith 2020, 41; Day 1992, 38, 181</w:t>
      </w:r>
      <w:r w:rsidR="005A2BD2" w:rsidRPr="007816A0">
        <w:rPr>
          <w:rFonts w:cs="Times New Roman"/>
        </w:rPr>
        <w:t>-</w:t>
      </w:r>
      <w:r w:rsidR="006E26EC" w:rsidRPr="007816A0">
        <w:rPr>
          <w:rFonts w:cs="Times New Roman"/>
        </w:rPr>
        <w:t xml:space="preserve">182; Wyatt 2009, 165; Smith 1994, 31, 56; Watson 1993, 49; Walls 1992, 197. </w:t>
      </w:r>
    </w:p>
  </w:footnote>
  <w:footnote w:id="209">
    <w:p w14:paraId="63B02902" w14:textId="1D772F47" w:rsidR="00342174" w:rsidRPr="007816A0" w:rsidRDefault="00342174" w:rsidP="00280D0B">
      <w:pPr>
        <w:pStyle w:val="FootnoteText"/>
        <w:rPr>
          <w:rFonts w:cs="Times New Roman"/>
        </w:rPr>
      </w:pPr>
      <w:r w:rsidRPr="007816A0">
        <w:rPr>
          <w:rStyle w:val="FootnoteReference"/>
          <w:rFonts w:cs="Times New Roman"/>
        </w:rPr>
        <w:footnoteRef/>
      </w:r>
      <w:r w:rsidRPr="007816A0">
        <w:rPr>
          <w:rFonts w:cs="Times New Roman"/>
        </w:rPr>
        <w:t xml:space="preserve"> Smith 1994, 31-32.</w:t>
      </w:r>
    </w:p>
  </w:footnote>
  <w:footnote w:id="210">
    <w:p w14:paraId="1DFF2DFF" w14:textId="4E60EB04" w:rsidR="0067071B" w:rsidRPr="007816A0" w:rsidRDefault="0067071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6E26EC" w:rsidRPr="007816A0">
        <w:rPr>
          <w:rFonts w:cs="Times New Roman"/>
        </w:rPr>
        <w:t>López-Ruiz (2014</w:t>
      </w:r>
      <w:r w:rsidR="000C3387" w:rsidRPr="007816A0">
        <w:rPr>
          <w:rFonts w:cs="Times New Roman"/>
        </w:rPr>
        <w:t>B</w:t>
      </w:r>
      <w:r w:rsidR="006E26EC" w:rsidRPr="007816A0">
        <w:rPr>
          <w:rFonts w:cs="Times New Roman"/>
        </w:rPr>
        <w:t xml:space="preserve">, </w:t>
      </w:r>
      <w:r w:rsidR="000C3387" w:rsidRPr="007816A0">
        <w:rPr>
          <w:rFonts w:cs="Times New Roman"/>
        </w:rPr>
        <w:t>16</w:t>
      </w:r>
      <w:r w:rsidR="006E26EC" w:rsidRPr="007816A0">
        <w:rPr>
          <w:rFonts w:cs="Times New Roman"/>
        </w:rPr>
        <w:t xml:space="preserve">4) suggests </w:t>
      </w:r>
      <w:r w:rsidR="00435483" w:rsidRPr="007816A0">
        <w:rPr>
          <w:rFonts w:cs="Times New Roman"/>
        </w:rPr>
        <w:t>that</w:t>
      </w:r>
      <w:r w:rsidR="006E26EC" w:rsidRPr="007816A0">
        <w:rPr>
          <w:rFonts w:cs="Times New Roman"/>
        </w:rPr>
        <w:t xml:space="preserve"> much like Zeus’s consolidation of authority in Greek cosmology, the </w:t>
      </w:r>
      <w:r w:rsidR="006E26EC" w:rsidRPr="007816A0">
        <w:rPr>
          <w:rFonts w:cs="Times New Roman"/>
          <w:i/>
          <w:iCs/>
        </w:rPr>
        <w:t>Baal Cycle</w:t>
      </w:r>
      <w:r w:rsidR="006E26EC" w:rsidRPr="007816A0">
        <w:rPr>
          <w:rFonts w:cs="Times New Roman"/>
        </w:rPr>
        <w:t xml:space="preserve"> organi</w:t>
      </w:r>
      <w:r w:rsidR="002B188A" w:rsidRPr="007816A0">
        <w:rPr>
          <w:rFonts w:cs="Times New Roman"/>
        </w:rPr>
        <w:t>s</w:t>
      </w:r>
      <w:r w:rsidR="006E26EC" w:rsidRPr="007816A0">
        <w:rPr>
          <w:rFonts w:cs="Times New Roman"/>
        </w:rPr>
        <w:t xml:space="preserve">es divine sovereignty through competing control over the domains of </w:t>
      </w:r>
      <w:r w:rsidR="00A652AD" w:rsidRPr="007816A0">
        <w:rPr>
          <w:rFonts w:cs="Times New Roman"/>
        </w:rPr>
        <w:t>“</w:t>
      </w:r>
      <w:r w:rsidR="006E26EC" w:rsidRPr="007816A0">
        <w:rPr>
          <w:rFonts w:cs="Times New Roman"/>
        </w:rPr>
        <w:t>storm, sea, and death.</w:t>
      </w:r>
      <w:r w:rsidR="00A652AD" w:rsidRPr="007816A0">
        <w:rPr>
          <w:rFonts w:cs="Times New Roman"/>
        </w:rPr>
        <w:t>”</w:t>
      </w:r>
      <w:r w:rsidR="006E26EC" w:rsidRPr="007816A0">
        <w:rPr>
          <w:rFonts w:cs="Times New Roman"/>
        </w:rPr>
        <w:t xml:space="preserve"> Smith (1994, 94) interprets the structure </w:t>
      </w:r>
      <w:r w:rsidR="00EE1D02" w:rsidRPr="007816A0">
        <w:rPr>
          <w:rFonts w:cs="Times New Roman"/>
        </w:rPr>
        <w:t>differently</w:t>
      </w:r>
      <w:r w:rsidR="006E26EC" w:rsidRPr="007816A0">
        <w:rPr>
          <w:rFonts w:cs="Times New Roman"/>
        </w:rPr>
        <w:t xml:space="preserve">, proposing that the </w:t>
      </w:r>
      <w:r w:rsidR="006E26EC" w:rsidRPr="007816A0">
        <w:rPr>
          <w:rFonts w:cs="Times New Roman"/>
          <w:i/>
          <w:iCs/>
        </w:rPr>
        <w:t>Baal Cycle</w:t>
      </w:r>
      <w:r w:rsidR="006E26EC" w:rsidRPr="007816A0">
        <w:rPr>
          <w:rFonts w:cs="Times New Roman"/>
        </w:rPr>
        <w:t xml:space="preserve"> reflects a tiered cosmology in which El governs the macrocosm, Baal the active cosmic order, and Anat the sphere of terrestrial conflict and warfare. Smith further connects this arrangement to the parallelism between Baal’s heavenly battles in KTU 1.2 IV and Anat’s terrestrial violence in KTU 1.3 II. See also Smith</w:t>
      </w:r>
      <w:r w:rsidR="001C3767" w:rsidRPr="007816A0">
        <w:rPr>
          <w:rFonts w:cs="Times New Roman"/>
        </w:rPr>
        <w:t xml:space="preserve">, </w:t>
      </w:r>
      <w:r w:rsidR="006E26EC" w:rsidRPr="007816A0">
        <w:rPr>
          <w:rFonts w:cs="Times New Roman"/>
        </w:rPr>
        <w:t>Pitard 2009, 3; Smith 1994, xxii, 11; Albright 1942, 84</w:t>
      </w:r>
      <w:r w:rsidR="005A2BD2" w:rsidRPr="007816A0">
        <w:rPr>
          <w:rFonts w:cs="Times New Roman"/>
        </w:rPr>
        <w:t>-</w:t>
      </w:r>
      <w:r w:rsidR="006E26EC" w:rsidRPr="007816A0">
        <w:rPr>
          <w:rFonts w:cs="Times New Roman"/>
        </w:rPr>
        <w:t>87; López-Ruiz 2014, 164.</w:t>
      </w:r>
    </w:p>
  </w:footnote>
  <w:footnote w:id="211">
    <w:p w14:paraId="5147B4BC" w14:textId="19163E41" w:rsidR="00A67601" w:rsidRPr="007816A0" w:rsidRDefault="0067071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60AF1" w:rsidRPr="007816A0">
        <w:rPr>
          <w:rFonts w:cs="Times New Roman"/>
        </w:rPr>
        <w:t>López-Ruiz 2014B</w:t>
      </w:r>
      <w:r w:rsidR="00A67601" w:rsidRPr="007816A0">
        <w:rPr>
          <w:rFonts w:cs="Times New Roman"/>
        </w:rPr>
        <w:t>, 164-167. Smith 1994, xxii, 19, 102-103, 361. Smith</w:t>
      </w:r>
      <w:r w:rsidR="001C3767" w:rsidRPr="007816A0">
        <w:rPr>
          <w:rFonts w:cs="Times New Roman"/>
        </w:rPr>
        <w:t xml:space="preserve">, </w:t>
      </w:r>
      <w:r w:rsidR="00A67601" w:rsidRPr="007816A0">
        <w:rPr>
          <w:rFonts w:cs="Times New Roman"/>
        </w:rPr>
        <w:t>Pitard 2009, 20.</w:t>
      </w:r>
    </w:p>
  </w:footnote>
  <w:footnote w:id="212">
    <w:p w14:paraId="11D604FB" w14:textId="73048846" w:rsidR="00A67601" w:rsidRPr="007816A0" w:rsidRDefault="00A67601"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6E26EC" w:rsidRPr="007816A0">
        <w:rPr>
          <w:rFonts w:cs="Times New Roman"/>
        </w:rPr>
        <w:t xml:space="preserve">Smith and Pitard (2009, 38) argue that the </w:t>
      </w:r>
      <w:r w:rsidR="006E26EC" w:rsidRPr="00DF79DA">
        <w:rPr>
          <w:rFonts w:cs="Times New Roman"/>
          <w:i/>
          <w:iCs/>
        </w:rPr>
        <w:t>Baal Cycle</w:t>
      </w:r>
      <w:r w:rsidR="006E26EC" w:rsidRPr="007816A0">
        <w:rPr>
          <w:rFonts w:cs="Times New Roman"/>
        </w:rPr>
        <w:t xml:space="preserve"> reflects underlying tensions between Baal and the household of El and Athirat. El’s earlier support for Yamm, together with Anat’s later claims to have defeated many of Baal’s enemies in KTU 1.3 III </w:t>
      </w:r>
      <w:r w:rsidR="007816A0">
        <w:rPr>
          <w:rFonts w:cs="Times New Roman"/>
        </w:rPr>
        <w:t xml:space="preserve">vv. </w:t>
      </w:r>
      <w:r w:rsidR="006E26EC" w:rsidRPr="007816A0">
        <w:rPr>
          <w:rFonts w:cs="Times New Roman"/>
        </w:rPr>
        <w:t>38</w:t>
      </w:r>
      <w:r w:rsidR="005A2BD2" w:rsidRPr="007816A0">
        <w:rPr>
          <w:rFonts w:cs="Times New Roman"/>
        </w:rPr>
        <w:t>-</w:t>
      </w:r>
      <w:r w:rsidR="006E26EC" w:rsidRPr="007816A0">
        <w:rPr>
          <w:rFonts w:cs="Times New Roman"/>
        </w:rPr>
        <w:t xml:space="preserve">47, suggests that Baal’s sovereignty emerges through conflict within a contested divine hierarchy rather than through universally acknowledged authority. This interpretation aligns with broader readings of the </w:t>
      </w:r>
      <w:r w:rsidR="006E26EC" w:rsidRPr="007816A0">
        <w:rPr>
          <w:rFonts w:cs="Times New Roman"/>
          <w:i/>
          <w:iCs/>
        </w:rPr>
        <w:t>Baal Cycle</w:t>
      </w:r>
      <w:r w:rsidR="006E26EC" w:rsidRPr="007816A0">
        <w:rPr>
          <w:rFonts w:cs="Times New Roman"/>
        </w:rPr>
        <w:t xml:space="preserve"> as a narrative structured around unstable kingship, rivalry, and negotiated divine power. See also Smith 1994, 13, 16, 31, 361; López-Ruiz 2014, 168</w:t>
      </w:r>
      <w:r w:rsidR="005A2BD2" w:rsidRPr="007816A0">
        <w:rPr>
          <w:rFonts w:cs="Times New Roman"/>
        </w:rPr>
        <w:t>-</w:t>
      </w:r>
      <w:r w:rsidR="006E26EC" w:rsidRPr="007816A0">
        <w:rPr>
          <w:rFonts w:cs="Times New Roman"/>
        </w:rPr>
        <w:t>171; Smith, Pitard 2009, 42, 47.</w:t>
      </w:r>
    </w:p>
  </w:footnote>
  <w:footnote w:id="213">
    <w:p w14:paraId="455EE7D0" w14:textId="1C02068C" w:rsidR="003D0C32" w:rsidRPr="007816A0" w:rsidRDefault="003D0C3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60AF1" w:rsidRPr="007816A0">
        <w:rPr>
          <w:rFonts w:cs="Times New Roman"/>
        </w:rPr>
        <w:t>López-Ruiz 2014A</w:t>
      </w:r>
      <w:r w:rsidRPr="007816A0">
        <w:rPr>
          <w:rFonts w:cs="Times New Roman"/>
        </w:rPr>
        <w:t>, 1, 3. Smith 1994, xxii, 361. Smith</w:t>
      </w:r>
      <w:r w:rsidR="001C3767" w:rsidRPr="007816A0">
        <w:rPr>
          <w:rFonts w:cs="Times New Roman"/>
        </w:rPr>
        <w:t xml:space="preserve">, </w:t>
      </w:r>
      <w:r w:rsidRPr="007816A0">
        <w:rPr>
          <w:rFonts w:cs="Times New Roman"/>
        </w:rPr>
        <w:t>Pitard 2009, 47.</w:t>
      </w:r>
    </w:p>
  </w:footnote>
  <w:footnote w:id="214">
    <w:p w14:paraId="54A460C6" w14:textId="6ED7E243" w:rsidR="002C4D99" w:rsidRPr="007816A0" w:rsidRDefault="002C4D99" w:rsidP="00280D0B">
      <w:pPr>
        <w:pStyle w:val="FootnoteText"/>
        <w:rPr>
          <w:rFonts w:cs="Times New Roman"/>
        </w:rPr>
      </w:pPr>
      <w:r w:rsidRPr="007816A0">
        <w:rPr>
          <w:rStyle w:val="FootnoteReference"/>
          <w:rFonts w:cs="Times New Roman"/>
        </w:rPr>
        <w:footnoteRef/>
      </w:r>
      <w:r w:rsidRPr="007816A0">
        <w:rPr>
          <w:rFonts w:cs="Times New Roman"/>
        </w:rPr>
        <w:t xml:space="preserve"> Ayali-Darshan 2020, 79. Smith 1994, 102-103, 355. Walls 1992, 67. Smith</w:t>
      </w:r>
      <w:r w:rsidR="001C3767" w:rsidRPr="007816A0">
        <w:rPr>
          <w:rFonts w:cs="Times New Roman"/>
        </w:rPr>
        <w:t xml:space="preserve">, </w:t>
      </w:r>
      <w:r w:rsidRPr="007816A0">
        <w:rPr>
          <w:rFonts w:cs="Times New Roman"/>
        </w:rPr>
        <w:t xml:space="preserve">Pitard 2009, 3, 20, 149. </w:t>
      </w:r>
      <w:r w:rsidR="00460AF1" w:rsidRPr="007816A0">
        <w:rPr>
          <w:rFonts w:cs="Times New Roman"/>
        </w:rPr>
        <w:t>López-Ruiz 2014B</w:t>
      </w:r>
      <w:r w:rsidRPr="007816A0">
        <w:rPr>
          <w:rFonts w:cs="Times New Roman"/>
        </w:rPr>
        <w:t xml:space="preserve">, 175-177. </w:t>
      </w:r>
      <w:r w:rsidR="00460AF1" w:rsidRPr="007816A0">
        <w:rPr>
          <w:rFonts w:cs="Times New Roman"/>
        </w:rPr>
        <w:t>López-Ruiz 2014A</w:t>
      </w:r>
      <w:r w:rsidRPr="007816A0">
        <w:rPr>
          <w:rFonts w:cs="Times New Roman"/>
        </w:rPr>
        <w:t>, 3.</w:t>
      </w:r>
    </w:p>
  </w:footnote>
  <w:footnote w:id="215">
    <w:p w14:paraId="52C10C58" w14:textId="5825E589" w:rsidR="002C4D99" w:rsidRPr="007816A0" w:rsidRDefault="002C4D99" w:rsidP="00280D0B">
      <w:pPr>
        <w:pStyle w:val="FootnoteText"/>
        <w:rPr>
          <w:rFonts w:cs="Times New Roman"/>
        </w:rPr>
      </w:pPr>
      <w:r w:rsidRPr="007816A0">
        <w:rPr>
          <w:rStyle w:val="FootnoteReference"/>
          <w:rFonts w:cs="Times New Roman"/>
        </w:rPr>
        <w:footnoteRef/>
      </w:r>
      <w:r w:rsidRPr="007816A0">
        <w:rPr>
          <w:rFonts w:cs="Times New Roman"/>
        </w:rPr>
        <w:t xml:space="preserve"> Smith, Pitard 2009, 85. </w:t>
      </w:r>
      <w:r w:rsidR="00460AF1" w:rsidRPr="007816A0">
        <w:rPr>
          <w:rFonts w:cs="Times New Roman"/>
        </w:rPr>
        <w:t>López-Ruiz 2014B</w:t>
      </w:r>
      <w:r w:rsidRPr="007816A0">
        <w:rPr>
          <w:rFonts w:cs="Times New Roman"/>
        </w:rPr>
        <w:t>, 173.</w:t>
      </w:r>
    </w:p>
  </w:footnote>
  <w:footnote w:id="216">
    <w:p w14:paraId="43B34FE4" w14:textId="411580A5" w:rsidR="002C4D99" w:rsidRPr="007816A0" w:rsidRDefault="002C4D99"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60AF1" w:rsidRPr="007816A0">
        <w:rPr>
          <w:rFonts w:cs="Times New Roman"/>
        </w:rPr>
        <w:t>López-Ruiz 2014B</w:t>
      </w:r>
      <w:r w:rsidRPr="007816A0">
        <w:rPr>
          <w:rFonts w:cs="Times New Roman"/>
        </w:rPr>
        <w:t>, 426.</w:t>
      </w:r>
      <w:r w:rsidR="00D16399">
        <w:rPr>
          <w:rFonts w:cs="Times New Roman"/>
        </w:rPr>
        <w:t xml:space="preserve"> </w:t>
      </w:r>
      <w:r w:rsidRPr="007816A0">
        <w:rPr>
          <w:rFonts w:cs="Times New Roman"/>
        </w:rPr>
        <w:t>Smith 1994, 19.</w:t>
      </w:r>
    </w:p>
  </w:footnote>
  <w:footnote w:id="217">
    <w:p w14:paraId="56C3328F" w14:textId="186B71CE" w:rsidR="00D165FA" w:rsidRPr="007816A0" w:rsidRDefault="00D165FA" w:rsidP="00280D0B">
      <w:pPr>
        <w:pStyle w:val="FootnoteText"/>
        <w:rPr>
          <w:rFonts w:cs="Times New Roman"/>
        </w:rPr>
      </w:pPr>
      <w:r w:rsidRPr="007816A0">
        <w:rPr>
          <w:rStyle w:val="FootnoteReference"/>
          <w:rFonts w:cs="Times New Roman"/>
        </w:rPr>
        <w:footnoteRef/>
      </w:r>
      <w:r w:rsidRPr="007816A0">
        <w:rPr>
          <w:rFonts w:cs="Times New Roman"/>
        </w:rPr>
        <w:t xml:space="preserve"> Independent ritual evidence confirms that Ugaritic religion maintained an active cult of the dead. RS 34.126 explicitly summons the Rapiuma (</w:t>
      </w:r>
      <w:r w:rsidR="00A652AD" w:rsidRPr="007816A0">
        <w:rPr>
          <w:rFonts w:cs="Times New Roman"/>
        </w:rPr>
        <w:t>“</w:t>
      </w:r>
      <w:r w:rsidRPr="007816A0">
        <w:rPr>
          <w:rFonts w:cs="Times New Roman"/>
        </w:rPr>
        <w:t>shades</w:t>
      </w:r>
      <w:r w:rsidR="00A652AD" w:rsidRPr="007816A0">
        <w:rPr>
          <w:rFonts w:cs="Times New Roman"/>
        </w:rPr>
        <w:t>”</w:t>
      </w:r>
      <w:r w:rsidRPr="007816A0">
        <w:rPr>
          <w:rFonts w:cs="Times New Roman"/>
        </w:rPr>
        <w:t xml:space="preserve">) and deceased kings, invokes Šapšu in relation to descent into the earth, and prescribes repeated funerary sacrifices on behalf of both the dead and the living community. The text demonstrates that communication with and ritual care for the dead formed part of normal religious practice and provides valuable context for the underworld assumptions embedded within the </w:t>
      </w:r>
      <w:r w:rsidRPr="00DF79DA">
        <w:rPr>
          <w:rFonts w:cs="Times New Roman"/>
          <w:i/>
          <w:iCs/>
        </w:rPr>
        <w:t>Baal Cycle</w:t>
      </w:r>
      <w:r w:rsidRPr="007816A0">
        <w:rPr>
          <w:rFonts w:cs="Times New Roman"/>
        </w:rPr>
        <w:t>.</w:t>
      </w:r>
      <w:r w:rsidR="001B5C3B" w:rsidRPr="007816A0">
        <w:rPr>
          <w:rFonts w:cs="Times New Roman"/>
        </w:rPr>
        <w:t xml:space="preserve"> </w:t>
      </w:r>
      <w:r w:rsidRPr="007816A0">
        <w:rPr>
          <w:rFonts w:cs="Times New Roman"/>
        </w:rPr>
        <w:t>An extract of this text from Pardee (2002, 85-88) is included in the appendix.</w:t>
      </w:r>
    </w:p>
  </w:footnote>
  <w:footnote w:id="218">
    <w:p w14:paraId="20199EB2" w14:textId="4C8F961E" w:rsidR="00CA6EFE" w:rsidRPr="007816A0" w:rsidRDefault="00CA6EFE" w:rsidP="00280D0B">
      <w:pPr>
        <w:pStyle w:val="FootnoteText"/>
        <w:rPr>
          <w:rFonts w:cs="Times New Roman"/>
        </w:rPr>
      </w:pPr>
      <w:r w:rsidRPr="007816A0">
        <w:rPr>
          <w:rStyle w:val="FootnoteReference"/>
          <w:rFonts w:cs="Times New Roman"/>
        </w:rPr>
        <w:footnoteRef/>
      </w:r>
      <w:r w:rsidRPr="007816A0">
        <w:rPr>
          <w:rFonts w:cs="Times New Roman"/>
        </w:rPr>
        <w:t xml:space="preserve"> KTU 1.5 II </w:t>
      </w:r>
      <w:r w:rsidR="007816A0">
        <w:rPr>
          <w:rFonts w:cs="Times New Roman"/>
        </w:rPr>
        <w:t xml:space="preserve">vv. </w:t>
      </w:r>
      <w:r w:rsidRPr="007816A0">
        <w:rPr>
          <w:rFonts w:cs="Times New Roman"/>
        </w:rPr>
        <w:t>15</w:t>
      </w:r>
      <w:r w:rsidR="005A2BD2" w:rsidRPr="007816A0">
        <w:rPr>
          <w:rFonts w:cs="Times New Roman"/>
        </w:rPr>
        <w:t>-</w:t>
      </w:r>
      <w:r w:rsidRPr="007816A0">
        <w:rPr>
          <w:rFonts w:cs="Times New Roman"/>
        </w:rPr>
        <w:t xml:space="preserve">17. Wyatt 1998, 121. </w:t>
      </w:r>
      <w:r w:rsidR="00460AF1" w:rsidRPr="007816A0">
        <w:rPr>
          <w:rFonts w:cs="Times New Roman"/>
        </w:rPr>
        <w:t>López-Ruiz 2014B</w:t>
      </w:r>
      <w:r w:rsidRPr="007816A0">
        <w:rPr>
          <w:rFonts w:cs="Times New Roman"/>
        </w:rPr>
        <w:t>, 173. Suriano 2012, 224-225. Wyatt 2009, 163.</w:t>
      </w:r>
    </w:p>
  </w:footnote>
  <w:footnote w:id="219">
    <w:p w14:paraId="06C31E2D" w14:textId="06C6E404" w:rsidR="00D165FA" w:rsidRPr="007816A0" w:rsidRDefault="00D165FA"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0F8B" w:rsidRPr="007816A0">
        <w:rPr>
          <w:rFonts w:cs="Times New Roman"/>
        </w:rPr>
        <w:t>Parker S 1997</w:t>
      </w:r>
      <w:r w:rsidRPr="007816A0">
        <w:rPr>
          <w:rFonts w:cs="Times New Roman"/>
        </w:rPr>
        <w:t>, 197-205.</w:t>
      </w:r>
      <w:r w:rsidR="00ED7F46" w:rsidRPr="007816A0">
        <w:rPr>
          <w:rFonts w:cs="Times New Roman"/>
        </w:rPr>
        <w:t xml:space="preserve"> For the full </w:t>
      </w:r>
      <w:r w:rsidR="007E20FA" w:rsidRPr="007816A0">
        <w:rPr>
          <w:rFonts w:cs="Times New Roman"/>
        </w:rPr>
        <w:t>P</w:t>
      </w:r>
      <w:r w:rsidR="00ED7F46" w:rsidRPr="007816A0">
        <w:rPr>
          <w:rFonts w:cs="Times New Roman"/>
        </w:rPr>
        <w:t>arker English translation, see the appendix for KTU 1.20</w:t>
      </w:r>
      <w:r w:rsidR="005A2BD2" w:rsidRPr="007816A0">
        <w:rPr>
          <w:rFonts w:cs="Times New Roman"/>
        </w:rPr>
        <w:t>-</w:t>
      </w:r>
      <w:r w:rsidR="00ED7F46" w:rsidRPr="007816A0">
        <w:rPr>
          <w:rFonts w:cs="Times New Roman"/>
        </w:rPr>
        <w:t>22.</w:t>
      </w:r>
    </w:p>
  </w:footnote>
  <w:footnote w:id="220">
    <w:p w14:paraId="523D6F69" w14:textId="3B7EC847" w:rsidR="00CA6EFE" w:rsidRPr="007816A0" w:rsidRDefault="00CA6EFE" w:rsidP="00280D0B">
      <w:pPr>
        <w:pStyle w:val="FootnoteText"/>
        <w:rPr>
          <w:rFonts w:cs="Times New Roman"/>
        </w:rPr>
      </w:pPr>
      <w:r w:rsidRPr="007816A0">
        <w:rPr>
          <w:rStyle w:val="FootnoteReference"/>
          <w:rFonts w:cs="Times New Roman"/>
        </w:rPr>
        <w:footnoteRef/>
      </w:r>
      <w:r w:rsidRPr="007816A0">
        <w:rPr>
          <w:rFonts w:cs="Times New Roman"/>
        </w:rPr>
        <w:t xml:space="preserve"> KTU 1.5 V </w:t>
      </w:r>
      <w:r w:rsidR="007816A0">
        <w:rPr>
          <w:rFonts w:cs="Times New Roman"/>
        </w:rPr>
        <w:t>v</w:t>
      </w:r>
      <w:r w:rsidR="00A652AD" w:rsidRPr="007816A0">
        <w:rPr>
          <w:rFonts w:cs="Times New Roman"/>
        </w:rPr>
        <w:t>v.</w:t>
      </w:r>
      <w:r w:rsidRPr="007816A0">
        <w:rPr>
          <w:rFonts w:cs="Times New Roman"/>
        </w:rPr>
        <w:t>10</w:t>
      </w:r>
      <w:r w:rsidR="005A2BD2" w:rsidRPr="007816A0">
        <w:rPr>
          <w:rFonts w:cs="Times New Roman"/>
        </w:rPr>
        <w:t>-</w:t>
      </w:r>
      <w:r w:rsidRPr="007816A0">
        <w:rPr>
          <w:rFonts w:cs="Times New Roman"/>
        </w:rPr>
        <w:t xml:space="preserve">15. Wyatt 1998, 124. </w:t>
      </w:r>
      <w:r w:rsidR="00460AF1" w:rsidRPr="007816A0">
        <w:rPr>
          <w:rFonts w:cs="Times New Roman"/>
        </w:rPr>
        <w:t>López-Ruiz 2014B</w:t>
      </w:r>
      <w:r w:rsidRPr="007816A0">
        <w:rPr>
          <w:rFonts w:cs="Times New Roman"/>
        </w:rPr>
        <w:t>, 174-175.</w:t>
      </w:r>
    </w:p>
  </w:footnote>
  <w:footnote w:id="221">
    <w:p w14:paraId="07E18043" w14:textId="4E8096F2" w:rsidR="006B4A89" w:rsidRPr="007816A0" w:rsidRDefault="006B4A89" w:rsidP="00280D0B">
      <w:pPr>
        <w:pStyle w:val="FootnoteText"/>
        <w:rPr>
          <w:rFonts w:cs="Times New Roman"/>
        </w:rPr>
      </w:pPr>
      <w:r w:rsidRPr="007816A0">
        <w:rPr>
          <w:rStyle w:val="FootnoteReference"/>
          <w:rFonts w:cs="Times New Roman"/>
        </w:rPr>
        <w:footnoteRef/>
      </w:r>
      <w:r w:rsidRPr="007816A0">
        <w:rPr>
          <w:rFonts w:cs="Times New Roman"/>
        </w:rPr>
        <w:t xml:space="preserve"> BM 132824, photo courtesy of © The Trustees of the British Museum. Shared under a Creative Commons Attribution-</w:t>
      </w:r>
      <w:r w:rsidR="00725797" w:rsidRPr="007816A0">
        <w:rPr>
          <w:rFonts w:cs="Times New Roman"/>
        </w:rPr>
        <w:t>Non-</w:t>
      </w:r>
      <w:r w:rsidR="00A652AD" w:rsidRPr="007816A0">
        <w:rPr>
          <w:rFonts w:cs="Times New Roman"/>
        </w:rPr>
        <w:t>Commercial</w:t>
      </w:r>
      <w:r w:rsidRPr="007816A0">
        <w:rPr>
          <w:rFonts w:cs="Times New Roman"/>
        </w:rPr>
        <w:t>-</w:t>
      </w:r>
      <w:r w:rsidR="00725797" w:rsidRPr="007816A0">
        <w:rPr>
          <w:rFonts w:cs="Times New Roman"/>
        </w:rPr>
        <w:t>Share Alike</w:t>
      </w:r>
      <w:r w:rsidRPr="007816A0">
        <w:rPr>
          <w:rFonts w:cs="Times New Roman"/>
        </w:rPr>
        <w:t xml:space="preserve"> 4.0 International (CC BY-NC-SA 4.0) licence.</w:t>
      </w:r>
    </w:p>
  </w:footnote>
  <w:footnote w:id="222">
    <w:p w14:paraId="7958A412" w14:textId="2A254BDC"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KTU 1.5 VI </w:t>
      </w:r>
      <w:r w:rsidR="007816A0">
        <w:rPr>
          <w:rFonts w:cs="Times New Roman"/>
        </w:rPr>
        <w:t xml:space="preserve">vv. </w:t>
      </w:r>
      <w:r w:rsidRPr="007816A0">
        <w:rPr>
          <w:rFonts w:cs="Times New Roman"/>
        </w:rPr>
        <w:t>25</w:t>
      </w:r>
      <w:r w:rsidR="005A2BD2" w:rsidRPr="007816A0">
        <w:rPr>
          <w:rFonts w:cs="Times New Roman"/>
        </w:rPr>
        <w:t>-</w:t>
      </w:r>
      <w:r w:rsidRPr="007816A0">
        <w:rPr>
          <w:rFonts w:cs="Times New Roman"/>
        </w:rPr>
        <w:t xml:space="preserve">30. Starr 1984, 238. </w:t>
      </w:r>
      <w:r w:rsidR="00460AF1" w:rsidRPr="007816A0">
        <w:rPr>
          <w:rFonts w:cs="Times New Roman"/>
        </w:rPr>
        <w:t>López-Ruiz 2014B</w:t>
      </w:r>
      <w:r w:rsidRPr="007816A0">
        <w:rPr>
          <w:rFonts w:cs="Times New Roman"/>
        </w:rPr>
        <w:t>, 175. Suriano 2012, 225.</w:t>
      </w:r>
    </w:p>
  </w:footnote>
  <w:footnote w:id="223">
    <w:p w14:paraId="563BB0C1" w14:textId="656B87E0" w:rsidR="00956DA5" w:rsidRPr="007816A0" w:rsidRDefault="00956DA5" w:rsidP="00280D0B">
      <w:pPr>
        <w:pStyle w:val="FootnoteText"/>
        <w:rPr>
          <w:rFonts w:cs="Times New Roman"/>
        </w:rPr>
      </w:pPr>
      <w:r w:rsidRPr="007816A0">
        <w:rPr>
          <w:rStyle w:val="FootnoteReference"/>
          <w:rFonts w:cs="Times New Roman"/>
        </w:rPr>
        <w:footnoteRef/>
      </w:r>
      <w:r w:rsidRPr="007816A0">
        <w:rPr>
          <w:rFonts w:cs="Times New Roman"/>
        </w:rPr>
        <w:t xml:space="preserve"> Lichtheim 1976, 8</w:t>
      </w:r>
      <w:r w:rsidR="00BC7EF5" w:rsidRPr="007816A0">
        <w:rPr>
          <w:rFonts w:cs="Times New Roman"/>
        </w:rPr>
        <w:t>3</w:t>
      </w:r>
      <w:r w:rsidRPr="007816A0">
        <w:rPr>
          <w:rFonts w:cs="Times New Roman"/>
        </w:rPr>
        <w:t>.</w:t>
      </w:r>
      <w:r w:rsidR="007D7816" w:rsidRPr="007816A0">
        <w:rPr>
          <w:rFonts w:cs="Times New Roman"/>
        </w:rPr>
        <w:t xml:space="preserve"> Plutarch 1936, §14-18</w:t>
      </w:r>
      <w:r w:rsidR="00BC7EF5" w:rsidRPr="007816A0">
        <w:rPr>
          <w:rFonts w:cs="Times New Roman"/>
        </w:rPr>
        <w:t>.</w:t>
      </w:r>
      <w:r w:rsidR="00D3657E" w:rsidRPr="007816A0">
        <w:rPr>
          <w:rFonts w:cs="Times New Roman"/>
        </w:rPr>
        <w:t xml:space="preserve"> So far, no extant Ugaritic ritual text preserves a formal search rite comparable to the Eleusinian reenactment of Demeter's search for Persephone. The search for Baal nevertheless forms a recurring narrative element within the </w:t>
      </w:r>
      <w:r w:rsidR="00D3657E" w:rsidRPr="00DF79DA">
        <w:rPr>
          <w:rFonts w:cs="Times New Roman"/>
          <w:i/>
          <w:iCs/>
        </w:rPr>
        <w:t>Baal Cycle</w:t>
      </w:r>
      <w:r w:rsidR="00D3657E" w:rsidRPr="007816A0">
        <w:rPr>
          <w:rFonts w:cs="Times New Roman"/>
        </w:rPr>
        <w:t xml:space="preserve">, where Anat searches for the missing god and later commissions </w:t>
      </w:r>
      <w:r w:rsidR="00AD63B5" w:rsidRPr="007816A0">
        <w:rPr>
          <w:rFonts w:cs="Times New Roman"/>
        </w:rPr>
        <w:t>Šapšu</w:t>
      </w:r>
      <w:r w:rsidR="00D3657E" w:rsidRPr="007816A0">
        <w:rPr>
          <w:rFonts w:cs="Times New Roman"/>
        </w:rPr>
        <w:t xml:space="preserve"> to continue the search.</w:t>
      </w:r>
    </w:p>
  </w:footnote>
  <w:footnote w:id="224">
    <w:p w14:paraId="55F8EFBC" w14:textId="5984FCA7"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KTU 1.5 VI </w:t>
      </w:r>
      <w:r w:rsidR="00A652AD" w:rsidRPr="007816A0">
        <w:rPr>
          <w:rFonts w:cs="Times New Roman"/>
        </w:rPr>
        <w:t xml:space="preserve">v. </w:t>
      </w:r>
      <w:r w:rsidRPr="007816A0">
        <w:rPr>
          <w:rFonts w:cs="Times New Roman"/>
        </w:rPr>
        <w:t xml:space="preserve">30; 1.6 I </w:t>
      </w:r>
      <w:r w:rsidR="00A652AD" w:rsidRPr="007816A0">
        <w:rPr>
          <w:rFonts w:cs="Times New Roman"/>
        </w:rPr>
        <w:t xml:space="preserve">vv. </w:t>
      </w:r>
      <w:r w:rsidRPr="007816A0">
        <w:rPr>
          <w:rFonts w:cs="Times New Roman"/>
        </w:rPr>
        <w:t>1</w:t>
      </w:r>
      <w:r w:rsidR="005A2BD2" w:rsidRPr="007816A0">
        <w:rPr>
          <w:rFonts w:cs="Times New Roman"/>
        </w:rPr>
        <w:t>-</w:t>
      </w:r>
      <w:r w:rsidRPr="007816A0">
        <w:rPr>
          <w:rFonts w:cs="Times New Roman"/>
        </w:rPr>
        <w:t xml:space="preserve">5. Walls 1992, 67,74. Brownsmith 2020, 42. Wyatt 1998, </w:t>
      </w:r>
      <w:r w:rsidR="00BF7940" w:rsidRPr="007816A0">
        <w:rPr>
          <w:rFonts w:cs="Times New Roman"/>
        </w:rPr>
        <w:t>v.</w:t>
      </w:r>
      <w:r w:rsidRPr="007816A0">
        <w:rPr>
          <w:rFonts w:cs="Times New Roman"/>
        </w:rPr>
        <w:t xml:space="preserve"> 1.6 I. </w:t>
      </w:r>
      <w:r w:rsidR="00D15DF2" w:rsidRPr="007816A0">
        <w:rPr>
          <w:rFonts w:cs="Times New Roman"/>
        </w:rPr>
        <w:t>vv</w:t>
      </w:r>
      <w:r w:rsidR="00BF7940" w:rsidRPr="007816A0">
        <w:rPr>
          <w:rFonts w:cs="Times New Roman"/>
        </w:rPr>
        <w:t>.</w:t>
      </w:r>
      <w:r w:rsidRPr="007816A0">
        <w:rPr>
          <w:rFonts w:cs="Times New Roman"/>
        </w:rPr>
        <w:t xml:space="preserve"> 1-8. Hurt 2002.</w:t>
      </w:r>
      <w:r w:rsidRPr="007816A0">
        <w:rPr>
          <w:rFonts w:cs="Times New Roman"/>
          <w:color w:val="000000"/>
          <w:sz w:val="21"/>
          <w:szCs w:val="21"/>
          <w:shd w:val="clear" w:color="auto" w:fill="FFFFFF"/>
        </w:rPr>
        <w:t xml:space="preserve"> </w:t>
      </w:r>
      <w:r w:rsidRPr="007816A0">
        <w:rPr>
          <w:rFonts w:cs="Times New Roman"/>
        </w:rPr>
        <w:t>Aeschylus 2009</w:t>
      </w:r>
      <w:r w:rsidR="008D1C85" w:rsidRPr="007816A0">
        <w:rPr>
          <w:rFonts w:cs="Times New Roman"/>
        </w:rPr>
        <w:t xml:space="preserve"> Libation-Bearers</w:t>
      </w:r>
      <w:r w:rsidRPr="007816A0">
        <w:rPr>
          <w:rFonts w:cs="Times New Roman"/>
        </w:rPr>
        <w:t xml:space="preserve">, 213. Black et al. ETCSL Descent, </w:t>
      </w:r>
      <w:r w:rsidR="00D15DF2" w:rsidRPr="007816A0">
        <w:rPr>
          <w:rFonts w:cs="Times New Roman"/>
        </w:rPr>
        <w:t>vv</w:t>
      </w:r>
      <w:r w:rsidR="00BF7940" w:rsidRPr="007816A0">
        <w:rPr>
          <w:rFonts w:cs="Times New Roman"/>
        </w:rPr>
        <w:t>.</w:t>
      </w:r>
      <w:r w:rsidRPr="007816A0">
        <w:rPr>
          <w:rFonts w:cs="Times New Roman"/>
        </w:rPr>
        <w:t xml:space="preserve"> 32-36. Euripides 2002</w:t>
      </w:r>
      <w:r w:rsidR="006C152D" w:rsidRPr="007816A0">
        <w:rPr>
          <w:rFonts w:cs="Times New Roman"/>
        </w:rPr>
        <w:t xml:space="preserve"> Helen</w:t>
      </w:r>
      <w:r w:rsidRPr="007816A0">
        <w:rPr>
          <w:rFonts w:cs="Times New Roman"/>
        </w:rPr>
        <w:t xml:space="preserve">, 133. 1 Kings 18:28. Deuteronomy 14:1. Leviticus 19:28. Jeremiah 16:6. </w:t>
      </w:r>
      <w:r w:rsidR="00460AF1" w:rsidRPr="007816A0">
        <w:rPr>
          <w:rFonts w:cs="Times New Roman"/>
        </w:rPr>
        <w:t>López-Ruiz 2014B</w:t>
      </w:r>
      <w:r w:rsidRPr="007816A0">
        <w:rPr>
          <w:rFonts w:cs="Times New Roman"/>
        </w:rPr>
        <w:t>, 175.</w:t>
      </w:r>
      <w:r w:rsidR="00BC7EF5" w:rsidRPr="007816A0">
        <w:rPr>
          <w:rFonts w:cs="Times New Roman"/>
        </w:rPr>
        <w:t xml:space="preserve"> </w:t>
      </w:r>
      <w:r w:rsidR="00525738" w:rsidRPr="007816A0">
        <w:rPr>
          <w:rFonts w:cs="Times New Roman"/>
        </w:rPr>
        <w:t>More</w:t>
      </w:r>
      <w:r w:rsidR="00BC7EF5" w:rsidRPr="007816A0">
        <w:rPr>
          <w:rFonts w:cs="Times New Roman"/>
        </w:rPr>
        <w:t xml:space="preserve"> examples of self-mutilation </w:t>
      </w:r>
      <w:r w:rsidR="00525738" w:rsidRPr="007816A0">
        <w:rPr>
          <w:rFonts w:cs="Times New Roman"/>
        </w:rPr>
        <w:t xml:space="preserve">parallels are </w:t>
      </w:r>
      <w:r w:rsidR="00BC7EF5" w:rsidRPr="007816A0">
        <w:rPr>
          <w:rFonts w:cs="Times New Roman"/>
        </w:rPr>
        <w:t>discussed on page</w:t>
      </w:r>
      <w:r w:rsidR="00126F4D" w:rsidRPr="007816A0">
        <w:rPr>
          <w:rFonts w:cs="Times New Roman"/>
        </w:rPr>
        <w:t xml:space="preserve"> </w:t>
      </w:r>
      <w:r w:rsidR="00664A25" w:rsidRPr="007816A0">
        <w:rPr>
          <w:rFonts w:cs="Times New Roman"/>
        </w:rPr>
        <w:fldChar w:fldCharType="begin"/>
      </w:r>
      <w:r w:rsidR="00664A25" w:rsidRPr="007816A0">
        <w:rPr>
          <w:rFonts w:cs="Times New Roman"/>
        </w:rPr>
        <w:instrText xml:space="preserve"> PAGEREF mutilation </w:instrText>
      </w:r>
      <w:r w:rsidR="00664A25" w:rsidRPr="007816A0">
        <w:rPr>
          <w:rFonts w:cs="Times New Roman"/>
        </w:rPr>
        <w:fldChar w:fldCharType="separate"/>
      </w:r>
      <w:r w:rsidR="00664A25" w:rsidRPr="007816A0">
        <w:rPr>
          <w:rFonts w:cs="Times New Roman"/>
        </w:rPr>
        <w:t>47</w:t>
      </w:r>
      <w:r w:rsidR="00664A25" w:rsidRPr="007816A0">
        <w:rPr>
          <w:rFonts w:cs="Times New Roman"/>
        </w:rPr>
        <w:fldChar w:fldCharType="end"/>
      </w:r>
      <w:r w:rsidR="00BC7EF5" w:rsidRPr="007816A0">
        <w:rPr>
          <w:rFonts w:cs="Times New Roman"/>
        </w:rPr>
        <w:t>.</w:t>
      </w:r>
    </w:p>
  </w:footnote>
  <w:footnote w:id="225">
    <w:p w14:paraId="2BDD6D34" w14:textId="092D9771"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KTU 1.6 I </w:t>
      </w:r>
      <w:r w:rsidR="004B689D">
        <w:rPr>
          <w:rFonts w:cs="Times New Roman"/>
        </w:rPr>
        <w:t xml:space="preserve">vv. </w:t>
      </w:r>
      <w:r w:rsidRPr="007816A0">
        <w:rPr>
          <w:rFonts w:cs="Times New Roman"/>
        </w:rPr>
        <w:t>15</w:t>
      </w:r>
      <w:r w:rsidR="005A2BD2" w:rsidRPr="007816A0">
        <w:rPr>
          <w:rFonts w:cs="Times New Roman"/>
        </w:rPr>
        <w:t>-</w:t>
      </w:r>
      <w:r w:rsidRPr="007816A0">
        <w:rPr>
          <w:rFonts w:cs="Times New Roman"/>
        </w:rPr>
        <w:t xml:space="preserve">18. Wyatt 1998, 130. </w:t>
      </w:r>
      <w:r w:rsidR="00460AF1" w:rsidRPr="007816A0">
        <w:rPr>
          <w:rFonts w:cs="Times New Roman"/>
        </w:rPr>
        <w:t>López-Ruiz 2014B</w:t>
      </w:r>
      <w:r w:rsidRPr="007816A0">
        <w:rPr>
          <w:rFonts w:cs="Times New Roman"/>
        </w:rPr>
        <w:t>, 175.</w:t>
      </w:r>
    </w:p>
  </w:footnote>
  <w:footnote w:id="226">
    <w:p w14:paraId="3EC16734" w14:textId="13D68059"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KTU 1.6 I </w:t>
      </w:r>
      <w:r w:rsidR="004B689D">
        <w:rPr>
          <w:rFonts w:cs="Times New Roman"/>
        </w:rPr>
        <w:t xml:space="preserve">vv. </w:t>
      </w:r>
      <w:r w:rsidRPr="007816A0">
        <w:rPr>
          <w:rFonts w:cs="Times New Roman"/>
        </w:rPr>
        <w:t>20</w:t>
      </w:r>
      <w:r w:rsidR="005A2BD2" w:rsidRPr="007816A0">
        <w:rPr>
          <w:rFonts w:cs="Times New Roman"/>
        </w:rPr>
        <w:t>-</w:t>
      </w:r>
      <w:r w:rsidRPr="007816A0">
        <w:rPr>
          <w:rFonts w:cs="Times New Roman"/>
        </w:rPr>
        <w:t xml:space="preserve">25. </w:t>
      </w:r>
      <w:r w:rsidR="00460AF1" w:rsidRPr="007816A0">
        <w:rPr>
          <w:rFonts w:cs="Times New Roman"/>
        </w:rPr>
        <w:t>López-Ruiz 2014B</w:t>
      </w:r>
      <w:r w:rsidRPr="007816A0">
        <w:rPr>
          <w:rFonts w:cs="Times New Roman"/>
        </w:rPr>
        <w:t>, 175.</w:t>
      </w:r>
    </w:p>
  </w:footnote>
  <w:footnote w:id="227">
    <w:p w14:paraId="70D17E4A" w14:textId="0AC84D40" w:rsidR="00ED7F46" w:rsidRPr="007816A0" w:rsidRDefault="00ED7F46" w:rsidP="00280D0B">
      <w:pPr>
        <w:pStyle w:val="FootnoteText"/>
        <w:rPr>
          <w:rFonts w:cs="Times New Roman"/>
        </w:rPr>
      </w:pPr>
      <w:r w:rsidRPr="007816A0">
        <w:rPr>
          <w:rStyle w:val="FootnoteReference"/>
          <w:rFonts w:cs="Times New Roman"/>
        </w:rPr>
        <w:footnoteRef/>
      </w:r>
      <w:r w:rsidRPr="007816A0">
        <w:rPr>
          <w:rFonts w:cs="Times New Roman"/>
        </w:rPr>
        <w:t xml:space="preserve"> Anat's association with chthonic powers extends beyond the </w:t>
      </w:r>
      <w:r w:rsidRPr="004B689D">
        <w:rPr>
          <w:rFonts w:cs="Times New Roman"/>
          <w:i/>
          <w:iCs/>
        </w:rPr>
        <w:t>Baal Cycle</w:t>
      </w:r>
      <w:r w:rsidRPr="007816A0">
        <w:rPr>
          <w:rFonts w:cs="Times New Roman"/>
        </w:rPr>
        <w:t xml:space="preserve">. In KTU 1.108 she appears within an intercessory prayer addressed to Rapiu, </w:t>
      </w:r>
      <w:r w:rsidR="00A652AD" w:rsidRPr="007816A0">
        <w:rPr>
          <w:rFonts w:cs="Times New Roman"/>
        </w:rPr>
        <w:t>“</w:t>
      </w:r>
      <w:r w:rsidRPr="007816A0">
        <w:rPr>
          <w:rFonts w:cs="Times New Roman"/>
        </w:rPr>
        <w:t>King of Eternity,</w:t>
      </w:r>
      <w:r w:rsidR="00A652AD" w:rsidRPr="007816A0">
        <w:rPr>
          <w:rFonts w:cs="Times New Roman"/>
        </w:rPr>
        <w:t>”</w:t>
      </w:r>
      <w:r w:rsidRPr="007816A0">
        <w:rPr>
          <w:rFonts w:cs="Times New Roman"/>
        </w:rPr>
        <w:t xml:space="preserve"> and other divine figures connected to the underworld. Anat is invoked as </w:t>
      </w:r>
      <w:r w:rsidR="00A652AD" w:rsidRPr="007816A0">
        <w:rPr>
          <w:rFonts w:cs="Times New Roman"/>
        </w:rPr>
        <w:t>“</w:t>
      </w:r>
      <w:r w:rsidRPr="007816A0">
        <w:rPr>
          <w:rFonts w:cs="Times New Roman"/>
        </w:rPr>
        <w:t>Mistress of Kingship,</w:t>
      </w:r>
      <w:r w:rsidR="00A652AD" w:rsidRPr="007816A0">
        <w:rPr>
          <w:rFonts w:cs="Times New Roman"/>
        </w:rPr>
        <w:t>”</w:t>
      </w:r>
      <w:r w:rsidRPr="007816A0">
        <w:rPr>
          <w:rFonts w:cs="Times New Roman"/>
        </w:rPr>
        <w:t xml:space="preserve"> </w:t>
      </w:r>
      <w:r w:rsidR="00A652AD" w:rsidRPr="007816A0">
        <w:rPr>
          <w:rFonts w:cs="Times New Roman"/>
        </w:rPr>
        <w:t>“</w:t>
      </w:r>
      <w:r w:rsidRPr="007816A0">
        <w:rPr>
          <w:rFonts w:cs="Times New Roman"/>
        </w:rPr>
        <w:t>Mistress of Dominion,</w:t>
      </w:r>
      <w:r w:rsidR="00A652AD" w:rsidRPr="007816A0">
        <w:rPr>
          <w:rFonts w:cs="Times New Roman"/>
        </w:rPr>
        <w:t>”</w:t>
      </w:r>
      <w:r w:rsidRPr="007816A0">
        <w:rPr>
          <w:rFonts w:cs="Times New Roman"/>
        </w:rPr>
        <w:t xml:space="preserve"> and a celestial bird-like figure who flies through the heavens, demonstrating that her authority could be situated simultaneously within royal, celestial, and underworld contexts. </w:t>
      </w:r>
      <w:r w:rsidR="007E20FA" w:rsidRPr="007816A0">
        <w:rPr>
          <w:rFonts w:cs="Times New Roman"/>
        </w:rPr>
        <w:t xml:space="preserve">For the full text, see Wyatt </w:t>
      </w:r>
      <w:r w:rsidRPr="007816A0">
        <w:rPr>
          <w:rFonts w:cs="Times New Roman"/>
        </w:rPr>
        <w:t xml:space="preserve">(1998, 395-398) </w:t>
      </w:r>
      <w:r w:rsidR="007E20FA" w:rsidRPr="007816A0">
        <w:rPr>
          <w:rFonts w:cs="Times New Roman"/>
        </w:rPr>
        <w:t>in</w:t>
      </w:r>
      <w:r w:rsidRPr="007816A0">
        <w:rPr>
          <w:rFonts w:cs="Times New Roman"/>
        </w:rPr>
        <w:t xml:space="preserve"> the appendix.</w:t>
      </w:r>
    </w:p>
  </w:footnote>
  <w:footnote w:id="228">
    <w:p w14:paraId="66D48DE9" w14:textId="72E335CE"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KTU 1.6 I 5</w:t>
      </w:r>
      <w:r w:rsidR="005A2BD2" w:rsidRPr="007816A0">
        <w:rPr>
          <w:rFonts w:cs="Times New Roman"/>
        </w:rPr>
        <w:t>-</w:t>
      </w:r>
      <w:r w:rsidRPr="007816A0">
        <w:rPr>
          <w:rFonts w:cs="Times New Roman"/>
        </w:rPr>
        <w:t xml:space="preserve">7. </w:t>
      </w:r>
      <w:r w:rsidR="00460AF1" w:rsidRPr="007816A0">
        <w:rPr>
          <w:rFonts w:cs="Times New Roman"/>
        </w:rPr>
        <w:t>López-Ruiz 2014B</w:t>
      </w:r>
      <w:r w:rsidRPr="007816A0">
        <w:rPr>
          <w:rFonts w:cs="Times New Roman"/>
        </w:rPr>
        <w:t>, 175</w:t>
      </w:r>
      <w:r w:rsidR="00A834DE" w:rsidRPr="007816A0">
        <w:rPr>
          <w:rFonts w:cs="Times New Roman"/>
        </w:rPr>
        <w:t>.</w:t>
      </w:r>
    </w:p>
  </w:footnote>
  <w:footnote w:id="229">
    <w:p w14:paraId="4A73DA1E" w14:textId="76A73F1B" w:rsidR="00D165FA" w:rsidRPr="007816A0" w:rsidRDefault="00D165FA" w:rsidP="00280D0B">
      <w:pPr>
        <w:pStyle w:val="FootnoteText"/>
        <w:rPr>
          <w:rFonts w:cs="Times New Roman"/>
        </w:rPr>
      </w:pPr>
      <w:r w:rsidRPr="007816A0">
        <w:rPr>
          <w:rStyle w:val="FootnoteReference"/>
          <w:rFonts w:cs="Times New Roman"/>
        </w:rPr>
        <w:footnoteRef/>
      </w:r>
      <w:r w:rsidRPr="007816A0">
        <w:rPr>
          <w:rFonts w:cs="Times New Roman"/>
        </w:rPr>
        <w:t xml:space="preserve"> Based on Parker</w:t>
      </w:r>
      <w:r w:rsidR="00ED7F46" w:rsidRPr="007816A0">
        <w:rPr>
          <w:rFonts w:cs="Times New Roman"/>
        </w:rPr>
        <w:t>’s</w:t>
      </w:r>
      <w:r w:rsidRPr="007816A0">
        <w:rPr>
          <w:rFonts w:cs="Times New Roman"/>
        </w:rPr>
        <w:t xml:space="preserve"> (1997, 197-205</w:t>
      </w:r>
      <w:r w:rsidR="00ED7F46" w:rsidRPr="007816A0">
        <w:rPr>
          <w:rFonts w:cs="Times New Roman"/>
        </w:rPr>
        <w:t>) translation and interpretation of KTU 1.20</w:t>
      </w:r>
      <w:r w:rsidR="005A2BD2" w:rsidRPr="007816A0">
        <w:rPr>
          <w:rFonts w:cs="Times New Roman"/>
        </w:rPr>
        <w:t>-</w:t>
      </w:r>
      <w:r w:rsidR="00ED7F46" w:rsidRPr="007816A0">
        <w:rPr>
          <w:rFonts w:cs="Times New Roman"/>
        </w:rPr>
        <w:t>22, t</w:t>
      </w:r>
      <w:r w:rsidRPr="007816A0">
        <w:rPr>
          <w:rFonts w:cs="Times New Roman"/>
        </w:rPr>
        <w:t>he Rapiuma text likewise depicts movement between realms, with the ancestral dead journeying by chariot to El's banquet and returning to participate in cultic activity. This reinforces the portrayal of the Ugaritic dead as mobile and ritually accessible rather than permanently isolated from divine society.</w:t>
      </w:r>
    </w:p>
  </w:footnote>
  <w:footnote w:id="230">
    <w:p w14:paraId="705C1AE5" w14:textId="17A9E827"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KTU 1.6 II </w:t>
      </w:r>
      <w:r w:rsidR="000634D6" w:rsidRPr="007816A0">
        <w:rPr>
          <w:rFonts w:cs="Times New Roman"/>
        </w:rPr>
        <w:t xml:space="preserve">vv. </w:t>
      </w:r>
      <w:r w:rsidRPr="007816A0">
        <w:rPr>
          <w:rFonts w:cs="Times New Roman"/>
        </w:rPr>
        <w:t>20</w:t>
      </w:r>
      <w:r w:rsidR="005A2BD2" w:rsidRPr="007816A0">
        <w:rPr>
          <w:rFonts w:cs="Times New Roman"/>
        </w:rPr>
        <w:t>-</w:t>
      </w:r>
      <w:r w:rsidRPr="007816A0">
        <w:rPr>
          <w:rFonts w:cs="Times New Roman"/>
        </w:rPr>
        <w:t xml:space="preserve">23. Wyatt 1998, 116. Wyatt 2009, 167. </w:t>
      </w:r>
      <w:r w:rsidR="00460AF1" w:rsidRPr="007816A0">
        <w:rPr>
          <w:rFonts w:cs="Times New Roman"/>
        </w:rPr>
        <w:t>López-Ruiz 2014B</w:t>
      </w:r>
      <w:r w:rsidRPr="007816A0">
        <w:rPr>
          <w:rFonts w:cs="Times New Roman"/>
        </w:rPr>
        <w:t>, 176.</w:t>
      </w:r>
    </w:p>
  </w:footnote>
  <w:footnote w:id="231">
    <w:p w14:paraId="1D1196BF" w14:textId="509D36CF"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KTU 1.6 II </w:t>
      </w:r>
      <w:r w:rsidR="000634D6" w:rsidRPr="007816A0">
        <w:rPr>
          <w:rFonts w:cs="Times New Roman"/>
        </w:rPr>
        <w:t xml:space="preserve">vv. </w:t>
      </w:r>
      <w:r w:rsidRPr="007816A0">
        <w:rPr>
          <w:rFonts w:cs="Times New Roman"/>
        </w:rPr>
        <w:t>30</w:t>
      </w:r>
      <w:r w:rsidR="005A2BD2" w:rsidRPr="007816A0">
        <w:rPr>
          <w:rFonts w:cs="Times New Roman"/>
        </w:rPr>
        <w:t>-</w:t>
      </w:r>
      <w:r w:rsidRPr="007816A0">
        <w:rPr>
          <w:rFonts w:cs="Times New Roman"/>
        </w:rPr>
        <w:t xml:space="preserve">35. Starr 1984, 241. Smith, Pitard 2009, 49. </w:t>
      </w:r>
      <w:r w:rsidR="00460AF1" w:rsidRPr="007816A0">
        <w:rPr>
          <w:rFonts w:cs="Times New Roman"/>
        </w:rPr>
        <w:t>López-Ruiz 2014B</w:t>
      </w:r>
      <w:r w:rsidRPr="007816A0">
        <w:rPr>
          <w:rFonts w:cs="Times New Roman"/>
        </w:rPr>
        <w:t>, 176.</w:t>
      </w:r>
    </w:p>
  </w:footnote>
  <w:footnote w:id="232">
    <w:p w14:paraId="58812B10" w14:textId="49050364"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Smith 1994, 355. </w:t>
      </w:r>
      <w:r w:rsidR="00460AF1" w:rsidRPr="007816A0">
        <w:rPr>
          <w:rFonts w:cs="Times New Roman"/>
        </w:rPr>
        <w:t>López-Ruiz 2014A</w:t>
      </w:r>
      <w:r w:rsidRPr="007816A0">
        <w:rPr>
          <w:rFonts w:cs="Times New Roman"/>
        </w:rPr>
        <w:t>, 3.</w:t>
      </w:r>
    </w:p>
  </w:footnote>
  <w:footnote w:id="233">
    <w:p w14:paraId="2361138E" w14:textId="22CA814A" w:rsidR="00080D94" w:rsidRPr="007816A0" w:rsidRDefault="00080D94" w:rsidP="00280D0B">
      <w:pPr>
        <w:pStyle w:val="FootnoteText"/>
        <w:rPr>
          <w:rFonts w:cs="Times New Roman"/>
        </w:rPr>
      </w:pPr>
      <w:r w:rsidRPr="007816A0">
        <w:rPr>
          <w:rStyle w:val="FootnoteReference"/>
          <w:rFonts w:cs="Times New Roman"/>
        </w:rPr>
        <w:footnoteRef/>
      </w:r>
      <w:r w:rsidRPr="007816A0">
        <w:rPr>
          <w:rFonts w:cs="Times New Roman"/>
        </w:rPr>
        <w:t xml:space="preserve"> KTU 1.6 II </w:t>
      </w:r>
      <w:r w:rsidR="000634D6" w:rsidRPr="007816A0">
        <w:rPr>
          <w:rFonts w:cs="Times New Roman"/>
        </w:rPr>
        <w:t xml:space="preserve">vv. </w:t>
      </w:r>
      <w:r w:rsidRPr="007816A0">
        <w:rPr>
          <w:rFonts w:cs="Times New Roman"/>
        </w:rPr>
        <w:t>30</w:t>
      </w:r>
      <w:r w:rsidR="005A2BD2" w:rsidRPr="007816A0">
        <w:rPr>
          <w:rFonts w:cs="Times New Roman"/>
        </w:rPr>
        <w:t>-</w:t>
      </w:r>
      <w:r w:rsidRPr="007816A0">
        <w:rPr>
          <w:rFonts w:cs="Times New Roman"/>
        </w:rPr>
        <w:t>42.</w:t>
      </w:r>
    </w:p>
  </w:footnote>
  <w:footnote w:id="234">
    <w:p w14:paraId="5BEFBEEF" w14:textId="577B4198" w:rsidR="00080D94" w:rsidRPr="007816A0" w:rsidRDefault="00080D94"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955889" w:rsidRPr="007816A0">
        <w:rPr>
          <w:rFonts w:cs="Times New Roman"/>
        </w:rPr>
        <w:t>KTU 1.6 V.</w:t>
      </w:r>
      <w:r w:rsidR="00ED7F46" w:rsidRPr="007816A0">
        <w:rPr>
          <w:rFonts w:cs="Times New Roman"/>
        </w:rPr>
        <w:t xml:space="preserve"> Ugaritic funerary texts indicate that the dead remained ritually significant after death rather than disappearing from religious life. RS 34.126 repeatedly invokes deceased rulers and ancestral shades as continuing members of the cosmic and communal order, suggesting a worldview in which death altered status rather than ending participation.</w:t>
      </w:r>
    </w:p>
  </w:footnote>
  <w:footnote w:id="235">
    <w:p w14:paraId="22811ADA" w14:textId="70F511AE"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60AF1" w:rsidRPr="007816A0">
        <w:rPr>
          <w:rFonts w:cs="Times New Roman"/>
        </w:rPr>
        <w:t>López-Ruiz 2014B</w:t>
      </w:r>
      <w:r w:rsidRPr="007816A0">
        <w:rPr>
          <w:rFonts w:cs="Times New Roman"/>
        </w:rPr>
        <w:t>, 181.</w:t>
      </w:r>
      <w:r w:rsidR="00D16399">
        <w:rPr>
          <w:rFonts w:cs="Times New Roman"/>
        </w:rPr>
        <w:t xml:space="preserve"> </w:t>
      </w:r>
      <w:r w:rsidRPr="007816A0">
        <w:rPr>
          <w:rFonts w:cs="Times New Roman"/>
        </w:rPr>
        <w:t>Smith, Pitard 2009, 122-123.</w:t>
      </w:r>
    </w:p>
  </w:footnote>
  <w:footnote w:id="236">
    <w:p w14:paraId="4DEFD41E" w14:textId="4DC8DFB0"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6E26EC" w:rsidRPr="007816A0">
        <w:rPr>
          <w:rFonts w:cs="Times New Roman"/>
        </w:rPr>
        <w:t>For a counter</w:t>
      </w:r>
      <w:r w:rsidR="00435483" w:rsidRPr="007816A0">
        <w:rPr>
          <w:rFonts w:cs="Times New Roman"/>
        </w:rPr>
        <w:t xml:space="preserve"> </w:t>
      </w:r>
      <w:r w:rsidR="006E26EC" w:rsidRPr="007816A0">
        <w:rPr>
          <w:rFonts w:cs="Times New Roman"/>
        </w:rPr>
        <w:t xml:space="preserve">argument against interpreting Anat primarily as a fertility goddess, see Footnote </w:t>
      </w:r>
      <w:r w:rsidR="006E26EC" w:rsidRPr="007816A0">
        <w:rPr>
          <w:rFonts w:cs="Times New Roman"/>
        </w:rPr>
        <w:fldChar w:fldCharType="begin"/>
      </w:r>
      <w:r w:rsidR="006E26EC" w:rsidRPr="007816A0">
        <w:rPr>
          <w:rFonts w:cs="Times New Roman"/>
        </w:rPr>
        <w:instrText xml:space="preserve"> NOTEREF _Ref224995600 \h  \* MERGEFORMAT </w:instrText>
      </w:r>
      <w:r w:rsidR="006E26EC" w:rsidRPr="007816A0">
        <w:rPr>
          <w:rFonts w:cs="Times New Roman"/>
        </w:rPr>
      </w:r>
      <w:r w:rsidR="006E26EC" w:rsidRPr="007816A0">
        <w:rPr>
          <w:rFonts w:cs="Times New Roman"/>
        </w:rPr>
        <w:fldChar w:fldCharType="separate"/>
      </w:r>
      <w:r w:rsidR="006E26EC" w:rsidRPr="007816A0">
        <w:rPr>
          <w:rFonts w:cs="Times New Roman"/>
        </w:rPr>
        <w:t>190</w:t>
      </w:r>
      <w:r w:rsidR="006E26EC" w:rsidRPr="007816A0">
        <w:rPr>
          <w:rFonts w:cs="Times New Roman"/>
        </w:rPr>
        <w:fldChar w:fldCharType="end"/>
      </w:r>
      <w:r w:rsidR="006E26EC" w:rsidRPr="007816A0">
        <w:rPr>
          <w:rFonts w:cs="Times New Roman"/>
        </w:rPr>
        <w:t>. Smith and Pitard (2009, 122</w:t>
      </w:r>
      <w:r w:rsidR="005A2BD2" w:rsidRPr="007816A0">
        <w:rPr>
          <w:rFonts w:cs="Times New Roman"/>
        </w:rPr>
        <w:t>-</w:t>
      </w:r>
      <w:r w:rsidR="006E26EC" w:rsidRPr="007816A0">
        <w:rPr>
          <w:rFonts w:cs="Times New Roman"/>
        </w:rPr>
        <w:t xml:space="preserve">123) likewise </w:t>
      </w:r>
      <w:r w:rsidR="00C020C4" w:rsidRPr="007816A0">
        <w:rPr>
          <w:rFonts w:cs="Times New Roman"/>
        </w:rPr>
        <w:t>emphasise</w:t>
      </w:r>
      <w:r w:rsidR="006E26EC" w:rsidRPr="007816A0">
        <w:rPr>
          <w:rFonts w:cs="Times New Roman"/>
        </w:rPr>
        <w:t xml:space="preserve"> Anat’s martial and violent characteristics over explicitly agricultural or fertility-</w:t>
      </w:r>
      <w:r w:rsidR="00F321A5" w:rsidRPr="007816A0">
        <w:rPr>
          <w:rFonts w:cs="Times New Roman"/>
        </w:rPr>
        <w:t xml:space="preserve">centred </w:t>
      </w:r>
      <w:r w:rsidR="006E26EC" w:rsidRPr="007816A0">
        <w:rPr>
          <w:rFonts w:cs="Times New Roman"/>
        </w:rPr>
        <w:t>functions.</w:t>
      </w:r>
    </w:p>
  </w:footnote>
  <w:footnote w:id="237">
    <w:p w14:paraId="712966E3" w14:textId="18CB439F"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Watson 1993, 50.</w:t>
      </w:r>
    </w:p>
  </w:footnote>
  <w:footnote w:id="238">
    <w:p w14:paraId="7A79923D" w14:textId="686CFEEC" w:rsidR="001E2285" w:rsidRPr="007816A0" w:rsidRDefault="001E2285" w:rsidP="00280D0B">
      <w:pPr>
        <w:pStyle w:val="FootnoteText"/>
        <w:rPr>
          <w:rFonts w:cs="Times New Roman"/>
        </w:rPr>
      </w:pPr>
      <w:r w:rsidRPr="007816A0">
        <w:rPr>
          <w:rStyle w:val="FootnoteReference"/>
          <w:rFonts w:cs="Times New Roman"/>
        </w:rPr>
        <w:footnoteRef/>
      </w:r>
      <w:r w:rsidRPr="007816A0">
        <w:rPr>
          <w:rFonts w:cs="Times New Roman"/>
        </w:rPr>
        <w:t xml:space="preserve"> Smith, Pitard 2009, 122-123</w:t>
      </w:r>
      <w:r w:rsidR="00700342" w:rsidRPr="007816A0">
        <w:rPr>
          <w:rFonts w:cs="Times New Roman"/>
        </w:rPr>
        <w:t>.</w:t>
      </w:r>
      <w:r w:rsidR="00F62C36" w:rsidRPr="007816A0">
        <w:rPr>
          <w:rFonts w:cs="Times New Roman"/>
        </w:rPr>
        <w:t xml:space="preserve"> de </w:t>
      </w:r>
      <w:r w:rsidR="00D65527" w:rsidRPr="007816A0">
        <w:rPr>
          <w:rFonts w:cs="Times New Roman"/>
        </w:rPr>
        <w:t>M</w:t>
      </w:r>
      <w:r w:rsidR="00F62C36" w:rsidRPr="007816A0">
        <w:rPr>
          <w:rFonts w:cs="Times New Roman"/>
        </w:rPr>
        <w:t>oor 1</w:t>
      </w:r>
      <w:r w:rsidR="00F321A5" w:rsidRPr="007816A0">
        <w:rPr>
          <w:rFonts w:cs="Times New Roman"/>
        </w:rPr>
        <w:t>9</w:t>
      </w:r>
      <w:r w:rsidR="00F62C36" w:rsidRPr="007816A0">
        <w:rPr>
          <w:rFonts w:cs="Times New Roman"/>
        </w:rPr>
        <w:t xml:space="preserve">87, </w:t>
      </w:r>
      <w:r w:rsidR="00D65B2B" w:rsidRPr="007816A0">
        <w:rPr>
          <w:rFonts w:cs="Times New Roman"/>
        </w:rPr>
        <w:t>238</w:t>
      </w:r>
      <w:r w:rsidR="005A2BD2" w:rsidRPr="007816A0">
        <w:rPr>
          <w:rFonts w:cs="Times New Roman"/>
        </w:rPr>
        <w:t>-</w:t>
      </w:r>
      <w:r w:rsidR="00D65B2B" w:rsidRPr="007816A0">
        <w:rPr>
          <w:rFonts w:cs="Times New Roman"/>
        </w:rPr>
        <w:t>39.</w:t>
      </w:r>
    </w:p>
  </w:footnote>
  <w:footnote w:id="239">
    <w:p w14:paraId="3D2834BE" w14:textId="77777777" w:rsidR="00CE4240" w:rsidRPr="007816A0" w:rsidRDefault="00CE4240" w:rsidP="00280D0B">
      <w:pPr>
        <w:pStyle w:val="FootnoteText"/>
        <w:rPr>
          <w:rFonts w:cs="Times New Roman"/>
        </w:rPr>
      </w:pPr>
      <w:r w:rsidRPr="007816A0">
        <w:rPr>
          <w:rStyle w:val="FootnoteReference"/>
          <w:rFonts w:cs="Times New Roman"/>
        </w:rPr>
        <w:footnoteRef/>
      </w:r>
      <w:r w:rsidRPr="007816A0">
        <w:rPr>
          <w:rFonts w:cs="Times New Roman"/>
        </w:rPr>
        <w:t xml:space="preserve"> Ayali-Darshan 2020, 79. López-Ruiz 2014A, 3. Smith 1994, 36.</w:t>
      </w:r>
    </w:p>
  </w:footnote>
  <w:footnote w:id="240">
    <w:p w14:paraId="1659B48C" w14:textId="2A7FE5B0" w:rsidR="002F398F" w:rsidRPr="007816A0" w:rsidRDefault="002F398F"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BB0094" w:rsidRPr="007816A0">
        <w:rPr>
          <w:rFonts w:cs="Times New Roman"/>
        </w:rPr>
        <w:t xml:space="preserve">Item registration 1885,0316.1 </w:t>
      </w:r>
      <w:r w:rsidRPr="007816A0">
        <w:rPr>
          <w:rFonts w:cs="Times New Roman"/>
        </w:rPr>
        <w:t>Photo courtesy of © The Trustees of the British Museum. Shared under a Creative Commons Attribution-</w:t>
      </w:r>
      <w:r w:rsidR="00725797" w:rsidRPr="007816A0">
        <w:rPr>
          <w:rFonts w:cs="Times New Roman"/>
        </w:rPr>
        <w:t>Non-</w:t>
      </w:r>
      <w:r w:rsidR="00F96726" w:rsidRPr="007816A0">
        <w:rPr>
          <w:rFonts w:cs="Times New Roman"/>
        </w:rPr>
        <w:t>Commercial</w:t>
      </w:r>
      <w:r w:rsidRPr="007816A0">
        <w:rPr>
          <w:rFonts w:cs="Times New Roman"/>
        </w:rPr>
        <w:t>-</w:t>
      </w:r>
      <w:r w:rsidR="00725797" w:rsidRPr="007816A0">
        <w:rPr>
          <w:rFonts w:cs="Times New Roman"/>
        </w:rPr>
        <w:t>Share Alike</w:t>
      </w:r>
      <w:r w:rsidRPr="007816A0">
        <w:rPr>
          <w:rFonts w:cs="Times New Roman"/>
        </w:rPr>
        <w:t xml:space="preserve"> 4.0 International (CC BY-NC-SA 4.0) license.</w:t>
      </w:r>
    </w:p>
  </w:footnote>
  <w:footnote w:id="241">
    <w:p w14:paraId="46012A65" w14:textId="43A8C076" w:rsidR="009B2ACB" w:rsidRPr="007816A0" w:rsidRDefault="009B2AC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547890" w:rsidRPr="007816A0">
        <w:rPr>
          <w:rFonts w:cs="Times New Roman"/>
        </w:rPr>
        <w:t xml:space="preserve">In Euripides’ </w:t>
      </w:r>
      <w:r w:rsidR="00547890" w:rsidRPr="007816A0">
        <w:rPr>
          <w:rFonts w:cs="Times New Roman"/>
          <w:i/>
          <w:iCs/>
        </w:rPr>
        <w:t>Helen</w:t>
      </w:r>
      <w:r w:rsidR="00547890" w:rsidRPr="007816A0">
        <w:rPr>
          <w:rFonts w:cs="Times New Roman"/>
        </w:rPr>
        <w:t xml:space="preserve"> (</w:t>
      </w:r>
      <w:r w:rsidR="00D15DF2" w:rsidRPr="007816A0">
        <w:rPr>
          <w:rFonts w:cs="Times New Roman"/>
        </w:rPr>
        <w:t>vv</w:t>
      </w:r>
      <w:r w:rsidR="006C152D" w:rsidRPr="007816A0">
        <w:rPr>
          <w:rFonts w:cs="Times New Roman"/>
        </w:rPr>
        <w:t xml:space="preserve">. </w:t>
      </w:r>
      <w:r w:rsidR="00547890" w:rsidRPr="007816A0">
        <w:rPr>
          <w:rFonts w:cs="Times New Roman"/>
        </w:rPr>
        <w:t>1301</w:t>
      </w:r>
      <w:r w:rsidR="005A2BD2" w:rsidRPr="007816A0">
        <w:rPr>
          <w:rFonts w:cs="Times New Roman"/>
        </w:rPr>
        <w:t>-</w:t>
      </w:r>
      <w:r w:rsidR="00547890" w:rsidRPr="007816A0">
        <w:rPr>
          <w:rFonts w:cs="Times New Roman"/>
        </w:rPr>
        <w:t xml:space="preserve">1307), the choral ode invokes the </w:t>
      </w:r>
      <w:r w:rsidR="00A652AD" w:rsidRPr="007816A0">
        <w:rPr>
          <w:rFonts w:cs="Times New Roman"/>
        </w:rPr>
        <w:t>“</w:t>
      </w:r>
      <w:r w:rsidR="00547890" w:rsidRPr="007816A0">
        <w:rPr>
          <w:rFonts w:cs="Times New Roman"/>
        </w:rPr>
        <w:t>Mother of the Gods</w:t>
      </w:r>
      <w:r w:rsidR="00A652AD" w:rsidRPr="007816A0">
        <w:rPr>
          <w:rFonts w:cs="Times New Roman"/>
        </w:rPr>
        <w:t>”</w:t>
      </w:r>
      <w:r w:rsidR="00547890" w:rsidRPr="007816A0">
        <w:rPr>
          <w:rFonts w:cs="Times New Roman"/>
        </w:rPr>
        <w:t xml:space="preserve"> in language traditionally associated with Rhea or Cybele while simultaneously drawing upon Demeter’s grief for Persephone. Kovacs’s editorial commentary notes the poem’s deliberate blending of maternal-goddess imagery within a mourning context. The passage therefore reflects poetic and cultic overlap among maternal and chthonic divine figures in Greek religious thought without requiring strict theological equivalence between Demeter, Rhea, and Cybele.</w:t>
      </w:r>
      <w:r w:rsidR="001B5C3B" w:rsidRPr="007816A0">
        <w:rPr>
          <w:rFonts w:cs="Times New Roman"/>
        </w:rPr>
        <w:t xml:space="preserve"> </w:t>
      </w:r>
      <w:r w:rsidR="00847004" w:rsidRPr="007816A0">
        <w:rPr>
          <w:rFonts w:cs="Times New Roman"/>
        </w:rPr>
        <w:t xml:space="preserve">Euripides </w:t>
      </w:r>
      <w:r w:rsidR="006C152D" w:rsidRPr="007816A0">
        <w:rPr>
          <w:rFonts w:cs="Times New Roman"/>
        </w:rPr>
        <w:t>2002</w:t>
      </w:r>
      <w:r w:rsidR="00847004" w:rsidRPr="007816A0">
        <w:rPr>
          <w:rFonts w:cs="Times New Roman"/>
        </w:rPr>
        <w:t xml:space="preserve"> Helen, </w:t>
      </w:r>
      <w:r w:rsidR="00D15DF2" w:rsidRPr="007816A0">
        <w:rPr>
          <w:rFonts w:cs="Times New Roman"/>
        </w:rPr>
        <w:t>vv</w:t>
      </w:r>
      <w:r w:rsidR="00547890" w:rsidRPr="007816A0">
        <w:rPr>
          <w:rFonts w:cs="Times New Roman"/>
        </w:rPr>
        <w:t>.</w:t>
      </w:r>
      <w:r w:rsidR="00847004" w:rsidRPr="007816A0">
        <w:rPr>
          <w:rFonts w:cs="Times New Roman"/>
        </w:rPr>
        <w:t xml:space="preserve"> 1301-1307.</w:t>
      </w:r>
      <w:r w:rsidR="00A044F7" w:rsidRPr="007816A0">
        <w:rPr>
          <w:rFonts w:cs="Times New Roman"/>
        </w:rPr>
        <w:t xml:space="preserve"> Hesiod </w:t>
      </w:r>
      <w:r w:rsidR="002F12DD" w:rsidRPr="007816A0">
        <w:rPr>
          <w:rFonts w:cs="Times New Roman"/>
        </w:rPr>
        <w:t>2018C Theogony</w:t>
      </w:r>
      <w:r w:rsidR="00725797" w:rsidRPr="007816A0">
        <w:rPr>
          <w:rFonts w:cs="Times New Roman"/>
        </w:rPr>
        <w:t>, I</w:t>
      </w:r>
      <w:r w:rsidR="00A044F7" w:rsidRPr="007816A0">
        <w:rPr>
          <w:rFonts w:cs="Times New Roman"/>
        </w:rPr>
        <w:t xml:space="preserve"> 39. Athanassakis, Apostolos et al. 2013, 211. Manos, Weber et al. 2023, 775. Rigoglioso 2010, 101</w:t>
      </w:r>
      <w:r w:rsidR="00547890" w:rsidRPr="007816A0">
        <w:rPr>
          <w:rFonts w:cs="Times New Roman"/>
        </w:rPr>
        <w:t>.</w:t>
      </w:r>
    </w:p>
  </w:footnote>
  <w:footnote w:id="242">
    <w:p w14:paraId="6D8D88ED" w14:textId="71339EE3" w:rsidR="00B34197" w:rsidRPr="007816A0" w:rsidRDefault="00B34197" w:rsidP="00280D0B">
      <w:pPr>
        <w:pStyle w:val="FootnoteText"/>
        <w:rPr>
          <w:rFonts w:cs="Times New Roman"/>
        </w:rPr>
      </w:pPr>
      <w:r w:rsidRPr="007816A0">
        <w:rPr>
          <w:rStyle w:val="FootnoteReference"/>
          <w:rFonts w:cs="Times New Roman"/>
        </w:rPr>
        <w:footnoteRef/>
      </w:r>
      <w:r w:rsidRPr="007816A0">
        <w:rPr>
          <w:rFonts w:cs="Times New Roman"/>
        </w:rPr>
        <w:t xml:space="preserve"> Manos, Weber et al. 2023, 776.</w:t>
      </w:r>
      <w:r w:rsidR="00F52953" w:rsidRPr="007816A0">
        <w:rPr>
          <w:rFonts w:cs="Times New Roman"/>
        </w:rPr>
        <w:t xml:space="preserve"> </w:t>
      </w:r>
      <w:r w:rsidR="00A044F7" w:rsidRPr="007816A0">
        <w:rPr>
          <w:rFonts w:cs="Times New Roman"/>
        </w:rPr>
        <w:t xml:space="preserve">Rigoglioso 2010, 151. </w:t>
      </w:r>
      <w:r w:rsidR="00270F8B" w:rsidRPr="007816A0">
        <w:rPr>
          <w:rFonts w:cs="Times New Roman"/>
        </w:rPr>
        <w:t>Parker R 2005</w:t>
      </w:r>
      <w:r w:rsidR="00B92E64" w:rsidRPr="007816A0">
        <w:rPr>
          <w:rFonts w:cs="Times New Roman"/>
        </w:rPr>
        <w:t>, 275.</w:t>
      </w:r>
    </w:p>
  </w:footnote>
  <w:footnote w:id="243">
    <w:p w14:paraId="073E1480" w14:textId="38AC5299" w:rsidR="001B369A" w:rsidRPr="007816A0" w:rsidRDefault="001B369A"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044F7" w:rsidRPr="007816A0">
        <w:rPr>
          <w:rFonts w:cs="Times New Roman"/>
        </w:rPr>
        <w:t xml:space="preserve">Rigoglioso 2010, 99,189. </w:t>
      </w:r>
      <w:r w:rsidRPr="007816A0">
        <w:rPr>
          <w:rFonts w:cs="Times New Roman"/>
        </w:rPr>
        <w:t>Athanassakis, Apostolos et al. 2013, 211-212.</w:t>
      </w:r>
    </w:p>
  </w:footnote>
  <w:footnote w:id="244">
    <w:p w14:paraId="5C131D0F" w14:textId="3F839793" w:rsidR="00C51EF7" w:rsidRPr="007816A0" w:rsidRDefault="00C51EF7" w:rsidP="00FF5850">
      <w:pPr>
        <w:pStyle w:val="FootnoteText"/>
        <w:rPr>
          <w:rFonts w:cs="Times New Roman"/>
        </w:rPr>
      </w:pPr>
      <w:r w:rsidRPr="007816A0">
        <w:rPr>
          <w:rStyle w:val="FootnoteReference"/>
          <w:rFonts w:cs="Times New Roman"/>
        </w:rPr>
        <w:footnoteRef/>
      </w:r>
      <w:r w:rsidRPr="007816A0">
        <w:rPr>
          <w:rFonts w:cs="Times New Roman"/>
        </w:rPr>
        <w:t xml:space="preserve"> Athanassakis, Apostolos et al. 2013, 211-212.</w:t>
      </w:r>
      <w:r w:rsidR="00A044F7" w:rsidRPr="007816A0">
        <w:rPr>
          <w:rFonts w:cs="Times New Roman"/>
        </w:rPr>
        <w:t xml:space="preserve"> Rigoglioso 2010, </w:t>
      </w:r>
      <w:r w:rsidR="00BA35E7" w:rsidRPr="007816A0">
        <w:rPr>
          <w:rFonts w:cs="Times New Roman"/>
        </w:rPr>
        <w:t xml:space="preserve">99, </w:t>
      </w:r>
      <w:r w:rsidR="00A044F7" w:rsidRPr="007816A0">
        <w:rPr>
          <w:rFonts w:cs="Times New Roman"/>
        </w:rPr>
        <w:t>101.</w:t>
      </w:r>
    </w:p>
  </w:footnote>
  <w:footnote w:id="245">
    <w:p w14:paraId="78E72C6A" w14:textId="38F8FFDB" w:rsidR="00DD3C76" w:rsidRPr="007816A0" w:rsidRDefault="00DD3C76" w:rsidP="00280D0B">
      <w:pPr>
        <w:pStyle w:val="FootnoteText"/>
        <w:rPr>
          <w:rFonts w:cs="Times New Roman"/>
        </w:rPr>
      </w:pPr>
      <w:r w:rsidRPr="007816A0">
        <w:rPr>
          <w:rStyle w:val="FootnoteReference"/>
          <w:rFonts w:cs="Times New Roman"/>
        </w:rPr>
        <w:footnoteRef/>
      </w:r>
      <w:r w:rsidRPr="007816A0">
        <w:rPr>
          <w:rFonts w:cs="Times New Roman"/>
        </w:rPr>
        <w:t xml:space="preserve"> Athanassakis, Apostolos et al. 2013, 211-213.</w:t>
      </w:r>
    </w:p>
  </w:footnote>
  <w:footnote w:id="246">
    <w:p w14:paraId="5964BFA5" w14:textId="139EC7CE" w:rsidR="00EC62D6" w:rsidRPr="007816A0" w:rsidRDefault="00EC62D6"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F0745" w:rsidRPr="007816A0">
        <w:rPr>
          <w:rFonts w:cs="Times New Roman"/>
        </w:rPr>
        <w:t xml:space="preserve">Manos, Weber et al. 2023, 726. </w:t>
      </w:r>
      <w:r w:rsidRPr="007816A0">
        <w:rPr>
          <w:rFonts w:cs="Times New Roman"/>
        </w:rPr>
        <w:t>Gasparro 2005, 2269.</w:t>
      </w:r>
      <w:r w:rsidR="00DD3C76" w:rsidRPr="007816A0">
        <w:rPr>
          <w:rFonts w:cs="Times New Roman"/>
        </w:rPr>
        <w:t xml:space="preserve"> </w:t>
      </w:r>
      <w:r w:rsidR="002759BF" w:rsidRPr="007816A0">
        <w:rPr>
          <w:rFonts w:cs="Times New Roman"/>
        </w:rPr>
        <w:t>Richardson 2012, 1.</w:t>
      </w:r>
    </w:p>
  </w:footnote>
  <w:footnote w:id="247">
    <w:p w14:paraId="08AA7DF7" w14:textId="038DB179" w:rsidR="001F0745" w:rsidRPr="007816A0" w:rsidRDefault="001F0745" w:rsidP="00280D0B">
      <w:pPr>
        <w:pStyle w:val="FootnoteText"/>
        <w:rPr>
          <w:rFonts w:cs="Times New Roman"/>
        </w:rPr>
      </w:pPr>
      <w:r w:rsidRPr="007816A0">
        <w:rPr>
          <w:rStyle w:val="FootnoteReference"/>
          <w:rFonts w:cs="Times New Roman"/>
        </w:rPr>
        <w:footnoteRef/>
      </w:r>
      <w:r w:rsidRPr="007816A0">
        <w:rPr>
          <w:rFonts w:cs="Times New Roman"/>
        </w:rPr>
        <w:t xml:space="preserve"> Manos, Weber et al. 2023, 726.</w:t>
      </w:r>
    </w:p>
  </w:footnote>
  <w:footnote w:id="248">
    <w:p w14:paraId="5518FC60" w14:textId="522014F9" w:rsidR="000E6FD4" w:rsidRPr="007816A0" w:rsidRDefault="000E6FD4"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EA7F3B" w:rsidRPr="007816A0">
        <w:rPr>
          <w:rFonts w:cs="Times New Roman"/>
        </w:rPr>
        <w:t xml:space="preserve">Rigoglioso 2010, 100-101. </w:t>
      </w:r>
      <w:r w:rsidR="00270F8B" w:rsidRPr="007816A0">
        <w:rPr>
          <w:rFonts w:cs="Times New Roman"/>
        </w:rPr>
        <w:t>Parker R 2005</w:t>
      </w:r>
      <w:r w:rsidRPr="007816A0">
        <w:rPr>
          <w:rFonts w:cs="Times New Roman"/>
        </w:rPr>
        <w:t>, 272.</w:t>
      </w:r>
      <w:r w:rsidR="00DF5486" w:rsidRPr="007816A0">
        <w:rPr>
          <w:rFonts w:cs="Times New Roman"/>
        </w:rPr>
        <w:t xml:space="preserve"> </w:t>
      </w:r>
      <w:r w:rsidR="009E0D4F" w:rsidRPr="007816A0">
        <w:rPr>
          <w:rFonts w:cs="Times New Roman"/>
        </w:rPr>
        <w:t>Gods and Goddesses 2001</w:t>
      </w:r>
      <w:r w:rsidR="00DF5486" w:rsidRPr="007816A0">
        <w:rPr>
          <w:rFonts w:cs="Times New Roman"/>
        </w:rPr>
        <w:t>, 280.</w:t>
      </w:r>
    </w:p>
  </w:footnote>
  <w:footnote w:id="249">
    <w:p w14:paraId="385845D9" w14:textId="7BBF4820" w:rsidR="004B028F" w:rsidRPr="007816A0" w:rsidRDefault="004B028F"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547890" w:rsidRPr="007816A0">
        <w:rPr>
          <w:rFonts w:cs="Times New Roman"/>
        </w:rPr>
        <w:t xml:space="preserve">In </w:t>
      </w:r>
      <w:r w:rsidR="00547890" w:rsidRPr="007816A0">
        <w:rPr>
          <w:rFonts w:cs="Times New Roman"/>
          <w:i/>
          <w:iCs/>
        </w:rPr>
        <w:t>Works and Days</w:t>
      </w:r>
      <w:r w:rsidR="00547890" w:rsidRPr="007816A0">
        <w:rPr>
          <w:rFonts w:cs="Times New Roman"/>
        </w:rPr>
        <w:t xml:space="preserve"> (465</w:t>
      </w:r>
      <w:r w:rsidR="005A2BD2" w:rsidRPr="007816A0">
        <w:rPr>
          <w:rFonts w:cs="Times New Roman"/>
        </w:rPr>
        <w:t>-</w:t>
      </w:r>
      <w:r w:rsidR="00547890" w:rsidRPr="007816A0">
        <w:rPr>
          <w:rFonts w:cs="Times New Roman"/>
        </w:rPr>
        <w:t xml:space="preserve">478), Hesiod preserves a prayer to Demeter and Zeus associated with ploughing and agricultural </w:t>
      </w:r>
      <w:r w:rsidR="00AD63B5" w:rsidRPr="007816A0">
        <w:rPr>
          <w:rFonts w:cs="Times New Roman"/>
        </w:rPr>
        <w:t>labour</w:t>
      </w:r>
      <w:r w:rsidR="00547890" w:rsidRPr="007816A0">
        <w:rPr>
          <w:rFonts w:cs="Times New Roman"/>
        </w:rPr>
        <w:t xml:space="preserve">. Homer’s </w:t>
      </w:r>
      <w:r w:rsidR="00547890" w:rsidRPr="007816A0">
        <w:rPr>
          <w:rFonts w:cs="Times New Roman"/>
          <w:i/>
          <w:iCs/>
        </w:rPr>
        <w:t>Iliad</w:t>
      </w:r>
      <w:r w:rsidR="00547890" w:rsidRPr="007816A0">
        <w:rPr>
          <w:rFonts w:cs="Times New Roman"/>
        </w:rPr>
        <w:t xml:space="preserve"> (5.499</w:t>
      </w:r>
      <w:r w:rsidR="005A2BD2" w:rsidRPr="007816A0">
        <w:rPr>
          <w:rFonts w:cs="Times New Roman"/>
        </w:rPr>
        <w:t>-</w:t>
      </w:r>
      <w:r w:rsidR="00547890" w:rsidRPr="007816A0">
        <w:rPr>
          <w:rFonts w:cs="Times New Roman"/>
        </w:rPr>
        <w:t xml:space="preserve">502) likewise depicts Demeter winnowing grain as she </w:t>
      </w:r>
      <w:r w:rsidR="00A652AD" w:rsidRPr="007816A0">
        <w:rPr>
          <w:rFonts w:cs="Times New Roman"/>
        </w:rPr>
        <w:t>“</w:t>
      </w:r>
      <w:r w:rsidR="00547890" w:rsidRPr="007816A0">
        <w:rPr>
          <w:rFonts w:cs="Times New Roman"/>
        </w:rPr>
        <w:t>separates the grain from the chaff,</w:t>
      </w:r>
      <w:r w:rsidR="00A652AD" w:rsidRPr="007816A0">
        <w:rPr>
          <w:rFonts w:cs="Times New Roman"/>
        </w:rPr>
        <w:t>”</w:t>
      </w:r>
      <w:r w:rsidR="00547890" w:rsidRPr="007816A0">
        <w:rPr>
          <w:rFonts w:cs="Times New Roman"/>
        </w:rPr>
        <w:t xml:space="preserve"> reinforcing her role as a goddess directly associated with cultivation, harvest, and the ordered processes of agrarian life. See Hesiod 2018</w:t>
      </w:r>
      <w:r w:rsidR="002F12DD" w:rsidRPr="007816A0">
        <w:rPr>
          <w:rFonts w:cs="Times New Roman"/>
        </w:rPr>
        <w:t>A</w:t>
      </w:r>
      <w:r w:rsidR="00547890" w:rsidRPr="007816A0">
        <w:rPr>
          <w:rFonts w:cs="Times New Roman"/>
        </w:rPr>
        <w:t xml:space="preserve"> </w:t>
      </w:r>
      <w:r w:rsidR="00547890" w:rsidRPr="007816A0">
        <w:rPr>
          <w:rFonts w:cs="Times New Roman"/>
          <w:i/>
          <w:iCs/>
        </w:rPr>
        <w:t>Works and Days</w:t>
      </w:r>
      <w:r w:rsidR="00547890" w:rsidRPr="007816A0">
        <w:rPr>
          <w:rFonts w:cs="Times New Roman"/>
        </w:rPr>
        <w:t xml:space="preserve">, </w:t>
      </w:r>
      <w:r w:rsidR="00D15DF2" w:rsidRPr="007816A0">
        <w:rPr>
          <w:rFonts w:cs="Times New Roman"/>
        </w:rPr>
        <w:t>vv</w:t>
      </w:r>
      <w:r w:rsidR="00BF7940" w:rsidRPr="007816A0">
        <w:rPr>
          <w:rFonts w:cs="Times New Roman"/>
        </w:rPr>
        <w:t>.</w:t>
      </w:r>
      <w:r w:rsidR="00547890" w:rsidRPr="007816A0">
        <w:rPr>
          <w:rFonts w:cs="Times New Roman"/>
        </w:rPr>
        <w:t xml:space="preserve"> 465</w:t>
      </w:r>
      <w:r w:rsidR="005A2BD2" w:rsidRPr="007816A0">
        <w:rPr>
          <w:rFonts w:cs="Times New Roman"/>
        </w:rPr>
        <w:t>-</w:t>
      </w:r>
      <w:r w:rsidR="00547890" w:rsidRPr="007816A0">
        <w:rPr>
          <w:rFonts w:cs="Times New Roman"/>
        </w:rPr>
        <w:t xml:space="preserve">478; Homer </w:t>
      </w:r>
      <w:r w:rsidR="007D1C3D" w:rsidRPr="007816A0">
        <w:rPr>
          <w:rFonts w:cs="Times New Roman"/>
        </w:rPr>
        <w:t>2004</w:t>
      </w:r>
      <w:r w:rsidR="00547890" w:rsidRPr="007816A0">
        <w:rPr>
          <w:rFonts w:cs="Times New Roman"/>
        </w:rPr>
        <w:t xml:space="preserve">, </w:t>
      </w:r>
      <w:r w:rsidR="00547890" w:rsidRPr="007816A0">
        <w:rPr>
          <w:rFonts w:cs="Times New Roman"/>
          <w:i/>
          <w:iCs/>
        </w:rPr>
        <w:t>Iliad</w:t>
      </w:r>
      <w:r w:rsidR="00547890" w:rsidRPr="007816A0">
        <w:rPr>
          <w:rFonts w:cs="Times New Roman"/>
        </w:rPr>
        <w:t xml:space="preserve"> </w:t>
      </w:r>
      <w:r w:rsidR="007D1C3D" w:rsidRPr="007816A0">
        <w:rPr>
          <w:rFonts w:cs="Times New Roman"/>
        </w:rPr>
        <w:t>V</w:t>
      </w:r>
      <w:r w:rsidR="00547890" w:rsidRPr="007816A0">
        <w:rPr>
          <w:rFonts w:cs="Times New Roman"/>
        </w:rPr>
        <w:t>; Athanassakis et al. 2013, 213</w:t>
      </w:r>
      <w:r w:rsidR="005A2BD2" w:rsidRPr="007816A0">
        <w:rPr>
          <w:rFonts w:cs="Times New Roman"/>
        </w:rPr>
        <w:t>-</w:t>
      </w:r>
      <w:r w:rsidR="00547890" w:rsidRPr="007816A0">
        <w:rPr>
          <w:rFonts w:cs="Times New Roman"/>
        </w:rPr>
        <w:t>214; Rigoglioso 2010, 107.</w:t>
      </w:r>
    </w:p>
  </w:footnote>
  <w:footnote w:id="250">
    <w:p w14:paraId="353B96F1" w14:textId="747FBB40" w:rsidR="00B0608A" w:rsidRPr="007816A0" w:rsidRDefault="00B0608A" w:rsidP="00280D0B">
      <w:pPr>
        <w:pStyle w:val="FootnoteText"/>
        <w:rPr>
          <w:rFonts w:cs="Times New Roman"/>
        </w:rPr>
      </w:pPr>
      <w:r w:rsidRPr="007816A0">
        <w:rPr>
          <w:rStyle w:val="FootnoteReference"/>
          <w:rFonts w:cs="Times New Roman"/>
        </w:rPr>
        <w:footnoteRef/>
      </w:r>
      <w:r w:rsidRPr="007816A0">
        <w:rPr>
          <w:rFonts w:cs="Times New Roman"/>
        </w:rPr>
        <w:t xml:space="preserve"> Athanassakis, Apostolos et al. 2013, 59-60.</w:t>
      </w:r>
      <w:r w:rsidR="00DE37E5" w:rsidRPr="007816A0">
        <w:rPr>
          <w:rFonts w:cs="Times New Roman"/>
        </w:rPr>
        <w:t xml:space="preserve"> Homer 2017 </w:t>
      </w:r>
      <w:r w:rsidR="00DE37E5" w:rsidRPr="007816A0">
        <w:rPr>
          <w:rFonts w:cs="Times New Roman"/>
          <w:i/>
          <w:iCs/>
        </w:rPr>
        <w:t>Iliad</w:t>
      </w:r>
      <w:r w:rsidR="00E93A25" w:rsidRPr="007816A0">
        <w:rPr>
          <w:rFonts w:cs="Times New Roman"/>
        </w:rPr>
        <w:t xml:space="preserve"> </w:t>
      </w:r>
      <w:r w:rsidR="00DE37E5" w:rsidRPr="007816A0">
        <w:rPr>
          <w:rFonts w:cs="Times New Roman"/>
        </w:rPr>
        <w:t xml:space="preserve">V </w:t>
      </w:r>
      <w:r w:rsidR="00E93A25" w:rsidRPr="007816A0">
        <w:rPr>
          <w:rFonts w:cs="Times New Roman"/>
        </w:rPr>
        <w:t xml:space="preserve">vv. </w:t>
      </w:r>
      <w:r w:rsidR="00DE37E5" w:rsidRPr="007816A0">
        <w:rPr>
          <w:rFonts w:cs="Times New Roman"/>
        </w:rPr>
        <w:t>499</w:t>
      </w:r>
      <w:r w:rsidR="005A2BD2" w:rsidRPr="007816A0">
        <w:rPr>
          <w:rFonts w:cs="Times New Roman"/>
        </w:rPr>
        <w:t>-</w:t>
      </w:r>
      <w:r w:rsidR="00DE37E5" w:rsidRPr="007816A0">
        <w:rPr>
          <w:rFonts w:cs="Times New Roman"/>
        </w:rPr>
        <w:t>502.</w:t>
      </w:r>
    </w:p>
  </w:footnote>
  <w:footnote w:id="251">
    <w:p w14:paraId="08476698" w14:textId="5F5A8F3B" w:rsidR="00EA7F3B" w:rsidRPr="007816A0" w:rsidRDefault="00EA7F3B" w:rsidP="00280D0B">
      <w:pPr>
        <w:pStyle w:val="FootnoteText"/>
        <w:rPr>
          <w:rFonts w:cs="Times New Roman"/>
        </w:rPr>
      </w:pPr>
      <w:r w:rsidRPr="007816A0">
        <w:rPr>
          <w:rStyle w:val="FootnoteReference"/>
          <w:rFonts w:cs="Times New Roman"/>
        </w:rPr>
        <w:footnoteRef/>
      </w:r>
      <w:r w:rsidRPr="007816A0">
        <w:rPr>
          <w:rFonts w:cs="Times New Roman"/>
        </w:rPr>
        <w:t xml:space="preserve"> Rigoglioso 2010, 107.</w:t>
      </w:r>
    </w:p>
  </w:footnote>
  <w:footnote w:id="252">
    <w:p w14:paraId="5B8F09B8" w14:textId="1639541A" w:rsidR="00EC62D6" w:rsidRPr="007816A0" w:rsidRDefault="00EC62D6"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7D1C3D" w:rsidRPr="007816A0">
        <w:rPr>
          <w:rFonts w:cs="Times New Roman"/>
        </w:rPr>
        <w:t xml:space="preserve">Homer, Hesiod 2008 </w:t>
      </w:r>
      <w:r w:rsidR="007D1C3D" w:rsidRPr="007816A0">
        <w:rPr>
          <w:rFonts w:cs="Times New Roman"/>
          <w:i/>
          <w:iCs/>
        </w:rPr>
        <w:t>Demeter</w:t>
      </w:r>
      <w:r w:rsidR="001B369A" w:rsidRPr="007816A0">
        <w:rPr>
          <w:rFonts w:cs="Times New Roman"/>
        </w:rPr>
        <w:t xml:space="preserve">, </w:t>
      </w:r>
      <w:r w:rsidR="00D15DF2" w:rsidRPr="007816A0">
        <w:rPr>
          <w:rFonts w:cs="Times New Roman"/>
        </w:rPr>
        <w:t>vv</w:t>
      </w:r>
      <w:r w:rsidR="007D1C3D" w:rsidRPr="007816A0">
        <w:rPr>
          <w:rFonts w:cs="Times New Roman"/>
        </w:rPr>
        <w:t xml:space="preserve">. </w:t>
      </w:r>
      <w:r w:rsidR="001B369A" w:rsidRPr="007816A0">
        <w:rPr>
          <w:rFonts w:cs="Times New Roman"/>
        </w:rPr>
        <w:t>304-312.</w:t>
      </w:r>
      <w:r w:rsidR="00531FBB" w:rsidRPr="007816A0">
        <w:rPr>
          <w:rFonts w:cs="Times New Roman"/>
        </w:rPr>
        <w:t xml:space="preserve"> </w:t>
      </w:r>
      <w:r w:rsidR="00EA7F3B" w:rsidRPr="007816A0">
        <w:rPr>
          <w:rFonts w:cs="Times New Roman"/>
        </w:rPr>
        <w:t>Rigoglioso 2010, 99.</w:t>
      </w:r>
    </w:p>
  </w:footnote>
  <w:footnote w:id="253">
    <w:p w14:paraId="35010ECE" w14:textId="5BD6787D" w:rsidR="00DE37E5" w:rsidRPr="007816A0" w:rsidRDefault="00DE37E5"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Pr="00643239">
        <w:rPr>
          <w:rFonts w:cs="Times New Roman"/>
          <w:i/>
          <w:iCs/>
        </w:rPr>
        <w:t>Homeric Hymn</w:t>
      </w:r>
      <w:r w:rsidRPr="007816A0">
        <w:rPr>
          <w:rFonts w:cs="Times New Roman"/>
        </w:rPr>
        <w:t xml:space="preserve"> </w:t>
      </w:r>
      <w:r w:rsidR="007D1C3D" w:rsidRPr="007816A0">
        <w:rPr>
          <w:rFonts w:cs="Times New Roman"/>
        </w:rPr>
        <w:t xml:space="preserve">2008 </w:t>
      </w:r>
      <w:r w:rsidRPr="007816A0">
        <w:rPr>
          <w:rFonts w:cs="Times New Roman"/>
          <w:i/>
          <w:iCs/>
        </w:rPr>
        <w:t>Demeter</w:t>
      </w:r>
      <w:r w:rsidRPr="007816A0">
        <w:rPr>
          <w:rFonts w:cs="Times New Roman"/>
        </w:rPr>
        <w:t xml:space="preserve">, </w:t>
      </w:r>
      <w:r w:rsidR="00D15DF2" w:rsidRPr="007816A0">
        <w:rPr>
          <w:rFonts w:cs="Times New Roman"/>
        </w:rPr>
        <w:t>vv</w:t>
      </w:r>
      <w:r w:rsidR="00BF7940" w:rsidRPr="007816A0">
        <w:rPr>
          <w:rFonts w:cs="Times New Roman"/>
        </w:rPr>
        <w:t>.</w:t>
      </w:r>
      <w:r w:rsidRPr="007816A0">
        <w:rPr>
          <w:rFonts w:cs="Times New Roman"/>
        </w:rPr>
        <w:t xml:space="preserve"> 305-311</w:t>
      </w:r>
      <w:r w:rsidR="001B369A" w:rsidRPr="007816A0">
        <w:rPr>
          <w:rFonts w:cs="Times New Roman"/>
        </w:rPr>
        <w:t>, 331-341</w:t>
      </w:r>
      <w:r w:rsidRPr="007816A0">
        <w:rPr>
          <w:rFonts w:cs="Times New Roman"/>
        </w:rPr>
        <w:t>.</w:t>
      </w:r>
      <w:r w:rsidR="00EA7F3B" w:rsidRPr="007816A0">
        <w:rPr>
          <w:rFonts w:cs="Times New Roman"/>
        </w:rPr>
        <w:t xml:space="preserve"> Rigoglioso 2010, 99.</w:t>
      </w:r>
    </w:p>
  </w:footnote>
  <w:footnote w:id="254">
    <w:p w14:paraId="110CA2CC" w14:textId="1F92C2F5" w:rsidR="00AB1E3A" w:rsidRPr="007816A0" w:rsidRDefault="00AB1E3A" w:rsidP="00280D0B">
      <w:pPr>
        <w:pStyle w:val="FootnoteText"/>
        <w:rPr>
          <w:rFonts w:cs="Times New Roman"/>
        </w:rPr>
      </w:pPr>
      <w:r w:rsidRPr="007816A0">
        <w:rPr>
          <w:rStyle w:val="FootnoteReference"/>
          <w:rFonts w:cs="Times New Roman"/>
        </w:rPr>
        <w:footnoteRef/>
      </w:r>
      <w:r w:rsidRPr="007816A0">
        <w:rPr>
          <w:rFonts w:cs="Times New Roman"/>
        </w:rPr>
        <w:t xml:space="preserve"> Hesiod </w:t>
      </w:r>
      <w:r w:rsidR="002F12DD" w:rsidRPr="007816A0">
        <w:rPr>
          <w:rFonts w:cs="Times New Roman"/>
        </w:rPr>
        <w:t>2018C Theogony</w:t>
      </w:r>
      <w:r w:rsidRPr="007816A0">
        <w:rPr>
          <w:rFonts w:cs="Times New Roman"/>
        </w:rPr>
        <w:t xml:space="preserve">, I 912-914. Plautus (1979, 43, </w:t>
      </w:r>
      <w:r w:rsidR="00C83237" w:rsidRPr="007816A0">
        <w:rPr>
          <w:rFonts w:cs="Times New Roman"/>
        </w:rPr>
        <w:t>v</w:t>
      </w:r>
      <w:r w:rsidR="00D15DF2" w:rsidRPr="007816A0">
        <w:rPr>
          <w:rFonts w:cs="Times New Roman"/>
        </w:rPr>
        <w:t>v</w:t>
      </w:r>
      <w:r w:rsidR="00BF7940" w:rsidRPr="007816A0">
        <w:rPr>
          <w:rFonts w:cs="Times New Roman"/>
        </w:rPr>
        <w:t>.</w:t>
      </w:r>
      <w:r w:rsidRPr="007816A0">
        <w:rPr>
          <w:rFonts w:cs="Times New Roman"/>
        </w:rPr>
        <w:t xml:space="preserve"> 103-106) even jokes about Zeus’s </w:t>
      </w:r>
      <w:r w:rsidR="00A652AD" w:rsidRPr="007816A0">
        <w:rPr>
          <w:rFonts w:cs="Times New Roman"/>
        </w:rPr>
        <w:t>“</w:t>
      </w:r>
      <w:r w:rsidRPr="007816A0">
        <w:rPr>
          <w:rFonts w:cs="Times New Roman"/>
        </w:rPr>
        <w:t>roving eye.</w:t>
      </w:r>
      <w:r w:rsidR="00A652AD" w:rsidRPr="007816A0">
        <w:rPr>
          <w:rFonts w:cs="Times New Roman"/>
        </w:rPr>
        <w:t>”</w:t>
      </w:r>
    </w:p>
  </w:footnote>
  <w:footnote w:id="255">
    <w:p w14:paraId="39337B05" w14:textId="38229C3B" w:rsidR="008D7988" w:rsidRPr="007816A0" w:rsidRDefault="008D7988" w:rsidP="00280D0B">
      <w:pPr>
        <w:pStyle w:val="FootnoteText"/>
        <w:rPr>
          <w:rFonts w:cs="Times New Roman"/>
        </w:rPr>
      </w:pPr>
      <w:r w:rsidRPr="007816A0">
        <w:rPr>
          <w:rStyle w:val="FootnoteReference"/>
          <w:rFonts w:cs="Times New Roman"/>
        </w:rPr>
        <w:footnoteRef/>
      </w:r>
      <w:r w:rsidRPr="007816A0">
        <w:rPr>
          <w:rFonts w:cs="Times New Roman"/>
        </w:rPr>
        <w:t xml:space="preserve"> Athanassakis, Apostolos et al. 2013, 212. Rigoglioso 2010, 99.</w:t>
      </w:r>
    </w:p>
  </w:footnote>
  <w:footnote w:id="256">
    <w:p w14:paraId="6D30EC8D" w14:textId="2AF3C201" w:rsidR="008D7988" w:rsidRPr="007816A0" w:rsidRDefault="008D798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59BF" w:rsidRPr="007816A0">
        <w:rPr>
          <w:rFonts w:cs="Times New Roman"/>
        </w:rPr>
        <w:t>Richardson 2012, 1.</w:t>
      </w:r>
    </w:p>
  </w:footnote>
  <w:footnote w:id="257">
    <w:p w14:paraId="099F9688" w14:textId="493A3C45" w:rsidR="00EA7F3B" w:rsidRPr="007816A0" w:rsidRDefault="00EA7F3B" w:rsidP="00280D0B">
      <w:pPr>
        <w:pStyle w:val="FootnoteText"/>
        <w:rPr>
          <w:rFonts w:cs="Times New Roman"/>
        </w:rPr>
      </w:pPr>
      <w:r w:rsidRPr="007816A0">
        <w:rPr>
          <w:rStyle w:val="FootnoteReference"/>
          <w:rFonts w:cs="Times New Roman"/>
        </w:rPr>
        <w:footnoteRef/>
      </w:r>
      <w:r w:rsidRPr="007816A0">
        <w:rPr>
          <w:rFonts w:cs="Times New Roman"/>
        </w:rPr>
        <w:t xml:space="preserve"> Rigoglioso 2010, 99</w:t>
      </w:r>
      <w:r w:rsidR="0097585B" w:rsidRPr="007816A0">
        <w:rPr>
          <w:rFonts w:cs="Times New Roman"/>
        </w:rPr>
        <w:t>-100.</w:t>
      </w:r>
    </w:p>
  </w:footnote>
  <w:footnote w:id="258">
    <w:p w14:paraId="6B9A56A7" w14:textId="26E90920" w:rsidR="001542DD" w:rsidRPr="007816A0" w:rsidRDefault="001542DD" w:rsidP="00280D0B">
      <w:pPr>
        <w:pStyle w:val="FootnoteText"/>
        <w:rPr>
          <w:rFonts w:cs="Times New Roman"/>
        </w:rPr>
      </w:pPr>
      <w:r w:rsidRPr="007816A0">
        <w:rPr>
          <w:rStyle w:val="FootnoteReference"/>
          <w:rFonts w:cs="Times New Roman"/>
        </w:rPr>
        <w:footnoteRef/>
      </w:r>
      <w:r w:rsidRPr="007816A0">
        <w:rPr>
          <w:rFonts w:cs="Times New Roman"/>
        </w:rPr>
        <w:t xml:space="preserve"> Hesiod</w:t>
      </w:r>
      <w:r w:rsidR="002F12DD" w:rsidRPr="007816A0">
        <w:rPr>
          <w:rFonts w:cs="Times New Roman"/>
        </w:rPr>
        <w:t xml:space="preserve"> 2018C </w:t>
      </w:r>
      <w:r w:rsidR="002F12DD" w:rsidRPr="007816A0">
        <w:rPr>
          <w:rFonts w:cs="Times New Roman"/>
          <w:i/>
          <w:iCs/>
        </w:rPr>
        <w:t>Theogony</w:t>
      </w:r>
      <w:r w:rsidRPr="007816A0">
        <w:rPr>
          <w:rFonts w:cs="Times New Roman"/>
        </w:rPr>
        <w:t xml:space="preserve">, </w:t>
      </w:r>
      <w:r w:rsidR="00D15DF2" w:rsidRPr="007816A0">
        <w:rPr>
          <w:rFonts w:cs="Times New Roman"/>
        </w:rPr>
        <w:t>vv</w:t>
      </w:r>
      <w:r w:rsidR="00BF7940" w:rsidRPr="007816A0">
        <w:rPr>
          <w:rFonts w:cs="Times New Roman"/>
        </w:rPr>
        <w:t>.</w:t>
      </w:r>
      <w:r w:rsidRPr="007816A0">
        <w:rPr>
          <w:rFonts w:cs="Times New Roman"/>
        </w:rPr>
        <w:t xml:space="preserve"> 912-914. </w:t>
      </w:r>
      <w:r w:rsidR="00AE7097" w:rsidRPr="007816A0">
        <w:rPr>
          <w:rFonts w:cs="Times New Roman"/>
        </w:rPr>
        <w:t>Hesiod, Caldwell</w:t>
      </w:r>
      <w:r w:rsidRPr="007816A0">
        <w:rPr>
          <w:rFonts w:cs="Times New Roman"/>
        </w:rPr>
        <w:t xml:space="preserve"> 1987, 77, </w:t>
      </w:r>
      <w:r w:rsidR="00D15DF2" w:rsidRPr="007816A0">
        <w:rPr>
          <w:rFonts w:cs="Times New Roman"/>
        </w:rPr>
        <w:t>vv</w:t>
      </w:r>
      <w:r w:rsidR="00BF7940" w:rsidRPr="007816A0">
        <w:rPr>
          <w:rFonts w:cs="Times New Roman"/>
        </w:rPr>
        <w:t>.</w:t>
      </w:r>
      <w:r w:rsidRPr="007816A0">
        <w:rPr>
          <w:rFonts w:cs="Times New Roman"/>
        </w:rPr>
        <w:t xml:space="preserve"> 912-914. Hesiod </w:t>
      </w:r>
      <w:r w:rsidR="002F12DD" w:rsidRPr="007816A0">
        <w:rPr>
          <w:rFonts w:cs="Times New Roman"/>
        </w:rPr>
        <w:t xml:space="preserve">2018C </w:t>
      </w:r>
      <w:r w:rsidR="002F12DD" w:rsidRPr="007816A0">
        <w:rPr>
          <w:rFonts w:cs="Times New Roman"/>
          <w:i/>
          <w:iCs/>
        </w:rPr>
        <w:t>Theogony</w:t>
      </w:r>
      <w:r w:rsidR="00725797" w:rsidRPr="007816A0">
        <w:rPr>
          <w:rFonts w:cs="Times New Roman"/>
        </w:rPr>
        <w:t>, II.</w:t>
      </w:r>
      <w:r w:rsidRPr="007816A0">
        <w:rPr>
          <w:rFonts w:cs="Times New Roman"/>
        </w:rPr>
        <w:t xml:space="preserve"> 327-329.</w:t>
      </w:r>
      <w:r w:rsidR="0069777E" w:rsidRPr="007816A0">
        <w:rPr>
          <w:rFonts w:cs="Times New Roman"/>
        </w:rPr>
        <w:t xml:space="preserve"> </w:t>
      </w:r>
      <w:r w:rsidR="00460AF1" w:rsidRPr="007816A0">
        <w:rPr>
          <w:rFonts w:cs="Times New Roman"/>
        </w:rPr>
        <w:t>López-Ruiz 2014C</w:t>
      </w:r>
      <w:r w:rsidR="0069777E" w:rsidRPr="007816A0">
        <w:rPr>
          <w:rFonts w:cs="Times New Roman"/>
        </w:rPr>
        <w:t>, 168.</w:t>
      </w:r>
    </w:p>
  </w:footnote>
  <w:footnote w:id="259">
    <w:p w14:paraId="68A64968" w14:textId="6150E5B1" w:rsidR="00E05EFB" w:rsidRPr="007816A0" w:rsidRDefault="00E05EFB" w:rsidP="00280D0B">
      <w:pPr>
        <w:pStyle w:val="FootnoteText"/>
        <w:rPr>
          <w:rFonts w:cs="Times New Roman"/>
        </w:rPr>
      </w:pPr>
      <w:r w:rsidRPr="007816A0">
        <w:rPr>
          <w:rStyle w:val="FootnoteReference"/>
          <w:rFonts w:cs="Times New Roman"/>
        </w:rPr>
        <w:footnoteRef/>
      </w:r>
      <w:r w:rsidRPr="007816A0">
        <w:rPr>
          <w:rFonts w:cs="Times New Roman"/>
        </w:rPr>
        <w:t xml:space="preserve"> Athanassakis, Apostolos et al. 2013, 168.</w:t>
      </w:r>
    </w:p>
  </w:footnote>
  <w:footnote w:id="260">
    <w:p w14:paraId="122F26F0" w14:textId="4EAA92F0" w:rsidR="00A77E91" w:rsidRPr="007816A0" w:rsidRDefault="00A77E91" w:rsidP="00280D0B">
      <w:pPr>
        <w:pStyle w:val="FootnoteText"/>
        <w:rPr>
          <w:rFonts w:cs="Times New Roman"/>
        </w:rPr>
      </w:pPr>
      <w:r w:rsidRPr="007816A0">
        <w:rPr>
          <w:rStyle w:val="FootnoteReference"/>
          <w:rFonts w:cs="Times New Roman"/>
        </w:rPr>
        <w:footnoteRef/>
      </w:r>
      <w:r w:rsidRPr="007816A0">
        <w:rPr>
          <w:rFonts w:cs="Times New Roman"/>
        </w:rPr>
        <w:t xml:space="preserve"> Beekes, van Beek 2010,1179-1180.</w:t>
      </w:r>
    </w:p>
  </w:footnote>
  <w:footnote w:id="261">
    <w:p w14:paraId="00552B55" w14:textId="49D1C818" w:rsidR="0097585B" w:rsidRPr="007816A0" w:rsidRDefault="0097585B" w:rsidP="00280D0B">
      <w:pPr>
        <w:pStyle w:val="FootnoteText"/>
        <w:rPr>
          <w:rFonts w:cs="Times New Roman"/>
        </w:rPr>
      </w:pPr>
      <w:r w:rsidRPr="007816A0">
        <w:rPr>
          <w:rStyle w:val="FootnoteReference"/>
          <w:rFonts w:cs="Times New Roman"/>
        </w:rPr>
        <w:footnoteRef/>
      </w:r>
      <w:r w:rsidRPr="007816A0">
        <w:rPr>
          <w:rFonts w:cs="Times New Roman"/>
        </w:rPr>
        <w:t xml:space="preserve"> Rigoglioso 2010, 99</w:t>
      </w:r>
      <w:r w:rsidR="005A2BD2" w:rsidRPr="007816A0">
        <w:rPr>
          <w:rFonts w:cs="Times New Roman"/>
        </w:rPr>
        <w:t>-</w:t>
      </w:r>
      <w:r w:rsidRPr="007816A0">
        <w:rPr>
          <w:rFonts w:cs="Times New Roman"/>
        </w:rPr>
        <w:t>100.</w:t>
      </w:r>
    </w:p>
  </w:footnote>
  <w:footnote w:id="262">
    <w:p w14:paraId="63FA2A86" w14:textId="705726C1" w:rsidR="00D71D4B" w:rsidRPr="007816A0" w:rsidRDefault="00643A8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20F63" w:rsidRPr="007816A0">
        <w:rPr>
          <w:rFonts w:cs="Times New Roman"/>
        </w:rPr>
        <w:t xml:space="preserve">Foley (1994, 57) notes that in </w:t>
      </w:r>
      <w:r w:rsidR="00820F63" w:rsidRPr="007816A0">
        <w:rPr>
          <w:rFonts w:cs="Times New Roman"/>
          <w:i/>
          <w:iCs/>
        </w:rPr>
        <w:t>Homeric Hymn to Demeter</w:t>
      </w:r>
      <w:r w:rsidR="00820F63" w:rsidRPr="007816A0">
        <w:rPr>
          <w:rFonts w:cs="Times New Roman"/>
        </w:rPr>
        <w:t xml:space="preserve"> 370</w:t>
      </w:r>
      <w:r w:rsidR="005A2BD2" w:rsidRPr="007816A0">
        <w:rPr>
          <w:rFonts w:cs="Times New Roman"/>
        </w:rPr>
        <w:t>-</w:t>
      </w:r>
      <w:r w:rsidR="00820F63" w:rsidRPr="007816A0">
        <w:rPr>
          <w:rFonts w:cs="Times New Roman"/>
        </w:rPr>
        <w:t xml:space="preserve">371 Persephone is described for the first time as </w:t>
      </w:r>
      <w:r w:rsidR="00820F63" w:rsidRPr="007816A0">
        <w:rPr>
          <w:rFonts w:cs="Times New Roman"/>
          <w:i/>
          <w:iCs/>
        </w:rPr>
        <w:t>periphrôn</w:t>
      </w:r>
      <w:r w:rsidR="00820F63" w:rsidRPr="007816A0">
        <w:rPr>
          <w:rFonts w:cs="Times New Roman"/>
        </w:rPr>
        <w:t xml:space="preserve"> (</w:t>
      </w:r>
      <w:r w:rsidR="00A652AD" w:rsidRPr="007816A0">
        <w:rPr>
          <w:rFonts w:cs="Times New Roman"/>
        </w:rPr>
        <w:t>“</w:t>
      </w:r>
      <w:r w:rsidR="00820F63" w:rsidRPr="007816A0">
        <w:rPr>
          <w:rFonts w:cs="Times New Roman"/>
        </w:rPr>
        <w:t>thoughtful,</w:t>
      </w:r>
      <w:r w:rsidR="00A652AD" w:rsidRPr="007816A0">
        <w:rPr>
          <w:rFonts w:cs="Times New Roman"/>
        </w:rPr>
        <w:t>”</w:t>
      </w:r>
      <w:r w:rsidR="00820F63" w:rsidRPr="007816A0">
        <w:rPr>
          <w:rFonts w:cs="Times New Roman"/>
        </w:rPr>
        <w:t xml:space="preserve"> </w:t>
      </w:r>
      <w:r w:rsidR="00A652AD" w:rsidRPr="007816A0">
        <w:rPr>
          <w:rFonts w:cs="Times New Roman"/>
        </w:rPr>
        <w:t>“</w:t>
      </w:r>
      <w:r w:rsidR="00820F63" w:rsidRPr="007816A0">
        <w:rPr>
          <w:rFonts w:cs="Times New Roman"/>
        </w:rPr>
        <w:t>circumspect,</w:t>
      </w:r>
      <w:r w:rsidR="00A652AD" w:rsidRPr="007816A0">
        <w:rPr>
          <w:rFonts w:cs="Times New Roman"/>
        </w:rPr>
        <w:t>”</w:t>
      </w:r>
      <w:r w:rsidR="00820F63" w:rsidRPr="007816A0">
        <w:rPr>
          <w:rFonts w:cs="Times New Roman"/>
        </w:rPr>
        <w:t xml:space="preserve"> or </w:t>
      </w:r>
      <w:r w:rsidR="00A652AD" w:rsidRPr="007816A0">
        <w:rPr>
          <w:rFonts w:cs="Times New Roman"/>
        </w:rPr>
        <w:t>“</w:t>
      </w:r>
      <w:r w:rsidR="00820F63" w:rsidRPr="007816A0">
        <w:rPr>
          <w:rFonts w:cs="Times New Roman"/>
        </w:rPr>
        <w:t>intelligent</w:t>
      </w:r>
      <w:r w:rsidR="00A652AD" w:rsidRPr="007816A0">
        <w:rPr>
          <w:rFonts w:cs="Times New Roman"/>
        </w:rPr>
        <w:t>”</w:t>
      </w:r>
      <w:r w:rsidR="00820F63" w:rsidRPr="007816A0">
        <w:rPr>
          <w:rFonts w:cs="Times New Roman"/>
        </w:rPr>
        <w:t xml:space="preserve">), which she interprets as </w:t>
      </w:r>
      <w:r w:rsidR="00BF7940" w:rsidRPr="007816A0">
        <w:rPr>
          <w:rFonts w:cs="Times New Roman"/>
        </w:rPr>
        <w:t>signalling</w:t>
      </w:r>
      <w:r w:rsidR="00820F63" w:rsidRPr="007816A0">
        <w:rPr>
          <w:rFonts w:cs="Times New Roman"/>
        </w:rPr>
        <w:t xml:space="preserve"> a newly acquired maturity associated with Persephone’s transition into her underworld role.</w:t>
      </w:r>
    </w:p>
  </w:footnote>
  <w:footnote w:id="263">
    <w:p w14:paraId="589C94DA" w14:textId="71981131" w:rsidR="002550FD" w:rsidRPr="007816A0" w:rsidRDefault="00D71D4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20F63" w:rsidRPr="007816A0">
        <w:rPr>
          <w:rFonts w:cs="Times New Roman"/>
        </w:rPr>
        <w:t xml:space="preserve">Nagy translates the opening of </w:t>
      </w:r>
      <w:r w:rsidR="004132B4" w:rsidRPr="007816A0">
        <w:rPr>
          <w:rFonts w:cs="Times New Roman"/>
        </w:rPr>
        <w:t>t</w:t>
      </w:r>
      <w:r w:rsidR="00820F63" w:rsidRPr="007816A0">
        <w:rPr>
          <w:rFonts w:cs="Times New Roman"/>
        </w:rPr>
        <w:t xml:space="preserve">he </w:t>
      </w:r>
      <w:r w:rsidR="00820F63" w:rsidRPr="007816A0">
        <w:rPr>
          <w:rFonts w:cs="Times New Roman"/>
          <w:i/>
          <w:iCs/>
        </w:rPr>
        <w:t xml:space="preserve">Homeric Hymn to Demeter </w:t>
      </w:r>
      <w:r w:rsidR="00820F63" w:rsidRPr="007816A0">
        <w:rPr>
          <w:rFonts w:cs="Times New Roman"/>
        </w:rPr>
        <w:t xml:space="preserve">(2021, </w:t>
      </w:r>
      <w:r w:rsidR="00D15DF2" w:rsidRPr="007816A0">
        <w:rPr>
          <w:rFonts w:cs="Times New Roman"/>
        </w:rPr>
        <w:t>vv</w:t>
      </w:r>
      <w:r w:rsidR="00BF7940" w:rsidRPr="007816A0">
        <w:rPr>
          <w:rFonts w:cs="Times New Roman"/>
        </w:rPr>
        <w:t>.</w:t>
      </w:r>
      <w:r w:rsidR="00820F63" w:rsidRPr="007816A0">
        <w:rPr>
          <w:rFonts w:cs="Times New Roman"/>
        </w:rPr>
        <w:t xml:space="preserve"> 5</w:t>
      </w:r>
      <w:r w:rsidR="005A2BD2" w:rsidRPr="007816A0">
        <w:rPr>
          <w:rFonts w:cs="Times New Roman"/>
        </w:rPr>
        <w:t>-</w:t>
      </w:r>
      <w:r w:rsidR="00820F63" w:rsidRPr="007816A0">
        <w:rPr>
          <w:rFonts w:cs="Times New Roman"/>
        </w:rPr>
        <w:t xml:space="preserve">9): </w:t>
      </w:r>
      <w:r w:rsidR="00A652AD" w:rsidRPr="007816A0">
        <w:rPr>
          <w:rFonts w:cs="Times New Roman"/>
        </w:rPr>
        <w:t>“</w:t>
      </w:r>
      <w:r w:rsidR="00820F63" w:rsidRPr="007816A0">
        <w:rPr>
          <w:rFonts w:cs="Times New Roman"/>
        </w:rPr>
        <w:t>She [Persephone] was having a good time, along with the daughters of Okeanos … She was picking flowers: roses, crocus, and beautiful violets …</w:t>
      </w:r>
      <w:r w:rsidR="00A652AD" w:rsidRPr="007816A0">
        <w:rPr>
          <w:rFonts w:cs="Times New Roman"/>
        </w:rPr>
        <w:t>”</w:t>
      </w:r>
      <w:r w:rsidR="00820F63" w:rsidRPr="007816A0">
        <w:rPr>
          <w:rFonts w:cs="Times New Roman"/>
        </w:rPr>
        <w:t xml:space="preserve"> Claudian similarly describes Kore amid an idealized floral landscape in De Raptu Proserpinae, where Henna instructs Zephyrus to make </w:t>
      </w:r>
      <w:r w:rsidR="00A652AD" w:rsidRPr="007816A0">
        <w:rPr>
          <w:rFonts w:cs="Times New Roman"/>
        </w:rPr>
        <w:t>“</w:t>
      </w:r>
      <w:r w:rsidR="00820F63" w:rsidRPr="007816A0">
        <w:rPr>
          <w:rFonts w:cs="Times New Roman"/>
        </w:rPr>
        <w:t>all the trees be thick with newly-grown fruit … [and] the bright roses red.</w:t>
      </w:r>
      <w:r w:rsidR="00A652AD" w:rsidRPr="007816A0">
        <w:rPr>
          <w:rFonts w:cs="Times New Roman"/>
        </w:rPr>
        <w:t>”</w:t>
      </w:r>
      <w:r w:rsidR="00820F63" w:rsidRPr="007816A0">
        <w:rPr>
          <w:rFonts w:cs="Times New Roman"/>
        </w:rPr>
        <w:t xml:space="preserve"> Claudian 1922, 323</w:t>
      </w:r>
      <w:r w:rsidR="005A2BD2" w:rsidRPr="007816A0">
        <w:rPr>
          <w:rFonts w:cs="Times New Roman"/>
        </w:rPr>
        <w:t>-</w:t>
      </w:r>
      <w:r w:rsidR="00820F63" w:rsidRPr="007816A0">
        <w:rPr>
          <w:rFonts w:cs="Times New Roman"/>
        </w:rPr>
        <w:t xml:space="preserve">325; Nagy 2021, </w:t>
      </w:r>
      <w:r w:rsidR="00D15DF2" w:rsidRPr="007816A0">
        <w:rPr>
          <w:rFonts w:cs="Times New Roman"/>
        </w:rPr>
        <w:t>vv</w:t>
      </w:r>
      <w:r w:rsidR="00BF7940" w:rsidRPr="007816A0">
        <w:rPr>
          <w:rFonts w:cs="Times New Roman"/>
        </w:rPr>
        <w:t>.</w:t>
      </w:r>
      <w:r w:rsidR="00820F63" w:rsidRPr="007816A0">
        <w:rPr>
          <w:rFonts w:cs="Times New Roman"/>
        </w:rPr>
        <w:t xml:space="preserve"> 5</w:t>
      </w:r>
      <w:r w:rsidR="005A2BD2" w:rsidRPr="007816A0">
        <w:rPr>
          <w:rFonts w:cs="Times New Roman"/>
        </w:rPr>
        <w:t>-</w:t>
      </w:r>
      <w:r w:rsidR="00820F63" w:rsidRPr="007816A0">
        <w:rPr>
          <w:rFonts w:cs="Times New Roman"/>
        </w:rPr>
        <w:t>9.</w:t>
      </w:r>
    </w:p>
  </w:footnote>
  <w:footnote w:id="264">
    <w:p w14:paraId="1ED9DE3D" w14:textId="5F670B54" w:rsidR="006147EE" w:rsidRPr="007816A0" w:rsidRDefault="006147EE" w:rsidP="00280D0B">
      <w:pPr>
        <w:pStyle w:val="FootnoteText"/>
        <w:rPr>
          <w:rFonts w:cs="Times New Roman"/>
        </w:rPr>
      </w:pPr>
      <w:r w:rsidRPr="007816A0">
        <w:rPr>
          <w:rStyle w:val="FootnoteReference"/>
          <w:rFonts w:cs="Times New Roman"/>
        </w:rPr>
        <w:footnoteRef/>
      </w:r>
      <w:r w:rsidRPr="007816A0">
        <w:rPr>
          <w:rFonts w:cs="Times New Roman"/>
        </w:rPr>
        <w:t xml:space="preserve"> Homer </w:t>
      </w:r>
      <w:r w:rsidR="007D1C3D" w:rsidRPr="007816A0">
        <w:rPr>
          <w:rFonts w:cs="Times New Roman"/>
        </w:rPr>
        <w:t>2008</w:t>
      </w:r>
      <w:r w:rsidRPr="007816A0">
        <w:rPr>
          <w:rFonts w:cs="Times New Roman"/>
        </w:rPr>
        <w:t xml:space="preserve"> </w:t>
      </w:r>
      <w:r w:rsidRPr="007816A0">
        <w:rPr>
          <w:rFonts w:cs="Times New Roman"/>
          <w:i/>
          <w:iCs/>
        </w:rPr>
        <w:t>Demeter</w:t>
      </w:r>
      <w:r w:rsidRPr="007816A0">
        <w:rPr>
          <w:rFonts w:cs="Times New Roman"/>
        </w:rPr>
        <w:t xml:space="preserve">, </w:t>
      </w:r>
      <w:r w:rsidR="00D15DF2" w:rsidRPr="007816A0">
        <w:rPr>
          <w:rFonts w:cs="Times New Roman"/>
        </w:rPr>
        <w:t>vv</w:t>
      </w:r>
      <w:r w:rsidR="00BF7940" w:rsidRPr="007816A0">
        <w:rPr>
          <w:rFonts w:cs="Times New Roman"/>
        </w:rPr>
        <w:t>.</w:t>
      </w:r>
      <w:r w:rsidRPr="007816A0">
        <w:rPr>
          <w:rFonts w:cs="Times New Roman"/>
        </w:rPr>
        <w:t xml:space="preserve"> 1-11.</w:t>
      </w:r>
      <w:r w:rsidR="0097585B" w:rsidRPr="007816A0">
        <w:rPr>
          <w:rFonts w:cs="Times New Roman"/>
        </w:rPr>
        <w:t xml:space="preserve"> Rigoglioso 2010, 99.</w:t>
      </w:r>
    </w:p>
  </w:footnote>
  <w:footnote w:id="265">
    <w:p w14:paraId="7A0DD5A8" w14:textId="6DA21DD4" w:rsidR="00B72852" w:rsidRPr="007816A0" w:rsidRDefault="00B72852" w:rsidP="00280D0B">
      <w:pPr>
        <w:pStyle w:val="FootnoteText"/>
        <w:rPr>
          <w:rFonts w:cs="Times New Roman"/>
        </w:rPr>
      </w:pPr>
      <w:r w:rsidRPr="007816A0">
        <w:rPr>
          <w:rStyle w:val="FootnoteReference"/>
          <w:rFonts w:cs="Times New Roman"/>
        </w:rPr>
        <w:footnoteRef/>
      </w:r>
      <w:r w:rsidRPr="007816A0">
        <w:rPr>
          <w:rFonts w:cs="Times New Roman"/>
        </w:rPr>
        <w:t xml:space="preserve"> Nagy 2021, </w:t>
      </w:r>
      <w:r w:rsidR="00D15DF2" w:rsidRPr="007816A0">
        <w:rPr>
          <w:rFonts w:cs="Times New Roman"/>
        </w:rPr>
        <w:t>vv</w:t>
      </w:r>
      <w:r w:rsidR="00BF7940" w:rsidRPr="007816A0">
        <w:rPr>
          <w:rFonts w:cs="Times New Roman"/>
        </w:rPr>
        <w:t>.</w:t>
      </w:r>
      <w:r w:rsidRPr="007816A0">
        <w:rPr>
          <w:rFonts w:cs="Times New Roman"/>
        </w:rPr>
        <w:t xml:space="preserve"> 445-448, 463-465.</w:t>
      </w:r>
      <w:r w:rsidR="0097585B" w:rsidRPr="007816A0">
        <w:rPr>
          <w:rFonts w:cs="Times New Roman"/>
        </w:rPr>
        <w:t xml:space="preserve"> Rigoglioso 2010, 99, 107.</w:t>
      </w:r>
    </w:p>
  </w:footnote>
  <w:footnote w:id="266">
    <w:p w14:paraId="136D5F52" w14:textId="7CC5A3C9" w:rsidR="004E7DAB" w:rsidRPr="007816A0" w:rsidRDefault="004E7DAB" w:rsidP="00280D0B">
      <w:pPr>
        <w:pStyle w:val="FootnoteText"/>
        <w:rPr>
          <w:rFonts w:cs="Times New Roman"/>
        </w:rPr>
      </w:pPr>
      <w:r w:rsidRPr="007816A0">
        <w:rPr>
          <w:rStyle w:val="FootnoteReference"/>
          <w:rFonts w:cs="Times New Roman"/>
        </w:rPr>
        <w:footnoteRef/>
      </w:r>
      <w:r w:rsidRPr="007816A0">
        <w:rPr>
          <w:rFonts w:cs="Times New Roman"/>
        </w:rPr>
        <w:t xml:space="preserve"> Rigoglioso 2010, 107.</w:t>
      </w:r>
    </w:p>
  </w:footnote>
  <w:footnote w:id="267">
    <w:p w14:paraId="28A791F5" w14:textId="5D733F50" w:rsidR="004E7DAB" w:rsidRPr="007816A0" w:rsidRDefault="004E7DAB" w:rsidP="00280D0B">
      <w:pPr>
        <w:pStyle w:val="FootnoteText"/>
        <w:rPr>
          <w:rFonts w:cs="Times New Roman"/>
        </w:rPr>
      </w:pPr>
      <w:r w:rsidRPr="007816A0">
        <w:rPr>
          <w:rStyle w:val="FootnoteReference"/>
          <w:rFonts w:cs="Times New Roman"/>
        </w:rPr>
        <w:footnoteRef/>
      </w:r>
      <w:r w:rsidRPr="007816A0">
        <w:rPr>
          <w:rFonts w:cs="Times New Roman"/>
        </w:rPr>
        <w:t xml:space="preserve"> Rigoglioso 2010, 100, 107.</w:t>
      </w:r>
    </w:p>
  </w:footnote>
  <w:footnote w:id="268">
    <w:p w14:paraId="1D891CC7" w14:textId="1AD8AEFF" w:rsidR="00AE1920" w:rsidRPr="007816A0" w:rsidRDefault="00AE1920" w:rsidP="00280D0B">
      <w:pPr>
        <w:pStyle w:val="FootnoteText"/>
        <w:rPr>
          <w:rFonts w:cs="Times New Roman"/>
        </w:rPr>
      </w:pPr>
      <w:r w:rsidRPr="007816A0">
        <w:rPr>
          <w:rStyle w:val="FootnoteReference"/>
          <w:rFonts w:cs="Times New Roman"/>
        </w:rPr>
        <w:footnoteRef/>
      </w:r>
      <w:r w:rsidRPr="007816A0">
        <w:rPr>
          <w:rFonts w:cs="Times New Roman"/>
        </w:rPr>
        <w:t xml:space="preserve"> Athanassakis, Apostolos et al. 2013, 44.</w:t>
      </w:r>
    </w:p>
  </w:footnote>
  <w:footnote w:id="269">
    <w:p w14:paraId="27D06F50" w14:textId="6A2AA6F9"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Athanassakis, Apostolos et al. 2013, 212.</w:t>
      </w:r>
      <w:r w:rsidR="00E66DFC" w:rsidRPr="007816A0">
        <w:rPr>
          <w:rFonts w:cs="Times New Roman"/>
        </w:rPr>
        <w:t xml:space="preserve"> Sourvinou-Inwood 2003, 26, 42. Clinton 2003, 66. Graf 2003, 244-245.</w:t>
      </w:r>
      <w:r w:rsidR="004E7DAB" w:rsidRPr="007816A0">
        <w:rPr>
          <w:rFonts w:cs="Times New Roman"/>
        </w:rPr>
        <w:t xml:space="preserve"> Rigoglioso 2010, 100.</w:t>
      </w:r>
    </w:p>
  </w:footnote>
  <w:footnote w:id="270">
    <w:p w14:paraId="71D6FAD8" w14:textId="2255593D" w:rsidR="0025701E" w:rsidRPr="007816A0" w:rsidRDefault="0025701E" w:rsidP="00280D0B">
      <w:pPr>
        <w:pStyle w:val="FootnoteText"/>
        <w:rPr>
          <w:rFonts w:cs="Times New Roman"/>
        </w:rPr>
      </w:pPr>
      <w:r w:rsidRPr="007816A0">
        <w:rPr>
          <w:rStyle w:val="FootnoteReference"/>
          <w:rFonts w:cs="Times New Roman"/>
        </w:rPr>
        <w:footnoteRef/>
      </w:r>
      <w:r w:rsidRPr="007816A0">
        <w:rPr>
          <w:rFonts w:cs="Times New Roman"/>
        </w:rPr>
        <w:t xml:space="preserve"> Clement of Alexandria 1919, 2.12.</w:t>
      </w:r>
    </w:p>
  </w:footnote>
  <w:footnote w:id="271">
    <w:p w14:paraId="7F45B2A5" w14:textId="10A79005" w:rsidR="0025701E" w:rsidRPr="007816A0" w:rsidRDefault="0025701E" w:rsidP="00280D0B">
      <w:pPr>
        <w:pStyle w:val="FootnoteText"/>
        <w:rPr>
          <w:rFonts w:cs="Times New Roman"/>
        </w:rPr>
      </w:pPr>
      <w:r w:rsidRPr="007816A0">
        <w:rPr>
          <w:rStyle w:val="FootnoteReference"/>
          <w:rFonts w:cs="Times New Roman"/>
        </w:rPr>
        <w:footnoteRef/>
      </w:r>
      <w:r w:rsidRPr="007816A0">
        <w:rPr>
          <w:rFonts w:cs="Times New Roman"/>
        </w:rPr>
        <w:t xml:space="preserve"> Clement of Alexandria 1919, 2.17.</w:t>
      </w:r>
    </w:p>
  </w:footnote>
  <w:footnote w:id="272">
    <w:p w14:paraId="155779D7" w14:textId="1CAC4DDC"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20F63" w:rsidRPr="007816A0">
        <w:rPr>
          <w:rFonts w:cs="Times New Roman"/>
        </w:rPr>
        <w:t xml:space="preserve">Triptolemos, a culture hero associated with Demeter and the transmission of agriculture, appears alongside Demeter and Kore within Eleusinian </w:t>
      </w:r>
      <w:r w:rsidR="008845B6" w:rsidRPr="007816A0">
        <w:rPr>
          <w:rFonts w:cs="Times New Roman"/>
        </w:rPr>
        <w:t>rites</w:t>
      </w:r>
      <w:r w:rsidR="00820F63" w:rsidRPr="007816A0">
        <w:rPr>
          <w:rFonts w:cs="Times New Roman"/>
        </w:rPr>
        <w:t xml:space="preserve">. </w:t>
      </w:r>
      <w:r w:rsidR="00C34486" w:rsidRPr="007816A0">
        <w:rPr>
          <w:rFonts w:cs="Times New Roman"/>
        </w:rPr>
        <w:t xml:space="preserve">His prominence appears to have increased after Athens incorporated Eleusis, when local Eleusinian </w:t>
      </w:r>
      <w:r w:rsidR="008845B6" w:rsidRPr="007816A0">
        <w:rPr>
          <w:rFonts w:cs="Times New Roman"/>
        </w:rPr>
        <w:t>Mysteries</w:t>
      </w:r>
      <w:r w:rsidR="00C34486" w:rsidRPr="007816A0">
        <w:rPr>
          <w:rFonts w:cs="Times New Roman"/>
        </w:rPr>
        <w:t xml:space="preserve"> became increasingly integrated into Athenian civic religion. </w:t>
      </w:r>
      <w:r w:rsidR="00820F63" w:rsidRPr="007816A0">
        <w:rPr>
          <w:rFonts w:cs="Times New Roman"/>
        </w:rPr>
        <w:t>Clinton 1992, 51; Sourvinou-Inwood 2003, 25. Plato also describes Demeter as entrusting him with the spread of agriculture. Plato 2017, 40e</w:t>
      </w:r>
      <w:r w:rsidR="005A2BD2" w:rsidRPr="007816A0">
        <w:rPr>
          <w:rFonts w:cs="Times New Roman"/>
        </w:rPr>
        <w:t>-</w:t>
      </w:r>
      <w:r w:rsidR="00820F63" w:rsidRPr="007816A0">
        <w:rPr>
          <w:rFonts w:cs="Times New Roman"/>
        </w:rPr>
        <w:t>41a, 189</w:t>
      </w:r>
      <w:r w:rsidR="005A2BD2" w:rsidRPr="007816A0">
        <w:rPr>
          <w:rFonts w:cs="Times New Roman"/>
        </w:rPr>
        <w:t>-</w:t>
      </w:r>
      <w:r w:rsidR="00820F63" w:rsidRPr="007816A0">
        <w:rPr>
          <w:rFonts w:cs="Times New Roman"/>
        </w:rPr>
        <w:t>191.</w:t>
      </w:r>
    </w:p>
  </w:footnote>
  <w:footnote w:id="273">
    <w:p w14:paraId="41EC61B8" w14:textId="06927DF8"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Clinton 1992, 51.</w:t>
      </w:r>
      <w:r w:rsidR="00E66DFC" w:rsidRPr="007816A0">
        <w:rPr>
          <w:rFonts w:cs="Times New Roman"/>
        </w:rPr>
        <w:t xml:space="preserve"> Sourvinou-Inwood 2003, 30.</w:t>
      </w:r>
    </w:p>
  </w:footnote>
  <w:footnote w:id="274">
    <w:p w14:paraId="1D1F1B3E" w14:textId="734A3881"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Clinton 1992, 51</w:t>
      </w:r>
      <w:r w:rsidR="0067216F" w:rsidRPr="007816A0">
        <w:rPr>
          <w:rFonts w:cs="Times New Roman"/>
        </w:rPr>
        <w:t>.</w:t>
      </w:r>
      <w:r w:rsidR="00FD4824" w:rsidRPr="007816A0">
        <w:rPr>
          <w:rFonts w:cs="Times New Roman"/>
        </w:rPr>
        <w:t xml:space="preserve"> Cosmopoulos 2003,</w:t>
      </w:r>
      <w:r w:rsidR="00DB0939" w:rsidRPr="007816A0">
        <w:rPr>
          <w:rFonts w:cs="Times New Roman"/>
        </w:rPr>
        <w:t xml:space="preserve"> </w:t>
      </w:r>
      <w:r w:rsidR="00FD4824" w:rsidRPr="007816A0">
        <w:rPr>
          <w:rFonts w:cs="Times New Roman"/>
        </w:rPr>
        <w:t>xii. Graf 2003, 244-245.</w:t>
      </w:r>
    </w:p>
  </w:footnote>
  <w:footnote w:id="275">
    <w:p w14:paraId="2FC8A2C9" w14:textId="59A00737"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Athanassakis, Apostolos et al. 2013, 212.</w:t>
      </w:r>
      <w:r w:rsidR="009D6D86" w:rsidRPr="007816A0">
        <w:rPr>
          <w:rFonts w:cs="Times New Roman"/>
        </w:rPr>
        <w:t xml:space="preserve"> Sourvinou-Inwood 2003, 26, 34. Graf 2003, 244-245. Cosmopoulos 2003, 263-264.</w:t>
      </w:r>
    </w:p>
  </w:footnote>
  <w:footnote w:id="276">
    <w:p w14:paraId="597C58F8" w14:textId="085B1EED"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9D6D86" w:rsidRPr="007816A0">
        <w:rPr>
          <w:rFonts w:cs="Times New Roman"/>
        </w:rPr>
        <w:t xml:space="preserve">Sourvinou-Inwood 2003, </w:t>
      </w:r>
      <w:r w:rsidR="00B82953" w:rsidRPr="007816A0">
        <w:rPr>
          <w:rFonts w:cs="Times New Roman"/>
        </w:rPr>
        <w:t xml:space="preserve">27, </w:t>
      </w:r>
      <w:r w:rsidR="009D6D86" w:rsidRPr="007816A0">
        <w:rPr>
          <w:rFonts w:cs="Times New Roman"/>
        </w:rPr>
        <w:t xml:space="preserve">40. </w:t>
      </w:r>
      <w:r w:rsidR="00270F8B" w:rsidRPr="007816A0">
        <w:rPr>
          <w:rFonts w:cs="Times New Roman"/>
        </w:rPr>
        <w:t>Parker R 2005</w:t>
      </w:r>
      <w:r w:rsidRPr="007816A0">
        <w:rPr>
          <w:rFonts w:cs="Times New Roman"/>
        </w:rPr>
        <w:t>, 207.</w:t>
      </w:r>
    </w:p>
  </w:footnote>
  <w:footnote w:id="277">
    <w:p w14:paraId="2097AF4D" w14:textId="5B5338A2"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0F8B" w:rsidRPr="007816A0">
        <w:rPr>
          <w:rFonts w:cs="Times New Roman"/>
        </w:rPr>
        <w:t>Parker R 2005</w:t>
      </w:r>
      <w:r w:rsidRPr="007816A0">
        <w:rPr>
          <w:rFonts w:cs="Times New Roman"/>
        </w:rPr>
        <w:t>, 193.</w:t>
      </w:r>
    </w:p>
  </w:footnote>
  <w:footnote w:id="278">
    <w:p w14:paraId="6C71068B" w14:textId="67EA8645"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0F8B" w:rsidRPr="007816A0">
        <w:rPr>
          <w:rFonts w:cs="Times New Roman"/>
        </w:rPr>
        <w:t>Parker R 2005</w:t>
      </w:r>
      <w:r w:rsidRPr="007816A0">
        <w:rPr>
          <w:rFonts w:cs="Times New Roman"/>
        </w:rPr>
        <w:t>, 486.</w:t>
      </w:r>
    </w:p>
  </w:footnote>
  <w:footnote w:id="279">
    <w:p w14:paraId="0958DF69" w14:textId="491CCABD" w:rsidR="009D6D86"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A02F5" w:rsidRPr="007816A0">
        <w:rPr>
          <w:rFonts w:cs="Times New Roman"/>
        </w:rPr>
        <w:t xml:space="preserve">The term ἀγυρμός is translated here as </w:t>
      </w:r>
      <w:r w:rsidR="00A652AD" w:rsidRPr="007816A0">
        <w:rPr>
          <w:rFonts w:cs="Times New Roman"/>
        </w:rPr>
        <w:t>“</w:t>
      </w:r>
      <w:r w:rsidR="008A02F5" w:rsidRPr="007816A0">
        <w:rPr>
          <w:rFonts w:cs="Times New Roman"/>
        </w:rPr>
        <w:t>assembly</w:t>
      </w:r>
      <w:r w:rsidR="00A652AD" w:rsidRPr="007816A0">
        <w:rPr>
          <w:rFonts w:cs="Times New Roman"/>
        </w:rPr>
        <w:t>”</w:t>
      </w:r>
      <w:r w:rsidR="008A02F5" w:rsidRPr="007816A0">
        <w:rPr>
          <w:rFonts w:cs="Times New Roman"/>
        </w:rPr>
        <w:t xml:space="preserve"> or </w:t>
      </w:r>
      <w:r w:rsidR="00A652AD" w:rsidRPr="007816A0">
        <w:rPr>
          <w:rFonts w:cs="Times New Roman"/>
        </w:rPr>
        <w:t>“</w:t>
      </w:r>
      <w:r w:rsidR="008A02F5" w:rsidRPr="007816A0">
        <w:rPr>
          <w:rFonts w:cs="Times New Roman"/>
        </w:rPr>
        <w:t>gathering</w:t>
      </w:r>
      <w:r w:rsidR="00A652AD" w:rsidRPr="007816A0">
        <w:rPr>
          <w:rFonts w:cs="Times New Roman"/>
        </w:rPr>
        <w:t>”</w:t>
      </w:r>
      <w:r w:rsidR="008A02F5" w:rsidRPr="007816A0">
        <w:rPr>
          <w:rFonts w:cs="Times New Roman"/>
        </w:rPr>
        <w:t xml:space="preserve"> in the ritual sense rather than </w:t>
      </w:r>
      <w:r w:rsidR="00A652AD" w:rsidRPr="007816A0">
        <w:rPr>
          <w:rFonts w:cs="Times New Roman"/>
        </w:rPr>
        <w:t>“</w:t>
      </w:r>
      <w:r w:rsidR="008A02F5" w:rsidRPr="007816A0">
        <w:rPr>
          <w:rFonts w:cs="Times New Roman"/>
        </w:rPr>
        <w:t>collection.</w:t>
      </w:r>
      <w:r w:rsidR="00A652AD" w:rsidRPr="007816A0">
        <w:rPr>
          <w:rFonts w:cs="Times New Roman"/>
        </w:rPr>
        <w:t>”</w:t>
      </w:r>
      <w:r w:rsidR="008A02F5" w:rsidRPr="007816A0">
        <w:rPr>
          <w:rFonts w:cs="Times New Roman"/>
        </w:rPr>
        <w:t xml:space="preserve"> See Cosmopoulos 2003, 17.</w:t>
      </w:r>
    </w:p>
  </w:footnote>
  <w:footnote w:id="280">
    <w:p w14:paraId="11328142" w14:textId="6F7B549A"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A02F5" w:rsidRPr="007816A0">
        <w:rPr>
          <w:rFonts w:cs="Times New Roman"/>
        </w:rPr>
        <w:t>The phrase ἅλαδε μύσται (</w:t>
      </w:r>
      <w:r w:rsidR="00A652AD" w:rsidRPr="007816A0">
        <w:rPr>
          <w:rFonts w:cs="Times New Roman"/>
        </w:rPr>
        <w:t>“</w:t>
      </w:r>
      <w:r w:rsidR="008A02F5" w:rsidRPr="007816A0">
        <w:rPr>
          <w:rFonts w:cs="Times New Roman"/>
        </w:rPr>
        <w:t>To the sea, initiates</w:t>
      </w:r>
      <w:r w:rsidR="00A652AD" w:rsidRPr="007816A0">
        <w:rPr>
          <w:rFonts w:cs="Times New Roman"/>
        </w:rPr>
        <w:t>”</w:t>
      </w:r>
      <w:r w:rsidR="008A02F5" w:rsidRPr="007816A0">
        <w:rPr>
          <w:rFonts w:cs="Times New Roman"/>
        </w:rPr>
        <w:t>) likely refers to ritual purification through washing or sea-bathing prior to initiation. Parker (2005, 347</w:t>
      </w:r>
      <w:r w:rsidR="005A2BD2" w:rsidRPr="007816A0">
        <w:rPr>
          <w:rFonts w:cs="Times New Roman"/>
        </w:rPr>
        <w:t>-</w:t>
      </w:r>
      <w:r w:rsidR="008A02F5" w:rsidRPr="007816A0">
        <w:rPr>
          <w:rFonts w:cs="Times New Roman"/>
        </w:rPr>
        <w:t>348) notes that the purification rites also involved piglets, which were probably used sacrificially within the ritual sequence. See also Graf 2003, 244; Sourvinou-Inwood 2003, 26.</w:t>
      </w:r>
    </w:p>
  </w:footnote>
  <w:footnote w:id="281">
    <w:p w14:paraId="55EC1473" w14:textId="6EC206E7"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A02F5" w:rsidRPr="007816A0">
        <w:rPr>
          <w:rFonts w:cs="Times New Roman"/>
        </w:rPr>
        <w:t xml:space="preserve">The phrase ἱερεῖα δεῦρο may be understood in the sense of </w:t>
      </w:r>
      <w:r w:rsidR="00A652AD" w:rsidRPr="007816A0">
        <w:rPr>
          <w:rFonts w:cs="Times New Roman"/>
        </w:rPr>
        <w:t>“</w:t>
      </w:r>
      <w:r w:rsidR="008A02F5" w:rsidRPr="007816A0">
        <w:rPr>
          <w:rFonts w:cs="Times New Roman"/>
        </w:rPr>
        <w:t>bring forth the sacrificial victims</w:t>
      </w:r>
      <w:r w:rsidR="00A652AD" w:rsidRPr="007816A0">
        <w:rPr>
          <w:rFonts w:cs="Times New Roman"/>
        </w:rPr>
        <w:t>”</w:t>
      </w:r>
      <w:r w:rsidR="008A02F5" w:rsidRPr="007816A0">
        <w:rPr>
          <w:rFonts w:cs="Times New Roman"/>
        </w:rPr>
        <w:t xml:space="preserve"> or </w:t>
      </w:r>
      <w:r w:rsidR="00A652AD" w:rsidRPr="007816A0">
        <w:rPr>
          <w:rFonts w:cs="Times New Roman"/>
        </w:rPr>
        <w:t>“</w:t>
      </w:r>
      <w:r w:rsidR="008A02F5" w:rsidRPr="007816A0">
        <w:rPr>
          <w:rFonts w:cs="Times New Roman"/>
        </w:rPr>
        <w:t>sacrifices hither,</w:t>
      </w:r>
      <w:r w:rsidR="00A652AD" w:rsidRPr="007816A0">
        <w:rPr>
          <w:rFonts w:cs="Times New Roman"/>
        </w:rPr>
        <w:t>”</w:t>
      </w:r>
      <w:r w:rsidR="008A02F5" w:rsidRPr="007816A0">
        <w:rPr>
          <w:rFonts w:cs="Times New Roman"/>
        </w:rPr>
        <w:t xml:space="preserve"> likely referring to sacrificial rites associated with the Eleusinian ceremonies. Clinton (1992, 51) notes that at Eleusis even underworld deities received sacrifice, </w:t>
      </w:r>
      <w:r w:rsidR="00A652AD" w:rsidRPr="007816A0">
        <w:rPr>
          <w:rFonts w:cs="Times New Roman"/>
        </w:rPr>
        <w:t>“</w:t>
      </w:r>
      <w:r w:rsidR="008A02F5" w:rsidRPr="007816A0">
        <w:rPr>
          <w:rFonts w:cs="Times New Roman"/>
        </w:rPr>
        <w:t>a highly unusual act of devotion to an underworld god.</w:t>
      </w:r>
      <w:r w:rsidR="00A652AD" w:rsidRPr="007816A0">
        <w:rPr>
          <w:rFonts w:cs="Times New Roman"/>
        </w:rPr>
        <w:t>”</w:t>
      </w:r>
      <w:r w:rsidR="008A02F5" w:rsidRPr="007816A0">
        <w:rPr>
          <w:rFonts w:cs="Times New Roman"/>
        </w:rPr>
        <w:t xml:space="preserve"> See also Sourvinou-Inwood 2003, 40.</w:t>
      </w:r>
    </w:p>
  </w:footnote>
  <w:footnote w:id="282">
    <w:p w14:paraId="1A6F4724" w14:textId="36D0EA0C"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Graf 2017, 40. Mikalson 1975, 65.</w:t>
      </w:r>
      <w:r w:rsidR="00774902" w:rsidRPr="007816A0">
        <w:rPr>
          <w:rFonts w:cs="Times New Roman"/>
        </w:rPr>
        <w:t xml:space="preserve"> Sourvinou-Inwood 2003, 27.</w:t>
      </w:r>
    </w:p>
  </w:footnote>
  <w:footnote w:id="283">
    <w:p w14:paraId="0378BFF7" w14:textId="24E76D9C"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A02F5" w:rsidRPr="007816A0">
        <w:rPr>
          <w:rFonts w:cs="Times New Roman"/>
        </w:rPr>
        <w:t>Athenaeus (11.496a</w:t>
      </w:r>
      <w:r w:rsidR="005A2BD2" w:rsidRPr="007816A0">
        <w:rPr>
          <w:rFonts w:cs="Times New Roman"/>
        </w:rPr>
        <w:t>-</w:t>
      </w:r>
      <w:r w:rsidR="008A02F5" w:rsidRPr="007816A0">
        <w:rPr>
          <w:rFonts w:cs="Times New Roman"/>
        </w:rPr>
        <w:t xml:space="preserve">b) describes the Πλημοχόαι (Plēmochoai) as ceramic ritual vessels </w:t>
      </w:r>
      <w:r w:rsidR="00A652AD" w:rsidRPr="007816A0">
        <w:rPr>
          <w:rFonts w:cs="Times New Roman"/>
        </w:rPr>
        <w:t>“</w:t>
      </w:r>
      <w:r w:rsidR="008A02F5" w:rsidRPr="007816A0">
        <w:rPr>
          <w:rFonts w:cs="Times New Roman"/>
        </w:rPr>
        <w:t>used at Eleusis on the final day of the Mysteries.</w:t>
      </w:r>
      <w:r w:rsidR="00A652AD" w:rsidRPr="007816A0">
        <w:rPr>
          <w:rFonts w:cs="Times New Roman"/>
        </w:rPr>
        <w:t>”</w:t>
      </w:r>
      <w:r w:rsidR="008A02F5" w:rsidRPr="007816A0">
        <w:rPr>
          <w:rFonts w:cs="Times New Roman"/>
        </w:rPr>
        <w:t xml:space="preserve"> He explains that two vessels were filled and overturned facing east and west while participants recited a ritual formula associated with the Mysteries. Athenaeus 2009, 11.496a</w:t>
      </w:r>
      <w:r w:rsidR="005A2BD2" w:rsidRPr="007816A0">
        <w:rPr>
          <w:rFonts w:cs="Times New Roman"/>
        </w:rPr>
        <w:t>-</w:t>
      </w:r>
      <w:r w:rsidR="008A02F5" w:rsidRPr="007816A0">
        <w:rPr>
          <w:rFonts w:cs="Times New Roman"/>
        </w:rPr>
        <w:t>b, 413</w:t>
      </w:r>
      <w:r w:rsidR="005A2BD2" w:rsidRPr="007816A0">
        <w:rPr>
          <w:rFonts w:cs="Times New Roman"/>
        </w:rPr>
        <w:t>-</w:t>
      </w:r>
      <w:r w:rsidR="008A02F5" w:rsidRPr="007816A0">
        <w:rPr>
          <w:rFonts w:cs="Times New Roman"/>
        </w:rPr>
        <w:t>415.</w:t>
      </w:r>
      <w:r w:rsidRPr="007816A0">
        <w:rPr>
          <w:rFonts w:cs="Times New Roman"/>
        </w:rPr>
        <w:t>99251</w:t>
      </w:r>
    </w:p>
  </w:footnote>
  <w:footnote w:id="284">
    <w:p w14:paraId="4D7076B8" w14:textId="76D3FBC3" w:rsidR="00EB103D" w:rsidRPr="007816A0" w:rsidRDefault="00EB103D" w:rsidP="00280D0B">
      <w:pPr>
        <w:pStyle w:val="FootnoteText"/>
        <w:rPr>
          <w:rFonts w:cs="Times New Roman"/>
        </w:rPr>
      </w:pPr>
      <w:r w:rsidRPr="007816A0">
        <w:rPr>
          <w:rStyle w:val="FootnoteReference"/>
          <w:rFonts w:cs="Times New Roman"/>
        </w:rPr>
        <w:footnoteRef/>
      </w:r>
      <w:r w:rsidRPr="007816A0">
        <w:rPr>
          <w:rFonts w:cs="Times New Roman"/>
        </w:rPr>
        <w:t xml:space="preserve"> Graf 2003, 244.</w:t>
      </w:r>
    </w:p>
  </w:footnote>
  <w:footnote w:id="285">
    <w:p w14:paraId="04012F7C" w14:textId="3D65095F" w:rsidR="002F727B" w:rsidRPr="007816A0" w:rsidRDefault="002F727B" w:rsidP="00280D0B">
      <w:pPr>
        <w:pStyle w:val="FootnoteText"/>
        <w:rPr>
          <w:rFonts w:cs="Times New Roman"/>
        </w:rPr>
      </w:pPr>
      <w:r w:rsidRPr="007816A0">
        <w:rPr>
          <w:rStyle w:val="FootnoteReference"/>
          <w:rFonts w:cs="Times New Roman"/>
        </w:rPr>
        <w:footnoteRef/>
      </w:r>
      <w:r w:rsidRPr="007816A0">
        <w:rPr>
          <w:rFonts w:cs="Times New Roman"/>
        </w:rPr>
        <w:t xml:space="preserve"> Sourvinou-Inwood 2003, 42.</w:t>
      </w:r>
    </w:p>
  </w:footnote>
  <w:footnote w:id="286">
    <w:p w14:paraId="3FBA16EC" w14:textId="1F285E44"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0F8B" w:rsidRPr="007816A0">
        <w:rPr>
          <w:rFonts w:cs="Times New Roman"/>
        </w:rPr>
        <w:t>Parker R 2005</w:t>
      </w:r>
      <w:r w:rsidRPr="007816A0">
        <w:rPr>
          <w:rFonts w:cs="Times New Roman"/>
        </w:rPr>
        <w:t>, 342.</w:t>
      </w:r>
      <w:r w:rsidR="002F727B" w:rsidRPr="007816A0">
        <w:rPr>
          <w:rFonts w:cs="Times New Roman"/>
        </w:rPr>
        <w:t xml:space="preserve"> Sourvinou-Inwood 2003, 26.</w:t>
      </w:r>
    </w:p>
  </w:footnote>
  <w:footnote w:id="287">
    <w:p w14:paraId="798BD5AD" w14:textId="42A146DA"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F60B1" w:rsidRPr="007816A0">
        <w:rPr>
          <w:rFonts w:cs="Times New Roman"/>
        </w:rPr>
        <w:t xml:space="preserve">Burkert 1987, 7-8, 94. </w:t>
      </w:r>
      <w:r w:rsidR="00170B4C" w:rsidRPr="007816A0">
        <w:rPr>
          <w:rFonts w:cs="Times New Roman"/>
        </w:rPr>
        <w:t xml:space="preserve">Clinton 2003, 60-62. </w:t>
      </w:r>
      <w:r w:rsidR="00270F8B" w:rsidRPr="007816A0">
        <w:rPr>
          <w:rFonts w:cs="Times New Roman"/>
        </w:rPr>
        <w:t>Parker R 2005</w:t>
      </w:r>
      <w:r w:rsidRPr="007816A0">
        <w:rPr>
          <w:rFonts w:cs="Times New Roman"/>
        </w:rPr>
        <w:t>, 345</w:t>
      </w:r>
      <w:r w:rsidR="002F727B" w:rsidRPr="007816A0">
        <w:rPr>
          <w:rFonts w:cs="Times New Roman"/>
        </w:rPr>
        <w:t>-346</w:t>
      </w:r>
      <w:r w:rsidRPr="007816A0">
        <w:rPr>
          <w:rFonts w:cs="Times New Roman"/>
        </w:rPr>
        <w:t xml:space="preserve">. </w:t>
      </w:r>
      <w:r w:rsidR="00170B4C" w:rsidRPr="007816A0">
        <w:rPr>
          <w:rFonts w:cs="Times New Roman"/>
        </w:rPr>
        <w:t>Cosmopoulos 2003, xii.</w:t>
      </w:r>
    </w:p>
  </w:footnote>
  <w:footnote w:id="288">
    <w:p w14:paraId="519AC671" w14:textId="56C05C28"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70B4C" w:rsidRPr="007816A0">
        <w:rPr>
          <w:rFonts w:cs="Times New Roman"/>
        </w:rPr>
        <w:t xml:space="preserve">Clinton 2003, 60. </w:t>
      </w:r>
      <w:r w:rsidR="00270F8B" w:rsidRPr="007816A0">
        <w:rPr>
          <w:rFonts w:cs="Times New Roman"/>
        </w:rPr>
        <w:t>Parker R 2005</w:t>
      </w:r>
      <w:r w:rsidRPr="007816A0">
        <w:rPr>
          <w:rFonts w:cs="Times New Roman"/>
        </w:rPr>
        <w:t>, 343.</w:t>
      </w:r>
    </w:p>
  </w:footnote>
  <w:footnote w:id="289">
    <w:p w14:paraId="6FA0CECD" w14:textId="3C451B05"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A02F5" w:rsidRPr="007816A0">
        <w:rPr>
          <w:rFonts w:cs="Times New Roman"/>
        </w:rPr>
        <w:t xml:space="preserve">A possible structural parallel may be found in the role of the </w:t>
      </w:r>
      <w:r w:rsidR="008A02F5" w:rsidRPr="007816A0">
        <w:rPr>
          <w:rFonts w:cs="Times New Roman"/>
          <w:i/>
          <w:iCs/>
        </w:rPr>
        <w:t>kleidophoros</w:t>
      </w:r>
      <w:r w:rsidR="008A02F5" w:rsidRPr="007816A0">
        <w:rPr>
          <w:rFonts w:cs="Times New Roman"/>
        </w:rPr>
        <w:t xml:space="preserve"> girl who participated in the Hekatesia-Romaia procession from Lagina to Stratonikeia, suggesting that select ritual roles for children were not entirely absent from Greek </w:t>
      </w:r>
      <w:r w:rsidR="008A6542" w:rsidRPr="007816A0">
        <w:rPr>
          <w:rFonts w:cs="Times New Roman"/>
        </w:rPr>
        <w:t>Mysteries</w:t>
      </w:r>
      <w:r w:rsidR="008A02F5" w:rsidRPr="007816A0">
        <w:rPr>
          <w:rFonts w:cs="Times New Roman"/>
        </w:rPr>
        <w:t xml:space="preserve"> and festival </w:t>
      </w:r>
      <w:r w:rsidR="008845B6" w:rsidRPr="007816A0">
        <w:rPr>
          <w:rFonts w:cs="Times New Roman"/>
        </w:rPr>
        <w:t>celebrations</w:t>
      </w:r>
      <w:r w:rsidR="008A02F5" w:rsidRPr="007816A0">
        <w:rPr>
          <w:rFonts w:cs="Times New Roman"/>
        </w:rPr>
        <w:t xml:space="preserve">. Williamson 2021, 285; </w:t>
      </w:r>
      <w:r w:rsidR="00270F8B" w:rsidRPr="007816A0">
        <w:rPr>
          <w:rFonts w:cs="Times New Roman"/>
        </w:rPr>
        <w:t>Parker R 2005</w:t>
      </w:r>
      <w:r w:rsidR="008A02F5" w:rsidRPr="007816A0">
        <w:rPr>
          <w:rFonts w:cs="Times New Roman"/>
        </w:rPr>
        <w:t>, 343.</w:t>
      </w:r>
    </w:p>
  </w:footnote>
  <w:footnote w:id="290">
    <w:p w14:paraId="05D8BE39" w14:textId="3A61EABA"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0F8B" w:rsidRPr="007816A0">
        <w:rPr>
          <w:rFonts w:cs="Times New Roman"/>
        </w:rPr>
        <w:t>Parker R 2005</w:t>
      </w:r>
      <w:r w:rsidRPr="007816A0">
        <w:rPr>
          <w:rFonts w:cs="Times New Roman"/>
        </w:rPr>
        <w:t>, 343, 348, 355-356.</w:t>
      </w:r>
      <w:r w:rsidR="00170B4C" w:rsidRPr="007816A0">
        <w:rPr>
          <w:rFonts w:cs="Times New Roman"/>
        </w:rPr>
        <w:t xml:space="preserve"> Clinton 2003, 66.</w:t>
      </w:r>
    </w:p>
  </w:footnote>
  <w:footnote w:id="291">
    <w:p w14:paraId="76B4ADC5" w14:textId="3CE08738"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70B4C" w:rsidRPr="007816A0">
        <w:rPr>
          <w:rFonts w:cs="Times New Roman"/>
        </w:rPr>
        <w:t xml:space="preserve">Graf 2003, 244. </w:t>
      </w:r>
      <w:r w:rsidR="00270F8B" w:rsidRPr="007816A0">
        <w:rPr>
          <w:rFonts w:cs="Times New Roman"/>
        </w:rPr>
        <w:t>Parker R 2005</w:t>
      </w:r>
      <w:r w:rsidRPr="007816A0">
        <w:rPr>
          <w:rFonts w:cs="Times New Roman"/>
        </w:rPr>
        <w:t>, 353.</w:t>
      </w:r>
      <w:r w:rsidR="00B82953" w:rsidRPr="007816A0">
        <w:rPr>
          <w:rFonts w:cs="Times New Roman"/>
        </w:rPr>
        <w:t xml:space="preserve"> Clinton 2003, 66.</w:t>
      </w:r>
    </w:p>
  </w:footnote>
  <w:footnote w:id="292">
    <w:p w14:paraId="71297D2E" w14:textId="623C3E83"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0F8B" w:rsidRPr="007816A0">
        <w:rPr>
          <w:rFonts w:cs="Times New Roman"/>
        </w:rPr>
        <w:t>Parker R 2005</w:t>
      </w:r>
      <w:r w:rsidRPr="007816A0">
        <w:rPr>
          <w:rFonts w:cs="Times New Roman"/>
        </w:rPr>
        <w:t>, 352.</w:t>
      </w:r>
      <w:r w:rsidR="00B82953" w:rsidRPr="007816A0">
        <w:rPr>
          <w:rFonts w:cs="Times New Roman"/>
        </w:rPr>
        <w:t xml:space="preserve"> Sourvinou-Inwood 2003, 34.</w:t>
      </w:r>
    </w:p>
  </w:footnote>
  <w:footnote w:id="293">
    <w:p w14:paraId="205D9B84" w14:textId="26FC3697"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0F8B" w:rsidRPr="007816A0">
        <w:rPr>
          <w:rFonts w:cs="Times New Roman"/>
        </w:rPr>
        <w:t>Parker R 2005</w:t>
      </w:r>
      <w:r w:rsidRPr="007816A0">
        <w:rPr>
          <w:rFonts w:cs="Times New Roman"/>
        </w:rPr>
        <w:t>, 354.</w:t>
      </w:r>
      <w:r w:rsidR="00B82953" w:rsidRPr="007816A0">
        <w:rPr>
          <w:rFonts w:cs="Times New Roman"/>
        </w:rPr>
        <w:t xml:space="preserve"> Sourvinou-Inwood 2003, 27.</w:t>
      </w:r>
    </w:p>
  </w:footnote>
  <w:footnote w:id="294">
    <w:p w14:paraId="75F3A345" w14:textId="513CC22D"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B82953" w:rsidRPr="007816A0">
        <w:rPr>
          <w:rFonts w:cs="Times New Roman"/>
        </w:rPr>
        <w:t xml:space="preserve">Sourvinou-Inwood 2003, 26, </w:t>
      </w:r>
      <w:r w:rsidR="00725797" w:rsidRPr="007816A0">
        <w:rPr>
          <w:rFonts w:cs="Times New Roman"/>
        </w:rPr>
        <w:t xml:space="preserve">34. </w:t>
      </w:r>
      <w:r w:rsidR="00270F8B" w:rsidRPr="007816A0">
        <w:rPr>
          <w:rFonts w:cs="Times New Roman"/>
        </w:rPr>
        <w:t>Parker R 2005</w:t>
      </w:r>
      <w:r w:rsidRPr="007816A0">
        <w:rPr>
          <w:rFonts w:cs="Times New Roman"/>
        </w:rPr>
        <w:t>, 355.</w:t>
      </w:r>
      <w:r w:rsidR="004E7DAB" w:rsidRPr="007816A0">
        <w:rPr>
          <w:rFonts w:cs="Times New Roman"/>
        </w:rPr>
        <w:t xml:space="preserve"> Rigoglioso 2010, 188.</w:t>
      </w:r>
      <w:r w:rsidR="00691EFA" w:rsidRPr="007816A0">
        <w:rPr>
          <w:rFonts w:cs="Times New Roman"/>
        </w:rPr>
        <w:t xml:space="preserve"> Ovid 1931, Fasti 1931, Pr. Id. 12th IV</w:t>
      </w:r>
      <w:r w:rsidR="00DE3511" w:rsidRPr="007816A0">
        <w:rPr>
          <w:rFonts w:cs="Times New Roman"/>
        </w:rPr>
        <w:t xml:space="preserve"> vv. </w:t>
      </w:r>
      <w:r w:rsidR="00691EFA" w:rsidRPr="007816A0">
        <w:rPr>
          <w:rFonts w:cs="Times New Roman"/>
        </w:rPr>
        <w:t>491-494.</w:t>
      </w:r>
    </w:p>
  </w:footnote>
  <w:footnote w:id="295">
    <w:p w14:paraId="1ED4D629" w14:textId="32F5874A" w:rsidR="001F60B1" w:rsidRPr="007816A0" w:rsidRDefault="001F60B1" w:rsidP="00280D0B">
      <w:pPr>
        <w:pStyle w:val="FootnoteText"/>
        <w:rPr>
          <w:rFonts w:cs="Times New Roman"/>
        </w:rPr>
      </w:pPr>
      <w:r w:rsidRPr="007816A0">
        <w:rPr>
          <w:rStyle w:val="FootnoteReference"/>
          <w:rFonts w:cs="Times New Roman"/>
        </w:rPr>
        <w:footnoteRef/>
      </w:r>
      <w:r w:rsidRPr="007816A0">
        <w:rPr>
          <w:rFonts w:cs="Times New Roman"/>
        </w:rPr>
        <w:t xml:space="preserve"> Burkert 1987, 7-8.</w:t>
      </w:r>
    </w:p>
  </w:footnote>
  <w:footnote w:id="296">
    <w:p w14:paraId="163239E3" w14:textId="7DED3C68" w:rsidR="004E7DAB" w:rsidRPr="007816A0" w:rsidRDefault="004E7DAB" w:rsidP="00280D0B">
      <w:pPr>
        <w:pStyle w:val="FootnoteText"/>
        <w:rPr>
          <w:rFonts w:cs="Times New Roman"/>
        </w:rPr>
      </w:pPr>
      <w:r w:rsidRPr="007816A0">
        <w:rPr>
          <w:rStyle w:val="FootnoteReference"/>
          <w:rFonts w:cs="Times New Roman"/>
        </w:rPr>
        <w:footnoteRef/>
      </w:r>
      <w:r w:rsidRPr="007816A0">
        <w:rPr>
          <w:rFonts w:cs="Times New Roman"/>
        </w:rPr>
        <w:t xml:space="preserve"> Rigoglioso 2010, 107</w:t>
      </w:r>
      <w:r w:rsidR="00977626" w:rsidRPr="007816A0">
        <w:rPr>
          <w:rFonts w:cs="Times New Roman"/>
        </w:rPr>
        <w:t>, 188</w:t>
      </w:r>
      <w:r w:rsidRPr="007816A0">
        <w:rPr>
          <w:rFonts w:cs="Times New Roman"/>
        </w:rPr>
        <w:t>.</w:t>
      </w:r>
    </w:p>
  </w:footnote>
  <w:footnote w:id="297">
    <w:p w14:paraId="79A2186A" w14:textId="39771E22" w:rsidR="00C36F18" w:rsidRPr="007816A0" w:rsidRDefault="00C36F1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60AF1" w:rsidRPr="007816A0">
        <w:rPr>
          <w:rFonts w:cs="Times New Roman"/>
        </w:rPr>
        <w:t>López-Ruiz 2014C</w:t>
      </w:r>
      <w:r w:rsidRPr="007816A0">
        <w:rPr>
          <w:rFonts w:cs="Times New Roman"/>
        </w:rPr>
        <w:t>, 161.</w:t>
      </w:r>
    </w:p>
  </w:footnote>
  <w:footnote w:id="298">
    <w:p w14:paraId="02EF954D" w14:textId="3E039257" w:rsidR="00C11FA2" w:rsidRPr="007816A0" w:rsidRDefault="00C11FA2"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270F8B" w:rsidRPr="007816A0">
        <w:rPr>
          <w:rFonts w:cs="Times New Roman"/>
        </w:rPr>
        <w:t>Parker R 2005</w:t>
      </w:r>
      <w:r w:rsidRPr="007816A0">
        <w:rPr>
          <w:rFonts w:cs="Times New Roman"/>
        </w:rPr>
        <w:t>, 360.</w:t>
      </w:r>
      <w:r w:rsidR="00B82953" w:rsidRPr="007816A0">
        <w:rPr>
          <w:rFonts w:cs="Times New Roman"/>
        </w:rPr>
        <w:t xml:space="preserve"> Clinton 2003, 55. Sourvinou-Inwood 2003, 40.</w:t>
      </w:r>
      <w:r w:rsidR="00977626" w:rsidRPr="007816A0">
        <w:rPr>
          <w:rFonts w:cs="Times New Roman"/>
        </w:rPr>
        <w:t xml:space="preserve"> Rigoglioso 2010, 100, 107.</w:t>
      </w:r>
    </w:p>
  </w:footnote>
  <w:footnote w:id="299">
    <w:p w14:paraId="401FB6EC" w14:textId="1B176787" w:rsidR="0096104D" w:rsidRPr="007816A0" w:rsidRDefault="00E839B8" w:rsidP="00280D0B">
      <w:pPr>
        <w:pStyle w:val="FootnoteText"/>
        <w:rPr>
          <w:rFonts w:cs="Times New Roman"/>
        </w:rPr>
      </w:pPr>
      <w:r w:rsidRPr="007816A0">
        <w:rPr>
          <w:rStyle w:val="FootnoteReference"/>
          <w:rFonts w:cs="Times New Roman"/>
        </w:rPr>
        <w:footnoteRef/>
      </w:r>
      <w:r w:rsidRPr="007816A0">
        <w:rPr>
          <w:rFonts w:cs="Times New Roman"/>
        </w:rPr>
        <w:t xml:space="preserve"> Summarized from </w:t>
      </w:r>
      <w:r w:rsidR="00D57C6E" w:rsidRPr="007816A0">
        <w:rPr>
          <w:rFonts w:cs="Times New Roman"/>
        </w:rPr>
        <w:t>Malamis 2025, 71-73</w:t>
      </w:r>
      <w:r w:rsidRPr="007816A0">
        <w:rPr>
          <w:rFonts w:cs="Times New Roman"/>
        </w:rPr>
        <w:t xml:space="preserve">. For additional related </w:t>
      </w:r>
      <w:r w:rsidRPr="007816A0">
        <w:rPr>
          <w:rFonts w:cs="Times New Roman"/>
          <w:i/>
          <w:iCs/>
        </w:rPr>
        <w:t>Orphic Hymns</w:t>
      </w:r>
      <w:r w:rsidRPr="007816A0">
        <w:rPr>
          <w:rFonts w:cs="Times New Roman"/>
        </w:rPr>
        <w:t xml:space="preserve"> see appendix.</w:t>
      </w:r>
    </w:p>
  </w:footnote>
  <w:footnote w:id="300">
    <w:p w14:paraId="3B9E078A" w14:textId="77777777" w:rsidR="00147038" w:rsidRPr="007816A0" w:rsidRDefault="00147038" w:rsidP="00280D0B">
      <w:pPr>
        <w:pStyle w:val="FootnoteText"/>
        <w:rPr>
          <w:rFonts w:cs="Times New Roman"/>
        </w:rPr>
      </w:pPr>
      <w:r w:rsidRPr="007816A0">
        <w:rPr>
          <w:rStyle w:val="FootnoteReference"/>
          <w:rFonts w:cs="Times New Roman"/>
        </w:rPr>
        <w:footnoteRef/>
      </w:r>
      <w:r w:rsidRPr="007816A0">
        <w:rPr>
          <w:rFonts w:cs="Times New Roman"/>
        </w:rPr>
        <w:t xml:space="preserve"> Summarized from Claudian 1922.</w:t>
      </w:r>
    </w:p>
  </w:footnote>
  <w:footnote w:id="301">
    <w:p w14:paraId="781D4868" w14:textId="64E6AF77" w:rsidR="00C60427" w:rsidRPr="007816A0" w:rsidRDefault="00C60427" w:rsidP="00280D0B">
      <w:pPr>
        <w:pStyle w:val="FootnoteText"/>
        <w:rPr>
          <w:rFonts w:cs="Times New Roman"/>
        </w:rPr>
      </w:pPr>
      <w:r w:rsidRPr="007816A0">
        <w:rPr>
          <w:rStyle w:val="FootnoteReference"/>
          <w:rFonts w:cs="Times New Roman"/>
        </w:rPr>
        <w:footnoteRef/>
      </w:r>
      <w:r w:rsidRPr="007816A0">
        <w:rPr>
          <w:rFonts w:cs="Times New Roman"/>
        </w:rPr>
        <w:t xml:space="preserve"> Parkes</w:t>
      </w:r>
      <w:r w:rsidR="00B466D1" w:rsidRPr="007816A0">
        <w:rPr>
          <w:rFonts w:cs="Times New Roman"/>
        </w:rPr>
        <w:t xml:space="preserve"> (2020, 302, 307-315) </w:t>
      </w:r>
      <w:r w:rsidRPr="007816A0">
        <w:rPr>
          <w:rFonts w:cs="Times New Roman"/>
        </w:rPr>
        <w:t xml:space="preserve">argues that Claudian structures the abduction around </w:t>
      </w:r>
      <w:r w:rsidR="00A652AD" w:rsidRPr="007816A0">
        <w:rPr>
          <w:rFonts w:cs="Times New Roman"/>
        </w:rPr>
        <w:t>“</w:t>
      </w:r>
      <w:r w:rsidRPr="007816A0">
        <w:rPr>
          <w:rFonts w:cs="Times New Roman"/>
        </w:rPr>
        <w:t>boundary violation</w:t>
      </w:r>
      <w:r w:rsidR="00A652AD" w:rsidRPr="007816A0">
        <w:rPr>
          <w:rFonts w:cs="Times New Roman"/>
        </w:rPr>
        <w:t>”</w:t>
      </w:r>
      <w:r w:rsidRPr="007816A0">
        <w:rPr>
          <w:rFonts w:cs="Times New Roman"/>
        </w:rPr>
        <w:t xml:space="preserve"> and competing claims of cosmic authority, noting that </w:t>
      </w:r>
      <w:r w:rsidR="00A652AD" w:rsidRPr="007816A0">
        <w:rPr>
          <w:rFonts w:cs="Times New Roman"/>
        </w:rPr>
        <w:t>“</w:t>
      </w:r>
      <w:r w:rsidRPr="007816A0">
        <w:rPr>
          <w:rFonts w:cs="Times New Roman"/>
        </w:rPr>
        <w:t>the underworld ruled by Dis has been associated with the Eastern part of the empire,</w:t>
      </w:r>
      <w:r w:rsidR="00A652AD" w:rsidRPr="007816A0">
        <w:rPr>
          <w:rFonts w:cs="Times New Roman"/>
        </w:rPr>
        <w:t>”</w:t>
      </w:r>
      <w:r w:rsidRPr="007816A0">
        <w:rPr>
          <w:rFonts w:cs="Times New Roman"/>
        </w:rPr>
        <w:t xml:space="preserve"> while the poem repeatedly </w:t>
      </w:r>
      <w:r w:rsidR="00C020C4" w:rsidRPr="007816A0">
        <w:rPr>
          <w:rFonts w:cs="Times New Roman"/>
        </w:rPr>
        <w:t>emphasise</w:t>
      </w:r>
      <w:r w:rsidRPr="007816A0">
        <w:rPr>
          <w:rFonts w:cs="Times New Roman"/>
        </w:rPr>
        <w:t xml:space="preserve">s </w:t>
      </w:r>
      <w:r w:rsidR="00A652AD" w:rsidRPr="007816A0">
        <w:rPr>
          <w:rFonts w:cs="Times New Roman"/>
        </w:rPr>
        <w:t>“</w:t>
      </w:r>
      <w:r w:rsidRPr="007816A0">
        <w:rPr>
          <w:rFonts w:cs="Times New Roman"/>
        </w:rPr>
        <w:t>violation with regard to border crossing.</w:t>
      </w:r>
      <w:r w:rsidR="00A652AD" w:rsidRPr="007816A0">
        <w:rPr>
          <w:rFonts w:cs="Times New Roman"/>
        </w:rPr>
        <w:t>”</w:t>
      </w:r>
      <w:r w:rsidRPr="007816A0">
        <w:rPr>
          <w:rFonts w:cs="Times New Roman"/>
        </w:rPr>
        <w:t xml:space="preserve"> She further observes that Jupiter’s speeches function rhetorically to frame the abduction as preserving cosmic harmony even while the narrative exposes tensions beneath that presentation. See Parkes</w:t>
      </w:r>
      <w:r w:rsidR="001257F5" w:rsidRPr="007816A0">
        <w:rPr>
          <w:rFonts w:cs="Times New Roman"/>
        </w:rPr>
        <w:t xml:space="preserve"> </w:t>
      </w:r>
      <w:r w:rsidRPr="007816A0">
        <w:rPr>
          <w:rFonts w:cs="Times New Roman"/>
        </w:rPr>
        <w:t>2020</w:t>
      </w:r>
      <w:r w:rsidR="001257F5" w:rsidRPr="007816A0">
        <w:rPr>
          <w:rFonts w:cs="Times New Roman"/>
        </w:rPr>
        <w:t xml:space="preserve">, </w:t>
      </w:r>
      <w:r w:rsidRPr="007816A0">
        <w:rPr>
          <w:rFonts w:cs="Times New Roman"/>
        </w:rPr>
        <w:t>302</w:t>
      </w:r>
      <w:r w:rsidR="005A2BD2" w:rsidRPr="007816A0">
        <w:rPr>
          <w:rFonts w:cs="Times New Roman"/>
        </w:rPr>
        <w:t>-</w:t>
      </w:r>
      <w:r w:rsidRPr="007816A0">
        <w:rPr>
          <w:rFonts w:cs="Times New Roman"/>
        </w:rPr>
        <w:t>304, 307</w:t>
      </w:r>
      <w:r w:rsidR="005A2BD2" w:rsidRPr="007816A0">
        <w:rPr>
          <w:rFonts w:cs="Times New Roman"/>
        </w:rPr>
        <w:t>-</w:t>
      </w:r>
      <w:r w:rsidRPr="007816A0">
        <w:rPr>
          <w:rFonts w:cs="Times New Roman"/>
        </w:rPr>
        <w:t>315.</w:t>
      </w:r>
    </w:p>
  </w:footnote>
  <w:footnote w:id="302">
    <w:p w14:paraId="1791C963" w14:textId="3B82B2C4" w:rsidR="00821DCE" w:rsidRPr="007816A0" w:rsidRDefault="00821DCE"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Pr="007816A0">
        <w:rPr>
          <w:rFonts w:cs="Times New Roman"/>
          <w:i/>
          <w:iCs/>
        </w:rPr>
        <w:t>Homeric Hymn</w:t>
      </w:r>
      <w:r w:rsidRPr="007816A0">
        <w:rPr>
          <w:rFonts w:cs="Times New Roman"/>
        </w:rPr>
        <w:t xml:space="preserve"> </w:t>
      </w:r>
      <w:r w:rsidR="007D1C3D" w:rsidRPr="007816A0">
        <w:rPr>
          <w:rFonts w:cs="Times New Roman"/>
        </w:rPr>
        <w:t xml:space="preserve">2008 </w:t>
      </w:r>
      <w:r w:rsidRPr="007816A0">
        <w:rPr>
          <w:rFonts w:cs="Times New Roman"/>
          <w:i/>
          <w:iCs/>
        </w:rPr>
        <w:t>Demeter</w:t>
      </w:r>
      <w:r w:rsidRPr="007816A0">
        <w:rPr>
          <w:rFonts w:cs="Times New Roman"/>
        </w:rPr>
        <w:t xml:space="preserve">, </w:t>
      </w:r>
      <w:r w:rsidR="00D15DF2" w:rsidRPr="007816A0">
        <w:rPr>
          <w:rFonts w:cs="Times New Roman"/>
        </w:rPr>
        <w:t>vv</w:t>
      </w:r>
      <w:r w:rsidR="00BF7940" w:rsidRPr="007816A0">
        <w:rPr>
          <w:rFonts w:cs="Times New Roman"/>
        </w:rPr>
        <w:t>.</w:t>
      </w:r>
      <w:r w:rsidRPr="007816A0">
        <w:rPr>
          <w:rFonts w:cs="Times New Roman"/>
        </w:rPr>
        <w:t xml:space="preserve"> 1-4</w:t>
      </w:r>
      <w:r w:rsidR="0060296A" w:rsidRPr="007816A0">
        <w:rPr>
          <w:rFonts w:cs="Times New Roman"/>
        </w:rPr>
        <w:t>, 78-</w:t>
      </w:r>
      <w:r w:rsidR="00AE7097" w:rsidRPr="007816A0">
        <w:rPr>
          <w:rFonts w:cs="Times New Roman"/>
        </w:rPr>
        <w:t>80.</w:t>
      </w:r>
    </w:p>
  </w:footnote>
  <w:footnote w:id="303">
    <w:p w14:paraId="29F1E4E9" w14:textId="419E1D48" w:rsidR="00092B11" w:rsidRPr="007816A0" w:rsidRDefault="00092B11"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DD7878" w:rsidRPr="007816A0">
        <w:rPr>
          <w:rFonts w:cs="Times New Roman"/>
          <w:i/>
          <w:iCs/>
        </w:rPr>
        <w:t>Homeric Hymn</w:t>
      </w:r>
      <w:r w:rsidR="00DD7878" w:rsidRPr="007816A0">
        <w:rPr>
          <w:rFonts w:cs="Times New Roman"/>
        </w:rPr>
        <w:t xml:space="preserve"> </w:t>
      </w:r>
      <w:r w:rsidR="007D1C3D" w:rsidRPr="007816A0">
        <w:rPr>
          <w:rFonts w:cs="Times New Roman"/>
        </w:rPr>
        <w:t xml:space="preserve">2008 </w:t>
      </w:r>
      <w:r w:rsidR="00DD7878" w:rsidRPr="007816A0">
        <w:rPr>
          <w:rFonts w:cs="Times New Roman"/>
          <w:i/>
          <w:iCs/>
        </w:rPr>
        <w:t>Demeter</w:t>
      </w:r>
      <w:r w:rsidR="00DD7878" w:rsidRPr="007816A0">
        <w:rPr>
          <w:rFonts w:cs="Times New Roman"/>
        </w:rPr>
        <w:t xml:space="preserve">, </w:t>
      </w:r>
      <w:r w:rsidR="007D1C3D" w:rsidRPr="007816A0">
        <w:rPr>
          <w:rFonts w:cs="Times New Roman"/>
        </w:rPr>
        <w:t xml:space="preserve">v. </w:t>
      </w:r>
      <w:r w:rsidR="00DD7878" w:rsidRPr="007816A0">
        <w:rPr>
          <w:rFonts w:cs="Times New Roman"/>
        </w:rPr>
        <w:t>400. Ruether 2005, 69-71.</w:t>
      </w:r>
      <w:r w:rsidR="009B2FAD" w:rsidRPr="007816A0">
        <w:rPr>
          <w:rFonts w:cs="Times New Roman"/>
        </w:rPr>
        <w:t xml:space="preserve"> Gasparro 2005, 2269.</w:t>
      </w:r>
    </w:p>
  </w:footnote>
  <w:footnote w:id="304">
    <w:p w14:paraId="3929D071" w14:textId="514C5C5B" w:rsidR="00CF0D85" w:rsidRPr="007816A0" w:rsidRDefault="00CF0D85"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8A02F5" w:rsidRPr="007816A0">
        <w:rPr>
          <w:rFonts w:cs="Times New Roman"/>
          <w:i/>
          <w:iCs/>
        </w:rPr>
        <w:t>Homeric Hymn</w:t>
      </w:r>
      <w:r w:rsidR="008A02F5" w:rsidRPr="007816A0">
        <w:rPr>
          <w:rFonts w:cs="Times New Roman"/>
        </w:rPr>
        <w:t xml:space="preserve"> </w:t>
      </w:r>
      <w:r w:rsidR="007D1C3D" w:rsidRPr="007816A0">
        <w:rPr>
          <w:rFonts w:cs="Times New Roman"/>
        </w:rPr>
        <w:t>2008</w:t>
      </w:r>
      <w:r w:rsidR="008A02F5" w:rsidRPr="007816A0">
        <w:rPr>
          <w:rFonts w:cs="Times New Roman"/>
        </w:rPr>
        <w:t xml:space="preserve"> Demeter, </w:t>
      </w:r>
      <w:r w:rsidR="00D15DF2" w:rsidRPr="007816A0">
        <w:rPr>
          <w:rFonts w:cs="Times New Roman"/>
        </w:rPr>
        <w:t>vv</w:t>
      </w:r>
      <w:r w:rsidR="00BF7940" w:rsidRPr="007816A0">
        <w:rPr>
          <w:rFonts w:cs="Times New Roman"/>
        </w:rPr>
        <w:t>.</w:t>
      </w:r>
      <w:r w:rsidR="008A02F5" w:rsidRPr="007816A0">
        <w:rPr>
          <w:rFonts w:cs="Times New Roman"/>
        </w:rPr>
        <w:t xml:space="preserve"> 1</w:t>
      </w:r>
      <w:r w:rsidR="005A2BD2" w:rsidRPr="007816A0">
        <w:rPr>
          <w:rFonts w:cs="Times New Roman"/>
        </w:rPr>
        <w:t>-</w:t>
      </w:r>
      <w:r w:rsidR="008A02F5" w:rsidRPr="007816A0">
        <w:rPr>
          <w:rFonts w:cs="Times New Roman"/>
        </w:rPr>
        <w:t xml:space="preserve">4. Hundreds of years later, Ovid’s </w:t>
      </w:r>
      <w:r w:rsidR="008A02F5" w:rsidRPr="007816A0">
        <w:rPr>
          <w:rFonts w:cs="Times New Roman"/>
          <w:i/>
          <w:iCs/>
        </w:rPr>
        <w:t>Fasti</w:t>
      </w:r>
      <w:r w:rsidR="008A02F5" w:rsidRPr="007816A0">
        <w:rPr>
          <w:rFonts w:cs="Times New Roman"/>
        </w:rPr>
        <w:t xml:space="preserve"> (Pr. Id. 12th IV.</w:t>
      </w:r>
      <w:r w:rsidR="002504BD" w:rsidRPr="007816A0">
        <w:rPr>
          <w:rFonts w:cs="Times New Roman"/>
        </w:rPr>
        <w:t xml:space="preserve"> vv.</w:t>
      </w:r>
      <w:r w:rsidR="008A02F5" w:rsidRPr="007816A0">
        <w:rPr>
          <w:rFonts w:cs="Times New Roman"/>
        </w:rPr>
        <w:t>424</w:t>
      </w:r>
      <w:r w:rsidR="005A2BD2" w:rsidRPr="007816A0">
        <w:rPr>
          <w:rFonts w:cs="Times New Roman"/>
        </w:rPr>
        <w:t>-</w:t>
      </w:r>
      <w:r w:rsidR="008A02F5" w:rsidRPr="007816A0">
        <w:rPr>
          <w:rFonts w:cs="Times New Roman"/>
        </w:rPr>
        <w:t>429) preserves a later narrative variation in which Demeter is absent during Proserpina’s abduction because she has been drawn away to attend a sacred banquet.</w:t>
      </w:r>
    </w:p>
  </w:footnote>
  <w:footnote w:id="305">
    <w:p w14:paraId="3564ADDA" w14:textId="1B10B1C3" w:rsidR="0060296A" w:rsidRPr="007816A0" w:rsidRDefault="0060296A"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Pr="007816A0">
        <w:rPr>
          <w:rFonts w:cs="Times New Roman"/>
          <w:i/>
          <w:iCs/>
        </w:rPr>
        <w:t>Homeric Hymn</w:t>
      </w:r>
      <w:r w:rsidRPr="007816A0">
        <w:rPr>
          <w:rFonts w:cs="Times New Roman"/>
        </w:rPr>
        <w:t xml:space="preserve"> </w:t>
      </w:r>
      <w:r w:rsidR="007D1C3D" w:rsidRPr="007816A0">
        <w:rPr>
          <w:rFonts w:cs="Times New Roman"/>
        </w:rPr>
        <w:t xml:space="preserve">2008 </w:t>
      </w:r>
      <w:r w:rsidRPr="007816A0">
        <w:rPr>
          <w:rFonts w:cs="Times New Roman"/>
          <w:i/>
          <w:iCs/>
        </w:rPr>
        <w:t>Demeter</w:t>
      </w:r>
      <w:r w:rsidRPr="007816A0">
        <w:rPr>
          <w:rFonts w:cs="Times New Roman"/>
        </w:rPr>
        <w:t xml:space="preserve">, </w:t>
      </w:r>
      <w:r w:rsidR="007D1C3D" w:rsidRPr="007816A0">
        <w:rPr>
          <w:rFonts w:cs="Times New Roman"/>
        </w:rPr>
        <w:t xml:space="preserve">v. </w:t>
      </w:r>
      <w:r w:rsidRPr="007816A0">
        <w:rPr>
          <w:rFonts w:cs="Times New Roman"/>
        </w:rPr>
        <w:t>30.</w:t>
      </w:r>
    </w:p>
  </w:footnote>
  <w:footnote w:id="306">
    <w:p w14:paraId="325DB293" w14:textId="57F7DDFF" w:rsidR="0058215E" w:rsidRPr="007816A0" w:rsidRDefault="0058215E"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Pr="007816A0">
        <w:rPr>
          <w:rFonts w:cs="Times New Roman"/>
          <w:i/>
          <w:iCs/>
        </w:rPr>
        <w:t>Homeric Hymn</w:t>
      </w:r>
      <w:r w:rsidRPr="007816A0">
        <w:rPr>
          <w:rFonts w:cs="Times New Roman"/>
        </w:rPr>
        <w:t xml:space="preserve"> </w:t>
      </w:r>
      <w:r w:rsidR="007D1C3D" w:rsidRPr="007816A0">
        <w:rPr>
          <w:rFonts w:cs="Times New Roman"/>
        </w:rPr>
        <w:t xml:space="preserve">2008 </w:t>
      </w:r>
      <w:r w:rsidRPr="007816A0">
        <w:rPr>
          <w:rFonts w:cs="Times New Roman"/>
          <w:i/>
          <w:iCs/>
        </w:rPr>
        <w:t>Demeter</w:t>
      </w:r>
      <w:r w:rsidRPr="007816A0">
        <w:rPr>
          <w:rFonts w:cs="Times New Roman"/>
        </w:rPr>
        <w:t xml:space="preserve">, </w:t>
      </w:r>
      <w:r w:rsidR="00D15DF2" w:rsidRPr="007816A0">
        <w:rPr>
          <w:rFonts w:cs="Times New Roman"/>
        </w:rPr>
        <w:t>vv</w:t>
      </w:r>
      <w:r w:rsidR="00BF7940" w:rsidRPr="007816A0">
        <w:rPr>
          <w:rFonts w:cs="Times New Roman"/>
        </w:rPr>
        <w:t>.</w:t>
      </w:r>
      <w:r w:rsidRPr="007816A0">
        <w:rPr>
          <w:rFonts w:cs="Times New Roman"/>
        </w:rPr>
        <w:t xml:space="preserve"> 305-311.</w:t>
      </w:r>
    </w:p>
  </w:footnote>
  <w:footnote w:id="307">
    <w:p w14:paraId="13B2A978" w14:textId="05DF7754" w:rsidR="0054157D" w:rsidRPr="007816A0" w:rsidRDefault="0054157D"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Pr="007816A0">
        <w:rPr>
          <w:rFonts w:cs="Times New Roman"/>
          <w:i/>
          <w:iCs/>
        </w:rPr>
        <w:t>Homeric Hymn</w:t>
      </w:r>
      <w:r w:rsidRPr="007816A0">
        <w:rPr>
          <w:rFonts w:cs="Times New Roman"/>
        </w:rPr>
        <w:t xml:space="preserve"> </w:t>
      </w:r>
      <w:r w:rsidR="007D1C3D" w:rsidRPr="007816A0">
        <w:rPr>
          <w:rFonts w:cs="Times New Roman"/>
        </w:rPr>
        <w:t xml:space="preserve">2008 </w:t>
      </w:r>
      <w:r w:rsidRPr="007816A0">
        <w:rPr>
          <w:rFonts w:cs="Times New Roman"/>
          <w:i/>
          <w:iCs/>
        </w:rPr>
        <w:t>Demeter</w:t>
      </w:r>
      <w:r w:rsidRPr="007816A0">
        <w:rPr>
          <w:rFonts w:cs="Times New Roman"/>
        </w:rPr>
        <w:t xml:space="preserve">, </w:t>
      </w:r>
      <w:r w:rsidR="00D15DF2" w:rsidRPr="007816A0">
        <w:rPr>
          <w:rFonts w:cs="Times New Roman"/>
        </w:rPr>
        <w:t>vv</w:t>
      </w:r>
      <w:r w:rsidR="00BF7940" w:rsidRPr="007816A0">
        <w:rPr>
          <w:rFonts w:cs="Times New Roman"/>
        </w:rPr>
        <w:t>.</w:t>
      </w:r>
      <w:r w:rsidRPr="007816A0">
        <w:rPr>
          <w:rFonts w:cs="Times New Roman"/>
        </w:rPr>
        <w:t xml:space="preserve"> 344-350.</w:t>
      </w:r>
    </w:p>
  </w:footnote>
  <w:footnote w:id="308">
    <w:p w14:paraId="6E9E3BF0" w14:textId="0D0C4D1B" w:rsidR="0054157D" w:rsidRPr="007816A0" w:rsidRDefault="0054157D" w:rsidP="00280D0B">
      <w:pPr>
        <w:pStyle w:val="FootnoteText"/>
        <w:rPr>
          <w:rFonts w:cs="Times New Roman"/>
        </w:rPr>
      </w:pPr>
      <w:r w:rsidRPr="007816A0">
        <w:rPr>
          <w:rStyle w:val="FootnoteReference"/>
          <w:rFonts w:cs="Times New Roman"/>
        </w:rPr>
        <w:footnoteRef/>
      </w:r>
      <w:r w:rsidRPr="007816A0">
        <w:rPr>
          <w:rFonts w:cs="Times New Roman"/>
        </w:rPr>
        <w:t xml:space="preserve"> Porphyry states in </w:t>
      </w:r>
      <w:r w:rsidRPr="007816A0">
        <w:rPr>
          <w:rFonts w:cs="Times New Roman"/>
          <w:i/>
          <w:iCs/>
        </w:rPr>
        <w:t>On the Abstinence from Animal Food</w:t>
      </w:r>
      <w:r w:rsidRPr="007816A0">
        <w:rPr>
          <w:rFonts w:cs="Times New Roman"/>
        </w:rPr>
        <w:t xml:space="preserve"> (4.16) </w:t>
      </w:r>
      <w:r w:rsidR="008A02F5" w:rsidRPr="007816A0">
        <w:rPr>
          <w:rFonts w:cs="Times New Roman"/>
        </w:rPr>
        <w:t xml:space="preserve">that pomegranates were prohibited within the Eleusinian Mysteries. Ovid also preserves this prohibition in both the </w:t>
      </w:r>
      <w:r w:rsidR="008A02F5" w:rsidRPr="007816A0">
        <w:rPr>
          <w:rFonts w:cs="Times New Roman"/>
          <w:i/>
          <w:iCs/>
        </w:rPr>
        <w:t>Fasti</w:t>
      </w:r>
      <w:r w:rsidR="008A02F5" w:rsidRPr="007816A0">
        <w:rPr>
          <w:rFonts w:cs="Times New Roman"/>
        </w:rPr>
        <w:t xml:space="preserve"> (Pr. Id. 12th IV.531</w:t>
      </w:r>
      <w:r w:rsidR="005A2BD2" w:rsidRPr="007816A0">
        <w:rPr>
          <w:rFonts w:cs="Times New Roman"/>
        </w:rPr>
        <w:t>-</w:t>
      </w:r>
      <w:r w:rsidR="008A02F5" w:rsidRPr="007816A0">
        <w:rPr>
          <w:rFonts w:cs="Times New Roman"/>
        </w:rPr>
        <w:t xml:space="preserve">536) and the </w:t>
      </w:r>
      <w:r w:rsidR="008A02F5" w:rsidRPr="007816A0">
        <w:rPr>
          <w:rFonts w:cs="Times New Roman"/>
          <w:i/>
          <w:iCs/>
        </w:rPr>
        <w:t>Metamorphoses</w:t>
      </w:r>
      <w:r w:rsidR="008A02F5" w:rsidRPr="007816A0">
        <w:rPr>
          <w:rFonts w:cs="Times New Roman"/>
        </w:rPr>
        <w:t xml:space="preserve"> (V.529</w:t>
      </w:r>
      <w:r w:rsidR="005A2BD2" w:rsidRPr="007816A0">
        <w:rPr>
          <w:rFonts w:cs="Times New Roman"/>
        </w:rPr>
        <w:t>-</w:t>
      </w:r>
      <w:r w:rsidR="008A02F5" w:rsidRPr="007816A0">
        <w:rPr>
          <w:rFonts w:cs="Times New Roman"/>
        </w:rPr>
        <w:t xml:space="preserve">538). In the </w:t>
      </w:r>
      <w:r w:rsidR="008A02F5" w:rsidRPr="007816A0">
        <w:rPr>
          <w:rFonts w:cs="Times New Roman"/>
          <w:i/>
          <w:iCs/>
        </w:rPr>
        <w:t>Fasti</w:t>
      </w:r>
      <w:r w:rsidR="008A02F5" w:rsidRPr="007816A0">
        <w:rPr>
          <w:rFonts w:cs="Times New Roman"/>
        </w:rPr>
        <w:t xml:space="preserve">, he explains that because Proserpina consumed food in the underworld at </w:t>
      </w:r>
      <w:r w:rsidR="00A652AD" w:rsidRPr="007816A0">
        <w:rPr>
          <w:rFonts w:cs="Times New Roman"/>
        </w:rPr>
        <w:t>“</w:t>
      </w:r>
      <w:r w:rsidR="008A02F5" w:rsidRPr="007816A0">
        <w:rPr>
          <w:rFonts w:cs="Times New Roman"/>
        </w:rPr>
        <w:t>nightfall,</w:t>
      </w:r>
      <w:r w:rsidR="00A652AD" w:rsidRPr="007816A0">
        <w:rPr>
          <w:rFonts w:cs="Times New Roman"/>
        </w:rPr>
        <w:t>”</w:t>
      </w:r>
      <w:r w:rsidR="008A02F5" w:rsidRPr="007816A0">
        <w:rPr>
          <w:rFonts w:cs="Times New Roman"/>
        </w:rPr>
        <w:t xml:space="preserve"> initiates likewise observed a ritual fast until evening.</w:t>
      </w:r>
      <w:r w:rsidR="007D1C3D" w:rsidRPr="007816A0">
        <w:rPr>
          <w:rFonts w:cs="Times New Roman"/>
        </w:rPr>
        <w:t xml:space="preserve"> </w:t>
      </w:r>
      <w:r w:rsidR="007D1C3D" w:rsidRPr="007816A0">
        <w:rPr>
          <w:rFonts w:cs="Times New Roman"/>
          <w:i/>
          <w:iCs/>
        </w:rPr>
        <w:t>Homeric Hymn</w:t>
      </w:r>
      <w:r w:rsidR="007D1C3D" w:rsidRPr="007816A0">
        <w:rPr>
          <w:rFonts w:cs="Times New Roman"/>
        </w:rPr>
        <w:t xml:space="preserve"> 2008 </w:t>
      </w:r>
      <w:r w:rsidR="007D1C3D" w:rsidRPr="007816A0">
        <w:rPr>
          <w:rFonts w:cs="Times New Roman"/>
          <w:i/>
          <w:iCs/>
        </w:rPr>
        <w:t>Demeter</w:t>
      </w:r>
      <w:r w:rsidR="007D1C3D" w:rsidRPr="007816A0">
        <w:rPr>
          <w:rFonts w:cs="Times New Roman"/>
        </w:rPr>
        <w:t>, 371-374. Porphyry 2017, 4.16 187-188. Garland 1985, 158.</w:t>
      </w:r>
      <w:r w:rsidR="00C171AA" w:rsidRPr="007816A0">
        <w:rPr>
          <w:rFonts w:cs="Times New Roman"/>
        </w:rPr>
        <w:t xml:space="preserve"> Ovid 1916A, V </w:t>
      </w:r>
      <w:r w:rsidR="00D15DF2" w:rsidRPr="007816A0">
        <w:rPr>
          <w:rFonts w:cs="Times New Roman"/>
        </w:rPr>
        <w:t>vv</w:t>
      </w:r>
      <w:r w:rsidR="00C171AA" w:rsidRPr="007816A0">
        <w:rPr>
          <w:rFonts w:cs="Times New Roman"/>
        </w:rPr>
        <w:t>. 529</w:t>
      </w:r>
      <w:r w:rsidR="005A2BD2" w:rsidRPr="007816A0">
        <w:rPr>
          <w:rFonts w:cs="Times New Roman"/>
        </w:rPr>
        <w:t>-</w:t>
      </w:r>
      <w:r w:rsidR="00C171AA" w:rsidRPr="007816A0">
        <w:rPr>
          <w:rFonts w:cs="Times New Roman"/>
        </w:rPr>
        <w:t>538.</w:t>
      </w:r>
    </w:p>
  </w:footnote>
  <w:footnote w:id="309">
    <w:p w14:paraId="6FC2AE70" w14:textId="458636D4" w:rsidR="0054157D" w:rsidRPr="007816A0" w:rsidRDefault="0054157D"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Pr="007816A0">
        <w:rPr>
          <w:rFonts w:cs="Times New Roman"/>
          <w:i/>
          <w:iCs/>
        </w:rPr>
        <w:t>Homeric Hymn</w:t>
      </w:r>
      <w:r w:rsidRPr="007816A0">
        <w:rPr>
          <w:rFonts w:cs="Times New Roman"/>
        </w:rPr>
        <w:t xml:space="preserve"> </w:t>
      </w:r>
      <w:r w:rsidR="007D1C3D" w:rsidRPr="007816A0">
        <w:rPr>
          <w:rFonts w:cs="Times New Roman"/>
        </w:rPr>
        <w:t xml:space="preserve">2008 </w:t>
      </w:r>
      <w:r w:rsidRPr="007816A0">
        <w:rPr>
          <w:rFonts w:cs="Times New Roman"/>
          <w:i/>
          <w:iCs/>
        </w:rPr>
        <w:t>Demeter</w:t>
      </w:r>
      <w:r w:rsidRPr="007816A0">
        <w:rPr>
          <w:rFonts w:cs="Times New Roman"/>
        </w:rPr>
        <w:t xml:space="preserve">, </w:t>
      </w:r>
      <w:r w:rsidR="00D15DF2" w:rsidRPr="007816A0">
        <w:rPr>
          <w:rFonts w:cs="Times New Roman"/>
        </w:rPr>
        <w:t>vv</w:t>
      </w:r>
      <w:r w:rsidR="00BF7940" w:rsidRPr="007816A0">
        <w:rPr>
          <w:rFonts w:cs="Times New Roman"/>
        </w:rPr>
        <w:t>.</w:t>
      </w:r>
      <w:r w:rsidRPr="007816A0">
        <w:rPr>
          <w:rFonts w:cs="Times New Roman"/>
        </w:rPr>
        <w:t xml:space="preserve"> 445-446.</w:t>
      </w:r>
    </w:p>
  </w:footnote>
  <w:footnote w:id="310">
    <w:p w14:paraId="372DB059" w14:textId="65632A46" w:rsidR="008D2FD6" w:rsidRPr="007816A0" w:rsidRDefault="008D2FD6" w:rsidP="00280D0B">
      <w:pPr>
        <w:pStyle w:val="FootnoteText"/>
        <w:rPr>
          <w:rFonts w:cs="Times New Roman"/>
        </w:rPr>
      </w:pPr>
      <w:r w:rsidRPr="007816A0">
        <w:rPr>
          <w:rStyle w:val="FootnoteReference"/>
          <w:rFonts w:cs="Times New Roman"/>
        </w:rPr>
        <w:footnoteRef/>
      </w:r>
      <w:r w:rsidRPr="007816A0">
        <w:rPr>
          <w:rFonts w:cs="Times New Roman"/>
        </w:rPr>
        <w:t xml:space="preserve"> Metropolitan Museum of Art Object Number 28.57.23. Photo courtesy of Metropolitan Museum of Art Open Access.</w:t>
      </w:r>
    </w:p>
  </w:footnote>
  <w:footnote w:id="311">
    <w:p w14:paraId="21A4BC5F" w14:textId="10C4C758" w:rsidR="00443930" w:rsidRPr="007816A0" w:rsidRDefault="00443930"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60AF1" w:rsidRPr="007816A0">
        <w:rPr>
          <w:rFonts w:cs="Times New Roman"/>
        </w:rPr>
        <w:t>López-Ruiz 2014C</w:t>
      </w:r>
      <w:r w:rsidRPr="007816A0">
        <w:rPr>
          <w:rFonts w:cs="Times New Roman"/>
        </w:rPr>
        <w:t>, 160.</w:t>
      </w:r>
    </w:p>
  </w:footnote>
  <w:footnote w:id="312">
    <w:p w14:paraId="27A71348" w14:textId="3823A03F" w:rsidR="009C1922" w:rsidRPr="007816A0" w:rsidRDefault="009C1922" w:rsidP="00280D0B">
      <w:pPr>
        <w:pStyle w:val="FootnoteText"/>
        <w:rPr>
          <w:rFonts w:cs="Times New Roman"/>
        </w:rPr>
      </w:pPr>
      <w:r w:rsidRPr="007816A0">
        <w:rPr>
          <w:rStyle w:val="FootnoteReference"/>
          <w:rFonts w:cs="Times New Roman"/>
        </w:rPr>
        <w:footnoteRef/>
      </w:r>
      <w:r w:rsidRPr="007816A0">
        <w:rPr>
          <w:rFonts w:cs="Times New Roman"/>
        </w:rPr>
        <w:t xml:space="preserve"> Homer</w:t>
      </w:r>
      <w:r w:rsidR="008C016F" w:rsidRPr="007816A0">
        <w:rPr>
          <w:rFonts w:cs="Times New Roman"/>
        </w:rPr>
        <w:t xml:space="preserve"> 1999</w:t>
      </w:r>
      <w:r w:rsidRPr="007816A0">
        <w:rPr>
          <w:rFonts w:cs="Times New Roman"/>
        </w:rPr>
        <w:t xml:space="preserve"> </w:t>
      </w:r>
      <w:r w:rsidRPr="007816A0">
        <w:rPr>
          <w:rFonts w:cs="Times New Roman"/>
          <w:i/>
          <w:iCs/>
        </w:rPr>
        <w:t>Odyssey</w:t>
      </w:r>
      <w:r w:rsidR="008C016F" w:rsidRPr="007816A0">
        <w:rPr>
          <w:rFonts w:cs="Times New Roman"/>
        </w:rPr>
        <w:t>,</w:t>
      </w:r>
      <w:r w:rsidRPr="007816A0">
        <w:rPr>
          <w:rFonts w:cs="Times New Roman"/>
        </w:rPr>
        <w:t xml:space="preserve"> XI.</w:t>
      </w:r>
    </w:p>
  </w:footnote>
  <w:footnote w:id="313">
    <w:p w14:paraId="60E37252" w14:textId="336A55CC" w:rsidR="00191FDB" w:rsidRPr="007816A0" w:rsidRDefault="00191FDB" w:rsidP="00280D0B">
      <w:pPr>
        <w:pStyle w:val="FootnoteText"/>
        <w:rPr>
          <w:rFonts w:cs="Times New Roman"/>
        </w:rPr>
      </w:pPr>
      <w:r w:rsidRPr="007816A0">
        <w:rPr>
          <w:rStyle w:val="FootnoteReference"/>
          <w:rFonts w:cs="Times New Roman"/>
        </w:rPr>
        <w:footnoteRef/>
      </w:r>
      <w:r w:rsidRPr="007816A0">
        <w:rPr>
          <w:rFonts w:cs="Times New Roman"/>
        </w:rPr>
        <w:t xml:space="preserve"> Virgil 1916, </w:t>
      </w:r>
      <w:r w:rsidRPr="007816A0">
        <w:rPr>
          <w:rFonts w:cs="Times New Roman"/>
          <w:i/>
          <w:iCs/>
        </w:rPr>
        <w:t>Georgics</w:t>
      </w:r>
      <w:r w:rsidRPr="007816A0">
        <w:rPr>
          <w:rFonts w:cs="Times New Roman"/>
        </w:rPr>
        <w:t>,</w:t>
      </w:r>
      <w:r w:rsidR="00DB0939" w:rsidRPr="007816A0">
        <w:rPr>
          <w:rFonts w:cs="Times New Roman"/>
        </w:rPr>
        <w:t xml:space="preserve"> </w:t>
      </w:r>
      <w:r w:rsidRPr="007816A0">
        <w:rPr>
          <w:rFonts w:cs="Times New Roman"/>
        </w:rPr>
        <w:t>4.453</w:t>
      </w:r>
      <w:r w:rsidR="005A2BD2" w:rsidRPr="007816A0">
        <w:rPr>
          <w:rFonts w:cs="Times New Roman"/>
        </w:rPr>
        <w:t>-</w:t>
      </w:r>
      <w:r w:rsidRPr="007816A0">
        <w:rPr>
          <w:rFonts w:cs="Times New Roman"/>
        </w:rPr>
        <w:t>527.</w:t>
      </w:r>
      <w:r w:rsidR="00A310BC" w:rsidRPr="007816A0">
        <w:rPr>
          <w:rFonts w:cs="Times New Roman"/>
        </w:rPr>
        <w:t xml:space="preserve"> Ovid 1916</w:t>
      </w:r>
      <w:r w:rsidR="00A36444" w:rsidRPr="007816A0">
        <w:rPr>
          <w:rFonts w:cs="Times New Roman"/>
        </w:rPr>
        <w:t>B</w:t>
      </w:r>
      <w:r w:rsidR="00A310BC" w:rsidRPr="007816A0">
        <w:rPr>
          <w:rFonts w:cs="Times New Roman"/>
        </w:rPr>
        <w:t xml:space="preserve"> </w:t>
      </w:r>
      <w:r w:rsidR="00A310BC" w:rsidRPr="007816A0">
        <w:rPr>
          <w:rFonts w:cs="Times New Roman"/>
          <w:i/>
          <w:iCs/>
        </w:rPr>
        <w:t>Metamorphoses</w:t>
      </w:r>
      <w:r w:rsidR="00A36444" w:rsidRPr="007816A0">
        <w:rPr>
          <w:rFonts w:cs="Times New Roman"/>
        </w:rPr>
        <w:t>,</w:t>
      </w:r>
      <w:r w:rsidR="00A310BC" w:rsidRPr="007816A0">
        <w:rPr>
          <w:rFonts w:cs="Times New Roman"/>
        </w:rPr>
        <w:t xml:space="preserve"> X</w:t>
      </w:r>
      <w:r w:rsidR="00A36444" w:rsidRPr="007816A0">
        <w:rPr>
          <w:rFonts w:cs="Times New Roman"/>
        </w:rPr>
        <w:t>,</w:t>
      </w:r>
      <w:r w:rsidR="00A310BC" w:rsidRPr="007816A0">
        <w:rPr>
          <w:rFonts w:cs="Times New Roman"/>
        </w:rPr>
        <w:t xml:space="preserve"> 65-69 </w:t>
      </w:r>
      <w:r w:rsidR="00D15DF2" w:rsidRPr="007816A0">
        <w:rPr>
          <w:rFonts w:cs="Times New Roman"/>
        </w:rPr>
        <w:t>vv</w:t>
      </w:r>
      <w:r w:rsidR="00BF7940" w:rsidRPr="007816A0">
        <w:rPr>
          <w:rFonts w:cs="Times New Roman"/>
        </w:rPr>
        <w:t>.</w:t>
      </w:r>
      <w:r w:rsidR="00A310BC" w:rsidRPr="007816A0">
        <w:rPr>
          <w:rFonts w:cs="Times New Roman"/>
        </w:rPr>
        <w:t xml:space="preserve"> 8-63. </w:t>
      </w:r>
    </w:p>
  </w:footnote>
  <w:footnote w:id="314">
    <w:p w14:paraId="7E1BB3F6" w14:textId="05C79F34" w:rsidR="000E7C00" w:rsidRPr="007816A0" w:rsidRDefault="000E7C00" w:rsidP="00280D0B">
      <w:pPr>
        <w:pStyle w:val="FootnoteText"/>
        <w:rPr>
          <w:rFonts w:cs="Times New Roman"/>
        </w:rPr>
      </w:pPr>
      <w:r w:rsidRPr="007816A0">
        <w:rPr>
          <w:rStyle w:val="FootnoteReference"/>
          <w:rFonts w:cs="Times New Roman"/>
        </w:rPr>
        <w:footnoteRef/>
      </w:r>
      <w:r w:rsidRPr="007816A0">
        <w:rPr>
          <w:rFonts w:cs="Times New Roman"/>
        </w:rPr>
        <w:t xml:space="preserve"> In Euripides’ </w:t>
      </w:r>
      <w:r w:rsidRPr="007816A0">
        <w:rPr>
          <w:rFonts w:cs="Times New Roman"/>
          <w:i/>
          <w:iCs/>
        </w:rPr>
        <w:t>Alcestis</w:t>
      </w:r>
      <w:r w:rsidRPr="007816A0">
        <w:rPr>
          <w:rFonts w:cs="Times New Roman"/>
        </w:rPr>
        <w:t xml:space="preserve">, Heracles </w:t>
      </w:r>
      <w:r w:rsidR="00991402" w:rsidRPr="007816A0">
        <w:rPr>
          <w:rFonts w:cs="Times New Roman"/>
        </w:rPr>
        <w:t>intercepts</w:t>
      </w:r>
      <w:r w:rsidRPr="007816A0">
        <w:rPr>
          <w:rFonts w:cs="Times New Roman"/>
        </w:rPr>
        <w:t xml:space="preserve"> and defeats Thanatos at Alcestis’s tomb before her removal to the underworld. This differs from the </w:t>
      </w:r>
      <w:r w:rsidR="008845B6" w:rsidRPr="007816A0">
        <w:rPr>
          <w:rFonts w:cs="Times New Roman"/>
        </w:rPr>
        <w:t>texts</w:t>
      </w:r>
      <w:r w:rsidRPr="007816A0">
        <w:rPr>
          <w:rFonts w:cs="Times New Roman"/>
        </w:rPr>
        <w:t xml:space="preserve"> preserved in Apollodorus, where Persephone herself releases Alcestis (</w:t>
      </w:r>
      <w:r w:rsidRPr="007816A0">
        <w:rPr>
          <w:rFonts w:cs="Times New Roman"/>
          <w:i/>
          <w:iCs/>
        </w:rPr>
        <w:t>Library</w:t>
      </w:r>
      <w:r w:rsidRPr="007816A0">
        <w:rPr>
          <w:rFonts w:cs="Times New Roman"/>
        </w:rPr>
        <w:t xml:space="preserve"> 2.5.12). Heracles’ violent confrontation with Death structurally parallels Anat’s battle with Mot for Baal’s restoration (see page </w:t>
      </w:r>
      <w:r w:rsidRPr="007816A0">
        <w:rPr>
          <w:rFonts w:cs="Times New Roman"/>
        </w:rPr>
        <w:fldChar w:fldCharType="begin"/>
      </w:r>
      <w:r w:rsidRPr="007816A0">
        <w:rPr>
          <w:rFonts w:cs="Times New Roman"/>
        </w:rPr>
        <w:instrText xml:space="preserve"> PAGEREF AnatKillsDeath \h </w:instrText>
      </w:r>
      <w:r w:rsidRPr="007816A0">
        <w:rPr>
          <w:rFonts w:cs="Times New Roman"/>
        </w:rPr>
      </w:r>
      <w:r w:rsidRPr="007816A0">
        <w:rPr>
          <w:rFonts w:cs="Times New Roman"/>
        </w:rPr>
        <w:fldChar w:fldCharType="separate"/>
      </w:r>
      <w:r w:rsidRPr="007816A0">
        <w:rPr>
          <w:rFonts w:cs="Times New Roman"/>
        </w:rPr>
        <w:t>36</w:t>
      </w:r>
      <w:r w:rsidRPr="007816A0">
        <w:rPr>
          <w:rFonts w:cs="Times New Roman"/>
        </w:rPr>
        <w:fldChar w:fldCharType="end"/>
      </w:r>
      <w:r w:rsidRPr="007816A0">
        <w:rPr>
          <w:rFonts w:cs="Times New Roman"/>
        </w:rPr>
        <w:t xml:space="preserve">). Euripides 1994, </w:t>
      </w:r>
      <w:r w:rsidRPr="007816A0">
        <w:rPr>
          <w:rFonts w:cs="Times New Roman"/>
          <w:i/>
          <w:iCs/>
        </w:rPr>
        <w:t>Alcestis</w:t>
      </w:r>
      <w:r w:rsidRPr="007816A0">
        <w:rPr>
          <w:rFonts w:cs="Times New Roman"/>
        </w:rPr>
        <w:t>, 1140</w:t>
      </w:r>
      <w:r w:rsidR="005A2BD2" w:rsidRPr="007816A0">
        <w:rPr>
          <w:rFonts w:cs="Times New Roman"/>
        </w:rPr>
        <w:t>-</w:t>
      </w:r>
      <w:r w:rsidRPr="007816A0">
        <w:rPr>
          <w:rFonts w:cs="Times New Roman"/>
        </w:rPr>
        <w:t>1152; Apollodorus 1921, 2.5.12, 233</w:t>
      </w:r>
      <w:r w:rsidR="005A2BD2" w:rsidRPr="007816A0">
        <w:rPr>
          <w:rFonts w:cs="Times New Roman"/>
        </w:rPr>
        <w:t>-</w:t>
      </w:r>
      <w:r w:rsidRPr="007816A0">
        <w:rPr>
          <w:rFonts w:cs="Times New Roman"/>
        </w:rPr>
        <w:t>237.</w:t>
      </w:r>
    </w:p>
  </w:footnote>
  <w:footnote w:id="315">
    <w:p w14:paraId="47419C12" w14:textId="65A0C9C7" w:rsidR="001E0553" w:rsidRPr="007816A0" w:rsidRDefault="001E0553"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D6453" w:rsidRPr="007816A0">
        <w:rPr>
          <w:rFonts w:cs="Times New Roman"/>
        </w:rPr>
        <w:t xml:space="preserve">Before Heracles realizes that Alcestis is the one fated to die, he reminds Admetus that </w:t>
      </w:r>
      <w:r w:rsidR="00A652AD" w:rsidRPr="007816A0">
        <w:rPr>
          <w:rFonts w:cs="Times New Roman"/>
        </w:rPr>
        <w:t>“</w:t>
      </w:r>
      <w:r w:rsidR="001D6453" w:rsidRPr="007816A0">
        <w:rPr>
          <w:rFonts w:cs="Times New Roman"/>
        </w:rPr>
        <w:t>Death is a debt all mortals must pay, and no man knows for certain whether he will still be living on the morrow,</w:t>
      </w:r>
      <w:r w:rsidR="00A652AD" w:rsidRPr="007816A0">
        <w:rPr>
          <w:rFonts w:cs="Times New Roman"/>
        </w:rPr>
        <w:t>”</w:t>
      </w:r>
      <w:r w:rsidR="001D6453" w:rsidRPr="007816A0">
        <w:rPr>
          <w:rFonts w:cs="Times New Roman"/>
        </w:rPr>
        <w:t xml:space="preserve"> reinforcing the continued inevitability of death even within </w:t>
      </w:r>
      <w:r w:rsidR="008845B6" w:rsidRPr="007816A0">
        <w:rPr>
          <w:rFonts w:cs="Times New Roman"/>
        </w:rPr>
        <w:t>descents</w:t>
      </w:r>
      <w:r w:rsidR="001D6453" w:rsidRPr="007816A0">
        <w:rPr>
          <w:rFonts w:cs="Times New Roman"/>
        </w:rPr>
        <w:t xml:space="preserve"> permitting temporary return. Euripides 1994, </w:t>
      </w:r>
      <w:r w:rsidR="001D6453" w:rsidRPr="007816A0">
        <w:rPr>
          <w:rFonts w:cs="Times New Roman"/>
          <w:i/>
          <w:iCs/>
        </w:rPr>
        <w:t>Alcestis</w:t>
      </w:r>
      <w:r w:rsidR="001D6453" w:rsidRPr="007816A0">
        <w:rPr>
          <w:rFonts w:cs="Times New Roman"/>
        </w:rPr>
        <w:t>, 779</w:t>
      </w:r>
      <w:r w:rsidR="005A2BD2" w:rsidRPr="007816A0">
        <w:rPr>
          <w:rFonts w:cs="Times New Roman"/>
        </w:rPr>
        <w:t>-</w:t>
      </w:r>
      <w:r w:rsidR="001D6453" w:rsidRPr="007816A0">
        <w:rPr>
          <w:rFonts w:cs="Times New Roman"/>
        </w:rPr>
        <w:t>789.</w:t>
      </w:r>
    </w:p>
  </w:footnote>
  <w:footnote w:id="316">
    <w:p w14:paraId="748E696D" w14:textId="7710687E" w:rsidR="00C20E4B" w:rsidRPr="007816A0" w:rsidRDefault="00C20E4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D6453" w:rsidRPr="007816A0">
        <w:rPr>
          <w:rFonts w:cs="Times New Roman"/>
        </w:rPr>
        <w:t xml:space="preserve">Although Gül and Meral (2024, 227) argue that </w:t>
      </w:r>
      <w:r w:rsidR="00A652AD" w:rsidRPr="007816A0">
        <w:rPr>
          <w:rFonts w:cs="Times New Roman"/>
        </w:rPr>
        <w:t>“</w:t>
      </w:r>
      <w:r w:rsidR="001D6453" w:rsidRPr="007816A0">
        <w:rPr>
          <w:rFonts w:cs="Times New Roman"/>
        </w:rPr>
        <w:t>Bu Yunan miti kuşkusuz ki Sümer tanrısı Dumuzi, Babil ve Asur tanrısı Tammuz’un Doğu mitinin tekrarıdır</w:t>
      </w:r>
      <w:r w:rsidR="00A652AD" w:rsidRPr="007816A0">
        <w:rPr>
          <w:rFonts w:cs="Times New Roman"/>
        </w:rPr>
        <w:t>”</w:t>
      </w:r>
      <w:r w:rsidR="001D6453" w:rsidRPr="007816A0">
        <w:rPr>
          <w:rFonts w:cs="Times New Roman"/>
        </w:rPr>
        <w:t xml:space="preserve"> (</w:t>
      </w:r>
      <w:r w:rsidR="00A652AD" w:rsidRPr="007816A0">
        <w:rPr>
          <w:rFonts w:cs="Times New Roman"/>
        </w:rPr>
        <w:t>“</w:t>
      </w:r>
      <w:r w:rsidR="001D6453" w:rsidRPr="007816A0">
        <w:rPr>
          <w:rFonts w:cs="Times New Roman"/>
        </w:rPr>
        <w:t>This Greek myth is undoubtedly a repetition of the Eastern myth of the Sumerian god Dumuzi and the Babylonian-Assyrian god Tammuz</w:t>
      </w:r>
      <w:r w:rsidR="00A652AD" w:rsidRPr="007816A0">
        <w:rPr>
          <w:rFonts w:cs="Times New Roman"/>
        </w:rPr>
        <w:t>”</w:t>
      </w:r>
      <w:r w:rsidR="001D6453" w:rsidRPr="007816A0">
        <w:rPr>
          <w:rFonts w:cs="Times New Roman"/>
        </w:rPr>
        <w:t xml:space="preserve">), the present study remains cautious regarding claims of direct derivation. See the discussion on page </w:t>
      </w:r>
      <w:r w:rsidR="001D6453" w:rsidRPr="007816A0">
        <w:rPr>
          <w:rFonts w:cs="Times New Roman"/>
        </w:rPr>
        <w:fldChar w:fldCharType="begin"/>
      </w:r>
      <w:r w:rsidR="001D6453" w:rsidRPr="007816A0">
        <w:rPr>
          <w:rFonts w:cs="Times New Roman"/>
        </w:rPr>
        <w:instrText xml:space="preserve"> PAGEREF DumuziStayDead \h </w:instrText>
      </w:r>
      <w:r w:rsidR="001D6453" w:rsidRPr="007816A0">
        <w:rPr>
          <w:rFonts w:cs="Times New Roman"/>
        </w:rPr>
      </w:r>
      <w:r w:rsidR="001D6453" w:rsidRPr="007816A0">
        <w:rPr>
          <w:rFonts w:cs="Times New Roman"/>
        </w:rPr>
        <w:fldChar w:fldCharType="separate"/>
      </w:r>
      <w:r w:rsidR="001D6453" w:rsidRPr="007816A0">
        <w:rPr>
          <w:rFonts w:cs="Times New Roman"/>
        </w:rPr>
        <w:t>28</w:t>
      </w:r>
      <w:r w:rsidR="001D6453" w:rsidRPr="007816A0">
        <w:rPr>
          <w:rFonts w:cs="Times New Roman"/>
        </w:rPr>
        <w:fldChar w:fldCharType="end"/>
      </w:r>
      <w:r w:rsidR="001D6453" w:rsidRPr="007816A0">
        <w:rPr>
          <w:rFonts w:cs="Times New Roman"/>
        </w:rPr>
        <w:t>.</w:t>
      </w:r>
    </w:p>
  </w:footnote>
  <w:footnote w:id="317">
    <w:p w14:paraId="4A320507" w14:textId="4915D07C" w:rsidR="00B80D52" w:rsidRPr="007816A0" w:rsidRDefault="00212B4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D6453" w:rsidRPr="007816A0">
        <w:rPr>
          <w:rFonts w:cs="Times New Roman"/>
        </w:rPr>
        <w:t xml:space="preserve">In the version preserved by Apollodorus, Zeus mediates the dispute between Aphrodite and Persephone by dividing Adonis’ time cyclically between the upper and lower worlds: </w:t>
      </w:r>
      <w:r w:rsidR="00A652AD" w:rsidRPr="007816A0">
        <w:rPr>
          <w:rFonts w:cs="Times New Roman"/>
        </w:rPr>
        <w:t>“</w:t>
      </w:r>
      <w:r w:rsidR="001D6453" w:rsidRPr="007816A0">
        <w:rPr>
          <w:rFonts w:cs="Times New Roman"/>
        </w:rPr>
        <w:t>The case being tried before Zeus, the year was divided into three parts…</w:t>
      </w:r>
      <w:r w:rsidR="00A652AD" w:rsidRPr="007816A0">
        <w:rPr>
          <w:rFonts w:cs="Times New Roman"/>
        </w:rPr>
        <w:t>”</w:t>
      </w:r>
      <w:r w:rsidR="001D6453" w:rsidRPr="007816A0">
        <w:rPr>
          <w:rFonts w:cs="Times New Roman"/>
        </w:rPr>
        <w:t xml:space="preserve"> Apollodorus 1921, 3.14.4, 87</w:t>
      </w:r>
      <w:r w:rsidR="005A2BD2" w:rsidRPr="007816A0">
        <w:rPr>
          <w:rFonts w:cs="Times New Roman"/>
        </w:rPr>
        <w:t>-</w:t>
      </w:r>
      <w:r w:rsidR="001D6453" w:rsidRPr="007816A0">
        <w:rPr>
          <w:rFonts w:cs="Times New Roman"/>
        </w:rPr>
        <w:t>89.</w:t>
      </w:r>
    </w:p>
  </w:footnote>
  <w:footnote w:id="318">
    <w:p w14:paraId="0EF8A161" w14:textId="6C0BEE44" w:rsidR="005F06A6" w:rsidRPr="007816A0" w:rsidRDefault="005F06A6" w:rsidP="00280D0B">
      <w:pPr>
        <w:pStyle w:val="FootnoteText"/>
        <w:rPr>
          <w:rFonts w:cs="Times New Roman"/>
        </w:rPr>
      </w:pPr>
      <w:r w:rsidRPr="007816A0">
        <w:rPr>
          <w:rStyle w:val="FootnoteReference"/>
          <w:rFonts w:cs="Times New Roman"/>
        </w:rPr>
        <w:footnoteRef/>
      </w:r>
      <w:r w:rsidRPr="007816A0">
        <w:rPr>
          <w:rFonts w:cs="Times New Roman"/>
        </w:rPr>
        <w:t xml:space="preserve"> Ovid 1916</w:t>
      </w:r>
      <w:r w:rsidR="00A36444" w:rsidRPr="007816A0">
        <w:rPr>
          <w:rFonts w:cs="Times New Roman"/>
        </w:rPr>
        <w:t>B</w:t>
      </w:r>
      <w:r w:rsidRPr="007816A0">
        <w:rPr>
          <w:rFonts w:cs="Times New Roman"/>
        </w:rPr>
        <w:t>,</w:t>
      </w:r>
      <w:r w:rsidR="00DB0939" w:rsidRPr="007816A0">
        <w:rPr>
          <w:rFonts w:cs="Times New Roman"/>
        </w:rPr>
        <w:t xml:space="preserve"> </w:t>
      </w:r>
      <w:r w:rsidRPr="007816A0">
        <w:rPr>
          <w:rFonts w:cs="Times New Roman"/>
          <w:i/>
          <w:iCs/>
        </w:rPr>
        <w:t>Metamorphoses</w:t>
      </w:r>
      <w:r w:rsidR="00A36444" w:rsidRPr="007816A0">
        <w:rPr>
          <w:rFonts w:cs="Times New Roman"/>
        </w:rPr>
        <w:t xml:space="preserve">, </w:t>
      </w:r>
      <w:r w:rsidRPr="007816A0">
        <w:rPr>
          <w:rFonts w:cs="Times New Roman"/>
        </w:rPr>
        <w:t xml:space="preserve">X 115-117 </w:t>
      </w:r>
      <w:r w:rsidR="00D15DF2" w:rsidRPr="007816A0">
        <w:rPr>
          <w:rFonts w:cs="Times New Roman"/>
        </w:rPr>
        <w:t>vv</w:t>
      </w:r>
      <w:r w:rsidR="00BF7940" w:rsidRPr="007816A0">
        <w:rPr>
          <w:rFonts w:cs="Times New Roman"/>
        </w:rPr>
        <w:t>.</w:t>
      </w:r>
      <w:r w:rsidRPr="007816A0">
        <w:rPr>
          <w:rFonts w:cs="Times New Roman"/>
        </w:rPr>
        <w:t xml:space="preserve"> 71</w:t>
      </w:r>
      <w:r w:rsidR="00A26ABC" w:rsidRPr="007816A0">
        <w:rPr>
          <w:rFonts w:cs="Times New Roman"/>
        </w:rPr>
        <w:t>0</w:t>
      </w:r>
      <w:r w:rsidRPr="007816A0">
        <w:rPr>
          <w:rFonts w:cs="Times New Roman"/>
        </w:rPr>
        <w:t>-739.</w:t>
      </w:r>
    </w:p>
  </w:footnote>
  <w:footnote w:id="319">
    <w:p w14:paraId="0C724A10" w14:textId="4C7B9DB0" w:rsidR="00236BAA" w:rsidRPr="007816A0" w:rsidRDefault="00630F2A"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D6453" w:rsidRPr="007816A0">
        <w:rPr>
          <w:rFonts w:cs="Times New Roman"/>
        </w:rPr>
        <w:t>Simms (1997, 121</w:t>
      </w:r>
      <w:r w:rsidR="005A2BD2" w:rsidRPr="007816A0">
        <w:rPr>
          <w:rFonts w:cs="Times New Roman"/>
        </w:rPr>
        <w:t>-</w:t>
      </w:r>
      <w:r w:rsidR="001D6453" w:rsidRPr="007816A0">
        <w:rPr>
          <w:rFonts w:cs="Times New Roman"/>
        </w:rPr>
        <w:t>140) downplays the centrality of Adonis myth in explaining the Adonia, arguing that the ritual was not primarily a reenactment of mythic cycles but centred instead on women’s collective lament. She interprets the festival as an extension of funerary practice</w:t>
      </w:r>
      <w:r w:rsidR="008845B6" w:rsidRPr="007816A0">
        <w:rPr>
          <w:rFonts w:cs="Times New Roman"/>
        </w:rPr>
        <w:t>s</w:t>
      </w:r>
      <w:r w:rsidR="001D6453" w:rsidRPr="007816A0">
        <w:rPr>
          <w:rFonts w:cs="Times New Roman"/>
        </w:rPr>
        <w:t xml:space="preserve"> rather than a theology of rebirth. Liveri (2021, 68) connects the non-Athenian character of the Adonis to </w:t>
      </w:r>
      <w:r w:rsidR="00A652AD" w:rsidRPr="007816A0">
        <w:rPr>
          <w:rFonts w:cs="Times New Roman"/>
        </w:rPr>
        <w:t>“</w:t>
      </w:r>
      <w:r w:rsidR="001D6453" w:rsidRPr="007816A0">
        <w:rPr>
          <w:rFonts w:cs="Times New Roman"/>
        </w:rPr>
        <w:t>the story of the Near Eastern goddess Astarte (Ishtar, Inanna) and her lover Tammuz, originating with the Sumerian Dumuzi.</w:t>
      </w:r>
      <w:r w:rsidR="00A652AD" w:rsidRPr="007816A0">
        <w:rPr>
          <w:rFonts w:cs="Times New Roman"/>
        </w:rPr>
        <w:t>”</w:t>
      </w:r>
    </w:p>
  </w:footnote>
  <w:footnote w:id="320">
    <w:p w14:paraId="1E9DD233" w14:textId="209D224E" w:rsidR="006B5C74" w:rsidRPr="007816A0" w:rsidRDefault="006B5C74"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EC3559" w:rsidRPr="007816A0">
        <w:rPr>
          <w:rFonts w:cs="Times New Roman"/>
        </w:rPr>
        <w:t>Aristophanes 2002</w:t>
      </w:r>
      <w:r w:rsidR="008D1C85" w:rsidRPr="007816A0">
        <w:rPr>
          <w:rFonts w:cs="Times New Roman"/>
        </w:rPr>
        <w:t xml:space="preserve"> </w:t>
      </w:r>
      <w:r w:rsidR="008D1C85" w:rsidRPr="007816A0">
        <w:rPr>
          <w:rFonts w:cs="Times New Roman"/>
          <w:i/>
          <w:iCs/>
        </w:rPr>
        <w:t>Frogs</w:t>
      </w:r>
      <w:r w:rsidRPr="007816A0">
        <w:rPr>
          <w:rFonts w:cs="Times New Roman"/>
        </w:rPr>
        <w:t xml:space="preserve">, 79 </w:t>
      </w:r>
      <w:r w:rsidR="00D15DF2" w:rsidRPr="007816A0">
        <w:rPr>
          <w:rFonts w:cs="Times New Roman"/>
        </w:rPr>
        <w:t>vv</w:t>
      </w:r>
      <w:r w:rsidR="0044434B" w:rsidRPr="007816A0">
        <w:rPr>
          <w:rFonts w:cs="Times New Roman"/>
        </w:rPr>
        <w:t>.</w:t>
      </w:r>
      <w:r w:rsidRPr="007816A0">
        <w:rPr>
          <w:rFonts w:cs="Times New Roman"/>
        </w:rPr>
        <w:t xml:space="preserve"> 384-393.</w:t>
      </w:r>
    </w:p>
  </w:footnote>
  <w:footnote w:id="321">
    <w:p w14:paraId="187BA00D" w14:textId="70A0AF13" w:rsidR="002B0CA8" w:rsidRPr="007816A0" w:rsidRDefault="002B0CA8"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460AF1" w:rsidRPr="007816A0">
        <w:rPr>
          <w:rFonts w:cs="Times New Roman"/>
        </w:rPr>
        <w:t>López-Ruiz 2014C</w:t>
      </w:r>
      <w:r w:rsidRPr="007816A0">
        <w:rPr>
          <w:rFonts w:cs="Times New Roman"/>
        </w:rPr>
        <w:t>, 155.</w:t>
      </w:r>
    </w:p>
  </w:footnote>
  <w:footnote w:id="322">
    <w:p w14:paraId="2ABF824C" w14:textId="21EDFAC3" w:rsidR="00BB16E7" w:rsidRPr="007816A0" w:rsidRDefault="00BB16E7">
      <w:pPr>
        <w:pStyle w:val="FootnoteText"/>
        <w:rPr>
          <w:rFonts w:cs="Times New Roman"/>
        </w:rPr>
      </w:pPr>
      <w:r w:rsidRPr="007816A0">
        <w:rPr>
          <w:rStyle w:val="FootnoteReference"/>
          <w:rFonts w:cs="Times New Roman"/>
        </w:rPr>
        <w:footnoteRef/>
      </w:r>
      <w:r w:rsidRPr="007816A0">
        <w:rPr>
          <w:rFonts w:cs="Times New Roman"/>
        </w:rPr>
        <w:t xml:space="preserve"> Although later Greek philosophical traditions increasingly associated cyclical existence with the immortality and transmigration of the soul, this development appears to belong principally to Pythagorean and Platonic thought rather than to the theological framework of the </w:t>
      </w:r>
      <w:r w:rsidRPr="007816A0">
        <w:rPr>
          <w:rFonts w:cs="Times New Roman"/>
          <w:i/>
          <w:iCs/>
        </w:rPr>
        <w:t>Homeric Hymn to Demeter</w:t>
      </w:r>
      <w:r w:rsidRPr="007816A0">
        <w:rPr>
          <w:rFonts w:cs="Times New Roman"/>
        </w:rPr>
        <w:t xml:space="preserve">. Morris (1989, 311) argues that more elaborate Greek eschatological conceptions emerge only in the later Archaic period with figures such as Pherecydes and Pythagoras, while Long (1948, 154-155) traces Plato's doctrine of metempsychosis to earlier Pythagorean traditions rather than to </w:t>
      </w:r>
      <w:r w:rsidR="0020748E" w:rsidRPr="007816A0">
        <w:rPr>
          <w:rFonts w:cs="Times New Roman"/>
        </w:rPr>
        <w:t xml:space="preserve">a </w:t>
      </w:r>
      <w:r w:rsidRPr="007816A0">
        <w:rPr>
          <w:rFonts w:cs="Times New Roman"/>
        </w:rPr>
        <w:t xml:space="preserve">Homeric religion. Cornelli (2016, 2, 5) likewise argues that metempsychosis represents an ancient Pythagorean tradition that was subsequently developed within later philosophical discourse. Accordingly, while Persephone's recurring movement between the worlds of the living and the dead may have provided a mythic framework upon which later Greek thinkers elaborated more systematic doctrines of cyclical existence, the </w:t>
      </w:r>
      <w:r w:rsidRPr="007816A0">
        <w:rPr>
          <w:rFonts w:cs="Times New Roman"/>
          <w:i/>
          <w:iCs/>
        </w:rPr>
        <w:t>Homeric Hymn</w:t>
      </w:r>
      <w:r w:rsidRPr="007816A0">
        <w:rPr>
          <w:rFonts w:cs="Times New Roman"/>
        </w:rPr>
        <w:t xml:space="preserve"> itself presents her return as a divinely regulated restoration of fertility and cosmic order rather than as a doctrine of personal transmigration. The distinction is important for the present comparison because the cyclical return examined here concerns the regulation of cosmic and agricultural order, whereas later metempsychosis concerns the post-mortem destiny of the individual soul.</w:t>
      </w:r>
    </w:p>
  </w:footnote>
  <w:footnote w:id="323">
    <w:p w14:paraId="3F8B5715" w14:textId="362C7D98" w:rsidR="00B84D2A" w:rsidRPr="007816A0" w:rsidRDefault="00B84D2A">
      <w:pPr>
        <w:pStyle w:val="FootnoteText"/>
        <w:rPr>
          <w:rFonts w:cs="Times New Roman"/>
        </w:rPr>
      </w:pPr>
      <w:r w:rsidRPr="007816A0">
        <w:rPr>
          <w:rStyle w:val="FootnoteReference"/>
          <w:rFonts w:cs="Times New Roman"/>
        </w:rPr>
        <w:footnoteRef/>
      </w:r>
      <w:r w:rsidRPr="007816A0">
        <w:rPr>
          <w:rFonts w:cs="Times New Roman"/>
        </w:rPr>
        <w:t xml:space="preserve"> Lévi-Strauss 1955, 440, 443. Dundes 1997, 41-42.</w:t>
      </w:r>
    </w:p>
  </w:footnote>
  <w:footnote w:id="324">
    <w:p w14:paraId="1329707D" w14:textId="3F6FCB9A" w:rsidR="00092B11" w:rsidRPr="007816A0" w:rsidRDefault="00092B11"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DD7878" w:rsidRPr="007816A0">
        <w:rPr>
          <w:rFonts w:cs="Times New Roman"/>
        </w:rPr>
        <w:t xml:space="preserve">Black et al. ETCSL Descent. </w:t>
      </w:r>
      <w:r w:rsidR="00DD7878" w:rsidRPr="007816A0">
        <w:rPr>
          <w:rFonts w:cs="Times New Roman"/>
          <w:i/>
          <w:iCs/>
        </w:rPr>
        <w:t>Homeric Hymn</w:t>
      </w:r>
      <w:r w:rsidR="00DD7878" w:rsidRPr="007816A0">
        <w:rPr>
          <w:rFonts w:cs="Times New Roman"/>
        </w:rPr>
        <w:t xml:space="preserve"> </w:t>
      </w:r>
      <w:r w:rsidR="00A717FC" w:rsidRPr="007816A0">
        <w:rPr>
          <w:rFonts w:cs="Times New Roman"/>
        </w:rPr>
        <w:t xml:space="preserve">2008 </w:t>
      </w:r>
      <w:r w:rsidR="00DD7878" w:rsidRPr="007816A0">
        <w:rPr>
          <w:rFonts w:cs="Times New Roman"/>
          <w:i/>
          <w:iCs/>
        </w:rPr>
        <w:t>Demeter</w:t>
      </w:r>
      <w:r w:rsidR="00DD7878" w:rsidRPr="007816A0">
        <w:rPr>
          <w:rFonts w:cs="Times New Roman"/>
        </w:rPr>
        <w:t xml:space="preserve">, </w:t>
      </w:r>
      <w:r w:rsidR="00D15DF2" w:rsidRPr="007816A0">
        <w:rPr>
          <w:rFonts w:cs="Times New Roman"/>
        </w:rPr>
        <w:t>vv</w:t>
      </w:r>
      <w:r w:rsidR="0044434B" w:rsidRPr="007816A0">
        <w:rPr>
          <w:rFonts w:cs="Times New Roman"/>
        </w:rPr>
        <w:t xml:space="preserve">. </w:t>
      </w:r>
      <w:r w:rsidR="00DD7878" w:rsidRPr="007816A0">
        <w:rPr>
          <w:rFonts w:cs="Times New Roman"/>
        </w:rPr>
        <w:t>1</w:t>
      </w:r>
      <w:r w:rsidR="005A2BD2" w:rsidRPr="007816A0">
        <w:rPr>
          <w:rFonts w:cs="Times New Roman"/>
        </w:rPr>
        <w:t>-</w:t>
      </w:r>
      <w:r w:rsidR="00DD7878" w:rsidRPr="007816A0">
        <w:rPr>
          <w:rFonts w:cs="Times New Roman"/>
        </w:rPr>
        <w:t xml:space="preserve">4, </w:t>
      </w:r>
      <w:r w:rsidR="00847011" w:rsidRPr="007816A0">
        <w:rPr>
          <w:rFonts w:cs="Times New Roman"/>
        </w:rPr>
        <w:t xml:space="preserve">15-29, </w:t>
      </w:r>
      <w:r w:rsidR="00DD7878" w:rsidRPr="007816A0">
        <w:rPr>
          <w:rFonts w:cs="Times New Roman"/>
        </w:rPr>
        <w:t>400.</w:t>
      </w:r>
    </w:p>
  </w:footnote>
  <w:footnote w:id="325">
    <w:p w14:paraId="3FE2C093" w14:textId="3610C011" w:rsidR="008B79CC" w:rsidRPr="007816A0" w:rsidRDefault="008B79CC" w:rsidP="00280D0B">
      <w:pPr>
        <w:pStyle w:val="FootnoteText"/>
        <w:rPr>
          <w:rFonts w:cs="Times New Roman"/>
        </w:rPr>
      </w:pPr>
      <w:r w:rsidRPr="007816A0">
        <w:rPr>
          <w:rStyle w:val="FootnoteReference"/>
          <w:rFonts w:cs="Times New Roman"/>
        </w:rPr>
        <w:footnoteRef/>
      </w:r>
      <w:r w:rsidRPr="007816A0">
        <w:rPr>
          <w:rFonts w:cs="Times New Roman"/>
        </w:rPr>
        <w:t xml:space="preserve"> Euripides 1994 </w:t>
      </w:r>
      <w:r w:rsidRPr="007816A0">
        <w:rPr>
          <w:rFonts w:cs="Times New Roman"/>
          <w:i/>
          <w:iCs/>
        </w:rPr>
        <w:t>Alcestis</w:t>
      </w:r>
      <w:r w:rsidRPr="007816A0">
        <w:rPr>
          <w:rFonts w:cs="Times New Roman"/>
        </w:rPr>
        <w:t xml:space="preserve">, 271-273 </w:t>
      </w:r>
      <w:r w:rsidR="00D15DF2" w:rsidRPr="007816A0">
        <w:rPr>
          <w:rFonts w:cs="Times New Roman"/>
        </w:rPr>
        <w:t>vv</w:t>
      </w:r>
      <w:r w:rsidR="0044434B" w:rsidRPr="007816A0">
        <w:rPr>
          <w:rFonts w:cs="Times New Roman"/>
        </w:rPr>
        <w:t>.</w:t>
      </w:r>
      <w:r w:rsidRPr="007816A0">
        <w:rPr>
          <w:rFonts w:cs="Times New Roman"/>
        </w:rPr>
        <w:t xml:space="preserve"> 1140-1152.</w:t>
      </w:r>
    </w:p>
  </w:footnote>
  <w:footnote w:id="326">
    <w:p w14:paraId="5BE5D2E7" w14:textId="46324158" w:rsidR="00566BCC" w:rsidRPr="007816A0" w:rsidRDefault="00566BCC" w:rsidP="00280D0B">
      <w:pPr>
        <w:pStyle w:val="FootnoteText"/>
        <w:rPr>
          <w:rFonts w:cs="Times New Roman"/>
        </w:rPr>
      </w:pPr>
      <w:r w:rsidRPr="007816A0">
        <w:rPr>
          <w:rStyle w:val="FootnoteReference"/>
          <w:rFonts w:cs="Times New Roman"/>
        </w:rPr>
        <w:footnoteRef/>
      </w:r>
      <w:r w:rsidRPr="007816A0">
        <w:rPr>
          <w:rFonts w:cs="Times New Roman"/>
        </w:rPr>
        <w:t xml:space="preserve"> Gurney 1960, 115. </w:t>
      </w:r>
      <w:r w:rsidR="000631FB" w:rsidRPr="007816A0">
        <w:rPr>
          <w:rFonts w:cs="Times New Roman"/>
        </w:rPr>
        <w:t>Dalley 1989, 168.</w:t>
      </w:r>
    </w:p>
  </w:footnote>
  <w:footnote w:id="327">
    <w:p w14:paraId="515536B7" w14:textId="17847E48" w:rsidR="000631FB" w:rsidRPr="007816A0" w:rsidRDefault="000631FB"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1D6453" w:rsidRPr="007816A0">
        <w:rPr>
          <w:rFonts w:cs="Times New Roman"/>
        </w:rPr>
        <w:t>Jacobsen (1976, 115</w:t>
      </w:r>
      <w:r w:rsidR="005A2BD2" w:rsidRPr="007816A0">
        <w:rPr>
          <w:rFonts w:cs="Times New Roman"/>
        </w:rPr>
        <w:t>-</w:t>
      </w:r>
      <w:r w:rsidR="001D6453" w:rsidRPr="007816A0">
        <w:rPr>
          <w:rFonts w:cs="Times New Roman"/>
        </w:rPr>
        <w:t xml:space="preserve">116) notes that a similar prohibition against consuming food in divine realms appears in the Akkadian </w:t>
      </w:r>
      <w:r w:rsidR="001D6453" w:rsidRPr="007816A0">
        <w:rPr>
          <w:rFonts w:cs="Times New Roman"/>
          <w:i/>
          <w:iCs/>
        </w:rPr>
        <w:t>Myth of Adapa</w:t>
      </w:r>
      <w:r w:rsidR="001D6453" w:rsidRPr="007816A0">
        <w:rPr>
          <w:rFonts w:cs="Times New Roman"/>
        </w:rPr>
        <w:t xml:space="preserve">, where Ea/Enki warns Adapa </w:t>
      </w:r>
      <w:r w:rsidR="00A652AD" w:rsidRPr="007816A0">
        <w:rPr>
          <w:rFonts w:cs="Times New Roman"/>
        </w:rPr>
        <w:t>“</w:t>
      </w:r>
      <w:r w:rsidR="001D6453" w:rsidRPr="007816A0">
        <w:rPr>
          <w:rFonts w:cs="Times New Roman"/>
        </w:rPr>
        <w:t>not to eat and drink anything offered to him, for it would be food and drink of death.</w:t>
      </w:r>
      <w:r w:rsidR="00A652AD" w:rsidRPr="007816A0">
        <w:rPr>
          <w:rFonts w:cs="Times New Roman"/>
        </w:rPr>
        <w:t>”</w:t>
      </w:r>
      <w:r w:rsidR="001D6453" w:rsidRPr="007816A0">
        <w:rPr>
          <w:rFonts w:cs="Times New Roman"/>
        </w:rPr>
        <w:t xml:space="preserve"> A comparable motif appears in the recently published portion of tablet NI 12501 (Enlil, Ishkur, and the Fox), where the Fox refuses Netherworld sustenance: </w:t>
      </w:r>
      <w:r w:rsidR="00A652AD" w:rsidRPr="007816A0">
        <w:rPr>
          <w:rFonts w:cs="Times New Roman"/>
        </w:rPr>
        <w:t>“</w:t>
      </w:r>
      <w:r w:rsidR="001D6453" w:rsidRPr="007816A0">
        <w:rPr>
          <w:rFonts w:cs="Times New Roman"/>
        </w:rPr>
        <w:t>He did not refuse the bread / (but) put it in a bag (instead). / He did not refuse the water / [(but) poured it in a waterskin instead (?)].</w:t>
      </w:r>
      <w:r w:rsidR="00A652AD" w:rsidRPr="007816A0">
        <w:rPr>
          <w:rFonts w:cs="Times New Roman"/>
        </w:rPr>
        <w:t>”</w:t>
      </w:r>
      <w:r w:rsidR="001D6453" w:rsidRPr="007816A0">
        <w:rPr>
          <w:rFonts w:cs="Times New Roman"/>
        </w:rPr>
        <w:t xml:space="preserve"> Matuszak 2025, 85.</w:t>
      </w:r>
    </w:p>
  </w:footnote>
  <w:footnote w:id="328">
    <w:p w14:paraId="374F7475" w14:textId="43A7CECE" w:rsidR="00261B51" w:rsidRPr="007816A0" w:rsidRDefault="00261B51" w:rsidP="00280D0B">
      <w:pPr>
        <w:pStyle w:val="FootnoteText"/>
        <w:rPr>
          <w:rFonts w:cs="Times New Roman"/>
        </w:rPr>
      </w:pPr>
      <w:r w:rsidRPr="007816A0">
        <w:rPr>
          <w:rStyle w:val="FootnoteReference"/>
          <w:rFonts w:cs="Times New Roman"/>
        </w:rPr>
        <w:footnoteRef/>
      </w:r>
      <w:r w:rsidRPr="007816A0">
        <w:rPr>
          <w:rFonts w:cs="Times New Roman"/>
        </w:rPr>
        <w:t xml:space="preserve"> Euripides</w:t>
      </w:r>
      <w:r w:rsidR="00762900" w:rsidRPr="007816A0">
        <w:rPr>
          <w:rFonts w:cs="Times New Roman"/>
        </w:rPr>
        <w:t xml:space="preserve"> 1995</w:t>
      </w:r>
      <w:r w:rsidRPr="007816A0">
        <w:rPr>
          <w:rFonts w:cs="Times New Roman"/>
        </w:rPr>
        <w:t xml:space="preserve"> </w:t>
      </w:r>
      <w:r w:rsidRPr="007816A0">
        <w:rPr>
          <w:rFonts w:cs="Times New Roman"/>
          <w:i/>
          <w:iCs/>
        </w:rPr>
        <w:t>Hippolytus</w:t>
      </w:r>
      <w:r w:rsidRPr="007816A0">
        <w:rPr>
          <w:rFonts w:cs="Times New Roman"/>
        </w:rPr>
        <w:t xml:space="preserve">, </w:t>
      </w:r>
      <w:r w:rsidR="00D15DF2" w:rsidRPr="007816A0">
        <w:rPr>
          <w:rFonts w:cs="Times New Roman"/>
        </w:rPr>
        <w:t>vv</w:t>
      </w:r>
      <w:r w:rsidRPr="007816A0">
        <w:rPr>
          <w:rFonts w:cs="Times New Roman"/>
        </w:rPr>
        <w:t>. 1437-1439.</w:t>
      </w:r>
      <w:r w:rsidR="004859D1" w:rsidRPr="007816A0">
        <w:rPr>
          <w:rFonts w:cs="Times New Roman"/>
        </w:rPr>
        <w:t xml:space="preserve"> Sandin 2008, 7-8.</w:t>
      </w:r>
    </w:p>
  </w:footnote>
  <w:footnote w:id="329">
    <w:p w14:paraId="36EDF8C9" w14:textId="2B2C74A7" w:rsidR="009E6DD9" w:rsidRPr="007816A0" w:rsidRDefault="009E6DD9" w:rsidP="00280D0B">
      <w:pPr>
        <w:pStyle w:val="FootnoteText"/>
        <w:rPr>
          <w:rFonts w:cs="Times New Roman"/>
        </w:rPr>
      </w:pPr>
      <w:r w:rsidRPr="007816A0">
        <w:rPr>
          <w:rStyle w:val="FootnoteReference"/>
          <w:rFonts w:cs="Times New Roman"/>
        </w:rPr>
        <w:footnoteRef/>
      </w:r>
      <w:r w:rsidRPr="007816A0">
        <w:rPr>
          <w:rFonts w:cs="Times New Roman"/>
        </w:rPr>
        <w:t xml:space="preserve"> Euripides 1994 </w:t>
      </w:r>
      <w:r w:rsidRPr="007816A0">
        <w:rPr>
          <w:rFonts w:cs="Times New Roman"/>
          <w:i/>
          <w:iCs/>
        </w:rPr>
        <w:t>Alcestis</w:t>
      </w:r>
      <w:r w:rsidRPr="007816A0">
        <w:rPr>
          <w:rFonts w:cs="Times New Roman"/>
        </w:rPr>
        <w:t xml:space="preserve">, 157 </w:t>
      </w:r>
      <w:r w:rsidR="00D15DF2" w:rsidRPr="007816A0">
        <w:rPr>
          <w:rFonts w:cs="Times New Roman"/>
        </w:rPr>
        <w:t>vv</w:t>
      </w:r>
      <w:r w:rsidR="0044434B" w:rsidRPr="007816A0">
        <w:rPr>
          <w:rFonts w:cs="Times New Roman"/>
        </w:rPr>
        <w:t>.</w:t>
      </w:r>
      <w:r w:rsidRPr="007816A0">
        <w:rPr>
          <w:rFonts w:cs="Times New Roman"/>
        </w:rPr>
        <w:t xml:space="preserve"> 22-23.</w:t>
      </w:r>
    </w:p>
  </w:footnote>
  <w:footnote w:id="330">
    <w:p w14:paraId="41976075" w14:textId="557ADCC6" w:rsidR="0076122B" w:rsidRPr="007816A0" w:rsidRDefault="0076122B" w:rsidP="00280D0B">
      <w:pPr>
        <w:pStyle w:val="FootnoteText"/>
        <w:rPr>
          <w:rFonts w:cs="Times New Roman"/>
        </w:rPr>
      </w:pPr>
      <w:r w:rsidRPr="007816A0">
        <w:rPr>
          <w:rStyle w:val="FootnoteReference"/>
          <w:rFonts w:cs="Times New Roman"/>
        </w:rPr>
        <w:footnoteRef/>
      </w:r>
      <w:r w:rsidRPr="007816A0">
        <w:rPr>
          <w:rFonts w:cs="Times New Roman"/>
        </w:rPr>
        <w:t xml:space="preserve"> Sandin 2008, 7-8.</w:t>
      </w:r>
    </w:p>
  </w:footnote>
  <w:footnote w:id="331">
    <w:p w14:paraId="37CD1944" w14:textId="4367D442" w:rsidR="00092B11" w:rsidRPr="007816A0" w:rsidRDefault="00092B11"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i/>
          <w:iCs/>
        </w:rPr>
        <w:t>Homeric Hymn</w:t>
      </w:r>
      <w:r w:rsidR="00A717FC" w:rsidRPr="007816A0">
        <w:rPr>
          <w:rFonts w:cs="Times New Roman"/>
        </w:rPr>
        <w:t xml:space="preserve"> 2008 </w:t>
      </w:r>
      <w:r w:rsidR="00A717FC" w:rsidRPr="007816A0">
        <w:rPr>
          <w:rFonts w:cs="Times New Roman"/>
          <w:i/>
          <w:iCs/>
        </w:rPr>
        <w:t>Demeter</w:t>
      </w:r>
      <w:r w:rsidR="00DD7878" w:rsidRPr="007816A0">
        <w:rPr>
          <w:rFonts w:cs="Times New Roman"/>
        </w:rPr>
        <w:t>, 304-312.</w:t>
      </w:r>
    </w:p>
  </w:footnote>
  <w:footnote w:id="332">
    <w:p w14:paraId="416B5E4E" w14:textId="134C97AD" w:rsidR="00092B11" w:rsidRPr="007816A0" w:rsidRDefault="00092B11"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i/>
          <w:iCs/>
        </w:rPr>
        <w:t>Homeric Hymn</w:t>
      </w:r>
      <w:r w:rsidR="00A717FC" w:rsidRPr="007816A0">
        <w:rPr>
          <w:rFonts w:cs="Times New Roman"/>
        </w:rPr>
        <w:t xml:space="preserve"> 2008 </w:t>
      </w:r>
      <w:r w:rsidR="00A717FC" w:rsidRPr="007816A0">
        <w:rPr>
          <w:rFonts w:cs="Times New Roman"/>
          <w:i/>
          <w:iCs/>
        </w:rPr>
        <w:t>Demeter</w:t>
      </w:r>
      <w:r w:rsidR="00DD7878" w:rsidRPr="007816A0">
        <w:rPr>
          <w:rFonts w:cs="Times New Roman"/>
        </w:rPr>
        <w:t>, 331-341, 343-355</w:t>
      </w:r>
      <w:r w:rsidR="00033272" w:rsidRPr="007816A0">
        <w:rPr>
          <w:rFonts w:cs="Times New Roman"/>
        </w:rPr>
        <w:t>.</w:t>
      </w:r>
    </w:p>
  </w:footnote>
  <w:footnote w:id="333">
    <w:p w14:paraId="6111715B" w14:textId="12CEF62D" w:rsidR="00DE0972" w:rsidRPr="007816A0" w:rsidRDefault="00DE0972"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Descent, </w:t>
      </w:r>
      <w:r w:rsidR="00D15DF2" w:rsidRPr="007816A0">
        <w:rPr>
          <w:rFonts w:cs="Times New Roman"/>
        </w:rPr>
        <w:t>vv</w:t>
      </w:r>
      <w:r w:rsidR="00BF7940" w:rsidRPr="007816A0">
        <w:rPr>
          <w:rFonts w:cs="Times New Roman"/>
        </w:rPr>
        <w:t>.</w:t>
      </w:r>
      <w:r w:rsidRPr="007816A0">
        <w:rPr>
          <w:rFonts w:cs="Times New Roman"/>
        </w:rPr>
        <w:t xml:space="preserve"> 217-235.</w:t>
      </w:r>
    </w:p>
  </w:footnote>
  <w:footnote w:id="334">
    <w:p w14:paraId="2ECE665A" w14:textId="0B36BB3C" w:rsidR="00092B11" w:rsidRPr="007816A0" w:rsidRDefault="00092B11" w:rsidP="005A2BD2">
      <w:pPr>
        <w:pStyle w:val="FootnoteText"/>
        <w:rPr>
          <w:rFonts w:cs="Times New Roman"/>
        </w:rPr>
      </w:pPr>
      <w:r w:rsidRPr="007816A0">
        <w:rPr>
          <w:rStyle w:val="FootnoteReference"/>
          <w:rFonts w:cs="Times New Roman"/>
        </w:rPr>
        <w:footnoteRef/>
      </w:r>
      <w:r w:rsidRPr="007816A0">
        <w:rPr>
          <w:rFonts w:cs="Times New Roman"/>
        </w:rPr>
        <w:t xml:space="preserve"> </w:t>
      </w:r>
      <w:r w:rsidR="00D80CEE" w:rsidRPr="007816A0">
        <w:rPr>
          <w:rFonts w:cs="Times New Roman"/>
        </w:rPr>
        <w:t xml:space="preserve">Jacobsen (1976, 47, 60, 142) notes that Dumuzi </w:t>
      </w:r>
      <w:r w:rsidR="008845B6" w:rsidRPr="007816A0">
        <w:rPr>
          <w:rFonts w:cs="Times New Roman"/>
        </w:rPr>
        <w:t xml:space="preserve">texts </w:t>
      </w:r>
      <w:r w:rsidR="00D80CEE" w:rsidRPr="007816A0">
        <w:rPr>
          <w:rFonts w:cs="Times New Roman"/>
        </w:rPr>
        <w:t xml:space="preserve">extend well beyond </w:t>
      </w:r>
      <w:r w:rsidR="00D80CEE" w:rsidRPr="007816A0">
        <w:rPr>
          <w:rFonts w:cs="Times New Roman"/>
          <w:i/>
          <w:iCs/>
        </w:rPr>
        <w:t>Inanna’s Descent</w:t>
      </w:r>
      <w:r w:rsidR="00D80CEE" w:rsidRPr="007816A0">
        <w:rPr>
          <w:rFonts w:cs="Times New Roman"/>
        </w:rPr>
        <w:t>, including courtship, lament, and multiple death</w:t>
      </w:r>
      <w:r w:rsidR="008845B6" w:rsidRPr="007816A0">
        <w:rPr>
          <w:rFonts w:cs="Times New Roman"/>
        </w:rPr>
        <w:t xml:space="preserve">s </w:t>
      </w:r>
      <w:r w:rsidR="00D80CEE" w:rsidRPr="007816A0">
        <w:rPr>
          <w:rFonts w:cs="Times New Roman"/>
        </w:rPr>
        <w:t>that frame his eventual selection as Inanna’s substitute within a broader narrative cycle.</w:t>
      </w:r>
    </w:p>
  </w:footnote>
  <w:footnote w:id="335">
    <w:p w14:paraId="3F3949DC" w14:textId="13B50674" w:rsidR="00092B11" w:rsidRPr="007816A0" w:rsidRDefault="00092B11" w:rsidP="00280D0B">
      <w:pPr>
        <w:pStyle w:val="FootnoteText"/>
        <w:rPr>
          <w:rFonts w:cs="Times New Roman"/>
        </w:rPr>
      </w:pPr>
      <w:r w:rsidRPr="007816A0">
        <w:rPr>
          <w:rStyle w:val="FootnoteReference"/>
          <w:rFonts w:cs="Times New Roman"/>
        </w:rPr>
        <w:footnoteRef/>
      </w:r>
      <w:r w:rsidRPr="007816A0">
        <w:rPr>
          <w:rFonts w:cs="Times New Roman"/>
        </w:rPr>
        <w:t xml:space="preserve"> </w:t>
      </w:r>
      <w:r w:rsidR="00A717FC" w:rsidRPr="007816A0">
        <w:rPr>
          <w:rFonts w:cs="Times New Roman"/>
          <w:i/>
          <w:iCs/>
        </w:rPr>
        <w:t>Homeric Hymn</w:t>
      </w:r>
      <w:r w:rsidR="00A717FC" w:rsidRPr="007816A0">
        <w:rPr>
          <w:rFonts w:cs="Times New Roman"/>
        </w:rPr>
        <w:t xml:space="preserve"> 2008 </w:t>
      </w:r>
      <w:r w:rsidR="00A717FC" w:rsidRPr="007816A0">
        <w:rPr>
          <w:rFonts w:cs="Times New Roman"/>
          <w:i/>
          <w:iCs/>
        </w:rPr>
        <w:t>Demeter</w:t>
      </w:r>
      <w:r w:rsidR="00033272" w:rsidRPr="007816A0">
        <w:rPr>
          <w:rFonts w:cs="Times New Roman"/>
        </w:rPr>
        <w:t>, 400</w:t>
      </w:r>
      <w:r w:rsidR="009B2319" w:rsidRPr="007816A0">
        <w:rPr>
          <w:rFonts w:cs="Times New Roman"/>
        </w:rPr>
        <w:t>.</w:t>
      </w:r>
    </w:p>
  </w:footnote>
  <w:footnote w:id="336">
    <w:p w14:paraId="63EEE0E3" w14:textId="6A05FFC1" w:rsidR="001A6E3E" w:rsidRPr="007816A0" w:rsidRDefault="001A6E3E" w:rsidP="00280D0B">
      <w:pPr>
        <w:pStyle w:val="FootnoteText"/>
        <w:rPr>
          <w:rFonts w:cs="Times New Roman"/>
        </w:rPr>
      </w:pPr>
      <w:r w:rsidRPr="007816A0">
        <w:rPr>
          <w:rStyle w:val="FootnoteReference"/>
          <w:rFonts w:cs="Times New Roman"/>
        </w:rPr>
        <w:footnoteRef/>
      </w:r>
      <w:r w:rsidRPr="007816A0">
        <w:rPr>
          <w:rFonts w:cs="Times New Roman"/>
        </w:rPr>
        <w:t xml:space="preserve"> Drillings 2025, 21.</w:t>
      </w:r>
    </w:p>
  </w:footnote>
  <w:footnote w:id="337">
    <w:p w14:paraId="14E53220" w14:textId="543C62BB" w:rsidR="00E679CD" w:rsidRPr="007816A0" w:rsidRDefault="00E679CD" w:rsidP="00280D0B">
      <w:pPr>
        <w:pStyle w:val="FootnoteText"/>
        <w:rPr>
          <w:rFonts w:cs="Times New Roman"/>
        </w:rPr>
      </w:pPr>
      <w:r w:rsidRPr="007816A0">
        <w:rPr>
          <w:rStyle w:val="FootnoteReference"/>
          <w:rFonts w:cs="Times New Roman"/>
        </w:rPr>
        <w:footnoteRef/>
      </w:r>
      <w:r w:rsidRPr="007816A0">
        <w:rPr>
          <w:rFonts w:cs="Times New Roman"/>
        </w:rPr>
        <w:t xml:space="preserve"> Walls 1992, 74.</w:t>
      </w:r>
    </w:p>
  </w:footnote>
  <w:footnote w:id="338">
    <w:p w14:paraId="7D176E92" w14:textId="01C3723B" w:rsidR="00E679CD" w:rsidRPr="007816A0" w:rsidRDefault="00E679CD" w:rsidP="00280D0B">
      <w:pPr>
        <w:pStyle w:val="FootnoteText"/>
        <w:rPr>
          <w:rFonts w:cs="Times New Roman"/>
        </w:rPr>
      </w:pPr>
      <w:r w:rsidRPr="007816A0">
        <w:rPr>
          <w:rStyle w:val="FootnoteReference"/>
          <w:rFonts w:cs="Times New Roman"/>
        </w:rPr>
        <w:footnoteRef/>
      </w:r>
      <w:r w:rsidRPr="007816A0">
        <w:rPr>
          <w:rFonts w:cs="Times New Roman"/>
        </w:rPr>
        <w:t xml:space="preserve"> Black et al. ETCSL Descent, </w:t>
      </w:r>
      <w:r w:rsidR="00D15DF2" w:rsidRPr="007816A0">
        <w:rPr>
          <w:rFonts w:cs="Times New Roman"/>
        </w:rPr>
        <w:t>vv</w:t>
      </w:r>
      <w:r w:rsidR="00BF7940" w:rsidRPr="007816A0">
        <w:rPr>
          <w:rFonts w:cs="Times New Roman"/>
        </w:rPr>
        <w:t>.</w:t>
      </w:r>
      <w:r w:rsidRPr="007816A0">
        <w:rPr>
          <w:rFonts w:cs="Times New Roman"/>
        </w:rPr>
        <w:t xml:space="preserve"> 32-36.</w:t>
      </w:r>
    </w:p>
  </w:footnote>
  <w:footnote w:id="339">
    <w:p w14:paraId="7180B2DF" w14:textId="5A9BB664" w:rsidR="00353025" w:rsidRPr="007816A0" w:rsidRDefault="00353025" w:rsidP="00280D0B">
      <w:pPr>
        <w:pStyle w:val="FootnoteText"/>
        <w:rPr>
          <w:rFonts w:cs="Times New Roman"/>
        </w:rPr>
      </w:pPr>
      <w:r w:rsidRPr="007816A0">
        <w:rPr>
          <w:rStyle w:val="FootnoteReference"/>
          <w:rFonts w:cs="Times New Roman"/>
        </w:rPr>
        <w:footnoteRef/>
      </w:r>
      <w:r w:rsidRPr="007816A0">
        <w:rPr>
          <w:rFonts w:cs="Times New Roman"/>
        </w:rPr>
        <w:t xml:space="preserve"> Euripides 2002</w:t>
      </w:r>
      <w:r w:rsidR="007D0CD3" w:rsidRPr="007816A0">
        <w:rPr>
          <w:rFonts w:cs="Times New Roman"/>
        </w:rPr>
        <w:t xml:space="preserve"> </w:t>
      </w:r>
      <w:r w:rsidR="007D0CD3" w:rsidRPr="007816A0">
        <w:rPr>
          <w:rFonts w:cs="Times New Roman"/>
          <w:i/>
          <w:iCs/>
        </w:rPr>
        <w:t>Helen</w:t>
      </w:r>
      <w:r w:rsidRPr="007816A0">
        <w:rPr>
          <w:rFonts w:cs="Times New Roman"/>
        </w:rPr>
        <w:t>, 133.</w:t>
      </w:r>
    </w:p>
  </w:footnote>
  <w:footnote w:id="340">
    <w:p w14:paraId="6A20EF70" w14:textId="64A0D6A1" w:rsidR="00353025" w:rsidRPr="007816A0" w:rsidRDefault="00353025" w:rsidP="00280D0B">
      <w:pPr>
        <w:pStyle w:val="FootnoteText"/>
        <w:rPr>
          <w:rFonts w:cs="Times New Roman"/>
        </w:rPr>
      </w:pPr>
      <w:r w:rsidRPr="007816A0">
        <w:rPr>
          <w:rStyle w:val="FootnoteReference"/>
          <w:rFonts w:cs="Times New Roman"/>
        </w:rPr>
        <w:footnoteRef/>
      </w:r>
      <w:r w:rsidRPr="007816A0">
        <w:rPr>
          <w:rFonts w:cs="Times New Roman"/>
        </w:rPr>
        <w:t xml:space="preserve"> Homer </w:t>
      </w:r>
      <w:r w:rsidR="007D1C3D" w:rsidRPr="007816A0">
        <w:rPr>
          <w:rFonts w:cs="Times New Roman"/>
        </w:rPr>
        <w:t xml:space="preserve">2004 </w:t>
      </w:r>
      <w:r w:rsidR="007D1C3D" w:rsidRPr="007816A0">
        <w:rPr>
          <w:rFonts w:cs="Times New Roman"/>
          <w:i/>
          <w:iCs/>
        </w:rPr>
        <w:t>Iliad</w:t>
      </w:r>
      <w:r w:rsidRPr="007816A0">
        <w:rPr>
          <w:rFonts w:cs="Times New Roman"/>
        </w:rPr>
        <w:t xml:space="preserve">, XVIII. Euripides 1998, </w:t>
      </w:r>
      <w:r w:rsidR="00D15DF2" w:rsidRPr="007816A0">
        <w:rPr>
          <w:rFonts w:cs="Times New Roman"/>
        </w:rPr>
        <w:t>vv</w:t>
      </w:r>
      <w:r w:rsidR="00BF7940" w:rsidRPr="007816A0">
        <w:rPr>
          <w:rFonts w:cs="Times New Roman"/>
        </w:rPr>
        <w:t>.</w:t>
      </w:r>
      <w:r w:rsidRPr="007816A0">
        <w:rPr>
          <w:rFonts w:cs="Times New Roman"/>
        </w:rPr>
        <w:t xml:space="preserve"> 826-827. Aeschylus 2009</w:t>
      </w:r>
      <w:r w:rsidR="008D1C85" w:rsidRPr="007816A0">
        <w:rPr>
          <w:rFonts w:cs="Times New Roman"/>
        </w:rPr>
        <w:t xml:space="preserve"> Libation-Bearers</w:t>
      </w:r>
      <w:r w:rsidRPr="007816A0">
        <w:rPr>
          <w:rFonts w:cs="Times New Roman"/>
        </w:rPr>
        <w:t>, 213.</w:t>
      </w:r>
    </w:p>
  </w:footnote>
  <w:footnote w:id="341">
    <w:p w14:paraId="255BE536" w14:textId="34FF24D4" w:rsidR="00353025" w:rsidRPr="007816A0" w:rsidRDefault="00353025" w:rsidP="00280D0B">
      <w:pPr>
        <w:pStyle w:val="FootnoteText"/>
        <w:rPr>
          <w:rFonts w:cs="Times New Roman"/>
        </w:rPr>
      </w:pPr>
      <w:r w:rsidRPr="007816A0">
        <w:rPr>
          <w:rStyle w:val="FootnoteReference"/>
          <w:rFonts w:cs="Times New Roman"/>
        </w:rPr>
        <w:footnoteRef/>
      </w:r>
      <w:r w:rsidRPr="007816A0">
        <w:rPr>
          <w:rFonts w:cs="Times New Roman"/>
        </w:rPr>
        <w:t xml:space="preserve"> Claudian 1922,377, </w:t>
      </w:r>
      <w:r w:rsidR="00D15DF2" w:rsidRPr="007816A0">
        <w:rPr>
          <w:rFonts w:cs="Times New Roman"/>
        </w:rPr>
        <w:t>vv</w:t>
      </w:r>
      <w:r w:rsidR="00BF7940" w:rsidRPr="007816A0">
        <w:rPr>
          <w:rFonts w:cs="Times New Roman"/>
        </w:rPr>
        <w:t>.</w:t>
      </w:r>
      <w:r w:rsidRPr="007816A0">
        <w:rPr>
          <w:rFonts w:cs="Times New Roman"/>
        </w:rPr>
        <w:t xml:space="preserve"> 425-426.</w:t>
      </w:r>
    </w:p>
  </w:footnote>
  <w:footnote w:id="342">
    <w:p w14:paraId="1E4B705D" w14:textId="1E9630A3" w:rsidR="007D0CD3" w:rsidRPr="007816A0" w:rsidRDefault="007D0CD3" w:rsidP="00280D0B">
      <w:pPr>
        <w:pStyle w:val="FootnoteText"/>
        <w:rPr>
          <w:rFonts w:cs="Times New Roman"/>
        </w:rPr>
      </w:pPr>
      <w:r w:rsidRPr="007816A0">
        <w:rPr>
          <w:rStyle w:val="FootnoteReference"/>
          <w:rFonts w:cs="Times New Roman"/>
        </w:rPr>
        <w:footnoteRef/>
      </w:r>
      <w:r w:rsidRPr="007816A0">
        <w:rPr>
          <w:rFonts w:cs="Times New Roman"/>
        </w:rPr>
        <w:t xml:space="preserve"> Homer </w:t>
      </w:r>
      <w:r w:rsidR="007D1C3D" w:rsidRPr="007816A0">
        <w:rPr>
          <w:rFonts w:cs="Times New Roman"/>
        </w:rPr>
        <w:t>2004</w:t>
      </w:r>
      <w:r w:rsidRPr="007816A0">
        <w:rPr>
          <w:rFonts w:cs="Times New Roman"/>
        </w:rPr>
        <w:t xml:space="preserve"> </w:t>
      </w:r>
      <w:r w:rsidRPr="007816A0">
        <w:rPr>
          <w:rFonts w:cs="Times New Roman"/>
          <w:i/>
          <w:iCs/>
        </w:rPr>
        <w:t>Iliad</w:t>
      </w:r>
      <w:r w:rsidRPr="007816A0">
        <w:rPr>
          <w:rFonts w:cs="Times New Roman"/>
        </w:rPr>
        <w:t xml:space="preserve">, XVIII. Euripides 1994 </w:t>
      </w:r>
      <w:r w:rsidRPr="007816A0">
        <w:rPr>
          <w:rFonts w:cs="Times New Roman"/>
          <w:i/>
          <w:iCs/>
        </w:rPr>
        <w:t>Alcestis</w:t>
      </w:r>
      <w:r w:rsidRPr="007816A0">
        <w:rPr>
          <w:rFonts w:cs="Times New Roman"/>
        </w:rPr>
        <w:t xml:space="preserve">, 163 </w:t>
      </w:r>
      <w:r w:rsidR="00D15DF2" w:rsidRPr="007816A0">
        <w:rPr>
          <w:rFonts w:cs="Times New Roman"/>
        </w:rPr>
        <w:t>vv</w:t>
      </w:r>
      <w:r w:rsidR="00BF7940" w:rsidRPr="007816A0">
        <w:rPr>
          <w:rFonts w:cs="Times New Roman"/>
        </w:rPr>
        <w:t>.</w:t>
      </w:r>
      <w:r w:rsidRPr="007816A0">
        <w:rPr>
          <w:rFonts w:cs="Times New Roman"/>
        </w:rPr>
        <w:t xml:space="preserve"> 72-76. Ovid 1916</w:t>
      </w:r>
      <w:r w:rsidR="00A36444" w:rsidRPr="007816A0">
        <w:rPr>
          <w:rFonts w:cs="Times New Roman"/>
        </w:rPr>
        <w:t>B</w:t>
      </w:r>
      <w:r w:rsidRPr="007816A0">
        <w:rPr>
          <w:rFonts w:cs="Times New Roman"/>
        </w:rPr>
        <w:t xml:space="preserve"> </w:t>
      </w:r>
      <w:r w:rsidRPr="007816A0">
        <w:rPr>
          <w:rFonts w:cs="Times New Roman"/>
          <w:i/>
          <w:iCs/>
        </w:rPr>
        <w:t>Metamorphoses</w:t>
      </w:r>
      <w:r w:rsidR="00A36444" w:rsidRPr="007816A0">
        <w:rPr>
          <w:rFonts w:cs="Times New Roman"/>
        </w:rPr>
        <w:t>,</w:t>
      </w:r>
      <w:r w:rsidRPr="007816A0">
        <w:rPr>
          <w:rFonts w:cs="Times New Roman"/>
        </w:rPr>
        <w:t xml:space="preserve"> X-XI 115-117 </w:t>
      </w:r>
      <w:r w:rsidR="00D15DF2" w:rsidRPr="007816A0">
        <w:rPr>
          <w:rFonts w:cs="Times New Roman"/>
        </w:rPr>
        <w:t>vv</w:t>
      </w:r>
      <w:r w:rsidR="00BF7940" w:rsidRPr="007816A0">
        <w:rPr>
          <w:rFonts w:cs="Times New Roman"/>
        </w:rPr>
        <w:t>.</w:t>
      </w:r>
      <w:r w:rsidRPr="007816A0">
        <w:rPr>
          <w:rFonts w:cs="Times New Roman"/>
        </w:rPr>
        <w:t xml:space="preserve"> 717-739.</w:t>
      </w:r>
    </w:p>
  </w:footnote>
  <w:footnote w:id="343">
    <w:p w14:paraId="74D56A01" w14:textId="3CB807F3" w:rsidR="00383F43" w:rsidRPr="007816A0" w:rsidRDefault="00383F43" w:rsidP="00280D0B">
      <w:pPr>
        <w:pStyle w:val="FootnoteText"/>
        <w:rPr>
          <w:rFonts w:cs="Times New Roman"/>
        </w:rPr>
      </w:pPr>
      <w:r w:rsidRPr="007816A0">
        <w:rPr>
          <w:rStyle w:val="FootnoteReference"/>
          <w:rFonts w:cs="Times New Roman"/>
        </w:rPr>
        <w:footnoteRef/>
      </w:r>
      <w:r w:rsidRPr="007816A0">
        <w:rPr>
          <w:rFonts w:cs="Times New Roman"/>
        </w:rPr>
        <w:t xml:space="preserve"> Aeschylus 2009 </w:t>
      </w:r>
      <w:r w:rsidRPr="007816A0">
        <w:rPr>
          <w:rFonts w:cs="Times New Roman"/>
          <w:i/>
          <w:iCs/>
        </w:rPr>
        <w:t>Eumenides</w:t>
      </w:r>
      <w:r w:rsidRPr="007816A0">
        <w:rPr>
          <w:rFonts w:cs="Times New Roman"/>
        </w:rPr>
        <w:t xml:space="preserve">, </w:t>
      </w:r>
      <w:r w:rsidR="00D15DF2" w:rsidRPr="007816A0">
        <w:rPr>
          <w:rFonts w:cs="Times New Roman"/>
        </w:rPr>
        <w:t>vv</w:t>
      </w:r>
      <w:r w:rsidRPr="007816A0">
        <w:rPr>
          <w:rFonts w:cs="Times New Roman"/>
        </w:rPr>
        <w:t>. 647</w:t>
      </w:r>
      <w:r w:rsidR="005A2BD2" w:rsidRPr="007816A0">
        <w:rPr>
          <w:rFonts w:cs="Times New Roman"/>
        </w:rPr>
        <w:t>-</w:t>
      </w:r>
      <w:r w:rsidRPr="007816A0">
        <w:rPr>
          <w:rFonts w:cs="Times New Roman"/>
        </w:rPr>
        <w:t>648.</w:t>
      </w:r>
    </w:p>
  </w:footnote>
  <w:footnote w:id="344">
    <w:p w14:paraId="3311A8C2" w14:textId="77777777" w:rsidR="00014F8D" w:rsidRPr="00134DD9" w:rsidRDefault="00014F8D" w:rsidP="000872A3">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Courtesy of Akulov 2023, 24.</w:t>
      </w:r>
    </w:p>
  </w:footnote>
  <w:footnote w:id="345">
    <w:p w14:paraId="4783D6A5" w14:textId="77777777" w:rsidR="00014F8D" w:rsidRPr="00134DD9" w:rsidRDefault="00014F8D" w:rsidP="000872A3">
      <w:pPr>
        <w:pStyle w:val="FootnoteText"/>
        <w:rPr>
          <w:rFonts w:asciiTheme="majorBidi" w:hAnsiTheme="majorBidi" w:cstheme="majorBidi"/>
          <w:i/>
          <w:iCs/>
        </w:rPr>
      </w:pPr>
      <w:r w:rsidRPr="00134DD9">
        <w:rPr>
          <w:rStyle w:val="FootnoteReference"/>
          <w:rFonts w:asciiTheme="majorBidi" w:hAnsiTheme="majorBidi" w:cstheme="majorBidi"/>
        </w:rPr>
        <w:footnoteRef/>
      </w:r>
      <w:r w:rsidRPr="00134DD9">
        <w:rPr>
          <w:rFonts w:asciiTheme="majorBidi" w:hAnsiTheme="majorBidi" w:cstheme="majorBidi"/>
        </w:rPr>
        <w:t xml:space="preserve"> Courtesy of Postgate 2004, 21.</w:t>
      </w:r>
    </w:p>
  </w:footnote>
  <w:footnote w:id="346">
    <w:p w14:paraId="27CE4C50"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Ruether 2005, 42. Postgate 2004, 52. Grahn 2010, 65.</w:t>
      </w:r>
    </w:p>
  </w:footnote>
  <w:footnote w:id="347">
    <w:p w14:paraId="305260C5"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Altaweel, Squitieri et al. 2026, 1.</w:t>
      </w:r>
    </w:p>
  </w:footnote>
  <w:footnote w:id="348">
    <w:p w14:paraId="635738E3"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Carvalho, da Silva 2023, 9 &amp; 19.</w:t>
      </w:r>
    </w:p>
  </w:footnote>
  <w:footnote w:id="349">
    <w:p w14:paraId="242E35B5"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Smith 1994, 1.</w:t>
      </w:r>
    </w:p>
  </w:footnote>
  <w:footnote w:id="350">
    <w:p w14:paraId="1BCF210B"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Vannucci 1998, 86-87.</w:t>
      </w:r>
    </w:p>
  </w:footnote>
  <w:footnote w:id="351">
    <w:p w14:paraId="743376FD"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Sigrist 1984, 160. Postgate 1994, 127.</w:t>
      </w:r>
    </w:p>
  </w:footnote>
  <w:footnote w:id="352">
    <w:p w14:paraId="7568B980" w14:textId="77777777" w:rsidR="00014F8D" w:rsidRPr="00134DD9" w:rsidRDefault="00014F8D" w:rsidP="0030149D">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Grahn 2010, 65.</w:t>
      </w:r>
    </w:p>
  </w:footnote>
  <w:footnote w:id="353">
    <w:p w14:paraId="4DA14B6D"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Gadotti (2006, 67-84) weighs the relationship scholarly debate on the relation of this story to Gilgamesh but ultimately defers a decision pending further study. She (68-69) cites Frayne and concurs with the assertion that </w:t>
      </w:r>
      <w:r w:rsidRPr="00134DD9">
        <w:rPr>
          <w:rFonts w:asciiTheme="majorBidi" w:hAnsiTheme="majorBidi" w:cstheme="majorBidi"/>
          <w:i/>
          <w:iCs/>
        </w:rPr>
        <w:t>Gudam</w:t>
      </w:r>
      <w:r w:rsidRPr="00134DD9">
        <w:rPr>
          <w:rFonts w:asciiTheme="majorBidi" w:hAnsiTheme="majorBidi" w:cstheme="majorBidi"/>
        </w:rPr>
        <w:t xml:space="preserve"> translates as “He is an Ox.” </w:t>
      </w:r>
    </w:p>
  </w:footnote>
  <w:footnote w:id="354">
    <w:p w14:paraId="3FD76C0A"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Black et al. ETCSL Inanna-Gudam.</w:t>
      </w:r>
    </w:p>
  </w:footnote>
  <w:footnote w:id="355">
    <w:p w14:paraId="4658947F"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This story is later integrated into the later Babylonia </w:t>
      </w:r>
      <w:r w:rsidRPr="00134DD9">
        <w:rPr>
          <w:rFonts w:asciiTheme="majorBidi" w:hAnsiTheme="majorBidi" w:cstheme="majorBidi"/>
          <w:i/>
          <w:iCs/>
        </w:rPr>
        <w:t>Epic of Gilgamesh</w:t>
      </w:r>
      <w:r w:rsidRPr="00134DD9">
        <w:rPr>
          <w:rFonts w:asciiTheme="majorBidi" w:hAnsiTheme="majorBidi" w:cstheme="majorBidi"/>
        </w:rPr>
        <w:t>, Tablet VI. In that case, Inanna is replaced with Ištar. Black et al. ETCSL Gilgamesh-Bull. George 2003, 470-478 , 619-631.</w:t>
      </w:r>
    </w:p>
  </w:footnote>
  <w:footnote w:id="356">
    <w:p w14:paraId="4F45B64F" w14:textId="77777777" w:rsidR="00014F8D" w:rsidRPr="00134DD9" w:rsidRDefault="00014F8D">
      <w:pPr>
        <w:pStyle w:val="FootnoteText"/>
        <w:rPr>
          <w:rFonts w:asciiTheme="majorBidi" w:hAnsiTheme="majorBidi" w:cstheme="majorBidi"/>
          <w:lang w:val="en-US"/>
        </w:rPr>
      </w:pPr>
      <w:r w:rsidRPr="00134DD9">
        <w:rPr>
          <w:rStyle w:val="FootnoteReference"/>
          <w:rFonts w:asciiTheme="majorBidi" w:hAnsiTheme="majorBidi" w:cstheme="majorBidi"/>
        </w:rPr>
        <w:footnoteRef/>
      </w:r>
      <w:r w:rsidRPr="00134DD9">
        <w:rPr>
          <w:rFonts w:asciiTheme="majorBidi" w:hAnsiTheme="majorBidi" w:cstheme="majorBidi"/>
        </w:rPr>
        <w:t xml:space="preserve"> Vanstiphout 2004, 35-39.</w:t>
      </w:r>
    </w:p>
  </w:footnote>
  <w:footnote w:id="357">
    <w:p w14:paraId="406FDD4D" w14:textId="77777777" w:rsidR="00014F8D" w:rsidRPr="00134DD9" w:rsidRDefault="00014F8D">
      <w:pPr>
        <w:pStyle w:val="FootnoteText"/>
        <w:rPr>
          <w:rFonts w:asciiTheme="majorBidi" w:hAnsiTheme="majorBidi" w:cstheme="majorBidi"/>
          <w:lang w:val="en-US"/>
        </w:rPr>
      </w:pPr>
      <w:r w:rsidRPr="00134DD9">
        <w:rPr>
          <w:rStyle w:val="FootnoteReference"/>
          <w:rFonts w:asciiTheme="majorBidi" w:hAnsiTheme="majorBidi" w:cstheme="majorBidi"/>
        </w:rPr>
        <w:footnoteRef/>
      </w:r>
      <w:r w:rsidRPr="00134DD9">
        <w:rPr>
          <w:rFonts w:asciiTheme="majorBidi" w:hAnsiTheme="majorBidi" w:cstheme="majorBidi"/>
        </w:rPr>
        <w:t xml:space="preserve"> Vanstiphout 2004, 1.</w:t>
      </w:r>
    </w:p>
  </w:footnote>
  <w:footnote w:id="358">
    <w:p w14:paraId="1E899C54" w14:textId="77777777" w:rsidR="00014F8D" w:rsidRPr="00134DD9" w:rsidRDefault="00014F8D">
      <w:pPr>
        <w:pStyle w:val="FootnoteText"/>
        <w:rPr>
          <w:rFonts w:asciiTheme="majorBidi" w:hAnsiTheme="majorBidi" w:cstheme="majorBidi"/>
          <w:lang w:val="en-US"/>
        </w:rPr>
      </w:pPr>
      <w:r w:rsidRPr="00134DD9">
        <w:rPr>
          <w:rStyle w:val="FootnoteReference"/>
          <w:rFonts w:asciiTheme="majorBidi" w:hAnsiTheme="majorBidi" w:cstheme="majorBidi"/>
        </w:rPr>
        <w:footnoteRef/>
      </w:r>
      <w:r w:rsidRPr="00134DD9">
        <w:rPr>
          <w:rFonts w:asciiTheme="majorBidi" w:hAnsiTheme="majorBidi" w:cstheme="majorBidi"/>
        </w:rPr>
        <w:t xml:space="preserve"> </w:t>
      </w:r>
      <w:r w:rsidRPr="00134DD9">
        <w:rPr>
          <w:rFonts w:asciiTheme="majorBidi" w:hAnsiTheme="majorBidi" w:cstheme="majorBidi"/>
          <w:lang w:val="en-US"/>
        </w:rPr>
        <w:t>These stores can be found at:</w:t>
      </w:r>
    </w:p>
    <w:p w14:paraId="203F15B0" w14:textId="77777777" w:rsidR="00014F8D" w:rsidRPr="00134DD9" w:rsidRDefault="00014F8D">
      <w:pPr>
        <w:pStyle w:val="FootnoteText"/>
        <w:rPr>
          <w:rFonts w:asciiTheme="majorBidi" w:hAnsiTheme="majorBidi" w:cstheme="majorBidi"/>
        </w:rPr>
      </w:pPr>
      <w:r w:rsidRPr="00134DD9">
        <w:rPr>
          <w:rFonts w:asciiTheme="majorBidi" w:hAnsiTheme="majorBidi" w:cstheme="majorBidi"/>
        </w:rPr>
        <w:t>Black et al. ETCSL Enmerkar/Aratta 1999.</w:t>
      </w:r>
    </w:p>
    <w:p w14:paraId="2F2FCC3E" w14:textId="77777777" w:rsidR="00014F8D" w:rsidRPr="00134DD9" w:rsidRDefault="00014F8D">
      <w:pPr>
        <w:pStyle w:val="FootnoteText"/>
        <w:rPr>
          <w:rFonts w:asciiTheme="majorBidi" w:hAnsiTheme="majorBidi" w:cstheme="majorBidi"/>
        </w:rPr>
      </w:pPr>
      <w:r w:rsidRPr="00134DD9">
        <w:rPr>
          <w:rFonts w:asciiTheme="majorBidi" w:hAnsiTheme="majorBidi" w:cstheme="majorBidi"/>
        </w:rPr>
        <w:t>Black et al. ETCSL Enmerkar and En-suhgir-ana 2001.</w:t>
      </w:r>
    </w:p>
    <w:p w14:paraId="57BB2F0E" w14:textId="77777777" w:rsidR="00014F8D" w:rsidRPr="00134DD9" w:rsidRDefault="00014F8D" w:rsidP="005D2D6C">
      <w:pPr>
        <w:pStyle w:val="FootnoteText"/>
        <w:rPr>
          <w:rFonts w:asciiTheme="majorBidi" w:hAnsiTheme="majorBidi" w:cstheme="majorBidi"/>
          <w:lang w:val="en-US"/>
        </w:rPr>
      </w:pPr>
      <w:r w:rsidRPr="00134DD9">
        <w:rPr>
          <w:rFonts w:asciiTheme="majorBidi" w:hAnsiTheme="majorBidi" w:cstheme="majorBidi"/>
          <w:lang w:val="en-US"/>
        </w:rPr>
        <w:t>Vanstiphout 2004, 105</w:t>
      </w:r>
      <w:r w:rsidRPr="00134DD9">
        <w:rPr>
          <w:rFonts w:asciiTheme="majorBidi" w:hAnsiTheme="majorBidi" w:cstheme="majorBidi"/>
        </w:rPr>
        <w:t>-159</w:t>
      </w:r>
    </w:p>
  </w:footnote>
  <w:footnote w:id="359">
    <w:p w14:paraId="4308FF55"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Thureau-Dangin 1925 (2008).</w:t>
      </w:r>
    </w:p>
  </w:footnote>
  <w:footnote w:id="360">
    <w:p w14:paraId="4B383226"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Communio Templorum 2026, Lines 183-184.</w:t>
      </w:r>
    </w:p>
  </w:footnote>
  <w:footnote w:id="361">
    <w:p w14:paraId="45E8C694"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Black et al. ETCSL Inanna-Ebiḫ.</w:t>
      </w:r>
    </w:p>
  </w:footnote>
  <w:footnote w:id="362">
    <w:p w14:paraId="0E16EF64"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Livingstone 1989 SAA 03 003, 10-13.</w:t>
      </w:r>
    </w:p>
  </w:footnote>
  <w:footnote w:id="363">
    <w:p w14:paraId="20EA77B7"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Livingstone 1989 SAA 03 007, 18-20.</w:t>
      </w:r>
    </w:p>
  </w:footnote>
  <w:footnote w:id="364">
    <w:p w14:paraId="5DFF7DA6"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Livingstone 1989 SAA 03 008, 20-22.</w:t>
      </w:r>
    </w:p>
  </w:footnote>
  <w:footnote w:id="365">
    <w:p w14:paraId="2D841ECD"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EBL 01 Valiant Ishtar</w:t>
      </w:r>
    </w:p>
  </w:footnote>
  <w:footnote w:id="366">
    <w:p w14:paraId="409E5B9D" w14:textId="77777777" w:rsidR="00014F8D" w:rsidRPr="00134DD9" w:rsidRDefault="00014F8D" w:rsidP="00FA2DDE">
      <w:pPr>
        <w:pStyle w:val="FootnoteText"/>
        <w:rPr>
          <w:rFonts w:asciiTheme="majorBidi" w:hAnsiTheme="majorBidi" w:cstheme="majorBidi"/>
          <w:lang w:val="en-US"/>
        </w:rPr>
      </w:pPr>
      <w:r w:rsidRPr="00134DD9">
        <w:rPr>
          <w:rStyle w:val="FootnoteReference"/>
          <w:rFonts w:asciiTheme="majorBidi" w:hAnsiTheme="majorBidi" w:cstheme="majorBidi"/>
        </w:rPr>
        <w:footnoteRef/>
      </w:r>
      <w:r w:rsidRPr="00134DD9">
        <w:rPr>
          <w:rFonts w:asciiTheme="majorBidi" w:hAnsiTheme="majorBidi" w:cstheme="majorBidi"/>
        </w:rPr>
        <w:t xml:space="preserve"> EBL 03 O Sublime Ishtar.</w:t>
      </w:r>
    </w:p>
  </w:footnote>
  <w:footnote w:id="367">
    <w:p w14:paraId="162D7845" w14:textId="77777777" w:rsidR="00014F8D" w:rsidRPr="00134DD9" w:rsidRDefault="00014F8D" w:rsidP="00765A2E">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EBL 23 O Ištar.</w:t>
      </w:r>
    </w:p>
  </w:footnote>
  <w:footnote w:id="368">
    <w:p w14:paraId="696BA78F" w14:textId="77777777" w:rsidR="00014F8D" w:rsidRPr="00134DD9" w:rsidRDefault="00014F8D" w:rsidP="0077607F">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Wyatt 1998, 115-146.</w:t>
      </w:r>
    </w:p>
  </w:footnote>
  <w:footnote w:id="369">
    <w:p w14:paraId="62081780" w14:textId="77777777" w:rsidR="00014F8D" w:rsidRPr="00134DD9" w:rsidRDefault="00014F8D">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Wyatt 1998, 155-161.</w:t>
      </w:r>
    </w:p>
  </w:footnote>
  <w:footnote w:id="370">
    <w:p w14:paraId="6B7A81AF" w14:textId="77777777" w:rsidR="00014F8D" w:rsidRPr="00134DD9" w:rsidRDefault="00014F8D">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Wyatt 1998, 169-173.</w:t>
      </w:r>
    </w:p>
  </w:footnote>
  <w:footnote w:id="371">
    <w:p w14:paraId="55CDFDE6" w14:textId="77777777" w:rsidR="00014F8D" w:rsidRPr="00134DD9" w:rsidRDefault="00014F8D">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Parker S 1997, 197-205.</w:t>
      </w:r>
    </w:p>
  </w:footnote>
  <w:footnote w:id="372">
    <w:p w14:paraId="5A924CFA" w14:textId="77777777" w:rsidR="00014F8D" w:rsidRPr="00134DD9" w:rsidRDefault="00014F8D">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Parker S 1997, 225-228.</w:t>
      </w:r>
    </w:p>
  </w:footnote>
  <w:footnote w:id="373">
    <w:p w14:paraId="399FE64B" w14:textId="77777777" w:rsidR="00014F8D" w:rsidRPr="00134DD9" w:rsidRDefault="00014F8D">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Wyatt 1998, 395-398.</w:t>
      </w:r>
    </w:p>
  </w:footnote>
  <w:footnote w:id="374">
    <w:p w14:paraId="46528C0F" w14:textId="77777777" w:rsidR="00014F8D" w:rsidRPr="00134DD9" w:rsidRDefault="00014F8D">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Pardee 2002, 85-88. Pardee notes that “this is the only explicitly funerary text from Ugarit.”</w:t>
      </w:r>
    </w:p>
  </w:footnote>
  <w:footnote w:id="375">
    <w:p w14:paraId="67D3F9DB" w14:textId="77777777" w:rsidR="00014F8D" w:rsidRPr="00134DD9" w:rsidRDefault="00014F8D" w:rsidP="00BB1595">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Pardee (2002, 86, 282) defines </w:t>
      </w:r>
      <w:r w:rsidRPr="00134DD9">
        <w:rPr>
          <w:rFonts w:asciiTheme="majorBidi" w:hAnsiTheme="majorBidi" w:cstheme="majorBidi"/>
          <w:i/>
          <w:iCs/>
        </w:rPr>
        <w:t>Rapaˀūma</w:t>
      </w:r>
      <w:r w:rsidRPr="00134DD9">
        <w:rPr>
          <w:rFonts w:asciiTheme="majorBidi" w:hAnsiTheme="majorBidi" w:cstheme="majorBidi"/>
        </w:rPr>
        <w:t xml:space="preserve"> as “shades” or “dead  in the netherworld.” </w:t>
      </w:r>
    </w:p>
  </w:footnote>
  <w:footnote w:id="376">
    <w:p w14:paraId="4A2541AA" w14:textId="77777777" w:rsidR="00014F8D" w:rsidRPr="00134DD9" w:rsidRDefault="00014F8D" w:rsidP="005B2D0F">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Malamis 2025, 57-59.</w:t>
      </w:r>
    </w:p>
  </w:footnote>
  <w:footnote w:id="377">
    <w:p w14:paraId="1255014F" w14:textId="77777777" w:rsidR="00014F8D" w:rsidRPr="00134DD9" w:rsidRDefault="00014F8D" w:rsidP="005B2D0F">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Malamis 2025, 73.</w:t>
      </w:r>
    </w:p>
  </w:footnote>
  <w:footnote w:id="378">
    <w:p w14:paraId="621FF26A" w14:textId="77777777" w:rsidR="00014F8D" w:rsidRPr="00134DD9" w:rsidRDefault="00014F8D" w:rsidP="005B2D0F">
      <w:pPr>
        <w:pStyle w:val="FootnoteText"/>
        <w:rPr>
          <w:rFonts w:asciiTheme="majorBidi" w:hAnsiTheme="majorBidi" w:cstheme="majorBidi"/>
        </w:rPr>
      </w:pPr>
      <w:r w:rsidRPr="00134DD9">
        <w:rPr>
          <w:rStyle w:val="FootnoteReference"/>
          <w:rFonts w:asciiTheme="majorBidi" w:hAnsiTheme="majorBidi" w:cstheme="majorBidi"/>
        </w:rPr>
        <w:footnoteRef/>
      </w:r>
      <w:r w:rsidRPr="00134DD9">
        <w:rPr>
          <w:rFonts w:asciiTheme="majorBidi" w:hAnsiTheme="majorBidi" w:cstheme="majorBidi"/>
        </w:rPr>
        <w:t xml:space="preserve"> Malamis 2025, 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24F71" w14:textId="77777777" w:rsidR="005314D7" w:rsidRDefault="005314D7">
    <w:pPr>
      <w:pStyle w:val="Header"/>
    </w:pPr>
    <w:r w:rsidRPr="00991402">
      <w:rPr>
        <w:rFonts w:ascii="Times New Roman" w:hAnsi="Times New Roman" w:cs="Times New Roman"/>
      </w:rPr>
      <w:t>Dissertation</w:t>
    </w:r>
    <w:r w:rsidRPr="00991402">
      <w:rPr>
        <w:rFonts w:ascii="Times New Roman" w:hAnsi="Times New Roman" w:cs="Times New Roman"/>
      </w:rPr>
      <w:ptab w:relativeTo="margin" w:alignment="center" w:leader="none"/>
    </w:r>
    <w:r w:rsidRPr="00991402">
      <w:rPr>
        <w:rFonts w:ascii="Times New Roman" w:hAnsi="Times New Roman" w:cs="Times New Roman"/>
        <w:b/>
        <w:bCs/>
      </w:rPr>
      <w:t>Descent Across Time and Space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26CEA" w14:textId="378262C4" w:rsidR="008409D6" w:rsidRPr="00991402" w:rsidRDefault="00616D5B">
    <w:pPr>
      <w:pStyle w:val="Header"/>
      <w:rPr>
        <w:rFonts w:asciiTheme="majorBidi" w:hAnsiTheme="majorBidi" w:cstheme="majorBidi"/>
      </w:rPr>
    </w:pPr>
    <w:r w:rsidRPr="00991402">
      <w:rPr>
        <w:rFonts w:asciiTheme="majorBidi" w:hAnsiTheme="majorBidi" w:cstheme="majorBidi"/>
      </w:rPr>
      <w:t>Dissertation</w:t>
    </w:r>
    <w:r w:rsidR="00243D58" w:rsidRPr="00991402">
      <w:rPr>
        <w:rFonts w:asciiTheme="majorBidi" w:hAnsiTheme="majorBidi" w:cstheme="majorBidi"/>
      </w:rPr>
      <w:ptab w:relativeTo="margin" w:alignment="center" w:leader="none"/>
    </w:r>
    <w:r w:rsidRPr="00991402">
      <w:rPr>
        <w:rFonts w:asciiTheme="majorBidi" w:hAnsiTheme="majorBidi" w:cstheme="majorBidi"/>
      </w:rPr>
      <w:t>Descent Across Time and Space</w:t>
    </w:r>
    <w:r w:rsidR="00243D58" w:rsidRPr="00991402">
      <w:rPr>
        <w:rFonts w:asciiTheme="majorBidi" w:hAnsiTheme="majorBidi" w:cstheme="majorBidi"/>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5D23A" w14:textId="55E0CDBB" w:rsidR="008409D6" w:rsidRPr="00991402" w:rsidRDefault="00616D5B" w:rsidP="00616D5B">
    <w:pPr>
      <w:pStyle w:val="Header"/>
      <w:rPr>
        <w:rFonts w:ascii="Times New Roman" w:hAnsi="Times New Roman" w:cs="Times New Roman"/>
      </w:rPr>
    </w:pPr>
    <w:r w:rsidRPr="00991402">
      <w:rPr>
        <w:rFonts w:ascii="Times New Roman" w:hAnsi="Times New Roman" w:cs="Times New Roman"/>
      </w:rPr>
      <w:t>Dissertation</w:t>
    </w:r>
    <w:r w:rsidRPr="00991402">
      <w:rPr>
        <w:rFonts w:ascii="Times New Roman" w:hAnsi="Times New Roman" w:cs="Times New Roman"/>
      </w:rPr>
      <w:ptab w:relativeTo="margin" w:alignment="center" w:leader="none"/>
    </w:r>
    <w:r w:rsidRPr="00991402">
      <w:rPr>
        <w:rFonts w:ascii="Times New Roman" w:hAnsi="Times New Roman" w:cs="Times New Roman"/>
        <w:b/>
        <w:bCs/>
      </w:rPr>
      <w:t>Descent Across Time and Space</w:t>
    </w:r>
    <w:r w:rsidRPr="00991402">
      <w:rPr>
        <w:rFonts w:ascii="Times New Roman" w:hAnsi="Times New Roman" w:cs="Times New Roman"/>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B35A5"/>
    <w:multiLevelType w:val="hybridMultilevel"/>
    <w:tmpl w:val="4CA25A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C154EC"/>
    <w:multiLevelType w:val="hybridMultilevel"/>
    <w:tmpl w:val="26C2627C"/>
    <w:lvl w:ilvl="0" w:tplc="714AB4DE">
      <w:start w:val="27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922FC"/>
    <w:multiLevelType w:val="hybridMultilevel"/>
    <w:tmpl w:val="7B607F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D2A3CC6"/>
    <w:multiLevelType w:val="hybridMultilevel"/>
    <w:tmpl w:val="64987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562C60"/>
    <w:multiLevelType w:val="hybridMultilevel"/>
    <w:tmpl w:val="43B6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DE2273"/>
    <w:multiLevelType w:val="multilevel"/>
    <w:tmpl w:val="99246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71689203">
    <w:abstractNumId w:val="2"/>
  </w:num>
  <w:num w:numId="2" w16cid:durableId="1098983722">
    <w:abstractNumId w:val="5"/>
  </w:num>
  <w:num w:numId="3" w16cid:durableId="993990342">
    <w:abstractNumId w:val="4"/>
  </w:num>
  <w:num w:numId="4" w16cid:durableId="1784029233">
    <w:abstractNumId w:val="1"/>
  </w:num>
  <w:num w:numId="5" w16cid:durableId="1520579728">
    <w:abstractNumId w:val="3"/>
  </w:num>
  <w:num w:numId="6" w16cid:durableId="178397442">
    <w:abstractNumId w:val="6"/>
  </w:num>
  <w:num w:numId="7" w16cid:durableId="441802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FAC"/>
    <w:rsid w:val="000015A5"/>
    <w:rsid w:val="00001C9D"/>
    <w:rsid w:val="00002ED0"/>
    <w:rsid w:val="00003E6E"/>
    <w:rsid w:val="00005304"/>
    <w:rsid w:val="00007C14"/>
    <w:rsid w:val="00011B52"/>
    <w:rsid w:val="00013EF6"/>
    <w:rsid w:val="0001447C"/>
    <w:rsid w:val="00014F8D"/>
    <w:rsid w:val="00015C26"/>
    <w:rsid w:val="00020811"/>
    <w:rsid w:val="00021C92"/>
    <w:rsid w:val="00025D06"/>
    <w:rsid w:val="00027FC6"/>
    <w:rsid w:val="00031206"/>
    <w:rsid w:val="00031DF1"/>
    <w:rsid w:val="00033272"/>
    <w:rsid w:val="00033B6B"/>
    <w:rsid w:val="00033E14"/>
    <w:rsid w:val="00036D0E"/>
    <w:rsid w:val="0004096B"/>
    <w:rsid w:val="00041A19"/>
    <w:rsid w:val="00041E42"/>
    <w:rsid w:val="00042238"/>
    <w:rsid w:val="0004377B"/>
    <w:rsid w:val="000447AF"/>
    <w:rsid w:val="00044CD5"/>
    <w:rsid w:val="00050DAE"/>
    <w:rsid w:val="00054DA1"/>
    <w:rsid w:val="00057DA7"/>
    <w:rsid w:val="0006016B"/>
    <w:rsid w:val="000631FB"/>
    <w:rsid w:val="000634D6"/>
    <w:rsid w:val="000634E2"/>
    <w:rsid w:val="00064013"/>
    <w:rsid w:val="00064242"/>
    <w:rsid w:val="0006500C"/>
    <w:rsid w:val="00067585"/>
    <w:rsid w:val="00070E60"/>
    <w:rsid w:val="000712BF"/>
    <w:rsid w:val="00072DFC"/>
    <w:rsid w:val="00073C80"/>
    <w:rsid w:val="0007510F"/>
    <w:rsid w:val="00075447"/>
    <w:rsid w:val="00076C5F"/>
    <w:rsid w:val="00077223"/>
    <w:rsid w:val="0007795D"/>
    <w:rsid w:val="00080D94"/>
    <w:rsid w:val="00085393"/>
    <w:rsid w:val="00085446"/>
    <w:rsid w:val="00085DC3"/>
    <w:rsid w:val="0008738F"/>
    <w:rsid w:val="00090766"/>
    <w:rsid w:val="00091850"/>
    <w:rsid w:val="00091BFC"/>
    <w:rsid w:val="000929C6"/>
    <w:rsid w:val="00092B11"/>
    <w:rsid w:val="00092D03"/>
    <w:rsid w:val="00093263"/>
    <w:rsid w:val="00093986"/>
    <w:rsid w:val="00093ECB"/>
    <w:rsid w:val="000954A0"/>
    <w:rsid w:val="0009755E"/>
    <w:rsid w:val="000A0B12"/>
    <w:rsid w:val="000A2840"/>
    <w:rsid w:val="000A2EC6"/>
    <w:rsid w:val="000A2F64"/>
    <w:rsid w:val="000A394C"/>
    <w:rsid w:val="000A3D97"/>
    <w:rsid w:val="000A45A6"/>
    <w:rsid w:val="000A5A5C"/>
    <w:rsid w:val="000A7B4B"/>
    <w:rsid w:val="000B083A"/>
    <w:rsid w:val="000B1E47"/>
    <w:rsid w:val="000B3CFA"/>
    <w:rsid w:val="000B43A2"/>
    <w:rsid w:val="000C116E"/>
    <w:rsid w:val="000C1E20"/>
    <w:rsid w:val="000C2711"/>
    <w:rsid w:val="000C318E"/>
    <w:rsid w:val="000C3387"/>
    <w:rsid w:val="000D0F26"/>
    <w:rsid w:val="000D2F97"/>
    <w:rsid w:val="000D5D10"/>
    <w:rsid w:val="000D6EEE"/>
    <w:rsid w:val="000E4620"/>
    <w:rsid w:val="000E4B2C"/>
    <w:rsid w:val="000E5D41"/>
    <w:rsid w:val="000E6A49"/>
    <w:rsid w:val="000E6FD4"/>
    <w:rsid w:val="000E7C00"/>
    <w:rsid w:val="000F044D"/>
    <w:rsid w:val="000F1F28"/>
    <w:rsid w:val="000F39D0"/>
    <w:rsid w:val="000F3B18"/>
    <w:rsid w:val="000F6DEB"/>
    <w:rsid w:val="00101734"/>
    <w:rsid w:val="00103C34"/>
    <w:rsid w:val="00104C09"/>
    <w:rsid w:val="0010508F"/>
    <w:rsid w:val="001058BE"/>
    <w:rsid w:val="00106B3F"/>
    <w:rsid w:val="001074D4"/>
    <w:rsid w:val="001140C1"/>
    <w:rsid w:val="00117CD8"/>
    <w:rsid w:val="00120C79"/>
    <w:rsid w:val="00120F95"/>
    <w:rsid w:val="001227E7"/>
    <w:rsid w:val="00123F71"/>
    <w:rsid w:val="001257F5"/>
    <w:rsid w:val="001261B2"/>
    <w:rsid w:val="00126F4D"/>
    <w:rsid w:val="0012758B"/>
    <w:rsid w:val="00127C05"/>
    <w:rsid w:val="001301D1"/>
    <w:rsid w:val="00130BF4"/>
    <w:rsid w:val="00133D23"/>
    <w:rsid w:val="00134C9D"/>
    <w:rsid w:val="00135127"/>
    <w:rsid w:val="00136FA7"/>
    <w:rsid w:val="001418C2"/>
    <w:rsid w:val="00142256"/>
    <w:rsid w:val="00143B1A"/>
    <w:rsid w:val="00144214"/>
    <w:rsid w:val="00144D36"/>
    <w:rsid w:val="00145386"/>
    <w:rsid w:val="001453B3"/>
    <w:rsid w:val="00147038"/>
    <w:rsid w:val="001471AF"/>
    <w:rsid w:val="00150135"/>
    <w:rsid w:val="001502A9"/>
    <w:rsid w:val="0015108F"/>
    <w:rsid w:val="00151FFE"/>
    <w:rsid w:val="001542DD"/>
    <w:rsid w:val="001568F3"/>
    <w:rsid w:val="001578A0"/>
    <w:rsid w:val="00162813"/>
    <w:rsid w:val="00163AF8"/>
    <w:rsid w:val="00163B54"/>
    <w:rsid w:val="00165F85"/>
    <w:rsid w:val="00166864"/>
    <w:rsid w:val="00167F4A"/>
    <w:rsid w:val="00170B4C"/>
    <w:rsid w:val="00171746"/>
    <w:rsid w:val="00171CC8"/>
    <w:rsid w:val="001725D4"/>
    <w:rsid w:val="00173586"/>
    <w:rsid w:val="0017364B"/>
    <w:rsid w:val="00174BB3"/>
    <w:rsid w:val="001751A1"/>
    <w:rsid w:val="001752EC"/>
    <w:rsid w:val="001754AC"/>
    <w:rsid w:val="001765EA"/>
    <w:rsid w:val="0018006B"/>
    <w:rsid w:val="001800F1"/>
    <w:rsid w:val="0018408B"/>
    <w:rsid w:val="00184093"/>
    <w:rsid w:val="00186FD5"/>
    <w:rsid w:val="001873A7"/>
    <w:rsid w:val="00190F4D"/>
    <w:rsid w:val="001914E6"/>
    <w:rsid w:val="00191FDB"/>
    <w:rsid w:val="00192969"/>
    <w:rsid w:val="00197C9C"/>
    <w:rsid w:val="001A3098"/>
    <w:rsid w:val="001A4765"/>
    <w:rsid w:val="001A6E3E"/>
    <w:rsid w:val="001B0E6B"/>
    <w:rsid w:val="001B180F"/>
    <w:rsid w:val="001B277E"/>
    <w:rsid w:val="001B27FF"/>
    <w:rsid w:val="001B2B3C"/>
    <w:rsid w:val="001B3336"/>
    <w:rsid w:val="001B369A"/>
    <w:rsid w:val="001B36A8"/>
    <w:rsid w:val="001B4C7D"/>
    <w:rsid w:val="001B5C3B"/>
    <w:rsid w:val="001B5DBE"/>
    <w:rsid w:val="001B6996"/>
    <w:rsid w:val="001C0140"/>
    <w:rsid w:val="001C0C99"/>
    <w:rsid w:val="001C1773"/>
    <w:rsid w:val="001C23CD"/>
    <w:rsid w:val="001C255A"/>
    <w:rsid w:val="001C2B3E"/>
    <w:rsid w:val="001C3767"/>
    <w:rsid w:val="001C6552"/>
    <w:rsid w:val="001C68B2"/>
    <w:rsid w:val="001C7E26"/>
    <w:rsid w:val="001D193E"/>
    <w:rsid w:val="001D3520"/>
    <w:rsid w:val="001D4EC5"/>
    <w:rsid w:val="001D6453"/>
    <w:rsid w:val="001D749D"/>
    <w:rsid w:val="001D7FB2"/>
    <w:rsid w:val="001E0313"/>
    <w:rsid w:val="001E049E"/>
    <w:rsid w:val="001E0553"/>
    <w:rsid w:val="001E0862"/>
    <w:rsid w:val="001E2285"/>
    <w:rsid w:val="001E3866"/>
    <w:rsid w:val="001E3A51"/>
    <w:rsid w:val="001E4409"/>
    <w:rsid w:val="001E4859"/>
    <w:rsid w:val="001E57D2"/>
    <w:rsid w:val="001E6002"/>
    <w:rsid w:val="001E6297"/>
    <w:rsid w:val="001E6ADC"/>
    <w:rsid w:val="001F0745"/>
    <w:rsid w:val="001F35C1"/>
    <w:rsid w:val="001F567B"/>
    <w:rsid w:val="001F60B1"/>
    <w:rsid w:val="001F650F"/>
    <w:rsid w:val="001F6D2A"/>
    <w:rsid w:val="001F73A8"/>
    <w:rsid w:val="001F75BA"/>
    <w:rsid w:val="002006EB"/>
    <w:rsid w:val="00200CF3"/>
    <w:rsid w:val="00200EC2"/>
    <w:rsid w:val="00201780"/>
    <w:rsid w:val="00201AE8"/>
    <w:rsid w:val="002023F4"/>
    <w:rsid w:val="00202AC7"/>
    <w:rsid w:val="00203E53"/>
    <w:rsid w:val="002060F8"/>
    <w:rsid w:val="002066FA"/>
    <w:rsid w:val="0020748E"/>
    <w:rsid w:val="00212B4B"/>
    <w:rsid w:val="0021303A"/>
    <w:rsid w:val="0021380B"/>
    <w:rsid w:val="0021431F"/>
    <w:rsid w:val="002151C2"/>
    <w:rsid w:val="00216194"/>
    <w:rsid w:val="002169FA"/>
    <w:rsid w:val="002172F4"/>
    <w:rsid w:val="002175E1"/>
    <w:rsid w:val="002205FC"/>
    <w:rsid w:val="00220EAC"/>
    <w:rsid w:val="002212F1"/>
    <w:rsid w:val="002213FA"/>
    <w:rsid w:val="002218BC"/>
    <w:rsid w:val="002232D4"/>
    <w:rsid w:val="002274EC"/>
    <w:rsid w:val="00230A5D"/>
    <w:rsid w:val="00231499"/>
    <w:rsid w:val="002350BB"/>
    <w:rsid w:val="00236BAA"/>
    <w:rsid w:val="002376A2"/>
    <w:rsid w:val="00237CA1"/>
    <w:rsid w:val="00241F5B"/>
    <w:rsid w:val="00242A2E"/>
    <w:rsid w:val="0024325A"/>
    <w:rsid w:val="00243D58"/>
    <w:rsid w:val="00243E06"/>
    <w:rsid w:val="00245A7F"/>
    <w:rsid w:val="002504BD"/>
    <w:rsid w:val="00250D30"/>
    <w:rsid w:val="002524D1"/>
    <w:rsid w:val="00252628"/>
    <w:rsid w:val="00254A8E"/>
    <w:rsid w:val="002550FD"/>
    <w:rsid w:val="00256814"/>
    <w:rsid w:val="0025701E"/>
    <w:rsid w:val="002607ED"/>
    <w:rsid w:val="00261B51"/>
    <w:rsid w:val="00262E8E"/>
    <w:rsid w:val="00264060"/>
    <w:rsid w:val="0026459B"/>
    <w:rsid w:val="002656B3"/>
    <w:rsid w:val="002656E0"/>
    <w:rsid w:val="00265B75"/>
    <w:rsid w:val="00265BF9"/>
    <w:rsid w:val="00267D18"/>
    <w:rsid w:val="002700A1"/>
    <w:rsid w:val="00270F8B"/>
    <w:rsid w:val="00272CFF"/>
    <w:rsid w:val="002747E7"/>
    <w:rsid w:val="002759BF"/>
    <w:rsid w:val="00276FD5"/>
    <w:rsid w:val="002802DD"/>
    <w:rsid w:val="00280580"/>
    <w:rsid w:val="00280D0B"/>
    <w:rsid w:val="002819BD"/>
    <w:rsid w:val="00282072"/>
    <w:rsid w:val="00282554"/>
    <w:rsid w:val="00283578"/>
    <w:rsid w:val="002865DB"/>
    <w:rsid w:val="002879EE"/>
    <w:rsid w:val="00291B8B"/>
    <w:rsid w:val="00291C8D"/>
    <w:rsid w:val="00291D85"/>
    <w:rsid w:val="0029201A"/>
    <w:rsid w:val="00293226"/>
    <w:rsid w:val="00293D67"/>
    <w:rsid w:val="00294FF2"/>
    <w:rsid w:val="002956F3"/>
    <w:rsid w:val="00297A6F"/>
    <w:rsid w:val="00297F08"/>
    <w:rsid w:val="002A044A"/>
    <w:rsid w:val="002A149A"/>
    <w:rsid w:val="002A2120"/>
    <w:rsid w:val="002A3FBC"/>
    <w:rsid w:val="002A6832"/>
    <w:rsid w:val="002B0CA8"/>
    <w:rsid w:val="002B144B"/>
    <w:rsid w:val="002B188A"/>
    <w:rsid w:val="002B3290"/>
    <w:rsid w:val="002B57FC"/>
    <w:rsid w:val="002B69FF"/>
    <w:rsid w:val="002B6CA6"/>
    <w:rsid w:val="002B6D53"/>
    <w:rsid w:val="002C3575"/>
    <w:rsid w:val="002C4473"/>
    <w:rsid w:val="002C4D99"/>
    <w:rsid w:val="002C5CB9"/>
    <w:rsid w:val="002C6D49"/>
    <w:rsid w:val="002D0060"/>
    <w:rsid w:val="002D028B"/>
    <w:rsid w:val="002D22E8"/>
    <w:rsid w:val="002D2B4A"/>
    <w:rsid w:val="002D7E99"/>
    <w:rsid w:val="002E2D82"/>
    <w:rsid w:val="002E2D9D"/>
    <w:rsid w:val="002E7327"/>
    <w:rsid w:val="002E7976"/>
    <w:rsid w:val="002F0546"/>
    <w:rsid w:val="002F0EB2"/>
    <w:rsid w:val="002F12DD"/>
    <w:rsid w:val="002F398F"/>
    <w:rsid w:val="002F40FA"/>
    <w:rsid w:val="002F71FD"/>
    <w:rsid w:val="002F727B"/>
    <w:rsid w:val="0030053A"/>
    <w:rsid w:val="00301EC8"/>
    <w:rsid w:val="00302E66"/>
    <w:rsid w:val="0030373E"/>
    <w:rsid w:val="0030425C"/>
    <w:rsid w:val="00305BB0"/>
    <w:rsid w:val="0030778F"/>
    <w:rsid w:val="0031091F"/>
    <w:rsid w:val="0031210D"/>
    <w:rsid w:val="00322B7B"/>
    <w:rsid w:val="003235BA"/>
    <w:rsid w:val="00323CEE"/>
    <w:rsid w:val="00324222"/>
    <w:rsid w:val="0032446E"/>
    <w:rsid w:val="00326E3D"/>
    <w:rsid w:val="00326F36"/>
    <w:rsid w:val="00330906"/>
    <w:rsid w:val="00332B2E"/>
    <w:rsid w:val="00334FFC"/>
    <w:rsid w:val="0033582D"/>
    <w:rsid w:val="00335F71"/>
    <w:rsid w:val="00336F58"/>
    <w:rsid w:val="00341167"/>
    <w:rsid w:val="00341DAA"/>
    <w:rsid w:val="00342174"/>
    <w:rsid w:val="00343F9A"/>
    <w:rsid w:val="0034442B"/>
    <w:rsid w:val="003447C8"/>
    <w:rsid w:val="00345167"/>
    <w:rsid w:val="003456BB"/>
    <w:rsid w:val="003471DF"/>
    <w:rsid w:val="0035062A"/>
    <w:rsid w:val="00351826"/>
    <w:rsid w:val="0035227E"/>
    <w:rsid w:val="003528CF"/>
    <w:rsid w:val="00353025"/>
    <w:rsid w:val="00357D13"/>
    <w:rsid w:val="00357FD8"/>
    <w:rsid w:val="00361F08"/>
    <w:rsid w:val="00362CF4"/>
    <w:rsid w:val="00362DB1"/>
    <w:rsid w:val="0036452B"/>
    <w:rsid w:val="00364E16"/>
    <w:rsid w:val="0037593E"/>
    <w:rsid w:val="00375A2B"/>
    <w:rsid w:val="00376B38"/>
    <w:rsid w:val="0038115A"/>
    <w:rsid w:val="00382E35"/>
    <w:rsid w:val="00383F43"/>
    <w:rsid w:val="003900D1"/>
    <w:rsid w:val="00391FAE"/>
    <w:rsid w:val="003922C8"/>
    <w:rsid w:val="00393B77"/>
    <w:rsid w:val="00393BDA"/>
    <w:rsid w:val="00394658"/>
    <w:rsid w:val="00395A21"/>
    <w:rsid w:val="0039626C"/>
    <w:rsid w:val="003964BA"/>
    <w:rsid w:val="00396539"/>
    <w:rsid w:val="003A13BF"/>
    <w:rsid w:val="003A1888"/>
    <w:rsid w:val="003A27BA"/>
    <w:rsid w:val="003A3A46"/>
    <w:rsid w:val="003A40C8"/>
    <w:rsid w:val="003A4BA2"/>
    <w:rsid w:val="003A5A5D"/>
    <w:rsid w:val="003A5B95"/>
    <w:rsid w:val="003B21C0"/>
    <w:rsid w:val="003B2810"/>
    <w:rsid w:val="003B2A65"/>
    <w:rsid w:val="003B2D90"/>
    <w:rsid w:val="003B39E2"/>
    <w:rsid w:val="003B3EFF"/>
    <w:rsid w:val="003B424A"/>
    <w:rsid w:val="003B5E1B"/>
    <w:rsid w:val="003B735E"/>
    <w:rsid w:val="003B7FAD"/>
    <w:rsid w:val="003C00E6"/>
    <w:rsid w:val="003C09B5"/>
    <w:rsid w:val="003C1111"/>
    <w:rsid w:val="003C1170"/>
    <w:rsid w:val="003C131F"/>
    <w:rsid w:val="003C26BD"/>
    <w:rsid w:val="003C4FDB"/>
    <w:rsid w:val="003C5597"/>
    <w:rsid w:val="003C7602"/>
    <w:rsid w:val="003D0C32"/>
    <w:rsid w:val="003D10DE"/>
    <w:rsid w:val="003D53A8"/>
    <w:rsid w:val="003D553E"/>
    <w:rsid w:val="003D57F1"/>
    <w:rsid w:val="003D5A99"/>
    <w:rsid w:val="003D6634"/>
    <w:rsid w:val="003D6CFB"/>
    <w:rsid w:val="003D7080"/>
    <w:rsid w:val="003D7E9F"/>
    <w:rsid w:val="003E0B43"/>
    <w:rsid w:val="003E5C47"/>
    <w:rsid w:val="003E77ED"/>
    <w:rsid w:val="003E7D77"/>
    <w:rsid w:val="003F434B"/>
    <w:rsid w:val="003F501B"/>
    <w:rsid w:val="003F542E"/>
    <w:rsid w:val="003F6D16"/>
    <w:rsid w:val="003F6D8A"/>
    <w:rsid w:val="003F7877"/>
    <w:rsid w:val="0040094C"/>
    <w:rsid w:val="00402F73"/>
    <w:rsid w:val="004033D2"/>
    <w:rsid w:val="0040428D"/>
    <w:rsid w:val="00404BD3"/>
    <w:rsid w:val="00404D82"/>
    <w:rsid w:val="00404DCF"/>
    <w:rsid w:val="00405BB1"/>
    <w:rsid w:val="004111C2"/>
    <w:rsid w:val="00411256"/>
    <w:rsid w:val="00411D5F"/>
    <w:rsid w:val="00411D83"/>
    <w:rsid w:val="004127BF"/>
    <w:rsid w:val="004132B4"/>
    <w:rsid w:val="004174BE"/>
    <w:rsid w:val="00420E63"/>
    <w:rsid w:val="004229B5"/>
    <w:rsid w:val="00422EDD"/>
    <w:rsid w:val="004268E3"/>
    <w:rsid w:val="00430ABA"/>
    <w:rsid w:val="004314FC"/>
    <w:rsid w:val="004315EB"/>
    <w:rsid w:val="00432A17"/>
    <w:rsid w:val="00434F48"/>
    <w:rsid w:val="00435483"/>
    <w:rsid w:val="00437965"/>
    <w:rsid w:val="00440BBA"/>
    <w:rsid w:val="004428D2"/>
    <w:rsid w:val="00443930"/>
    <w:rsid w:val="0044434B"/>
    <w:rsid w:val="00445C75"/>
    <w:rsid w:val="00447B42"/>
    <w:rsid w:val="0045029D"/>
    <w:rsid w:val="0045034B"/>
    <w:rsid w:val="004526F8"/>
    <w:rsid w:val="00455077"/>
    <w:rsid w:val="004553C9"/>
    <w:rsid w:val="004557B6"/>
    <w:rsid w:val="00460AF1"/>
    <w:rsid w:val="004619D7"/>
    <w:rsid w:val="00463762"/>
    <w:rsid w:val="00463EE7"/>
    <w:rsid w:val="0046445E"/>
    <w:rsid w:val="004651EA"/>
    <w:rsid w:val="00467014"/>
    <w:rsid w:val="00470DDB"/>
    <w:rsid w:val="00471C25"/>
    <w:rsid w:val="00472BF7"/>
    <w:rsid w:val="00473284"/>
    <w:rsid w:val="004736E9"/>
    <w:rsid w:val="004762C6"/>
    <w:rsid w:val="0048064F"/>
    <w:rsid w:val="0048402F"/>
    <w:rsid w:val="004859D1"/>
    <w:rsid w:val="00486612"/>
    <w:rsid w:val="00486702"/>
    <w:rsid w:val="004874AC"/>
    <w:rsid w:val="00487C42"/>
    <w:rsid w:val="004907C5"/>
    <w:rsid w:val="00490D92"/>
    <w:rsid w:val="00491E01"/>
    <w:rsid w:val="00492468"/>
    <w:rsid w:val="00493250"/>
    <w:rsid w:val="00493620"/>
    <w:rsid w:val="00495EAA"/>
    <w:rsid w:val="004A2020"/>
    <w:rsid w:val="004A2398"/>
    <w:rsid w:val="004A2F33"/>
    <w:rsid w:val="004A4B17"/>
    <w:rsid w:val="004B028F"/>
    <w:rsid w:val="004B06F4"/>
    <w:rsid w:val="004B2F0B"/>
    <w:rsid w:val="004B563C"/>
    <w:rsid w:val="004B689D"/>
    <w:rsid w:val="004C11B7"/>
    <w:rsid w:val="004C22DE"/>
    <w:rsid w:val="004C6764"/>
    <w:rsid w:val="004C6959"/>
    <w:rsid w:val="004C69B9"/>
    <w:rsid w:val="004D03B7"/>
    <w:rsid w:val="004D2970"/>
    <w:rsid w:val="004D3EB6"/>
    <w:rsid w:val="004D4766"/>
    <w:rsid w:val="004E0E8D"/>
    <w:rsid w:val="004E28C5"/>
    <w:rsid w:val="004E310E"/>
    <w:rsid w:val="004E6997"/>
    <w:rsid w:val="004E6CB0"/>
    <w:rsid w:val="004E7DAB"/>
    <w:rsid w:val="004F0193"/>
    <w:rsid w:val="004F128E"/>
    <w:rsid w:val="004F2CB8"/>
    <w:rsid w:val="004F2D25"/>
    <w:rsid w:val="004F39C8"/>
    <w:rsid w:val="004F3A17"/>
    <w:rsid w:val="004F3BF5"/>
    <w:rsid w:val="004F3C6F"/>
    <w:rsid w:val="004F479C"/>
    <w:rsid w:val="004F517B"/>
    <w:rsid w:val="004F601E"/>
    <w:rsid w:val="004F6DE2"/>
    <w:rsid w:val="004F7CB8"/>
    <w:rsid w:val="005043BC"/>
    <w:rsid w:val="00504E70"/>
    <w:rsid w:val="00504FF2"/>
    <w:rsid w:val="00505AED"/>
    <w:rsid w:val="00506121"/>
    <w:rsid w:val="00507236"/>
    <w:rsid w:val="00507BE9"/>
    <w:rsid w:val="00510880"/>
    <w:rsid w:val="005109BA"/>
    <w:rsid w:val="005112D8"/>
    <w:rsid w:val="00511B43"/>
    <w:rsid w:val="005137DD"/>
    <w:rsid w:val="00514BEA"/>
    <w:rsid w:val="00515329"/>
    <w:rsid w:val="00515419"/>
    <w:rsid w:val="005166F7"/>
    <w:rsid w:val="00517346"/>
    <w:rsid w:val="00521E32"/>
    <w:rsid w:val="005226E5"/>
    <w:rsid w:val="00522939"/>
    <w:rsid w:val="0052370B"/>
    <w:rsid w:val="0052510A"/>
    <w:rsid w:val="00525738"/>
    <w:rsid w:val="00527EF9"/>
    <w:rsid w:val="00530E17"/>
    <w:rsid w:val="005314D7"/>
    <w:rsid w:val="00531CC9"/>
    <w:rsid w:val="00531FBB"/>
    <w:rsid w:val="0053349F"/>
    <w:rsid w:val="0054157D"/>
    <w:rsid w:val="005419AB"/>
    <w:rsid w:val="0054294A"/>
    <w:rsid w:val="005433B2"/>
    <w:rsid w:val="00544091"/>
    <w:rsid w:val="0054746C"/>
    <w:rsid w:val="00547890"/>
    <w:rsid w:val="00547A36"/>
    <w:rsid w:val="00547FC9"/>
    <w:rsid w:val="0055136C"/>
    <w:rsid w:val="00551F54"/>
    <w:rsid w:val="005556DC"/>
    <w:rsid w:val="00556314"/>
    <w:rsid w:val="00556A77"/>
    <w:rsid w:val="0056107F"/>
    <w:rsid w:val="00564133"/>
    <w:rsid w:val="00564280"/>
    <w:rsid w:val="005651C5"/>
    <w:rsid w:val="00566BCC"/>
    <w:rsid w:val="00566BD1"/>
    <w:rsid w:val="005670F1"/>
    <w:rsid w:val="00570AFF"/>
    <w:rsid w:val="00571FF8"/>
    <w:rsid w:val="005736FF"/>
    <w:rsid w:val="00573AA2"/>
    <w:rsid w:val="005745CB"/>
    <w:rsid w:val="00574C76"/>
    <w:rsid w:val="0057659F"/>
    <w:rsid w:val="00576F08"/>
    <w:rsid w:val="005778C6"/>
    <w:rsid w:val="00577CC8"/>
    <w:rsid w:val="0058063F"/>
    <w:rsid w:val="0058215E"/>
    <w:rsid w:val="00582567"/>
    <w:rsid w:val="005841F9"/>
    <w:rsid w:val="0058522B"/>
    <w:rsid w:val="00585A30"/>
    <w:rsid w:val="00586707"/>
    <w:rsid w:val="00587E80"/>
    <w:rsid w:val="005914EF"/>
    <w:rsid w:val="00596777"/>
    <w:rsid w:val="00597337"/>
    <w:rsid w:val="005A137B"/>
    <w:rsid w:val="005A24CD"/>
    <w:rsid w:val="005A2BD2"/>
    <w:rsid w:val="005A347B"/>
    <w:rsid w:val="005A5707"/>
    <w:rsid w:val="005B0271"/>
    <w:rsid w:val="005B2DE8"/>
    <w:rsid w:val="005B49F6"/>
    <w:rsid w:val="005B637A"/>
    <w:rsid w:val="005B6FCC"/>
    <w:rsid w:val="005C1389"/>
    <w:rsid w:val="005C1927"/>
    <w:rsid w:val="005C26FF"/>
    <w:rsid w:val="005C3802"/>
    <w:rsid w:val="005C548E"/>
    <w:rsid w:val="005C633C"/>
    <w:rsid w:val="005C6798"/>
    <w:rsid w:val="005C6814"/>
    <w:rsid w:val="005C7AA1"/>
    <w:rsid w:val="005C7CE2"/>
    <w:rsid w:val="005D16CE"/>
    <w:rsid w:val="005D1700"/>
    <w:rsid w:val="005D2188"/>
    <w:rsid w:val="005D4654"/>
    <w:rsid w:val="005D51FF"/>
    <w:rsid w:val="005D57A7"/>
    <w:rsid w:val="005D623E"/>
    <w:rsid w:val="005E0E6E"/>
    <w:rsid w:val="005E1514"/>
    <w:rsid w:val="005E2390"/>
    <w:rsid w:val="005E3B6D"/>
    <w:rsid w:val="005E4780"/>
    <w:rsid w:val="005E54E1"/>
    <w:rsid w:val="005E5E2E"/>
    <w:rsid w:val="005E6869"/>
    <w:rsid w:val="005E7267"/>
    <w:rsid w:val="005E7549"/>
    <w:rsid w:val="005F06A6"/>
    <w:rsid w:val="005F1394"/>
    <w:rsid w:val="005F47BF"/>
    <w:rsid w:val="005F4DA4"/>
    <w:rsid w:val="005F508B"/>
    <w:rsid w:val="005F5166"/>
    <w:rsid w:val="005F7F26"/>
    <w:rsid w:val="00600C89"/>
    <w:rsid w:val="00601FD9"/>
    <w:rsid w:val="00602547"/>
    <w:rsid w:val="0060296A"/>
    <w:rsid w:val="00602B6C"/>
    <w:rsid w:val="0060393A"/>
    <w:rsid w:val="00605161"/>
    <w:rsid w:val="0060586E"/>
    <w:rsid w:val="0060759B"/>
    <w:rsid w:val="006100C1"/>
    <w:rsid w:val="006107BD"/>
    <w:rsid w:val="00612E29"/>
    <w:rsid w:val="00613320"/>
    <w:rsid w:val="006134F4"/>
    <w:rsid w:val="006147EE"/>
    <w:rsid w:val="00615608"/>
    <w:rsid w:val="00616D5B"/>
    <w:rsid w:val="00617458"/>
    <w:rsid w:val="00620437"/>
    <w:rsid w:val="00621E97"/>
    <w:rsid w:val="00621F1C"/>
    <w:rsid w:val="006248CC"/>
    <w:rsid w:val="00624D75"/>
    <w:rsid w:val="00625BA3"/>
    <w:rsid w:val="0062753B"/>
    <w:rsid w:val="00630F2A"/>
    <w:rsid w:val="00631481"/>
    <w:rsid w:val="00631A8C"/>
    <w:rsid w:val="00633082"/>
    <w:rsid w:val="006343F2"/>
    <w:rsid w:val="00636AAC"/>
    <w:rsid w:val="00637347"/>
    <w:rsid w:val="00637A2E"/>
    <w:rsid w:val="00643239"/>
    <w:rsid w:val="00643A82"/>
    <w:rsid w:val="006441B7"/>
    <w:rsid w:val="00645F3B"/>
    <w:rsid w:val="0064688B"/>
    <w:rsid w:val="0064708D"/>
    <w:rsid w:val="0065005D"/>
    <w:rsid w:val="0065105A"/>
    <w:rsid w:val="0065154F"/>
    <w:rsid w:val="00651EA8"/>
    <w:rsid w:val="006540DB"/>
    <w:rsid w:val="00654C22"/>
    <w:rsid w:val="00655929"/>
    <w:rsid w:val="00655E1E"/>
    <w:rsid w:val="006565EE"/>
    <w:rsid w:val="00657147"/>
    <w:rsid w:val="00657D8C"/>
    <w:rsid w:val="00660053"/>
    <w:rsid w:val="00660164"/>
    <w:rsid w:val="006603DD"/>
    <w:rsid w:val="00661452"/>
    <w:rsid w:val="00661687"/>
    <w:rsid w:val="0066239B"/>
    <w:rsid w:val="00663F23"/>
    <w:rsid w:val="00664A25"/>
    <w:rsid w:val="00664A58"/>
    <w:rsid w:val="00664BDC"/>
    <w:rsid w:val="0066602D"/>
    <w:rsid w:val="00666FEB"/>
    <w:rsid w:val="0067071B"/>
    <w:rsid w:val="0067216F"/>
    <w:rsid w:val="00677710"/>
    <w:rsid w:val="00681393"/>
    <w:rsid w:val="00681DA8"/>
    <w:rsid w:val="0068224F"/>
    <w:rsid w:val="00683368"/>
    <w:rsid w:val="0068351B"/>
    <w:rsid w:val="006840ED"/>
    <w:rsid w:val="0068461D"/>
    <w:rsid w:val="006857B7"/>
    <w:rsid w:val="00685FC5"/>
    <w:rsid w:val="006860A6"/>
    <w:rsid w:val="00686D1C"/>
    <w:rsid w:val="00687AA7"/>
    <w:rsid w:val="00687B60"/>
    <w:rsid w:val="00691EFA"/>
    <w:rsid w:val="00694483"/>
    <w:rsid w:val="00696CDC"/>
    <w:rsid w:val="0069777E"/>
    <w:rsid w:val="006A08FC"/>
    <w:rsid w:val="006A2674"/>
    <w:rsid w:val="006A3206"/>
    <w:rsid w:val="006A37D9"/>
    <w:rsid w:val="006A514A"/>
    <w:rsid w:val="006A6CEA"/>
    <w:rsid w:val="006A7EBB"/>
    <w:rsid w:val="006B11B7"/>
    <w:rsid w:val="006B4A89"/>
    <w:rsid w:val="006B5C74"/>
    <w:rsid w:val="006B60A6"/>
    <w:rsid w:val="006B6ACB"/>
    <w:rsid w:val="006C0E3A"/>
    <w:rsid w:val="006C152D"/>
    <w:rsid w:val="006C171E"/>
    <w:rsid w:val="006C1E53"/>
    <w:rsid w:val="006C3651"/>
    <w:rsid w:val="006C653E"/>
    <w:rsid w:val="006C7F13"/>
    <w:rsid w:val="006D17F4"/>
    <w:rsid w:val="006D24E6"/>
    <w:rsid w:val="006D2533"/>
    <w:rsid w:val="006D2C55"/>
    <w:rsid w:val="006D5EE7"/>
    <w:rsid w:val="006E0FED"/>
    <w:rsid w:val="006E2336"/>
    <w:rsid w:val="006E26EC"/>
    <w:rsid w:val="006E5C33"/>
    <w:rsid w:val="006E5DF9"/>
    <w:rsid w:val="006E6090"/>
    <w:rsid w:val="006F3C84"/>
    <w:rsid w:val="006F68FF"/>
    <w:rsid w:val="006F6B99"/>
    <w:rsid w:val="00700342"/>
    <w:rsid w:val="00702A42"/>
    <w:rsid w:val="007057F1"/>
    <w:rsid w:val="00706978"/>
    <w:rsid w:val="007073B9"/>
    <w:rsid w:val="00707AD8"/>
    <w:rsid w:val="0071026C"/>
    <w:rsid w:val="00710926"/>
    <w:rsid w:val="00711008"/>
    <w:rsid w:val="00712051"/>
    <w:rsid w:val="00712C29"/>
    <w:rsid w:val="00715DAD"/>
    <w:rsid w:val="00716B4C"/>
    <w:rsid w:val="00720035"/>
    <w:rsid w:val="007214B4"/>
    <w:rsid w:val="00722DE4"/>
    <w:rsid w:val="00724503"/>
    <w:rsid w:val="00724A68"/>
    <w:rsid w:val="00725290"/>
    <w:rsid w:val="00725797"/>
    <w:rsid w:val="00725F24"/>
    <w:rsid w:val="00726069"/>
    <w:rsid w:val="007263D8"/>
    <w:rsid w:val="0073040A"/>
    <w:rsid w:val="0073335D"/>
    <w:rsid w:val="00733BAE"/>
    <w:rsid w:val="00734855"/>
    <w:rsid w:val="007359C7"/>
    <w:rsid w:val="00736189"/>
    <w:rsid w:val="00740C11"/>
    <w:rsid w:val="00740C7A"/>
    <w:rsid w:val="0074180C"/>
    <w:rsid w:val="007425DC"/>
    <w:rsid w:val="007463F2"/>
    <w:rsid w:val="00746C89"/>
    <w:rsid w:val="007505E9"/>
    <w:rsid w:val="00750A57"/>
    <w:rsid w:val="0075227D"/>
    <w:rsid w:val="00752FAC"/>
    <w:rsid w:val="00754981"/>
    <w:rsid w:val="0076122B"/>
    <w:rsid w:val="0076289F"/>
    <w:rsid w:val="00762900"/>
    <w:rsid w:val="007636A9"/>
    <w:rsid w:val="007656AE"/>
    <w:rsid w:val="00765E9C"/>
    <w:rsid w:val="00767487"/>
    <w:rsid w:val="007702A3"/>
    <w:rsid w:val="007713BB"/>
    <w:rsid w:val="00773DC1"/>
    <w:rsid w:val="007741BB"/>
    <w:rsid w:val="00774813"/>
    <w:rsid w:val="00774902"/>
    <w:rsid w:val="00774A93"/>
    <w:rsid w:val="007756D0"/>
    <w:rsid w:val="00776490"/>
    <w:rsid w:val="00777349"/>
    <w:rsid w:val="00780947"/>
    <w:rsid w:val="0078165B"/>
    <w:rsid w:val="007816A0"/>
    <w:rsid w:val="00783397"/>
    <w:rsid w:val="007856DB"/>
    <w:rsid w:val="00785733"/>
    <w:rsid w:val="00785919"/>
    <w:rsid w:val="00790571"/>
    <w:rsid w:val="00790E2F"/>
    <w:rsid w:val="007925C7"/>
    <w:rsid w:val="00792989"/>
    <w:rsid w:val="00793525"/>
    <w:rsid w:val="007942A2"/>
    <w:rsid w:val="007944AC"/>
    <w:rsid w:val="00794E2B"/>
    <w:rsid w:val="00796F8A"/>
    <w:rsid w:val="00797980"/>
    <w:rsid w:val="00797B96"/>
    <w:rsid w:val="007A0D78"/>
    <w:rsid w:val="007A2655"/>
    <w:rsid w:val="007A2C99"/>
    <w:rsid w:val="007A3D85"/>
    <w:rsid w:val="007A4AF9"/>
    <w:rsid w:val="007A6A0F"/>
    <w:rsid w:val="007A7290"/>
    <w:rsid w:val="007B14BD"/>
    <w:rsid w:val="007B3CEF"/>
    <w:rsid w:val="007B3ED7"/>
    <w:rsid w:val="007B44B9"/>
    <w:rsid w:val="007B7C36"/>
    <w:rsid w:val="007C29D6"/>
    <w:rsid w:val="007C2EEE"/>
    <w:rsid w:val="007C3D92"/>
    <w:rsid w:val="007C4163"/>
    <w:rsid w:val="007C5D1B"/>
    <w:rsid w:val="007C61EF"/>
    <w:rsid w:val="007C7AE9"/>
    <w:rsid w:val="007D0CD3"/>
    <w:rsid w:val="007D1AD2"/>
    <w:rsid w:val="007D1C3D"/>
    <w:rsid w:val="007D26F7"/>
    <w:rsid w:val="007D293C"/>
    <w:rsid w:val="007D3884"/>
    <w:rsid w:val="007D498A"/>
    <w:rsid w:val="007D6735"/>
    <w:rsid w:val="007D686C"/>
    <w:rsid w:val="007D6E25"/>
    <w:rsid w:val="007D775C"/>
    <w:rsid w:val="007D7816"/>
    <w:rsid w:val="007D78F8"/>
    <w:rsid w:val="007D7D93"/>
    <w:rsid w:val="007E1109"/>
    <w:rsid w:val="007E20FA"/>
    <w:rsid w:val="007E3AC5"/>
    <w:rsid w:val="007E42B4"/>
    <w:rsid w:val="007E6A49"/>
    <w:rsid w:val="007F1FEF"/>
    <w:rsid w:val="007F3FE7"/>
    <w:rsid w:val="007F4B5D"/>
    <w:rsid w:val="007F4DDE"/>
    <w:rsid w:val="008012D5"/>
    <w:rsid w:val="00801A6D"/>
    <w:rsid w:val="00802410"/>
    <w:rsid w:val="00802876"/>
    <w:rsid w:val="00803BF1"/>
    <w:rsid w:val="00807956"/>
    <w:rsid w:val="00807C95"/>
    <w:rsid w:val="00810041"/>
    <w:rsid w:val="00810DDE"/>
    <w:rsid w:val="008122DB"/>
    <w:rsid w:val="0082036C"/>
    <w:rsid w:val="00820F63"/>
    <w:rsid w:val="008219FC"/>
    <w:rsid w:val="00821DCE"/>
    <w:rsid w:val="00825229"/>
    <w:rsid w:val="00827767"/>
    <w:rsid w:val="008278EC"/>
    <w:rsid w:val="008301DC"/>
    <w:rsid w:val="00832607"/>
    <w:rsid w:val="0083297B"/>
    <w:rsid w:val="00832B3B"/>
    <w:rsid w:val="00837B4A"/>
    <w:rsid w:val="008409D6"/>
    <w:rsid w:val="0084151F"/>
    <w:rsid w:val="0084301A"/>
    <w:rsid w:val="008441E2"/>
    <w:rsid w:val="0084473F"/>
    <w:rsid w:val="008454E6"/>
    <w:rsid w:val="00847004"/>
    <w:rsid w:val="00847011"/>
    <w:rsid w:val="008504A7"/>
    <w:rsid w:val="00850581"/>
    <w:rsid w:val="00850AA1"/>
    <w:rsid w:val="00851CE8"/>
    <w:rsid w:val="00855FE0"/>
    <w:rsid w:val="008568D4"/>
    <w:rsid w:val="00860A07"/>
    <w:rsid w:val="00860A50"/>
    <w:rsid w:val="00862B4E"/>
    <w:rsid w:val="008647B4"/>
    <w:rsid w:val="00865517"/>
    <w:rsid w:val="0086562D"/>
    <w:rsid w:val="008665B0"/>
    <w:rsid w:val="00866783"/>
    <w:rsid w:val="0086787E"/>
    <w:rsid w:val="00872DCB"/>
    <w:rsid w:val="008738EF"/>
    <w:rsid w:val="00875174"/>
    <w:rsid w:val="00876B82"/>
    <w:rsid w:val="00876E1B"/>
    <w:rsid w:val="00880070"/>
    <w:rsid w:val="00882B13"/>
    <w:rsid w:val="00883702"/>
    <w:rsid w:val="008839F7"/>
    <w:rsid w:val="008845B6"/>
    <w:rsid w:val="00887238"/>
    <w:rsid w:val="00890689"/>
    <w:rsid w:val="008922C2"/>
    <w:rsid w:val="00892935"/>
    <w:rsid w:val="00893A4A"/>
    <w:rsid w:val="00893EA8"/>
    <w:rsid w:val="00896238"/>
    <w:rsid w:val="00896730"/>
    <w:rsid w:val="008968CD"/>
    <w:rsid w:val="0089704C"/>
    <w:rsid w:val="008A02F5"/>
    <w:rsid w:val="008A0665"/>
    <w:rsid w:val="008A2F58"/>
    <w:rsid w:val="008A38ED"/>
    <w:rsid w:val="008A6542"/>
    <w:rsid w:val="008A73FC"/>
    <w:rsid w:val="008A78F7"/>
    <w:rsid w:val="008B08BF"/>
    <w:rsid w:val="008B09AC"/>
    <w:rsid w:val="008B2BD0"/>
    <w:rsid w:val="008B2C48"/>
    <w:rsid w:val="008B2C64"/>
    <w:rsid w:val="008B2F8A"/>
    <w:rsid w:val="008B3D74"/>
    <w:rsid w:val="008B5B69"/>
    <w:rsid w:val="008B79CC"/>
    <w:rsid w:val="008C016F"/>
    <w:rsid w:val="008C0584"/>
    <w:rsid w:val="008C0997"/>
    <w:rsid w:val="008C2C59"/>
    <w:rsid w:val="008C3A2E"/>
    <w:rsid w:val="008C3E4A"/>
    <w:rsid w:val="008C4489"/>
    <w:rsid w:val="008C4A77"/>
    <w:rsid w:val="008D0017"/>
    <w:rsid w:val="008D0651"/>
    <w:rsid w:val="008D1C85"/>
    <w:rsid w:val="008D1DD0"/>
    <w:rsid w:val="008D20CB"/>
    <w:rsid w:val="008D22CD"/>
    <w:rsid w:val="008D2FD6"/>
    <w:rsid w:val="008D336B"/>
    <w:rsid w:val="008D36D3"/>
    <w:rsid w:val="008D6056"/>
    <w:rsid w:val="008D6ED4"/>
    <w:rsid w:val="008D7988"/>
    <w:rsid w:val="008E2357"/>
    <w:rsid w:val="008E29E8"/>
    <w:rsid w:val="008F1C32"/>
    <w:rsid w:val="008F2D5C"/>
    <w:rsid w:val="008F4B13"/>
    <w:rsid w:val="008F4C91"/>
    <w:rsid w:val="00900462"/>
    <w:rsid w:val="00900E95"/>
    <w:rsid w:val="00901870"/>
    <w:rsid w:val="00902680"/>
    <w:rsid w:val="0090282C"/>
    <w:rsid w:val="00904B85"/>
    <w:rsid w:val="00904FAC"/>
    <w:rsid w:val="0090512B"/>
    <w:rsid w:val="0090620C"/>
    <w:rsid w:val="00906A3A"/>
    <w:rsid w:val="00906CCC"/>
    <w:rsid w:val="00906E65"/>
    <w:rsid w:val="00907B6D"/>
    <w:rsid w:val="0091193A"/>
    <w:rsid w:val="00912B1E"/>
    <w:rsid w:val="00912E7D"/>
    <w:rsid w:val="00912EBF"/>
    <w:rsid w:val="00912F18"/>
    <w:rsid w:val="009135CF"/>
    <w:rsid w:val="00913A4C"/>
    <w:rsid w:val="00913CD3"/>
    <w:rsid w:val="009145BB"/>
    <w:rsid w:val="00916954"/>
    <w:rsid w:val="00917D13"/>
    <w:rsid w:val="00920243"/>
    <w:rsid w:val="00921176"/>
    <w:rsid w:val="009223B1"/>
    <w:rsid w:val="009226AF"/>
    <w:rsid w:val="00922C5F"/>
    <w:rsid w:val="009237FE"/>
    <w:rsid w:val="00931F6E"/>
    <w:rsid w:val="009320E2"/>
    <w:rsid w:val="009323E8"/>
    <w:rsid w:val="00933810"/>
    <w:rsid w:val="009341B2"/>
    <w:rsid w:val="00935C9F"/>
    <w:rsid w:val="009366A2"/>
    <w:rsid w:val="0093696C"/>
    <w:rsid w:val="00936F9F"/>
    <w:rsid w:val="009402CB"/>
    <w:rsid w:val="00940C4C"/>
    <w:rsid w:val="0094117A"/>
    <w:rsid w:val="00941BA3"/>
    <w:rsid w:val="00941C84"/>
    <w:rsid w:val="00941DA3"/>
    <w:rsid w:val="00941F33"/>
    <w:rsid w:val="009426C7"/>
    <w:rsid w:val="00943C02"/>
    <w:rsid w:val="00943F4B"/>
    <w:rsid w:val="00950448"/>
    <w:rsid w:val="009508DD"/>
    <w:rsid w:val="00950975"/>
    <w:rsid w:val="00951507"/>
    <w:rsid w:val="009523FF"/>
    <w:rsid w:val="00952435"/>
    <w:rsid w:val="009541EA"/>
    <w:rsid w:val="00955251"/>
    <w:rsid w:val="00955889"/>
    <w:rsid w:val="00956183"/>
    <w:rsid w:val="00956DA5"/>
    <w:rsid w:val="009570DD"/>
    <w:rsid w:val="0096104D"/>
    <w:rsid w:val="00962C3A"/>
    <w:rsid w:val="0096793F"/>
    <w:rsid w:val="00967CD7"/>
    <w:rsid w:val="00970A7E"/>
    <w:rsid w:val="00974F5E"/>
    <w:rsid w:val="0097585B"/>
    <w:rsid w:val="00975D8C"/>
    <w:rsid w:val="00975E86"/>
    <w:rsid w:val="00977625"/>
    <w:rsid w:val="00977626"/>
    <w:rsid w:val="00980733"/>
    <w:rsid w:val="00980766"/>
    <w:rsid w:val="00982D5A"/>
    <w:rsid w:val="0098304A"/>
    <w:rsid w:val="00985222"/>
    <w:rsid w:val="009863AB"/>
    <w:rsid w:val="009876AD"/>
    <w:rsid w:val="009877DE"/>
    <w:rsid w:val="00991402"/>
    <w:rsid w:val="00991DA2"/>
    <w:rsid w:val="00991DF3"/>
    <w:rsid w:val="009928F6"/>
    <w:rsid w:val="00994217"/>
    <w:rsid w:val="0099463E"/>
    <w:rsid w:val="00996232"/>
    <w:rsid w:val="0099669E"/>
    <w:rsid w:val="009A2179"/>
    <w:rsid w:val="009A2948"/>
    <w:rsid w:val="009A50A1"/>
    <w:rsid w:val="009A77DE"/>
    <w:rsid w:val="009A7B1D"/>
    <w:rsid w:val="009B10BE"/>
    <w:rsid w:val="009B1D38"/>
    <w:rsid w:val="009B2319"/>
    <w:rsid w:val="009B290D"/>
    <w:rsid w:val="009B2ACB"/>
    <w:rsid w:val="009B2CED"/>
    <w:rsid w:val="009B2FAD"/>
    <w:rsid w:val="009B3314"/>
    <w:rsid w:val="009B4C65"/>
    <w:rsid w:val="009B7970"/>
    <w:rsid w:val="009C1922"/>
    <w:rsid w:val="009C499D"/>
    <w:rsid w:val="009C6FCA"/>
    <w:rsid w:val="009D2082"/>
    <w:rsid w:val="009D2921"/>
    <w:rsid w:val="009D60EB"/>
    <w:rsid w:val="009D6D86"/>
    <w:rsid w:val="009E032C"/>
    <w:rsid w:val="009E0D4F"/>
    <w:rsid w:val="009E396F"/>
    <w:rsid w:val="009E3AC5"/>
    <w:rsid w:val="009E3F06"/>
    <w:rsid w:val="009E4E7E"/>
    <w:rsid w:val="009E5243"/>
    <w:rsid w:val="009E6DD9"/>
    <w:rsid w:val="009E78CC"/>
    <w:rsid w:val="009E7B6A"/>
    <w:rsid w:val="009F021F"/>
    <w:rsid w:val="009F4B8E"/>
    <w:rsid w:val="009F4FF9"/>
    <w:rsid w:val="009F539E"/>
    <w:rsid w:val="00A0303C"/>
    <w:rsid w:val="00A030E2"/>
    <w:rsid w:val="00A031F6"/>
    <w:rsid w:val="00A044F7"/>
    <w:rsid w:val="00A04C14"/>
    <w:rsid w:val="00A0644D"/>
    <w:rsid w:val="00A078EA"/>
    <w:rsid w:val="00A119C8"/>
    <w:rsid w:val="00A1507C"/>
    <w:rsid w:val="00A16F7F"/>
    <w:rsid w:val="00A21CD4"/>
    <w:rsid w:val="00A22B6A"/>
    <w:rsid w:val="00A26ABC"/>
    <w:rsid w:val="00A310BC"/>
    <w:rsid w:val="00A33FF2"/>
    <w:rsid w:val="00A3424F"/>
    <w:rsid w:val="00A36194"/>
    <w:rsid w:val="00A36444"/>
    <w:rsid w:val="00A40D62"/>
    <w:rsid w:val="00A42743"/>
    <w:rsid w:val="00A42A01"/>
    <w:rsid w:val="00A42A5C"/>
    <w:rsid w:val="00A44BB8"/>
    <w:rsid w:val="00A44BDB"/>
    <w:rsid w:val="00A44CBC"/>
    <w:rsid w:val="00A44D94"/>
    <w:rsid w:val="00A46CC9"/>
    <w:rsid w:val="00A50025"/>
    <w:rsid w:val="00A50362"/>
    <w:rsid w:val="00A50ABA"/>
    <w:rsid w:val="00A521FD"/>
    <w:rsid w:val="00A52598"/>
    <w:rsid w:val="00A527C8"/>
    <w:rsid w:val="00A527D7"/>
    <w:rsid w:val="00A5391B"/>
    <w:rsid w:val="00A54D63"/>
    <w:rsid w:val="00A56395"/>
    <w:rsid w:val="00A5712B"/>
    <w:rsid w:val="00A572A2"/>
    <w:rsid w:val="00A604CD"/>
    <w:rsid w:val="00A608F9"/>
    <w:rsid w:val="00A61386"/>
    <w:rsid w:val="00A62F6E"/>
    <w:rsid w:val="00A63B09"/>
    <w:rsid w:val="00A652AD"/>
    <w:rsid w:val="00A67601"/>
    <w:rsid w:val="00A678AD"/>
    <w:rsid w:val="00A717FC"/>
    <w:rsid w:val="00A7183A"/>
    <w:rsid w:val="00A72D1F"/>
    <w:rsid w:val="00A73A52"/>
    <w:rsid w:val="00A76B73"/>
    <w:rsid w:val="00A77E91"/>
    <w:rsid w:val="00A812E5"/>
    <w:rsid w:val="00A831DC"/>
    <w:rsid w:val="00A834DE"/>
    <w:rsid w:val="00A8696A"/>
    <w:rsid w:val="00A86D30"/>
    <w:rsid w:val="00A87499"/>
    <w:rsid w:val="00A90A75"/>
    <w:rsid w:val="00A90B45"/>
    <w:rsid w:val="00A90B55"/>
    <w:rsid w:val="00A90BA5"/>
    <w:rsid w:val="00A93E48"/>
    <w:rsid w:val="00A95690"/>
    <w:rsid w:val="00A95967"/>
    <w:rsid w:val="00A966CF"/>
    <w:rsid w:val="00A96DB2"/>
    <w:rsid w:val="00AA27C7"/>
    <w:rsid w:val="00AA5168"/>
    <w:rsid w:val="00AA5C96"/>
    <w:rsid w:val="00AA5F6A"/>
    <w:rsid w:val="00AA67D1"/>
    <w:rsid w:val="00AB1E3A"/>
    <w:rsid w:val="00AB22F7"/>
    <w:rsid w:val="00AB3526"/>
    <w:rsid w:val="00AB3775"/>
    <w:rsid w:val="00AB563E"/>
    <w:rsid w:val="00AB76A0"/>
    <w:rsid w:val="00AB7BBE"/>
    <w:rsid w:val="00AC058D"/>
    <w:rsid w:val="00AC09E4"/>
    <w:rsid w:val="00AC2BF0"/>
    <w:rsid w:val="00AD033D"/>
    <w:rsid w:val="00AD0495"/>
    <w:rsid w:val="00AD0B30"/>
    <w:rsid w:val="00AD1F43"/>
    <w:rsid w:val="00AD2179"/>
    <w:rsid w:val="00AD2681"/>
    <w:rsid w:val="00AD4A58"/>
    <w:rsid w:val="00AD5414"/>
    <w:rsid w:val="00AD577B"/>
    <w:rsid w:val="00AD5DFF"/>
    <w:rsid w:val="00AD5E7F"/>
    <w:rsid w:val="00AD63B5"/>
    <w:rsid w:val="00AD6B2D"/>
    <w:rsid w:val="00AE1920"/>
    <w:rsid w:val="00AE23FA"/>
    <w:rsid w:val="00AE45DF"/>
    <w:rsid w:val="00AE49FC"/>
    <w:rsid w:val="00AE4E6D"/>
    <w:rsid w:val="00AE4F33"/>
    <w:rsid w:val="00AE561D"/>
    <w:rsid w:val="00AE62E6"/>
    <w:rsid w:val="00AE7097"/>
    <w:rsid w:val="00AE7D72"/>
    <w:rsid w:val="00AE7D8B"/>
    <w:rsid w:val="00AF0020"/>
    <w:rsid w:val="00AF08E1"/>
    <w:rsid w:val="00AF2244"/>
    <w:rsid w:val="00AF226F"/>
    <w:rsid w:val="00AF3740"/>
    <w:rsid w:val="00AF5463"/>
    <w:rsid w:val="00AF5C43"/>
    <w:rsid w:val="00AF7759"/>
    <w:rsid w:val="00B04098"/>
    <w:rsid w:val="00B0608A"/>
    <w:rsid w:val="00B07249"/>
    <w:rsid w:val="00B13F9A"/>
    <w:rsid w:val="00B15F70"/>
    <w:rsid w:val="00B16135"/>
    <w:rsid w:val="00B16DA2"/>
    <w:rsid w:val="00B22A91"/>
    <w:rsid w:val="00B234A7"/>
    <w:rsid w:val="00B2360E"/>
    <w:rsid w:val="00B25C3E"/>
    <w:rsid w:val="00B26F98"/>
    <w:rsid w:val="00B27516"/>
    <w:rsid w:val="00B31AB6"/>
    <w:rsid w:val="00B32F99"/>
    <w:rsid w:val="00B334AC"/>
    <w:rsid w:val="00B34019"/>
    <w:rsid w:val="00B34197"/>
    <w:rsid w:val="00B3485E"/>
    <w:rsid w:val="00B34CC6"/>
    <w:rsid w:val="00B357DE"/>
    <w:rsid w:val="00B364BD"/>
    <w:rsid w:val="00B36B00"/>
    <w:rsid w:val="00B36D32"/>
    <w:rsid w:val="00B37155"/>
    <w:rsid w:val="00B37BBA"/>
    <w:rsid w:val="00B41C0F"/>
    <w:rsid w:val="00B43CFB"/>
    <w:rsid w:val="00B4658A"/>
    <w:rsid w:val="00B466D1"/>
    <w:rsid w:val="00B468C7"/>
    <w:rsid w:val="00B47738"/>
    <w:rsid w:val="00B50F16"/>
    <w:rsid w:val="00B52985"/>
    <w:rsid w:val="00B52CAF"/>
    <w:rsid w:val="00B53BEF"/>
    <w:rsid w:val="00B53E54"/>
    <w:rsid w:val="00B5575A"/>
    <w:rsid w:val="00B5588C"/>
    <w:rsid w:val="00B60824"/>
    <w:rsid w:val="00B6115D"/>
    <w:rsid w:val="00B62B65"/>
    <w:rsid w:val="00B62DEC"/>
    <w:rsid w:val="00B64986"/>
    <w:rsid w:val="00B65167"/>
    <w:rsid w:val="00B66CD3"/>
    <w:rsid w:val="00B66E8B"/>
    <w:rsid w:val="00B67469"/>
    <w:rsid w:val="00B7187A"/>
    <w:rsid w:val="00B722CB"/>
    <w:rsid w:val="00B72852"/>
    <w:rsid w:val="00B72C96"/>
    <w:rsid w:val="00B73734"/>
    <w:rsid w:val="00B738A6"/>
    <w:rsid w:val="00B73905"/>
    <w:rsid w:val="00B740A6"/>
    <w:rsid w:val="00B74E51"/>
    <w:rsid w:val="00B76AC3"/>
    <w:rsid w:val="00B77739"/>
    <w:rsid w:val="00B77AC5"/>
    <w:rsid w:val="00B80D52"/>
    <w:rsid w:val="00B8209C"/>
    <w:rsid w:val="00B82953"/>
    <w:rsid w:val="00B82D78"/>
    <w:rsid w:val="00B84D2A"/>
    <w:rsid w:val="00B85852"/>
    <w:rsid w:val="00B90754"/>
    <w:rsid w:val="00B92E64"/>
    <w:rsid w:val="00B946E7"/>
    <w:rsid w:val="00B947E3"/>
    <w:rsid w:val="00B95016"/>
    <w:rsid w:val="00B96395"/>
    <w:rsid w:val="00B96BE1"/>
    <w:rsid w:val="00BA1C68"/>
    <w:rsid w:val="00BA35E7"/>
    <w:rsid w:val="00BA4326"/>
    <w:rsid w:val="00BA4F5F"/>
    <w:rsid w:val="00BB0094"/>
    <w:rsid w:val="00BB114F"/>
    <w:rsid w:val="00BB16E7"/>
    <w:rsid w:val="00BB18ED"/>
    <w:rsid w:val="00BB198A"/>
    <w:rsid w:val="00BB3024"/>
    <w:rsid w:val="00BB4558"/>
    <w:rsid w:val="00BB5FDA"/>
    <w:rsid w:val="00BC0013"/>
    <w:rsid w:val="00BC0837"/>
    <w:rsid w:val="00BC1564"/>
    <w:rsid w:val="00BC1ABA"/>
    <w:rsid w:val="00BC2263"/>
    <w:rsid w:val="00BC28FC"/>
    <w:rsid w:val="00BC3ED4"/>
    <w:rsid w:val="00BC6EC6"/>
    <w:rsid w:val="00BC7EF5"/>
    <w:rsid w:val="00BD1510"/>
    <w:rsid w:val="00BD1922"/>
    <w:rsid w:val="00BD238B"/>
    <w:rsid w:val="00BD4220"/>
    <w:rsid w:val="00BE12A4"/>
    <w:rsid w:val="00BE1565"/>
    <w:rsid w:val="00BE6640"/>
    <w:rsid w:val="00BF09E3"/>
    <w:rsid w:val="00BF19C1"/>
    <w:rsid w:val="00BF3AE4"/>
    <w:rsid w:val="00BF3EBB"/>
    <w:rsid w:val="00BF5C3E"/>
    <w:rsid w:val="00BF6C41"/>
    <w:rsid w:val="00BF7940"/>
    <w:rsid w:val="00C00EC2"/>
    <w:rsid w:val="00C01238"/>
    <w:rsid w:val="00C0126D"/>
    <w:rsid w:val="00C01899"/>
    <w:rsid w:val="00C020C4"/>
    <w:rsid w:val="00C0249D"/>
    <w:rsid w:val="00C035CA"/>
    <w:rsid w:val="00C039B8"/>
    <w:rsid w:val="00C03BE2"/>
    <w:rsid w:val="00C0588C"/>
    <w:rsid w:val="00C06AB7"/>
    <w:rsid w:val="00C10137"/>
    <w:rsid w:val="00C10288"/>
    <w:rsid w:val="00C11B40"/>
    <w:rsid w:val="00C11FA2"/>
    <w:rsid w:val="00C12128"/>
    <w:rsid w:val="00C151C6"/>
    <w:rsid w:val="00C15CBE"/>
    <w:rsid w:val="00C171AA"/>
    <w:rsid w:val="00C17D28"/>
    <w:rsid w:val="00C20E4B"/>
    <w:rsid w:val="00C2195C"/>
    <w:rsid w:val="00C23F11"/>
    <w:rsid w:val="00C24970"/>
    <w:rsid w:val="00C269A8"/>
    <w:rsid w:val="00C2732C"/>
    <w:rsid w:val="00C3030A"/>
    <w:rsid w:val="00C308DA"/>
    <w:rsid w:val="00C31CF8"/>
    <w:rsid w:val="00C320F2"/>
    <w:rsid w:val="00C34486"/>
    <w:rsid w:val="00C34FAC"/>
    <w:rsid w:val="00C3564C"/>
    <w:rsid w:val="00C368C5"/>
    <w:rsid w:val="00C36F18"/>
    <w:rsid w:val="00C4024A"/>
    <w:rsid w:val="00C417E8"/>
    <w:rsid w:val="00C420D7"/>
    <w:rsid w:val="00C428E3"/>
    <w:rsid w:val="00C42D49"/>
    <w:rsid w:val="00C43514"/>
    <w:rsid w:val="00C449FC"/>
    <w:rsid w:val="00C46CFA"/>
    <w:rsid w:val="00C4713F"/>
    <w:rsid w:val="00C51EF7"/>
    <w:rsid w:val="00C54251"/>
    <w:rsid w:val="00C545F1"/>
    <w:rsid w:val="00C54B60"/>
    <w:rsid w:val="00C55702"/>
    <w:rsid w:val="00C60427"/>
    <w:rsid w:val="00C622B2"/>
    <w:rsid w:val="00C62DCB"/>
    <w:rsid w:val="00C64F45"/>
    <w:rsid w:val="00C668EF"/>
    <w:rsid w:val="00C678E2"/>
    <w:rsid w:val="00C678E7"/>
    <w:rsid w:val="00C74A86"/>
    <w:rsid w:val="00C77D91"/>
    <w:rsid w:val="00C80563"/>
    <w:rsid w:val="00C81D4E"/>
    <w:rsid w:val="00C83036"/>
    <w:rsid w:val="00C83237"/>
    <w:rsid w:val="00C84915"/>
    <w:rsid w:val="00C90DDC"/>
    <w:rsid w:val="00C915B3"/>
    <w:rsid w:val="00C91F8D"/>
    <w:rsid w:val="00C92A70"/>
    <w:rsid w:val="00C9304A"/>
    <w:rsid w:val="00C938C2"/>
    <w:rsid w:val="00C93E3A"/>
    <w:rsid w:val="00C94799"/>
    <w:rsid w:val="00C954C4"/>
    <w:rsid w:val="00C961D7"/>
    <w:rsid w:val="00C964F4"/>
    <w:rsid w:val="00CA32CB"/>
    <w:rsid w:val="00CA3448"/>
    <w:rsid w:val="00CA51A7"/>
    <w:rsid w:val="00CA5A27"/>
    <w:rsid w:val="00CA61A4"/>
    <w:rsid w:val="00CA6ED3"/>
    <w:rsid w:val="00CA6EFE"/>
    <w:rsid w:val="00CB0E00"/>
    <w:rsid w:val="00CB18C7"/>
    <w:rsid w:val="00CB4316"/>
    <w:rsid w:val="00CB6E87"/>
    <w:rsid w:val="00CC11AC"/>
    <w:rsid w:val="00CC222A"/>
    <w:rsid w:val="00CC389C"/>
    <w:rsid w:val="00CC53E2"/>
    <w:rsid w:val="00CC595A"/>
    <w:rsid w:val="00CC5FE1"/>
    <w:rsid w:val="00CC621C"/>
    <w:rsid w:val="00CC71AA"/>
    <w:rsid w:val="00CD1520"/>
    <w:rsid w:val="00CD2AC8"/>
    <w:rsid w:val="00CD6F15"/>
    <w:rsid w:val="00CE1782"/>
    <w:rsid w:val="00CE258C"/>
    <w:rsid w:val="00CE4240"/>
    <w:rsid w:val="00CE50F0"/>
    <w:rsid w:val="00CF0D85"/>
    <w:rsid w:val="00CF1994"/>
    <w:rsid w:val="00CF1D50"/>
    <w:rsid w:val="00CF21BF"/>
    <w:rsid w:val="00CF21C0"/>
    <w:rsid w:val="00CF2C9E"/>
    <w:rsid w:val="00CF30E8"/>
    <w:rsid w:val="00CF3679"/>
    <w:rsid w:val="00CF3818"/>
    <w:rsid w:val="00CF4447"/>
    <w:rsid w:val="00CF6D6E"/>
    <w:rsid w:val="00D04D55"/>
    <w:rsid w:val="00D1053D"/>
    <w:rsid w:val="00D11498"/>
    <w:rsid w:val="00D1153A"/>
    <w:rsid w:val="00D11EE0"/>
    <w:rsid w:val="00D121B1"/>
    <w:rsid w:val="00D135D1"/>
    <w:rsid w:val="00D15DF2"/>
    <w:rsid w:val="00D15EEC"/>
    <w:rsid w:val="00D16042"/>
    <w:rsid w:val="00D16399"/>
    <w:rsid w:val="00D165FA"/>
    <w:rsid w:val="00D17A56"/>
    <w:rsid w:val="00D17F07"/>
    <w:rsid w:val="00D21525"/>
    <w:rsid w:val="00D22591"/>
    <w:rsid w:val="00D2288D"/>
    <w:rsid w:val="00D2479F"/>
    <w:rsid w:val="00D25BB9"/>
    <w:rsid w:val="00D27CE8"/>
    <w:rsid w:val="00D30628"/>
    <w:rsid w:val="00D30F53"/>
    <w:rsid w:val="00D31EF8"/>
    <w:rsid w:val="00D33E60"/>
    <w:rsid w:val="00D34FFC"/>
    <w:rsid w:val="00D352E6"/>
    <w:rsid w:val="00D3657E"/>
    <w:rsid w:val="00D36816"/>
    <w:rsid w:val="00D36A32"/>
    <w:rsid w:val="00D36FFF"/>
    <w:rsid w:val="00D37D97"/>
    <w:rsid w:val="00D42F09"/>
    <w:rsid w:val="00D4429D"/>
    <w:rsid w:val="00D44E54"/>
    <w:rsid w:val="00D468E2"/>
    <w:rsid w:val="00D47BAF"/>
    <w:rsid w:val="00D5107C"/>
    <w:rsid w:val="00D52459"/>
    <w:rsid w:val="00D5254D"/>
    <w:rsid w:val="00D5288A"/>
    <w:rsid w:val="00D56954"/>
    <w:rsid w:val="00D56ACB"/>
    <w:rsid w:val="00D57C5B"/>
    <w:rsid w:val="00D57C6E"/>
    <w:rsid w:val="00D600F2"/>
    <w:rsid w:val="00D60948"/>
    <w:rsid w:val="00D618BB"/>
    <w:rsid w:val="00D62D89"/>
    <w:rsid w:val="00D633C7"/>
    <w:rsid w:val="00D6354A"/>
    <w:rsid w:val="00D64391"/>
    <w:rsid w:val="00D645D9"/>
    <w:rsid w:val="00D650F7"/>
    <w:rsid w:val="00D65527"/>
    <w:rsid w:val="00D65B2B"/>
    <w:rsid w:val="00D6767C"/>
    <w:rsid w:val="00D67A78"/>
    <w:rsid w:val="00D700AE"/>
    <w:rsid w:val="00D70654"/>
    <w:rsid w:val="00D71D4B"/>
    <w:rsid w:val="00D72D9B"/>
    <w:rsid w:val="00D74100"/>
    <w:rsid w:val="00D742C6"/>
    <w:rsid w:val="00D77ACC"/>
    <w:rsid w:val="00D77CEE"/>
    <w:rsid w:val="00D80CEE"/>
    <w:rsid w:val="00D81582"/>
    <w:rsid w:val="00D85021"/>
    <w:rsid w:val="00D8638D"/>
    <w:rsid w:val="00D86FE9"/>
    <w:rsid w:val="00D924FD"/>
    <w:rsid w:val="00DA0AE5"/>
    <w:rsid w:val="00DA17D5"/>
    <w:rsid w:val="00DA31B3"/>
    <w:rsid w:val="00DA3584"/>
    <w:rsid w:val="00DA365D"/>
    <w:rsid w:val="00DA68DC"/>
    <w:rsid w:val="00DA71F1"/>
    <w:rsid w:val="00DB0939"/>
    <w:rsid w:val="00DB1F1A"/>
    <w:rsid w:val="00DB28D4"/>
    <w:rsid w:val="00DB6865"/>
    <w:rsid w:val="00DB7070"/>
    <w:rsid w:val="00DC0B21"/>
    <w:rsid w:val="00DC0EC9"/>
    <w:rsid w:val="00DC1270"/>
    <w:rsid w:val="00DC151A"/>
    <w:rsid w:val="00DC2779"/>
    <w:rsid w:val="00DC47A6"/>
    <w:rsid w:val="00DC524D"/>
    <w:rsid w:val="00DC524F"/>
    <w:rsid w:val="00DC5546"/>
    <w:rsid w:val="00DC5629"/>
    <w:rsid w:val="00DC71D3"/>
    <w:rsid w:val="00DD0919"/>
    <w:rsid w:val="00DD0AF6"/>
    <w:rsid w:val="00DD2F02"/>
    <w:rsid w:val="00DD3A96"/>
    <w:rsid w:val="00DD3C76"/>
    <w:rsid w:val="00DD7805"/>
    <w:rsid w:val="00DD7878"/>
    <w:rsid w:val="00DE0972"/>
    <w:rsid w:val="00DE0F2B"/>
    <w:rsid w:val="00DE1475"/>
    <w:rsid w:val="00DE3511"/>
    <w:rsid w:val="00DE37E5"/>
    <w:rsid w:val="00DE47B9"/>
    <w:rsid w:val="00DF0717"/>
    <w:rsid w:val="00DF30EA"/>
    <w:rsid w:val="00DF319B"/>
    <w:rsid w:val="00DF471F"/>
    <w:rsid w:val="00DF5486"/>
    <w:rsid w:val="00DF59B8"/>
    <w:rsid w:val="00DF79DA"/>
    <w:rsid w:val="00E01692"/>
    <w:rsid w:val="00E04C86"/>
    <w:rsid w:val="00E05D38"/>
    <w:rsid w:val="00E05EFB"/>
    <w:rsid w:val="00E06125"/>
    <w:rsid w:val="00E061E1"/>
    <w:rsid w:val="00E10542"/>
    <w:rsid w:val="00E10818"/>
    <w:rsid w:val="00E15AFB"/>
    <w:rsid w:val="00E1658D"/>
    <w:rsid w:val="00E17B37"/>
    <w:rsid w:val="00E21920"/>
    <w:rsid w:val="00E224AD"/>
    <w:rsid w:val="00E22DEB"/>
    <w:rsid w:val="00E24042"/>
    <w:rsid w:val="00E2437D"/>
    <w:rsid w:val="00E249FB"/>
    <w:rsid w:val="00E26874"/>
    <w:rsid w:val="00E27442"/>
    <w:rsid w:val="00E3168A"/>
    <w:rsid w:val="00E35468"/>
    <w:rsid w:val="00E354C2"/>
    <w:rsid w:val="00E35DF2"/>
    <w:rsid w:val="00E37268"/>
    <w:rsid w:val="00E41477"/>
    <w:rsid w:val="00E41C7D"/>
    <w:rsid w:val="00E433CF"/>
    <w:rsid w:val="00E43524"/>
    <w:rsid w:val="00E43D7B"/>
    <w:rsid w:val="00E457E3"/>
    <w:rsid w:val="00E4651F"/>
    <w:rsid w:val="00E503BE"/>
    <w:rsid w:val="00E506E4"/>
    <w:rsid w:val="00E526DB"/>
    <w:rsid w:val="00E5347B"/>
    <w:rsid w:val="00E54187"/>
    <w:rsid w:val="00E544F3"/>
    <w:rsid w:val="00E54C0B"/>
    <w:rsid w:val="00E550F0"/>
    <w:rsid w:val="00E6060A"/>
    <w:rsid w:val="00E641C5"/>
    <w:rsid w:val="00E66230"/>
    <w:rsid w:val="00E668FA"/>
    <w:rsid w:val="00E66DFC"/>
    <w:rsid w:val="00E679CD"/>
    <w:rsid w:val="00E7051A"/>
    <w:rsid w:val="00E70813"/>
    <w:rsid w:val="00E71F96"/>
    <w:rsid w:val="00E7487E"/>
    <w:rsid w:val="00E74950"/>
    <w:rsid w:val="00E80646"/>
    <w:rsid w:val="00E8122F"/>
    <w:rsid w:val="00E826C7"/>
    <w:rsid w:val="00E82D8A"/>
    <w:rsid w:val="00E839B8"/>
    <w:rsid w:val="00E844B5"/>
    <w:rsid w:val="00E84FA0"/>
    <w:rsid w:val="00E90F1F"/>
    <w:rsid w:val="00E91A80"/>
    <w:rsid w:val="00E92EB3"/>
    <w:rsid w:val="00E93A25"/>
    <w:rsid w:val="00E95172"/>
    <w:rsid w:val="00EA125B"/>
    <w:rsid w:val="00EA190C"/>
    <w:rsid w:val="00EA2CF7"/>
    <w:rsid w:val="00EA40E1"/>
    <w:rsid w:val="00EA4A80"/>
    <w:rsid w:val="00EA56D8"/>
    <w:rsid w:val="00EA7E13"/>
    <w:rsid w:val="00EA7F3B"/>
    <w:rsid w:val="00EB103D"/>
    <w:rsid w:val="00EB1A44"/>
    <w:rsid w:val="00EB4BC4"/>
    <w:rsid w:val="00EB64FA"/>
    <w:rsid w:val="00EC23B8"/>
    <w:rsid w:val="00EC2639"/>
    <w:rsid w:val="00EC3559"/>
    <w:rsid w:val="00EC3AED"/>
    <w:rsid w:val="00EC4672"/>
    <w:rsid w:val="00EC62D6"/>
    <w:rsid w:val="00ED11FE"/>
    <w:rsid w:val="00ED1D3D"/>
    <w:rsid w:val="00ED42FB"/>
    <w:rsid w:val="00ED6AE8"/>
    <w:rsid w:val="00ED7304"/>
    <w:rsid w:val="00ED7F46"/>
    <w:rsid w:val="00EE0DA2"/>
    <w:rsid w:val="00EE0E4A"/>
    <w:rsid w:val="00EE10B2"/>
    <w:rsid w:val="00EE1ABE"/>
    <w:rsid w:val="00EE1D02"/>
    <w:rsid w:val="00EE3C6F"/>
    <w:rsid w:val="00EE3F9F"/>
    <w:rsid w:val="00EE6050"/>
    <w:rsid w:val="00EE7013"/>
    <w:rsid w:val="00EE7742"/>
    <w:rsid w:val="00EF11BE"/>
    <w:rsid w:val="00EF46CC"/>
    <w:rsid w:val="00EF4D94"/>
    <w:rsid w:val="00EF5378"/>
    <w:rsid w:val="00EF691D"/>
    <w:rsid w:val="00EF6A1A"/>
    <w:rsid w:val="00F0225A"/>
    <w:rsid w:val="00F03932"/>
    <w:rsid w:val="00F03C95"/>
    <w:rsid w:val="00F04582"/>
    <w:rsid w:val="00F047A5"/>
    <w:rsid w:val="00F04C55"/>
    <w:rsid w:val="00F05144"/>
    <w:rsid w:val="00F06C53"/>
    <w:rsid w:val="00F1048C"/>
    <w:rsid w:val="00F10664"/>
    <w:rsid w:val="00F113BE"/>
    <w:rsid w:val="00F119A4"/>
    <w:rsid w:val="00F122A4"/>
    <w:rsid w:val="00F133A0"/>
    <w:rsid w:val="00F14C3E"/>
    <w:rsid w:val="00F16B86"/>
    <w:rsid w:val="00F218E2"/>
    <w:rsid w:val="00F263D0"/>
    <w:rsid w:val="00F26FE2"/>
    <w:rsid w:val="00F27C38"/>
    <w:rsid w:val="00F30AB3"/>
    <w:rsid w:val="00F31E7F"/>
    <w:rsid w:val="00F321A5"/>
    <w:rsid w:val="00F32554"/>
    <w:rsid w:val="00F3326B"/>
    <w:rsid w:val="00F35DA4"/>
    <w:rsid w:val="00F404B2"/>
    <w:rsid w:val="00F40EF7"/>
    <w:rsid w:val="00F41281"/>
    <w:rsid w:val="00F41D6D"/>
    <w:rsid w:val="00F42C20"/>
    <w:rsid w:val="00F43255"/>
    <w:rsid w:val="00F433BA"/>
    <w:rsid w:val="00F4391D"/>
    <w:rsid w:val="00F442C0"/>
    <w:rsid w:val="00F44463"/>
    <w:rsid w:val="00F44839"/>
    <w:rsid w:val="00F45359"/>
    <w:rsid w:val="00F458E7"/>
    <w:rsid w:val="00F46471"/>
    <w:rsid w:val="00F467C3"/>
    <w:rsid w:val="00F52953"/>
    <w:rsid w:val="00F53172"/>
    <w:rsid w:val="00F537EA"/>
    <w:rsid w:val="00F53F64"/>
    <w:rsid w:val="00F543A2"/>
    <w:rsid w:val="00F56BFB"/>
    <w:rsid w:val="00F572AE"/>
    <w:rsid w:val="00F57863"/>
    <w:rsid w:val="00F5797E"/>
    <w:rsid w:val="00F57F6C"/>
    <w:rsid w:val="00F6122C"/>
    <w:rsid w:val="00F62C36"/>
    <w:rsid w:val="00F6441A"/>
    <w:rsid w:val="00F65F10"/>
    <w:rsid w:val="00F70B21"/>
    <w:rsid w:val="00F71EB0"/>
    <w:rsid w:val="00F733A7"/>
    <w:rsid w:val="00F73606"/>
    <w:rsid w:val="00F73729"/>
    <w:rsid w:val="00F73793"/>
    <w:rsid w:val="00F743FD"/>
    <w:rsid w:val="00F7493D"/>
    <w:rsid w:val="00F7743C"/>
    <w:rsid w:val="00F77649"/>
    <w:rsid w:val="00F77FCC"/>
    <w:rsid w:val="00F824BE"/>
    <w:rsid w:val="00F85A22"/>
    <w:rsid w:val="00F8657B"/>
    <w:rsid w:val="00F86CD9"/>
    <w:rsid w:val="00F90153"/>
    <w:rsid w:val="00F93C79"/>
    <w:rsid w:val="00F9594B"/>
    <w:rsid w:val="00F96726"/>
    <w:rsid w:val="00F96E0F"/>
    <w:rsid w:val="00FA0139"/>
    <w:rsid w:val="00FA0372"/>
    <w:rsid w:val="00FA1F62"/>
    <w:rsid w:val="00FA20DB"/>
    <w:rsid w:val="00FA3C39"/>
    <w:rsid w:val="00FA489B"/>
    <w:rsid w:val="00FA4F92"/>
    <w:rsid w:val="00FA5160"/>
    <w:rsid w:val="00FB4F9A"/>
    <w:rsid w:val="00FB5759"/>
    <w:rsid w:val="00FB73E5"/>
    <w:rsid w:val="00FB741B"/>
    <w:rsid w:val="00FC008A"/>
    <w:rsid w:val="00FC0E40"/>
    <w:rsid w:val="00FC1AB5"/>
    <w:rsid w:val="00FC270D"/>
    <w:rsid w:val="00FC2CD1"/>
    <w:rsid w:val="00FC330D"/>
    <w:rsid w:val="00FC4310"/>
    <w:rsid w:val="00FC4498"/>
    <w:rsid w:val="00FC6098"/>
    <w:rsid w:val="00FC69F4"/>
    <w:rsid w:val="00FC752C"/>
    <w:rsid w:val="00FC77EB"/>
    <w:rsid w:val="00FD4824"/>
    <w:rsid w:val="00FD5C59"/>
    <w:rsid w:val="00FE0AB4"/>
    <w:rsid w:val="00FE3926"/>
    <w:rsid w:val="00FE3B28"/>
    <w:rsid w:val="00FE4B77"/>
    <w:rsid w:val="00FE4D06"/>
    <w:rsid w:val="00FE4D39"/>
    <w:rsid w:val="00FF0A2B"/>
    <w:rsid w:val="00FF1886"/>
    <w:rsid w:val="00FF2AF4"/>
    <w:rsid w:val="00FF45DE"/>
    <w:rsid w:val="00FF4D9B"/>
    <w:rsid w:val="00FF4E7B"/>
    <w:rsid w:val="00FF5850"/>
    <w:rsid w:val="00FF7B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8DACCF"/>
  <w15:chartTrackingRefBased/>
  <w15:docId w15:val="{CA851BE8-7A78-4E27-A234-DA6DAB3D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4E2"/>
  </w:style>
  <w:style w:type="paragraph" w:styleId="Heading1">
    <w:name w:val="heading 1"/>
    <w:basedOn w:val="Normal"/>
    <w:next w:val="Normal"/>
    <w:link w:val="Heading1Char"/>
    <w:uiPriority w:val="9"/>
    <w:qFormat/>
    <w:rsid w:val="00C34F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4F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34F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34F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F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F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F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F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F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WTSDindent">
    <w:name w:val="UWTSD indent"/>
    <w:basedOn w:val="BodyTextFirstIndent"/>
    <w:link w:val="UWTSDindentChar"/>
    <w:autoRedefine/>
    <w:qFormat/>
    <w:rsid w:val="00B32F99"/>
    <w:pPr>
      <w:spacing w:line="360" w:lineRule="auto"/>
      <w:ind w:firstLine="357"/>
    </w:pPr>
    <w:rPr>
      <w:rFonts w:asciiTheme="majorBidi" w:hAnsiTheme="majorBidi" w:cstheme="majorBidi"/>
      <w:sz w:val="24"/>
    </w:rPr>
  </w:style>
  <w:style w:type="character" w:customStyle="1" w:styleId="UWTSDindentChar">
    <w:name w:val="UWTSD indent Char"/>
    <w:basedOn w:val="BodyTextFirstIndentChar"/>
    <w:link w:val="UWTSDindent"/>
    <w:rsid w:val="00B32F99"/>
    <w:rPr>
      <w:rFonts w:asciiTheme="majorBidi" w:hAnsiTheme="majorBidi" w:cstheme="majorBidi"/>
      <w:sz w:val="24"/>
    </w:rPr>
  </w:style>
  <w:style w:type="paragraph" w:styleId="BodyText">
    <w:name w:val="Body Text"/>
    <w:basedOn w:val="Normal"/>
    <w:link w:val="BodyTextChar"/>
    <w:uiPriority w:val="99"/>
    <w:semiHidden/>
    <w:unhideWhenUsed/>
    <w:rsid w:val="000D6EEE"/>
    <w:pPr>
      <w:spacing w:after="120"/>
    </w:pPr>
  </w:style>
  <w:style w:type="character" w:customStyle="1" w:styleId="BodyTextChar">
    <w:name w:val="Body Text Char"/>
    <w:basedOn w:val="DefaultParagraphFont"/>
    <w:link w:val="BodyText"/>
    <w:uiPriority w:val="99"/>
    <w:semiHidden/>
    <w:rsid w:val="000D6EEE"/>
  </w:style>
  <w:style w:type="paragraph" w:styleId="BodyTextFirstIndent">
    <w:name w:val="Body Text First Indent"/>
    <w:basedOn w:val="BodyText"/>
    <w:link w:val="BodyTextFirstIndentChar"/>
    <w:uiPriority w:val="99"/>
    <w:semiHidden/>
    <w:unhideWhenUsed/>
    <w:rsid w:val="000D6EEE"/>
    <w:pPr>
      <w:spacing w:after="160"/>
      <w:ind w:firstLine="360"/>
    </w:pPr>
  </w:style>
  <w:style w:type="character" w:customStyle="1" w:styleId="BodyTextFirstIndentChar">
    <w:name w:val="Body Text First Indent Char"/>
    <w:basedOn w:val="BodyTextChar"/>
    <w:link w:val="BodyTextFirstIndent"/>
    <w:uiPriority w:val="99"/>
    <w:semiHidden/>
    <w:rsid w:val="000D6EEE"/>
  </w:style>
  <w:style w:type="character" w:customStyle="1" w:styleId="Heading1Char">
    <w:name w:val="Heading 1 Char"/>
    <w:basedOn w:val="DefaultParagraphFont"/>
    <w:link w:val="Heading1"/>
    <w:uiPriority w:val="9"/>
    <w:rsid w:val="00C34F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4F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34F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34F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F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FAC"/>
    <w:rPr>
      <w:rFonts w:eastAsiaTheme="majorEastAsia" w:cstheme="majorBidi"/>
      <w:color w:val="272727" w:themeColor="text1" w:themeTint="D8"/>
    </w:rPr>
  </w:style>
  <w:style w:type="paragraph" w:styleId="Title">
    <w:name w:val="Title"/>
    <w:basedOn w:val="Normal"/>
    <w:next w:val="Normal"/>
    <w:link w:val="TitleChar"/>
    <w:uiPriority w:val="10"/>
    <w:qFormat/>
    <w:rsid w:val="00C34F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F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FAC"/>
    <w:rPr>
      <w:rFonts w:eastAsiaTheme="majorEastAsia" w:cstheme="majorBidi"/>
      <w:color w:val="595959" w:themeColor="text1" w:themeTint="A6"/>
      <w:spacing w:val="15"/>
      <w:sz w:val="28"/>
      <w:szCs w:val="28"/>
    </w:rPr>
  </w:style>
  <w:style w:type="paragraph" w:styleId="Quote">
    <w:name w:val="Quote"/>
    <w:basedOn w:val="Normal"/>
    <w:next w:val="Normal"/>
    <w:link w:val="QuoteChar"/>
    <w:autoRedefine/>
    <w:uiPriority w:val="29"/>
    <w:qFormat/>
    <w:rsid w:val="001D749D"/>
    <w:pPr>
      <w:spacing w:before="100" w:beforeAutospacing="1" w:after="100" w:afterAutospacing="1" w:line="240" w:lineRule="auto"/>
      <w:ind w:left="1134" w:right="1134"/>
      <w:contextualSpacing/>
      <w:mirrorIndents/>
    </w:pPr>
    <w:rPr>
      <w:rFonts w:ascii="Times New Roman" w:hAnsi="Times New Roman" w:cs="Times New Roman"/>
      <w:i/>
      <w:iCs/>
      <w:color w:val="404040" w:themeColor="text1" w:themeTint="BF"/>
      <w:sz w:val="20"/>
      <w:lang w:eastAsia="en-GB"/>
    </w:rPr>
  </w:style>
  <w:style w:type="character" w:customStyle="1" w:styleId="QuoteChar">
    <w:name w:val="Quote Char"/>
    <w:basedOn w:val="DefaultParagraphFont"/>
    <w:link w:val="Quote"/>
    <w:uiPriority w:val="29"/>
    <w:rsid w:val="001D749D"/>
    <w:rPr>
      <w:rFonts w:ascii="Times New Roman" w:hAnsi="Times New Roman" w:cs="Times New Roman"/>
      <w:i/>
      <w:iCs/>
      <w:color w:val="404040" w:themeColor="text1" w:themeTint="BF"/>
      <w:sz w:val="20"/>
      <w:lang w:eastAsia="en-GB"/>
    </w:rPr>
  </w:style>
  <w:style w:type="paragraph" w:styleId="ListParagraph">
    <w:name w:val="List Paragraph"/>
    <w:basedOn w:val="Normal"/>
    <w:uiPriority w:val="34"/>
    <w:qFormat/>
    <w:rsid w:val="00C34FAC"/>
    <w:pPr>
      <w:ind w:left="720"/>
      <w:contextualSpacing/>
    </w:pPr>
  </w:style>
  <w:style w:type="character" w:styleId="IntenseEmphasis">
    <w:name w:val="Intense Emphasis"/>
    <w:basedOn w:val="DefaultParagraphFont"/>
    <w:uiPriority w:val="21"/>
    <w:qFormat/>
    <w:rsid w:val="00C34FAC"/>
    <w:rPr>
      <w:i/>
      <w:iCs/>
      <w:color w:val="0F4761" w:themeColor="accent1" w:themeShade="BF"/>
    </w:rPr>
  </w:style>
  <w:style w:type="paragraph" w:styleId="IntenseQuote">
    <w:name w:val="Intense Quote"/>
    <w:basedOn w:val="Normal"/>
    <w:next w:val="Normal"/>
    <w:link w:val="IntenseQuoteChar"/>
    <w:uiPriority w:val="30"/>
    <w:qFormat/>
    <w:rsid w:val="00C34F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FAC"/>
    <w:rPr>
      <w:i/>
      <w:iCs/>
      <w:color w:val="0F4761" w:themeColor="accent1" w:themeShade="BF"/>
    </w:rPr>
  </w:style>
  <w:style w:type="character" w:styleId="IntenseReference">
    <w:name w:val="Intense Reference"/>
    <w:basedOn w:val="DefaultParagraphFont"/>
    <w:uiPriority w:val="32"/>
    <w:qFormat/>
    <w:rsid w:val="00C34FAC"/>
    <w:rPr>
      <w:b/>
      <w:bCs/>
      <w:smallCaps/>
      <w:color w:val="0F4761" w:themeColor="accent1" w:themeShade="BF"/>
      <w:spacing w:val="5"/>
    </w:rPr>
  </w:style>
  <w:style w:type="paragraph" w:styleId="FootnoteText">
    <w:name w:val="footnote text"/>
    <w:basedOn w:val="Normal"/>
    <w:link w:val="FootnoteTextChar"/>
    <w:uiPriority w:val="99"/>
    <w:unhideWhenUsed/>
    <w:rsid w:val="00F85A22"/>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F85A22"/>
    <w:rPr>
      <w:rFonts w:ascii="Times New Roman" w:hAnsi="Times New Roman"/>
      <w:sz w:val="20"/>
      <w:szCs w:val="20"/>
    </w:rPr>
  </w:style>
  <w:style w:type="character" w:styleId="FootnoteReference">
    <w:name w:val="footnote reference"/>
    <w:basedOn w:val="DefaultParagraphFont"/>
    <w:uiPriority w:val="99"/>
    <w:semiHidden/>
    <w:unhideWhenUsed/>
    <w:rsid w:val="000634E2"/>
    <w:rPr>
      <w:vertAlign w:val="superscript"/>
    </w:rPr>
  </w:style>
  <w:style w:type="paragraph" w:styleId="NoSpacing">
    <w:name w:val="No Spacing"/>
    <w:uiPriority w:val="1"/>
    <w:qFormat/>
    <w:rsid w:val="000634E2"/>
    <w:pPr>
      <w:spacing w:after="0" w:line="240" w:lineRule="auto"/>
    </w:pPr>
  </w:style>
  <w:style w:type="paragraph" w:styleId="Footer">
    <w:name w:val="footer"/>
    <w:basedOn w:val="Normal"/>
    <w:link w:val="FooterChar"/>
    <w:uiPriority w:val="99"/>
    <w:unhideWhenUsed/>
    <w:rsid w:val="00063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4E2"/>
  </w:style>
  <w:style w:type="paragraph" w:styleId="Header">
    <w:name w:val="header"/>
    <w:basedOn w:val="Normal"/>
    <w:link w:val="HeaderChar"/>
    <w:uiPriority w:val="99"/>
    <w:unhideWhenUsed/>
    <w:rsid w:val="00063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4E2"/>
  </w:style>
  <w:style w:type="table" w:styleId="TableGrid">
    <w:name w:val="Table Grid"/>
    <w:basedOn w:val="TableNormal"/>
    <w:uiPriority w:val="39"/>
    <w:rsid w:val="00063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autoRedefine/>
    <w:uiPriority w:val="35"/>
    <w:unhideWhenUsed/>
    <w:qFormat/>
    <w:rsid w:val="00880070"/>
    <w:pPr>
      <w:spacing w:after="200" w:line="240" w:lineRule="auto"/>
    </w:pPr>
    <w:rPr>
      <w:rFonts w:ascii="Times New Roman" w:hAnsi="Times New Roman"/>
      <w:i/>
      <w:iCs/>
      <w:color w:val="0E2841" w:themeColor="text2"/>
      <w:sz w:val="20"/>
      <w:szCs w:val="18"/>
    </w:rPr>
  </w:style>
  <w:style w:type="paragraph" w:styleId="EndnoteText">
    <w:name w:val="endnote text"/>
    <w:basedOn w:val="Normal"/>
    <w:link w:val="EndnoteTextChar"/>
    <w:uiPriority w:val="99"/>
    <w:unhideWhenUsed/>
    <w:rsid w:val="007856DB"/>
    <w:pPr>
      <w:spacing w:after="0" w:line="240" w:lineRule="auto"/>
    </w:pPr>
    <w:rPr>
      <w:sz w:val="20"/>
      <w:szCs w:val="20"/>
    </w:rPr>
  </w:style>
  <w:style w:type="character" w:customStyle="1" w:styleId="EndnoteTextChar">
    <w:name w:val="Endnote Text Char"/>
    <w:basedOn w:val="DefaultParagraphFont"/>
    <w:link w:val="EndnoteText"/>
    <w:uiPriority w:val="99"/>
    <w:rsid w:val="007856DB"/>
    <w:rPr>
      <w:sz w:val="20"/>
      <w:szCs w:val="20"/>
    </w:rPr>
  </w:style>
  <w:style w:type="character" w:styleId="EndnoteReference">
    <w:name w:val="endnote reference"/>
    <w:basedOn w:val="DefaultParagraphFont"/>
    <w:uiPriority w:val="99"/>
    <w:semiHidden/>
    <w:unhideWhenUsed/>
    <w:rsid w:val="007856DB"/>
    <w:rPr>
      <w:vertAlign w:val="superscript"/>
    </w:rPr>
  </w:style>
  <w:style w:type="character" w:styleId="Hyperlink">
    <w:name w:val="Hyperlink"/>
    <w:basedOn w:val="DefaultParagraphFont"/>
    <w:uiPriority w:val="99"/>
    <w:unhideWhenUsed/>
    <w:rsid w:val="00293226"/>
    <w:rPr>
      <w:color w:val="467886" w:themeColor="hyperlink"/>
      <w:u w:val="single"/>
    </w:rPr>
  </w:style>
  <w:style w:type="character" w:styleId="UnresolvedMention">
    <w:name w:val="Unresolved Mention"/>
    <w:basedOn w:val="DefaultParagraphFont"/>
    <w:uiPriority w:val="99"/>
    <w:semiHidden/>
    <w:unhideWhenUsed/>
    <w:rsid w:val="00293226"/>
    <w:rPr>
      <w:color w:val="605E5C"/>
      <w:shd w:val="clear" w:color="auto" w:fill="E1DFDD"/>
    </w:rPr>
  </w:style>
  <w:style w:type="paragraph" w:styleId="NormalWeb">
    <w:name w:val="Normal (Web)"/>
    <w:basedOn w:val="Normal"/>
    <w:unhideWhenUsed/>
    <w:rsid w:val="0006016B"/>
    <w:rPr>
      <w:rFonts w:ascii="Times New Roman" w:hAnsi="Times New Roman" w:cs="Times New Roman"/>
      <w:sz w:val="24"/>
      <w:szCs w:val="24"/>
    </w:rPr>
  </w:style>
  <w:style w:type="paragraph" w:styleId="TOCHeading">
    <w:name w:val="TOC Heading"/>
    <w:basedOn w:val="Heading1"/>
    <w:next w:val="Normal"/>
    <w:uiPriority w:val="39"/>
    <w:unhideWhenUsed/>
    <w:qFormat/>
    <w:rsid w:val="0006016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14F8D"/>
    <w:pPr>
      <w:tabs>
        <w:tab w:val="right" w:leader="dot" w:pos="9016"/>
      </w:tabs>
      <w:spacing w:after="100"/>
    </w:pPr>
    <w:rPr>
      <w:rFonts w:ascii="Times New Roman" w:hAnsi="Times New Roman" w:cs="Times New Roman"/>
      <w:noProof/>
    </w:rPr>
  </w:style>
  <w:style w:type="paragraph" w:styleId="TOC2">
    <w:name w:val="toc 2"/>
    <w:basedOn w:val="Normal"/>
    <w:next w:val="Normal"/>
    <w:autoRedefine/>
    <w:uiPriority w:val="39"/>
    <w:unhideWhenUsed/>
    <w:rsid w:val="0006016B"/>
    <w:pPr>
      <w:spacing w:after="100"/>
      <w:ind w:left="220"/>
    </w:pPr>
  </w:style>
  <w:style w:type="paragraph" w:styleId="TOC3">
    <w:name w:val="toc 3"/>
    <w:basedOn w:val="Normal"/>
    <w:next w:val="Normal"/>
    <w:autoRedefine/>
    <w:uiPriority w:val="39"/>
    <w:unhideWhenUsed/>
    <w:rsid w:val="0006016B"/>
    <w:pPr>
      <w:spacing w:after="100"/>
      <w:ind w:left="440"/>
    </w:pPr>
    <w:rPr>
      <w:rFonts w:eastAsiaTheme="minorEastAsia" w:cs="Times New Roman"/>
      <w:kern w:val="0"/>
      <w:lang w:eastAsia="en-GB"/>
      <w14:ligatures w14:val="none"/>
    </w:rPr>
  </w:style>
  <w:style w:type="table" w:styleId="ListTable3">
    <w:name w:val="List Table 3"/>
    <w:basedOn w:val="TableNormal"/>
    <w:uiPriority w:val="48"/>
    <w:rsid w:val="00297A6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Emphasis">
    <w:name w:val="Emphasis"/>
    <w:basedOn w:val="DefaultParagraphFont"/>
    <w:uiPriority w:val="20"/>
    <w:qFormat/>
    <w:rsid w:val="005C7AA1"/>
    <w:rPr>
      <w:i/>
      <w:iCs/>
    </w:rPr>
  </w:style>
  <w:style w:type="paragraph" w:styleId="Bibliography">
    <w:name w:val="Bibliography"/>
    <w:basedOn w:val="Normal"/>
    <w:next w:val="Normal"/>
    <w:uiPriority w:val="37"/>
    <w:unhideWhenUsed/>
    <w:rsid w:val="00014F8D"/>
    <w:pPr>
      <w:ind w:left="720" w:hanging="72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image" Target="media/image9.jpeg"/><Relationship Id="rId39" Type="http://schemas.openxmlformats.org/officeDocument/2006/relationships/image" Target="media/image17.png"/><Relationship Id="rId21" Type="http://schemas.openxmlformats.org/officeDocument/2006/relationships/image" Target="media/image6.png"/><Relationship Id="rId34" Type="http://schemas.openxmlformats.org/officeDocument/2006/relationships/image" Target="media/image14.jpeg"/><Relationship Id="rId42" Type="http://schemas.microsoft.com/office/2007/relationships/hdphoto" Target="media/hdphoto11.wdp"/><Relationship Id="rId47" Type="http://schemas.openxmlformats.org/officeDocument/2006/relationships/image" Target="media/image21.png"/><Relationship Id="rId50"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image" Target="media/image11.png"/><Relationship Id="rId11" Type="http://schemas.openxmlformats.org/officeDocument/2006/relationships/image" Target="media/image2.png"/><Relationship Id="rId24" Type="http://schemas.openxmlformats.org/officeDocument/2006/relationships/image" Target="media/image8.png"/><Relationship Id="rId32" Type="http://schemas.microsoft.com/office/2007/relationships/hdphoto" Target="media/hdphoto7.wdp"/><Relationship Id="rId37" Type="http://schemas.openxmlformats.org/officeDocument/2006/relationships/image" Target="media/image16.png"/><Relationship Id="rId40" Type="http://schemas.microsoft.com/office/2007/relationships/hdphoto" Target="media/hdphoto10.wdp"/><Relationship Id="rId45" Type="http://schemas.openxmlformats.org/officeDocument/2006/relationships/image" Target="media/image20.png"/><Relationship Id="rId5" Type="http://schemas.openxmlformats.org/officeDocument/2006/relationships/webSettings" Target="webSettings.xml"/><Relationship Id="rId15" Type="http://schemas.microsoft.com/office/2007/relationships/hdphoto" Target="media/hdphoto2.wdp"/><Relationship Id="rId23" Type="http://schemas.microsoft.com/office/2007/relationships/hdphoto" Target="media/hdphoto3.wdp"/><Relationship Id="rId28" Type="http://schemas.microsoft.com/office/2007/relationships/hdphoto" Target="media/hdphoto5.wdp"/><Relationship Id="rId36" Type="http://schemas.microsoft.com/office/2007/relationships/hdphoto" Target="media/hdphoto8.wdp"/><Relationship Id="rId49" Type="http://schemas.openxmlformats.org/officeDocument/2006/relationships/hyperlink" Target="https://www.ebl.lmu.de/corpus/Mag/2/13/SB/23" TargetMode="External"/><Relationship Id="rId10" Type="http://schemas.openxmlformats.org/officeDocument/2006/relationships/footer" Target="footer1.xml"/><Relationship Id="rId19" Type="http://schemas.openxmlformats.org/officeDocument/2006/relationships/footer" Target="footer3.xml"/><Relationship Id="rId31" Type="http://schemas.openxmlformats.org/officeDocument/2006/relationships/image" Target="media/image12.png"/><Relationship Id="rId44" Type="http://schemas.microsoft.com/office/2007/relationships/hdphoto" Target="media/hdphoto12.wdp"/><Relationship Id="rId52"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image" Target="media/image10.png"/><Relationship Id="rId30" Type="http://schemas.microsoft.com/office/2007/relationships/hdphoto" Target="media/hdphoto6.wdp"/><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image" Target="media/image22.emf"/><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footer" Target="footer2.xml"/><Relationship Id="rId25" Type="http://schemas.microsoft.com/office/2007/relationships/hdphoto" Target="media/hdphoto4.wdp"/><Relationship Id="rId33" Type="http://schemas.openxmlformats.org/officeDocument/2006/relationships/image" Target="media/image13.jpeg"/><Relationship Id="rId38" Type="http://schemas.microsoft.com/office/2007/relationships/hdphoto" Target="media/hdphoto9.wdp"/><Relationship Id="rId46" Type="http://schemas.microsoft.com/office/2007/relationships/hdphoto" Target="media/hdphoto13.wdp"/><Relationship Id="rId20" Type="http://schemas.openxmlformats.org/officeDocument/2006/relationships/image" Target="media/image5.png"/><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F423E-BDB2-4934-8F90-9FEA94294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997</TotalTime>
  <Pages>1</Pages>
  <Words>30145</Words>
  <Characters>171832</Characters>
  <Application>Microsoft Office Word</Application>
  <DocSecurity>0</DocSecurity>
  <Lines>1431</Lines>
  <Paragraphs>403</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Introduction</vt:lpstr>
      <vt:lpstr>    Methodological Construction</vt:lpstr>
      <vt:lpstr>    Transition to Chapter 1</vt:lpstr>
      <vt:lpstr>Chapter 1. Inanna</vt:lpstr>
      <vt:lpstr>    1.1 Uruk and Emergence</vt:lpstr>
      <vt:lpstr>    1.2 Select Corpus of Inanna</vt:lpstr>
      <vt:lpstr>        The Huluppu-Tree</vt:lpstr>
      <vt:lpstr>        Inana and An</vt:lpstr>
      <vt:lpstr>        Inana and Enki</vt:lpstr>
      <vt:lpstr>        Courtship of Inanna and Dumuzi</vt:lpstr>
      <vt:lpstr>        Foundations of Inanna’s Descent </vt:lpstr>
      <vt:lpstr>    1.3 Death Before Descent</vt:lpstr>
      <vt:lpstr>    1.4 Fragmentation</vt:lpstr>
      <vt:lpstr>Chapter 2. Ištar</vt:lpstr>
      <vt:lpstr>    2.1 Transformation and Continuity</vt:lpstr>
      <vt:lpstr>    2.2 Select Corpus of Ištar</vt:lpstr>
      <vt:lpstr>        Hymn to Ištar</vt:lpstr>
      <vt:lpstr>        Syncretistic Hymn to Ištar	</vt:lpstr>
      <vt:lpstr>        Epic of Gilgamesh, Tablet VI</vt:lpstr>
      <vt:lpstr>Chapter 3. Descent to the Netherworld</vt:lpstr>
      <vt:lpstr>    3.1 Voluntary Descent and Intentional Transgression</vt:lpstr>
      <vt:lpstr>    3.2 The Undiscovered Country</vt:lpstr>
      <vt:lpstr>    3.3 Consequences</vt:lpstr>
      <vt:lpstr>    3.4 Sumerian and Akkadian Descent</vt:lpstr>
      <vt:lpstr>    3.5 Substitution, Netherworld Law, and the Price of Return</vt:lpstr>
      <vt:lpstr>    3.6 The Many Deaths of Dumuzi</vt:lpstr>
      <vt:lpstr>    3.7 Geshtinanna and Seasonal Revival</vt:lpstr>
      <vt:lpstr>Chapter 4. Anat</vt:lpstr>
      <vt:lpstr>    4.1 Blood, Synchronicity, and Emergence </vt:lpstr>
      <vt:lpstr>    4.2 Select Corpus of Anat</vt:lpstr>
      <vt:lpstr>        Anat and Aqhat</vt:lpstr>
      <vt:lpstr>        Baal Cycle, parts 1 and 2 (KTU 1.1–1.4)</vt:lpstr>
      <vt:lpstr>    4.3 Anat, Death, Descent and Substitution</vt:lpstr>
      <vt:lpstr>Chapter 5. Demeter and Persephone</vt:lpstr>
      <vt:lpstr>    5.1 Demeter</vt:lpstr>
      <vt:lpstr>    5.2 Kore/Persephone</vt:lpstr>
      <vt:lpstr>    5.3 Building a Mystery</vt:lpstr>
      <vt:lpstr>    5.4 Corpus of Demeter and Persephone</vt:lpstr>
      <vt:lpstr>        Orphic Hymn 40. Offering of Demeter Eleusinia </vt:lpstr>
      <vt:lpstr>        Rape of Proserpine </vt:lpstr>
      <vt:lpstr>    5.5 The Underworld cycle</vt:lpstr>
      <vt:lpstr>    5.6 Alternative Descents and Structural Limits</vt:lpstr>
    </vt:vector>
  </TitlesOfParts>
  <Company/>
  <LinksUpToDate>false</LinksUpToDate>
  <CharactersWithSpaces>201574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 cobb</dc:creator>
  <cp:keywords/>
  <dc:description/>
  <cp:lastModifiedBy>kyl cobb</cp:lastModifiedBy>
  <cp:revision>57</cp:revision>
  <cp:lastPrinted>2026-06-30T01:29:00Z</cp:lastPrinted>
  <dcterms:created xsi:type="dcterms:W3CDTF">2026-06-14T14:41:00Z</dcterms:created>
  <dcterms:modified xsi:type="dcterms:W3CDTF">2026-07-05T22:19:00Z</dcterms:modified>
</cp:coreProperties>
</file>