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bidi w:val="0"/>
        <w:ind w:left="0" w:right="0" w:firstLine="0"/>
        <w:jc w:val="left"/>
        <w:rPr>
          <w:rFonts w:ascii="Trebuchet MS" w:cs="Trebuchet MS" w:hAnsi="Trebuchet MS" w:eastAsia="Trebuchet MS"/>
          <w:caps w:val="0"/>
          <w:smallCaps w:val="0"/>
          <w:strike w:val="0"/>
          <w:dstrike w:val="0"/>
          <w:outline w:val="0"/>
          <w:color w:val="000000"/>
          <w:spacing w:val="0"/>
          <w:kern w:val="0"/>
          <w:position w:val="0"/>
          <w:sz w:val="24"/>
          <w:szCs w:val="24"/>
          <w:u w:val="none" w:color="000000"/>
          <w:vertAlign w:val="baseline"/>
          <w:rtl w:val="0"/>
        </w:rPr>
      </w:pPr>
      <w:r>
        <w:rPr>
          <w:rFonts w:ascii="Georgia" w:cs="Georgia" w:hAnsi="Georgia" w:eastAsia="Georgia"/>
          <w:caps w:val="0"/>
          <w:smallCaps w:val="0"/>
          <w:strike w:val="0"/>
          <w:dstrike w:val="0"/>
          <w:outline w:val="0"/>
          <w:color w:val="000000"/>
          <w:spacing w:val="0"/>
          <w:kern w:val="0"/>
          <w:position w:val="0"/>
          <w:sz w:val="21"/>
          <w:szCs w:val="21"/>
          <w:u w:val="none" w:color="000000"/>
          <w:vertAlign w:val="baseline"/>
          <w:rtl w:val="0"/>
          <w:lang w:val="en-US"/>
        </w:rPr>
        <w:drawing>
          <wp:inline distT="0" distB="0" distL="0" distR="0">
            <wp:extent cx="2877973" cy="1048512"/>
            <wp:effectExtent l="0" t="0" r="0" b="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image1.png"/>
                    <pic:cNvPicPr>
                      <a:picLocks noChangeAspect="1"/>
                    </pic:cNvPicPr>
                  </pic:nvPicPr>
                  <pic:blipFill>
                    <a:blip r:embed="rId4">
                      <a:extLst/>
                    </a:blip>
                    <a:stretch>
                      <a:fillRect/>
                    </a:stretch>
                  </pic:blipFill>
                  <pic:spPr>
                    <a:xfrm>
                      <a:off x="0" y="0"/>
                      <a:ext cx="2877973" cy="1048512"/>
                    </a:xfrm>
                    <a:prstGeom prst="rect">
                      <a:avLst/>
                    </a:prstGeom>
                    <a:ln w="19050" cap="flat">
                      <a:solidFill>
                        <a:srgbClr val="000000"/>
                      </a:solidFill>
                      <a:prstDash val="solid"/>
                      <a:round/>
                    </a:ln>
                    <a:effectLst/>
                  </pic:spPr>
                </pic:pic>
              </a:graphicData>
            </a:graphic>
          </wp:inline>
        </w:drawing>
      </w:r>
    </w:p>
    <w:p>
      <w:pPr>
        <w:pStyle w:val="Heading"/>
        <w:bidi w:val="0"/>
        <w:spacing w:before="240" w:after="60"/>
        <w:ind w:left="0" w:right="0" w:firstLine="0"/>
        <w:jc w:val="center"/>
        <w:rPr>
          <w:rFonts w:ascii="Arial" w:cs="Arial" w:hAnsi="Arial" w:eastAsia="Arial"/>
          <w:kern w:val="32"/>
          <w:sz w:val="32"/>
          <w:szCs w:val="32"/>
          <w:u w:color="000000"/>
          <w:rtl w:val="0"/>
        </w:rPr>
      </w:pPr>
      <w:r>
        <w:rPr>
          <w:rFonts w:ascii="Arial" w:hAnsi="Arial"/>
          <w:kern w:val="32"/>
          <w:sz w:val="32"/>
          <w:szCs w:val="32"/>
          <w:u w:color="000000"/>
          <w:rtl w:val="0"/>
          <w:lang w:val="en-US"/>
        </w:rPr>
        <w:t>Undergraduate assignment feedback form</w:t>
      </w:r>
    </w:p>
    <w:p>
      <w:pPr>
        <w:pStyle w:val="Default"/>
        <w:bidi w:val="0"/>
        <w:ind w:left="0" w:right="0" w:firstLine="0"/>
        <w:jc w:val="center"/>
        <w:rPr>
          <w:rFonts w:ascii="Arial" w:cs="Arial" w:hAnsi="Arial" w:eastAsia="Arial"/>
          <w:b w:val="1"/>
          <w:bCs w:val="1"/>
          <w:sz w:val="24"/>
          <w:szCs w:val="24"/>
          <w:u w:color="000000"/>
          <w:rtl w:val="0"/>
        </w:rPr>
      </w:pPr>
      <w:r>
        <w:rPr>
          <w:rFonts w:ascii="Arial" w:hAnsi="Arial"/>
          <w:b w:val="1"/>
          <w:bCs w:val="1"/>
          <w:sz w:val="24"/>
          <w:szCs w:val="24"/>
          <w:u w:color="000000"/>
          <w:rtl w:val="0"/>
          <w:lang w:val="en-US"/>
        </w:rPr>
        <w:t>(to be completed by marker)</w:t>
      </w:r>
    </w:p>
    <w:p>
      <w:pPr>
        <w:pStyle w:val="Default"/>
        <w:bidi w:val="0"/>
        <w:ind w:left="0" w:right="0" w:firstLine="0"/>
        <w:jc w:val="center"/>
        <w:rPr>
          <w:rFonts w:ascii="Arial" w:cs="Arial" w:hAnsi="Arial" w:eastAsia="Arial"/>
          <w:b w:val="1"/>
          <w:bCs w:val="1"/>
          <w:sz w:val="24"/>
          <w:szCs w:val="24"/>
          <w:u w:color="000000"/>
          <w:rtl w:val="0"/>
        </w:rPr>
      </w:pPr>
    </w:p>
    <w:p>
      <w:pPr>
        <w:pStyle w:val="Heading 3"/>
        <w:pBdr>
          <w:top w:val="nil"/>
          <w:left w:val="nil"/>
          <w:bottom w:val="nil"/>
          <w:right w:val="nil"/>
        </w:pBdr>
        <w:bidi w:val="0"/>
        <w:spacing w:before="0" w:after="0" w:line="240" w:lineRule="auto"/>
        <w:ind w:left="720" w:right="0" w:firstLine="0"/>
        <w:jc w:val="both"/>
        <w:rPr>
          <w:rFonts w:ascii="Trebuchet MS" w:cs="Trebuchet MS" w:hAnsi="Trebuchet MS" w:eastAsia="Trebuchet MS"/>
          <w:b w:val="1"/>
          <w:bCs w:val="1"/>
          <w:spacing w:val="0"/>
          <w:sz w:val="20"/>
          <w:szCs w:val="20"/>
          <w:u w:color="000000"/>
          <w:rtl w:val="0"/>
          <w:lang w:val="en-US"/>
        </w:rPr>
      </w:pPr>
    </w:p>
    <w:tbl>
      <w:tblPr>
        <w:tblW w:w="8755"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deb"/>
        <w:tblLayout w:type="fixed"/>
      </w:tblPr>
      <w:tblGrid>
        <w:gridCol w:w="4788"/>
        <w:gridCol w:w="1980"/>
        <w:gridCol w:w="1987"/>
      </w:tblGrid>
      <w:tr>
        <w:tblPrEx>
          <w:shd w:val="clear" w:color="auto" w:fill="ceddeb"/>
        </w:tblPrEx>
        <w:trPr>
          <w:trHeight w:val="700" w:hRule="atLeast"/>
        </w:trPr>
        <w:tc>
          <w:tcPr>
            <w:tcW w:type="dxa" w:w="875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center"/>
          </w:tcPr>
          <w:p>
            <w:pPr>
              <w:pStyle w:val="Body"/>
              <w:bidi w:val="0"/>
              <w:ind w:left="0" w:right="34" w:firstLine="0"/>
              <w:jc w:val="left"/>
              <w:rPr>
                <w:rtl w:val="0"/>
              </w:rPr>
            </w:pPr>
            <w:r>
              <w:rPr>
                <w:rFonts w:ascii="Calibri" w:cs="Calibri" w:hAnsi="Calibri" w:eastAsia="Calibri"/>
                <w:i w:val="1"/>
                <w:iCs w:val="1"/>
                <w:sz w:val="24"/>
                <w:szCs w:val="24"/>
                <w:u w:color="000000"/>
                <w:rtl w:val="0"/>
                <w:lang w:val="en-US"/>
              </w:rPr>
              <w:t xml:space="preserve">Student Name:   </w:t>
            </w:r>
            <w:r>
              <w:rPr>
                <w:rFonts w:ascii="Calibri" w:cs="Calibri" w:hAnsi="Calibri" w:eastAsia="Calibri"/>
                <w:i w:val="1"/>
                <w:iCs w:val="1"/>
                <w:sz w:val="30"/>
                <w:szCs w:val="30"/>
                <w:u w:color="000000"/>
                <w:rtl w:val="0"/>
                <w:lang w:val="en-US"/>
              </w:rPr>
              <w:t>MARGARET GALLAGHER</w:t>
            </w:r>
          </w:p>
        </w:tc>
      </w:tr>
      <w:tr>
        <w:tblPrEx>
          <w:shd w:val="clear" w:color="auto" w:fill="ceddeb"/>
        </w:tblPrEx>
        <w:trPr>
          <w:trHeight w:val="1700" w:hRule="atLeast"/>
        </w:trPr>
        <w:tc>
          <w:tcPr>
            <w:tcW w:type="dxa" w:w="47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center"/>
          </w:tcPr>
          <w:p>
            <w:pPr>
              <w:pStyle w:val="Body"/>
              <w:bidi w:val="0"/>
              <w:ind w:left="0" w:right="34" w:firstLine="0"/>
              <w:jc w:val="left"/>
              <w:rPr>
                <w:rFonts w:ascii="Calibri" w:cs="Calibri" w:hAnsi="Calibri" w:eastAsia="Calibri"/>
                <w:i w:val="1"/>
                <w:iCs w:val="1"/>
                <w:sz w:val="24"/>
                <w:szCs w:val="24"/>
                <w:u w:color="000000"/>
                <w:rtl w:val="0"/>
              </w:rPr>
            </w:pPr>
            <w:r>
              <w:rPr>
                <w:rFonts w:ascii="Calibri" w:cs="Calibri" w:hAnsi="Calibri" w:eastAsia="Calibri"/>
                <w:i w:val="1"/>
                <w:iCs w:val="1"/>
                <w:sz w:val="24"/>
                <w:szCs w:val="24"/>
                <w:u w:color="000000"/>
                <w:rtl w:val="0"/>
                <w:lang w:val="en-US"/>
              </w:rPr>
              <w:t xml:space="preserve">Module Code: </w:t>
            </w:r>
            <w:r>
              <w:rPr>
                <w:rFonts w:ascii="Calibri" w:cs="Calibri" w:hAnsi="Calibri" w:eastAsia="Calibri"/>
                <w:i w:val="1"/>
                <w:iCs w:val="1"/>
                <w:sz w:val="24"/>
                <w:szCs w:val="24"/>
                <w:u w:color="000000"/>
                <w:rtl w:val="0"/>
                <w:lang w:val="en-US"/>
              </w:rPr>
              <w:t xml:space="preserve"> CLAH6007</w:t>
            </w:r>
          </w:p>
          <w:p>
            <w:pPr>
              <w:pStyle w:val="Body"/>
              <w:bidi w:val="0"/>
              <w:ind w:left="0" w:right="34" w:firstLine="0"/>
              <w:jc w:val="left"/>
              <w:rPr>
                <w:rFonts w:ascii="Calibri" w:cs="Calibri" w:hAnsi="Calibri" w:eastAsia="Calibri"/>
                <w:i w:val="1"/>
                <w:iCs w:val="1"/>
                <w:sz w:val="24"/>
                <w:szCs w:val="24"/>
                <w:u w:color="000000"/>
                <w:rtl w:val="0"/>
                <w:lang w:val="en-US"/>
              </w:rPr>
            </w:pPr>
          </w:p>
          <w:p>
            <w:pPr>
              <w:pStyle w:val="Body"/>
              <w:bidi w:val="0"/>
              <w:ind w:left="0" w:right="34" w:firstLine="0"/>
              <w:jc w:val="left"/>
              <w:rPr>
                <w:rtl w:val="0"/>
              </w:rPr>
            </w:pPr>
            <w:r>
              <w:rPr>
                <w:rFonts w:ascii="Calibri" w:cs="Calibri" w:hAnsi="Calibri" w:eastAsia="Calibri"/>
                <w:i w:val="1"/>
                <w:iCs w:val="1"/>
                <w:sz w:val="24"/>
                <w:szCs w:val="24"/>
                <w:u w:color="000000"/>
                <w:rtl w:val="0"/>
                <w:lang w:val="en-US"/>
              </w:rPr>
              <w:t xml:space="preserve">Module title: </w:t>
            </w:r>
            <w:r>
              <w:rPr>
                <w:rFonts w:ascii="Calibri" w:cs="Calibri" w:hAnsi="Calibri" w:eastAsia="Calibri"/>
                <w:i w:val="1"/>
                <w:iCs w:val="1"/>
                <w:sz w:val="24"/>
                <w:szCs w:val="24"/>
                <w:u w:color="000000"/>
                <w:rtl w:val="0"/>
                <w:lang w:val="en-US"/>
              </w:rPr>
              <w:t xml:space="preserve"> West Meets East - </w:t>
            </w:r>
            <w:r>
              <w:rPr>
                <w:rFonts w:ascii="Calibri" w:cs="Calibri" w:hAnsi="Calibri" w:eastAsia="Calibri"/>
                <w:i w:val="1"/>
                <w:iCs w:val="1"/>
                <w:sz w:val="24"/>
                <w:szCs w:val="24"/>
                <w:u w:color="000000"/>
                <w:rtl w:val="0"/>
                <w:lang w:val="en-US"/>
              </w:rPr>
              <w:t>At the Borders of the Oikoumene and Beyond</w:t>
            </w:r>
          </w:p>
        </w:tc>
        <w:tc>
          <w:tcPr>
            <w:tcW w:type="dxa" w:w="3967"/>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Body"/>
              <w:bidi w:val="0"/>
              <w:ind w:left="0" w:right="34" w:firstLine="0"/>
              <w:jc w:val="left"/>
              <w:rPr>
                <w:rFonts w:ascii="Calibri" w:cs="Calibri" w:hAnsi="Calibri" w:eastAsia="Calibri"/>
                <w:i w:val="1"/>
                <w:iCs w:val="1"/>
                <w:sz w:val="24"/>
                <w:szCs w:val="24"/>
                <w:u w:color="000000"/>
                <w:rtl w:val="0"/>
              </w:rPr>
            </w:pPr>
            <w:r>
              <w:rPr>
                <w:rFonts w:ascii="Calibri" w:cs="Calibri" w:hAnsi="Calibri" w:eastAsia="Calibri"/>
                <w:i w:val="1"/>
                <w:iCs w:val="1"/>
                <w:sz w:val="24"/>
                <w:szCs w:val="24"/>
                <w:u w:color="000000"/>
                <w:rtl w:val="0"/>
                <w:lang w:val="en-US"/>
              </w:rPr>
              <w:t>Student number:</w:t>
            </w:r>
          </w:p>
          <w:p>
            <w:pPr>
              <w:pStyle w:val="Body"/>
              <w:bidi w:val="0"/>
              <w:ind w:left="0" w:right="34" w:firstLine="0"/>
              <w:jc w:val="left"/>
              <w:rPr>
                <w:rFonts w:ascii="Calibri" w:cs="Calibri" w:hAnsi="Calibri" w:eastAsia="Calibri"/>
                <w:i w:val="1"/>
                <w:iCs w:val="1"/>
                <w:sz w:val="24"/>
                <w:szCs w:val="24"/>
                <w:u w:color="000000"/>
                <w:rtl w:val="0"/>
                <w:lang w:val="en-US"/>
              </w:rPr>
            </w:pPr>
          </w:p>
          <w:p>
            <w:pPr>
              <w:pStyle w:val="Body"/>
              <w:bidi w:val="0"/>
              <w:ind w:left="0" w:right="34" w:firstLine="0"/>
              <w:jc w:val="left"/>
              <w:rPr>
                <w:rtl w:val="0"/>
              </w:rPr>
            </w:pPr>
            <w:r>
              <w:rPr>
                <w:rFonts w:ascii="Calibri" w:cs="Calibri" w:hAnsi="Calibri" w:eastAsia="Calibri"/>
                <w:i w:val="1"/>
                <w:iCs w:val="1"/>
                <w:sz w:val="24"/>
                <w:szCs w:val="24"/>
                <w:u w:color="000000"/>
                <w:rtl w:val="0"/>
                <w:lang w:val="en-US"/>
              </w:rPr>
              <w:t xml:space="preserve">    </w:t>
            </w:r>
            <w:r>
              <w:rPr>
                <w:rFonts w:ascii="Calibri" w:cs="Calibri" w:hAnsi="Calibri" w:eastAsia="Calibri"/>
                <w:i w:val="1"/>
                <w:iCs w:val="1"/>
                <w:sz w:val="34"/>
                <w:szCs w:val="34"/>
                <w:u w:color="000000"/>
                <w:rtl w:val="0"/>
                <w:lang w:val="en-US"/>
              </w:rPr>
              <w:t>1502249</w:t>
            </w:r>
          </w:p>
        </w:tc>
      </w:tr>
      <w:tr>
        <w:tblPrEx>
          <w:shd w:val="clear" w:color="auto" w:fill="ceddeb"/>
        </w:tblPrEx>
        <w:trPr>
          <w:trHeight w:val="4860" w:hRule="atLeast"/>
        </w:trPr>
        <w:tc>
          <w:tcPr>
            <w:tcW w:type="dxa" w:w="875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Calibri" w:cs="Calibri" w:hAnsi="Calibri" w:eastAsia="Calibri"/>
                <w:i w:val="1"/>
                <w:iCs w:val="1"/>
                <w:sz w:val="24"/>
                <w:szCs w:val="24"/>
                <w:u w:color="000000"/>
                <w:rtl w:val="0"/>
              </w:rPr>
            </w:pPr>
            <w:r>
              <w:rPr>
                <w:rFonts w:ascii="Calibri" w:cs="Calibri" w:hAnsi="Calibri" w:eastAsia="Calibri"/>
                <w:i w:val="1"/>
                <w:iCs w:val="1"/>
                <w:sz w:val="24"/>
                <w:szCs w:val="24"/>
                <w:u w:color="000000"/>
                <w:rtl w:val="0"/>
                <w:lang w:val="en-US"/>
              </w:rPr>
              <w:t>For completion by marker:</w:t>
            </w:r>
          </w:p>
          <w:p>
            <w:pPr>
              <w:pStyle w:val="Body"/>
              <w:spacing w:before="100" w:after="100"/>
              <w:jc w:val="left"/>
              <w:rPr>
                <w:rFonts w:ascii="Calibri" w:cs="Calibri" w:hAnsi="Calibri" w:eastAsia="Calibri"/>
                <w:i w:val="1"/>
                <w:iCs w:val="1"/>
                <w:sz w:val="24"/>
                <w:szCs w:val="24"/>
                <w:u w:color="000000"/>
              </w:rPr>
            </w:pPr>
            <w:r>
              <w:rPr>
                <w:rFonts w:ascii="Calibri" w:cs="Calibri" w:hAnsi="Calibri" w:eastAsia="Calibri"/>
                <w:i w:val="1"/>
                <w:iCs w:val="1"/>
                <w:sz w:val="24"/>
                <w:szCs w:val="24"/>
                <w:u w:color="000000"/>
                <w:rtl w:val="0"/>
                <w:lang w:val="en-US"/>
              </w:rPr>
              <w:t>Comments:</w:t>
            </w:r>
          </w:p>
          <w:p>
            <w:pPr>
              <w:pStyle w:val="Body"/>
              <w:bidi w:val="0"/>
              <w:spacing w:before="100" w:after="100"/>
              <w:ind w:left="0" w:right="0" w:firstLine="0"/>
              <w:jc w:val="left"/>
              <w:rPr>
                <w:rFonts w:ascii="Calibri" w:cs="Calibri" w:hAnsi="Calibri" w:eastAsia="Calibri"/>
                <w:i w:val="1"/>
                <w:iCs w:val="1"/>
                <w:sz w:val="24"/>
                <w:szCs w:val="24"/>
                <w:u w:color="000000"/>
                <w:rtl w:val="0"/>
                <w:lang w:val="en-US"/>
              </w:rPr>
            </w:pPr>
          </w:p>
          <w:p>
            <w:pPr>
              <w:pStyle w:val="Body"/>
              <w:bidi w:val="0"/>
              <w:spacing w:before="100" w:after="100"/>
              <w:ind w:left="0" w:right="0" w:firstLine="0"/>
              <w:jc w:val="left"/>
              <w:rPr>
                <w:rFonts w:ascii="Calibri" w:cs="Calibri" w:hAnsi="Calibri" w:eastAsia="Calibri"/>
                <w:i w:val="1"/>
                <w:iCs w:val="1"/>
                <w:sz w:val="24"/>
                <w:szCs w:val="24"/>
                <w:u w:color="000000"/>
                <w:rtl w:val="0"/>
                <w:lang w:val="en-US"/>
              </w:rPr>
            </w:pPr>
          </w:p>
          <w:p>
            <w:pPr>
              <w:pStyle w:val="Body"/>
              <w:bidi w:val="0"/>
              <w:spacing w:before="100" w:after="100"/>
              <w:ind w:left="0" w:right="0" w:firstLine="0"/>
              <w:jc w:val="left"/>
              <w:rPr>
                <w:rFonts w:ascii="Calibri" w:cs="Calibri" w:hAnsi="Calibri" w:eastAsia="Calibri"/>
                <w:i w:val="1"/>
                <w:iCs w:val="1"/>
                <w:sz w:val="24"/>
                <w:szCs w:val="24"/>
                <w:u w:color="000000"/>
                <w:rtl w:val="0"/>
                <w:lang w:val="en-US"/>
              </w:rPr>
            </w:pPr>
          </w:p>
          <w:p>
            <w:pPr>
              <w:pStyle w:val="Body"/>
              <w:bidi w:val="0"/>
              <w:spacing w:before="100" w:after="100"/>
              <w:ind w:left="0" w:right="0" w:firstLine="0"/>
              <w:jc w:val="left"/>
              <w:rPr>
                <w:rFonts w:ascii="Calibri" w:cs="Calibri" w:hAnsi="Calibri" w:eastAsia="Calibri"/>
                <w:i w:val="1"/>
                <w:iCs w:val="1"/>
                <w:sz w:val="24"/>
                <w:szCs w:val="24"/>
                <w:u w:color="000000"/>
                <w:rtl w:val="0"/>
                <w:lang w:val="en-US"/>
              </w:rPr>
            </w:pPr>
          </w:p>
          <w:p>
            <w:pPr>
              <w:pStyle w:val="Body"/>
              <w:bidi w:val="0"/>
              <w:spacing w:before="100" w:after="100"/>
              <w:ind w:left="0" w:right="0" w:firstLine="0"/>
              <w:jc w:val="left"/>
              <w:rPr>
                <w:rFonts w:ascii="Calibri" w:cs="Calibri" w:hAnsi="Calibri" w:eastAsia="Calibri"/>
                <w:i w:val="1"/>
                <w:iCs w:val="1"/>
                <w:sz w:val="24"/>
                <w:szCs w:val="24"/>
                <w:u w:color="000000"/>
                <w:rtl w:val="0"/>
                <w:lang w:val="en-US"/>
              </w:rPr>
            </w:pPr>
          </w:p>
          <w:p>
            <w:pPr>
              <w:pStyle w:val="Body"/>
              <w:bidi w:val="0"/>
              <w:spacing w:before="100" w:after="100"/>
              <w:ind w:left="0" w:right="0" w:firstLine="0"/>
              <w:jc w:val="left"/>
              <w:rPr>
                <w:rFonts w:ascii="Calibri" w:cs="Calibri" w:hAnsi="Calibri" w:eastAsia="Calibri"/>
                <w:i w:val="1"/>
                <w:iCs w:val="1"/>
                <w:sz w:val="24"/>
                <w:szCs w:val="24"/>
                <w:u w:color="000000"/>
                <w:rtl w:val="0"/>
                <w:lang w:val="en-US"/>
              </w:rPr>
            </w:pPr>
          </w:p>
          <w:p>
            <w:pPr>
              <w:pStyle w:val="Body"/>
              <w:bidi w:val="0"/>
              <w:spacing w:before="100" w:after="100"/>
              <w:ind w:left="0" w:right="0" w:firstLine="0"/>
              <w:jc w:val="left"/>
              <w:rPr>
                <w:rFonts w:ascii="Calibri" w:cs="Calibri" w:hAnsi="Calibri" w:eastAsia="Calibri"/>
                <w:i w:val="1"/>
                <w:iCs w:val="1"/>
                <w:sz w:val="24"/>
                <w:szCs w:val="24"/>
                <w:u w:color="000000"/>
                <w:rtl w:val="0"/>
                <w:lang w:val="en-US"/>
              </w:rPr>
            </w:pPr>
          </w:p>
          <w:p>
            <w:pPr>
              <w:pStyle w:val="Body"/>
              <w:bidi w:val="0"/>
              <w:spacing w:before="100" w:after="100"/>
              <w:ind w:left="0" w:right="0" w:firstLine="0"/>
              <w:jc w:val="left"/>
              <w:rPr>
                <w:rFonts w:ascii="Calibri" w:cs="Calibri" w:hAnsi="Calibri" w:eastAsia="Calibri"/>
                <w:i w:val="1"/>
                <w:iCs w:val="1"/>
                <w:sz w:val="24"/>
                <w:szCs w:val="24"/>
                <w:u w:color="000000"/>
                <w:rtl w:val="0"/>
                <w:lang w:val="en-US"/>
              </w:rPr>
            </w:pPr>
          </w:p>
          <w:p>
            <w:pPr>
              <w:pStyle w:val="Body"/>
              <w:bidi w:val="0"/>
              <w:spacing w:before="100" w:after="100"/>
              <w:ind w:left="0" w:right="0" w:firstLine="0"/>
              <w:jc w:val="left"/>
              <w:rPr>
                <w:rtl w:val="0"/>
              </w:rPr>
            </w:pPr>
            <w:r>
              <w:rPr>
                <w:rFonts w:ascii="Calibri" w:cs="Calibri" w:hAnsi="Calibri" w:eastAsia="Calibri"/>
                <w:i w:val="1"/>
                <w:iCs w:val="1"/>
                <w:sz w:val="24"/>
                <w:szCs w:val="24"/>
                <w:u w:color="000000"/>
                <w:rtl w:val="0"/>
                <w:lang w:val="en-US"/>
              </w:rPr>
            </w:r>
          </w:p>
        </w:tc>
      </w:tr>
      <w:tr>
        <w:tblPrEx>
          <w:shd w:val="clear" w:color="auto" w:fill="ceddeb"/>
        </w:tblPrEx>
        <w:trPr>
          <w:trHeight w:val="352" w:hRule="atLeast"/>
        </w:trPr>
        <w:tc>
          <w:tcPr>
            <w:tcW w:type="dxa" w:w="676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center"/>
          </w:tcPr>
          <w:p>
            <w:pPr>
              <w:pStyle w:val="Body"/>
              <w:bidi w:val="0"/>
              <w:spacing w:before="100" w:after="100"/>
              <w:ind w:left="142" w:right="34" w:firstLine="0"/>
              <w:jc w:val="left"/>
              <w:rPr>
                <w:rtl w:val="0"/>
              </w:rPr>
            </w:pPr>
            <w:r>
              <w:rPr>
                <w:rFonts w:ascii="Calibri" w:cs="Calibri" w:hAnsi="Calibri" w:eastAsia="Calibri"/>
                <w:i w:val="1"/>
                <w:iCs w:val="1"/>
                <w:sz w:val="24"/>
                <w:szCs w:val="24"/>
                <w:u w:color="000000"/>
                <w:rtl w:val="0"/>
                <w:lang w:val="en-US"/>
              </w:rPr>
              <w:t>Marker</w:t>
            </w:r>
            <w:r>
              <w:rPr>
                <w:rFonts w:ascii="Calibri" w:cs="Calibri" w:hAnsi="Calibri" w:eastAsia="Calibri" w:hint="default"/>
                <w:i w:val="1"/>
                <w:iCs w:val="1"/>
                <w:sz w:val="24"/>
                <w:szCs w:val="24"/>
                <w:u w:color="000000"/>
                <w:rtl w:val="0"/>
                <w:lang w:val="en-US"/>
              </w:rPr>
              <w:t>’</w:t>
            </w:r>
            <w:r>
              <w:rPr>
                <w:rFonts w:ascii="Calibri" w:cs="Calibri" w:hAnsi="Calibri" w:eastAsia="Calibri"/>
                <w:i w:val="1"/>
                <w:iCs w:val="1"/>
                <w:sz w:val="24"/>
                <w:szCs w:val="24"/>
                <w:u w:color="000000"/>
                <w:rtl w:val="0"/>
                <w:lang w:val="en-US"/>
              </w:rPr>
              <w:t>s signature:</w:t>
            </w:r>
          </w:p>
        </w:tc>
        <w:tc>
          <w:tcPr>
            <w:tcW w:type="dxa" w:w="19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center"/>
          </w:tcPr>
          <w:p>
            <w:pPr>
              <w:pStyle w:val="Body"/>
              <w:bidi w:val="0"/>
              <w:spacing w:before="100" w:after="100"/>
              <w:ind w:left="142" w:right="34" w:firstLine="0"/>
              <w:jc w:val="left"/>
              <w:rPr>
                <w:rtl w:val="0"/>
              </w:rPr>
            </w:pPr>
            <w:r>
              <w:rPr>
                <w:rFonts w:ascii="Calibri" w:cs="Calibri" w:hAnsi="Calibri" w:eastAsia="Calibri"/>
                <w:i w:val="1"/>
                <w:iCs w:val="1"/>
                <w:sz w:val="24"/>
                <w:szCs w:val="24"/>
                <w:u w:color="000000"/>
                <w:rtl w:val="0"/>
                <w:lang w:val="en-US"/>
              </w:rPr>
              <w:t>Date:</w:t>
            </w:r>
          </w:p>
        </w:tc>
      </w:tr>
      <w:tr>
        <w:tblPrEx>
          <w:shd w:val="clear" w:color="auto" w:fill="ceddeb"/>
        </w:tblPrEx>
        <w:trPr>
          <w:trHeight w:val="860" w:hRule="atLeast"/>
        </w:trPr>
        <w:tc>
          <w:tcPr>
            <w:tcW w:type="dxa" w:w="875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center"/>
          </w:tcPr>
          <w:p>
            <w:pPr>
              <w:pStyle w:val="Body"/>
              <w:bidi w:val="0"/>
              <w:ind w:left="142" w:right="34" w:firstLine="0"/>
              <w:jc w:val="left"/>
              <w:rPr>
                <w:rFonts w:ascii="Calibri" w:cs="Calibri" w:hAnsi="Calibri" w:eastAsia="Calibri"/>
                <w:i w:val="1"/>
                <w:iCs w:val="1"/>
                <w:sz w:val="24"/>
                <w:szCs w:val="24"/>
                <w:u w:color="000000"/>
                <w:rtl w:val="0"/>
              </w:rPr>
            </w:pPr>
            <w:r>
              <w:rPr>
                <w:rFonts w:ascii="Calibri" w:cs="Calibri" w:hAnsi="Calibri" w:eastAsia="Calibri"/>
                <w:i w:val="1"/>
                <w:iCs w:val="1"/>
                <w:sz w:val="24"/>
                <w:szCs w:val="24"/>
                <w:u w:color="000000"/>
                <w:rtl w:val="0"/>
                <w:lang w:val="en-US"/>
              </w:rPr>
              <w:t xml:space="preserve">Provisional mark: </w:t>
            </w:r>
          </w:p>
          <w:p>
            <w:pPr>
              <w:pStyle w:val="Body"/>
              <w:bidi w:val="0"/>
              <w:ind w:left="142" w:right="34" w:firstLine="0"/>
              <w:jc w:val="left"/>
              <w:rPr>
                <w:rtl w:val="0"/>
              </w:rPr>
            </w:pPr>
            <w:r>
              <w:rPr>
                <w:rFonts w:ascii="Calibri" w:cs="Calibri" w:hAnsi="Calibri" w:eastAsia="Calibri"/>
                <w:b w:val="1"/>
                <w:bCs w:val="1"/>
                <w:i w:val="1"/>
                <w:iCs w:val="1"/>
                <w:sz w:val="24"/>
                <w:szCs w:val="24"/>
                <w:u w:color="000000"/>
                <w:rtl w:val="0"/>
                <w:lang w:val="en-US"/>
              </w:rPr>
              <w:t>NB.</w:t>
            </w:r>
            <w:r>
              <w:rPr>
                <w:rFonts w:ascii="Calibri" w:cs="Calibri" w:hAnsi="Calibri" w:eastAsia="Calibri"/>
                <w:i w:val="1"/>
                <w:iCs w:val="1"/>
                <w:sz w:val="24"/>
                <w:szCs w:val="24"/>
                <w:u w:color="000000"/>
                <w:rtl w:val="0"/>
                <w:lang w:val="en-US"/>
              </w:rPr>
              <w:t xml:space="preserve">  All marks are provisional until confirmed by the final examination board. </w:t>
            </w:r>
          </w:p>
        </w:tc>
      </w:tr>
    </w:tbl>
    <w:p>
      <w:pPr>
        <w:pStyle w:val="Heading 3"/>
        <w:widowControl w:val="0"/>
        <w:pBdr>
          <w:top w:val="nil"/>
          <w:left w:val="nil"/>
          <w:bottom w:val="nil"/>
          <w:right w:val="nil"/>
        </w:pBdr>
        <w:bidi w:val="0"/>
        <w:spacing w:before="0" w:after="0" w:line="240" w:lineRule="auto"/>
        <w:ind w:left="108" w:right="0" w:hanging="108"/>
        <w:jc w:val="left"/>
        <w:rPr>
          <w:rFonts w:ascii="Trebuchet MS" w:cs="Trebuchet MS" w:hAnsi="Trebuchet MS" w:eastAsia="Trebuchet MS"/>
          <w:b w:val="1"/>
          <w:bCs w:val="1"/>
          <w:spacing w:val="0"/>
          <w:sz w:val="20"/>
          <w:szCs w:val="20"/>
          <w:u w:color="000000"/>
          <w:rtl w:val="0"/>
          <w:lang w:val="en-US"/>
        </w:rPr>
      </w:pPr>
    </w:p>
    <w:p>
      <w:pPr>
        <w:pStyle w:val="Heading 3"/>
        <w:widowControl w:val="0"/>
        <w:pBdr>
          <w:top w:val="nil"/>
          <w:left w:val="nil"/>
          <w:bottom w:val="nil"/>
          <w:right w:val="nil"/>
        </w:pBdr>
        <w:bidi w:val="0"/>
        <w:spacing w:before="0" w:after="0" w:line="240" w:lineRule="auto"/>
        <w:ind w:left="0" w:right="0" w:firstLine="0"/>
        <w:jc w:val="both"/>
        <w:rPr>
          <w:rFonts w:ascii="Trebuchet MS" w:cs="Trebuchet MS" w:hAnsi="Trebuchet MS" w:eastAsia="Trebuchet MS"/>
          <w:b w:val="1"/>
          <w:bCs w:val="1"/>
          <w:spacing w:val="0"/>
          <w:sz w:val="20"/>
          <w:szCs w:val="20"/>
          <w:u w:color="000000"/>
          <w:rtl w:val="0"/>
          <w:lang w:val="en-US"/>
        </w:rPr>
      </w:pPr>
    </w:p>
    <w:p>
      <w:pPr>
        <w:pStyle w:val="Body"/>
        <w:rPr>
          <w:rFonts w:ascii="Verdana" w:cs="Verdana" w:hAnsi="Verdana" w:eastAsia="Verdana"/>
          <w:sz w:val="24"/>
          <w:szCs w:val="24"/>
        </w:rPr>
      </w:pPr>
    </w:p>
    <w:p>
      <w:pPr>
        <w:pStyle w:val="Body"/>
        <w:rPr>
          <w:rFonts w:ascii="Verdana" w:cs="Verdana" w:hAnsi="Verdana" w:eastAsia="Verdana"/>
          <w:sz w:val="24"/>
          <w:szCs w:val="24"/>
        </w:rPr>
      </w:pPr>
    </w:p>
    <w:p>
      <w:pPr>
        <w:pStyle w:val="Body"/>
        <w:rPr>
          <w:rFonts w:ascii="Verdana" w:cs="Verdana" w:hAnsi="Verdana" w:eastAsia="Verdana"/>
          <w:sz w:val="24"/>
          <w:szCs w:val="24"/>
        </w:rPr>
      </w:pPr>
    </w:p>
    <w:p>
      <w:pPr>
        <w:pStyle w:val="Body"/>
        <w:rPr>
          <w:rFonts w:ascii="Verdana" w:cs="Verdana" w:hAnsi="Verdana" w:eastAsia="Verdana"/>
          <w:sz w:val="24"/>
          <w:szCs w:val="24"/>
        </w:rPr>
      </w:pP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Topic: Critically discuss how Philostratus</w:t>
      </w:r>
      <w:r>
        <w:rPr>
          <w:rFonts w:ascii="Verdana" w:hAnsi="Verdana" w:hint="default"/>
          <w:sz w:val="24"/>
          <w:szCs w:val="24"/>
          <w:rtl w:val="0"/>
          <w:lang w:val="en-US"/>
        </w:rPr>
        <w:t xml:space="preserve">’ </w:t>
      </w:r>
      <w:r>
        <w:rPr>
          <w:rFonts w:ascii="Verdana" w:hAnsi="Verdana"/>
          <w:sz w:val="24"/>
          <w:szCs w:val="24"/>
          <w:rtl w:val="0"/>
          <w:lang w:val="en-US"/>
        </w:rPr>
        <w:t>representation of India in The Life of Apollonius of Tyana suits the purposes of his work.</w:t>
      </w:r>
    </w:p>
    <w:p>
      <w:pPr>
        <w:pStyle w:val="Body"/>
        <w:rPr>
          <w:rFonts w:ascii="Verdana" w:cs="Verdana" w:hAnsi="Verdana" w:eastAsia="Verdana"/>
          <w:sz w:val="24"/>
          <w:szCs w:val="24"/>
        </w:rPr>
      </w:pPr>
      <w:r>
        <w:rPr>
          <w:rFonts w:ascii="Verdana" w:hAnsi="Verdana" w:hint="default"/>
          <w:sz w:val="24"/>
          <w:szCs w:val="24"/>
          <w:rtl w:val="0"/>
          <w:lang w:val="en-US"/>
        </w:rPr>
        <w:t>…………………………………………………………………………………………………………………………………</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Assessing the personal and/or motivations behind the actions of an individual who lived nearly 2000 years ago is a task fraught with controversy.  The sources available, both academic and otherwise, are often diametrically opposed to each other, whether they are 4th century or 21st.   So, to present a view of this aspect of Philostratus</w:t>
      </w:r>
      <w:r>
        <w:rPr>
          <w:rFonts w:ascii="Verdana" w:hAnsi="Verdana" w:hint="default"/>
          <w:sz w:val="24"/>
          <w:szCs w:val="24"/>
          <w:rtl w:val="0"/>
          <w:lang w:val="en-US"/>
        </w:rPr>
        <w:t xml:space="preserve">’ </w:t>
      </w:r>
      <w:r>
        <w:rPr>
          <w:rFonts w:ascii="Verdana" w:hAnsi="Verdana"/>
          <w:sz w:val="24"/>
          <w:szCs w:val="24"/>
          <w:rtl w:val="0"/>
          <w:lang w:val="en-US"/>
        </w:rPr>
        <w:t xml:space="preserve">biography of Apollonius is not just to consider his motivations, but that of the people whose words and/or research we have to rely on - and it also involves bringing our own view into the mix, because it cannot but have an effect on which sources seem most relevant and accurate.  </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The biography of Apollonius has been assessed and criticised many times over the centuries, not least with respect to what, if anything, may be the truth.  Questions about whether Apollonius went to India, whether he was a magus, a magician or a fake (or an initiate..), whether he was even a real person; and whether Damis, his diarist, was a real person and his diary a real document.  Also whether any of what Philostratus wrote was true beyond the biographical - or was it a novel, or even an allegory? Which then leads to why Philostratus wrote it - and how he wrote it, and thus why he represented India as he did.  </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The first issue to address is whether Apollonius was actually a real person.  There is not a lot of existing material from his times, but after his lifetime he was written about or referred to by others - not just Philostratus.  Moeragenes also wrote about him, although Philostratus criticises this work, recommending that people not read it.  Origen (Raynor, 1984) mentions Moeragenes</w:t>
      </w:r>
      <w:r>
        <w:rPr>
          <w:rFonts w:ascii="Verdana" w:hAnsi="Verdana" w:hint="default"/>
          <w:sz w:val="24"/>
          <w:szCs w:val="24"/>
          <w:rtl w:val="0"/>
          <w:lang w:val="en-US"/>
        </w:rPr>
        <w:t xml:space="preserve">’ </w:t>
      </w:r>
      <w:r>
        <w:rPr>
          <w:rFonts w:ascii="Verdana" w:hAnsi="Verdana"/>
          <w:sz w:val="24"/>
          <w:szCs w:val="24"/>
          <w:rtl w:val="0"/>
          <w:lang w:val="en-US"/>
        </w:rPr>
        <w:t>work as having positively mentioned Apollonius</w:t>
      </w:r>
      <w:r>
        <w:rPr>
          <w:rFonts w:ascii="Verdana" w:hAnsi="Verdana" w:hint="default"/>
          <w:sz w:val="24"/>
          <w:szCs w:val="24"/>
          <w:rtl w:val="0"/>
          <w:lang w:val="en-US"/>
        </w:rPr>
        <w:t xml:space="preserve">’ </w:t>
      </w:r>
      <w:r>
        <w:rPr>
          <w:rFonts w:ascii="Verdana" w:hAnsi="Verdana"/>
          <w:sz w:val="24"/>
          <w:szCs w:val="24"/>
          <w:rtl w:val="0"/>
          <w:lang w:val="en-US"/>
        </w:rPr>
        <w:t xml:space="preserve">so-called magical powers and how he used them to great effect.  There is disagreement as to whether this then was a criticism of him for having the evil powers of a sorcerer or the superior powers of someone with the favour of the gods, particularly between the Christian writers and the non-Christians.  So his actual existence seems not to have been a source of contention during the early centuries after his death and neither were his writings.  </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Damis</w:t>
      </w:r>
      <w:r>
        <w:rPr>
          <w:rFonts w:ascii="Verdana" w:hAnsi="Verdana" w:hint="default"/>
          <w:sz w:val="24"/>
          <w:szCs w:val="24"/>
          <w:rtl w:val="0"/>
          <w:lang w:val="en-US"/>
        </w:rPr>
        <w:t xml:space="preserve">’ </w:t>
      </w:r>
      <w:r>
        <w:rPr>
          <w:rFonts w:ascii="Verdana" w:hAnsi="Verdana"/>
          <w:sz w:val="24"/>
          <w:szCs w:val="24"/>
          <w:rtl w:val="0"/>
          <w:lang w:val="en-US"/>
        </w:rPr>
        <w:t>existence is a little more difficult to assess.  Certainly the existence of a trusty, but not-as-clever-as-the-hero side-kick is both a much used literary device, and a real thing.  Frodo and Samwise, and Boswell and Johnson being well-known examples of each.  So it is conceivable that he could have existed, travelled with Apollonius, and been in awe of his friend sufficiently to want to write of him, and of their travels.  But from what we know from Philostratus</w:t>
      </w:r>
      <w:r>
        <w:rPr>
          <w:rFonts w:ascii="Verdana" w:hAnsi="Verdana" w:hint="default"/>
          <w:sz w:val="24"/>
          <w:szCs w:val="24"/>
          <w:rtl w:val="0"/>
          <w:lang w:val="en-US"/>
        </w:rPr>
        <w:t xml:space="preserve">’ </w:t>
      </w:r>
      <w:r>
        <w:rPr>
          <w:rFonts w:ascii="Verdana" w:hAnsi="Verdana"/>
          <w:sz w:val="24"/>
          <w:szCs w:val="24"/>
          <w:rtl w:val="0"/>
          <w:lang w:val="en-US"/>
        </w:rPr>
        <w:t>subsequent biography, Damis</w:t>
      </w:r>
      <w:r>
        <w:rPr>
          <w:rFonts w:ascii="Verdana" w:hAnsi="Verdana" w:hint="default"/>
          <w:sz w:val="24"/>
          <w:szCs w:val="24"/>
          <w:rtl w:val="0"/>
          <w:lang w:val="en-US"/>
        </w:rPr>
        <w:t xml:space="preserve">’ </w:t>
      </w:r>
      <w:r>
        <w:rPr>
          <w:rFonts w:ascii="Verdana" w:hAnsi="Verdana"/>
          <w:sz w:val="24"/>
          <w:szCs w:val="24"/>
          <w:rtl w:val="0"/>
          <w:lang w:val="en-US"/>
        </w:rPr>
        <w:t>grasp of geography, especially beyond the reach of the land crossed or settled by Alexander</w:t>
      </w:r>
      <w:r>
        <w:rPr>
          <w:rFonts w:ascii="Verdana" w:hAnsi="Verdana" w:hint="default"/>
          <w:sz w:val="24"/>
          <w:szCs w:val="24"/>
          <w:rtl w:val="0"/>
          <w:lang w:val="en-US"/>
        </w:rPr>
        <w:t>’</w:t>
      </w:r>
      <w:r>
        <w:rPr>
          <w:rFonts w:ascii="Verdana" w:hAnsi="Verdana"/>
          <w:sz w:val="24"/>
          <w:szCs w:val="24"/>
          <w:rtl w:val="0"/>
          <w:lang w:val="en-US"/>
        </w:rPr>
        <w:t>s armies (De Priaulx 1873), is negligible.  This could perhaps be because he was there but had no real idea, or because he was not there and made it up/guessed - or that he did not exist and Philostratus made it up.  Or maybe that he wrote about it some time after the event, rather than during it, and his memory was not clear on detail or chronology.  There are many possibilities.  The only mention of Damis that is known of, is in Philostratus</w:t>
      </w:r>
      <w:r>
        <w:rPr>
          <w:rFonts w:ascii="Verdana" w:hAnsi="Verdana" w:hint="default"/>
          <w:sz w:val="24"/>
          <w:szCs w:val="24"/>
          <w:rtl w:val="0"/>
          <w:lang w:val="en-US"/>
        </w:rPr>
        <w:t xml:space="preserve">’ </w:t>
      </w:r>
      <w:r>
        <w:rPr>
          <w:rFonts w:ascii="Verdana" w:hAnsi="Verdana"/>
          <w:sz w:val="24"/>
          <w:szCs w:val="24"/>
          <w:rtl w:val="0"/>
          <w:lang w:val="en-US"/>
        </w:rPr>
        <w:t xml:space="preserve">work, so this then leads back to questioning how much of what Philostratus says about Damis and his work was true - or was he only a fictional device to add credibility to the story.  Certainly this kind of fiction was not unusual in ancient times (Beck 2003).  The use of story and metaphor to describe a spiritual journey is a very common one, from the earliest times, so it is not without precedent, if is indeed this kind of fiction. </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However, if we choose to believe the story of Damis</w:t>
      </w:r>
      <w:r>
        <w:rPr>
          <w:rFonts w:ascii="Verdana" w:hAnsi="Verdana" w:hint="default"/>
          <w:sz w:val="24"/>
          <w:szCs w:val="24"/>
          <w:rtl w:val="0"/>
          <w:lang w:val="en-US"/>
        </w:rPr>
        <w:t xml:space="preserve">’ </w:t>
      </w:r>
      <w:r>
        <w:rPr>
          <w:rFonts w:ascii="Verdana" w:hAnsi="Verdana"/>
          <w:sz w:val="24"/>
          <w:szCs w:val="24"/>
          <w:rtl w:val="0"/>
          <w:lang w:val="en-US"/>
        </w:rPr>
        <w:t>diary and thus give some credence to the contents, Philostratus</w:t>
      </w:r>
      <w:r>
        <w:rPr>
          <w:rFonts w:ascii="Verdana" w:hAnsi="Verdana" w:hint="default"/>
          <w:sz w:val="24"/>
          <w:szCs w:val="24"/>
          <w:rtl w:val="0"/>
          <w:lang w:val="en-US"/>
        </w:rPr>
        <w:t xml:space="preserve">’ </w:t>
      </w:r>
      <w:r>
        <w:rPr>
          <w:rFonts w:ascii="Verdana" w:hAnsi="Verdana"/>
          <w:sz w:val="24"/>
          <w:szCs w:val="24"/>
          <w:rtl w:val="0"/>
          <w:lang w:val="en-US"/>
        </w:rPr>
        <w:t>patron, Julia Domna would be a reasonable choice to be given it.  She was the wife of Emperor Septimus Severus and the mother of Emperor Caracalla, and was known to be an intellectually capable woman who brought together writers, philosophers and thinkers in to her circle.  She also, along with her husband and son, was interested in philosophy and occult science (Mead 1901) which were popular at the time.  Occult science encompassed divination, magic, dream interpretation, omens and astrology, and chief among those who had influenced Greek thought in these fields, including as part of religious belief and practice, was Pythagoras (Shure 1906).  Pythagoras</w:t>
      </w:r>
      <w:r>
        <w:rPr>
          <w:rFonts w:ascii="Verdana" w:hAnsi="Verdana" w:hint="default"/>
          <w:sz w:val="24"/>
          <w:szCs w:val="24"/>
          <w:rtl w:val="0"/>
          <w:lang w:val="en-US"/>
        </w:rPr>
        <w:t xml:space="preserve">’ </w:t>
      </w:r>
      <w:r>
        <w:rPr>
          <w:rFonts w:ascii="Verdana" w:hAnsi="Verdana"/>
          <w:sz w:val="24"/>
          <w:szCs w:val="24"/>
          <w:rtl w:val="0"/>
          <w:lang w:val="en-US"/>
        </w:rPr>
        <w:t>founded his own school and his teachings were widespread and fundamental to the lives and beliefs of a number of Greek philosophers, from Plato and Aristotle to Apollonius himself, who was known to be a Pythagorean (Mead 1901).  So information on Apollonius</w:t>
      </w:r>
      <w:r>
        <w:rPr>
          <w:rFonts w:ascii="Verdana" w:hAnsi="Verdana" w:hint="default"/>
          <w:sz w:val="24"/>
          <w:szCs w:val="24"/>
          <w:rtl w:val="0"/>
          <w:lang w:val="en-US"/>
        </w:rPr>
        <w:t xml:space="preserve">’ </w:t>
      </w:r>
      <w:r>
        <w:rPr>
          <w:rFonts w:ascii="Verdana" w:hAnsi="Verdana"/>
          <w:sz w:val="24"/>
          <w:szCs w:val="24"/>
          <w:rtl w:val="0"/>
          <w:lang w:val="en-US"/>
        </w:rPr>
        <w:t>life and teachings would have been of great interest to Julia Domna and her circle and, considering her powerful position as the Emperor</w:t>
      </w:r>
      <w:r>
        <w:rPr>
          <w:rFonts w:ascii="Verdana" w:hAnsi="Verdana" w:hint="default"/>
          <w:sz w:val="24"/>
          <w:szCs w:val="24"/>
          <w:rtl w:val="0"/>
          <w:lang w:val="en-US"/>
        </w:rPr>
        <w:t>’</w:t>
      </w:r>
      <w:r>
        <w:rPr>
          <w:rFonts w:ascii="Verdana" w:hAnsi="Verdana"/>
          <w:sz w:val="24"/>
          <w:szCs w:val="24"/>
          <w:rtl w:val="0"/>
          <w:lang w:val="en-US"/>
        </w:rPr>
        <w:t>s wife and as a keen supporter of philosophy, it would seem logical for a relative of Damis</w:t>
      </w:r>
      <w:r>
        <w:rPr>
          <w:rFonts w:ascii="Verdana" w:hAnsi="Verdana" w:hint="default"/>
          <w:sz w:val="24"/>
          <w:szCs w:val="24"/>
          <w:rtl w:val="0"/>
          <w:lang w:val="en-US"/>
        </w:rPr>
        <w:t>’</w:t>
      </w:r>
      <w:r>
        <w:rPr>
          <w:rFonts w:ascii="Verdana" w:hAnsi="Verdana"/>
          <w:sz w:val="24"/>
          <w:szCs w:val="24"/>
          <w:rtl w:val="0"/>
          <w:lang w:val="en-US"/>
        </w:rPr>
        <w:t>, to give her the manuscript for both safekeeping and study.  If she walked her talk as a student of philosophy, she would likely not have taken it without permission - but whether she would have encouraged its invention, as either an homage or a teaching tool, may be more possible.  We can</w:t>
      </w:r>
      <w:r>
        <w:rPr>
          <w:rFonts w:ascii="Verdana" w:hAnsi="Verdana" w:hint="default"/>
          <w:sz w:val="24"/>
          <w:szCs w:val="24"/>
          <w:rtl w:val="0"/>
          <w:lang w:val="en-US"/>
        </w:rPr>
        <w:t>’</w:t>
      </w:r>
      <w:r>
        <w:rPr>
          <w:rFonts w:ascii="Verdana" w:hAnsi="Verdana"/>
          <w:sz w:val="24"/>
          <w:szCs w:val="24"/>
          <w:rtl w:val="0"/>
          <w:lang w:val="en-US"/>
        </w:rPr>
        <w:t xml:space="preserve">t know whether creating a fiction, or embellishing a biography, would have been a philosophical compromise, or whether it would be seen as appropriate use of one or other of them in order to share the philosophical teachings. </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However, as Philostratus states, his sources were wider than just Damis</w:t>
      </w:r>
      <w:r>
        <w:rPr>
          <w:rFonts w:ascii="Verdana" w:hAnsi="Verdana" w:hint="default"/>
          <w:sz w:val="24"/>
          <w:szCs w:val="24"/>
          <w:rtl w:val="0"/>
          <w:lang w:val="en-US"/>
        </w:rPr>
        <w:t xml:space="preserve">’ </w:t>
      </w:r>
      <w:r>
        <w:rPr>
          <w:rFonts w:ascii="Verdana" w:hAnsi="Verdana"/>
          <w:sz w:val="24"/>
          <w:szCs w:val="24"/>
          <w:rtl w:val="0"/>
          <w:lang w:val="en-US"/>
        </w:rPr>
        <w:t>diary.  They included the story of Apollonius</w:t>
      </w:r>
      <w:r>
        <w:rPr>
          <w:rFonts w:ascii="Verdana" w:hAnsi="Verdana" w:hint="default"/>
          <w:sz w:val="24"/>
          <w:szCs w:val="24"/>
          <w:rtl w:val="0"/>
          <w:lang w:val="en-US"/>
        </w:rPr>
        <w:t xml:space="preserve">’ </w:t>
      </w:r>
      <w:r>
        <w:rPr>
          <w:rFonts w:ascii="Verdana" w:hAnsi="Verdana"/>
          <w:sz w:val="24"/>
          <w:szCs w:val="24"/>
          <w:rtl w:val="0"/>
          <w:lang w:val="en-US"/>
        </w:rPr>
        <w:t>time at Aegae, written by Maximus of Aegae although there is then a break with little information until Damis</w:t>
      </w:r>
      <w:r>
        <w:rPr>
          <w:rFonts w:ascii="Verdana" w:hAnsi="Verdana" w:hint="default"/>
          <w:sz w:val="24"/>
          <w:szCs w:val="24"/>
          <w:rtl w:val="0"/>
          <w:lang w:val="en-US"/>
        </w:rPr>
        <w:t xml:space="preserve">’ </w:t>
      </w:r>
      <w:r>
        <w:rPr>
          <w:rFonts w:ascii="Verdana" w:hAnsi="Verdana"/>
          <w:sz w:val="24"/>
          <w:szCs w:val="24"/>
          <w:rtl w:val="0"/>
          <w:lang w:val="en-US"/>
        </w:rPr>
        <w:t>time with Apollonius begins (Mead 1901), the gap seeming to have been padded by Philostratus.  Which could point toward the real existence of those two main sources, as the information in both parts of the story was more detailed and clear.  As well as these sources, Philostratus had access to some of Apollonius</w:t>
      </w:r>
      <w:r>
        <w:rPr>
          <w:rFonts w:ascii="Verdana" w:hAnsi="Verdana" w:hint="default"/>
          <w:sz w:val="24"/>
          <w:szCs w:val="24"/>
          <w:rtl w:val="0"/>
          <w:lang w:val="en-US"/>
        </w:rPr>
        <w:t xml:space="preserve">’ </w:t>
      </w:r>
      <w:r>
        <w:rPr>
          <w:rFonts w:ascii="Verdana" w:hAnsi="Verdana"/>
          <w:sz w:val="24"/>
          <w:szCs w:val="24"/>
          <w:rtl w:val="0"/>
          <w:lang w:val="en-US"/>
        </w:rPr>
        <w:t xml:space="preserve">letters as well as some of his treatises and, in addition, Philostratus wrote that he travelled to many of the shrines and temples Apollonius visited when he was studying, and later, teaching - and thus learned what he could about Apollonius from the traditions and memories held in each of the locations (Conybeare 1912).   It seems, from his writing, that he did not include India in his explorations and that he depended on his sources for much of the geographical and other local and personal information.    </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This leads then to why was this biography written - and why Philostratus was chosen to do it.  It could be a simple reason: that he was interested in Apollonius and his philosophy, and wanted to both learn more, and to share it with the wider public, as did his patron, Julia Domna.  It is possible to imagine her commissioning him to research Apollonius: the places he was revered and also his and others</w:t>
      </w:r>
      <w:r>
        <w:rPr>
          <w:rFonts w:ascii="Verdana" w:hAnsi="Verdana" w:hint="default"/>
          <w:sz w:val="24"/>
          <w:szCs w:val="24"/>
          <w:rtl w:val="0"/>
          <w:lang w:val="en-US"/>
        </w:rPr>
        <w:t xml:space="preserve">’ </w:t>
      </w:r>
      <w:r>
        <w:rPr>
          <w:rFonts w:ascii="Verdana" w:hAnsi="Verdana"/>
          <w:sz w:val="24"/>
          <w:szCs w:val="24"/>
          <w:rtl w:val="0"/>
          <w:lang w:val="en-US"/>
        </w:rPr>
        <w:t>writing, which would have taken some time - and</w:t>
      </w:r>
      <w:r>
        <w:rPr>
          <w:rFonts w:ascii="Verdana" w:hAnsi="Verdana"/>
          <w:sz w:val="24"/>
          <w:szCs w:val="24"/>
          <w:rtl w:val="0"/>
          <w:lang w:val="en-US"/>
        </w:rPr>
        <w:t xml:space="preserve"> she died before it was finished (Mead 1901)</w:t>
      </w:r>
      <w:r>
        <w:rPr>
          <w:rFonts w:ascii="Verdana" w:hAnsi="Verdana"/>
          <w:sz w:val="24"/>
          <w:szCs w:val="24"/>
          <w:rtl w:val="0"/>
          <w:lang w:val="en-US"/>
        </w:rPr>
        <w:t xml:space="preserve">.  So, it could be a hagiography of sorts - or perhaps even a teaching tool, to help bring back some of the Greek / Indian philosophy into the general Roman culture at the time and to feed into the interest and connection to pagan religious beliefs (Reville 1866).  </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It could also be something other - anything from a fiction written just for fun, which would suit Philostratus</w:t>
      </w:r>
      <w:r>
        <w:rPr>
          <w:rFonts w:ascii="Verdana" w:hAnsi="Verdana" w:hint="default"/>
          <w:sz w:val="24"/>
          <w:szCs w:val="24"/>
          <w:rtl w:val="0"/>
          <w:lang w:val="en-US"/>
        </w:rPr>
        <w:t xml:space="preserve">’ </w:t>
      </w:r>
      <w:r>
        <w:rPr>
          <w:rFonts w:ascii="Verdana" w:hAnsi="Verdana"/>
          <w:sz w:val="24"/>
          <w:szCs w:val="24"/>
          <w:rtl w:val="0"/>
          <w:lang w:val="en-US"/>
        </w:rPr>
        <w:t>known talents as an engaging, albeit usually fictional writer (Anderson 2003), to some kind of journey-related allegory (Beck 2003), or else to use travel as a motif for spiritual growth (Abraham 2014); or the creation of a travel and learning adventure designed to idealise Greek philosophy within Rome (Elsner 1997).  Or maybe it was the use of Philostratus</w:t>
      </w:r>
      <w:r>
        <w:rPr>
          <w:rFonts w:ascii="Verdana" w:hAnsi="Verdana" w:hint="default"/>
          <w:sz w:val="24"/>
          <w:szCs w:val="24"/>
          <w:rtl w:val="0"/>
          <w:lang w:val="en-US"/>
        </w:rPr>
        <w:t xml:space="preserve">’ </w:t>
      </w:r>
      <w:r>
        <w:rPr>
          <w:rFonts w:ascii="Verdana" w:hAnsi="Verdana"/>
          <w:sz w:val="24"/>
          <w:szCs w:val="24"/>
          <w:rtl w:val="0"/>
          <w:lang w:val="en-US"/>
        </w:rPr>
        <w:t>story telling skills combined with his his mentor</w:t>
      </w:r>
      <w:r>
        <w:rPr>
          <w:rFonts w:ascii="Verdana" w:hAnsi="Verdana" w:hint="default"/>
          <w:sz w:val="24"/>
          <w:szCs w:val="24"/>
          <w:rtl w:val="0"/>
          <w:lang w:val="en-US"/>
        </w:rPr>
        <w:t>’</w:t>
      </w:r>
      <w:r>
        <w:rPr>
          <w:rFonts w:ascii="Verdana" w:hAnsi="Verdana"/>
          <w:sz w:val="24"/>
          <w:szCs w:val="24"/>
          <w:rtl w:val="0"/>
          <w:lang w:val="en-US"/>
        </w:rPr>
        <w:t xml:space="preserve">s personal interest in widening the audience for the man and his philosophy because they revered him, which would mean not a fiction but a blending of sources and constructing continuity.  It is impossible to be sure, but the form of much of the content certainly seems to point towards more than just an unvarnished biography, this could be more about getting the information through to the intended audience in the right way than about deliberately rearranging history or ideas for no reason, or just for entertainment.  It would seem more logical to have the aim of continuity or coherence of narrative either way.    </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So there are a range of possible options. From t</w:t>
      </w:r>
      <w:r>
        <w:rPr>
          <w:rFonts w:ascii="Verdana" w:hAnsi="Verdana"/>
          <w:sz w:val="24"/>
          <w:szCs w:val="24"/>
          <w:rtl w:val="0"/>
          <w:lang w:val="en-US"/>
        </w:rPr>
        <w:t xml:space="preserve">he whole thing </w:t>
      </w:r>
      <w:r>
        <w:rPr>
          <w:rFonts w:ascii="Verdana" w:hAnsi="Verdana"/>
          <w:sz w:val="24"/>
          <w:szCs w:val="24"/>
          <w:rtl w:val="0"/>
          <w:lang w:val="en-US"/>
        </w:rPr>
        <w:t xml:space="preserve">being </w:t>
      </w:r>
      <w:r>
        <w:rPr>
          <w:rFonts w:ascii="Verdana" w:hAnsi="Verdana"/>
          <w:sz w:val="24"/>
          <w:szCs w:val="24"/>
          <w:rtl w:val="0"/>
          <w:lang w:val="en-US"/>
        </w:rPr>
        <w:t xml:space="preserve">created from imagination, </w:t>
      </w:r>
      <w:r>
        <w:rPr>
          <w:rFonts w:ascii="Verdana" w:hAnsi="Verdana"/>
          <w:sz w:val="24"/>
          <w:szCs w:val="24"/>
          <w:rtl w:val="0"/>
          <w:lang w:val="en-US"/>
        </w:rPr>
        <w:t xml:space="preserve">perhaps </w:t>
      </w:r>
      <w:r>
        <w:rPr>
          <w:rFonts w:ascii="Verdana" w:hAnsi="Verdana"/>
          <w:sz w:val="24"/>
          <w:szCs w:val="24"/>
          <w:rtl w:val="0"/>
          <w:lang w:val="en-US"/>
        </w:rPr>
        <w:t xml:space="preserve">using the bare bones of </w:t>
      </w:r>
      <w:r>
        <w:rPr>
          <w:rFonts w:ascii="Verdana" w:hAnsi="Verdana"/>
          <w:sz w:val="24"/>
          <w:szCs w:val="24"/>
          <w:rtl w:val="0"/>
          <w:lang w:val="en-US"/>
        </w:rPr>
        <w:t>the very little that</w:t>
      </w:r>
      <w:r>
        <w:rPr>
          <w:rFonts w:ascii="Verdana" w:hAnsi="Verdana"/>
          <w:sz w:val="24"/>
          <w:szCs w:val="24"/>
          <w:rtl w:val="0"/>
          <w:lang w:val="en-US"/>
        </w:rPr>
        <w:t xml:space="preserve"> was generally known about Apollonius at the time, for the pure entertainment of reading weird things about faraway places, the wildlife and inhabitants, a</w:t>
      </w:r>
      <w:r>
        <w:rPr>
          <w:rFonts w:ascii="Verdana" w:hAnsi="Verdana"/>
          <w:sz w:val="24"/>
          <w:szCs w:val="24"/>
          <w:rtl w:val="0"/>
          <w:lang w:val="en-US"/>
        </w:rPr>
        <w:t>s well as</w:t>
      </w:r>
      <w:r>
        <w:rPr>
          <w:rFonts w:ascii="Verdana" w:hAnsi="Verdana"/>
          <w:sz w:val="24"/>
          <w:szCs w:val="24"/>
          <w:rtl w:val="0"/>
          <w:lang w:val="en-US"/>
        </w:rPr>
        <w:t xml:space="preserve"> weird things about magical sorcery - all of it unbelievable</w:t>
      </w:r>
      <w:r>
        <w:rPr>
          <w:rFonts w:ascii="Verdana" w:hAnsi="Verdana"/>
          <w:sz w:val="24"/>
          <w:szCs w:val="24"/>
          <w:rtl w:val="0"/>
          <w:lang w:val="en-US"/>
        </w:rPr>
        <w:t xml:space="preserve"> to most, and considered fiction</w:t>
      </w:r>
      <w:r>
        <w:rPr>
          <w:rFonts w:ascii="Verdana" w:hAnsi="Verdana"/>
          <w:sz w:val="24"/>
          <w:szCs w:val="24"/>
          <w:rtl w:val="0"/>
          <w:lang w:val="en-US"/>
        </w:rPr>
        <w:t>, but entertaining.</w:t>
      </w:r>
      <w:r>
        <w:rPr>
          <w:rFonts w:ascii="Verdana" w:hAnsi="Verdana"/>
          <w:sz w:val="24"/>
          <w:szCs w:val="24"/>
          <w:rtl w:val="0"/>
          <w:lang w:val="en-US"/>
        </w:rPr>
        <w:t xml:space="preserve">  To an unvarnished honest biography of a deeply spiritual philosopher, based as closely as possible to the named sources, taking all on trust.  </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Or, perhaps something in between - using the basic structure of what was known of Apollonius</w:t>
      </w:r>
      <w:r>
        <w:rPr>
          <w:rFonts w:ascii="Verdana" w:hAnsi="Verdana" w:hint="default"/>
          <w:sz w:val="24"/>
          <w:szCs w:val="24"/>
          <w:rtl w:val="0"/>
          <w:lang w:val="en-US"/>
        </w:rPr>
        <w:t xml:space="preserve">’ </w:t>
      </w:r>
      <w:r>
        <w:rPr>
          <w:rFonts w:ascii="Verdana" w:hAnsi="Verdana"/>
          <w:sz w:val="24"/>
          <w:szCs w:val="24"/>
          <w:rtl w:val="0"/>
          <w:lang w:val="en-US"/>
        </w:rPr>
        <w:t xml:space="preserve">life, from records and research.  His travels, with important events described, perhaps having been selected by Philostratus from what was available within the information he gathered (which may also have been selectively chosen by those who originally recorded it, either deliberately or from faded memory), along with: some accurate, but mostly guesswork geography of the journey, based on minimal knowledge of the outer edges of the oikoumene; strange descriptions of unknown wildlife and humans, with interpretations based on what was known in the Greek and Roman world; descriptions of various miracles, including healing and precognition; philosophical dialogues, created in order to engage the intended readers, while aiming to instruct, often with Damis as the student in the exchange.  </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This is a plausible compromise.  It is not likely that Damis could have taken dictation during Apollonius</w:t>
      </w:r>
      <w:r>
        <w:rPr>
          <w:rFonts w:ascii="Verdana" w:hAnsi="Verdana" w:hint="default"/>
          <w:sz w:val="24"/>
          <w:szCs w:val="24"/>
          <w:rtl w:val="0"/>
          <w:lang w:val="en-US"/>
        </w:rPr>
        <w:t xml:space="preserve">’ </w:t>
      </w:r>
      <w:r>
        <w:rPr>
          <w:rFonts w:ascii="Verdana" w:hAnsi="Verdana"/>
          <w:sz w:val="24"/>
          <w:szCs w:val="24"/>
          <w:rtl w:val="0"/>
          <w:lang w:val="en-US"/>
        </w:rPr>
        <w:t xml:space="preserve">conversations, yet many are related.  So, he may have reconstructed them from memory as dialogue.  Or perhaps Philostratus could have constructed the dialogues as he worked with the diaries, based on concepts described by Damis, to make an instructive point using a familiar technique within the culture.  There could have been an aim for the spirit, if not always the literal truth of events - bearing in mind that guesswork and interpretation would have to be part of the process, where lack of knowledge or understanding hindered accuracy and narrative flow - whether for the source writers, or Philostratus.  </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And so we come to India.  Why India, and why was it described as it was?  </w:t>
      </w:r>
      <w:r>
        <w:rPr>
          <w:rFonts w:ascii="Verdana" w:hAnsi="Verdana" w:hint="default"/>
          <w:sz w:val="24"/>
          <w:szCs w:val="24"/>
          <w:rtl w:val="0"/>
          <w:lang w:val="en-US"/>
        </w:rPr>
        <w:t>‘</w:t>
      </w:r>
      <w:r>
        <w:rPr>
          <w:rFonts w:ascii="Verdana" w:hAnsi="Verdana"/>
          <w:sz w:val="24"/>
          <w:szCs w:val="24"/>
          <w:rtl w:val="0"/>
          <w:lang w:val="en-US"/>
        </w:rPr>
        <w:t>Why India?</w:t>
      </w:r>
      <w:r>
        <w:rPr>
          <w:rFonts w:ascii="Verdana" w:hAnsi="Verdana" w:hint="default"/>
          <w:sz w:val="24"/>
          <w:szCs w:val="24"/>
          <w:rtl w:val="0"/>
          <w:lang w:val="en-US"/>
        </w:rPr>
        <w:t xml:space="preserve">’ </w:t>
      </w:r>
      <w:r>
        <w:rPr>
          <w:rFonts w:ascii="Verdana" w:hAnsi="Verdana"/>
          <w:sz w:val="24"/>
          <w:szCs w:val="24"/>
          <w:rtl w:val="0"/>
          <w:lang w:val="en-US"/>
        </w:rPr>
        <w:t xml:space="preserve">is an age-old story that is still the case today.  Back then it was one of the two main places that spiritual seekers went to learn spiritual truths, and for some to also become initiated into the esoteric mysteries (Mead 1901).  Certainly, in more recent times, from 100 years or so ago until the present era, India remains a major site of pilgrimage for serious seekers coming from western cultures (Spalding 1924, Dass 1971).  And it was believed by the Greeks that Pythagoras also made the journey (Shure 1906) so, for someone like Apollonius, who was very serious about his vocation and purpose, as a Pythagorean by belief and practice (Philostratus 1912), it was obvious that he would go to all the logical spiritual or religious centres in the known world which were linked to Pythagoras or his philosophy, as detailed in the biography - and that would most definitely include both Egypt and India.  As is stated throughout the story of his journey, he found that nobody was properly keeping up the practices or knew their philosophy with any real depth of understanding. The only place where that original knowledge and pure practice remained, was India and he chose to go there in the hope that, at the very least he would meet with his equals and, hopefully that he would learn and would deepen his practice.  So, while it might be thought that going to India was a metaphor of some kind (Abraham 2014), for a many people then, as now, it is a real and life-changing journey.  </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India was also of great interest to many in the Roman empire being, as it was, on the eastern frontier of the territory conquered by Alexander, a destination of travel and learning for Pythagoras and others, and a place where many exotic goods were obtained via trade.  So there may well have been many stories of strange people and creatures known to people already, and there was already at least a few hundred years of connection with and interest in India, coupled with human fascination with distant and exotic places.  Places which most people were not able to visit and about which almost anything could be said or written without fear.   So the description of India itself was another thing altogether from the philosophical standpoint, and what was written about it could well have been the result of a number of things - from ignorance and guesswork to crowd-pleasing, via history and the Greek connection.   </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Firstly, there is the strong possibility that at least some of what was written by Philostratus was taken directly from his sources, which may have been incorrect.  Possibly Damis</w:t>
      </w:r>
      <w:r>
        <w:rPr>
          <w:rFonts w:ascii="Verdana" w:hAnsi="Verdana" w:hint="default"/>
          <w:sz w:val="24"/>
          <w:szCs w:val="24"/>
          <w:rtl w:val="0"/>
          <w:lang w:val="en-US"/>
        </w:rPr>
        <w:t xml:space="preserve">’ </w:t>
      </w:r>
      <w:r>
        <w:rPr>
          <w:rFonts w:ascii="Verdana" w:hAnsi="Verdana"/>
          <w:sz w:val="24"/>
          <w:szCs w:val="24"/>
          <w:rtl w:val="0"/>
          <w:lang w:val="en-US"/>
        </w:rPr>
        <w:t xml:space="preserve">diary owed a lot to what was known about the geography of the area around and in parts of India, thanks to those who had gone before, most particularly Alexander.  So some, certainly, was accurate.  But beyond the well-known Alexandrian paths the accuracy fails.  Whether by lack of understanding, changes in knowledge or by misinterpretation or just plain guessing.  Knowledge and naming has changed as well.  The crossing of the Caucasus was not incorrect, as we may think, as the name extended down to the Hindu Kush in those times.  The description of amazing beasts would have created great interest, but at least some would have been a result of trying to describe an unknown creature in terms of what was previously known.  A rhinoceros might well have been mistaken for a one-horned bull. (Certainly when Australia was </w:t>
      </w:r>
      <w:r>
        <w:rPr>
          <w:rFonts w:ascii="Verdana" w:hAnsi="Verdana" w:hint="default"/>
          <w:sz w:val="24"/>
          <w:szCs w:val="24"/>
          <w:rtl w:val="0"/>
          <w:lang w:val="en-US"/>
        </w:rPr>
        <w:t>‘</w:t>
      </w:r>
      <w:r>
        <w:rPr>
          <w:rFonts w:ascii="Verdana" w:hAnsi="Verdana"/>
          <w:sz w:val="24"/>
          <w:szCs w:val="24"/>
          <w:rtl w:val="0"/>
          <w:lang w:val="en-US"/>
        </w:rPr>
        <w:t>discovered</w:t>
      </w:r>
      <w:r>
        <w:rPr>
          <w:rFonts w:ascii="Verdana" w:hAnsi="Verdana" w:hint="default"/>
          <w:sz w:val="24"/>
          <w:szCs w:val="24"/>
          <w:rtl w:val="0"/>
          <w:lang w:val="en-US"/>
        </w:rPr>
        <w:t xml:space="preserve">’ </w:t>
      </w:r>
      <w:r>
        <w:rPr>
          <w:rFonts w:ascii="Verdana" w:hAnsi="Verdana"/>
          <w:sz w:val="24"/>
          <w:szCs w:val="24"/>
          <w:rtl w:val="0"/>
          <w:lang w:val="en-US"/>
        </w:rPr>
        <w:t xml:space="preserve">there was much disbelief and confusion around the description of the fauna, yet they were all accurate..)  The strange people, the exotic animals - all could be part truth and part enhanced or guessed, without real concern for veracity, because it was local colour, and not germane to the central theme - the life of the man himself.  An interesting and exotic background to the journey was part of making it accessible and interesting.   </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The other and most important feature of the description of India was the close entanglement between it and Greece, with Greece coming out as superior in most interactions.  The shared gods, and shared religious and philosophical ideas, seemingly from at least the time of Pythagoras.  The connection also to Alexander and his army, and those left behind after it was all over.  The regular discovery of people who spoke and revered Greek and the Greeks, and the Greek gods, which were still very much part of the pantheon at that time.  This brings familiarity for the reader and a link to the highest ideals and history of home.  Again this is key to connecting with anyone from the empire who would read it - engaging them at the level of their heritage and pride, their gods and philosophies and then linking it to the exotic and excitingly unfamiliar in a way that makes it feel more familiar than it would otherwise.  Like the idea of centre and periphery - making the periphery more central..</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For someone like Julia, who may have been aiming to bring the life and philosophies of Apollonius into more public awareness for her and her son</w:t>
      </w:r>
      <w:r>
        <w:rPr>
          <w:rFonts w:ascii="Verdana" w:hAnsi="Verdana" w:hint="default"/>
          <w:sz w:val="24"/>
          <w:szCs w:val="24"/>
          <w:rtl w:val="0"/>
          <w:lang w:val="en-US"/>
        </w:rPr>
        <w:t>’</w:t>
      </w:r>
      <w:r>
        <w:rPr>
          <w:rFonts w:ascii="Verdana" w:hAnsi="Verdana"/>
          <w:sz w:val="24"/>
          <w:szCs w:val="24"/>
          <w:rtl w:val="0"/>
          <w:lang w:val="en-US"/>
        </w:rPr>
        <w:t>s generation, in the hope perhaps of inspiring them to greater and more moral thought and behaviour, the making of the distant and exotic source of the deepest of Pythagoras</w:t>
      </w:r>
      <w:r>
        <w:rPr>
          <w:rFonts w:ascii="Verdana" w:hAnsi="Verdana" w:hint="default"/>
          <w:sz w:val="24"/>
          <w:szCs w:val="24"/>
          <w:rtl w:val="0"/>
          <w:lang w:val="en-US"/>
        </w:rPr>
        <w:t xml:space="preserve">’ </w:t>
      </w:r>
      <w:r>
        <w:rPr>
          <w:rFonts w:ascii="Verdana" w:hAnsi="Verdana"/>
          <w:sz w:val="24"/>
          <w:szCs w:val="24"/>
          <w:rtl w:val="0"/>
          <w:lang w:val="en-US"/>
        </w:rPr>
        <w:t>and Apollonius</w:t>
      </w:r>
      <w:r>
        <w:rPr>
          <w:rFonts w:ascii="Verdana" w:hAnsi="Verdana" w:hint="default"/>
          <w:sz w:val="24"/>
          <w:szCs w:val="24"/>
          <w:rtl w:val="0"/>
          <w:lang w:val="en-US"/>
        </w:rPr>
        <w:t xml:space="preserve">’ </w:t>
      </w:r>
      <w:r>
        <w:rPr>
          <w:rFonts w:ascii="Verdana" w:hAnsi="Verdana"/>
          <w:sz w:val="24"/>
          <w:szCs w:val="24"/>
          <w:rtl w:val="0"/>
          <w:lang w:val="en-US"/>
        </w:rPr>
        <w:t xml:space="preserve">teaching appear to be almost an extension Greece and its influence, has to be one of the key aspects of the narrative, outside of the philosophy and life of the subject himself.  </w:t>
      </w:r>
    </w:p>
    <w:p>
      <w:pPr>
        <w:pStyle w:val="Body"/>
        <w:rPr>
          <w:rFonts w:ascii="Verdana" w:cs="Verdana" w:hAnsi="Verdana" w:eastAsia="Verdana"/>
          <w:sz w:val="24"/>
          <w:szCs w:val="24"/>
        </w:rPr>
      </w:pPr>
    </w:p>
    <w:p>
      <w:pPr>
        <w:pStyle w:val="Body"/>
        <w:rPr>
          <w:rFonts w:ascii="Verdana" w:cs="Verdana" w:hAnsi="Verdana" w:eastAsia="Verdana"/>
          <w:sz w:val="24"/>
          <w:szCs w:val="24"/>
        </w:rPr>
      </w:pPr>
    </w:p>
    <w:p>
      <w:pPr>
        <w:pStyle w:val="Body"/>
        <w:rPr>
          <w:rFonts w:ascii="Verdana" w:cs="Verdana" w:hAnsi="Verdana" w:eastAsia="Verdana"/>
          <w:sz w:val="24"/>
          <w:szCs w:val="24"/>
        </w:rPr>
      </w:pPr>
    </w:p>
    <w:p>
      <w:pPr>
        <w:pStyle w:val="Body"/>
        <w:rPr>
          <w:rFonts w:ascii="Verdana" w:cs="Verdana" w:hAnsi="Verdana" w:eastAsia="Verdana"/>
          <w:sz w:val="24"/>
          <w:szCs w:val="24"/>
        </w:rPr>
      </w:pPr>
    </w:p>
    <w:p>
      <w:pPr>
        <w:pStyle w:val="Body"/>
        <w:rPr>
          <w:rFonts w:ascii="Verdana" w:cs="Verdana" w:hAnsi="Verdana" w:eastAsia="Verdana"/>
          <w:sz w:val="24"/>
          <w:szCs w:val="24"/>
        </w:rPr>
      </w:pP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REFERENCE LIST</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Abraham, R. 2014. The Geography of Culture in Philostratus</w:t>
      </w:r>
      <w:r>
        <w:rPr>
          <w:rFonts w:ascii="Verdana" w:hAnsi="Verdana" w:hint="default"/>
          <w:sz w:val="24"/>
          <w:szCs w:val="24"/>
          <w:rtl w:val="0"/>
          <w:lang w:val="en-US"/>
        </w:rPr>
        <w:t xml:space="preserve">’ </w:t>
      </w:r>
      <w:r>
        <w:rPr>
          <w:rFonts w:ascii="Verdana" w:hAnsi="Verdana"/>
          <w:sz w:val="24"/>
          <w:szCs w:val="24"/>
          <w:rtl w:val="0"/>
          <w:lang w:val="en-US"/>
        </w:rPr>
        <w:t xml:space="preserve">Life of Apollonius of Tyana. </w:t>
      </w:r>
      <w:r>
        <w:rPr>
          <w:rFonts w:ascii="Verdana" w:hAnsi="Verdana"/>
          <w:i w:val="1"/>
          <w:iCs w:val="1"/>
          <w:sz w:val="24"/>
          <w:szCs w:val="24"/>
          <w:rtl w:val="0"/>
          <w:lang w:val="en-US"/>
        </w:rPr>
        <w:t>The Classical Journal</w:t>
      </w:r>
      <w:r>
        <w:rPr>
          <w:rFonts w:ascii="Verdana" w:hAnsi="Verdana"/>
          <w:sz w:val="24"/>
          <w:szCs w:val="24"/>
          <w:rtl w:val="0"/>
          <w:lang w:val="en-US"/>
        </w:rPr>
        <w:t xml:space="preserve"> 109(4):465-480.</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Anderson, G. 2003. </w:t>
      </w:r>
      <w:r>
        <w:rPr>
          <w:rFonts w:ascii="Verdana" w:hAnsi="Verdana"/>
          <w:sz w:val="24"/>
          <w:szCs w:val="24"/>
          <w:rtl w:val="0"/>
          <w:lang w:val="en-US"/>
        </w:rPr>
        <w:t xml:space="preserve">The Novel in the Ancient World, </w:t>
      </w:r>
      <w:r>
        <w:rPr>
          <w:rFonts w:ascii="Verdana" w:hAnsi="Verdana"/>
          <w:sz w:val="24"/>
          <w:szCs w:val="24"/>
          <w:rtl w:val="0"/>
          <w:lang w:val="en-US"/>
        </w:rPr>
        <w:t>in</w:t>
      </w:r>
      <w:r>
        <w:rPr>
          <w:rFonts w:ascii="Verdana" w:hAnsi="Verdana"/>
          <w:sz w:val="24"/>
          <w:szCs w:val="24"/>
          <w:rtl w:val="0"/>
          <w:lang w:val="de-DE"/>
        </w:rPr>
        <w:t xml:space="preserve"> G. Schmelling</w:t>
      </w:r>
      <w:r>
        <w:rPr>
          <w:rFonts w:ascii="Verdana" w:hAnsi="Verdana"/>
          <w:sz w:val="24"/>
          <w:szCs w:val="24"/>
          <w:rtl w:val="0"/>
          <w:lang w:val="en-US"/>
        </w:rPr>
        <w:t xml:space="preserve"> (ed.) </w:t>
      </w:r>
      <w:r>
        <w:rPr>
          <w:rFonts w:ascii="Verdana" w:hAnsi="Verdana"/>
          <w:i w:val="1"/>
          <w:iCs w:val="1"/>
          <w:sz w:val="24"/>
          <w:szCs w:val="24"/>
          <w:rtl w:val="0"/>
          <w:lang w:val="en-US"/>
        </w:rPr>
        <w:t>Philostratus on Apollonius of Tyana: The Unpredictable on the Unfathomable.</w:t>
      </w:r>
      <w:r>
        <w:rPr>
          <w:rFonts w:ascii="Verdana" w:hAnsi="Verdana"/>
          <w:sz w:val="24"/>
          <w:szCs w:val="24"/>
          <w:rtl w:val="0"/>
          <w:lang w:val="en-US"/>
        </w:rPr>
        <w:t xml:space="preserve"> 613-8. Boston: Brill.</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Beck, R. 2003. </w:t>
      </w:r>
      <w:r>
        <w:rPr>
          <w:rFonts w:ascii="Verdana" w:hAnsi="Verdana"/>
          <w:sz w:val="24"/>
          <w:szCs w:val="24"/>
          <w:rtl w:val="0"/>
          <w:lang w:val="en-US"/>
        </w:rPr>
        <w:t xml:space="preserve">The Novel in the Ancient World, in G. Schmelling (ed.) </w:t>
      </w:r>
      <w:r>
        <w:rPr>
          <w:rFonts w:ascii="Verdana" w:hAnsi="Verdana"/>
          <w:i w:val="1"/>
          <w:iCs w:val="1"/>
          <w:sz w:val="24"/>
          <w:szCs w:val="24"/>
          <w:rtl w:val="0"/>
          <w:lang w:val="en-US"/>
        </w:rPr>
        <w:t>Mystery Religions, Aretalogy and the Ancient Novel</w:t>
      </w:r>
      <w:r>
        <w:rPr>
          <w:rFonts w:ascii="Verdana" w:hAnsi="Verdana"/>
          <w:sz w:val="24"/>
          <w:szCs w:val="24"/>
          <w:rtl w:val="0"/>
          <w:lang w:val="en-US"/>
        </w:rPr>
        <w:t>. 131-150</w:t>
      </w:r>
      <w:r>
        <w:rPr>
          <w:rFonts w:ascii="Verdana" w:hAnsi="Verdana"/>
          <w:sz w:val="24"/>
          <w:szCs w:val="24"/>
          <w:rtl w:val="0"/>
          <w:lang w:val="en-US"/>
        </w:rPr>
        <w:t>. Boston</w:t>
      </w:r>
      <w:r>
        <w:rPr>
          <w:rFonts w:ascii="Verdana" w:hAnsi="Verdana"/>
          <w:sz w:val="24"/>
          <w:szCs w:val="24"/>
          <w:rtl w:val="0"/>
          <w:lang w:val="en-US"/>
        </w:rPr>
        <w:t>: Brill</w:t>
      </w:r>
      <w:r>
        <w:rPr>
          <w:rFonts w:ascii="Verdana" w:hAnsi="Verdana"/>
          <w:sz w:val="24"/>
          <w:szCs w:val="24"/>
          <w:rtl w:val="0"/>
        </w:rPr>
        <w:t>.</w:t>
      </w:r>
      <w:r>
        <w:rPr>
          <w:rFonts w:ascii="Verdana" w:hAnsi="Verdana"/>
          <w:sz w:val="24"/>
          <w:szCs w:val="24"/>
          <w:rtl w:val="0"/>
          <w:lang w:val="en-US"/>
        </w:rPr>
        <w:t xml:space="preserve"> </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Boter, G. 2015. The Title of Philostratus</w:t>
      </w:r>
      <w:r>
        <w:rPr>
          <w:rFonts w:ascii="Verdana" w:hAnsi="Verdana" w:hint="default"/>
          <w:sz w:val="24"/>
          <w:szCs w:val="24"/>
          <w:rtl w:val="0"/>
          <w:lang w:val="en-US"/>
        </w:rPr>
        <w:t xml:space="preserve">’ </w:t>
      </w:r>
      <w:r>
        <w:rPr>
          <w:rFonts w:ascii="Verdana" w:hAnsi="Verdana"/>
          <w:sz w:val="24"/>
          <w:szCs w:val="24"/>
          <w:rtl w:val="0"/>
          <w:lang w:val="en-US"/>
        </w:rPr>
        <w:t xml:space="preserve">Life of Apollonius of Tyana. </w:t>
      </w:r>
      <w:r>
        <w:rPr>
          <w:rFonts w:ascii="Verdana" w:hAnsi="Verdana"/>
          <w:i w:val="1"/>
          <w:iCs w:val="1"/>
          <w:sz w:val="24"/>
          <w:szCs w:val="24"/>
          <w:rtl w:val="0"/>
          <w:lang w:val="en-US"/>
        </w:rPr>
        <w:t>JHS</w:t>
      </w:r>
      <w:r>
        <w:rPr>
          <w:rFonts w:ascii="Verdana" w:hAnsi="Verdana"/>
          <w:sz w:val="24"/>
          <w:szCs w:val="24"/>
          <w:rtl w:val="0"/>
          <w:lang w:val="en-US"/>
        </w:rPr>
        <w:t xml:space="preserve"> 135:1-7.</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Dass, R. 1971. Be Here Now. New Mexico: Lama Foundation. </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De Priaulx, O.B. 1873. The Indian Travels of Apollonius of Tyana and the Indian Embassies to Rome from the Reign of Augustus to the Death of Justinian. London: Quaritch.  </w:t>
      </w:r>
    </w:p>
    <w:p>
      <w:pPr>
        <w:pStyle w:val="Body"/>
        <w:rPr>
          <w:rFonts w:ascii="Verdana" w:cs="Verdana" w:hAnsi="Verdana" w:eastAsia="Verdana"/>
          <w:sz w:val="24"/>
          <w:szCs w:val="24"/>
        </w:rPr>
      </w:pPr>
    </w:p>
    <w:p>
      <w:pPr>
        <w:pStyle w:val="Default"/>
        <w:bidi w:val="0"/>
        <w:ind w:left="0" w:right="0" w:firstLine="0"/>
        <w:jc w:val="left"/>
        <w:rPr>
          <w:rFonts w:ascii="Verdana" w:cs="Verdana" w:hAnsi="Verdana" w:eastAsia="Verdana"/>
          <w:sz w:val="24"/>
          <w:szCs w:val="24"/>
          <w:shd w:val="clear" w:color="auto" w:fill="ffffff"/>
          <w:rtl w:val="0"/>
        </w:rPr>
      </w:pPr>
      <w:r>
        <w:rPr>
          <w:rFonts w:ascii="Verdana" w:hAnsi="Verdana"/>
          <w:sz w:val="24"/>
          <w:szCs w:val="24"/>
          <w:shd w:val="clear" w:color="auto" w:fill="ffffff"/>
          <w:rtl w:val="0"/>
          <w:lang w:val="en-US"/>
        </w:rPr>
        <w:t xml:space="preserve">Elsner, J. 1997. Hagiographic Geography: Travel and Allegory in the Life of </w:t>
      </w:r>
      <w:r>
        <w:rPr>
          <w:rFonts w:ascii="Verdana" w:cs="Verdana" w:hAnsi="Verdana" w:eastAsia="Verdana"/>
          <w:sz w:val="24"/>
          <w:szCs w:val="24"/>
          <w:shd w:val="clear" w:color="auto" w:fill="ffffff"/>
          <w:rtl w:val="0"/>
        </w:rPr>
        <w:fldChar w:fldCharType="begin" w:fldLock="0"/>
      </w:r>
      <w:r>
        <w:rPr>
          <w:rFonts w:ascii="Verdana" w:cs="Verdana" w:hAnsi="Verdana" w:eastAsia="Verdana"/>
          <w:sz w:val="24"/>
          <w:szCs w:val="24"/>
          <w:shd w:val="clear" w:color="auto" w:fill="ffffff"/>
          <w:rtl w:val="0"/>
        </w:rPr>
        <w:instrText xml:space="preserve"> HYPERLINK "http://moodle.uwtsd.ac.uk/mod/url/view.php?id=86343"</w:instrText>
      </w:r>
      <w:r>
        <w:rPr>
          <w:rFonts w:ascii="Verdana" w:cs="Verdana" w:hAnsi="Verdana" w:eastAsia="Verdana"/>
          <w:sz w:val="24"/>
          <w:szCs w:val="24"/>
          <w:shd w:val="clear" w:color="auto" w:fill="ffffff"/>
          <w:rtl w:val="0"/>
        </w:rPr>
        <w:fldChar w:fldCharType="separate" w:fldLock="0"/>
      </w:r>
      <w:r>
        <w:rPr>
          <w:rFonts w:ascii="Verdana" w:hAnsi="Verdana"/>
          <w:sz w:val="24"/>
          <w:szCs w:val="24"/>
          <w:shd w:val="clear" w:color="auto" w:fill="ffffff"/>
          <w:rtl w:val="0"/>
        </w:rPr>
        <w:t>Apollonius</w:t>
      </w:r>
      <w:r>
        <w:rPr>
          <w:rFonts w:ascii="Verdana" w:cs="Verdana" w:hAnsi="Verdana" w:eastAsia="Verdana"/>
          <w:sz w:val="24"/>
          <w:szCs w:val="24"/>
          <w:shd w:val="clear" w:color="auto" w:fill="ffffff"/>
          <w:rtl w:val="0"/>
        </w:rPr>
        <w:fldChar w:fldCharType="end" w:fldLock="0"/>
      </w:r>
      <w:r>
        <w:rPr>
          <w:rFonts w:ascii="Verdana" w:hAnsi="Verdana"/>
          <w:sz w:val="24"/>
          <w:szCs w:val="24"/>
          <w:shd w:val="clear" w:color="auto" w:fill="ffffff"/>
          <w:rtl w:val="0"/>
          <w:lang w:val="en-US"/>
        </w:rPr>
        <w:t xml:space="preserve"> of Tyana. JHS 117: 23-37.</w:t>
      </w:r>
    </w:p>
    <w:p>
      <w:pPr>
        <w:pStyle w:val="Default"/>
        <w:bidi w:val="0"/>
        <w:ind w:left="0" w:right="0" w:firstLine="0"/>
        <w:jc w:val="left"/>
        <w:rPr>
          <w:rFonts w:ascii="Verdana" w:cs="Verdana" w:hAnsi="Verdana" w:eastAsia="Verdana"/>
          <w:sz w:val="24"/>
          <w:szCs w:val="24"/>
          <w:shd w:val="clear" w:color="auto" w:fill="ffffff"/>
          <w:rtl w:val="0"/>
        </w:rPr>
      </w:pPr>
    </w:p>
    <w:p>
      <w:pPr>
        <w:pStyle w:val="Default"/>
        <w:bidi w:val="0"/>
        <w:ind w:left="0" w:right="0" w:firstLine="0"/>
        <w:jc w:val="left"/>
        <w:rPr>
          <w:rFonts w:ascii="Verdana" w:cs="Verdana" w:hAnsi="Verdana" w:eastAsia="Verdana"/>
          <w:sz w:val="24"/>
          <w:szCs w:val="24"/>
          <w:shd w:val="clear" w:color="auto" w:fill="ffffff"/>
          <w:rtl w:val="0"/>
        </w:rPr>
      </w:pPr>
      <w:r>
        <w:rPr>
          <w:rFonts w:ascii="Verdana" w:hAnsi="Verdana"/>
          <w:sz w:val="24"/>
          <w:szCs w:val="24"/>
          <w:shd w:val="clear" w:color="auto" w:fill="ffffff"/>
          <w:rtl w:val="0"/>
          <w:lang w:val="en-US"/>
        </w:rPr>
        <w:t>Francis, J. A. 1998. Truthful Fiction: New Questions to Old Answers on Philostratus</w:t>
      </w:r>
      <w:r>
        <w:rPr>
          <w:rFonts w:ascii="Verdana" w:hAnsi="Verdana" w:hint="default"/>
          <w:sz w:val="24"/>
          <w:szCs w:val="24"/>
          <w:shd w:val="clear" w:color="auto" w:fill="ffffff"/>
          <w:rtl w:val="0"/>
        </w:rPr>
        <w:t xml:space="preserve">’ </w:t>
      </w:r>
      <w:r>
        <w:rPr>
          <w:rFonts w:ascii="Verdana" w:hAnsi="Verdana"/>
          <w:sz w:val="24"/>
          <w:szCs w:val="24"/>
          <w:shd w:val="clear" w:color="auto" w:fill="ffffff"/>
          <w:rtl w:val="0"/>
          <w:lang w:val="en-US"/>
        </w:rPr>
        <w:t xml:space="preserve">Life of </w:t>
      </w:r>
      <w:r>
        <w:rPr>
          <w:rFonts w:ascii="Verdana" w:cs="Verdana" w:hAnsi="Verdana" w:eastAsia="Verdana"/>
          <w:sz w:val="24"/>
          <w:szCs w:val="24"/>
          <w:shd w:val="clear" w:color="auto" w:fill="ffffff"/>
          <w:rtl w:val="0"/>
        </w:rPr>
        <w:fldChar w:fldCharType="begin" w:fldLock="0"/>
      </w:r>
      <w:r>
        <w:rPr>
          <w:rFonts w:ascii="Verdana" w:cs="Verdana" w:hAnsi="Verdana" w:eastAsia="Verdana"/>
          <w:sz w:val="24"/>
          <w:szCs w:val="24"/>
          <w:shd w:val="clear" w:color="auto" w:fill="ffffff"/>
          <w:rtl w:val="0"/>
        </w:rPr>
        <w:instrText xml:space="preserve"> HYPERLINK "http://moodle.uwtsd.ac.uk/mod/url/view.php?id=86343"</w:instrText>
      </w:r>
      <w:r>
        <w:rPr>
          <w:rFonts w:ascii="Verdana" w:cs="Verdana" w:hAnsi="Verdana" w:eastAsia="Verdana"/>
          <w:sz w:val="24"/>
          <w:szCs w:val="24"/>
          <w:shd w:val="clear" w:color="auto" w:fill="ffffff"/>
          <w:rtl w:val="0"/>
        </w:rPr>
        <w:fldChar w:fldCharType="separate" w:fldLock="0"/>
      </w:r>
      <w:r>
        <w:rPr>
          <w:rFonts w:ascii="Verdana" w:hAnsi="Verdana"/>
          <w:sz w:val="24"/>
          <w:szCs w:val="24"/>
          <w:shd w:val="clear" w:color="auto" w:fill="ffffff"/>
          <w:rtl w:val="0"/>
        </w:rPr>
        <w:t>Apollonius</w:t>
      </w:r>
      <w:r>
        <w:rPr>
          <w:rFonts w:ascii="Verdana" w:cs="Verdana" w:hAnsi="Verdana" w:eastAsia="Verdana"/>
          <w:sz w:val="24"/>
          <w:szCs w:val="24"/>
          <w:shd w:val="clear" w:color="auto" w:fill="ffffff"/>
          <w:rtl w:val="0"/>
        </w:rPr>
        <w:fldChar w:fldCharType="end" w:fldLock="0"/>
      </w:r>
      <w:r>
        <w:rPr>
          <w:rFonts w:ascii="Verdana" w:hAnsi="Verdana"/>
          <w:sz w:val="24"/>
          <w:szCs w:val="24"/>
          <w:shd w:val="clear" w:color="auto" w:fill="ffffff"/>
          <w:rtl w:val="0"/>
        </w:rPr>
        <w:t>. AJP 119</w:t>
      </w:r>
      <w:r>
        <w:rPr>
          <w:rFonts w:ascii="Verdana" w:hAnsi="Verdana"/>
          <w:sz w:val="24"/>
          <w:szCs w:val="24"/>
          <w:shd w:val="clear" w:color="auto" w:fill="ffffff"/>
          <w:rtl w:val="0"/>
          <w:lang w:val="en-US"/>
        </w:rPr>
        <w:t>(</w:t>
      </w:r>
      <w:r>
        <w:rPr>
          <w:rFonts w:ascii="Verdana" w:hAnsi="Verdana"/>
          <w:sz w:val="24"/>
          <w:szCs w:val="24"/>
          <w:shd w:val="clear" w:color="auto" w:fill="ffffff"/>
          <w:rtl w:val="0"/>
        </w:rPr>
        <w:t>3</w:t>
      </w:r>
      <w:r>
        <w:rPr>
          <w:rFonts w:ascii="Verdana" w:hAnsi="Verdana"/>
          <w:sz w:val="24"/>
          <w:szCs w:val="24"/>
          <w:shd w:val="clear" w:color="auto" w:fill="ffffff"/>
          <w:rtl w:val="0"/>
          <w:lang w:val="en-US"/>
        </w:rPr>
        <w:t>)</w:t>
      </w:r>
      <w:r>
        <w:rPr>
          <w:rFonts w:ascii="Verdana" w:hAnsi="Verdana"/>
          <w:sz w:val="24"/>
          <w:szCs w:val="24"/>
          <w:shd w:val="clear" w:color="auto" w:fill="ffffff"/>
          <w:rtl w:val="0"/>
        </w:rPr>
        <w:t>: 419-41.</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Mead, G.R.S. 1901. Apollonius of Tyana. 2017 </w:t>
      </w:r>
      <w:r>
        <w:rPr>
          <w:rFonts w:ascii="Verdana" w:hAnsi="Verdana"/>
          <w:sz w:val="24"/>
          <w:szCs w:val="24"/>
          <w:rtl w:val="0"/>
          <w:lang w:val="en-US"/>
        </w:rPr>
        <w:t>reprint on demand. Online: (Amazon) Createspace Independent Publishing Platform.</w:t>
      </w:r>
      <w:r>
        <w:rPr>
          <w:rFonts w:ascii="Verdana" w:hAnsi="Verdana"/>
          <w:sz w:val="24"/>
          <w:szCs w:val="24"/>
          <w:rtl w:val="0"/>
          <w:lang w:val="en-US"/>
        </w:rPr>
        <w:t xml:space="preserve"> </w:t>
      </w:r>
    </w:p>
    <w:p>
      <w:pPr>
        <w:pStyle w:val="Body"/>
        <w:rPr>
          <w:rFonts w:ascii="Verdana" w:cs="Verdana" w:hAnsi="Verdana" w:eastAsia="Verdana"/>
          <w:b w:val="1"/>
          <w:bCs w:val="1"/>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Philostratus, F. 1912. The Life of Apollonius of Tyana. Translated by F.C. Conybeare.  2009 reprint on demand. Online: (Amazon) </w:t>
      </w:r>
      <w:r>
        <w:rPr>
          <w:rFonts w:ascii="Verdana" w:hAnsi="Verdana"/>
          <w:sz w:val="24"/>
          <w:szCs w:val="24"/>
          <w:rtl w:val="0"/>
          <w:lang w:val="en-US"/>
        </w:rPr>
        <w:t>Createspace Independent Publishing Platform</w:t>
      </w:r>
      <w:r>
        <w:rPr>
          <w:rFonts w:ascii="Verdana" w:hAnsi="Verdana"/>
          <w:sz w:val="24"/>
          <w:szCs w:val="24"/>
          <w:rtl w:val="0"/>
          <w:lang w:val="en-US"/>
        </w:rPr>
        <w:t>.</w:t>
      </w:r>
    </w:p>
    <w:p>
      <w:pPr>
        <w:pStyle w:val="Body"/>
        <w:rPr>
          <w:rFonts w:ascii="Verdana" w:cs="Verdana" w:hAnsi="Verdana" w:eastAsia="Verdana"/>
          <w:b w:val="1"/>
          <w:bCs w:val="1"/>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Philostratus, 1912. F. In Honour of Apollonius of Tyana. Translated by J.S. Phillimore. 2008 reprint. Redditch: Read Books.  </w:t>
      </w:r>
    </w:p>
    <w:p>
      <w:pPr>
        <w:pStyle w:val="Body"/>
        <w:rPr>
          <w:rFonts w:ascii="Verdana" w:cs="Verdana" w:hAnsi="Verdana" w:eastAsia="Verdana"/>
          <w:b w:val="1"/>
          <w:bCs w:val="1"/>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Raynor, D.H. 1984. Moeragenes and Philostratus: Two Views of Apollonius of Tyana. </w:t>
      </w:r>
      <w:r>
        <w:rPr>
          <w:rFonts w:ascii="Verdana" w:hAnsi="Verdana"/>
          <w:i w:val="1"/>
          <w:iCs w:val="1"/>
          <w:sz w:val="24"/>
          <w:szCs w:val="24"/>
          <w:rtl w:val="0"/>
          <w:lang w:val="en-US"/>
        </w:rPr>
        <w:t>The Classical Quarterly</w:t>
      </w:r>
      <w:r>
        <w:rPr>
          <w:rFonts w:ascii="Verdana" w:hAnsi="Verdana"/>
          <w:sz w:val="24"/>
          <w:szCs w:val="24"/>
          <w:rtl w:val="0"/>
          <w:lang w:val="en-US"/>
        </w:rPr>
        <w:t xml:space="preserve"> 34(1): 222-226.</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Reville, A. 1866. Apollonius of Tyana: The Pagan Christ of the Third Century. London: JC Hotten.  </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Shure, E. 1906. Pythagoras and the Delphic Mysteries. Translated by F. Rothwell. 2007 reprint. London: Forgotten Books.  </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Spalding, B.T. 1924-1937. The Life and Teaching of the Masters of the Far East Vols 1-3. 1999 reprint. Camarillo CA: De Vorss &amp; Co.  </w:t>
      </w:r>
    </w:p>
    <w:p>
      <w:pPr>
        <w:pStyle w:val="Body"/>
        <w:rPr>
          <w:rFonts w:ascii="Verdana" w:cs="Verdana" w:hAnsi="Verdana" w:eastAsia="Verdana"/>
          <w:sz w:val="24"/>
          <w:szCs w:val="24"/>
        </w:rPr>
      </w:pPr>
    </w:p>
    <w:p>
      <w:pPr>
        <w:pStyle w:val="Default"/>
        <w:bidi w:val="0"/>
        <w:ind w:left="0" w:right="0" w:firstLine="0"/>
        <w:jc w:val="left"/>
        <w:rPr>
          <w:rtl w:val="0"/>
        </w:rPr>
      </w:pPr>
      <w:r>
        <w:rPr>
          <w:rFonts w:ascii="Verdana" w:hAnsi="Verdana"/>
          <w:i w:val="0"/>
          <w:iCs w:val="0"/>
          <w:sz w:val="24"/>
          <w:szCs w:val="24"/>
          <w:shd w:val="clear" w:color="auto" w:fill="ffffff"/>
          <w:rtl w:val="0"/>
          <w:lang w:val="en-US"/>
        </w:rPr>
        <w:t>Whitmarsh, T.J.G. 2007. Time in Ancient Greek Literature: Studies in Ancient Narrative, Volume Two,</w:t>
      </w:r>
      <w:r>
        <w:rPr>
          <w:rFonts w:ascii="Verdana" w:hAnsi="Verdana"/>
          <w:i w:val="0"/>
          <w:iCs w:val="0"/>
          <w:sz w:val="24"/>
          <w:szCs w:val="24"/>
          <w:shd w:val="clear" w:color="auto" w:fill="ffffff"/>
          <w:rtl w:val="0"/>
          <w:lang w:val="en-US"/>
        </w:rPr>
        <w:t xml:space="preserve"> in</w:t>
      </w:r>
      <w:r>
        <w:rPr>
          <w:rFonts w:ascii="Verdana" w:hAnsi="Verdana"/>
          <w:i w:val="0"/>
          <w:iCs w:val="0"/>
          <w:sz w:val="24"/>
          <w:szCs w:val="24"/>
          <w:shd w:val="clear" w:color="auto" w:fill="ffffff"/>
          <w:rtl w:val="0"/>
          <w:lang w:val="en-US"/>
        </w:rPr>
        <w:t xml:space="preserve"> I.J.F. de Jong and R. N</w:t>
      </w:r>
      <w:r>
        <w:rPr>
          <w:rFonts w:ascii="Verdana" w:hAnsi="Verdana" w:hint="default"/>
          <w:i w:val="0"/>
          <w:iCs w:val="0"/>
          <w:sz w:val="24"/>
          <w:szCs w:val="24"/>
          <w:shd w:val="clear" w:color="auto" w:fill="ffffff"/>
          <w:rtl w:val="0"/>
        </w:rPr>
        <w:t>ü</w:t>
      </w:r>
      <w:r>
        <w:rPr>
          <w:rFonts w:ascii="Verdana" w:hAnsi="Verdana"/>
          <w:i w:val="0"/>
          <w:iCs w:val="0"/>
          <w:sz w:val="24"/>
          <w:szCs w:val="24"/>
          <w:shd w:val="clear" w:color="auto" w:fill="ffffff"/>
          <w:rtl w:val="0"/>
        </w:rPr>
        <w:t>nlist</w:t>
      </w:r>
      <w:r>
        <w:rPr>
          <w:rFonts w:ascii="Verdana" w:hAnsi="Verdana"/>
          <w:i w:val="0"/>
          <w:iCs w:val="0"/>
          <w:sz w:val="24"/>
          <w:szCs w:val="24"/>
          <w:shd w:val="clear" w:color="auto" w:fill="ffffff"/>
          <w:rtl w:val="0"/>
          <w:lang w:val="en-US"/>
        </w:rPr>
        <w:t xml:space="preserve"> (eds.)</w:t>
      </w:r>
      <w:r>
        <w:rPr>
          <w:rFonts w:ascii="Verdana" w:hAnsi="Verdana"/>
          <w:i w:val="0"/>
          <w:iCs w:val="0"/>
          <w:sz w:val="24"/>
          <w:szCs w:val="24"/>
          <w:shd w:val="clear" w:color="auto" w:fill="ffffff"/>
          <w:rtl w:val="0"/>
        </w:rPr>
        <w:t xml:space="preserve"> </w:t>
      </w:r>
      <w:r>
        <w:rPr>
          <w:rFonts w:ascii="Verdana" w:hAnsi="Verdana"/>
          <w:i w:val="1"/>
          <w:iCs w:val="1"/>
          <w:sz w:val="24"/>
          <w:szCs w:val="24"/>
          <w:shd w:val="clear" w:color="auto" w:fill="ffffff"/>
          <w:rtl w:val="0"/>
          <w:lang w:val="it-IT"/>
        </w:rPr>
        <w:t>Philostratus</w:t>
      </w:r>
      <w:r>
        <w:rPr>
          <w:rFonts w:ascii="Verdana" w:hAnsi="Verdana"/>
          <w:i w:val="0"/>
          <w:iCs w:val="0"/>
          <w:sz w:val="24"/>
          <w:szCs w:val="24"/>
          <w:shd w:val="clear" w:color="auto" w:fill="ffffff"/>
          <w:rtl w:val="0"/>
        </w:rPr>
        <w:t>. 413-30. Leiden.</w:t>
      </w:r>
      <w:r>
        <w:rPr>
          <w:rFonts w:ascii="Verdana" w:cs="Verdana" w:hAnsi="Verdana" w:eastAsia="Verdana"/>
          <w:i w:val="1"/>
          <w:iCs w:val="1"/>
          <w:sz w:val="24"/>
          <w:szCs w:val="24"/>
          <w:shd w:val="clear" w:color="auto" w:fill="ffffff"/>
          <w:rtl w:val="0"/>
        </w:rPr>
      </w:r>
    </w:p>
    <w:sectPr>
      <w:headerReference w:type="default" r:id="rId5"/>
      <w:footerReference w:type="default" r:id="rId6"/>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Georgia">
    <w:charset w:val="00"/>
    <w:family w:val="roman"/>
    <w:pitch w:val="default"/>
  </w:font>
  <w:font w:name="Trebuchet MS">
    <w:charset w:val="00"/>
    <w:family w:val="roman"/>
    <w:pitch w:val="default"/>
  </w:font>
  <w:font w:name="Helvetica">
    <w:charset w:val="00"/>
    <w:family w:val="roman"/>
    <w:pitch w:val="default"/>
  </w:font>
  <w:font w:name="Calibri">
    <w:charset w:val="00"/>
    <w:family w:val="roman"/>
    <w:pitch w:val="default"/>
  </w:font>
  <w:font w:name="Verdan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rPr>
        <w:rtl w:val="0"/>
        <w:lang w:val="en-US"/>
      </w:rPr>
      <w:t>Margaret Gallagher</w:t>
    </w:r>
    <w:r>
      <w:tab/>
    </w:r>
    <w:r>
      <w:rPr>
        <w:rtl w:val="0"/>
        <w:lang w:val="en-US"/>
      </w:rPr>
      <w:t>CLAH6007 - ESSAY</w:t>
    </w:r>
    <w:r>
      <w:tab/>
    </w:r>
    <w:r>
      <w:rPr>
        <w:rtl w:val="0"/>
        <w:lang w:val="en-US"/>
      </w:rPr>
      <w:t>1502249</w:t>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lang w:val="en-US"/>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vertAlign w:val="baseline"/>
    </w:rPr>
  </w:style>
  <w:style w:type="paragraph" w:styleId="Heading">
    <w:name w:val="Heading"/>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0"/>
    </w:pPr>
    <w:rPr>
      <w:rFonts w:ascii="Helvetica Neue" w:cs="Arial Unicode MS" w:hAnsi="Helvetica Neue" w:eastAsia="Arial Unicode MS"/>
      <w:b w:val="1"/>
      <w:bCs w:val="1"/>
      <w:i w:val="0"/>
      <w:iCs w:val="0"/>
      <w:caps w:val="0"/>
      <w:smallCaps w:val="0"/>
      <w:strike w:val="0"/>
      <w:dstrike w:val="0"/>
      <w:outline w:val="0"/>
      <w:color w:val="000000"/>
      <w:spacing w:val="0"/>
      <w:kern w:val="0"/>
      <w:position w:val="0"/>
      <w:sz w:val="36"/>
      <w:szCs w:val="36"/>
      <w:u w:val="none"/>
      <w:vertAlign w:val="baseline"/>
      <w:lang w:val="en-US"/>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paragraph" w:styleId="Heading 3">
    <w:name w:val="Heading 3"/>
    <w:next w:val="Body"/>
    <w:pPr>
      <w:keepNext w:val="1"/>
      <w:keepLines w:val="0"/>
      <w:pageBreakBefore w:val="0"/>
      <w:widowControl w:val="1"/>
      <w:pBdr>
        <w:top w:val="single" w:color="515151" w:sz="4" w:space="0" w:shadow="0" w:frame="0"/>
        <w:left w:val="nil"/>
        <w:bottom w:val="nil"/>
        <w:right w:val="nil"/>
      </w:pBdr>
      <w:shd w:val="clear" w:color="auto" w:fill="auto"/>
      <w:suppressAutoHyphens w:val="0"/>
      <w:bidi w:val="0"/>
      <w:spacing w:before="360" w:after="40" w:line="288" w:lineRule="auto"/>
      <w:ind w:left="0" w:right="0" w:firstLine="0"/>
      <w:jc w:val="left"/>
      <w:outlineLvl w:val="2"/>
    </w:pPr>
    <w:rPr>
      <w:rFonts w:ascii="Helvetica Neue" w:cs="Helvetica Neue" w:hAnsi="Helvetica Neue" w:eastAsia="Helvetica Neue"/>
      <w:b w:val="0"/>
      <w:bCs w:val="0"/>
      <w:i w:val="0"/>
      <w:iCs w:val="0"/>
      <w:caps w:val="0"/>
      <w:smallCaps w:val="0"/>
      <w:strike w:val="0"/>
      <w:dstrike w:val="0"/>
      <w:outline w:val="0"/>
      <w:color w:val="000000"/>
      <w:spacing w:val="5"/>
      <w:kern w:val="0"/>
      <w:position w:val="0"/>
      <w:sz w:val="28"/>
      <w:szCs w:val="28"/>
      <w:u w:val="none"/>
      <w:vertAlign w:val="baseline"/>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