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DBB33C" w14:textId="7F6EC950" w:rsidR="00A55237" w:rsidRPr="00D42409" w:rsidRDefault="003E7DB6" w:rsidP="00D42409">
      <w:pPr>
        <w:jc w:val="center"/>
        <w:rPr>
          <w:rFonts w:ascii="Arial" w:hAnsi="Arial" w:cs="Arial"/>
          <w:sz w:val="24"/>
          <w:szCs w:val="24"/>
        </w:rPr>
      </w:pPr>
      <w:r w:rsidRPr="00D42409">
        <w:rPr>
          <w:rFonts w:ascii="Arial" w:hAnsi="Arial" w:cs="Arial"/>
          <w:sz w:val="24"/>
          <w:szCs w:val="24"/>
        </w:rPr>
        <w:t>The Magistracy</w:t>
      </w:r>
    </w:p>
    <w:p w14:paraId="7DAB4901" w14:textId="2663A8C7" w:rsidR="003E7DB6" w:rsidRPr="00D42409" w:rsidRDefault="003E7DB6">
      <w:pPr>
        <w:rPr>
          <w:rFonts w:ascii="Arial" w:hAnsi="Arial" w:cs="Arial"/>
          <w:sz w:val="24"/>
          <w:szCs w:val="24"/>
        </w:rPr>
      </w:pPr>
      <w:r w:rsidRPr="00D42409">
        <w:rPr>
          <w:rFonts w:ascii="Arial" w:hAnsi="Arial" w:cs="Arial"/>
          <w:sz w:val="24"/>
          <w:szCs w:val="24"/>
        </w:rPr>
        <w:t xml:space="preserve">The aim of this essay is to explain the advantages and disadvantages of Magistrates in the exercise of justice. Magistrates in the UK and their main responsibilities will be discussed, as well as their characteristics and a brief overview of court closures. The overall effectiveness of Magistrates will be evaluated with supporting arguments. </w:t>
      </w:r>
    </w:p>
    <w:p w14:paraId="317AD109" w14:textId="5C364748" w:rsidR="003E7DB6" w:rsidRPr="00D42409" w:rsidRDefault="003E7DB6">
      <w:pPr>
        <w:rPr>
          <w:rFonts w:ascii="Arial" w:hAnsi="Arial" w:cs="Arial"/>
          <w:sz w:val="24"/>
          <w:szCs w:val="24"/>
        </w:rPr>
      </w:pPr>
      <w:r w:rsidRPr="00D42409">
        <w:rPr>
          <w:rFonts w:ascii="Arial" w:hAnsi="Arial" w:cs="Arial"/>
          <w:sz w:val="24"/>
          <w:szCs w:val="24"/>
        </w:rPr>
        <w:t>Magistrates are unpaid volunteers who overlook cases in local courts; this includes criminal court, family court, or both. Usually, three Magistrates will hear each case; including one who has received special training to serve as chairperson. Although they are unpaid, they can request reimbursement for expenses and lost wages</w:t>
      </w:r>
      <w:r w:rsidR="00A62EEB" w:rsidRPr="00D42409">
        <w:rPr>
          <w:rFonts w:ascii="Arial" w:hAnsi="Arial" w:cs="Arial"/>
          <w:sz w:val="24"/>
          <w:szCs w:val="24"/>
        </w:rPr>
        <w:t xml:space="preserve"> </w:t>
      </w:r>
      <w:r w:rsidRPr="00D42409">
        <w:rPr>
          <w:rFonts w:ascii="Arial" w:hAnsi="Arial" w:cs="Arial"/>
          <w:sz w:val="24"/>
          <w:szCs w:val="24"/>
        </w:rPr>
        <w:t>(Halsbury’s Laws of England, 2019). Once appointed, Magistrates undertake mandatory training to develop the necessary skills to sit in court and are supported by a legally qualified justice’s adviser to guide them on points of law, procedure and the sentencing structure</w:t>
      </w:r>
      <w:r w:rsidR="00A62EEB" w:rsidRPr="00D42409">
        <w:rPr>
          <w:rFonts w:ascii="Arial" w:hAnsi="Arial" w:cs="Arial"/>
          <w:sz w:val="24"/>
          <w:szCs w:val="24"/>
        </w:rPr>
        <w:t xml:space="preserve">. However, they typically lack legal training </w:t>
      </w:r>
      <w:r w:rsidRPr="00D42409">
        <w:rPr>
          <w:rFonts w:ascii="Arial" w:hAnsi="Arial" w:cs="Arial"/>
          <w:sz w:val="24"/>
          <w:szCs w:val="24"/>
        </w:rPr>
        <w:t xml:space="preserve">(Magistrates, 2023). </w:t>
      </w:r>
      <w:r w:rsidR="00A62EEB" w:rsidRPr="00D42409">
        <w:rPr>
          <w:rFonts w:ascii="Arial" w:hAnsi="Arial" w:cs="Arial"/>
          <w:sz w:val="24"/>
          <w:szCs w:val="24"/>
        </w:rPr>
        <w:t xml:space="preserve">As much as 95% of all criminal cases are handled by the Magistrates’ court, which has the authority to hear and decide on a wide range of legal cases (Slapper &amp; Kelly, 2014, p.498). </w:t>
      </w:r>
    </w:p>
    <w:p w14:paraId="295983E7" w14:textId="674BC8CE" w:rsidR="00A62EEB" w:rsidRPr="00D42409" w:rsidRDefault="00A62EEB">
      <w:pPr>
        <w:rPr>
          <w:rFonts w:ascii="Arial" w:hAnsi="Arial" w:cs="Arial"/>
          <w:sz w:val="24"/>
          <w:szCs w:val="24"/>
        </w:rPr>
      </w:pPr>
      <w:r w:rsidRPr="00D42409">
        <w:rPr>
          <w:rFonts w:ascii="Arial" w:hAnsi="Arial" w:cs="Arial"/>
          <w:sz w:val="24"/>
          <w:szCs w:val="24"/>
        </w:rPr>
        <w:t>When first appointed, Magistrates must swear to uphold the law of the land which prevents them from the ability to decline cases based on their personal convictions. As a result, in 2008, a Christian Magistrate could not order cases to be filtered to prevent him from hearing cases involving same-sex adoptions (</w:t>
      </w:r>
      <w:proofErr w:type="spellStart"/>
      <w:r w:rsidRPr="00D42409">
        <w:rPr>
          <w:rFonts w:ascii="Arial" w:hAnsi="Arial" w:cs="Arial"/>
          <w:sz w:val="24"/>
          <w:szCs w:val="24"/>
        </w:rPr>
        <w:t>Allbon</w:t>
      </w:r>
      <w:proofErr w:type="spellEnd"/>
      <w:r w:rsidRPr="00D42409">
        <w:rPr>
          <w:rFonts w:ascii="Arial" w:hAnsi="Arial" w:cs="Arial"/>
          <w:sz w:val="24"/>
          <w:szCs w:val="24"/>
        </w:rPr>
        <w:t xml:space="preserve"> &amp; Dua, 2020, p.330). </w:t>
      </w:r>
    </w:p>
    <w:p w14:paraId="616384CA" w14:textId="3D923ADD" w:rsidR="00A62EEB" w:rsidRPr="00D42409" w:rsidRDefault="00A62EEB">
      <w:pPr>
        <w:rPr>
          <w:rFonts w:ascii="Arial" w:hAnsi="Arial" w:cs="Arial"/>
          <w:sz w:val="24"/>
          <w:szCs w:val="24"/>
        </w:rPr>
      </w:pPr>
      <w:r w:rsidRPr="00D42409">
        <w:rPr>
          <w:rFonts w:ascii="Arial" w:hAnsi="Arial" w:cs="Arial"/>
          <w:sz w:val="24"/>
          <w:szCs w:val="24"/>
        </w:rPr>
        <w:t>Over the years, small courts have closed and relocated to large modern complexes which has drawn criticism. The justification for these closures is that new multi-jurisdictional courts are modern with separate waiting areas for victims, defendants and witnesses, with better disabled access, whereas the smaller courts were expensive to operate and had subpar amenities. The closures have drawn criticism due to the new courts being difficult to access due to their remoteness. The smaller courts were local, providing local justice to the local community. The relocation plans were rejected by the Law Society, citing the example of a return trip from one closed court to the new court in Milton Keynes as evidence of the impact this would have on users of public transportation, reporting that the round-trip journey would take five hours and cost £71 (Court Closures, 2022). “Court closures are difficult decisions; local communities have strong ties to their local courts, and I understand their concerns”, stated Justice Minister Shailesh Vara in a written statement from 2016, where she defended the widespread closures, which amounted to nearly a fifth of courts and tribunals in England and Wales. According to data from the House of Commons Library, more than half of all Magistrates’ courts in England and Wales have closed since 2010, and additional closures are imminent (Sturge, 2020). In S</w:t>
      </w:r>
      <w:r w:rsidR="00742DDA" w:rsidRPr="00D42409">
        <w:rPr>
          <w:rFonts w:ascii="Arial" w:hAnsi="Arial" w:cs="Arial"/>
          <w:sz w:val="24"/>
          <w:szCs w:val="24"/>
        </w:rPr>
        <w:t xml:space="preserve">uffolk, where there remains only one Magistrate’s court, research by Dr Olumide Adisa revealed that court closures were directly impacting the amount of people who failed to show up for court (Bowcott &amp; Duncan, 2019). The research report also found that court closures aggravate systemic problems, such as low morale of criminal defence attorneys, inefficiency in court procedures and loss of informal </w:t>
      </w:r>
      <w:r w:rsidR="00742DDA" w:rsidRPr="00D42409">
        <w:rPr>
          <w:rFonts w:ascii="Arial" w:hAnsi="Arial" w:cs="Arial"/>
          <w:sz w:val="24"/>
          <w:szCs w:val="24"/>
        </w:rPr>
        <w:lastRenderedPageBreak/>
        <w:t>“human” relationships. The morale of the judges themselves has been affected by these court closures (</w:t>
      </w:r>
      <w:proofErr w:type="spellStart"/>
      <w:r w:rsidR="00742DDA" w:rsidRPr="00D42409">
        <w:rPr>
          <w:rFonts w:ascii="Arial" w:hAnsi="Arial" w:cs="Arial"/>
          <w:sz w:val="24"/>
          <w:szCs w:val="24"/>
        </w:rPr>
        <w:t>Allbon</w:t>
      </w:r>
      <w:proofErr w:type="spellEnd"/>
      <w:r w:rsidR="00742DDA" w:rsidRPr="00D42409">
        <w:rPr>
          <w:rFonts w:ascii="Arial" w:hAnsi="Arial" w:cs="Arial"/>
          <w:sz w:val="24"/>
          <w:szCs w:val="24"/>
        </w:rPr>
        <w:t xml:space="preserve"> &amp; Dua, 2020, p.329). </w:t>
      </w:r>
    </w:p>
    <w:p w14:paraId="2DE8F9B7" w14:textId="1E459E55" w:rsidR="00742DDA" w:rsidRPr="00D42409" w:rsidRDefault="00742DDA">
      <w:pPr>
        <w:rPr>
          <w:rFonts w:ascii="Arial" w:hAnsi="Arial" w:cs="Arial"/>
          <w:sz w:val="24"/>
          <w:szCs w:val="24"/>
        </w:rPr>
      </w:pPr>
      <w:r w:rsidRPr="00D42409">
        <w:rPr>
          <w:rFonts w:ascii="Arial" w:hAnsi="Arial" w:cs="Arial"/>
          <w:sz w:val="24"/>
          <w:szCs w:val="24"/>
        </w:rPr>
        <w:t>Most Magistrates come from middle-class, white backgrounds (</w:t>
      </w:r>
      <w:proofErr w:type="spellStart"/>
      <w:r w:rsidRPr="00D42409">
        <w:rPr>
          <w:rFonts w:ascii="Arial" w:hAnsi="Arial" w:cs="Arial"/>
          <w:sz w:val="24"/>
          <w:szCs w:val="24"/>
        </w:rPr>
        <w:t>Allbon</w:t>
      </w:r>
      <w:proofErr w:type="spellEnd"/>
      <w:r w:rsidRPr="00D42409">
        <w:rPr>
          <w:rFonts w:ascii="Arial" w:hAnsi="Arial" w:cs="Arial"/>
          <w:sz w:val="24"/>
          <w:szCs w:val="24"/>
        </w:rPr>
        <w:t xml:space="preserve"> &amp; Dua, 2022, p.303). According to government statistics from 1987, only 2% of magistrates were black. The data for 2018 demonstrates that Magistrates increasingly reflect the ethnic diversity of modern Britain, with 14% of the population and 12% of Magistrates being from an ethnic background. The fit between the local benches and the communities they serve, however, varies significantly locally and is frequently very wide (Elliott &amp; Quinn, 2014, p.278). According to the Lord Chief Justice (2022), there has been an increase in the overall proportion of women, Asian and mixed ethnicity individuals in the judiciary since 2014, while the proportion of black and other ethnic minority individuals has remained the same. A 1990 study by the Runnymede Trust found that black defendants charged with either way offences were more likely to choose a jury trial than white defendants in the same position. This suggests that a defendant who </w:t>
      </w:r>
      <w:r w:rsidR="00E41E62" w:rsidRPr="00D42409">
        <w:rPr>
          <w:rFonts w:ascii="Arial" w:hAnsi="Arial" w:cs="Arial"/>
          <w:sz w:val="24"/>
          <w:szCs w:val="24"/>
        </w:rPr>
        <w:t>is not white or middle-class may prefer to be judged by a jury, which is more likely to include members of their own race and class. This is not to imply that Magistrates are unwilling to provide a fair trial for those who don’t share their own characteristics, but rather that if defendants believe this to be the case, their confidence in the legal system is diminished. This confidence is further diminished if they are denied the opportunity to select a trial formal that appears more equitable (</w:t>
      </w:r>
      <w:proofErr w:type="spellStart"/>
      <w:r w:rsidR="00E41E62" w:rsidRPr="00D42409">
        <w:rPr>
          <w:rFonts w:ascii="Arial" w:hAnsi="Arial" w:cs="Arial"/>
          <w:sz w:val="24"/>
          <w:szCs w:val="24"/>
        </w:rPr>
        <w:t>Allbon</w:t>
      </w:r>
      <w:proofErr w:type="spellEnd"/>
      <w:r w:rsidR="00E41E62" w:rsidRPr="00D42409">
        <w:rPr>
          <w:rFonts w:ascii="Arial" w:hAnsi="Arial" w:cs="Arial"/>
          <w:sz w:val="24"/>
          <w:szCs w:val="24"/>
        </w:rPr>
        <w:t xml:space="preserve"> &amp; Dua, 2020, p.303). </w:t>
      </w:r>
    </w:p>
    <w:p w14:paraId="6FD7E63D" w14:textId="1E70A476" w:rsidR="00E41E62" w:rsidRPr="00D42409" w:rsidRDefault="00E41E62">
      <w:pPr>
        <w:rPr>
          <w:rFonts w:ascii="Arial" w:hAnsi="Arial" w:cs="Arial"/>
          <w:sz w:val="24"/>
          <w:szCs w:val="24"/>
        </w:rPr>
      </w:pPr>
      <w:r w:rsidRPr="00D42409">
        <w:rPr>
          <w:rFonts w:ascii="Arial" w:hAnsi="Arial" w:cs="Arial"/>
          <w:sz w:val="24"/>
          <w:szCs w:val="24"/>
        </w:rPr>
        <w:t>According to the Royal Commission on Justices of the Peaces’s 1948 Report, around three-quarters of all Magistrates held middle-class or professional jobs. Nothing appears to have changed since then; according to a study by Morgan and Russell in 2000, more than two-thirds of Magistrates were, or had been, engaged in professional or managerial careers up until retirement and their social backgrounds did not correspond to the community they served. For instance, just 20% of the local population living in a deprived metropolitan area had professional jobs, yet 79% of the bench members were managers or professionals (Elliott &amp; Quinn, 2014, p.277). One possible explanation for this is that while employers are required to give an employee who is appointed as a Magistrate a reasonable amount of time off work, not all employers are able or willing to pay wages during their absence. As a result, those outside the professional classes are disproportionately underrepresented on the bench. Although the adjustment has had little effect thus far, the maximum age for appointment has been increased to 65 in the hopes that working-class people will serve as Magistrates in retirement. On the other hand, a 2005 White Paper offered recommendations to promote the hiring of more young Magistrates. Few youthful Magistrates exist; with the majority being middle-aged or older. Within ten years, 55% of Magistrates who are 60 or older will retire. Only 4.2% of magistrates are under the age of 40 (</w:t>
      </w:r>
      <w:proofErr w:type="spellStart"/>
      <w:r w:rsidRPr="00D42409">
        <w:rPr>
          <w:rFonts w:ascii="Arial" w:hAnsi="Arial" w:cs="Arial"/>
          <w:sz w:val="24"/>
          <w:szCs w:val="24"/>
        </w:rPr>
        <w:t>Allbon</w:t>
      </w:r>
      <w:proofErr w:type="spellEnd"/>
      <w:r w:rsidRPr="00D42409">
        <w:rPr>
          <w:rFonts w:ascii="Arial" w:hAnsi="Arial" w:cs="Arial"/>
          <w:sz w:val="24"/>
          <w:szCs w:val="24"/>
        </w:rPr>
        <w:t xml:space="preserve"> &amp; Dua, 2020, p.332). </w:t>
      </w:r>
    </w:p>
    <w:p w14:paraId="62620CE5" w14:textId="3398C96D" w:rsidR="00E41E62" w:rsidRPr="00D42409" w:rsidRDefault="00E41E62">
      <w:pPr>
        <w:rPr>
          <w:rFonts w:ascii="Arial" w:hAnsi="Arial" w:cs="Arial"/>
          <w:sz w:val="24"/>
          <w:szCs w:val="24"/>
        </w:rPr>
      </w:pPr>
      <w:r w:rsidRPr="00D42409">
        <w:rPr>
          <w:rFonts w:ascii="Arial" w:hAnsi="Arial" w:cs="Arial"/>
          <w:sz w:val="24"/>
          <w:szCs w:val="24"/>
        </w:rPr>
        <w:t xml:space="preserve">A clear advantage of using Magistrates in the exercise of justice is the cost, as </w:t>
      </w:r>
      <w:r w:rsidR="00D42409" w:rsidRPr="00D42409">
        <w:rPr>
          <w:rFonts w:ascii="Arial" w:hAnsi="Arial" w:cs="Arial"/>
          <w:sz w:val="24"/>
          <w:szCs w:val="24"/>
        </w:rPr>
        <w:t xml:space="preserve">they are unpaid volunteers, it is assumed that they’re cheaper than their stipendiary colleagues. However, it is unclear whether this is the case. Research conducted by Morgan and Russel (2000) found that the cost of using a Magistrate is around £495 per annum, whereas that of a district judge is £90,000. However, Magistrates incur </w:t>
      </w:r>
      <w:r w:rsidR="00D42409" w:rsidRPr="00D42409">
        <w:rPr>
          <w:rFonts w:ascii="Arial" w:hAnsi="Arial" w:cs="Arial"/>
          <w:sz w:val="24"/>
          <w:szCs w:val="24"/>
        </w:rPr>
        <w:lastRenderedPageBreak/>
        <w:t xml:space="preserve">more indirect costs than professional judges as they are slower at hearing cases. One professional judge can handle as much work as 30 Magistrates, which poses a question of efficiency in the Magistrate system (Elliott &amp; Quinn, 2014, p.283). Ipsos MORI research conducted in 2011 found that Magistrates were widely perceived as having a greater connection with the local community compared to judges, as well as being less “case hardened” or fatigued. They were also found to have local knowledge due to the requirement of living within a reasonable distance of the court (Elliott &amp; Quinn, 2014, p.283). While that may be true, it is still clear that many Magistrates do not reflect the communities they serve. A study by Elizabeth Burney in 1979 found that the selection process was almost entirely dominated by existing Magistrates who repeatedly appointed those with similar backgrounds to themselves, thus concluding that Magistrates still appear to be predominantly middle class and middle-aged, with a strong Conservative bias, as well as bias towards the police. In the case of R v Bingham Justices, ex </w:t>
      </w:r>
      <w:proofErr w:type="spellStart"/>
      <w:r w:rsidR="00D42409" w:rsidRPr="00D42409">
        <w:rPr>
          <w:rFonts w:ascii="Arial" w:hAnsi="Arial" w:cs="Arial"/>
          <w:sz w:val="24"/>
          <w:szCs w:val="24"/>
        </w:rPr>
        <w:t>parte</w:t>
      </w:r>
      <w:proofErr w:type="spellEnd"/>
      <w:r w:rsidR="00D42409" w:rsidRPr="00D42409">
        <w:rPr>
          <w:rFonts w:ascii="Arial" w:hAnsi="Arial" w:cs="Arial"/>
          <w:sz w:val="24"/>
          <w:szCs w:val="24"/>
        </w:rPr>
        <w:t xml:space="preserve"> Jowett (1974), where the only available evidence was that of the defendant’s and a police constable, a Magistrate was quoted stating “My principle in such cases has always been to believe the evidence of the police officer.” Due to this remark, the conviction was quashed on appeal. </w:t>
      </w:r>
    </w:p>
    <w:p w14:paraId="2B105C0B" w14:textId="7320730A" w:rsidR="00D42409" w:rsidRDefault="00D42409">
      <w:pPr>
        <w:rPr>
          <w:rFonts w:ascii="Arial" w:hAnsi="Arial" w:cs="Arial"/>
          <w:sz w:val="24"/>
          <w:szCs w:val="24"/>
        </w:rPr>
      </w:pPr>
      <w:r w:rsidRPr="00D42409">
        <w:rPr>
          <w:rFonts w:ascii="Arial" w:hAnsi="Arial" w:cs="Arial"/>
          <w:sz w:val="24"/>
          <w:szCs w:val="24"/>
        </w:rPr>
        <w:t xml:space="preserve">Some suggested methods of reform include professional judges replacing Magistrates or sitting with them during cases, as there is no other jurisdiction which allows lay justices to deal with cases of the seriousness of those dealt with in the Magistrates’ court in England and Wales. Although this may be a good idea, as suggested by the Royal Commission on Criminal Justice in 1993, recommending that more use should be made of professional judges, it would be costly and unlikely to happen, due to the long history of Magistrates being used in the system (Elliott &amp; Quinn, 2014, p.286). An alternative method put forward by The Review of Criminal Courts (Auld, 2001) is altering the selection process by giving advisory committees the knowledge they require to be able to nominate individuals for appointment that will result in benches that are more representative of the communities they serve. It was also recommended that legislation preventing employers from discriminating against Magistrates should be introduced, although this would be difficult to enforce. The central recommendation of the review conducted by Auld in 2001 was that a new criminal court should be created, which would be known as the District Division, where instead of having a separate Crown Court and Magistrates’ court, there would be a single unified criminal court containing three divisions. The Ipsos MORI research of 2011 found that people were more favourable of the idea of a District Division, than that of a mixed bench. </w:t>
      </w:r>
    </w:p>
    <w:p w14:paraId="3EEA4842" w14:textId="3CE2EF1B" w:rsidR="00A86C8E" w:rsidRDefault="00A86C8E">
      <w:pPr>
        <w:rPr>
          <w:rFonts w:ascii="Arial" w:hAnsi="Arial" w:cs="Arial"/>
          <w:sz w:val="24"/>
          <w:szCs w:val="24"/>
        </w:rPr>
      </w:pPr>
    </w:p>
    <w:p w14:paraId="68FBC48F" w14:textId="1DB0956B" w:rsidR="00A86C8E" w:rsidRDefault="00A86C8E">
      <w:pPr>
        <w:rPr>
          <w:rFonts w:ascii="Arial" w:hAnsi="Arial" w:cs="Arial"/>
          <w:sz w:val="24"/>
          <w:szCs w:val="24"/>
        </w:rPr>
      </w:pPr>
    </w:p>
    <w:p w14:paraId="1A60D9D4" w14:textId="10915716" w:rsidR="00A86C8E" w:rsidRDefault="00A86C8E">
      <w:pPr>
        <w:rPr>
          <w:rFonts w:ascii="Arial" w:hAnsi="Arial" w:cs="Arial"/>
          <w:sz w:val="24"/>
          <w:szCs w:val="24"/>
        </w:rPr>
      </w:pPr>
    </w:p>
    <w:p w14:paraId="32C69BE5" w14:textId="08575CD0" w:rsidR="00A86C8E" w:rsidRDefault="00A86C8E">
      <w:pPr>
        <w:rPr>
          <w:rFonts w:ascii="Arial" w:hAnsi="Arial" w:cs="Arial"/>
          <w:sz w:val="24"/>
          <w:szCs w:val="24"/>
        </w:rPr>
      </w:pPr>
    </w:p>
    <w:p w14:paraId="1A904905" w14:textId="2C4DF3CC" w:rsidR="00A86C8E" w:rsidRDefault="00A86C8E">
      <w:pPr>
        <w:rPr>
          <w:rFonts w:ascii="Arial" w:hAnsi="Arial" w:cs="Arial"/>
          <w:sz w:val="24"/>
          <w:szCs w:val="24"/>
        </w:rPr>
      </w:pPr>
    </w:p>
    <w:p w14:paraId="79E4380D" w14:textId="434739C4" w:rsidR="00A86C8E" w:rsidRDefault="00A86C8E">
      <w:pPr>
        <w:rPr>
          <w:rFonts w:ascii="Arial" w:hAnsi="Arial" w:cs="Arial"/>
          <w:sz w:val="24"/>
          <w:szCs w:val="24"/>
        </w:rPr>
      </w:pPr>
    </w:p>
    <w:p w14:paraId="2DFB60BD" w14:textId="77777777" w:rsidR="00A86C8E" w:rsidRPr="00AF4645" w:rsidRDefault="00A86C8E" w:rsidP="00A86C8E">
      <w:pPr>
        <w:jc w:val="center"/>
        <w:rPr>
          <w:rFonts w:ascii="Arial" w:hAnsi="Arial" w:cs="Arial"/>
          <w:sz w:val="24"/>
          <w:szCs w:val="24"/>
        </w:rPr>
      </w:pPr>
      <w:r w:rsidRPr="00AF4645">
        <w:rPr>
          <w:rFonts w:ascii="Arial" w:hAnsi="Arial" w:cs="Arial"/>
          <w:sz w:val="24"/>
          <w:szCs w:val="24"/>
        </w:rPr>
        <w:lastRenderedPageBreak/>
        <w:t>References</w:t>
      </w:r>
    </w:p>
    <w:p w14:paraId="1FBAEF94" w14:textId="77777777" w:rsidR="00A86C8E" w:rsidRDefault="00A86C8E" w:rsidP="00A86C8E">
      <w:pPr>
        <w:rPr>
          <w:rFonts w:ascii="Arial" w:hAnsi="Arial" w:cs="Arial"/>
          <w:sz w:val="24"/>
          <w:szCs w:val="24"/>
        </w:rPr>
      </w:pPr>
      <w:proofErr w:type="spellStart"/>
      <w:r w:rsidRPr="00AE4380">
        <w:rPr>
          <w:rFonts w:ascii="Arial" w:hAnsi="Arial" w:cs="Arial"/>
          <w:sz w:val="24"/>
          <w:szCs w:val="24"/>
        </w:rPr>
        <w:t>Allbon</w:t>
      </w:r>
      <w:proofErr w:type="spellEnd"/>
      <w:r w:rsidRPr="00AE4380">
        <w:rPr>
          <w:rFonts w:ascii="Arial" w:hAnsi="Arial" w:cs="Arial"/>
          <w:sz w:val="24"/>
          <w:szCs w:val="24"/>
        </w:rPr>
        <w:t xml:space="preserve">, E. Dua, S. (2020) </w:t>
      </w:r>
      <w:r w:rsidRPr="00AE4380">
        <w:rPr>
          <w:rFonts w:ascii="Arial" w:hAnsi="Arial" w:cs="Arial"/>
          <w:i/>
          <w:iCs/>
          <w:sz w:val="24"/>
          <w:szCs w:val="24"/>
        </w:rPr>
        <w:t>Elliott &amp; Quinn’s</w:t>
      </w:r>
      <w:r w:rsidRPr="00AE4380">
        <w:rPr>
          <w:rFonts w:ascii="Arial" w:hAnsi="Arial" w:cs="Arial"/>
          <w:sz w:val="24"/>
          <w:szCs w:val="24"/>
        </w:rPr>
        <w:t xml:space="preserve"> </w:t>
      </w:r>
      <w:r w:rsidRPr="00AE4380">
        <w:rPr>
          <w:rFonts w:ascii="Arial" w:hAnsi="Arial" w:cs="Arial"/>
          <w:i/>
          <w:iCs/>
          <w:sz w:val="24"/>
          <w:szCs w:val="24"/>
        </w:rPr>
        <w:t>English Legal System.</w:t>
      </w:r>
      <w:r w:rsidRPr="00AE4380">
        <w:rPr>
          <w:rFonts w:ascii="Arial" w:hAnsi="Arial" w:cs="Arial"/>
          <w:sz w:val="24"/>
          <w:szCs w:val="24"/>
        </w:rPr>
        <w:t xml:space="preserve"> 21</w:t>
      </w:r>
      <w:r w:rsidRPr="00AE4380">
        <w:rPr>
          <w:rFonts w:ascii="Arial" w:hAnsi="Arial" w:cs="Arial"/>
          <w:sz w:val="24"/>
          <w:szCs w:val="24"/>
          <w:vertAlign w:val="superscript"/>
        </w:rPr>
        <w:t>st</w:t>
      </w:r>
      <w:r w:rsidRPr="00AE4380">
        <w:rPr>
          <w:rFonts w:ascii="Arial" w:hAnsi="Arial" w:cs="Arial"/>
          <w:sz w:val="24"/>
          <w:szCs w:val="24"/>
        </w:rPr>
        <w:t xml:space="preserve"> </w:t>
      </w:r>
      <w:proofErr w:type="spellStart"/>
      <w:r w:rsidRPr="00AE4380">
        <w:rPr>
          <w:rFonts w:ascii="Arial" w:hAnsi="Arial" w:cs="Arial"/>
          <w:sz w:val="24"/>
          <w:szCs w:val="24"/>
        </w:rPr>
        <w:t>edn</w:t>
      </w:r>
      <w:proofErr w:type="spellEnd"/>
      <w:r w:rsidRPr="00AE4380">
        <w:rPr>
          <w:rFonts w:ascii="Arial" w:hAnsi="Arial" w:cs="Arial"/>
          <w:sz w:val="24"/>
          <w:szCs w:val="24"/>
        </w:rPr>
        <w:t xml:space="preserve">. Harlow: Pearson. </w:t>
      </w:r>
    </w:p>
    <w:p w14:paraId="6185CE17" w14:textId="77777777" w:rsidR="00A86C8E" w:rsidRPr="00AE4380" w:rsidRDefault="00A86C8E" w:rsidP="00A86C8E">
      <w:pPr>
        <w:rPr>
          <w:rFonts w:ascii="Arial" w:hAnsi="Arial" w:cs="Arial"/>
          <w:sz w:val="24"/>
          <w:szCs w:val="24"/>
        </w:rPr>
      </w:pPr>
      <w:r w:rsidRPr="00AE4380">
        <w:rPr>
          <w:rFonts w:ascii="Arial" w:hAnsi="Arial" w:cs="Arial"/>
          <w:i/>
          <w:iCs/>
          <w:sz w:val="24"/>
          <w:szCs w:val="24"/>
        </w:rPr>
        <w:t>Become a Magistrate</w:t>
      </w:r>
      <w:r w:rsidRPr="00AE4380">
        <w:rPr>
          <w:rFonts w:ascii="Arial" w:hAnsi="Arial" w:cs="Arial"/>
          <w:sz w:val="24"/>
          <w:szCs w:val="24"/>
        </w:rPr>
        <w:t xml:space="preserve"> (no date) Available at: </w:t>
      </w:r>
      <w:hyperlink r:id="rId4" w:history="1">
        <w:r w:rsidRPr="00AE4380">
          <w:rPr>
            <w:rStyle w:val="Hyperlink"/>
            <w:rFonts w:ascii="Arial" w:hAnsi="Arial" w:cs="Arial"/>
            <w:sz w:val="24"/>
            <w:szCs w:val="24"/>
          </w:rPr>
          <w:t>https://www.gov.uk/become-magistrate</w:t>
        </w:r>
      </w:hyperlink>
      <w:r w:rsidRPr="00AE4380">
        <w:rPr>
          <w:rFonts w:ascii="Arial" w:hAnsi="Arial" w:cs="Arial"/>
          <w:sz w:val="24"/>
          <w:szCs w:val="24"/>
        </w:rPr>
        <w:t xml:space="preserve"> (Accessed: 27 March 2023). </w:t>
      </w:r>
    </w:p>
    <w:p w14:paraId="65403393" w14:textId="77777777" w:rsidR="00A86C8E" w:rsidRDefault="00A86C8E" w:rsidP="00A86C8E">
      <w:pPr>
        <w:rPr>
          <w:rFonts w:ascii="Arial" w:hAnsi="Arial" w:cs="Arial"/>
          <w:sz w:val="24"/>
          <w:szCs w:val="24"/>
        </w:rPr>
      </w:pPr>
      <w:r>
        <w:rPr>
          <w:rFonts w:ascii="Arial" w:hAnsi="Arial" w:cs="Arial"/>
          <w:sz w:val="24"/>
          <w:szCs w:val="24"/>
        </w:rPr>
        <w:t xml:space="preserve">Bowcott, O. Duncan, P. (2019) </w:t>
      </w:r>
      <w:r w:rsidRPr="00530B0E">
        <w:rPr>
          <w:rFonts w:ascii="Arial" w:hAnsi="Arial" w:cs="Arial"/>
          <w:i/>
          <w:iCs/>
          <w:sz w:val="24"/>
          <w:szCs w:val="24"/>
        </w:rPr>
        <w:t xml:space="preserve">Half of </w:t>
      </w:r>
      <w:proofErr w:type="gramStart"/>
      <w:r w:rsidRPr="00530B0E">
        <w:rPr>
          <w:rFonts w:ascii="Arial" w:hAnsi="Arial" w:cs="Arial"/>
          <w:i/>
          <w:iCs/>
          <w:sz w:val="24"/>
          <w:szCs w:val="24"/>
        </w:rPr>
        <w:t>magistrates</w:t>
      </w:r>
      <w:proofErr w:type="gramEnd"/>
      <w:r w:rsidRPr="00530B0E">
        <w:rPr>
          <w:rFonts w:ascii="Arial" w:hAnsi="Arial" w:cs="Arial"/>
          <w:i/>
          <w:iCs/>
          <w:sz w:val="24"/>
          <w:szCs w:val="24"/>
        </w:rPr>
        <w:t xml:space="preserve"> courts in England and Wales closed since 2010.</w:t>
      </w:r>
      <w:r>
        <w:rPr>
          <w:rFonts w:ascii="Arial" w:hAnsi="Arial" w:cs="Arial"/>
          <w:sz w:val="24"/>
          <w:szCs w:val="24"/>
        </w:rPr>
        <w:t xml:space="preserve"> Available at: </w:t>
      </w:r>
      <w:hyperlink r:id="rId5" w:history="1">
        <w:r w:rsidRPr="00FE5AAD">
          <w:rPr>
            <w:rStyle w:val="Hyperlink"/>
            <w:rFonts w:ascii="Arial" w:hAnsi="Arial" w:cs="Arial"/>
            <w:sz w:val="24"/>
            <w:szCs w:val="24"/>
          </w:rPr>
          <w:t>https://amp.theguardian.com/law/2019/jan/27/half-of-magistrates-courts-in-england-and-wales-closed-since-tories-elected</w:t>
        </w:r>
      </w:hyperlink>
      <w:r>
        <w:rPr>
          <w:rFonts w:ascii="Arial" w:hAnsi="Arial" w:cs="Arial"/>
          <w:sz w:val="24"/>
          <w:szCs w:val="24"/>
        </w:rPr>
        <w:t xml:space="preserve"> (Accessed: 30 March 2023). </w:t>
      </w:r>
    </w:p>
    <w:p w14:paraId="6B078BD4" w14:textId="77777777" w:rsidR="00A86C8E" w:rsidRDefault="00A86C8E" w:rsidP="00A86C8E">
      <w:pPr>
        <w:rPr>
          <w:rFonts w:ascii="Arial" w:hAnsi="Arial" w:cs="Arial"/>
          <w:sz w:val="24"/>
          <w:szCs w:val="24"/>
        </w:rPr>
      </w:pPr>
      <w:r w:rsidRPr="00283BC0">
        <w:rPr>
          <w:rFonts w:ascii="Arial" w:hAnsi="Arial" w:cs="Arial"/>
          <w:i/>
          <w:iCs/>
          <w:sz w:val="24"/>
          <w:szCs w:val="24"/>
        </w:rPr>
        <w:t>Closures of courts and tribunals in England and Wales announced</w:t>
      </w:r>
      <w:r>
        <w:rPr>
          <w:rFonts w:ascii="Arial" w:hAnsi="Arial" w:cs="Arial"/>
          <w:sz w:val="24"/>
          <w:szCs w:val="24"/>
        </w:rPr>
        <w:t xml:space="preserve"> (2016) Available at: </w:t>
      </w:r>
      <w:hyperlink r:id="rId6" w:history="1">
        <w:r w:rsidRPr="00FE5AAD">
          <w:rPr>
            <w:rStyle w:val="Hyperlink"/>
            <w:rFonts w:ascii="Arial" w:hAnsi="Arial" w:cs="Arial"/>
            <w:sz w:val="24"/>
            <w:szCs w:val="24"/>
          </w:rPr>
          <w:t>https://www.bbc.co.uk/news/uk-35552199</w:t>
        </w:r>
      </w:hyperlink>
      <w:r>
        <w:rPr>
          <w:rFonts w:ascii="Arial" w:hAnsi="Arial" w:cs="Arial"/>
          <w:sz w:val="24"/>
          <w:szCs w:val="24"/>
        </w:rPr>
        <w:t xml:space="preserve"> (Accessed: 30 March 2023). </w:t>
      </w:r>
    </w:p>
    <w:p w14:paraId="1B8C46C5" w14:textId="77777777" w:rsidR="00A86C8E" w:rsidRDefault="00A86C8E" w:rsidP="00A86C8E">
      <w:pPr>
        <w:rPr>
          <w:rFonts w:ascii="Arial" w:hAnsi="Arial" w:cs="Arial"/>
          <w:sz w:val="24"/>
          <w:szCs w:val="24"/>
        </w:rPr>
      </w:pPr>
      <w:r w:rsidRPr="00EC347F">
        <w:rPr>
          <w:rFonts w:ascii="Arial" w:hAnsi="Arial" w:cs="Arial"/>
          <w:i/>
          <w:iCs/>
          <w:sz w:val="24"/>
          <w:szCs w:val="24"/>
        </w:rPr>
        <w:t>Court Closures</w:t>
      </w:r>
      <w:r>
        <w:rPr>
          <w:rFonts w:ascii="Arial" w:hAnsi="Arial" w:cs="Arial"/>
          <w:sz w:val="24"/>
          <w:szCs w:val="24"/>
        </w:rPr>
        <w:t xml:space="preserve"> (2022) Available at: </w:t>
      </w:r>
      <w:hyperlink r:id="rId7" w:history="1">
        <w:r w:rsidRPr="00FE5AAD">
          <w:rPr>
            <w:rStyle w:val="Hyperlink"/>
            <w:rFonts w:ascii="Arial" w:hAnsi="Arial" w:cs="Arial"/>
            <w:sz w:val="24"/>
            <w:szCs w:val="24"/>
          </w:rPr>
          <w:t>https://www.lawsociety.org.uk/campaigns/court-reform/whats-changing/court-closures</w:t>
        </w:r>
      </w:hyperlink>
      <w:r>
        <w:rPr>
          <w:rFonts w:ascii="Arial" w:hAnsi="Arial" w:cs="Arial"/>
          <w:sz w:val="24"/>
          <w:szCs w:val="24"/>
        </w:rPr>
        <w:t xml:space="preserve"> (Accessed: 30 March 2023). </w:t>
      </w:r>
    </w:p>
    <w:p w14:paraId="6F83A5B1" w14:textId="77777777" w:rsidR="00A86C8E" w:rsidRPr="00AE4380" w:rsidRDefault="00A86C8E" w:rsidP="00A86C8E">
      <w:pPr>
        <w:rPr>
          <w:rFonts w:ascii="Arial" w:hAnsi="Arial" w:cs="Arial"/>
          <w:sz w:val="24"/>
          <w:szCs w:val="24"/>
        </w:rPr>
      </w:pPr>
      <w:r w:rsidRPr="00AE4380">
        <w:rPr>
          <w:rFonts w:ascii="Arial" w:hAnsi="Arial" w:cs="Arial"/>
          <w:sz w:val="24"/>
          <w:szCs w:val="24"/>
        </w:rPr>
        <w:t xml:space="preserve">Donoghue, J. (2014) ‘Reforming the Role of Magistrates: Implications for Summary Justice in England and Wales’, </w:t>
      </w:r>
      <w:r w:rsidRPr="00AE4380">
        <w:rPr>
          <w:rFonts w:ascii="Arial" w:hAnsi="Arial" w:cs="Arial"/>
          <w:i/>
          <w:iCs/>
          <w:sz w:val="24"/>
          <w:szCs w:val="24"/>
        </w:rPr>
        <w:t>Modern Law Review,</w:t>
      </w:r>
      <w:r w:rsidRPr="00AE4380">
        <w:rPr>
          <w:rFonts w:ascii="Arial" w:hAnsi="Arial" w:cs="Arial"/>
          <w:sz w:val="24"/>
          <w:szCs w:val="24"/>
        </w:rPr>
        <w:t xml:space="preserve"> 77(6), pp. 928-963.</w:t>
      </w:r>
    </w:p>
    <w:p w14:paraId="287864FF" w14:textId="77777777" w:rsidR="00A86C8E" w:rsidRPr="0065527B" w:rsidRDefault="00A86C8E" w:rsidP="00A86C8E">
      <w:pPr>
        <w:rPr>
          <w:rFonts w:ascii="Arial" w:hAnsi="Arial" w:cs="Arial"/>
          <w:sz w:val="24"/>
          <w:szCs w:val="24"/>
        </w:rPr>
      </w:pPr>
      <w:r>
        <w:rPr>
          <w:rFonts w:ascii="Arial" w:hAnsi="Arial" w:cs="Arial"/>
          <w:sz w:val="24"/>
          <w:szCs w:val="24"/>
        </w:rPr>
        <w:t xml:space="preserve">Elliott, C. Quinn, F. (2014) </w:t>
      </w:r>
      <w:r w:rsidRPr="00834F40">
        <w:rPr>
          <w:rFonts w:ascii="Arial" w:hAnsi="Arial" w:cs="Arial"/>
          <w:i/>
          <w:iCs/>
          <w:sz w:val="24"/>
          <w:szCs w:val="24"/>
        </w:rPr>
        <w:t>English Legal System.</w:t>
      </w:r>
      <w:r>
        <w:rPr>
          <w:rFonts w:ascii="Arial" w:hAnsi="Arial" w:cs="Arial"/>
          <w:sz w:val="24"/>
          <w:szCs w:val="24"/>
        </w:rPr>
        <w:t xml:space="preserve"> 15</w:t>
      </w:r>
      <w:r w:rsidRPr="00834F40">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Edinburgh: Pearson Education Limited. </w:t>
      </w:r>
    </w:p>
    <w:p w14:paraId="2DC7617B" w14:textId="77777777" w:rsidR="00A86C8E" w:rsidRDefault="00A86C8E" w:rsidP="00A86C8E">
      <w:pPr>
        <w:rPr>
          <w:rFonts w:ascii="Arial" w:hAnsi="Arial" w:cs="Arial"/>
          <w:sz w:val="24"/>
          <w:szCs w:val="24"/>
        </w:rPr>
      </w:pPr>
      <w:r w:rsidRPr="00AE4380">
        <w:rPr>
          <w:rFonts w:ascii="Arial" w:hAnsi="Arial" w:cs="Arial"/>
          <w:i/>
          <w:iCs/>
          <w:sz w:val="24"/>
          <w:szCs w:val="24"/>
        </w:rPr>
        <w:t>Halsbury’s Laws of England</w:t>
      </w:r>
      <w:r w:rsidRPr="00AE4380">
        <w:rPr>
          <w:rFonts w:ascii="Arial" w:hAnsi="Arial" w:cs="Arial"/>
          <w:sz w:val="24"/>
          <w:szCs w:val="24"/>
        </w:rPr>
        <w:t xml:space="preserve"> (2019) Available at: </w:t>
      </w:r>
      <w:hyperlink r:id="rId8" w:history="1">
        <w:r w:rsidRPr="00AE4380">
          <w:rPr>
            <w:rStyle w:val="Hyperlink"/>
            <w:rFonts w:ascii="Arial" w:hAnsi="Arial" w:cs="Arial"/>
            <w:sz w:val="24"/>
            <w:szCs w:val="24"/>
          </w:rPr>
          <w:t>https://plus-lexis-com.ezproxy.uwtsd.ac.uk/uk/document/?pdmfid=1001073&amp;crid=ed46c5a1-e1d3-44da-91c7-ae59f0a83ebf&amp;pddocfullpath=%2Fshared%2Fdocument%2Fanalytical-materials-uk%2Furn%3AcontentItem%3A8W1S-8YG2-8T41-D1DB-00000-00&amp;pdcontentcomponentid=127820&amp;pdteaserkey=&amp;pdislpamode=false&amp;pddocumentnumber=9&amp;ecomp=tt5k&amp;earg=sr8&amp;prid=c5d75bfd-f894-4ff5-9898-9c6449b9d9a3</w:t>
        </w:r>
      </w:hyperlink>
      <w:r w:rsidRPr="00AE4380">
        <w:rPr>
          <w:rFonts w:ascii="Arial" w:hAnsi="Arial" w:cs="Arial"/>
          <w:sz w:val="24"/>
          <w:szCs w:val="24"/>
        </w:rPr>
        <w:t xml:space="preserve"> (Accessed: 27 March 2023). </w:t>
      </w:r>
    </w:p>
    <w:p w14:paraId="54F3732A" w14:textId="77777777" w:rsidR="00A86C8E" w:rsidRPr="00AE4380" w:rsidRDefault="00A86C8E" w:rsidP="00A86C8E">
      <w:pPr>
        <w:rPr>
          <w:rFonts w:ascii="Arial" w:hAnsi="Arial" w:cs="Arial"/>
          <w:sz w:val="24"/>
          <w:szCs w:val="24"/>
        </w:rPr>
      </w:pPr>
      <w:r>
        <w:rPr>
          <w:rFonts w:ascii="Arial" w:hAnsi="Arial" w:cs="Arial"/>
          <w:sz w:val="24"/>
          <w:szCs w:val="24"/>
        </w:rPr>
        <w:t xml:space="preserve">Ipsos MORI. (2011) </w:t>
      </w:r>
      <w:r w:rsidRPr="000676B8">
        <w:rPr>
          <w:rFonts w:ascii="Arial" w:hAnsi="Arial" w:cs="Arial"/>
          <w:i/>
          <w:iCs/>
          <w:sz w:val="24"/>
          <w:szCs w:val="24"/>
        </w:rPr>
        <w:t xml:space="preserve">The Strength and Skills of the Judiciary in the Magistrates’ </w:t>
      </w:r>
      <w:r>
        <w:rPr>
          <w:rFonts w:ascii="Arial" w:hAnsi="Arial" w:cs="Arial"/>
          <w:i/>
          <w:iCs/>
          <w:sz w:val="24"/>
          <w:szCs w:val="24"/>
        </w:rPr>
        <w:t>C</w:t>
      </w:r>
      <w:r w:rsidRPr="000676B8">
        <w:rPr>
          <w:rFonts w:ascii="Arial" w:hAnsi="Arial" w:cs="Arial"/>
          <w:i/>
          <w:iCs/>
          <w:sz w:val="24"/>
          <w:szCs w:val="24"/>
        </w:rPr>
        <w:t>ourts.</w:t>
      </w:r>
      <w:r>
        <w:rPr>
          <w:rFonts w:ascii="Arial" w:hAnsi="Arial" w:cs="Arial"/>
          <w:sz w:val="24"/>
          <w:szCs w:val="24"/>
        </w:rPr>
        <w:t xml:space="preserve"> Available at: </w:t>
      </w:r>
      <w:hyperlink r:id="rId9" w:history="1">
        <w:r w:rsidRPr="00075CE6">
          <w:rPr>
            <w:rStyle w:val="Hyperlink"/>
            <w:rFonts w:ascii="Arial" w:hAnsi="Arial" w:cs="Arial"/>
            <w:sz w:val="24"/>
            <w:szCs w:val="24"/>
          </w:rPr>
          <w:t>https://assets.publishing.service.gov.uk/government/uploads/system/uploads/attachment_data/file/217366/strengths-skills-judiciary.pdf</w:t>
        </w:r>
      </w:hyperlink>
      <w:r>
        <w:rPr>
          <w:rFonts w:ascii="Arial" w:hAnsi="Arial" w:cs="Arial"/>
          <w:sz w:val="24"/>
          <w:szCs w:val="24"/>
        </w:rPr>
        <w:t xml:space="preserve"> (Accessed 03 April 2023). </w:t>
      </w:r>
    </w:p>
    <w:p w14:paraId="1A95F70A" w14:textId="77777777" w:rsidR="00A86C8E" w:rsidRDefault="00A86C8E" w:rsidP="00A86C8E">
      <w:pPr>
        <w:rPr>
          <w:rFonts w:ascii="Arial" w:hAnsi="Arial" w:cs="Arial"/>
          <w:sz w:val="24"/>
          <w:szCs w:val="24"/>
        </w:rPr>
      </w:pPr>
      <w:r w:rsidRPr="00901AFB">
        <w:rPr>
          <w:rFonts w:ascii="Arial" w:hAnsi="Arial" w:cs="Arial"/>
          <w:i/>
          <w:iCs/>
          <w:sz w:val="24"/>
          <w:szCs w:val="24"/>
        </w:rPr>
        <w:t>Magistrates</w:t>
      </w:r>
      <w:r w:rsidRPr="00AE4380">
        <w:rPr>
          <w:rFonts w:ascii="Arial" w:hAnsi="Arial" w:cs="Arial"/>
          <w:sz w:val="24"/>
          <w:szCs w:val="24"/>
        </w:rPr>
        <w:t xml:space="preserve"> (2023) Available at: </w:t>
      </w:r>
      <w:hyperlink r:id="rId10" w:history="1">
        <w:r w:rsidRPr="00AE4380">
          <w:rPr>
            <w:rStyle w:val="Hyperlink"/>
            <w:rFonts w:ascii="Arial" w:hAnsi="Arial" w:cs="Arial"/>
            <w:sz w:val="24"/>
            <w:szCs w:val="24"/>
          </w:rPr>
          <w:t>https://www.judiciary.uk/about-the-judiciary/who-are-the-judiciary/magistrates/</w:t>
        </w:r>
      </w:hyperlink>
      <w:r w:rsidRPr="00AE4380">
        <w:rPr>
          <w:rFonts w:ascii="Arial" w:hAnsi="Arial" w:cs="Arial"/>
          <w:sz w:val="24"/>
          <w:szCs w:val="24"/>
        </w:rPr>
        <w:t xml:space="preserve"> (Accessed: 27 March 2023). </w:t>
      </w:r>
    </w:p>
    <w:p w14:paraId="0632F9E0" w14:textId="77777777" w:rsidR="00A86C8E" w:rsidRDefault="00A86C8E" w:rsidP="00A86C8E">
      <w:pPr>
        <w:rPr>
          <w:rFonts w:ascii="Arial" w:hAnsi="Arial" w:cs="Arial"/>
          <w:sz w:val="24"/>
          <w:szCs w:val="24"/>
        </w:rPr>
      </w:pPr>
      <w:r>
        <w:rPr>
          <w:rFonts w:ascii="Arial" w:hAnsi="Arial" w:cs="Arial"/>
          <w:sz w:val="24"/>
          <w:szCs w:val="24"/>
        </w:rPr>
        <w:t xml:space="preserve">Morgan, R. Russel, N. (2000) The Judiciary in the Magistrates’ courts. Available at: </w:t>
      </w:r>
      <w:hyperlink r:id="rId11" w:history="1">
        <w:r w:rsidRPr="00075CE6">
          <w:rPr>
            <w:rStyle w:val="Hyperlink"/>
            <w:rFonts w:ascii="Arial" w:hAnsi="Arial" w:cs="Arial"/>
            <w:sz w:val="24"/>
            <w:szCs w:val="24"/>
          </w:rPr>
          <w:t>https://webarchive.nationalarchives.gov.uk/ukgwa/20110218135832/http://rds.homeoffice.gov.uk/rds/pdfs/occ-judiciary.pdf</w:t>
        </w:r>
      </w:hyperlink>
      <w:r>
        <w:rPr>
          <w:rFonts w:ascii="Arial" w:hAnsi="Arial" w:cs="Arial"/>
          <w:sz w:val="24"/>
          <w:szCs w:val="24"/>
        </w:rPr>
        <w:t xml:space="preserve"> (Accessed: 03 April 2023). </w:t>
      </w:r>
    </w:p>
    <w:p w14:paraId="6CA8C58A" w14:textId="77777777" w:rsidR="00A86C8E" w:rsidRDefault="00A86C8E" w:rsidP="00A86C8E">
      <w:pPr>
        <w:rPr>
          <w:rFonts w:ascii="Arial" w:hAnsi="Arial" w:cs="Arial"/>
          <w:sz w:val="24"/>
          <w:szCs w:val="24"/>
        </w:rPr>
      </w:pPr>
      <w:r>
        <w:rPr>
          <w:rFonts w:ascii="Arial" w:hAnsi="Arial" w:cs="Arial"/>
          <w:sz w:val="24"/>
          <w:szCs w:val="24"/>
        </w:rPr>
        <w:t xml:space="preserve">Lord Justice Auld. (2001) Review of the Criminal Courts of England and Wales. Available at: </w:t>
      </w:r>
      <w:hyperlink r:id="rId12" w:history="1">
        <w:r w:rsidRPr="00075CE6">
          <w:rPr>
            <w:rStyle w:val="Hyperlink"/>
            <w:rFonts w:ascii="Arial" w:hAnsi="Arial" w:cs="Arial"/>
            <w:sz w:val="24"/>
            <w:szCs w:val="24"/>
          </w:rPr>
          <w:t>https://www.criminal-courts-review.org.uk/auldconts.htm</w:t>
        </w:r>
      </w:hyperlink>
      <w:r>
        <w:rPr>
          <w:rFonts w:ascii="Arial" w:hAnsi="Arial" w:cs="Arial"/>
          <w:sz w:val="24"/>
          <w:szCs w:val="24"/>
        </w:rPr>
        <w:t xml:space="preserve"> (Accessed: 03 April 2023).  </w:t>
      </w:r>
    </w:p>
    <w:p w14:paraId="21AF1DB2" w14:textId="77777777" w:rsidR="00A86C8E" w:rsidRDefault="00A86C8E" w:rsidP="00A86C8E">
      <w:pPr>
        <w:rPr>
          <w:rFonts w:ascii="Arial" w:hAnsi="Arial" w:cs="Arial"/>
          <w:sz w:val="24"/>
          <w:szCs w:val="24"/>
        </w:rPr>
      </w:pPr>
      <w:r>
        <w:rPr>
          <w:rFonts w:ascii="Arial" w:hAnsi="Arial" w:cs="Arial"/>
          <w:sz w:val="24"/>
          <w:szCs w:val="24"/>
        </w:rPr>
        <w:t>Slapper, G. Kelly, D. (2019</w:t>
      </w:r>
      <w:r w:rsidRPr="00AE5FC9">
        <w:rPr>
          <w:rFonts w:ascii="Arial" w:hAnsi="Arial" w:cs="Arial"/>
          <w:sz w:val="24"/>
          <w:szCs w:val="24"/>
        </w:rPr>
        <w:t>)</w:t>
      </w:r>
      <w:r w:rsidRPr="00AE5FC9">
        <w:rPr>
          <w:rFonts w:ascii="Arial" w:hAnsi="Arial" w:cs="Arial"/>
          <w:i/>
          <w:iCs/>
          <w:sz w:val="24"/>
          <w:szCs w:val="24"/>
        </w:rPr>
        <w:t xml:space="preserve"> The English Legal System</w:t>
      </w:r>
      <w:r>
        <w:rPr>
          <w:rFonts w:ascii="Arial" w:hAnsi="Arial" w:cs="Arial"/>
          <w:sz w:val="24"/>
          <w:szCs w:val="24"/>
        </w:rPr>
        <w:t>. 15</w:t>
      </w:r>
      <w:r>
        <w:rPr>
          <w:rFonts w:ascii="Arial" w:hAnsi="Arial" w:cs="Arial"/>
          <w:sz w:val="24"/>
          <w:szCs w:val="24"/>
          <w:vertAlign w:val="superscript"/>
        </w:rPr>
        <w:t xml:space="preserve">th </w:t>
      </w:r>
      <w:proofErr w:type="spellStart"/>
      <w:r>
        <w:rPr>
          <w:rFonts w:ascii="Arial" w:hAnsi="Arial" w:cs="Arial"/>
          <w:sz w:val="24"/>
          <w:szCs w:val="24"/>
        </w:rPr>
        <w:t>edn</w:t>
      </w:r>
      <w:proofErr w:type="spellEnd"/>
      <w:r>
        <w:rPr>
          <w:rFonts w:ascii="Arial" w:hAnsi="Arial" w:cs="Arial"/>
          <w:sz w:val="24"/>
          <w:szCs w:val="24"/>
        </w:rPr>
        <w:t xml:space="preserve">. Oxon: Routledge. </w:t>
      </w:r>
    </w:p>
    <w:p w14:paraId="5612F221" w14:textId="77777777" w:rsidR="00A86C8E" w:rsidRDefault="00A86C8E" w:rsidP="00A86C8E">
      <w:pPr>
        <w:rPr>
          <w:rFonts w:ascii="Arial" w:hAnsi="Arial" w:cs="Arial"/>
          <w:sz w:val="24"/>
          <w:szCs w:val="24"/>
        </w:rPr>
      </w:pPr>
      <w:r>
        <w:rPr>
          <w:rFonts w:ascii="Arial" w:hAnsi="Arial" w:cs="Arial"/>
          <w:sz w:val="24"/>
          <w:szCs w:val="24"/>
        </w:rPr>
        <w:lastRenderedPageBreak/>
        <w:t xml:space="preserve">Sturge, G. (2020) </w:t>
      </w:r>
      <w:r w:rsidRPr="00530B0E">
        <w:rPr>
          <w:rFonts w:ascii="Arial" w:hAnsi="Arial" w:cs="Arial"/>
          <w:i/>
          <w:iCs/>
          <w:sz w:val="24"/>
          <w:szCs w:val="24"/>
        </w:rPr>
        <w:t>Constituency data: Magistrates’ court closures.</w:t>
      </w:r>
      <w:r>
        <w:rPr>
          <w:rFonts w:ascii="Arial" w:hAnsi="Arial" w:cs="Arial"/>
          <w:sz w:val="24"/>
          <w:szCs w:val="24"/>
        </w:rPr>
        <w:t xml:space="preserve"> Available at: </w:t>
      </w:r>
      <w:hyperlink r:id="rId13" w:history="1">
        <w:r w:rsidRPr="00FE5AAD">
          <w:rPr>
            <w:rStyle w:val="Hyperlink"/>
            <w:rFonts w:ascii="Arial" w:hAnsi="Arial" w:cs="Arial"/>
            <w:sz w:val="24"/>
            <w:szCs w:val="24"/>
          </w:rPr>
          <w:t>https://commonslibrary.parliament.uk/constituency-data-magistrates-court-closures/</w:t>
        </w:r>
      </w:hyperlink>
      <w:r>
        <w:rPr>
          <w:rFonts w:ascii="Arial" w:hAnsi="Arial" w:cs="Arial"/>
          <w:sz w:val="24"/>
          <w:szCs w:val="24"/>
        </w:rPr>
        <w:t xml:space="preserve"> (Accessed: 30 March 2023). </w:t>
      </w:r>
    </w:p>
    <w:p w14:paraId="2FDFCC3B" w14:textId="77777777" w:rsidR="00A86C8E" w:rsidRDefault="00A86C8E" w:rsidP="00A86C8E">
      <w:pPr>
        <w:rPr>
          <w:rFonts w:ascii="Arial" w:hAnsi="Arial" w:cs="Arial"/>
          <w:sz w:val="24"/>
          <w:szCs w:val="24"/>
        </w:rPr>
      </w:pPr>
      <w:r>
        <w:rPr>
          <w:rFonts w:ascii="Arial" w:hAnsi="Arial" w:cs="Arial"/>
          <w:sz w:val="24"/>
          <w:szCs w:val="24"/>
        </w:rPr>
        <w:t xml:space="preserve">The Lord Chief Justice of England and Wales. (2022) </w:t>
      </w:r>
      <w:r w:rsidRPr="00722621">
        <w:rPr>
          <w:rFonts w:ascii="Arial" w:hAnsi="Arial" w:cs="Arial"/>
          <w:i/>
          <w:iCs/>
          <w:sz w:val="24"/>
          <w:szCs w:val="24"/>
        </w:rPr>
        <w:t>Message from the Lord Chief Justice: 2022 judicial diversity statistics.</w:t>
      </w:r>
      <w:r>
        <w:rPr>
          <w:rFonts w:ascii="Arial" w:hAnsi="Arial" w:cs="Arial"/>
          <w:sz w:val="24"/>
          <w:szCs w:val="24"/>
        </w:rPr>
        <w:t xml:space="preserve"> Available at: </w:t>
      </w:r>
      <w:hyperlink r:id="rId14" w:history="1">
        <w:r w:rsidRPr="00FE5AAD">
          <w:rPr>
            <w:rStyle w:val="Hyperlink"/>
            <w:rFonts w:ascii="Arial" w:hAnsi="Arial" w:cs="Arial"/>
            <w:sz w:val="24"/>
            <w:szCs w:val="24"/>
          </w:rPr>
          <w:t>https://www.judiciary.uk/guidance-and-resources/message-from-the-lord-chief-justice-2022-judicial-diversity-statistics/</w:t>
        </w:r>
      </w:hyperlink>
      <w:r>
        <w:rPr>
          <w:rFonts w:ascii="Arial" w:hAnsi="Arial" w:cs="Arial"/>
          <w:sz w:val="24"/>
          <w:szCs w:val="24"/>
        </w:rPr>
        <w:t xml:space="preserve"> (Accessed: 30 March 2023). </w:t>
      </w:r>
    </w:p>
    <w:p w14:paraId="37AAD105" w14:textId="77777777" w:rsidR="00A86C8E" w:rsidRPr="0065527B" w:rsidRDefault="00A86C8E" w:rsidP="00A86C8E">
      <w:pPr>
        <w:rPr>
          <w:rFonts w:ascii="Arial" w:hAnsi="Arial" w:cs="Arial"/>
          <w:sz w:val="24"/>
          <w:szCs w:val="24"/>
        </w:rPr>
      </w:pPr>
    </w:p>
    <w:p w14:paraId="1E7FF58A" w14:textId="77777777" w:rsidR="00A86C8E" w:rsidRPr="00D42409" w:rsidRDefault="00A86C8E">
      <w:pPr>
        <w:rPr>
          <w:rFonts w:ascii="Arial" w:hAnsi="Arial" w:cs="Arial"/>
          <w:sz w:val="24"/>
          <w:szCs w:val="24"/>
        </w:rPr>
      </w:pPr>
    </w:p>
    <w:sectPr w:rsidR="00A86C8E" w:rsidRPr="00D424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DB6"/>
    <w:rsid w:val="003E7DB6"/>
    <w:rsid w:val="00742DDA"/>
    <w:rsid w:val="00945B8C"/>
    <w:rsid w:val="00A55237"/>
    <w:rsid w:val="00A62EEB"/>
    <w:rsid w:val="00A86C8E"/>
    <w:rsid w:val="00D42409"/>
    <w:rsid w:val="00E41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03F02"/>
  <w15:chartTrackingRefBased/>
  <w15:docId w15:val="{7FB3AD4F-96D2-42D6-ADA6-116926ABB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6C8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ezproxy.uwtsd.ac.uk/uk/document/?pdmfid=1001073&amp;crid=ed46c5a1-e1d3-44da-91c7-ae59f0a83ebf&amp;pddocfullpath=%2Fshared%2Fdocument%2Fanalytical-materials-uk%2Furn%3AcontentItem%3A8W1S-8YG2-8T41-D1DB-00000-00&amp;pdcontentcomponentid=127820&amp;pdteaserkey=&amp;pdislpamode=false&amp;pddocumentnumber=9&amp;ecomp=tt5k&amp;earg=sr8&amp;prid=c5d75bfd-f894-4ff5-9898-9c6449b9d9a3" TargetMode="External"/><Relationship Id="rId13" Type="http://schemas.openxmlformats.org/officeDocument/2006/relationships/hyperlink" Target="https://commonslibrary.parliament.uk/constituency-data-magistrates-court-closures/" TargetMode="External"/><Relationship Id="rId3" Type="http://schemas.openxmlformats.org/officeDocument/2006/relationships/webSettings" Target="webSettings.xml"/><Relationship Id="rId7" Type="http://schemas.openxmlformats.org/officeDocument/2006/relationships/hyperlink" Target="https://www.lawsociety.org.uk/campaigns/court-reform/whats-changing/court-closures" TargetMode="External"/><Relationship Id="rId12" Type="http://schemas.openxmlformats.org/officeDocument/2006/relationships/hyperlink" Target="https://www.criminal-courts-review.org.uk/auldconts.htm"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bc.co.uk/news/uk-35552199" TargetMode="External"/><Relationship Id="rId11" Type="http://schemas.openxmlformats.org/officeDocument/2006/relationships/hyperlink" Target="https://webarchive.nationalarchives.gov.uk/ukgwa/20110218135832/http://rds.homeoffice.gov.uk/rds/pdfs/occ-judiciary.pdf" TargetMode="External"/><Relationship Id="rId5" Type="http://schemas.openxmlformats.org/officeDocument/2006/relationships/hyperlink" Target="https://amp.theguardian.com/law/2019/jan/27/half-of-magistrates-courts-in-england-and-wales-closed-since-tories-elected" TargetMode="External"/><Relationship Id="rId15" Type="http://schemas.openxmlformats.org/officeDocument/2006/relationships/fontTable" Target="fontTable.xml"/><Relationship Id="rId10" Type="http://schemas.openxmlformats.org/officeDocument/2006/relationships/hyperlink" Target="https://www.judiciary.uk/about-the-judiciary/who-are-the-judiciary/magistrates/" TargetMode="External"/><Relationship Id="rId4" Type="http://schemas.openxmlformats.org/officeDocument/2006/relationships/hyperlink" Target="https://www.gov.uk/become-magistrate" TargetMode="External"/><Relationship Id="rId9" Type="http://schemas.openxmlformats.org/officeDocument/2006/relationships/hyperlink" Target="https://assets.publishing.service.gov.uk/government/uploads/system/uploads/attachment_data/file/217366/strengths-skills-judiciary.pdf" TargetMode="External"/><Relationship Id="rId14" Type="http://schemas.openxmlformats.org/officeDocument/2006/relationships/hyperlink" Target="https://www.judiciary.uk/guidance-and-resources/message-from-the-lord-chief-justice-2022-judicial-diversity-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5</Pages>
  <Words>2108</Words>
  <Characters>12018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Alexandra Olivia</dc:creator>
  <cp:keywords/>
  <dc:description/>
  <cp:lastModifiedBy>Phoebe Alexandra Olivia</cp:lastModifiedBy>
  <cp:revision>1</cp:revision>
  <dcterms:created xsi:type="dcterms:W3CDTF">2023-04-15T17:05:00Z</dcterms:created>
  <dcterms:modified xsi:type="dcterms:W3CDTF">2023-04-15T18:03:00Z</dcterms:modified>
</cp:coreProperties>
</file>