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r>
        <w:rPr>
          <w:rFonts w:ascii="Helvetica" w:hAnsi="Helvetica" w:cs="Helvetica"/>
          <w:sz w:val="24"/>
          <w:sz-cs w:val="24"/>
        </w:rPr>
        <w:t xml:space="preserve"/>
      </w:r>
    </w:p>
    <w:p>
      <w:pPr/>
      <w:r>
        <w:rPr>
          <w:rFonts w:ascii="Helvetica" w:hAnsi="Helvetica" w:cs="Helvetica"/>
          <w:sz w:val="24"/>
          <w:sz-cs w:val="24"/>
        </w:rPr>
        <w:t xml:space="preserve"/>
      </w:r>
    </w:p>
    <w:p>
      <w:pPr/>
      <w:r>
        <w:rPr>
          <w:rFonts w:ascii="Helvetica" w:hAnsi="Helvetica" w:cs="Helvetica"/>
          <w:sz w:val="24"/>
          <w:sz-cs w:val="24"/>
        </w:rPr>
        <w:t xml:space="preserve"/>
      </w:r>
    </w:p>
    <w:p>
      <w:pPr/>
      <w:r>
        <w:rPr>
          <w:rFonts w:ascii="Helvetica" w:hAnsi="Helvetica" w:cs="Helvetica"/>
          <w:sz w:val="24"/>
          <w:sz-cs w:val="24"/>
        </w:rPr>
        <w:t xml:space="preserve"/>
      </w:r>
    </w:p>
    <w:p>
      <w:pPr/>
      <w:r>
        <w:rPr>
          <w:rFonts w:ascii="Helvetica" w:hAnsi="Helvetica" w:cs="Helvetica"/>
          <w:sz w:val="24"/>
          <w:sz-cs w:val="24"/>
        </w:rPr>
        <w:t xml:space="preserve"/>
      </w:r>
    </w:p>
    <w:p>
      <w:pPr/>
      <w:r>
        <w:rPr>
          <w:rFonts w:ascii="Helvetica" w:hAnsi="Helvetica" w:cs="Helvetica"/>
          <w:sz w:val="24"/>
          <w:sz-cs w:val="24"/>
        </w:rPr>
        <w:t xml:space="preserve"/>
      </w:r>
    </w:p>
    <w:p>
      <w:pPr/>
      <w:r>
        <w:rPr>
          <w:rFonts w:ascii="Helvetica" w:hAnsi="Helvetica" w:cs="Helvetica"/>
          <w:sz w:val="24"/>
          <w:sz-cs w:val="24"/>
        </w:rPr>
        <w:t xml:space="preserve"/>
      </w:r>
    </w:p>
    <w:p>
      <w:pPr/>
      <w:r>
        <w:rPr>
          <w:rFonts w:ascii="Helvetica" w:hAnsi="Helvetica" w:cs="Helvetica"/>
          <w:sz w:val="24"/>
          <w:sz-cs w:val="24"/>
        </w:rPr>
        <w:t xml:space="preserve"/>
      </w:r>
    </w:p>
    <w:p>
      <w:pPr/>
      <w:r>
        <w:rPr>
          <w:rFonts w:ascii="Helvetica" w:hAnsi="Helvetica" w:cs="Helvetica"/>
          <w:sz w:val="24"/>
          <w:sz-cs w:val="24"/>
        </w:rPr>
        <w:t xml:space="preserve"/>
      </w:r>
    </w:p>
    <w:p>
      <w:pPr>
        <w:jc w:val="center"/>
      </w:pPr>
      <w:r>
        <w:rPr>
          <w:rFonts w:ascii="Times New Roman" w:hAnsi="Times New Roman" w:cs="Times New Roman"/>
          <w:sz w:val="32"/>
          <w:sz-cs w:val="32"/>
          <w:b/>
          <w:color w:val="00000A"/>
        </w:rPr>
        <w:t xml:space="preserve">ACADEMIC AND EMPLOYABILITY SKILLS</w:t>
      </w:r>
    </w:p>
    <w:p>
      <w:pPr>
        <w:jc w:val="center"/>
      </w:pPr>
      <w:r>
        <w:rPr>
          <w:rFonts w:ascii="Times" w:hAnsi="Times" w:cs="Times"/>
          <w:sz w:val="28"/>
          <w:sz-cs w:val="28"/>
        </w:rPr>
        <w:t xml:space="preserve">Name:Maria Aleksandrova Yordanova</w:t>
      </w:r>
    </w:p>
    <w:p>
      <w:pPr>
        <w:jc w:val="center"/>
      </w:pPr>
      <w:r>
        <w:rPr>
          <w:rFonts w:ascii="Times" w:hAnsi="Times" w:cs="Times"/>
          <w:sz w:val="28"/>
          <w:sz-cs w:val="28"/>
        </w:rPr>
        <w:t xml:space="preserve">Student Number:1921635</w:t>
      </w:r>
    </w:p>
    <w:p>
      <w:pPr>
        <w:jc w:val="center"/>
      </w:pPr>
      <w:r>
        <w:rPr>
          <w:rFonts w:ascii="Times" w:hAnsi="Times" w:cs="Times"/>
          <w:sz w:val="28"/>
          <w:sz-cs w:val="28"/>
        </w:rPr>
        <w:t xml:space="preserve">Module Title:Academic and Employability skills</w:t>
      </w:r>
    </w:p>
    <w:p>
      <w:pPr>
        <w:jc w:val="center"/>
      </w:pPr>
      <w:r>
        <w:rPr>
          <w:rFonts w:ascii="Times" w:hAnsi="Times" w:cs="Times"/>
          <w:sz w:val="28"/>
          <w:sz-cs w:val="28"/>
        </w:rPr>
        <w:t xml:space="preserve">Module Lecturer’s Name:Shao Yuen</w:t>
      </w:r>
      <w:r>
        <w:rPr>
          <w:rFonts w:ascii="Times" w:hAnsi="Times" w:cs="Times"/>
          <w:sz w:val="24"/>
          <w:sz-cs w:val="24"/>
        </w:rPr>
        <w:t xml:space="preserve"/>
        <w:br w:type="page"/>
        <w:t xml:space="preserve"/>
      </w:r>
    </w:p>
    <w:p>
      <w:pPr>
        <w:jc w:val="center"/>
      </w:pPr>
      <w:r>
        <w:rPr>
          <w:rFonts w:ascii="Times New Roman" w:hAnsi="Times New Roman" w:cs="Times New Roman"/>
          <w:sz w:val="24"/>
          <w:sz-cs w:val="24"/>
          <w:u w:val="single"/>
          <w:color w:val="00000A"/>
        </w:rPr>
        <w:t xml:space="preserve">Table of Contents</w:t>
      </w:r>
    </w:p>
    <w:p>
      <w:pPr/>
      <w:r>
        <w:rPr>
          <w:rFonts w:ascii="Times" w:hAnsi="Times" w:cs="Times"/>
          <w:sz w:val="24"/>
          <w:sz-cs w:val="24"/>
        </w:rPr>
        <w:t xml:space="preserve">Introduction</w:t>
        <w:tab/>
        <w:t xml:space="preserve">3</w:t>
      </w:r>
    </w:p>
    <w:p>
      <w:pPr/>
      <w:r>
        <w:rPr>
          <w:rFonts w:ascii="Times" w:hAnsi="Times" w:cs="Times"/>
          <w:sz w:val="24"/>
          <w:sz-cs w:val="24"/>
        </w:rPr>
        <w:t xml:space="preserve">Article 1</w:t>
        <w:tab/>
        <w:t xml:space="preserve">4</w:t>
      </w:r>
    </w:p>
    <w:p>
      <w:pPr/>
      <w:r>
        <w:rPr>
          <w:rFonts w:ascii="Times" w:hAnsi="Times" w:cs="Times"/>
          <w:sz w:val="24"/>
          <w:sz-cs w:val="24"/>
        </w:rPr>
        <w:t xml:space="preserve">Article 2</w:t>
        <w:tab/>
        <w:t xml:space="preserve">5</w:t>
      </w:r>
    </w:p>
    <w:p>
      <w:pPr/>
      <w:r>
        <w:rPr>
          <w:rFonts w:ascii="Times" w:hAnsi="Times" w:cs="Times"/>
          <w:sz w:val="24"/>
          <w:sz-cs w:val="24"/>
        </w:rPr>
        <w:t xml:space="preserve">Article 3</w:t>
        <w:tab/>
        <w:t xml:space="preserve">6</w:t>
      </w:r>
    </w:p>
    <w:p>
      <w:pPr/>
      <w:r>
        <w:rPr>
          <w:rFonts w:ascii="Times" w:hAnsi="Times" w:cs="Times"/>
          <w:sz w:val="24"/>
          <w:sz-cs w:val="24"/>
        </w:rPr>
        <w:t xml:space="preserve">Article 4</w:t>
        <w:tab/>
        <w:t xml:space="preserve">7</w:t>
      </w:r>
    </w:p>
    <w:p>
      <w:pPr/>
      <w:r>
        <w:rPr>
          <w:rFonts w:ascii="Times" w:hAnsi="Times" w:cs="Times"/>
          <w:sz w:val="24"/>
          <w:sz-cs w:val="24"/>
        </w:rPr>
        <w:t xml:space="preserve">Brief analysis of own employability skills</w:t>
        <w:tab/>
        <w:t xml:space="preserve">8</w:t>
      </w:r>
    </w:p>
    <w:p>
      <w:pPr/>
      <w:r>
        <w:rPr>
          <w:rFonts w:ascii="Times" w:hAnsi="Times" w:cs="Times"/>
          <w:sz w:val="24"/>
          <w:sz-cs w:val="24"/>
        </w:rPr>
        <w:t xml:space="preserve">Conclusion</w:t>
        <w:tab/>
        <w:t xml:space="preserve">9</w:t>
      </w:r>
    </w:p>
    <w:p>
      <w:pPr/>
      <w:r>
        <w:rPr>
          <w:rFonts w:ascii="Times" w:hAnsi="Times" w:cs="Times"/>
          <w:sz w:val="24"/>
          <w:sz-cs w:val="24"/>
        </w:rPr>
        <w:t xml:space="preserve">Reference List</w:t>
        <w:tab/>
        <w:t xml:space="preserve">10</w:t>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br w:type="page"/>
        <w:t xml:space="preserve"/>
      </w:r>
    </w:p>
    <w:p>
      <w:pPr/>
      <w:r>
        <w:rPr>
          <w:rFonts w:ascii="Times" w:hAnsi="Times" w:cs="Times"/>
          <w:sz w:val="24"/>
          <w:sz-cs w:val="24"/>
        </w:rPr>
        <w:t xml:space="preserve">Introduction </w:t>
      </w:r>
    </w:p>
    <w:p>
      <w:pPr/>
      <w:r>
        <w:rPr>
          <w:rFonts w:ascii="Times" w:hAnsi="Times" w:cs="Times"/>
          <w:sz w:val="24"/>
          <w:sz-cs w:val="24"/>
        </w:rPr>
        <w:t xml:space="preserve">The employability sector is diverse and competitive today and candidates are required to possess different kinds of additional skills and capabilities to be considered for employment in leading organisations. The following discussion will centre on analysing various articles related to employability skills and similar intricacies along with identifying own employability skills effectively. It will also analyse weaknesses and loopholes that must be improved in order to attain professional success. </w:t>
      </w:r>
    </w:p>
    <w:p>
      <w:pPr/>
      <w:r>
        <w:rPr>
          <w:rFonts w:ascii="Times" w:hAnsi="Times" w:cs="Times"/>
          <w:sz w:val="24"/>
          <w:sz-cs w:val="24"/>
          <w:b/>
        </w:rPr>
        <w:t xml:space="preserve"/>
        <w:br w:type="page"/>
        <w:t xml:space="preserve"/>
      </w:r>
    </w:p>
    <w:p>
      <w:pPr/>
      <w:r>
        <w:rPr>
          <w:rFonts w:ascii="Times" w:hAnsi="Times" w:cs="Times"/>
          <w:sz w:val="24"/>
          <w:sz-cs w:val="24"/>
        </w:rPr>
        <w:t xml:space="preserve">Article 1</w:t>
      </w:r>
    </w:p>
    <w:p>
      <w:pPr/>
      <w:r>
        <w:rPr>
          <w:rFonts w:ascii="Times" w:hAnsi="Times" w:cs="Times"/>
          <w:sz w:val="24"/>
          <w:sz-cs w:val="24"/>
        </w:rPr>
        <w:t xml:space="preserve">Empowering students by enhancing their employability skills. </w:t>
      </w:r>
      <w:r>
        <w:rPr>
          <w:rFonts w:ascii="Times" w:hAnsi="Times" w:cs="Times"/>
          <w:sz w:val="24"/>
          <w:sz-cs w:val="24"/>
          <w:i/>
        </w:rPr>
        <w:t xml:space="preserve">Journal of Further and Higher Education</w:t>
      </w:r>
    </w:p>
    <w:p>
      <w:pPr/>
      <w:r>
        <w:rPr>
          <w:rFonts w:ascii="Times" w:hAnsi="Times" w:cs="Times"/>
          <w:sz w:val="24"/>
          <w:sz-cs w:val="24"/>
        </w:rPr>
        <w:t xml:space="preserve">Authors: Scott, F.J., Connell, P., Thomson, L.A. and Willison, D.</w:t>
      </w:r>
    </w:p>
    <w:p>
      <w:pPr/>
      <w:r>
        <w:rPr>
          <w:rFonts w:ascii="Times" w:hAnsi="Times" w:cs="Times"/>
          <w:sz w:val="24"/>
          <w:sz-cs w:val="24"/>
        </w:rPr>
        <w:t xml:space="preserve">The article by Scott </w:t>
      </w:r>
      <w:r>
        <w:rPr>
          <w:rFonts w:ascii="Times" w:hAnsi="Times" w:cs="Times"/>
          <w:sz w:val="24"/>
          <w:sz-cs w:val="24"/>
          <w:i/>
        </w:rPr>
        <w:t xml:space="preserve">et al. </w:t>
      </w:r>
      <w:r>
        <w:rPr>
          <w:rFonts w:ascii="Times" w:hAnsi="Times" w:cs="Times"/>
          <w:sz w:val="24"/>
          <w:sz-cs w:val="24"/>
        </w:rPr>
        <w:t xml:space="preserve">(2019) has reflected the fact that it is no longer enough for candidates to have a discipline specific degree as employers are gradually looking beyond these degrees to different kinds of additional skills. According to the authors, the new set of employability skills that are gaining a huge amount of importance today are diverse competencies such as problem solving, resilience, team working and adaptability. The article considers various employability drivers that have taken the agenda of employability forward along with identifying the different kinds of approaches that are being taken by varied institutions for addressing this. On the other hand, the article also discusses the value and importance of such approaches from the perspective of employers, students or academics. </w:t>
      </w:r>
    </w:p>
    <w:p>
      <w:pPr/>
      <w:r>
        <w:rPr>
          <w:rFonts w:ascii="Times" w:hAnsi="Times" w:cs="Times"/>
          <w:sz w:val="24"/>
          <w:sz-cs w:val="24"/>
        </w:rPr>
        <w:t xml:space="preserve">The article recognises the importance of young graduates to be equipped with different kinds of employability skills along with their distinct subject-specific skills. It reflects the importance of transferable skills training that are often a part of various degree programmes. Modules often comprise of a distinct programme of activities that help in supporting different employability skills that helps them to seek better professional opportunities. One of the most important features of these activities is the active involvement of different external experts. On the other hand, detailed questionnaires have helped in identifying student perceptions while the thematic analysis has taken into consideration key issues being discussed and grouped as themes. </w:t>
      </w:r>
    </w:p>
    <w:p>
      <w:pPr/>
      <w:r>
        <w:rPr>
          <w:rFonts w:ascii="Times" w:hAnsi="Times" w:cs="Times"/>
          <w:sz w:val="24"/>
          <w:sz-cs w:val="24"/>
        </w:rPr>
        <w:t xml:space="preserve">This article is significant as it helps in boosting the confidence of students in different employability skills and helps them to find better professional success. The article therefore helps in devising all the factors that need to be considered while developing and delivering different programmes related to employability skills. The article discusses the manner in which it is possible to develop the teaching and learning portfolio while boosting student experience and generating more employable graduates. Collaborations with different external experts are often done as this helps in attaining better benefits like new industrial patterns in the department as well as within the institution (Scott </w:t>
      </w:r>
      <w:r>
        <w:rPr>
          <w:rFonts w:ascii="Times" w:hAnsi="Times" w:cs="Times"/>
          <w:sz w:val="24"/>
          <w:sz-cs w:val="24"/>
          <w:i/>
        </w:rPr>
        <w:t xml:space="preserve">et al., </w:t>
      </w:r>
      <w:r>
        <w:rPr>
          <w:rFonts w:ascii="Times" w:hAnsi="Times" w:cs="Times"/>
          <w:sz w:val="24"/>
          <w:sz-cs w:val="24"/>
        </w:rPr>
        <w:t xml:space="preserve">2019). The data collected in the study has made it clear that these helps in improving the confidence level of students and therefore the implementation of such external-expert centred module is hugely beneficial in today’s employability market.</w:t>
      </w:r>
    </w:p>
    <w:p>
      <w:pPr/>
      <w:r>
        <w:rPr>
          <w:rFonts w:ascii="Times" w:hAnsi="Times" w:cs="Times"/>
          <w:sz w:val="24"/>
          <w:sz-cs w:val="24"/>
        </w:rPr>
        <w:t xml:space="preserve">Article 2</w:t>
      </w:r>
    </w:p>
    <w:p>
      <w:pPr/>
      <w:r>
        <w:rPr>
          <w:rFonts w:ascii="Times" w:hAnsi="Times" w:cs="Times"/>
          <w:sz w:val="24"/>
          <w:sz-cs w:val="24"/>
        </w:rPr>
        <w:t xml:space="preserve">Graduates' Competence on Employability Skills and Job Performance. </w:t>
      </w:r>
      <w:r>
        <w:rPr>
          <w:rFonts w:ascii="Times" w:hAnsi="Times" w:cs="Times"/>
          <w:sz w:val="24"/>
          <w:sz-cs w:val="24"/>
          <w:i/>
        </w:rPr>
        <w:t xml:space="preserve">International Journal of Evaluation and Research in Education</w:t>
      </w:r>
    </w:p>
    <w:p>
      <w:pPr/>
      <w:r>
        <w:rPr>
          <w:rFonts w:ascii="Times" w:hAnsi="Times" w:cs="Times"/>
          <w:sz w:val="24"/>
          <w:sz-cs w:val="24"/>
        </w:rPr>
        <w:t xml:space="preserve">Authors: Abas, M.C. and Imam, O.A.</w:t>
      </w:r>
    </w:p>
    <w:p>
      <w:pPr/>
      <w:r>
        <w:rPr>
          <w:rFonts w:ascii="Times" w:hAnsi="Times" w:cs="Times"/>
          <w:sz w:val="24"/>
          <w:sz-cs w:val="24"/>
        </w:rPr>
        <w:t xml:space="preserve">The research by Abas and Imam (2016) sheds light on the fact that one of the most important measures of success in the workplace is the ability of employees to use knowledge, values and skills competently according to the organisational goals so that they are met in the best possible manner. Employers look out for employees who are expected to help in contributing to the overall accomplishment of the objectives and goals of the organisation. The research uses an explanatory-correlation design of research which helps in determining the relationship that exists between the categories of employability skills and the elements of a certain Contextual Performance as adopted from the Borman and Motowidlo’s Taxonomy. The authors selected around 220 respondents who represented the employees and employers from 25 governmental institutions in the Mindanao region of Philippines. In addition to this, the inferential analysis has highlighted the fact that the fundamental skills had a moderate relationship with the contextual performance of the employees.</w:t>
      </w:r>
    </w:p>
    <w:p>
      <w:pPr/>
      <w:r>
        <w:rPr>
          <w:rFonts w:ascii="Times" w:hAnsi="Times" w:cs="Times"/>
          <w:sz w:val="24"/>
          <w:sz-cs w:val="24"/>
        </w:rPr>
        <w:t xml:space="preserve">The researchers have also reflected the significance of problem solving and critical thinking skills in employees as this helps them in exhibiting better contextual behaviour. The research findings also reveal the fact that it is important for candidates to have relevant personal management skills along with being able to adapt and learn consistently as these are crucial across diverse elements of the contextual performance. The data gained from the research has helped in highlighting the fact that team working skills are correlated moderately with the contextual performance of the employees. This is implicative of the fact that the competence of the graduates in employability skills may offer them their due advantage within their specific work settings. Therefore, the researchers elucidate the fact that it is crucial for employers, higher academic institutions, policy makers, employees, labour agencies and other similar bodies to pay adequate attention towards developing the competence on the diverse employability skills so that the problems related to job performances may be addressed and mitigated.</w:t>
      </w:r>
    </w:p>
    <w:p>
      <w:pPr/>
      <w:r>
        <w:rPr>
          <w:rFonts w:ascii="Times" w:hAnsi="Times" w:cs="Times"/>
          <w:sz w:val="24"/>
          <w:sz-cs w:val="24"/>
        </w:rPr>
        <w:t xml:space="preserve">Article 3</w:t>
      </w:r>
    </w:p>
    <w:p>
      <w:pPr/>
      <w:r>
        <w:rPr>
          <w:rFonts w:ascii="Times" w:hAnsi="Times" w:cs="Times"/>
          <w:sz w:val="24"/>
          <w:sz-cs w:val="24"/>
        </w:rPr>
        <w:t xml:space="preserve">Employability skills for future marketing professionals. </w:t>
      </w:r>
      <w:r>
        <w:rPr>
          <w:rFonts w:ascii="Times" w:hAnsi="Times" w:cs="Times"/>
          <w:sz w:val="24"/>
          <w:sz-cs w:val="24"/>
          <w:i/>
        </w:rPr>
        <w:t xml:space="preserve">European management journal</w:t>
      </w:r>
    </w:p>
    <w:p>
      <w:pPr/>
      <w:r>
        <w:rPr>
          <w:rFonts w:ascii="Times" w:hAnsi="Times" w:cs="Times"/>
          <w:sz w:val="24"/>
          <w:sz-cs w:val="24"/>
        </w:rPr>
        <w:t xml:space="preserve">Authors: Di Gregorio, A., Maggioni, I., Mauri, C. and Mazzucchelli, A.</w:t>
      </w:r>
    </w:p>
    <w:p>
      <w:pPr/>
      <w:r>
        <w:rPr>
          <w:rFonts w:ascii="Times" w:hAnsi="Times" w:cs="Times"/>
          <w:sz w:val="24"/>
          <w:sz-cs w:val="24"/>
        </w:rPr>
        <w:t xml:space="preserve">It has been found from the literary underpinnings of Di Gregorio </w:t>
      </w:r>
      <w:r>
        <w:rPr>
          <w:rFonts w:ascii="Times" w:hAnsi="Times" w:cs="Times"/>
          <w:sz w:val="24"/>
          <w:sz-cs w:val="24"/>
          <w:i/>
        </w:rPr>
        <w:t xml:space="preserve">et al. </w:t>
      </w:r>
      <w:r>
        <w:rPr>
          <w:rFonts w:ascii="Times" w:hAnsi="Times" w:cs="Times"/>
          <w:sz w:val="24"/>
          <w:sz-cs w:val="24"/>
        </w:rPr>
        <w:t xml:space="preserve">(2019) that digital transformation has completely disrupted and modified the marketing career paths through examining the most sought marketing skills as well as identifying distinct opportunities for the future marketing professionals. The article performs an effective content analysis of different job advertisements as well as cross-country surveys of varied marketing professionals while proposing a concrete framework that defines the skill set that is required for marketing professionals so that they may have a successful career. The article is crucial as it identifies different kinds of employability skills and capabilities and the relevance of these categorises of skills are analysed across different kinds of highly and lowly digitalised firms. The research is effective in contributing to the debates relating to new graduate employability along with offering valuable directions to companies, tertiary education institutions as well as universities for supporting the future marketing talents. </w:t>
      </w:r>
    </w:p>
    <w:p>
      <w:pPr/>
      <w:r>
        <w:rPr>
          <w:rFonts w:ascii="Times" w:hAnsi="Times" w:cs="Times"/>
          <w:sz w:val="24"/>
          <w:sz-cs w:val="24"/>
        </w:rPr>
        <w:t xml:space="preserve">The relevance of this article lies in its impactful debate over the manner in which digital transformation impacts the marketing profession as well as the employment opportunities that are available for fresh graduates through offering a European perspective of the employability skills that must be developed by young marketing graduates. In addition to this, it is also effective in highlighting the fact that digital revolution has brought about a huge change in the manner in which marketing is practised along with identifying the changes within the nature of distinct marketing roles in organisations. The paper analyses the perception of European communication and marketing executives as well as the job markets and therefore assists both universities as well as companies in realising the changing requirements of capabilities and skills that are needed for initiating a successful professional career in marketing.</w:t>
      </w:r>
    </w:p>
    <w:p>
      <w:pPr/>
      <w:r>
        <w:rPr>
          <w:rFonts w:ascii="Times" w:hAnsi="Times" w:cs="Times"/>
          <w:sz w:val="24"/>
          <w:sz-cs w:val="24"/>
        </w:rPr>
        <w:t xml:space="preserve">Along with being relevant to the practitioners in offering a concrete understanding of the marketing job sector today, the article also offers critical insights for market students and universities. It illustrates the integrated customer-centred skills model that may help universities to identify existing gaps within their academic curriculum so that they may modify their degree programmes for equipping students with relevant skill sets (Di Gregorio </w:t>
      </w:r>
      <w:r>
        <w:rPr>
          <w:rFonts w:ascii="Times" w:hAnsi="Times" w:cs="Times"/>
          <w:sz w:val="24"/>
          <w:sz-cs w:val="24"/>
          <w:i/>
        </w:rPr>
        <w:t xml:space="preserve">et al., </w:t>
      </w:r>
      <w:r>
        <w:rPr>
          <w:rFonts w:ascii="Times" w:hAnsi="Times" w:cs="Times"/>
          <w:sz w:val="24"/>
          <w:sz-cs w:val="24"/>
        </w:rPr>
        <w:t xml:space="preserve">2019). This would help them in operating and succeeding in the diverse and the increasingly complex digital domain. It therefore aspires to bridge the gap between theory and practice while ensuring that graduates attain more professional success in the near future.</w:t>
      </w:r>
    </w:p>
    <w:p>
      <w:pPr/>
      <w:r>
        <w:rPr>
          <w:rFonts w:ascii="Times" w:hAnsi="Times" w:cs="Times"/>
          <w:sz w:val="24"/>
          <w:sz-cs w:val="24"/>
        </w:rPr>
        <w:t xml:space="preserve">Article 4</w:t>
      </w:r>
    </w:p>
    <w:p>
      <w:pPr/>
      <w:r>
        <w:rPr>
          <w:rFonts w:ascii="Times" w:hAnsi="Times" w:cs="Times"/>
          <w:sz w:val="24"/>
          <w:sz-cs w:val="24"/>
        </w:rPr>
        <w:t xml:space="preserve">Forbes.com (2020).</w:t>
      </w:r>
      <w:r>
        <w:rPr>
          <w:rFonts w:ascii="Times" w:hAnsi="Times" w:cs="Times"/>
          <w:sz w:val="24"/>
          <w:sz-cs w:val="24"/>
          <w:i/>
        </w:rPr>
        <w:t xml:space="preserve"> The Skills You Need To Succeed In 2020</w:t>
      </w:r>
      <w:r>
        <w:rPr>
          <w:rFonts w:ascii="Times" w:hAnsi="Times" w:cs="Times"/>
          <w:sz w:val="24"/>
          <w:sz-cs w:val="24"/>
        </w:rPr>
        <w:t xml:space="preserve"> </w:t>
      </w:r>
    </w:p>
    <w:p>
      <w:pPr/>
      <w:r>
        <w:rPr>
          <w:rFonts w:ascii="Times" w:hAnsi="Times" w:cs="Times"/>
          <w:sz w:val="24"/>
          <w:sz-cs w:val="24"/>
        </w:rPr>
        <w:t xml:space="preserve">The article has reflected and discussed some of the most important skills that must be possessed by individuals in order to succeed in the complex employability market in the future. It states that it is crucial for candidates to be creative as well as skilled encompassing skills such as being unique, autonomous, imaginative, directed, professional and standardised. On the other hand, it is also important for them to have an efficient knowledge of algorithms and different software. Professionals must have the capacity of being creative within their professional spaces as this is one of the most commonly demanded employability skills by all employers today (Forbes.com, 2020). The article focuses on the significance of students in learning, unlearning and relearning. For example, relearning may include adapting oneself to a new reality and maximising opportunities out of it. It has become imperative for individuals to ensure that they have the capacity of adapting their skills as per the jobs of the near future along with stressing on the significance of learning different new skills.</w:t>
      </w:r>
    </w:p>
    <w:p>
      <w:pPr/>
      <w:r>
        <w:rPr>
          <w:rFonts w:ascii="Times" w:hAnsi="Times" w:cs="Times"/>
          <w:sz w:val="24"/>
          <w:sz-cs w:val="24"/>
        </w:rPr>
        <w:t xml:space="preserve">The article elucidates the fact that the skills are changing consistently and this has made it important for individuals to learn the manner in which new skills must be learnt. It also stresses on the importance of continuous learning through reading books intelligently so that knowledge may be gained in the best possible manner. On the other hand, note-taking may also be done as it is another form of learning. The candidates must develop the ability to analyse information and spot trends and patterns and work towards them. The significance of written and oral communication can never be undermined and therefore the students must ensure that they develop such communication skills effectively so that it becomes easier for them to attain higher success in their future professional sphere. They must have the ability of making the best use of their newfound ideas by communicating them to their employers or their colleagues who would help in shaping and implementing them. </w:t>
      </w:r>
    </w:p>
    <w:p>
      <w:pPr/>
      <w:r>
        <w:rPr>
          <w:rFonts w:ascii="Times" w:hAnsi="Times" w:cs="Times"/>
          <w:sz w:val="24"/>
          <w:sz-cs w:val="24"/>
        </w:rPr>
        <w:t xml:space="preserve">Along with the skills identified above, it would be crucial for individuals to understand and leverage technology as it is changing and developing at an unprecedented and consistent pace. Individuals must develop the habit of reading articles in various kinds of technology journals in order to gain a higher perspective of these technologies (Forbes.com, 2020). Lastly, the article states that it is crucial for all potential employees to gain cultural sensitivity and awareness so that they are efficient in working amidst different kinds of cultures and people coming from all corners of the world. These skills and capabilities have been reflected by the article and are expected to help graduates attain professional success effectively. </w:t>
      </w:r>
    </w:p>
    <w:p>
      <w:pPr/>
      <w:r>
        <w:rPr>
          <w:rFonts w:ascii="Times" w:hAnsi="Times" w:cs="Times"/>
          <w:sz w:val="24"/>
          <w:sz-cs w:val="24"/>
        </w:rPr>
        <w:t xml:space="preserve">Brief analysis of own employability skills </w:t>
      </w:r>
    </w:p>
    <w:p>
      <w:pPr/>
      <w:r>
        <w:rPr>
          <w:rFonts w:ascii="Times" w:hAnsi="Times" w:cs="Times"/>
          <w:sz w:val="24"/>
          <w:sz-cs w:val="24"/>
        </w:rPr>
        <w:t xml:space="preserve">Analysis of the above-mentioned articles has helped me realise that it is no longer sufficient to have a course-specific degree as employers around the world are evidently looking for candidates who have a wide variety of additional skills and competencies as has been illustrated above. Upon reflecting on my own skills, I have realised that communication skills and problem-solving skills are two of my most significant strengths that will help me in succeeding in my future professional life. I have relevant written and oral communication skills and can communicate my thoughts and opinions across my team members with efficacy. </w:t>
      </w:r>
    </w:p>
    <w:p>
      <w:pPr/>
      <w:r>
        <w:rPr>
          <w:rFonts w:ascii="Times" w:hAnsi="Times" w:cs="Times"/>
          <w:sz w:val="24"/>
          <w:sz-cs w:val="24"/>
        </w:rPr>
        <w:t xml:space="preserve">On the other hand, I have developed the efficiency in problem solving and this will ensure that I put my critical thinking to best use while trying to solve different kinds of problems within my professional space in the future. However, I have realised that I must focus on developing my technology and software related skills so that I am able to gain employment in my desired organisations. Learning from El Mansour and Dean (2016), I will also focus on my team working skills as this will ensure that I am efficient in working in different teams within my future professional contexts. These employability skills will therefore ensure that I am able to attain consistent success in my professional roles in the future. </w:t>
      </w:r>
    </w:p>
    <w:p>
      <w:pPr/>
      <w:r>
        <w:rPr>
          <w:rFonts w:ascii="Times" w:hAnsi="Times" w:cs="Times"/>
          <w:sz w:val="24"/>
          <w:sz-cs w:val="24"/>
          <w:b/>
        </w:rPr>
        <w:t xml:space="preserve"/>
        <w:br w:type="page"/>
        <w:t xml:space="preserve"/>
      </w:r>
    </w:p>
    <w:p>
      <w:pPr/>
      <w:r>
        <w:rPr>
          <w:rFonts w:ascii="Times" w:hAnsi="Times" w:cs="Times"/>
          <w:sz w:val="24"/>
          <w:sz-cs w:val="24"/>
        </w:rPr>
        <w:t xml:space="preserve">Conclusion </w:t>
      </w:r>
    </w:p>
    <w:p>
      <w:pPr/>
      <w:r>
        <w:rPr>
          <w:rFonts w:ascii="Times" w:hAnsi="Times" w:cs="Times"/>
          <w:sz w:val="24"/>
          <w:sz-cs w:val="24"/>
        </w:rPr>
        <w:t xml:space="preserve">Therefore, it is evident from the discussions that the employability market is hugely competitive today and the articles has shed light on the different kinds of skills that are sought by the employers today. In addition to this, self-analysis has also been done in order to identify own set of employability skills along with identifying opportunities for development in order to succeed well in the professional sphere in the future.</w:t>
      </w:r>
    </w:p>
    <w:p>
      <w:pPr/>
      <w:r>
        <w:rPr>
          <w:rFonts w:ascii="Times" w:hAnsi="Times" w:cs="Times"/>
          <w:sz w:val="24"/>
          <w:sz-cs w:val="24"/>
        </w:rPr>
        <w:t xml:space="preserve"/>
        <w:br w:type="page"/>
        <w:t xml:space="preserve"/>
      </w:r>
    </w:p>
    <w:p>
      <w:pPr/>
      <w:r>
        <w:rPr>
          <w:rFonts w:ascii="Times" w:hAnsi="Times" w:cs="Times"/>
          <w:sz w:val="24"/>
          <w:sz-cs w:val="24"/>
        </w:rPr>
        <w:t xml:space="preserve">Reference List</w:t>
      </w:r>
    </w:p>
    <w:p>
      <w:pPr/>
      <w:r>
        <w:rPr>
          <w:rFonts w:ascii="Times" w:hAnsi="Times" w:cs="Times"/>
          <w:sz w:val="24"/>
          <w:sz-cs w:val="24"/>
        </w:rPr>
        <w:t xml:space="preserve">Abas, M.C. and Imam, O.A., 2016. Graduates' Competence on Employability Skills and Job Performance. </w:t>
      </w:r>
      <w:r>
        <w:rPr>
          <w:rFonts w:ascii="Times" w:hAnsi="Times" w:cs="Times"/>
          <w:sz w:val="24"/>
          <w:sz-cs w:val="24"/>
          <w:i/>
        </w:rPr>
        <w:t xml:space="preserve">International Journal of Evaluation and Research in Education</w:t>
      </w:r>
      <w:r>
        <w:rPr>
          <w:rFonts w:ascii="Times" w:hAnsi="Times" w:cs="Times"/>
          <w:sz w:val="24"/>
          <w:sz-cs w:val="24"/>
        </w:rPr>
        <w:t xml:space="preserve">, </w:t>
      </w:r>
      <w:r>
        <w:rPr>
          <w:rFonts w:ascii="Times" w:hAnsi="Times" w:cs="Times"/>
          <w:sz w:val="24"/>
          <w:sz-cs w:val="24"/>
          <w:i/>
        </w:rPr>
        <w:t xml:space="preserve">5</w:t>
      </w:r>
      <w:r>
        <w:rPr>
          <w:rFonts w:ascii="Times" w:hAnsi="Times" w:cs="Times"/>
          <w:sz w:val="24"/>
          <w:sz-cs w:val="24"/>
        </w:rPr>
        <w:t xml:space="preserve">(2), pp.119-125.</w:t>
      </w:r>
    </w:p>
    <w:p>
      <w:pPr/>
      <w:r>
        <w:rPr>
          <w:rFonts w:ascii="Times" w:hAnsi="Times" w:cs="Times"/>
          <w:sz w:val="24"/>
          <w:sz-cs w:val="24"/>
        </w:rPr>
        <w:t xml:space="preserve">Di Gregorio, A., Maggioni, I., Mauri, C. and Mazzucchelli, A., 2019. Employability skills for future marketing professionals. </w:t>
      </w:r>
      <w:r>
        <w:rPr>
          <w:rFonts w:ascii="Times" w:hAnsi="Times" w:cs="Times"/>
          <w:sz w:val="24"/>
          <w:sz-cs w:val="24"/>
          <w:i/>
        </w:rPr>
        <w:t xml:space="preserve">European management journal</w:t>
      </w:r>
      <w:r>
        <w:rPr>
          <w:rFonts w:ascii="Times" w:hAnsi="Times" w:cs="Times"/>
          <w:sz w:val="24"/>
          <w:sz-cs w:val="24"/>
        </w:rPr>
        <w:t xml:space="preserve">, </w:t>
      </w:r>
      <w:r>
        <w:rPr>
          <w:rFonts w:ascii="Times" w:hAnsi="Times" w:cs="Times"/>
          <w:sz w:val="24"/>
          <w:sz-cs w:val="24"/>
          <w:i/>
        </w:rPr>
        <w:t xml:space="preserve">37</w:t>
      </w:r>
      <w:r>
        <w:rPr>
          <w:rFonts w:ascii="Times" w:hAnsi="Times" w:cs="Times"/>
          <w:sz w:val="24"/>
          <w:sz-cs w:val="24"/>
        </w:rPr>
        <w:t xml:space="preserve">(3), pp.251-258.</w:t>
      </w:r>
    </w:p>
    <w:p>
      <w:pPr/>
      <w:r>
        <w:rPr>
          <w:rFonts w:ascii="Times" w:hAnsi="Times" w:cs="Times"/>
          <w:sz w:val="24"/>
          <w:sz-cs w:val="24"/>
        </w:rPr>
        <w:t xml:space="preserve">El Mansour, B. and Dean, J.C., 2016. Employability skills as perceived by employers and university faculty in the fields of human resource development (HRD) for entry level graduate jobs. </w:t>
      </w:r>
      <w:r>
        <w:rPr>
          <w:rFonts w:ascii="Times" w:hAnsi="Times" w:cs="Times"/>
          <w:sz w:val="24"/>
          <w:sz-cs w:val="24"/>
          <w:i/>
        </w:rPr>
        <w:t xml:space="preserve">Journal of Human Resource and Sustainability Studies</w:t>
      </w:r>
      <w:r>
        <w:rPr>
          <w:rFonts w:ascii="Times" w:hAnsi="Times" w:cs="Times"/>
          <w:sz w:val="24"/>
          <w:sz-cs w:val="24"/>
        </w:rPr>
        <w:t xml:space="preserve">, </w:t>
      </w:r>
      <w:r>
        <w:rPr>
          <w:rFonts w:ascii="Times" w:hAnsi="Times" w:cs="Times"/>
          <w:sz w:val="24"/>
          <w:sz-cs w:val="24"/>
          <w:i/>
        </w:rPr>
        <w:t xml:space="preserve">4</w:t>
      </w:r>
      <w:r>
        <w:rPr>
          <w:rFonts w:ascii="Times" w:hAnsi="Times" w:cs="Times"/>
          <w:sz w:val="24"/>
          <w:sz-cs w:val="24"/>
        </w:rPr>
        <w:t xml:space="preserve">(01), p.39.</w:t>
      </w:r>
    </w:p>
    <w:p>
      <w:pPr/>
      <w:r>
        <w:rPr>
          <w:rFonts w:ascii="Times" w:hAnsi="Times" w:cs="Times"/>
          <w:sz w:val="24"/>
          <w:sz-cs w:val="24"/>
        </w:rPr>
        <w:t xml:space="preserve">Forbes.com 2020.</w:t>
      </w:r>
      <w:r>
        <w:rPr>
          <w:rFonts w:ascii="Times" w:hAnsi="Times" w:cs="Times"/>
          <w:sz w:val="24"/>
          <w:sz-cs w:val="24"/>
          <w:i/>
        </w:rPr>
        <w:t xml:space="preserve"> The Skills You Need To Succeed In 2020</w:t>
      </w:r>
      <w:r>
        <w:rPr>
          <w:rFonts w:ascii="Times" w:hAnsi="Times" w:cs="Times"/>
          <w:sz w:val="24"/>
          <w:sz-cs w:val="24"/>
        </w:rPr>
        <w:t xml:space="preserve"> Available at: https://www.forbes.com/sites/ellevate/2018/08/06/the-skills-you-need-to-succeed-in-2020/#689493e9288a (Accessed: 22 August 2020).</w:t>
      </w:r>
    </w:p>
    <w:p>
      <w:pPr/>
      <w:r>
        <w:rPr>
          <w:rFonts w:ascii="Times" w:hAnsi="Times" w:cs="Times"/>
          <w:sz w:val="24"/>
          <w:sz-cs w:val="24"/>
        </w:rPr>
        <w:t xml:space="preserve">Scott, F.J., Connell, P., Thomson, L.A. and Willison, D., 2019. Empowering students by enhancing their employability skills. </w:t>
      </w:r>
      <w:r>
        <w:rPr>
          <w:rFonts w:ascii="Times" w:hAnsi="Times" w:cs="Times"/>
          <w:sz w:val="24"/>
          <w:sz-cs w:val="24"/>
          <w:i/>
        </w:rPr>
        <w:t xml:space="preserve">Journal of Further and Higher Education</w:t>
      </w:r>
      <w:r>
        <w:rPr>
          <w:rFonts w:ascii="Times" w:hAnsi="Times" w:cs="Times"/>
          <w:sz w:val="24"/>
          <w:sz-cs w:val="24"/>
        </w:rPr>
        <w:t xml:space="preserve">, </w:t>
      </w:r>
      <w:r>
        <w:rPr>
          <w:rFonts w:ascii="Times" w:hAnsi="Times" w:cs="Times"/>
          <w:sz w:val="24"/>
          <w:sz-cs w:val="24"/>
          <w:i/>
        </w:rPr>
        <w:t xml:space="preserve">43</w:t>
      </w:r>
      <w:r>
        <w:rPr>
          <w:rFonts w:ascii="Times" w:hAnsi="Times" w:cs="Times"/>
          <w:sz w:val="24"/>
          <w:sz-cs w:val="24"/>
        </w:rPr>
        <w:t xml:space="preserve">(5), pp.692-707. </w:t>
      </w:r>
    </w:p>
    <w:sectPr>
      <w:pgSz w:w="11905" w:h="16837"/>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coreProperties>
</file>

<file path=docProps/meta.xml><?xml version="1.0" encoding="utf-8"?>
<meta xmlns="http://schemas.apple.com/cocoa/2006/metadata">
  <generator>CocoaOOXMLWriter/1561.61</generator>
</meta>
</file>