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8E9216" w14:textId="474B498B" w:rsidR="007B1838" w:rsidRDefault="007B1838">
      <w:pPr>
        <w:spacing w:before="100" w:after="100" w:line="360" w:lineRule="auto"/>
        <w:jc w:val="both"/>
        <w:outlineLvl w:val="0"/>
        <w:rPr>
          <w:rFonts w:ascii="Arial" w:eastAsia="Times New Roman" w:hAnsi="Arial" w:cs="Arial"/>
          <w:b/>
          <w:bCs/>
          <w:lang w:eastAsia="en-GB"/>
        </w:rPr>
      </w:pPr>
      <w:r w:rsidRPr="006B5BB9">
        <w:rPr>
          <w:rFonts w:ascii="Arial" w:hAnsi="Arial" w:cs="Arial"/>
          <w:noProof/>
          <w:sz w:val="56"/>
          <w:szCs w:val="56"/>
        </w:rPr>
        <w:drawing>
          <wp:anchor distT="0" distB="0" distL="114300" distR="114300" simplePos="0" relativeHeight="251659264" behindDoc="1" locked="0" layoutInCell="1" allowOverlap="1" wp14:anchorId="2E512B05" wp14:editId="1C00FD12">
            <wp:simplePos x="0" y="0"/>
            <wp:positionH relativeFrom="margin">
              <wp:align>center</wp:align>
            </wp:positionH>
            <wp:positionV relativeFrom="paragraph">
              <wp:posOffset>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212823798" name="Picture 2"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CVO | Sandwell Council of Voluntary Organisations."/>
                    <pic:cNvPicPr>
                      <a:picLocks noChangeAspect="1" noChangeArrowheads="1"/>
                    </pic:cNvPicPr>
                  </pic:nvPicPr>
                  <pic:blipFill>
                    <a:blip r:embed="rId6">
                      <a:extLst>
                        <a:ext uri="{28A0092B-C50C-407E-A947-70E740481C1C}">
                          <a14:useLocalDpi xmlns:a14="http://schemas.microsoft.com/office/drawing/2010/main" val="0"/>
                        </a:ext>
                      </a:extLst>
                    </a:blip>
                    <a:srcRect r="23643"/>
                    <a:stretch>
                      <a:fillRect/>
                    </a:stretch>
                  </pic:blipFill>
                  <pic:spPr bwMode="auto">
                    <a:xfrm>
                      <a:off x="0" y="0"/>
                      <a:ext cx="4152900" cy="1328420"/>
                    </a:xfrm>
                    <a:prstGeom prst="rect">
                      <a:avLst/>
                    </a:prstGeom>
                    <a:noFill/>
                  </pic:spPr>
                </pic:pic>
              </a:graphicData>
            </a:graphic>
            <wp14:sizeRelH relativeFrom="margin">
              <wp14:pctWidth>0</wp14:pctWidth>
            </wp14:sizeRelH>
            <wp14:sizeRelV relativeFrom="page">
              <wp14:pctHeight>0</wp14:pctHeight>
            </wp14:sizeRelV>
          </wp:anchor>
        </w:drawing>
      </w:r>
    </w:p>
    <w:p w14:paraId="010F6967" w14:textId="3799D7E3" w:rsidR="007B1838" w:rsidRDefault="007B1838">
      <w:pPr>
        <w:suppressAutoHyphens w:val="0"/>
        <w:rPr>
          <w:rFonts w:ascii="Arial" w:eastAsia="Times New Roman" w:hAnsi="Arial" w:cs="Arial"/>
          <w:b/>
          <w:bCs/>
          <w:lang w:eastAsia="en-GB"/>
        </w:rPr>
      </w:pPr>
      <w:r>
        <w:rPr>
          <w:rFonts w:ascii="Arial" w:eastAsia="Times New Roman" w:hAnsi="Arial" w:cs="Arial"/>
          <w:b/>
          <w:bCs/>
          <w:noProof/>
          <w:lang w:eastAsia="en-GB"/>
        </w:rPr>
        <mc:AlternateContent>
          <mc:Choice Requires="wps">
            <w:drawing>
              <wp:anchor distT="0" distB="0" distL="114300" distR="114300" simplePos="0" relativeHeight="251660288" behindDoc="0" locked="0" layoutInCell="1" allowOverlap="1" wp14:anchorId="748E5312" wp14:editId="126506EC">
                <wp:simplePos x="0" y="0"/>
                <wp:positionH relativeFrom="column">
                  <wp:posOffset>-160020</wp:posOffset>
                </wp:positionH>
                <wp:positionV relativeFrom="paragraph">
                  <wp:posOffset>3016250</wp:posOffset>
                </wp:positionV>
                <wp:extent cx="6134100" cy="2758440"/>
                <wp:effectExtent l="0" t="0" r="0" b="3810"/>
                <wp:wrapNone/>
                <wp:docPr id="1541776958" name="Text Box 1"/>
                <wp:cNvGraphicFramePr/>
                <a:graphic xmlns:a="http://schemas.openxmlformats.org/drawingml/2006/main">
                  <a:graphicData uri="http://schemas.microsoft.com/office/word/2010/wordprocessingShape">
                    <wps:wsp>
                      <wps:cNvSpPr txBox="1"/>
                      <wps:spPr>
                        <a:xfrm>
                          <a:off x="0" y="0"/>
                          <a:ext cx="6134100" cy="2758440"/>
                        </a:xfrm>
                        <a:prstGeom prst="rect">
                          <a:avLst/>
                        </a:prstGeom>
                        <a:ln>
                          <a:noFill/>
                        </a:ln>
                      </wps:spPr>
                      <wps:style>
                        <a:lnRef idx="2">
                          <a:schemeClr val="dk1"/>
                        </a:lnRef>
                        <a:fillRef idx="1">
                          <a:schemeClr val="lt1"/>
                        </a:fillRef>
                        <a:effectRef idx="0">
                          <a:schemeClr val="dk1"/>
                        </a:effectRef>
                        <a:fontRef idx="minor">
                          <a:schemeClr val="dk1"/>
                        </a:fontRef>
                      </wps:style>
                      <wps:txbx>
                        <w:txbxContent>
                          <w:p w14:paraId="1E4C8A0E" w14:textId="77777777" w:rsidR="007B1838" w:rsidRPr="00135AD0" w:rsidRDefault="007B1838" w:rsidP="007B1838">
                            <w:pPr>
                              <w:pStyle w:val="paragraph"/>
                              <w:spacing w:before="0" w:beforeAutospacing="0" w:after="0" w:afterAutospacing="0" w:line="360" w:lineRule="auto"/>
                              <w:textAlignment w:val="baseline"/>
                              <w:rPr>
                                <w:rStyle w:val="normaltextrun"/>
                                <w:rFonts w:ascii="Arial" w:eastAsiaTheme="majorEastAsia" w:hAnsi="Arial" w:cs="Arial"/>
                                <w:sz w:val="22"/>
                                <w:szCs w:val="22"/>
                                <w:lang w:val="en-US"/>
                              </w:rPr>
                            </w:pPr>
                            <w:r w:rsidRPr="00135AD0">
                              <w:rPr>
                                <w:rStyle w:val="normaltextrun"/>
                                <w:rFonts w:ascii="Arial" w:eastAsiaTheme="majorEastAsia" w:hAnsi="Arial" w:cs="Arial"/>
                                <w:sz w:val="22"/>
                                <w:szCs w:val="22"/>
                                <w:lang w:val="en-US"/>
                              </w:rPr>
                              <w:t>Name: Irene Nzeza Nlandu</w:t>
                            </w:r>
                          </w:p>
                          <w:p w14:paraId="79590FD4" w14:textId="77777777" w:rsidR="007B1838" w:rsidRPr="00135AD0" w:rsidRDefault="007B1838" w:rsidP="007B1838">
                            <w:pPr>
                              <w:pStyle w:val="paragraph"/>
                              <w:spacing w:before="0" w:beforeAutospacing="0" w:after="0" w:afterAutospacing="0" w:line="360" w:lineRule="auto"/>
                              <w:textAlignment w:val="baseline"/>
                              <w:rPr>
                                <w:rStyle w:val="normaltextrun"/>
                                <w:rFonts w:ascii="Arial" w:eastAsiaTheme="majorEastAsia" w:hAnsi="Arial" w:cs="Arial"/>
                                <w:sz w:val="22"/>
                                <w:szCs w:val="22"/>
                                <w:lang w:val="en-US"/>
                              </w:rPr>
                            </w:pPr>
                            <w:r w:rsidRPr="00135AD0">
                              <w:rPr>
                                <w:rStyle w:val="normaltextrun"/>
                                <w:rFonts w:ascii="Arial" w:eastAsiaTheme="majorEastAsia" w:hAnsi="Arial" w:cs="Arial"/>
                                <w:sz w:val="22"/>
                                <w:szCs w:val="22"/>
                                <w:lang w:val="en-US"/>
                              </w:rPr>
                              <w:t>Student Number: 2245428</w:t>
                            </w:r>
                          </w:p>
                          <w:p w14:paraId="68C12290" w14:textId="32D94063" w:rsidR="007B1838" w:rsidRPr="00135AD0" w:rsidRDefault="007B1838" w:rsidP="007B1838">
                            <w:pPr>
                              <w:pStyle w:val="paragraph"/>
                              <w:spacing w:before="0" w:beforeAutospacing="0" w:after="0" w:afterAutospacing="0" w:line="360" w:lineRule="auto"/>
                              <w:textAlignment w:val="baseline"/>
                              <w:rPr>
                                <w:rStyle w:val="normaltextrun"/>
                                <w:rFonts w:ascii="Arial" w:eastAsiaTheme="majorEastAsia" w:hAnsi="Arial" w:cs="Arial"/>
                                <w:sz w:val="22"/>
                                <w:szCs w:val="22"/>
                                <w:lang w:val="en-US"/>
                              </w:rPr>
                            </w:pPr>
                            <w:r w:rsidRPr="00135AD0">
                              <w:rPr>
                                <w:rStyle w:val="normaltextrun"/>
                                <w:rFonts w:ascii="Arial" w:eastAsiaTheme="majorEastAsia" w:hAnsi="Arial" w:cs="Arial"/>
                                <w:sz w:val="22"/>
                                <w:szCs w:val="22"/>
                                <w:lang w:val="en-US"/>
                              </w:rPr>
                              <w:t>Module Code: BMHP</w:t>
                            </w:r>
                            <w:r>
                              <w:rPr>
                                <w:rStyle w:val="normaltextrun"/>
                                <w:rFonts w:ascii="Arial" w:eastAsiaTheme="majorEastAsia" w:hAnsi="Arial" w:cs="Arial"/>
                                <w:sz w:val="22"/>
                                <w:szCs w:val="22"/>
                                <w:lang w:val="en-US"/>
                              </w:rPr>
                              <w:t>6030</w:t>
                            </w:r>
                            <w:r w:rsidRPr="00135AD0">
                              <w:rPr>
                                <w:rStyle w:val="normaltextrun"/>
                                <w:rFonts w:ascii="Arial" w:eastAsiaTheme="majorEastAsia" w:hAnsi="Arial" w:cs="Arial"/>
                                <w:sz w:val="22"/>
                                <w:szCs w:val="22"/>
                                <w:lang w:val="en-US"/>
                              </w:rPr>
                              <w:t>_BIRM</w:t>
                            </w:r>
                          </w:p>
                          <w:p w14:paraId="5457D38A" w14:textId="51CCDD25" w:rsidR="007B1838" w:rsidRPr="00135AD0" w:rsidRDefault="007B1838" w:rsidP="007B1838">
                            <w:pPr>
                              <w:pStyle w:val="paragraph"/>
                              <w:spacing w:before="0" w:beforeAutospacing="0" w:after="0" w:afterAutospacing="0" w:line="360" w:lineRule="auto"/>
                              <w:textAlignment w:val="baseline"/>
                              <w:rPr>
                                <w:rStyle w:val="normaltextrun"/>
                                <w:rFonts w:ascii="Arial" w:eastAsiaTheme="majorEastAsia" w:hAnsi="Arial" w:cs="Arial"/>
                                <w:sz w:val="22"/>
                                <w:szCs w:val="22"/>
                                <w:lang w:val="en-US"/>
                              </w:rPr>
                            </w:pPr>
                            <w:r w:rsidRPr="00135AD0">
                              <w:rPr>
                                <w:rStyle w:val="normaltextrun"/>
                                <w:rFonts w:ascii="Arial" w:eastAsiaTheme="majorEastAsia" w:hAnsi="Arial" w:cs="Arial"/>
                                <w:sz w:val="22"/>
                                <w:szCs w:val="22"/>
                                <w:lang w:val="en-US"/>
                              </w:rPr>
                              <w:t xml:space="preserve">Module: </w:t>
                            </w:r>
                            <w:r>
                              <w:rPr>
                                <w:rStyle w:val="normaltextrun"/>
                                <w:rFonts w:ascii="Arial" w:eastAsiaTheme="majorEastAsia" w:hAnsi="Arial" w:cs="Arial"/>
                                <w:sz w:val="22"/>
                                <w:szCs w:val="22"/>
                                <w:lang w:val="en-US"/>
                              </w:rPr>
                              <w:t>Health, Wellbeing and Sustainable Development</w:t>
                            </w:r>
                          </w:p>
                          <w:p w14:paraId="485B3E2F" w14:textId="0C128D02" w:rsidR="007B1838" w:rsidRPr="00135AD0" w:rsidRDefault="007B1838" w:rsidP="007B1838">
                            <w:pPr>
                              <w:spacing w:line="360" w:lineRule="auto"/>
                              <w:rPr>
                                <w:rFonts w:ascii="Arial" w:hAnsi="Arial" w:cs="Arial"/>
                                <w:sz w:val="22"/>
                                <w:szCs w:val="22"/>
                              </w:rPr>
                            </w:pPr>
                            <w:r w:rsidRPr="00135AD0">
                              <w:rPr>
                                <w:rStyle w:val="normaltextrun"/>
                                <w:rFonts w:ascii="Arial" w:hAnsi="Arial" w:cs="Arial"/>
                                <w:sz w:val="22"/>
                                <w:szCs w:val="22"/>
                              </w:rPr>
                              <w:t>Lecturer’s name:</w:t>
                            </w:r>
                            <w:r>
                              <w:rPr>
                                <w:rStyle w:val="normaltextrun"/>
                                <w:rFonts w:ascii="Arial" w:hAnsi="Arial" w:cs="Arial"/>
                                <w:sz w:val="22"/>
                                <w:szCs w:val="22"/>
                              </w:rPr>
                              <w:t xml:space="preserve"> Zakiyyah Ahmed</w:t>
                            </w:r>
                          </w:p>
                          <w:p w14:paraId="6611A312" w14:textId="6E21B5E8" w:rsidR="007B1838" w:rsidRDefault="007B1838"/>
                          <w:p w14:paraId="214C0FB6" w14:textId="77777777" w:rsidR="00C6529B" w:rsidRDefault="00C6529B"/>
                          <w:p w14:paraId="65D6E477" w14:textId="3E85C760" w:rsidR="00C6529B" w:rsidRPr="00023AA8" w:rsidRDefault="00023AA8">
                            <w:pPr>
                              <w:rPr>
                                <w:b/>
                                <w:bCs/>
                                <w:sz w:val="28"/>
                                <w:szCs w:val="28"/>
                              </w:rPr>
                            </w:pPr>
                            <w:r w:rsidRPr="00023AA8">
                              <w:rPr>
                                <w:b/>
                                <w:bCs/>
                                <w:sz w:val="28"/>
                                <w:szCs w:val="28"/>
                              </w:rPr>
                              <w:t>Title:</w:t>
                            </w:r>
                            <w:r w:rsidR="00C6529B" w:rsidRPr="00023AA8">
                              <w:rPr>
                                <w:b/>
                                <w:bCs/>
                                <w:sz w:val="28"/>
                                <w:szCs w:val="28"/>
                              </w:rPr>
                              <w:t xml:space="preserve"> </w:t>
                            </w:r>
                            <w:r w:rsidRPr="00023AA8">
                              <w:rPr>
                                <w:b/>
                                <w:bCs/>
                                <w:sz w:val="28"/>
                                <w:szCs w:val="28"/>
                              </w:rPr>
                              <w:t>Assignment</w:t>
                            </w:r>
                            <w:r w:rsidR="00C6529B" w:rsidRPr="00023AA8">
                              <w:rPr>
                                <w:b/>
                                <w:bCs/>
                                <w:sz w:val="28"/>
                                <w:szCs w:val="28"/>
                              </w:rPr>
                              <w:t xml:space="preserve"> 2 - Report</w:t>
                            </w:r>
                          </w:p>
                          <w:p w14:paraId="3D3BC431" w14:textId="77777777" w:rsidR="00C6529B" w:rsidRDefault="00C6529B"/>
                          <w:p w14:paraId="5F9EACAE" w14:textId="77777777" w:rsidR="00C6529B" w:rsidRDefault="00C6529B"/>
                          <w:p w14:paraId="4DF7521E" w14:textId="77777777" w:rsidR="00C6529B" w:rsidRDefault="00C6529B"/>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748E5312" id="_x0000_t202" coordsize="21600,21600" o:spt="202" path="m,l,21600r21600,l21600,xe">
                <v:stroke joinstyle="miter"/>
                <v:path gradientshapeok="t" o:connecttype="rect"/>
              </v:shapetype>
              <v:shape id="Text Box 1" o:spid="_x0000_s1026" type="#_x0000_t202" style="position:absolute;margin-left:-12.6pt;margin-top:237.5pt;width:483pt;height:217.2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" fillcolor="white [3201]" stroked="f" strokeweight="1pt">
                <v:textbox>
                  <w:txbxContent>
                    <w:p w14:paraId="1E4C8A0E" w14:textId="77777777" w:rsidR="007B1838" w:rsidRPr="00135AD0" w:rsidRDefault="007B1838" w:rsidP="007B1838">
                      <w:pPr>
                        <w:pStyle w:val="paragraph"/>
                        <w:spacing w:before="0" w:beforeAutospacing="0" w:after="0" w:afterAutospacing="0" w:line="360" w:lineRule="auto"/>
                        <w:textAlignment w:val="baseline"/>
                        <w:rPr>
                          <w:rStyle w:val="normaltextrun"/>
                          <w:rFonts w:ascii="Arial" w:eastAsiaTheme="majorEastAsia" w:hAnsi="Arial" w:cs="Arial"/>
                          <w:sz w:val="22"/>
                          <w:szCs w:val="22"/>
                          <w:lang w:val="en-US"/>
                        </w:rPr>
                      </w:pPr>
                      <w:r w:rsidRPr="00135AD0">
                        <w:rPr>
                          <w:rStyle w:val="normaltextrun"/>
                          <w:rFonts w:ascii="Arial" w:eastAsiaTheme="majorEastAsia" w:hAnsi="Arial" w:cs="Arial"/>
                          <w:sz w:val="22"/>
                          <w:szCs w:val="22"/>
                          <w:lang w:val="en-US"/>
                        </w:rPr>
                        <w:t>Name: Irene Nzeza Nlandu</w:t>
                      </w:r>
                    </w:p>
                    <w:p w14:paraId="79590FD4" w14:textId="77777777" w:rsidR="007B1838" w:rsidRPr="00135AD0" w:rsidRDefault="007B1838" w:rsidP="007B1838">
                      <w:pPr>
                        <w:pStyle w:val="paragraph"/>
                        <w:spacing w:before="0" w:beforeAutospacing="0" w:after="0" w:afterAutospacing="0" w:line="360" w:lineRule="auto"/>
                        <w:textAlignment w:val="baseline"/>
                        <w:rPr>
                          <w:rStyle w:val="normaltextrun"/>
                          <w:rFonts w:ascii="Arial" w:eastAsiaTheme="majorEastAsia" w:hAnsi="Arial" w:cs="Arial"/>
                          <w:sz w:val="22"/>
                          <w:szCs w:val="22"/>
                          <w:lang w:val="en-US"/>
                        </w:rPr>
                      </w:pPr>
                      <w:r w:rsidRPr="00135AD0">
                        <w:rPr>
                          <w:rStyle w:val="normaltextrun"/>
                          <w:rFonts w:ascii="Arial" w:eastAsiaTheme="majorEastAsia" w:hAnsi="Arial" w:cs="Arial"/>
                          <w:sz w:val="22"/>
                          <w:szCs w:val="22"/>
                          <w:lang w:val="en-US"/>
                        </w:rPr>
                        <w:t>Student Number: 2245428</w:t>
                      </w:r>
                    </w:p>
                    <w:p w14:paraId="68C12290" w14:textId="32D94063" w:rsidR="007B1838" w:rsidRPr="00135AD0" w:rsidRDefault="007B1838" w:rsidP="007B1838">
                      <w:pPr>
                        <w:pStyle w:val="paragraph"/>
                        <w:spacing w:before="0" w:beforeAutospacing="0" w:after="0" w:afterAutospacing="0" w:line="360" w:lineRule="auto"/>
                        <w:textAlignment w:val="baseline"/>
                        <w:rPr>
                          <w:rStyle w:val="normaltextrun"/>
                          <w:rFonts w:ascii="Arial" w:eastAsiaTheme="majorEastAsia" w:hAnsi="Arial" w:cs="Arial"/>
                          <w:sz w:val="22"/>
                          <w:szCs w:val="22"/>
                          <w:lang w:val="en-US"/>
                        </w:rPr>
                      </w:pPr>
                      <w:r w:rsidRPr="00135AD0">
                        <w:rPr>
                          <w:rStyle w:val="normaltextrun"/>
                          <w:rFonts w:ascii="Arial" w:eastAsiaTheme="majorEastAsia" w:hAnsi="Arial" w:cs="Arial"/>
                          <w:sz w:val="22"/>
                          <w:szCs w:val="22"/>
                          <w:lang w:val="en-US"/>
                        </w:rPr>
                        <w:t>Module Code: BMHP</w:t>
                      </w:r>
                      <w:r>
                        <w:rPr>
                          <w:rStyle w:val="normaltextrun"/>
                          <w:rFonts w:ascii="Arial" w:eastAsiaTheme="majorEastAsia" w:hAnsi="Arial" w:cs="Arial"/>
                          <w:sz w:val="22"/>
                          <w:szCs w:val="22"/>
                          <w:lang w:val="en-US"/>
                        </w:rPr>
                        <w:t>6030</w:t>
                      </w:r>
                      <w:r w:rsidRPr="00135AD0">
                        <w:rPr>
                          <w:rStyle w:val="normaltextrun"/>
                          <w:rFonts w:ascii="Arial" w:eastAsiaTheme="majorEastAsia" w:hAnsi="Arial" w:cs="Arial"/>
                          <w:sz w:val="22"/>
                          <w:szCs w:val="22"/>
                          <w:lang w:val="en-US"/>
                        </w:rPr>
                        <w:t>_BIRM</w:t>
                      </w:r>
                    </w:p>
                    <w:p w14:paraId="5457D38A" w14:textId="51CCDD25" w:rsidR="007B1838" w:rsidRPr="00135AD0" w:rsidRDefault="007B1838" w:rsidP="007B1838">
                      <w:pPr>
                        <w:pStyle w:val="paragraph"/>
                        <w:spacing w:before="0" w:beforeAutospacing="0" w:after="0" w:afterAutospacing="0" w:line="360" w:lineRule="auto"/>
                        <w:textAlignment w:val="baseline"/>
                        <w:rPr>
                          <w:rStyle w:val="normaltextrun"/>
                          <w:rFonts w:ascii="Arial" w:eastAsiaTheme="majorEastAsia" w:hAnsi="Arial" w:cs="Arial"/>
                          <w:sz w:val="22"/>
                          <w:szCs w:val="22"/>
                          <w:lang w:val="en-US"/>
                        </w:rPr>
                      </w:pPr>
                      <w:r w:rsidRPr="00135AD0">
                        <w:rPr>
                          <w:rStyle w:val="normaltextrun"/>
                          <w:rFonts w:ascii="Arial" w:eastAsiaTheme="majorEastAsia" w:hAnsi="Arial" w:cs="Arial"/>
                          <w:sz w:val="22"/>
                          <w:szCs w:val="22"/>
                          <w:lang w:val="en-US"/>
                        </w:rPr>
                        <w:t xml:space="preserve">Module: </w:t>
                      </w:r>
                      <w:r>
                        <w:rPr>
                          <w:rStyle w:val="normaltextrun"/>
                          <w:rFonts w:ascii="Arial" w:eastAsiaTheme="majorEastAsia" w:hAnsi="Arial" w:cs="Arial"/>
                          <w:sz w:val="22"/>
                          <w:szCs w:val="22"/>
                          <w:lang w:val="en-US"/>
                        </w:rPr>
                        <w:t>Health, Wellbeing and Sustainable Development</w:t>
                      </w:r>
                    </w:p>
                    <w:p w14:paraId="485B3E2F" w14:textId="0C128D02" w:rsidR="007B1838" w:rsidRPr="00135AD0" w:rsidRDefault="007B1838" w:rsidP="007B1838">
                      <w:pPr>
                        <w:spacing w:line="360" w:lineRule="auto"/>
                        <w:rPr>
                          <w:rFonts w:ascii="Arial" w:hAnsi="Arial" w:cs="Arial"/>
                          <w:sz w:val="22"/>
                          <w:szCs w:val="22"/>
                        </w:rPr>
                      </w:pPr>
                      <w:r w:rsidRPr="00135AD0">
                        <w:rPr>
                          <w:rStyle w:val="normaltextrun"/>
                          <w:rFonts w:ascii="Arial" w:hAnsi="Arial" w:cs="Arial"/>
                          <w:sz w:val="22"/>
                          <w:szCs w:val="22"/>
                        </w:rPr>
                        <w:t>Lecturer’s name:</w:t>
                      </w:r>
                      <w:r>
                        <w:rPr>
                          <w:rStyle w:val="normaltextrun"/>
                          <w:rFonts w:ascii="Arial" w:hAnsi="Arial" w:cs="Arial"/>
                          <w:sz w:val="22"/>
                          <w:szCs w:val="22"/>
                        </w:rPr>
                        <w:t xml:space="preserve"> Zakiyyah Ahmed</w:t>
                      </w:r>
                    </w:p>
                    <w:p w14:paraId="6611A312" w14:textId="6E21B5E8" w:rsidR="007B1838" w:rsidRDefault="007B1838"/>
                    <w:p w14:paraId="214C0FB6" w14:textId="77777777" w:rsidR="00C6529B" w:rsidRDefault="00C6529B"/>
                    <w:p w14:paraId="65D6E477" w14:textId="3E85C760" w:rsidR="00C6529B" w:rsidRPr="00023AA8" w:rsidRDefault="00023AA8">
                      <w:pPr>
                        <w:rPr>
                          <w:b/>
                          <w:bCs/>
                          <w:sz w:val="28"/>
                          <w:szCs w:val="28"/>
                        </w:rPr>
                      </w:pPr>
                      <w:r w:rsidRPr="00023AA8">
                        <w:rPr>
                          <w:b/>
                          <w:bCs/>
                          <w:sz w:val="28"/>
                          <w:szCs w:val="28"/>
                        </w:rPr>
                        <w:t>Title:</w:t>
                      </w:r>
                      <w:r w:rsidR="00C6529B" w:rsidRPr="00023AA8">
                        <w:rPr>
                          <w:b/>
                          <w:bCs/>
                          <w:sz w:val="28"/>
                          <w:szCs w:val="28"/>
                        </w:rPr>
                        <w:t xml:space="preserve"> </w:t>
                      </w:r>
                      <w:r w:rsidRPr="00023AA8">
                        <w:rPr>
                          <w:b/>
                          <w:bCs/>
                          <w:sz w:val="28"/>
                          <w:szCs w:val="28"/>
                        </w:rPr>
                        <w:t>Assignment</w:t>
                      </w:r>
                      <w:r w:rsidR="00C6529B" w:rsidRPr="00023AA8">
                        <w:rPr>
                          <w:b/>
                          <w:bCs/>
                          <w:sz w:val="28"/>
                          <w:szCs w:val="28"/>
                        </w:rPr>
                        <w:t xml:space="preserve"> 2 - Report</w:t>
                      </w:r>
                    </w:p>
                    <w:p w14:paraId="3D3BC431" w14:textId="77777777" w:rsidR="00C6529B" w:rsidRDefault="00C6529B"/>
                    <w:p w14:paraId="5F9EACAE" w14:textId="77777777" w:rsidR="00C6529B" w:rsidRDefault="00C6529B"/>
                    <w:p w14:paraId="4DF7521E" w14:textId="77777777" w:rsidR="00C6529B" w:rsidRDefault="00C6529B"/>
                  </w:txbxContent>
                </v:textbox>
              </v:shape>
            </w:pict>
          </mc:Fallback>
        </mc:AlternateContent>
      </w:r>
      <w:r>
        <w:rPr>
          <w:rFonts w:ascii="Arial" w:eastAsia="Times New Roman" w:hAnsi="Arial" w:cs="Arial"/>
          <w:b/>
          <w:bCs/>
          <w:lang w:eastAsia="en-GB"/>
        </w:rPr>
        <w:br w:type="page"/>
      </w:r>
    </w:p>
    <w:p w14:paraId="188C0547" w14:textId="5E872125" w:rsidR="004D5201" w:rsidRDefault="008E5F0C">
      <w:pPr>
        <w:spacing w:before="100" w:after="100" w:line="360" w:lineRule="auto"/>
        <w:jc w:val="both"/>
        <w:outlineLvl w:val="0"/>
        <w:rPr>
          <w:rFonts w:ascii="Arial" w:eastAsia="Times New Roman" w:hAnsi="Arial" w:cs="Arial"/>
          <w:b/>
          <w:bCs/>
          <w:lang w:eastAsia="en-GB"/>
        </w:rPr>
      </w:pPr>
      <w:r>
        <w:rPr>
          <w:rFonts w:ascii="Arial" w:eastAsia="Times New Roman" w:hAnsi="Arial" w:cs="Arial"/>
          <w:b/>
          <w:bCs/>
          <w:lang w:eastAsia="en-GB"/>
        </w:rPr>
        <w:lastRenderedPageBreak/>
        <w:t>A Critical Examination of SDG 3 - Good Health and Well-being and SDG 2 - Zero Hunger: Global, National and Local Policies, Initiatives and the Role of AI</w:t>
      </w:r>
    </w:p>
    <w:p w14:paraId="4EB33588" w14:textId="77777777" w:rsidR="004D5201" w:rsidRDefault="004D5201">
      <w:pPr>
        <w:spacing w:before="100" w:after="100" w:line="360" w:lineRule="auto"/>
        <w:jc w:val="both"/>
        <w:outlineLvl w:val="0"/>
        <w:rPr>
          <w:rFonts w:ascii="Arial" w:eastAsia="Times New Roman" w:hAnsi="Arial" w:cs="Arial"/>
          <w:b/>
          <w:bCs/>
          <w:lang w:eastAsia="en-GB"/>
        </w:rPr>
      </w:pPr>
    </w:p>
    <w:p w14:paraId="4C1979D9" w14:textId="77777777" w:rsidR="004D5201" w:rsidRPr="00E9452D" w:rsidRDefault="008E5F0C">
      <w:pPr>
        <w:spacing w:before="100" w:after="100" w:line="360" w:lineRule="auto"/>
        <w:jc w:val="both"/>
        <w:outlineLvl w:val="1"/>
        <w:rPr>
          <w:rFonts w:ascii="Arial" w:eastAsia="Times New Roman" w:hAnsi="Arial" w:cs="Arial"/>
          <w:b/>
          <w:bCs/>
          <w:kern w:val="0"/>
          <w:sz w:val="22"/>
          <w:szCs w:val="22"/>
          <w:lang w:eastAsia="en-GB"/>
        </w:rPr>
      </w:pPr>
      <w:r w:rsidRPr="00E9452D">
        <w:rPr>
          <w:rFonts w:ascii="Arial" w:eastAsia="Times New Roman" w:hAnsi="Arial" w:cs="Arial"/>
          <w:b/>
          <w:bCs/>
          <w:kern w:val="0"/>
          <w:sz w:val="22"/>
          <w:szCs w:val="22"/>
          <w:lang w:eastAsia="en-GB"/>
        </w:rPr>
        <w:t>Introduction</w:t>
      </w:r>
    </w:p>
    <w:p w14:paraId="086452B3" w14:textId="77777777" w:rsidR="004D5201" w:rsidRPr="00E9452D" w:rsidRDefault="008E5F0C">
      <w:pPr>
        <w:spacing w:before="100" w:after="100" w:line="360" w:lineRule="auto"/>
        <w:jc w:val="both"/>
        <w:outlineLvl w:val="0"/>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t>The Sustainable Development Goals (SDGs) establish a global framework for improving public health, reducing inequality, and advancing environmental sustainability. Among them, SDG 3: Good Health and Well-being is crucial, as health is influenced by social, economic, and environmental factors. SDG 2: Zero Hunger is closely related, as access to safe, affordable, and nutritious food directly affects physical health, mental well-being, and long-term quality of life. The 2030 Agenda highlights that these goals are interconnected, indicating that advances in health depend on improvements in food systems, reductions in poverty, and broader social conditions (United Nations, 2015; United Nations, 2026a; United Nations, 2026b). This report provides a critical analysis of the policies surrounding SDG 2 and SDG 3 at global, national, and local levels, including the impact of AI. It contends that, despite robust policy frameworks, implementation varies significantly, necessitating more integrated, equitable, and comprehensive approaches in the UK and Wales.</w:t>
      </w:r>
    </w:p>
    <w:p w14:paraId="0BC560D7" w14:textId="77777777" w:rsidR="004D5201" w:rsidRPr="00E9452D" w:rsidRDefault="008E5F0C">
      <w:pPr>
        <w:spacing w:before="100" w:after="100" w:line="360" w:lineRule="auto"/>
        <w:jc w:val="both"/>
        <w:outlineLvl w:val="0"/>
        <w:rPr>
          <w:rFonts w:ascii="Arial" w:eastAsia="Times New Roman" w:hAnsi="Arial" w:cs="Arial"/>
          <w:b/>
          <w:bCs/>
          <w:sz w:val="22"/>
          <w:szCs w:val="22"/>
          <w:lang w:eastAsia="en-GB"/>
        </w:rPr>
      </w:pPr>
      <w:r w:rsidRPr="00E9452D">
        <w:rPr>
          <w:rFonts w:ascii="Arial" w:eastAsia="Times New Roman" w:hAnsi="Arial" w:cs="Arial"/>
          <w:b/>
          <w:bCs/>
          <w:sz w:val="22"/>
          <w:szCs w:val="22"/>
          <w:lang w:eastAsia="en-GB"/>
        </w:rPr>
        <w:t>Section 1: SDG 3 – Good Health and Well-being</w:t>
      </w:r>
    </w:p>
    <w:p w14:paraId="2E20DA58" w14:textId="77777777" w:rsidR="004D5201" w:rsidRPr="00E9452D" w:rsidRDefault="008E5F0C">
      <w:pPr>
        <w:spacing w:before="100" w:after="100" w:line="360" w:lineRule="auto"/>
        <w:jc w:val="both"/>
        <w:outlineLvl w:val="1"/>
        <w:rPr>
          <w:rFonts w:ascii="Arial" w:eastAsia="Times New Roman" w:hAnsi="Arial" w:cs="Arial"/>
          <w:b/>
          <w:bCs/>
          <w:kern w:val="0"/>
          <w:sz w:val="22"/>
          <w:szCs w:val="22"/>
          <w:lang w:eastAsia="en-GB"/>
        </w:rPr>
      </w:pPr>
      <w:r w:rsidRPr="00E9452D">
        <w:rPr>
          <w:rFonts w:ascii="Arial" w:eastAsia="Times New Roman" w:hAnsi="Arial" w:cs="Arial"/>
          <w:b/>
          <w:bCs/>
          <w:kern w:val="0"/>
          <w:sz w:val="22"/>
          <w:szCs w:val="22"/>
          <w:lang w:eastAsia="en-GB"/>
        </w:rPr>
        <w:t>1.1 Overview of SDG 3</w:t>
      </w:r>
    </w:p>
    <w:p w14:paraId="3D652B53" w14:textId="77777777" w:rsidR="004D5201" w:rsidRPr="00E9452D" w:rsidRDefault="008E5F0C">
      <w:pPr>
        <w:spacing w:before="100" w:after="100" w:line="360" w:lineRule="auto"/>
        <w:jc w:val="both"/>
        <w:outlineLvl w:val="1"/>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t>SDG 3 aims to “ensure healthy lives and promote well-being for all at all ages”, covering areas such as maternal health, communicable and non-communicable diseases, mental health and access to healthcare (United Nations, 2026a). A key strength is its recognition that health extends beyond medical treatment and is influenced by wider social and environmental factors. However, this broad scope also makes implementation challenging. Progress requires cross-sector collaboration, sustained funding and strong public systems. Global evidence shows uneven progress, with many targets off track, particularly in regions affected by poverty, conflict and weak governance (WHO, 2024a; WHO, 2025b; Engebretsen et al., 2024).</w:t>
      </w:r>
    </w:p>
    <w:p w14:paraId="6D3BE252" w14:textId="77777777" w:rsidR="004D5201" w:rsidRPr="00E9452D" w:rsidRDefault="008E5F0C">
      <w:pPr>
        <w:spacing w:before="100" w:after="100" w:line="360" w:lineRule="auto"/>
        <w:jc w:val="both"/>
        <w:outlineLvl w:val="1"/>
        <w:rPr>
          <w:rFonts w:ascii="Arial" w:eastAsia="Times New Roman" w:hAnsi="Arial" w:cs="Arial"/>
          <w:b/>
          <w:bCs/>
          <w:kern w:val="0"/>
          <w:sz w:val="22"/>
          <w:szCs w:val="22"/>
          <w:lang w:eastAsia="en-GB"/>
        </w:rPr>
      </w:pPr>
      <w:r w:rsidRPr="00E9452D">
        <w:rPr>
          <w:rFonts w:ascii="Arial" w:eastAsia="Times New Roman" w:hAnsi="Arial" w:cs="Arial"/>
          <w:b/>
          <w:bCs/>
          <w:kern w:val="0"/>
          <w:sz w:val="22"/>
          <w:szCs w:val="22"/>
          <w:lang w:eastAsia="en-GB"/>
        </w:rPr>
        <w:t>1.2 Global policies and initiatives</w:t>
      </w:r>
    </w:p>
    <w:p w14:paraId="2D665575" w14:textId="77777777" w:rsidR="004D5201" w:rsidRPr="00E9452D" w:rsidRDefault="008E5F0C">
      <w:pPr>
        <w:spacing w:before="100" w:after="100" w:line="360" w:lineRule="auto"/>
        <w:jc w:val="both"/>
        <w:outlineLvl w:val="1"/>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t xml:space="preserve">At the global level, the UN 2030 Agenda and WHO-led strategies provide a shared direction for health policy. The SDG3 Global Action Plan (GAP) aimed to improve coordination between international organisations and reduce duplication in global health efforts. While this was a positive approach in theory, its impact has been limited. An independent evaluation found that the GAP did not achieve its objectives and would be closed in 2025 (WHO, 2024a; WHO, 2025b). This highlights that global frameworks alone are insufficient; effective implementation </w:t>
      </w:r>
      <w:r w:rsidRPr="00E9452D">
        <w:rPr>
          <w:rFonts w:ascii="Arial" w:eastAsia="Times New Roman" w:hAnsi="Arial" w:cs="Arial"/>
          <w:kern w:val="0"/>
          <w:sz w:val="22"/>
          <w:szCs w:val="22"/>
          <w:lang w:eastAsia="en-GB"/>
        </w:rPr>
        <w:lastRenderedPageBreak/>
        <w:t>requires strong national integration, clear accountability and adequate funding to translate policy into practice.</w:t>
      </w:r>
    </w:p>
    <w:p w14:paraId="49E9321C" w14:textId="77777777" w:rsidR="004D5201" w:rsidRPr="00E9452D" w:rsidRDefault="008E5F0C">
      <w:pPr>
        <w:spacing w:before="100" w:after="100" w:line="360" w:lineRule="auto"/>
        <w:jc w:val="both"/>
        <w:outlineLvl w:val="1"/>
        <w:rPr>
          <w:rFonts w:ascii="Arial" w:eastAsia="Times New Roman" w:hAnsi="Arial" w:cs="Arial"/>
          <w:b/>
          <w:bCs/>
          <w:kern w:val="0"/>
          <w:sz w:val="22"/>
          <w:szCs w:val="22"/>
          <w:lang w:eastAsia="en-GB"/>
        </w:rPr>
      </w:pPr>
      <w:r w:rsidRPr="00E9452D">
        <w:rPr>
          <w:rFonts w:ascii="Arial" w:eastAsia="Times New Roman" w:hAnsi="Arial" w:cs="Arial"/>
          <w:b/>
          <w:bCs/>
          <w:kern w:val="0"/>
          <w:sz w:val="22"/>
          <w:szCs w:val="22"/>
          <w:lang w:eastAsia="en-GB"/>
        </w:rPr>
        <w:t>1.3 Theoretical perspectives</w:t>
      </w:r>
    </w:p>
    <w:p w14:paraId="12343663" w14:textId="77777777" w:rsidR="004D5201" w:rsidRPr="00E9452D" w:rsidRDefault="008E5F0C">
      <w:pPr>
        <w:spacing w:before="100" w:after="100" w:line="360" w:lineRule="auto"/>
        <w:jc w:val="both"/>
        <w:outlineLvl w:val="1"/>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t>SDG 3 can be understood through the social determinants of health and whole-systems thinking, which emphasise that health is shaped by factors such as housing, education, employment, transport, and food access, rather than by individual behaviour alone. This is important because policies focused only on behaviour change may ignore structural barriers faced by disadvantaged groups. For example, obesity is often viewed as a lifestyle issue, yet research shows it is influenced by complex social and environmental factors. Evidence suggests whole-system approaches are more effective than isolated interventions, as they address these wider determinants (McLaughlin et al., 2024; Breslin et al., 2024).</w:t>
      </w:r>
    </w:p>
    <w:p w14:paraId="7817421D" w14:textId="77777777" w:rsidR="004D5201" w:rsidRPr="00E9452D" w:rsidRDefault="008E5F0C">
      <w:pPr>
        <w:spacing w:before="100" w:after="100" w:line="360" w:lineRule="auto"/>
        <w:jc w:val="both"/>
        <w:outlineLvl w:val="1"/>
        <w:rPr>
          <w:rFonts w:ascii="Arial" w:eastAsia="Times New Roman" w:hAnsi="Arial" w:cs="Arial"/>
          <w:b/>
          <w:bCs/>
          <w:kern w:val="0"/>
          <w:sz w:val="22"/>
          <w:szCs w:val="22"/>
          <w:lang w:eastAsia="en-GB"/>
        </w:rPr>
      </w:pPr>
      <w:r w:rsidRPr="00E9452D">
        <w:rPr>
          <w:rFonts w:ascii="Arial" w:eastAsia="Times New Roman" w:hAnsi="Arial" w:cs="Arial"/>
          <w:b/>
          <w:bCs/>
          <w:kern w:val="0"/>
          <w:sz w:val="22"/>
          <w:szCs w:val="22"/>
          <w:lang w:eastAsia="en-GB"/>
        </w:rPr>
        <w:t>1.4 National policies and initiatives</w:t>
      </w:r>
    </w:p>
    <w:p w14:paraId="2F503DAF" w14:textId="77777777" w:rsidR="004D5201" w:rsidRPr="00E9452D" w:rsidRDefault="008E5F0C">
      <w:pPr>
        <w:spacing w:before="100" w:after="100" w:line="360" w:lineRule="auto"/>
        <w:jc w:val="both"/>
        <w:outlineLvl w:val="1"/>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t>At the national level, Wales provides a strong example through A Healthier Wales, which sets out a long-term vision focused on prevention, integration and person-centred care (Welsh Government, 2018). The policy aligns with SDG 3 by recognising that sustainable health improvement requires early intervention, stronger community services and better coordination between health and social care. A key strength is its emphasis on prevention and long-term well-being rather than reactive treatment, which is more effective and sustainable. However, an implementation gap remains, reflecting broader structural challenges such as workforce shortages, financial constraints and rising demand for services. Furthermore, long-term ambitions may be difficult to sustain within short political and funding cycles, limiting consistent progress. As a result, the success of this strategy depends on sufficient resources, workforce capacity and effective monitoring.</w:t>
      </w:r>
    </w:p>
    <w:p w14:paraId="345B32AC" w14:textId="77777777" w:rsidR="004D5201" w:rsidRPr="00E9452D" w:rsidRDefault="008E5F0C">
      <w:pPr>
        <w:spacing w:before="100" w:after="100" w:line="360" w:lineRule="auto"/>
        <w:jc w:val="both"/>
        <w:outlineLvl w:val="1"/>
        <w:rPr>
          <w:rFonts w:ascii="Arial" w:eastAsia="Times New Roman" w:hAnsi="Arial" w:cs="Arial"/>
          <w:b/>
          <w:bCs/>
          <w:kern w:val="0"/>
          <w:sz w:val="22"/>
          <w:szCs w:val="22"/>
          <w:lang w:eastAsia="en-GB"/>
        </w:rPr>
      </w:pPr>
      <w:r w:rsidRPr="00E9452D">
        <w:rPr>
          <w:rFonts w:ascii="Arial" w:eastAsia="Times New Roman" w:hAnsi="Arial" w:cs="Arial"/>
          <w:b/>
          <w:bCs/>
          <w:kern w:val="0"/>
          <w:sz w:val="22"/>
          <w:szCs w:val="22"/>
          <w:lang w:eastAsia="en-GB"/>
        </w:rPr>
        <w:t>1.5 Local policies and initiatives</w:t>
      </w:r>
    </w:p>
    <w:p w14:paraId="29B3D0FE" w14:textId="77777777" w:rsidR="004D5201" w:rsidRPr="00E9452D" w:rsidRDefault="008E5F0C">
      <w:pPr>
        <w:spacing w:before="100" w:after="100" w:line="360" w:lineRule="auto"/>
        <w:jc w:val="both"/>
        <w:outlineLvl w:val="1"/>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t>A key Welsh initiative is Healthy Weight: Healthy Wales, which addresses obesity through a whole-system approach. This is highly relevant to SDG 3, as obesity is associated with conditions such as diabetes, cardiovascular disease, certain cancers and poor mental well-being. A major strength is its focus on wider determinants, including food environments, physical activity and cross-sector collaboration (Welsh Government, 2021; Public Health Wales, 2024a). However, while the strategy is considered ambitious, long-term outcomes remain uncertain (Public Health Wales, 2025a). Its success depends on local delivery through partnerships, yet variations in funding, staffing and infrastructure may result in inconsistent outcomes. This suggests that communities with the greatest need may benefit the least, reinforcing existing health inequalities.</w:t>
      </w:r>
    </w:p>
    <w:p w14:paraId="72657850" w14:textId="77777777" w:rsidR="004D5201" w:rsidRPr="00E9452D" w:rsidRDefault="008E5F0C">
      <w:pPr>
        <w:spacing w:before="100" w:after="100" w:line="360" w:lineRule="auto"/>
        <w:jc w:val="both"/>
        <w:outlineLvl w:val="1"/>
        <w:rPr>
          <w:rFonts w:ascii="Arial" w:eastAsia="Times New Roman" w:hAnsi="Arial" w:cs="Arial"/>
          <w:b/>
          <w:bCs/>
          <w:kern w:val="0"/>
          <w:sz w:val="22"/>
          <w:szCs w:val="22"/>
          <w:lang w:eastAsia="en-GB"/>
        </w:rPr>
      </w:pPr>
      <w:r w:rsidRPr="00E9452D">
        <w:rPr>
          <w:rFonts w:ascii="Arial" w:eastAsia="Times New Roman" w:hAnsi="Arial" w:cs="Arial"/>
          <w:b/>
          <w:bCs/>
          <w:kern w:val="0"/>
          <w:sz w:val="22"/>
          <w:szCs w:val="22"/>
          <w:lang w:eastAsia="en-GB"/>
        </w:rPr>
        <w:t>1.6 Application of behavioural theory</w:t>
      </w:r>
    </w:p>
    <w:p w14:paraId="39C57F50" w14:textId="77777777" w:rsidR="004D5201" w:rsidRPr="00E9452D" w:rsidRDefault="008E5F0C">
      <w:pPr>
        <w:spacing w:before="100" w:after="100" w:line="360" w:lineRule="auto"/>
        <w:jc w:val="both"/>
        <w:outlineLvl w:val="1"/>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lastRenderedPageBreak/>
        <w:t>From a Social Cognitive Theory perspective, behaviour change is influenced by the interaction between individual, environmental and social factors. The Welsh example highlights the importance of health behaviour theories. Social Cognitive Theory suggests behaviour change is more likely when individuals have supportive environments, positive role models and confidence. Similarly, the Health Belief Model explains why health campaigns may fail: even when people understand the risks, barriers such as cost, time, transport, and limited access to food can prevent change. This shows that awareness alone is insufficient. Individuals need realistic opportunities to adopt healthier behaviours. Therefore, structural interventions such as healthier school meals, active travel and community support are often more effective than information-based approaches alone (Breslin et al., 2024; McLaughlin et al., 2024).</w:t>
      </w:r>
    </w:p>
    <w:p w14:paraId="68B1E944" w14:textId="77777777" w:rsidR="004D5201" w:rsidRPr="00E9452D" w:rsidRDefault="008E5F0C">
      <w:pPr>
        <w:spacing w:before="100" w:after="100" w:line="360" w:lineRule="auto"/>
        <w:jc w:val="both"/>
        <w:outlineLvl w:val="1"/>
        <w:rPr>
          <w:rFonts w:ascii="Arial" w:eastAsia="Times New Roman" w:hAnsi="Arial" w:cs="Arial"/>
          <w:b/>
          <w:bCs/>
          <w:kern w:val="0"/>
          <w:sz w:val="22"/>
          <w:szCs w:val="22"/>
          <w:lang w:eastAsia="en-GB"/>
        </w:rPr>
      </w:pPr>
      <w:r w:rsidRPr="00E9452D">
        <w:rPr>
          <w:rFonts w:ascii="Arial" w:eastAsia="Times New Roman" w:hAnsi="Arial" w:cs="Arial"/>
          <w:b/>
          <w:bCs/>
          <w:kern w:val="0"/>
          <w:sz w:val="22"/>
          <w:szCs w:val="22"/>
          <w:lang w:eastAsia="en-GB"/>
        </w:rPr>
        <w:t>1.7 The role of AI in SDG 3</w:t>
      </w:r>
    </w:p>
    <w:p w14:paraId="0C4EC14E" w14:textId="77777777" w:rsidR="004D5201" w:rsidRPr="00E9452D" w:rsidRDefault="008E5F0C">
      <w:pPr>
        <w:spacing w:before="100" w:after="100" w:line="360" w:lineRule="auto"/>
        <w:jc w:val="both"/>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t>AI is increasingly used in SDG 3, particularly in diagnostics, clinical decision support, digital triage and service planning. The WHO highlights its potential to improve health outcomes, while the OECD emphasises both benefits and risks (WHO, 2025c; OECD, 2024a). AI can support early diagnosis, resource allocation and preventive care. However, it is not inherently equitable. Bias in data, unequal digital access and weak governance may worsen existing health inequalities. Innovation alone does not ensure fairness; equity must be embedded through regulation and transparency (Galea, 2026; Green et al., 2024). Additionally, AI’s energy use raises sustainability concerns.</w:t>
      </w:r>
    </w:p>
    <w:p w14:paraId="445A7A85" w14:textId="77777777" w:rsidR="004D5201" w:rsidRPr="00E9452D" w:rsidRDefault="008E5F0C">
      <w:pPr>
        <w:spacing w:before="100" w:after="100" w:line="360" w:lineRule="auto"/>
        <w:jc w:val="both"/>
        <w:outlineLvl w:val="1"/>
        <w:rPr>
          <w:rFonts w:ascii="Arial" w:eastAsia="Times New Roman" w:hAnsi="Arial" w:cs="Arial"/>
          <w:b/>
          <w:bCs/>
          <w:kern w:val="0"/>
          <w:sz w:val="22"/>
          <w:szCs w:val="22"/>
          <w:lang w:eastAsia="en-GB"/>
        </w:rPr>
      </w:pPr>
      <w:r w:rsidRPr="00E9452D">
        <w:rPr>
          <w:rFonts w:ascii="Arial" w:eastAsia="Times New Roman" w:hAnsi="Arial" w:cs="Arial"/>
          <w:b/>
          <w:bCs/>
          <w:kern w:val="0"/>
          <w:sz w:val="22"/>
          <w:szCs w:val="22"/>
          <w:lang w:eastAsia="en-GB"/>
        </w:rPr>
        <w:t>1.8 Evaluation and recommendations for SDG 3</w:t>
      </w:r>
    </w:p>
    <w:p w14:paraId="5E1B0819" w14:textId="77777777" w:rsidR="004D5201" w:rsidRPr="00E9452D" w:rsidRDefault="008E5F0C">
      <w:pPr>
        <w:spacing w:before="100" w:after="100" w:line="360" w:lineRule="auto"/>
        <w:jc w:val="both"/>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t>Overall, SDG 3 policies are most effective when they move away from treating illness in isolation and instead focus on prevention and wider system change. Global and national strategies provide useful direction, but they only make a difference when supported by local delivery and long-term investment.</w:t>
      </w:r>
    </w:p>
    <w:p w14:paraId="4E12815F" w14:textId="2E218FAD" w:rsidR="004D5201" w:rsidRPr="00E9452D" w:rsidRDefault="008E5F0C">
      <w:pPr>
        <w:spacing w:before="100" w:after="100" w:line="360" w:lineRule="auto"/>
        <w:jc w:val="both"/>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t xml:space="preserve">A key recommendation is that governments should strengthen whole-system public health approaches, particularly in deprived communities, by linking healthcare with food policy, housing, transport and digital inclusion. AI should also be used carefully to support prevention and planning, but only where there </w:t>
      </w:r>
      <w:r w:rsidR="00023AA8" w:rsidRPr="00E9452D">
        <w:rPr>
          <w:rFonts w:ascii="Arial" w:eastAsia="Times New Roman" w:hAnsi="Arial" w:cs="Arial"/>
          <w:kern w:val="0"/>
          <w:sz w:val="22"/>
          <w:szCs w:val="22"/>
          <w:lang w:eastAsia="en-GB"/>
        </w:rPr>
        <w:t>are</w:t>
      </w:r>
      <w:r w:rsidRPr="00E9452D">
        <w:rPr>
          <w:rFonts w:ascii="Arial" w:eastAsia="Times New Roman" w:hAnsi="Arial" w:cs="Arial"/>
          <w:kern w:val="0"/>
          <w:sz w:val="22"/>
          <w:szCs w:val="22"/>
          <w:lang w:eastAsia="en-GB"/>
        </w:rPr>
        <w:t xml:space="preserve"> strong ethical governance and clear monitoring of inequality.</w:t>
      </w:r>
    </w:p>
    <w:p w14:paraId="36F9EEA2" w14:textId="77777777" w:rsidR="004D5201" w:rsidRPr="00E9452D" w:rsidRDefault="008E5F0C">
      <w:pPr>
        <w:spacing w:before="100" w:after="100" w:line="360" w:lineRule="auto"/>
        <w:jc w:val="both"/>
        <w:outlineLvl w:val="0"/>
        <w:rPr>
          <w:rFonts w:ascii="Arial" w:eastAsia="Times New Roman" w:hAnsi="Arial" w:cs="Arial"/>
          <w:b/>
          <w:bCs/>
          <w:sz w:val="22"/>
          <w:szCs w:val="22"/>
          <w:lang w:eastAsia="en-GB"/>
        </w:rPr>
      </w:pPr>
      <w:r w:rsidRPr="00E9452D">
        <w:rPr>
          <w:rFonts w:ascii="Arial" w:eastAsia="Times New Roman" w:hAnsi="Arial" w:cs="Arial"/>
          <w:b/>
          <w:bCs/>
          <w:sz w:val="22"/>
          <w:szCs w:val="22"/>
          <w:lang w:eastAsia="en-GB"/>
        </w:rPr>
        <w:t>Section 2: SDG 2 – Zero Hunger</w:t>
      </w:r>
    </w:p>
    <w:p w14:paraId="2D447D84" w14:textId="77777777" w:rsidR="004D5201" w:rsidRPr="00E9452D" w:rsidRDefault="008E5F0C">
      <w:pPr>
        <w:spacing w:before="100" w:after="100" w:line="360" w:lineRule="auto"/>
        <w:jc w:val="both"/>
        <w:outlineLvl w:val="1"/>
        <w:rPr>
          <w:rFonts w:ascii="Arial" w:eastAsia="Times New Roman" w:hAnsi="Arial" w:cs="Arial"/>
          <w:b/>
          <w:bCs/>
          <w:kern w:val="0"/>
          <w:sz w:val="22"/>
          <w:szCs w:val="22"/>
          <w:lang w:eastAsia="en-GB"/>
        </w:rPr>
      </w:pPr>
      <w:r w:rsidRPr="00E9452D">
        <w:rPr>
          <w:rFonts w:ascii="Arial" w:eastAsia="Times New Roman" w:hAnsi="Arial" w:cs="Arial"/>
          <w:b/>
          <w:bCs/>
          <w:kern w:val="0"/>
          <w:sz w:val="22"/>
          <w:szCs w:val="22"/>
          <w:lang w:eastAsia="en-GB"/>
        </w:rPr>
        <w:t>2.1 Overview of SDG 2</w:t>
      </w:r>
    </w:p>
    <w:p w14:paraId="3790016D" w14:textId="77777777" w:rsidR="004D5201" w:rsidRPr="00E9452D" w:rsidRDefault="008E5F0C">
      <w:pPr>
        <w:spacing w:before="100" w:after="100" w:line="360" w:lineRule="auto"/>
        <w:jc w:val="both"/>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t xml:space="preserve">SDG 2 aims to end hunger, achieve food security, improve nutrition and promote sustainable agriculture. It is highly relevant to health and wellbeing because a poor diet is linked to undernutrition, obesity, diabetes, heart disease, lower concentration, stress and poorer educational outcomes. This means that SDG 2 is not only about ensuring sufficient food </w:t>
      </w:r>
      <w:r w:rsidRPr="00E9452D">
        <w:rPr>
          <w:rFonts w:ascii="Arial" w:eastAsia="Times New Roman" w:hAnsi="Arial" w:cs="Arial"/>
          <w:kern w:val="0"/>
          <w:sz w:val="22"/>
          <w:szCs w:val="22"/>
          <w:lang w:eastAsia="en-GB"/>
        </w:rPr>
        <w:lastRenderedPageBreak/>
        <w:t>availability but also about whether food is nutritious, affordable, sustainable, and accessible throughout the entire food system (United Nations, 2026b; FAO et al., 2024).</w:t>
      </w:r>
    </w:p>
    <w:p w14:paraId="2A938F96" w14:textId="77777777" w:rsidR="004D5201" w:rsidRPr="00E9452D" w:rsidRDefault="008E5F0C">
      <w:pPr>
        <w:spacing w:before="100" w:after="100" w:line="360" w:lineRule="auto"/>
        <w:jc w:val="both"/>
        <w:outlineLvl w:val="1"/>
        <w:rPr>
          <w:rFonts w:ascii="Arial" w:eastAsia="Times New Roman" w:hAnsi="Arial" w:cs="Arial"/>
          <w:b/>
          <w:bCs/>
          <w:kern w:val="0"/>
          <w:sz w:val="22"/>
          <w:szCs w:val="22"/>
          <w:lang w:eastAsia="en-GB"/>
        </w:rPr>
      </w:pPr>
      <w:r w:rsidRPr="00E9452D">
        <w:rPr>
          <w:rFonts w:ascii="Arial" w:eastAsia="Times New Roman" w:hAnsi="Arial" w:cs="Arial"/>
          <w:b/>
          <w:bCs/>
          <w:kern w:val="0"/>
          <w:sz w:val="22"/>
          <w:szCs w:val="22"/>
          <w:lang w:eastAsia="en-GB"/>
        </w:rPr>
        <w:t>2.2 Global policies and initiatives</w:t>
      </w:r>
    </w:p>
    <w:p w14:paraId="79F830ED" w14:textId="0EA08604" w:rsidR="004D5201" w:rsidRPr="00E9452D" w:rsidRDefault="008E5F0C">
      <w:pPr>
        <w:spacing w:before="100" w:after="100" w:line="360" w:lineRule="auto"/>
        <w:jc w:val="both"/>
        <w:outlineLvl w:val="1"/>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t xml:space="preserve">At the global level, progress on SDG 2 remains limited. The State of Food Security and Nutrition in the World 2024 highlights ongoing hunger, food insecurity and the high cost of healthy diets (FAO et al., 2024). Malnutrition, including undernutrition, micronutrient deficiencies, and obesity, has strong links to SDG 3. </w:t>
      </w:r>
      <w:r w:rsidR="00936A42" w:rsidRPr="00E9452D">
        <w:rPr>
          <w:rFonts w:ascii="Arial" w:eastAsia="Times New Roman" w:hAnsi="Arial" w:cs="Arial"/>
          <w:kern w:val="0"/>
          <w:sz w:val="22"/>
          <w:szCs w:val="22"/>
          <w:lang w:eastAsia="en-GB"/>
        </w:rPr>
        <w:t>Food and Agriculture Organisation (</w:t>
      </w:r>
      <w:r w:rsidRPr="00E9452D">
        <w:rPr>
          <w:rFonts w:ascii="Arial" w:eastAsia="Times New Roman" w:hAnsi="Arial" w:cs="Arial"/>
          <w:kern w:val="0"/>
          <w:sz w:val="22"/>
          <w:szCs w:val="22"/>
          <w:lang w:eastAsia="en-GB"/>
        </w:rPr>
        <w:t>FAO</w:t>
      </w:r>
      <w:r w:rsidR="00936A42" w:rsidRPr="00E9452D">
        <w:rPr>
          <w:rFonts w:ascii="Arial" w:eastAsia="Times New Roman" w:hAnsi="Arial" w:cs="Arial"/>
          <w:kern w:val="0"/>
          <w:sz w:val="22"/>
          <w:szCs w:val="22"/>
          <w:lang w:eastAsia="en-GB"/>
        </w:rPr>
        <w:t>)’s</w:t>
      </w:r>
      <w:r w:rsidRPr="00E9452D">
        <w:rPr>
          <w:rFonts w:ascii="Arial" w:eastAsia="Times New Roman" w:hAnsi="Arial" w:cs="Arial"/>
          <w:kern w:val="0"/>
          <w:sz w:val="22"/>
          <w:szCs w:val="22"/>
          <w:lang w:eastAsia="en-GB"/>
        </w:rPr>
        <w:t xml:space="preserve"> roadmap emphasises sustainable food systems, but progress is constrained by inflation, climate change and conflict (FAO, 2023). While global frameworks</w:t>
      </w:r>
      <w:r w:rsidR="00FA037F" w:rsidRPr="00E9452D">
        <w:rPr>
          <w:rFonts w:ascii="Arial" w:eastAsia="Times New Roman" w:hAnsi="Arial" w:cs="Arial"/>
          <w:kern w:val="0"/>
          <w:sz w:val="22"/>
          <w:szCs w:val="22"/>
          <w:lang w:eastAsia="en-GB"/>
        </w:rPr>
        <w:t xml:space="preserve"> like the ‘FAO Strategic Framework 2022-31’ and the ‘Global Strategic Framework for Food Security and Nutrition (GSF)’</w:t>
      </w:r>
      <w:r w:rsidRPr="00E9452D">
        <w:rPr>
          <w:rFonts w:ascii="Arial" w:eastAsia="Times New Roman" w:hAnsi="Arial" w:cs="Arial"/>
          <w:kern w:val="0"/>
          <w:sz w:val="22"/>
          <w:szCs w:val="22"/>
          <w:lang w:eastAsia="en-GB"/>
        </w:rPr>
        <w:t xml:space="preserve"> provide direction, they fail to address structural inequalities, income insecurity and market concentration, making it difficult to achieve both health and sustainability goals (EAT, 2019; Mason-</w:t>
      </w:r>
      <w:proofErr w:type="spellStart"/>
      <w:r w:rsidRPr="00E9452D">
        <w:rPr>
          <w:rFonts w:ascii="Arial" w:eastAsia="Times New Roman" w:hAnsi="Arial" w:cs="Arial"/>
          <w:kern w:val="0"/>
          <w:sz w:val="22"/>
          <w:szCs w:val="22"/>
          <w:lang w:eastAsia="en-GB"/>
        </w:rPr>
        <w:t>D’Croz</w:t>
      </w:r>
      <w:proofErr w:type="spellEnd"/>
      <w:r w:rsidRPr="00E9452D">
        <w:rPr>
          <w:rFonts w:ascii="Arial" w:eastAsia="Times New Roman" w:hAnsi="Arial" w:cs="Arial"/>
          <w:kern w:val="0"/>
          <w:sz w:val="22"/>
          <w:szCs w:val="22"/>
          <w:lang w:eastAsia="en-GB"/>
        </w:rPr>
        <w:t xml:space="preserve"> et al., 2025).</w:t>
      </w:r>
    </w:p>
    <w:p w14:paraId="4179E038" w14:textId="77777777" w:rsidR="004D5201" w:rsidRPr="00E9452D" w:rsidRDefault="008E5F0C">
      <w:pPr>
        <w:spacing w:before="100" w:after="100" w:line="360" w:lineRule="auto"/>
        <w:jc w:val="both"/>
        <w:outlineLvl w:val="1"/>
        <w:rPr>
          <w:rFonts w:ascii="Arial" w:eastAsia="Times New Roman" w:hAnsi="Arial" w:cs="Arial"/>
          <w:b/>
          <w:bCs/>
          <w:kern w:val="0"/>
          <w:sz w:val="22"/>
          <w:szCs w:val="22"/>
          <w:lang w:eastAsia="en-GB"/>
        </w:rPr>
      </w:pPr>
      <w:r w:rsidRPr="00E9452D">
        <w:rPr>
          <w:rFonts w:ascii="Arial" w:eastAsia="Times New Roman" w:hAnsi="Arial" w:cs="Arial"/>
          <w:b/>
          <w:bCs/>
          <w:kern w:val="0"/>
          <w:sz w:val="22"/>
          <w:szCs w:val="22"/>
          <w:lang w:eastAsia="en-GB"/>
        </w:rPr>
        <w:t>2.3 National policies and initiatives</w:t>
      </w:r>
    </w:p>
    <w:p w14:paraId="41F75ED8" w14:textId="77777777" w:rsidR="00FA037F" w:rsidRPr="00FA037F" w:rsidRDefault="00FA037F" w:rsidP="00FA037F">
      <w:pPr>
        <w:spacing w:before="100" w:after="100" w:line="360" w:lineRule="auto"/>
        <w:jc w:val="both"/>
        <w:outlineLvl w:val="1"/>
        <w:rPr>
          <w:rFonts w:ascii="Arial" w:eastAsia="Times New Roman" w:hAnsi="Arial" w:cs="Arial"/>
          <w:kern w:val="0"/>
          <w:sz w:val="22"/>
          <w:szCs w:val="22"/>
          <w:lang w:eastAsia="en-GB"/>
        </w:rPr>
      </w:pPr>
      <w:r w:rsidRPr="00FA037F">
        <w:rPr>
          <w:rFonts w:ascii="Arial" w:eastAsia="Times New Roman" w:hAnsi="Arial" w:cs="Arial"/>
          <w:kern w:val="0"/>
          <w:sz w:val="22"/>
          <w:szCs w:val="22"/>
          <w:lang w:eastAsia="en-GB"/>
        </w:rPr>
        <w:t>Food insecurity in the United Kingdom persists despite the country’s status as a high</w:t>
      </w:r>
      <w:r w:rsidRPr="00FA037F">
        <w:rPr>
          <w:rFonts w:ascii="Arial" w:eastAsia="Times New Roman" w:hAnsi="Arial" w:cs="Arial"/>
          <w:kern w:val="0"/>
          <w:sz w:val="22"/>
          <w:szCs w:val="22"/>
          <w:lang w:eastAsia="en-GB"/>
        </w:rPr>
        <w:noBreakHyphen/>
        <w:t>income economy, highlighting entrenched structural inequalities in access to adequate food. Recent evidence demonstrates that the ongoing cost of living crisis has intensified affordability pressures, thereby exposing the limitations of existing policy interventions aimed at mitigating food-related hardship (Defra, 2024a; House of Commons Library, 2025). The disproportionate prevalence of food insecurity among low</w:t>
      </w:r>
      <w:r w:rsidRPr="00FA037F">
        <w:rPr>
          <w:rFonts w:ascii="Arial" w:eastAsia="Times New Roman" w:hAnsi="Arial" w:cs="Arial"/>
          <w:kern w:val="0"/>
          <w:sz w:val="22"/>
          <w:szCs w:val="22"/>
          <w:lang w:eastAsia="en-GB"/>
        </w:rPr>
        <w:noBreakHyphen/>
        <w:t>income and otherwise vulnerable groups indicates that poverty—rather than issues of supply or distribution—is the primary driver of inadequate food access. This challenges dominant narratives that frame food insecurity as a logistical or supply</w:t>
      </w:r>
      <w:r w:rsidRPr="00FA037F">
        <w:rPr>
          <w:rFonts w:ascii="Arial" w:eastAsia="Times New Roman" w:hAnsi="Arial" w:cs="Arial"/>
          <w:kern w:val="0"/>
          <w:sz w:val="22"/>
          <w:szCs w:val="22"/>
          <w:lang w:eastAsia="en-GB"/>
        </w:rPr>
        <w:noBreakHyphen/>
        <w:t>chain problem, instead underscoring its socioeconomic roots.</w:t>
      </w:r>
    </w:p>
    <w:p w14:paraId="49FE6E7E" w14:textId="77777777" w:rsidR="00FA037F" w:rsidRPr="00FA037F" w:rsidRDefault="00FA037F" w:rsidP="00FA037F">
      <w:pPr>
        <w:spacing w:before="100" w:after="100" w:line="360" w:lineRule="auto"/>
        <w:jc w:val="both"/>
        <w:outlineLvl w:val="1"/>
        <w:rPr>
          <w:rFonts w:ascii="Arial" w:eastAsia="Times New Roman" w:hAnsi="Arial" w:cs="Arial"/>
          <w:kern w:val="0"/>
          <w:sz w:val="22"/>
          <w:szCs w:val="22"/>
          <w:lang w:eastAsia="en-GB"/>
        </w:rPr>
      </w:pPr>
      <w:r w:rsidRPr="00FA037F">
        <w:rPr>
          <w:rFonts w:ascii="Arial" w:eastAsia="Times New Roman" w:hAnsi="Arial" w:cs="Arial"/>
          <w:kern w:val="0"/>
          <w:sz w:val="22"/>
          <w:szCs w:val="22"/>
          <w:lang w:eastAsia="en-GB"/>
        </w:rPr>
        <w:t>These dynamics carry significant implications for public policy. Approaches that focus predominantly on food supply may offer short</w:t>
      </w:r>
      <w:r w:rsidRPr="00FA037F">
        <w:rPr>
          <w:rFonts w:ascii="Arial" w:eastAsia="Times New Roman" w:hAnsi="Arial" w:cs="Arial"/>
          <w:kern w:val="0"/>
          <w:sz w:val="22"/>
          <w:szCs w:val="22"/>
          <w:lang w:eastAsia="en-GB"/>
        </w:rPr>
        <w:noBreakHyphen/>
        <w:t>term relief but fail to address the underlying determinants of food insecurity. The consequences of inadequate nutrition extend beyond immediate hunger, contributing to long</w:t>
      </w:r>
      <w:r w:rsidRPr="00FA037F">
        <w:rPr>
          <w:rFonts w:ascii="Arial" w:eastAsia="Times New Roman" w:hAnsi="Arial" w:cs="Arial"/>
          <w:kern w:val="0"/>
          <w:sz w:val="22"/>
          <w:szCs w:val="22"/>
          <w:lang w:eastAsia="en-GB"/>
        </w:rPr>
        <w:noBreakHyphen/>
        <w:t>term health conditions and increased demand for healthcare services. This interconnection reinforces the relationship between Sustainable Development Goal (SDG) 2, which targets the eradication of hunger, and SDG 3, which promotes good health and well</w:t>
      </w:r>
      <w:r w:rsidRPr="00FA037F">
        <w:rPr>
          <w:rFonts w:ascii="Arial" w:eastAsia="Times New Roman" w:hAnsi="Arial" w:cs="Arial"/>
          <w:kern w:val="0"/>
          <w:sz w:val="22"/>
          <w:szCs w:val="22"/>
          <w:lang w:eastAsia="en-GB"/>
        </w:rPr>
        <w:noBreakHyphen/>
        <w:t>being. Accordingly, effective policy responses must prioritise income support, robust social protection mechanisms, and improvements to the broader food environment. Such measures are essential for addressing the structural factors that perpetuate food insecurity and for fostering more equitable and resilient food systems.</w:t>
      </w:r>
    </w:p>
    <w:p w14:paraId="1CB13B82" w14:textId="77777777" w:rsidR="004D5201" w:rsidRPr="00E9452D" w:rsidRDefault="008E5F0C">
      <w:pPr>
        <w:spacing w:before="100" w:after="100" w:line="360" w:lineRule="auto"/>
        <w:jc w:val="both"/>
        <w:outlineLvl w:val="1"/>
        <w:rPr>
          <w:rFonts w:ascii="Arial" w:eastAsia="Times New Roman" w:hAnsi="Arial" w:cs="Arial"/>
          <w:b/>
          <w:bCs/>
          <w:kern w:val="0"/>
          <w:sz w:val="22"/>
          <w:szCs w:val="22"/>
          <w:lang w:eastAsia="en-GB"/>
        </w:rPr>
      </w:pPr>
      <w:r w:rsidRPr="00E9452D">
        <w:rPr>
          <w:rFonts w:ascii="Arial" w:eastAsia="Times New Roman" w:hAnsi="Arial" w:cs="Arial"/>
          <w:b/>
          <w:bCs/>
          <w:kern w:val="0"/>
          <w:sz w:val="22"/>
          <w:szCs w:val="22"/>
          <w:lang w:eastAsia="en-GB"/>
        </w:rPr>
        <w:t>2.4 Welsh and local policies and initiatives</w:t>
      </w:r>
    </w:p>
    <w:p w14:paraId="07E6A6D0" w14:textId="714F2036" w:rsidR="00016BFE" w:rsidRPr="00E9452D" w:rsidRDefault="00016BFE">
      <w:pPr>
        <w:spacing w:before="100" w:after="100" w:line="360" w:lineRule="auto"/>
        <w:jc w:val="both"/>
        <w:outlineLvl w:val="1"/>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lastRenderedPageBreak/>
        <w:t>Highlighting Wales draws attention to its devolved authority over health, education, and aspects of food policy, enabling more integrated and context</w:t>
      </w:r>
      <w:r w:rsidRPr="00E9452D">
        <w:rPr>
          <w:rFonts w:ascii="Arial" w:eastAsia="Times New Roman" w:hAnsi="Arial" w:cs="Arial"/>
          <w:kern w:val="0"/>
          <w:sz w:val="22"/>
          <w:szCs w:val="22"/>
          <w:lang w:eastAsia="en-GB"/>
        </w:rPr>
        <w:noBreakHyphen/>
        <w:t>specific interventions than those available in other UK nations. Within this framework, food policy extends beyond production to include procurement, nutritional standards, welfare support, and sustainability initiatives. Food Matters: Wales adopts a systems</w:t>
      </w:r>
      <w:r w:rsidRPr="00E9452D">
        <w:rPr>
          <w:rFonts w:ascii="Arial" w:eastAsia="Times New Roman" w:hAnsi="Arial" w:cs="Arial"/>
          <w:kern w:val="0"/>
          <w:sz w:val="22"/>
          <w:szCs w:val="22"/>
          <w:lang w:eastAsia="en-GB"/>
        </w:rPr>
        <w:noBreakHyphen/>
        <w:t xml:space="preserve">based approach that aligns health, educational, and environmental priorities with SDG 2 and SDG 3, though its overall effectiveness remains contingent on sufficient funding and implementation capacity (Welsh Government, 2024b). The Universal Primary Free School Meals (UPFSM) programme, which supports approximately 200,000 pupils, improves nutritional access and reduces stigma; however, disparities in meal quality, uptake, and local authority resources risk uneven outcomes (Welsh Government, 2025a; Senedd Cymru, 2025). Regionally, initiatives such as </w:t>
      </w:r>
      <w:proofErr w:type="spellStart"/>
      <w:r w:rsidRPr="00E9452D">
        <w:rPr>
          <w:rFonts w:ascii="Arial" w:eastAsia="Times New Roman" w:hAnsi="Arial" w:cs="Arial"/>
          <w:kern w:val="0"/>
          <w:sz w:val="22"/>
          <w:szCs w:val="22"/>
          <w:lang w:eastAsia="en-GB"/>
        </w:rPr>
        <w:t>Bwyd</w:t>
      </w:r>
      <w:proofErr w:type="spellEnd"/>
      <w:r w:rsidRPr="00E9452D">
        <w:rPr>
          <w:rFonts w:ascii="Arial" w:eastAsia="Times New Roman" w:hAnsi="Arial" w:cs="Arial"/>
          <w:kern w:val="0"/>
          <w:sz w:val="22"/>
          <w:szCs w:val="22"/>
          <w:lang w:eastAsia="en-GB"/>
        </w:rPr>
        <w:t xml:space="preserve"> Sir </w:t>
      </w:r>
      <w:proofErr w:type="spellStart"/>
      <w:r w:rsidRPr="00E9452D">
        <w:rPr>
          <w:rFonts w:ascii="Arial" w:eastAsia="Times New Roman" w:hAnsi="Arial" w:cs="Arial"/>
          <w:kern w:val="0"/>
          <w:sz w:val="22"/>
          <w:szCs w:val="22"/>
          <w:lang w:eastAsia="en-GB"/>
        </w:rPr>
        <w:t>Gâr</w:t>
      </w:r>
      <w:proofErr w:type="spellEnd"/>
      <w:r w:rsidRPr="00E9452D">
        <w:rPr>
          <w:rFonts w:ascii="Arial" w:eastAsia="Times New Roman" w:hAnsi="Arial" w:cs="Arial"/>
          <w:kern w:val="0"/>
          <w:sz w:val="22"/>
          <w:szCs w:val="22"/>
          <w:lang w:eastAsia="en-GB"/>
        </w:rPr>
        <w:t xml:space="preserve"> Food strengthen sustainable supply chains, yet reliance on short</w:t>
      </w:r>
      <w:r w:rsidRPr="00E9452D">
        <w:rPr>
          <w:rFonts w:ascii="Arial" w:eastAsia="Times New Roman" w:hAnsi="Arial" w:cs="Arial"/>
          <w:kern w:val="0"/>
          <w:sz w:val="22"/>
          <w:szCs w:val="22"/>
          <w:lang w:eastAsia="en-GB"/>
        </w:rPr>
        <w:noBreakHyphen/>
        <w:t>term funding constrains long</w:t>
      </w:r>
      <w:r w:rsidRPr="00E9452D">
        <w:rPr>
          <w:rFonts w:ascii="Arial" w:eastAsia="Times New Roman" w:hAnsi="Arial" w:cs="Arial"/>
          <w:kern w:val="0"/>
          <w:sz w:val="22"/>
          <w:szCs w:val="22"/>
          <w:lang w:eastAsia="en-GB"/>
        </w:rPr>
        <w:noBreakHyphen/>
        <w:t>term impact (Carmarthenshire County Council, 2026; Food Sense Wales, 2025).</w:t>
      </w:r>
    </w:p>
    <w:p w14:paraId="213A95E0" w14:textId="77777777" w:rsidR="004D5201" w:rsidRPr="00E9452D" w:rsidRDefault="008E5F0C">
      <w:pPr>
        <w:spacing w:before="100" w:after="100" w:line="360" w:lineRule="auto"/>
        <w:jc w:val="both"/>
        <w:outlineLvl w:val="1"/>
        <w:rPr>
          <w:rFonts w:ascii="Arial" w:eastAsia="Times New Roman" w:hAnsi="Arial" w:cs="Arial"/>
          <w:b/>
          <w:bCs/>
          <w:kern w:val="0"/>
          <w:sz w:val="22"/>
          <w:szCs w:val="22"/>
          <w:lang w:eastAsia="en-GB"/>
        </w:rPr>
      </w:pPr>
      <w:r w:rsidRPr="00E9452D">
        <w:rPr>
          <w:rFonts w:ascii="Arial" w:eastAsia="Times New Roman" w:hAnsi="Arial" w:cs="Arial"/>
          <w:b/>
          <w:bCs/>
          <w:kern w:val="0"/>
          <w:sz w:val="22"/>
          <w:szCs w:val="22"/>
          <w:lang w:eastAsia="en-GB"/>
        </w:rPr>
        <w:t>2.5 Application of theory</w:t>
      </w:r>
    </w:p>
    <w:p w14:paraId="707D342F" w14:textId="0612E81F" w:rsidR="00016BFE" w:rsidRPr="00E9452D" w:rsidRDefault="00016BFE">
      <w:pPr>
        <w:spacing w:before="100" w:after="100" w:line="360" w:lineRule="auto"/>
        <w:jc w:val="both"/>
        <w:outlineLvl w:val="1"/>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t xml:space="preserve">The Social Ecological Model offers a valuable framework for understanding SDG 2, as it situates food choices within multiple, interrelated levels of influence extending from individual behaviours to wider structural conditions. Rather than attributing dietary outcomes solely to personal responsibility, the model highlights how factors such as food prices, local availability, transport infrastructure, and institutional settings shape access to nutritious options. </w:t>
      </w:r>
      <w:r w:rsidRPr="00E9452D">
        <w:rPr>
          <w:rFonts w:ascii="Arial" w:eastAsia="Times New Roman" w:hAnsi="Arial" w:cs="Arial"/>
          <w:kern w:val="0"/>
          <w:sz w:val="22"/>
          <w:szCs w:val="22"/>
          <w:lang w:eastAsia="en-GB"/>
        </w:rPr>
        <w:t>This Social Ecological Model</w:t>
      </w:r>
      <w:r w:rsidRPr="00E9452D">
        <w:rPr>
          <w:rFonts w:ascii="Arial" w:eastAsia="Times New Roman" w:hAnsi="Arial" w:cs="Arial"/>
          <w:kern w:val="0"/>
          <w:sz w:val="22"/>
          <w:szCs w:val="22"/>
          <w:lang w:eastAsia="en-GB"/>
        </w:rPr>
        <w:t xml:space="preserve"> also demonstrates why interventions targeting environmental determinants—such as school meal provision, local procurement, and community food systems—are typically more effective than education alone. Progress toward SDG 2 therefore depends on reshaping food environments to ensure healthy and sustainable choices are accessible, affordable, and embedded in everyday life.</w:t>
      </w:r>
    </w:p>
    <w:p w14:paraId="3D80B37C" w14:textId="77777777" w:rsidR="004D5201" w:rsidRPr="00E9452D" w:rsidRDefault="008E5F0C">
      <w:pPr>
        <w:spacing w:before="100" w:after="100" w:line="360" w:lineRule="auto"/>
        <w:jc w:val="both"/>
        <w:outlineLvl w:val="1"/>
        <w:rPr>
          <w:rFonts w:ascii="Arial" w:eastAsia="Times New Roman" w:hAnsi="Arial" w:cs="Arial"/>
          <w:b/>
          <w:bCs/>
          <w:kern w:val="0"/>
          <w:sz w:val="22"/>
          <w:szCs w:val="22"/>
          <w:lang w:eastAsia="en-GB"/>
        </w:rPr>
      </w:pPr>
      <w:r w:rsidRPr="00E9452D">
        <w:rPr>
          <w:rFonts w:ascii="Arial" w:eastAsia="Times New Roman" w:hAnsi="Arial" w:cs="Arial"/>
          <w:b/>
          <w:bCs/>
          <w:kern w:val="0"/>
          <w:sz w:val="22"/>
          <w:szCs w:val="22"/>
          <w:lang w:eastAsia="en-GB"/>
        </w:rPr>
        <w:t>2.6 The role of AI in SDG 2</w:t>
      </w:r>
    </w:p>
    <w:p w14:paraId="0EC08322" w14:textId="439C1705" w:rsidR="00E9452D" w:rsidRPr="00E9452D" w:rsidRDefault="00E9452D">
      <w:pPr>
        <w:spacing w:before="100" w:after="100" w:line="360" w:lineRule="auto"/>
        <w:jc w:val="both"/>
        <w:outlineLvl w:val="1"/>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t>Artificial intelligence is increasingly recognised as a significant contributor to progress on SDG 2, particularly through its application in precision agriculture, early warning systems, and digital supply</w:t>
      </w:r>
      <w:r w:rsidRPr="00E9452D">
        <w:rPr>
          <w:rFonts w:ascii="Arial" w:eastAsia="Times New Roman" w:hAnsi="Arial" w:cs="Arial"/>
          <w:kern w:val="0"/>
          <w:sz w:val="22"/>
          <w:szCs w:val="22"/>
          <w:lang w:eastAsia="en-GB"/>
        </w:rPr>
        <w:noBreakHyphen/>
        <w:t>chain coordination. The</w:t>
      </w:r>
      <w:r w:rsidRPr="00E9452D">
        <w:rPr>
          <w:rFonts w:ascii="Arial" w:eastAsia="Times New Roman" w:hAnsi="Arial" w:cs="Arial"/>
          <w:kern w:val="0"/>
          <w:sz w:val="22"/>
          <w:szCs w:val="22"/>
          <w:lang w:eastAsia="en-GB"/>
        </w:rPr>
        <w:t xml:space="preserve"> </w:t>
      </w:r>
      <w:r w:rsidRPr="00E9452D">
        <w:rPr>
          <w:rFonts w:ascii="Arial" w:eastAsia="Times New Roman" w:hAnsi="Arial" w:cs="Arial"/>
          <w:kern w:val="0"/>
          <w:sz w:val="22"/>
          <w:szCs w:val="22"/>
          <w:lang w:eastAsia="en-GB"/>
        </w:rPr>
        <w:t xml:space="preserve">Food and Agriculture Organisation </w:t>
      </w:r>
      <w:r w:rsidRPr="00E9452D">
        <w:rPr>
          <w:rFonts w:ascii="Arial" w:eastAsia="Times New Roman" w:hAnsi="Arial" w:cs="Arial"/>
          <w:kern w:val="0"/>
          <w:sz w:val="22"/>
          <w:szCs w:val="22"/>
          <w:lang w:eastAsia="en-GB"/>
        </w:rPr>
        <w:t>(</w:t>
      </w:r>
      <w:r w:rsidRPr="00E9452D">
        <w:rPr>
          <w:rFonts w:ascii="Arial" w:eastAsia="Times New Roman" w:hAnsi="Arial" w:cs="Arial"/>
          <w:kern w:val="0"/>
          <w:sz w:val="22"/>
          <w:szCs w:val="22"/>
          <w:lang w:eastAsia="en-GB"/>
        </w:rPr>
        <w:t>FAO</w:t>
      </w:r>
      <w:r w:rsidRPr="00E9452D">
        <w:rPr>
          <w:rFonts w:ascii="Arial" w:eastAsia="Times New Roman" w:hAnsi="Arial" w:cs="Arial"/>
          <w:kern w:val="0"/>
          <w:sz w:val="22"/>
          <w:szCs w:val="22"/>
          <w:lang w:eastAsia="en-GB"/>
        </w:rPr>
        <w:t>)</w:t>
      </w:r>
      <w:r w:rsidRPr="00E9452D">
        <w:rPr>
          <w:rFonts w:ascii="Arial" w:eastAsia="Times New Roman" w:hAnsi="Arial" w:cs="Arial"/>
          <w:kern w:val="0"/>
          <w:sz w:val="22"/>
          <w:szCs w:val="22"/>
          <w:lang w:eastAsia="en-GB"/>
        </w:rPr>
        <w:t xml:space="preserve"> highlights that technologies such as satellite</w:t>
      </w:r>
      <w:r w:rsidRPr="00E9452D">
        <w:rPr>
          <w:rFonts w:ascii="Arial" w:eastAsia="Times New Roman" w:hAnsi="Arial" w:cs="Arial"/>
          <w:kern w:val="0"/>
          <w:sz w:val="22"/>
          <w:szCs w:val="22"/>
          <w:lang w:eastAsia="en-GB"/>
        </w:rPr>
        <w:noBreakHyphen/>
        <w:t>based crop monitoring and AI</w:t>
      </w:r>
      <w:r w:rsidRPr="00E9452D">
        <w:rPr>
          <w:rFonts w:ascii="Arial" w:eastAsia="Times New Roman" w:hAnsi="Arial" w:cs="Arial"/>
          <w:kern w:val="0"/>
          <w:sz w:val="22"/>
          <w:szCs w:val="22"/>
          <w:lang w:eastAsia="en-GB"/>
        </w:rPr>
        <w:noBreakHyphen/>
        <w:t>enabled advisory services can support climate</w:t>
      </w:r>
      <w:r w:rsidRPr="00E9452D">
        <w:rPr>
          <w:rFonts w:ascii="Arial" w:eastAsia="Times New Roman" w:hAnsi="Arial" w:cs="Arial"/>
          <w:kern w:val="0"/>
          <w:sz w:val="22"/>
          <w:szCs w:val="22"/>
          <w:lang w:eastAsia="en-GB"/>
        </w:rPr>
        <w:noBreakHyphen/>
        <w:t>smart agricultural practices, improve yields, and reduce post</w:t>
      </w:r>
      <w:r w:rsidRPr="00E9452D">
        <w:rPr>
          <w:rFonts w:ascii="Arial" w:eastAsia="Times New Roman" w:hAnsi="Arial" w:cs="Arial"/>
          <w:kern w:val="0"/>
          <w:sz w:val="22"/>
          <w:szCs w:val="22"/>
          <w:lang w:eastAsia="en-GB"/>
        </w:rPr>
        <w:noBreakHyphen/>
        <w:t>harvest losses (FAO, 2025a). AI</w:t>
      </w:r>
      <w:r w:rsidRPr="00E9452D">
        <w:rPr>
          <w:rFonts w:ascii="Arial" w:eastAsia="Times New Roman" w:hAnsi="Arial" w:cs="Arial"/>
          <w:kern w:val="0"/>
          <w:sz w:val="22"/>
          <w:szCs w:val="22"/>
          <w:lang w:eastAsia="en-GB"/>
        </w:rPr>
        <w:noBreakHyphen/>
        <w:t>driven forecasting tools, for example, have been used to anticipate drought impacts and stabilise food supply, while digital marketplaces can expand farmers’ access to buyers. However, these benefits are unevenly distributed. Small</w:t>
      </w:r>
      <w:r w:rsidRPr="00E9452D">
        <w:rPr>
          <w:rFonts w:ascii="Arial" w:eastAsia="Times New Roman" w:hAnsi="Arial" w:cs="Arial"/>
          <w:kern w:val="0"/>
          <w:sz w:val="22"/>
          <w:szCs w:val="22"/>
          <w:lang w:eastAsia="en-GB"/>
        </w:rPr>
        <w:noBreakHyphen/>
        <w:t>scale producers often face barriers including high costs, limited digital skills, and concerns about data governance. Moreover, efficiency gains alone do not guarantee affordable or nutritious diets, underscoring the need for complementary social and economic policy measures.</w:t>
      </w:r>
    </w:p>
    <w:p w14:paraId="7C0A2CA8" w14:textId="77777777" w:rsidR="004D5201" w:rsidRPr="00E9452D" w:rsidRDefault="008E5F0C">
      <w:pPr>
        <w:spacing w:before="100" w:after="100" w:line="360" w:lineRule="auto"/>
        <w:jc w:val="both"/>
        <w:outlineLvl w:val="1"/>
        <w:rPr>
          <w:rFonts w:ascii="Arial" w:eastAsia="Times New Roman" w:hAnsi="Arial" w:cs="Arial"/>
          <w:b/>
          <w:bCs/>
          <w:kern w:val="0"/>
          <w:sz w:val="22"/>
          <w:szCs w:val="22"/>
          <w:lang w:eastAsia="en-GB"/>
        </w:rPr>
      </w:pPr>
      <w:r w:rsidRPr="00E9452D">
        <w:rPr>
          <w:rFonts w:ascii="Arial" w:eastAsia="Times New Roman" w:hAnsi="Arial" w:cs="Arial"/>
          <w:b/>
          <w:bCs/>
          <w:kern w:val="0"/>
          <w:sz w:val="22"/>
          <w:szCs w:val="22"/>
          <w:lang w:eastAsia="en-GB"/>
        </w:rPr>
        <w:lastRenderedPageBreak/>
        <w:t>2.7 Evaluation and recommendations for SDG 2</w:t>
      </w:r>
    </w:p>
    <w:p w14:paraId="2D603440" w14:textId="77777777" w:rsidR="004D5201" w:rsidRPr="00E9452D" w:rsidRDefault="008E5F0C">
      <w:pPr>
        <w:spacing w:before="100" w:after="100" w:line="360" w:lineRule="auto"/>
        <w:jc w:val="both"/>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t>Overall, SDG 2 policies are most effective when they connect nutrition, affordability and sustainability. Global and national strategies are important, but their success ultimately depends on whether they improve people’s everyday access to healthy food.</w:t>
      </w:r>
    </w:p>
    <w:p w14:paraId="5EC14175" w14:textId="77777777" w:rsidR="004D5201" w:rsidRPr="00E9452D" w:rsidRDefault="008E5F0C">
      <w:pPr>
        <w:spacing w:before="100" w:after="100" w:line="360" w:lineRule="auto"/>
        <w:jc w:val="both"/>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t>A key recommendation is that governments should strengthen school food provision, local procurement and community food partnerships, while using AI carefully to support sustainable agriculture and more resilient food supply systems. These policies should be judged not only by production or efficiency but also by whether they reduce hunger, improve diet quality, and narrow inequalities.</w:t>
      </w:r>
    </w:p>
    <w:p w14:paraId="36F906E9" w14:textId="77777777" w:rsidR="004D5201" w:rsidRPr="00E9452D" w:rsidRDefault="008E5F0C">
      <w:pPr>
        <w:spacing w:before="100" w:after="100" w:line="360" w:lineRule="auto"/>
        <w:jc w:val="both"/>
        <w:outlineLvl w:val="0"/>
        <w:rPr>
          <w:rFonts w:ascii="Arial" w:eastAsia="Times New Roman" w:hAnsi="Arial" w:cs="Arial"/>
          <w:b/>
          <w:bCs/>
          <w:sz w:val="22"/>
          <w:szCs w:val="22"/>
          <w:lang w:eastAsia="en-GB"/>
        </w:rPr>
      </w:pPr>
      <w:r w:rsidRPr="00E9452D">
        <w:rPr>
          <w:rFonts w:ascii="Arial" w:eastAsia="Times New Roman" w:hAnsi="Arial" w:cs="Arial"/>
          <w:b/>
          <w:bCs/>
          <w:sz w:val="22"/>
          <w:szCs w:val="22"/>
          <w:lang w:eastAsia="en-GB"/>
        </w:rPr>
        <w:t>Conclusion</w:t>
      </w:r>
    </w:p>
    <w:p w14:paraId="532A9CCC" w14:textId="1CA71D51" w:rsidR="004D5201" w:rsidRPr="00E9452D" w:rsidRDefault="00E9452D">
      <w:pPr>
        <w:spacing w:before="100" w:after="100" w:line="360" w:lineRule="auto"/>
        <w:jc w:val="both"/>
        <w:rPr>
          <w:rFonts w:ascii="Arial" w:eastAsia="Times New Roman" w:hAnsi="Arial" w:cs="Arial"/>
          <w:kern w:val="0"/>
          <w:sz w:val="22"/>
          <w:szCs w:val="22"/>
          <w:lang w:eastAsia="en-GB"/>
        </w:rPr>
      </w:pPr>
      <w:r w:rsidRPr="00E9452D">
        <w:rPr>
          <w:rFonts w:ascii="Arial" w:eastAsia="Times New Roman" w:hAnsi="Arial" w:cs="Arial"/>
          <w:kern w:val="0"/>
          <w:sz w:val="22"/>
          <w:szCs w:val="22"/>
          <w:lang w:eastAsia="en-GB"/>
        </w:rPr>
        <w:t>SDG 2 and SDG 3 are closely interconnected, with substantial evidence demonstrating that poverty and inequality drive food insecurity, which subsequently worsens health outcomes and increases demand for healthcare services. Recent policy developments reflect a shift toward prevention, systems thinking, and sustainability across global, national, and local levels. In Wales, initiatives such as A Healthier Wales and Universal Primary Free School Meals signal growing recognition of the relationship between nutrition and health (Welsh Government, 2018; Welsh Government, 2025a). However, progress remains constrained by implementation challenges, financial limitations, and uneven local capacities. Although artificial intelligence presents opportunities to strengthen food systems and public health strategies, it also risks exacerbating inequalities without appropriate governance frameworks (OECD, 2024a; WHO, 2025c; FAO, 2025a). Achieving both goals therefore requires sustained structural action to reduce inequality and enhance delivery capabilities.</w:t>
      </w:r>
    </w:p>
    <w:p w14:paraId="24CE25D0" w14:textId="77777777" w:rsidR="004D5201" w:rsidRDefault="004D5201">
      <w:pPr>
        <w:spacing w:before="100" w:after="100" w:line="360" w:lineRule="auto"/>
        <w:jc w:val="both"/>
        <w:rPr>
          <w:rFonts w:ascii="Arial" w:eastAsia="Times New Roman" w:hAnsi="Arial" w:cs="Arial"/>
          <w:kern w:val="0"/>
          <w:sz w:val="22"/>
          <w:szCs w:val="22"/>
          <w:lang w:eastAsia="en-GB"/>
        </w:rPr>
      </w:pPr>
    </w:p>
    <w:p w14:paraId="138D5F07" w14:textId="77777777" w:rsidR="004D5201" w:rsidRDefault="004D5201">
      <w:pPr>
        <w:spacing w:before="100" w:after="100" w:line="360" w:lineRule="auto"/>
        <w:jc w:val="both"/>
        <w:rPr>
          <w:rFonts w:ascii="Arial" w:eastAsia="Times New Roman" w:hAnsi="Arial" w:cs="Arial"/>
          <w:kern w:val="0"/>
          <w:sz w:val="22"/>
          <w:szCs w:val="22"/>
          <w:lang w:eastAsia="en-GB"/>
        </w:rPr>
      </w:pPr>
    </w:p>
    <w:p w14:paraId="7D3CBD34" w14:textId="77777777" w:rsidR="00023AA8" w:rsidRDefault="00023AA8">
      <w:pPr>
        <w:spacing w:before="100" w:after="100" w:line="360" w:lineRule="auto"/>
        <w:jc w:val="both"/>
        <w:rPr>
          <w:rFonts w:ascii="Arial" w:eastAsia="Times New Roman" w:hAnsi="Arial" w:cs="Arial"/>
          <w:kern w:val="0"/>
          <w:sz w:val="22"/>
          <w:szCs w:val="22"/>
          <w:lang w:eastAsia="en-GB"/>
        </w:rPr>
      </w:pPr>
    </w:p>
    <w:p w14:paraId="35757FDA" w14:textId="77777777" w:rsidR="00023AA8" w:rsidRDefault="00023AA8">
      <w:pPr>
        <w:spacing w:before="100" w:after="100" w:line="360" w:lineRule="auto"/>
        <w:jc w:val="both"/>
        <w:rPr>
          <w:rFonts w:ascii="Arial" w:eastAsia="Times New Roman" w:hAnsi="Arial" w:cs="Arial"/>
          <w:kern w:val="0"/>
          <w:sz w:val="22"/>
          <w:szCs w:val="22"/>
          <w:lang w:eastAsia="en-GB"/>
        </w:rPr>
      </w:pPr>
    </w:p>
    <w:p w14:paraId="326AF4B2" w14:textId="77777777" w:rsidR="00023AA8" w:rsidRDefault="00023AA8">
      <w:pPr>
        <w:spacing w:before="100" w:after="100" w:line="360" w:lineRule="auto"/>
        <w:jc w:val="both"/>
        <w:rPr>
          <w:rFonts w:ascii="Arial" w:eastAsia="Times New Roman" w:hAnsi="Arial" w:cs="Arial"/>
          <w:kern w:val="0"/>
          <w:sz w:val="22"/>
          <w:szCs w:val="22"/>
          <w:lang w:eastAsia="en-GB"/>
        </w:rPr>
      </w:pPr>
    </w:p>
    <w:p w14:paraId="6EA5A6B9" w14:textId="77777777" w:rsidR="00023AA8" w:rsidRDefault="00023AA8">
      <w:pPr>
        <w:spacing w:before="100" w:after="100" w:line="360" w:lineRule="auto"/>
        <w:jc w:val="both"/>
        <w:rPr>
          <w:rFonts w:ascii="Arial" w:eastAsia="Times New Roman" w:hAnsi="Arial" w:cs="Arial"/>
          <w:kern w:val="0"/>
          <w:sz w:val="22"/>
          <w:szCs w:val="22"/>
          <w:lang w:eastAsia="en-GB"/>
        </w:rPr>
      </w:pPr>
    </w:p>
    <w:p w14:paraId="07043B0A" w14:textId="77777777" w:rsidR="00023AA8" w:rsidRDefault="00023AA8">
      <w:pPr>
        <w:spacing w:before="100" w:after="100" w:line="360" w:lineRule="auto"/>
        <w:jc w:val="both"/>
        <w:rPr>
          <w:rFonts w:ascii="Arial" w:eastAsia="Times New Roman" w:hAnsi="Arial" w:cs="Arial"/>
          <w:kern w:val="0"/>
          <w:sz w:val="22"/>
          <w:szCs w:val="22"/>
          <w:lang w:eastAsia="en-GB"/>
        </w:rPr>
      </w:pPr>
    </w:p>
    <w:p w14:paraId="2EF81D03" w14:textId="77777777" w:rsidR="00023AA8" w:rsidRDefault="00023AA8">
      <w:pPr>
        <w:spacing w:before="100" w:after="100" w:line="360" w:lineRule="auto"/>
        <w:jc w:val="both"/>
        <w:rPr>
          <w:rFonts w:ascii="Arial" w:eastAsia="Times New Roman" w:hAnsi="Arial" w:cs="Arial"/>
          <w:kern w:val="0"/>
          <w:sz w:val="22"/>
          <w:szCs w:val="22"/>
          <w:lang w:eastAsia="en-GB"/>
        </w:rPr>
      </w:pPr>
    </w:p>
    <w:p w14:paraId="18CFC548" w14:textId="77777777" w:rsidR="00023AA8" w:rsidRDefault="00023AA8">
      <w:pPr>
        <w:spacing w:before="100" w:after="100" w:line="360" w:lineRule="auto"/>
        <w:jc w:val="both"/>
        <w:rPr>
          <w:rFonts w:ascii="Arial" w:eastAsia="Times New Roman" w:hAnsi="Arial" w:cs="Arial"/>
          <w:kern w:val="0"/>
          <w:sz w:val="22"/>
          <w:szCs w:val="22"/>
          <w:lang w:eastAsia="en-GB"/>
        </w:rPr>
      </w:pPr>
    </w:p>
    <w:p w14:paraId="4E297C58" w14:textId="77777777" w:rsidR="00023AA8" w:rsidRDefault="00023AA8">
      <w:pPr>
        <w:spacing w:before="100" w:after="100" w:line="360" w:lineRule="auto"/>
        <w:jc w:val="both"/>
        <w:rPr>
          <w:rFonts w:ascii="Arial" w:eastAsia="Times New Roman" w:hAnsi="Arial" w:cs="Arial"/>
          <w:kern w:val="0"/>
          <w:sz w:val="22"/>
          <w:szCs w:val="22"/>
          <w:lang w:eastAsia="en-GB"/>
        </w:rPr>
      </w:pPr>
    </w:p>
    <w:p w14:paraId="145880DC" w14:textId="77777777" w:rsidR="004D5201" w:rsidRDefault="004D5201">
      <w:pPr>
        <w:spacing w:after="0" w:line="360" w:lineRule="auto"/>
        <w:jc w:val="both"/>
        <w:rPr>
          <w:rFonts w:ascii="Arial" w:eastAsia="Times New Roman" w:hAnsi="Arial" w:cs="Arial"/>
          <w:kern w:val="0"/>
          <w:sz w:val="22"/>
          <w:szCs w:val="22"/>
          <w:lang w:eastAsia="en-GB"/>
        </w:rPr>
      </w:pPr>
    </w:p>
    <w:p w14:paraId="5734724B" w14:textId="77777777" w:rsidR="00E9452D" w:rsidRDefault="00E9452D">
      <w:pPr>
        <w:spacing w:after="0" w:line="360" w:lineRule="auto"/>
        <w:jc w:val="both"/>
        <w:rPr>
          <w:rFonts w:ascii="Arial" w:eastAsia="Times New Roman" w:hAnsi="Arial" w:cs="Arial"/>
          <w:kern w:val="0"/>
          <w:sz w:val="22"/>
          <w:szCs w:val="22"/>
          <w:lang w:eastAsia="en-GB"/>
        </w:rPr>
      </w:pPr>
    </w:p>
    <w:p w14:paraId="2254445A" w14:textId="77777777" w:rsidR="004D5201" w:rsidRDefault="008E5F0C">
      <w:pPr>
        <w:spacing w:before="100" w:after="100" w:line="360" w:lineRule="auto"/>
        <w:jc w:val="center"/>
        <w:outlineLvl w:val="0"/>
        <w:rPr>
          <w:rFonts w:ascii="Arial" w:eastAsia="Times New Roman" w:hAnsi="Arial" w:cs="Arial"/>
          <w:b/>
          <w:bCs/>
          <w:sz w:val="22"/>
          <w:szCs w:val="22"/>
          <w:lang w:eastAsia="en-GB"/>
        </w:rPr>
      </w:pPr>
      <w:r>
        <w:rPr>
          <w:rFonts w:ascii="Arial" w:eastAsia="Times New Roman" w:hAnsi="Arial" w:cs="Arial"/>
          <w:b/>
          <w:bCs/>
          <w:sz w:val="22"/>
          <w:szCs w:val="22"/>
          <w:lang w:eastAsia="en-GB"/>
        </w:rPr>
        <w:t>Reference</w:t>
      </w:r>
    </w:p>
    <w:p w14:paraId="15CEEEAA" w14:textId="77777777" w:rsidR="004D5201" w:rsidRDefault="004D5201">
      <w:pPr>
        <w:spacing w:before="100" w:after="100" w:line="360" w:lineRule="auto"/>
        <w:jc w:val="center"/>
        <w:outlineLvl w:val="0"/>
        <w:rPr>
          <w:rFonts w:ascii="Arial" w:eastAsia="Times New Roman" w:hAnsi="Arial" w:cs="Arial"/>
          <w:b/>
          <w:bCs/>
          <w:sz w:val="22"/>
          <w:szCs w:val="22"/>
          <w:lang w:eastAsia="en-GB"/>
        </w:rPr>
      </w:pPr>
    </w:p>
    <w:p w14:paraId="3EA6AB8D"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Breslin, G., O’Brien, W., McHugh, T., Brennan, D., O’Reilly, M., and Leavey, G. (2024) ‘Whole systems approach to diet and healthy weight: a scoping review of reviews’, </w:t>
      </w:r>
      <w:r>
        <w:rPr>
          <w:rFonts w:ascii="Arial" w:eastAsia="Times New Roman" w:hAnsi="Arial" w:cs="Arial"/>
          <w:i/>
          <w:iCs/>
          <w:kern w:val="0"/>
          <w:sz w:val="22"/>
          <w:szCs w:val="22"/>
          <w:lang w:eastAsia="en-GB"/>
        </w:rPr>
        <w:t>PLOS ONE</w:t>
      </w:r>
      <w:r>
        <w:rPr>
          <w:rFonts w:ascii="Arial" w:eastAsia="Times New Roman" w:hAnsi="Arial" w:cs="Arial"/>
          <w:kern w:val="0"/>
          <w:sz w:val="22"/>
          <w:szCs w:val="22"/>
          <w:lang w:eastAsia="en-GB"/>
        </w:rPr>
        <w:t>, 19(1), e0292945.</w:t>
      </w:r>
    </w:p>
    <w:p w14:paraId="1B10181E"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Carmarthenshire County Council (2026) </w:t>
      </w:r>
      <w:proofErr w:type="spellStart"/>
      <w:r>
        <w:rPr>
          <w:rFonts w:ascii="Arial" w:eastAsia="Times New Roman" w:hAnsi="Arial" w:cs="Arial"/>
          <w:i/>
          <w:iCs/>
          <w:kern w:val="0"/>
          <w:sz w:val="22"/>
          <w:szCs w:val="22"/>
          <w:lang w:eastAsia="en-GB"/>
        </w:rPr>
        <w:t>Bwyd</w:t>
      </w:r>
      <w:proofErr w:type="spellEnd"/>
      <w:r>
        <w:rPr>
          <w:rFonts w:ascii="Arial" w:eastAsia="Times New Roman" w:hAnsi="Arial" w:cs="Arial"/>
          <w:i/>
          <w:iCs/>
          <w:kern w:val="0"/>
          <w:sz w:val="22"/>
          <w:szCs w:val="22"/>
          <w:lang w:eastAsia="en-GB"/>
        </w:rPr>
        <w:t xml:space="preserve"> Sir </w:t>
      </w:r>
      <w:proofErr w:type="spellStart"/>
      <w:r>
        <w:rPr>
          <w:rFonts w:ascii="Arial" w:eastAsia="Times New Roman" w:hAnsi="Arial" w:cs="Arial"/>
          <w:i/>
          <w:iCs/>
          <w:kern w:val="0"/>
          <w:sz w:val="22"/>
          <w:szCs w:val="22"/>
          <w:lang w:eastAsia="en-GB"/>
        </w:rPr>
        <w:t>Gâr</w:t>
      </w:r>
      <w:proofErr w:type="spellEnd"/>
      <w:r>
        <w:rPr>
          <w:rFonts w:ascii="Arial" w:eastAsia="Times New Roman" w:hAnsi="Arial" w:cs="Arial"/>
          <w:i/>
          <w:iCs/>
          <w:kern w:val="0"/>
          <w:sz w:val="22"/>
          <w:szCs w:val="22"/>
          <w:lang w:eastAsia="en-GB"/>
        </w:rPr>
        <w:t xml:space="preserve"> Food</w:t>
      </w:r>
      <w:r>
        <w:rPr>
          <w:rFonts w:ascii="Arial" w:eastAsia="Times New Roman" w:hAnsi="Arial" w:cs="Arial"/>
          <w:kern w:val="0"/>
          <w:sz w:val="22"/>
          <w:szCs w:val="22"/>
          <w:lang w:eastAsia="en-GB"/>
        </w:rPr>
        <w:t>. Available at: Carmarthenshire County Council website (Accessed: 3 March 2026).</w:t>
      </w:r>
    </w:p>
    <w:p w14:paraId="5379ECD9"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Defra (2024a) </w:t>
      </w:r>
      <w:r>
        <w:rPr>
          <w:rFonts w:ascii="Arial" w:eastAsia="Times New Roman" w:hAnsi="Arial" w:cs="Arial"/>
          <w:i/>
          <w:iCs/>
          <w:kern w:val="0"/>
          <w:sz w:val="22"/>
          <w:szCs w:val="22"/>
          <w:lang w:eastAsia="en-GB"/>
        </w:rPr>
        <w:t>United Kingdom Food Security Report 2024</w:t>
      </w:r>
      <w:r>
        <w:rPr>
          <w:rFonts w:ascii="Arial" w:eastAsia="Times New Roman" w:hAnsi="Arial" w:cs="Arial"/>
          <w:kern w:val="0"/>
          <w:sz w:val="22"/>
          <w:szCs w:val="22"/>
          <w:lang w:eastAsia="en-GB"/>
        </w:rPr>
        <w:t>. London: Department for Environment, Food and Rural Affairs.</w:t>
      </w:r>
    </w:p>
    <w:p w14:paraId="07801248"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EAT (2019) </w:t>
      </w:r>
      <w:r>
        <w:rPr>
          <w:rFonts w:ascii="Arial" w:eastAsia="Times New Roman" w:hAnsi="Arial" w:cs="Arial"/>
          <w:i/>
          <w:iCs/>
          <w:kern w:val="0"/>
          <w:sz w:val="22"/>
          <w:szCs w:val="22"/>
          <w:lang w:eastAsia="en-GB"/>
        </w:rPr>
        <w:t>EAT-Lancet Commission summary report</w:t>
      </w:r>
      <w:r>
        <w:rPr>
          <w:rFonts w:ascii="Arial" w:eastAsia="Times New Roman" w:hAnsi="Arial" w:cs="Arial"/>
          <w:kern w:val="0"/>
          <w:sz w:val="22"/>
          <w:szCs w:val="22"/>
          <w:lang w:eastAsia="en-GB"/>
        </w:rPr>
        <w:t>. Stockholm: EAT.</w:t>
      </w:r>
    </w:p>
    <w:p w14:paraId="574A18A4"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Engebretsen, E., Ottersen, O.P. and Dasgupta, J. (2024) ‘Why are the Sustainable Development Goals failing?’, </w:t>
      </w:r>
      <w:r>
        <w:rPr>
          <w:rFonts w:ascii="Arial" w:eastAsia="Times New Roman" w:hAnsi="Arial" w:cs="Arial"/>
          <w:i/>
          <w:iCs/>
          <w:kern w:val="0"/>
          <w:sz w:val="22"/>
          <w:szCs w:val="22"/>
          <w:lang w:eastAsia="en-GB"/>
        </w:rPr>
        <w:t>The Lancet Global Health</w:t>
      </w:r>
      <w:r>
        <w:rPr>
          <w:rFonts w:ascii="Arial" w:eastAsia="Times New Roman" w:hAnsi="Arial" w:cs="Arial"/>
          <w:kern w:val="0"/>
          <w:sz w:val="22"/>
          <w:szCs w:val="22"/>
          <w:lang w:eastAsia="en-GB"/>
        </w:rPr>
        <w:t>, 12(8), pp. e1168–e1169.</w:t>
      </w:r>
    </w:p>
    <w:p w14:paraId="50A0262A"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FAO (2023). </w:t>
      </w:r>
      <w:r>
        <w:rPr>
          <w:rFonts w:ascii="Arial" w:eastAsia="Times New Roman" w:hAnsi="Arial" w:cs="Arial"/>
          <w:i/>
          <w:iCs/>
          <w:kern w:val="0"/>
          <w:sz w:val="22"/>
          <w:szCs w:val="22"/>
          <w:lang w:eastAsia="en-GB"/>
        </w:rPr>
        <w:t>Achieving SDG 2 without breaching the 1.5°C threshold</w:t>
      </w:r>
      <w:r>
        <w:rPr>
          <w:rFonts w:ascii="Arial" w:eastAsia="Times New Roman" w:hAnsi="Arial" w:cs="Arial"/>
          <w:kern w:val="0"/>
          <w:sz w:val="22"/>
          <w:szCs w:val="22"/>
          <w:lang w:eastAsia="en-GB"/>
        </w:rPr>
        <w:t>. Rome: Food and Agriculture Organisation.</w:t>
      </w:r>
    </w:p>
    <w:p w14:paraId="2AE50A40"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FAO (2025a) </w:t>
      </w:r>
      <w:r>
        <w:rPr>
          <w:rFonts w:ascii="Arial" w:eastAsia="Times New Roman" w:hAnsi="Arial" w:cs="Arial"/>
          <w:i/>
          <w:iCs/>
          <w:kern w:val="0"/>
          <w:sz w:val="22"/>
          <w:szCs w:val="22"/>
          <w:lang w:eastAsia="en-GB"/>
        </w:rPr>
        <w:t>Digital agriculture and AI</w:t>
      </w:r>
      <w:r>
        <w:rPr>
          <w:rFonts w:ascii="Arial" w:eastAsia="Times New Roman" w:hAnsi="Arial" w:cs="Arial"/>
          <w:kern w:val="0"/>
          <w:sz w:val="22"/>
          <w:szCs w:val="22"/>
          <w:lang w:eastAsia="en-GB"/>
        </w:rPr>
        <w:t>. Rome: Food and Agriculture Organisation.</w:t>
      </w:r>
    </w:p>
    <w:p w14:paraId="2FC70FCB"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FAO, IFAD, UNICEF, WFP and WHO (2024). </w:t>
      </w:r>
      <w:r>
        <w:rPr>
          <w:rFonts w:ascii="Arial" w:eastAsia="Times New Roman" w:hAnsi="Arial" w:cs="Arial"/>
          <w:i/>
          <w:iCs/>
          <w:kern w:val="0"/>
          <w:sz w:val="22"/>
          <w:szCs w:val="22"/>
          <w:lang w:eastAsia="en-GB"/>
        </w:rPr>
        <w:t>The State of Food Security and Nutrition in the World 2024</w:t>
      </w:r>
      <w:r>
        <w:rPr>
          <w:rFonts w:ascii="Arial" w:eastAsia="Times New Roman" w:hAnsi="Arial" w:cs="Arial"/>
          <w:kern w:val="0"/>
          <w:sz w:val="22"/>
          <w:szCs w:val="22"/>
          <w:lang w:eastAsia="en-GB"/>
        </w:rPr>
        <w:t>. Rome: FAO.</w:t>
      </w:r>
    </w:p>
    <w:p w14:paraId="02B5B0B9"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Food Sense Wales (2025). </w:t>
      </w:r>
      <w:r>
        <w:rPr>
          <w:rFonts w:ascii="Arial" w:eastAsia="Times New Roman" w:hAnsi="Arial" w:cs="Arial"/>
          <w:i/>
          <w:iCs/>
          <w:kern w:val="0"/>
          <w:sz w:val="22"/>
          <w:szCs w:val="22"/>
          <w:lang w:eastAsia="en-GB"/>
        </w:rPr>
        <w:t>Status of Local Food Partnerships in Wales in 2025</w:t>
      </w:r>
      <w:r>
        <w:rPr>
          <w:rFonts w:ascii="Arial" w:eastAsia="Times New Roman" w:hAnsi="Arial" w:cs="Arial"/>
          <w:kern w:val="0"/>
          <w:sz w:val="22"/>
          <w:szCs w:val="22"/>
          <w:lang w:eastAsia="en-GB"/>
        </w:rPr>
        <w:t>. Cardiff: Food Sense Wales.</w:t>
      </w:r>
    </w:p>
    <w:p w14:paraId="0F4951BF"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Galea, S. (2026) ‘Keeping health equity at the forefront of the artificial intelligence transition’, </w:t>
      </w:r>
      <w:r>
        <w:rPr>
          <w:rFonts w:ascii="Arial" w:eastAsia="Times New Roman" w:hAnsi="Arial" w:cs="Arial"/>
          <w:i/>
          <w:iCs/>
          <w:kern w:val="0"/>
          <w:sz w:val="22"/>
          <w:szCs w:val="22"/>
          <w:lang w:eastAsia="en-GB"/>
        </w:rPr>
        <w:t>JAMA Health Forum</w:t>
      </w:r>
      <w:r>
        <w:rPr>
          <w:rFonts w:ascii="Arial" w:eastAsia="Times New Roman" w:hAnsi="Arial" w:cs="Arial"/>
          <w:kern w:val="0"/>
          <w:sz w:val="22"/>
          <w:szCs w:val="22"/>
          <w:lang w:eastAsia="en-GB"/>
        </w:rPr>
        <w:t>, 7(3).</w:t>
      </w:r>
    </w:p>
    <w:p w14:paraId="0AD1CA22"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Green, B.L., Viljoen, M. and Daniels, R. (2024) ‘Accelerating health disparities research with artificial intelligence’, </w:t>
      </w:r>
      <w:r>
        <w:rPr>
          <w:rFonts w:ascii="Arial" w:eastAsia="Times New Roman" w:hAnsi="Arial" w:cs="Arial"/>
          <w:i/>
          <w:iCs/>
          <w:kern w:val="0"/>
          <w:sz w:val="22"/>
          <w:szCs w:val="22"/>
          <w:lang w:eastAsia="en-GB"/>
        </w:rPr>
        <w:t>Frontiers in Digital Health</w:t>
      </w:r>
      <w:r>
        <w:rPr>
          <w:rFonts w:ascii="Arial" w:eastAsia="Times New Roman" w:hAnsi="Arial" w:cs="Arial"/>
          <w:kern w:val="0"/>
          <w:sz w:val="22"/>
          <w:szCs w:val="22"/>
          <w:lang w:eastAsia="en-GB"/>
        </w:rPr>
        <w:t>, 6, 1330160.</w:t>
      </w:r>
    </w:p>
    <w:p w14:paraId="2D44383E"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House of Commons Library (2025). </w:t>
      </w:r>
      <w:r>
        <w:rPr>
          <w:rFonts w:ascii="Arial" w:eastAsia="Times New Roman" w:hAnsi="Arial" w:cs="Arial"/>
          <w:i/>
          <w:iCs/>
          <w:kern w:val="0"/>
          <w:sz w:val="22"/>
          <w:szCs w:val="22"/>
          <w:lang w:eastAsia="en-GB"/>
        </w:rPr>
        <w:t>Food poverty: households, food banks and free school meals</w:t>
      </w:r>
      <w:r>
        <w:rPr>
          <w:rFonts w:ascii="Arial" w:eastAsia="Times New Roman" w:hAnsi="Arial" w:cs="Arial"/>
          <w:kern w:val="0"/>
          <w:sz w:val="22"/>
          <w:szCs w:val="22"/>
          <w:lang w:eastAsia="en-GB"/>
        </w:rPr>
        <w:t>. London: House of Commons Library.</w:t>
      </w:r>
    </w:p>
    <w:p w14:paraId="2D2E7DB6" w14:textId="77777777" w:rsidR="004D5201" w:rsidRDefault="008E5F0C">
      <w:pPr>
        <w:spacing w:before="100" w:after="100" w:line="360" w:lineRule="auto"/>
        <w:jc w:val="both"/>
      </w:pPr>
      <w:r>
        <w:rPr>
          <w:rFonts w:ascii="Arial" w:eastAsia="Times New Roman" w:hAnsi="Arial" w:cs="Arial"/>
          <w:kern w:val="0"/>
          <w:sz w:val="22"/>
          <w:szCs w:val="22"/>
          <w:lang w:eastAsia="en-GB"/>
        </w:rPr>
        <w:t>Mason-</w:t>
      </w:r>
      <w:proofErr w:type="spellStart"/>
      <w:r>
        <w:rPr>
          <w:rFonts w:ascii="Arial" w:eastAsia="Times New Roman" w:hAnsi="Arial" w:cs="Arial"/>
          <w:kern w:val="0"/>
          <w:sz w:val="22"/>
          <w:szCs w:val="22"/>
          <w:lang w:eastAsia="en-GB"/>
        </w:rPr>
        <w:t>D’Croz</w:t>
      </w:r>
      <w:proofErr w:type="spellEnd"/>
      <w:r>
        <w:rPr>
          <w:rFonts w:ascii="Arial" w:eastAsia="Times New Roman" w:hAnsi="Arial" w:cs="Arial"/>
          <w:kern w:val="0"/>
          <w:sz w:val="22"/>
          <w:szCs w:val="22"/>
          <w:lang w:eastAsia="en-GB"/>
        </w:rPr>
        <w:t xml:space="preserve">, D., Fanzo, J. and Springmann, M. (2025) ‘Advances and future needs for modelling sustainable healthy diets’, </w:t>
      </w:r>
      <w:r>
        <w:rPr>
          <w:rFonts w:ascii="Arial" w:eastAsia="Times New Roman" w:hAnsi="Arial" w:cs="Arial"/>
          <w:i/>
          <w:iCs/>
          <w:kern w:val="0"/>
          <w:sz w:val="22"/>
          <w:szCs w:val="22"/>
          <w:lang w:eastAsia="en-GB"/>
        </w:rPr>
        <w:t>The Lancet Planetary Health</w:t>
      </w:r>
      <w:r>
        <w:rPr>
          <w:rFonts w:ascii="Arial" w:eastAsia="Times New Roman" w:hAnsi="Arial" w:cs="Arial"/>
          <w:kern w:val="0"/>
          <w:sz w:val="22"/>
          <w:szCs w:val="22"/>
          <w:lang w:eastAsia="en-GB"/>
        </w:rPr>
        <w:t>, 9(8).</w:t>
      </w:r>
    </w:p>
    <w:p w14:paraId="6B998B20"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McLaughlin, J., Briggs, A., Penney, T. and colleagues (2024) ‘Holistic modelling as a catalyst for effective obesity policy’, </w:t>
      </w:r>
      <w:r>
        <w:rPr>
          <w:rFonts w:ascii="Arial" w:eastAsia="Times New Roman" w:hAnsi="Arial" w:cs="Arial"/>
          <w:i/>
          <w:iCs/>
          <w:kern w:val="0"/>
          <w:sz w:val="22"/>
          <w:szCs w:val="22"/>
          <w:lang w:eastAsia="en-GB"/>
        </w:rPr>
        <w:t>BMJ</w:t>
      </w:r>
      <w:r>
        <w:rPr>
          <w:rFonts w:ascii="Arial" w:eastAsia="Times New Roman" w:hAnsi="Arial" w:cs="Arial"/>
          <w:kern w:val="0"/>
          <w:sz w:val="22"/>
          <w:szCs w:val="22"/>
          <w:lang w:eastAsia="en-GB"/>
        </w:rPr>
        <w:t>, 386, e077139.</w:t>
      </w:r>
    </w:p>
    <w:p w14:paraId="7C7B4CEC"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OECD (2024a) </w:t>
      </w:r>
      <w:r>
        <w:rPr>
          <w:rFonts w:ascii="Arial" w:eastAsia="Times New Roman" w:hAnsi="Arial" w:cs="Arial"/>
          <w:i/>
          <w:iCs/>
          <w:kern w:val="0"/>
          <w:sz w:val="22"/>
          <w:szCs w:val="22"/>
          <w:lang w:eastAsia="en-GB"/>
        </w:rPr>
        <w:t>AI in health: huge potential, huge risks</w:t>
      </w:r>
      <w:r>
        <w:rPr>
          <w:rFonts w:ascii="Arial" w:eastAsia="Times New Roman" w:hAnsi="Arial" w:cs="Arial"/>
          <w:kern w:val="0"/>
          <w:sz w:val="22"/>
          <w:szCs w:val="22"/>
          <w:lang w:eastAsia="en-GB"/>
        </w:rPr>
        <w:t>. Paris: OECD.</w:t>
      </w:r>
    </w:p>
    <w:p w14:paraId="2142F525"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OECD (2024b) </w:t>
      </w:r>
      <w:r>
        <w:rPr>
          <w:rFonts w:ascii="Arial" w:eastAsia="Times New Roman" w:hAnsi="Arial" w:cs="Arial"/>
          <w:i/>
          <w:iCs/>
          <w:kern w:val="0"/>
          <w:sz w:val="22"/>
          <w:szCs w:val="22"/>
          <w:lang w:eastAsia="en-GB"/>
        </w:rPr>
        <w:t>Health overview</w:t>
      </w:r>
      <w:r>
        <w:rPr>
          <w:rFonts w:ascii="Arial" w:eastAsia="Times New Roman" w:hAnsi="Arial" w:cs="Arial"/>
          <w:kern w:val="0"/>
          <w:sz w:val="22"/>
          <w:szCs w:val="22"/>
          <w:lang w:eastAsia="en-GB"/>
        </w:rPr>
        <w:t>. Paris: OECD.</w:t>
      </w:r>
    </w:p>
    <w:p w14:paraId="20C34637" w14:textId="77777777" w:rsidR="004D5201" w:rsidRDefault="008E5F0C">
      <w:pPr>
        <w:spacing w:before="100" w:after="100" w:line="360" w:lineRule="auto"/>
        <w:jc w:val="both"/>
      </w:pPr>
      <w:r>
        <w:rPr>
          <w:rFonts w:ascii="Arial" w:eastAsia="Times New Roman" w:hAnsi="Arial" w:cs="Arial"/>
          <w:kern w:val="0"/>
          <w:sz w:val="22"/>
          <w:szCs w:val="22"/>
          <w:lang w:eastAsia="en-GB"/>
        </w:rPr>
        <w:lastRenderedPageBreak/>
        <w:t xml:space="preserve">Public Health Wales (2024a) </w:t>
      </w:r>
      <w:r>
        <w:rPr>
          <w:rFonts w:ascii="Arial" w:eastAsia="Times New Roman" w:hAnsi="Arial" w:cs="Arial"/>
          <w:i/>
          <w:iCs/>
          <w:kern w:val="0"/>
          <w:sz w:val="22"/>
          <w:szCs w:val="22"/>
          <w:lang w:eastAsia="en-GB"/>
        </w:rPr>
        <w:t>Whole Systems Approach to Healthy Weight</w:t>
      </w:r>
      <w:r>
        <w:rPr>
          <w:rFonts w:ascii="Arial" w:eastAsia="Times New Roman" w:hAnsi="Arial" w:cs="Arial"/>
          <w:kern w:val="0"/>
          <w:sz w:val="22"/>
          <w:szCs w:val="22"/>
          <w:lang w:eastAsia="en-GB"/>
        </w:rPr>
        <w:t>. Cardiff: Public Health Wales.</w:t>
      </w:r>
    </w:p>
    <w:p w14:paraId="7E69612D"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Public Health Wales (2025a). </w:t>
      </w:r>
      <w:r>
        <w:rPr>
          <w:rFonts w:ascii="Arial" w:eastAsia="Times New Roman" w:hAnsi="Arial" w:cs="Arial"/>
          <w:i/>
          <w:iCs/>
          <w:kern w:val="0"/>
          <w:sz w:val="22"/>
          <w:szCs w:val="22"/>
          <w:lang w:eastAsia="en-GB"/>
        </w:rPr>
        <w:t>Evaluation of Whole Systems Approach to Healthy Weight: executive summary</w:t>
      </w:r>
      <w:r>
        <w:rPr>
          <w:rFonts w:ascii="Arial" w:eastAsia="Times New Roman" w:hAnsi="Arial" w:cs="Arial"/>
          <w:kern w:val="0"/>
          <w:sz w:val="22"/>
          <w:szCs w:val="22"/>
          <w:lang w:eastAsia="en-GB"/>
        </w:rPr>
        <w:t>. Cardiff: Public Health Wales.</w:t>
      </w:r>
    </w:p>
    <w:p w14:paraId="2BC1FA34"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Public Health Wales (2026) ‘New data analysis highlights opportunities to prevent childhood obesity in Wales’, </w:t>
      </w:r>
      <w:r>
        <w:rPr>
          <w:rFonts w:ascii="Arial" w:eastAsia="Times New Roman" w:hAnsi="Arial" w:cs="Arial"/>
          <w:i/>
          <w:iCs/>
          <w:kern w:val="0"/>
          <w:sz w:val="22"/>
          <w:szCs w:val="22"/>
          <w:lang w:eastAsia="en-GB"/>
        </w:rPr>
        <w:t>Public Health Wales News</w:t>
      </w:r>
      <w:r>
        <w:rPr>
          <w:rFonts w:ascii="Arial" w:eastAsia="Times New Roman" w:hAnsi="Arial" w:cs="Arial"/>
          <w:kern w:val="0"/>
          <w:sz w:val="22"/>
          <w:szCs w:val="22"/>
          <w:lang w:eastAsia="en-GB"/>
        </w:rPr>
        <w:t>, 21 January.</w:t>
      </w:r>
    </w:p>
    <w:p w14:paraId="4BA8644C"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Senedd Cymru (2025) </w:t>
      </w:r>
      <w:r>
        <w:rPr>
          <w:rFonts w:ascii="Arial" w:eastAsia="Times New Roman" w:hAnsi="Arial" w:cs="Arial"/>
          <w:i/>
          <w:iCs/>
          <w:kern w:val="0"/>
          <w:sz w:val="22"/>
          <w:szCs w:val="22"/>
          <w:lang w:eastAsia="en-GB"/>
        </w:rPr>
        <w:t>Explanatory Memorandum to the Healthy Eating in Schools (Nutritional Standards and Requirements) (Wales) Regulations 2025</w:t>
      </w:r>
      <w:r>
        <w:rPr>
          <w:rFonts w:ascii="Arial" w:eastAsia="Times New Roman" w:hAnsi="Arial" w:cs="Arial"/>
          <w:kern w:val="0"/>
          <w:sz w:val="22"/>
          <w:szCs w:val="22"/>
          <w:lang w:eastAsia="en-GB"/>
        </w:rPr>
        <w:t>. Cardiff: Senedd Cymru.</w:t>
      </w:r>
    </w:p>
    <w:p w14:paraId="161C956C"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United Nations (2015). </w:t>
      </w:r>
      <w:r>
        <w:rPr>
          <w:rFonts w:ascii="Arial" w:eastAsia="Times New Roman" w:hAnsi="Arial" w:cs="Arial"/>
          <w:i/>
          <w:iCs/>
          <w:kern w:val="0"/>
          <w:sz w:val="22"/>
          <w:szCs w:val="22"/>
          <w:lang w:eastAsia="en-GB"/>
        </w:rPr>
        <w:t>Transforming our world: the 2030 Agenda for Sustainable Development</w:t>
      </w:r>
      <w:r>
        <w:rPr>
          <w:rFonts w:ascii="Arial" w:eastAsia="Times New Roman" w:hAnsi="Arial" w:cs="Arial"/>
          <w:kern w:val="0"/>
          <w:sz w:val="22"/>
          <w:szCs w:val="22"/>
          <w:lang w:eastAsia="en-GB"/>
        </w:rPr>
        <w:t>. New York: United Nations.</w:t>
      </w:r>
    </w:p>
    <w:p w14:paraId="619D1398"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United Nations (2026a) </w:t>
      </w:r>
      <w:r>
        <w:rPr>
          <w:rFonts w:ascii="Arial" w:eastAsia="Times New Roman" w:hAnsi="Arial" w:cs="Arial"/>
          <w:i/>
          <w:iCs/>
          <w:kern w:val="0"/>
          <w:sz w:val="22"/>
          <w:szCs w:val="22"/>
          <w:lang w:eastAsia="en-GB"/>
        </w:rPr>
        <w:t>Goal 3: Ensure healthy lives and promote well-being for all at all ages</w:t>
      </w:r>
      <w:r>
        <w:rPr>
          <w:rFonts w:ascii="Arial" w:eastAsia="Times New Roman" w:hAnsi="Arial" w:cs="Arial"/>
          <w:kern w:val="0"/>
          <w:sz w:val="22"/>
          <w:szCs w:val="22"/>
          <w:lang w:eastAsia="en-GB"/>
        </w:rPr>
        <w:t>. New York: United Nations.</w:t>
      </w:r>
    </w:p>
    <w:p w14:paraId="6205935F"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United Nations (2026b) </w:t>
      </w:r>
      <w:r>
        <w:rPr>
          <w:rFonts w:ascii="Arial" w:eastAsia="Times New Roman" w:hAnsi="Arial" w:cs="Arial"/>
          <w:i/>
          <w:iCs/>
          <w:kern w:val="0"/>
          <w:sz w:val="22"/>
          <w:szCs w:val="22"/>
          <w:lang w:eastAsia="en-GB"/>
        </w:rPr>
        <w:t>Goal 2: End hunger, achieve food security and improved nutrition and promote sustainable agriculture</w:t>
      </w:r>
      <w:r>
        <w:rPr>
          <w:rFonts w:ascii="Arial" w:eastAsia="Times New Roman" w:hAnsi="Arial" w:cs="Arial"/>
          <w:kern w:val="0"/>
          <w:sz w:val="22"/>
          <w:szCs w:val="22"/>
          <w:lang w:eastAsia="en-GB"/>
        </w:rPr>
        <w:t>. New York: United Nations.</w:t>
      </w:r>
    </w:p>
    <w:p w14:paraId="0AF38599"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Welsh Government (2018) </w:t>
      </w:r>
      <w:r>
        <w:rPr>
          <w:rFonts w:ascii="Arial" w:eastAsia="Times New Roman" w:hAnsi="Arial" w:cs="Arial"/>
          <w:i/>
          <w:iCs/>
          <w:kern w:val="0"/>
          <w:sz w:val="22"/>
          <w:szCs w:val="22"/>
          <w:lang w:eastAsia="en-GB"/>
        </w:rPr>
        <w:t>A healthier Wales: long-term plan for health and social care</w:t>
      </w:r>
      <w:r>
        <w:rPr>
          <w:rFonts w:ascii="Arial" w:eastAsia="Times New Roman" w:hAnsi="Arial" w:cs="Arial"/>
          <w:kern w:val="0"/>
          <w:sz w:val="22"/>
          <w:szCs w:val="22"/>
          <w:lang w:eastAsia="en-GB"/>
        </w:rPr>
        <w:t>. Cardiff: Welsh Government.</w:t>
      </w:r>
    </w:p>
    <w:p w14:paraId="3B58E924"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Welsh Government (2021) </w:t>
      </w:r>
      <w:r>
        <w:rPr>
          <w:rFonts w:ascii="Arial" w:eastAsia="Times New Roman" w:hAnsi="Arial" w:cs="Arial"/>
          <w:i/>
          <w:iCs/>
          <w:kern w:val="0"/>
          <w:sz w:val="22"/>
          <w:szCs w:val="22"/>
          <w:lang w:eastAsia="en-GB"/>
        </w:rPr>
        <w:t>Healthy Weight: Healthy Wales obesity strategy</w:t>
      </w:r>
      <w:r>
        <w:rPr>
          <w:rFonts w:ascii="Arial" w:eastAsia="Times New Roman" w:hAnsi="Arial" w:cs="Arial"/>
          <w:kern w:val="0"/>
          <w:sz w:val="22"/>
          <w:szCs w:val="22"/>
          <w:lang w:eastAsia="en-GB"/>
        </w:rPr>
        <w:t>. Cardiff: Welsh Government.</w:t>
      </w:r>
    </w:p>
    <w:p w14:paraId="5CF4EA82"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Welsh Government (2024a) </w:t>
      </w:r>
      <w:r>
        <w:rPr>
          <w:rFonts w:ascii="Arial" w:eastAsia="Times New Roman" w:hAnsi="Arial" w:cs="Arial"/>
          <w:i/>
          <w:iCs/>
          <w:kern w:val="0"/>
          <w:sz w:val="22"/>
          <w:szCs w:val="22"/>
          <w:lang w:eastAsia="en-GB"/>
        </w:rPr>
        <w:t>Well-being of Wales, 2024: a healthier Wales</w:t>
      </w:r>
      <w:r>
        <w:rPr>
          <w:rFonts w:ascii="Arial" w:eastAsia="Times New Roman" w:hAnsi="Arial" w:cs="Arial"/>
          <w:kern w:val="0"/>
          <w:sz w:val="22"/>
          <w:szCs w:val="22"/>
          <w:lang w:eastAsia="en-GB"/>
        </w:rPr>
        <w:t>. Cardiff: Welsh Government.</w:t>
      </w:r>
    </w:p>
    <w:p w14:paraId="3AD574AA"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Welsh Government (2024b) </w:t>
      </w:r>
      <w:r>
        <w:rPr>
          <w:rFonts w:ascii="Arial" w:eastAsia="Times New Roman" w:hAnsi="Arial" w:cs="Arial"/>
          <w:i/>
          <w:iCs/>
          <w:kern w:val="0"/>
          <w:sz w:val="22"/>
          <w:szCs w:val="22"/>
          <w:lang w:eastAsia="en-GB"/>
        </w:rPr>
        <w:t>Food Matters: Wales</w:t>
      </w:r>
      <w:r>
        <w:rPr>
          <w:rFonts w:ascii="Arial" w:eastAsia="Times New Roman" w:hAnsi="Arial" w:cs="Arial"/>
          <w:kern w:val="0"/>
          <w:sz w:val="22"/>
          <w:szCs w:val="22"/>
          <w:lang w:eastAsia="en-GB"/>
        </w:rPr>
        <w:t>. Cardiff: Welsh Government.</w:t>
      </w:r>
    </w:p>
    <w:p w14:paraId="29E965C4"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Welsh Government (2025a) </w:t>
      </w:r>
      <w:r>
        <w:rPr>
          <w:rFonts w:ascii="Arial" w:eastAsia="Times New Roman" w:hAnsi="Arial" w:cs="Arial"/>
          <w:i/>
          <w:iCs/>
          <w:kern w:val="0"/>
          <w:sz w:val="22"/>
          <w:szCs w:val="22"/>
          <w:lang w:eastAsia="en-GB"/>
        </w:rPr>
        <w:t>Universal Primary Free School Meals (UPFSM)</w:t>
      </w:r>
      <w:r>
        <w:rPr>
          <w:rFonts w:ascii="Arial" w:eastAsia="Times New Roman" w:hAnsi="Arial" w:cs="Arial"/>
          <w:kern w:val="0"/>
          <w:sz w:val="22"/>
          <w:szCs w:val="22"/>
          <w:lang w:eastAsia="en-GB"/>
        </w:rPr>
        <w:t>. Cardiff: Welsh Government.</w:t>
      </w:r>
    </w:p>
    <w:p w14:paraId="79F1D908"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Welsh Government (2026) </w:t>
      </w:r>
      <w:r>
        <w:rPr>
          <w:rFonts w:ascii="Arial" w:eastAsia="Times New Roman" w:hAnsi="Arial" w:cs="Arial"/>
          <w:i/>
          <w:iCs/>
          <w:kern w:val="0"/>
          <w:sz w:val="22"/>
          <w:szCs w:val="22"/>
          <w:lang w:eastAsia="en-GB"/>
        </w:rPr>
        <w:t>Healthy Weight: Healthy Wales delivery plan 2025 to 2027</w:t>
      </w:r>
      <w:r>
        <w:rPr>
          <w:rFonts w:ascii="Arial" w:eastAsia="Times New Roman" w:hAnsi="Arial" w:cs="Arial"/>
          <w:kern w:val="0"/>
          <w:sz w:val="22"/>
          <w:szCs w:val="22"/>
          <w:lang w:eastAsia="en-GB"/>
        </w:rPr>
        <w:t>. Cardiff: Welsh Government.</w:t>
      </w:r>
    </w:p>
    <w:p w14:paraId="4E1FF706"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WHO (2024a) </w:t>
      </w:r>
      <w:r>
        <w:rPr>
          <w:rFonts w:ascii="Arial" w:eastAsia="Times New Roman" w:hAnsi="Arial" w:cs="Arial"/>
          <w:i/>
          <w:iCs/>
          <w:kern w:val="0"/>
          <w:sz w:val="22"/>
          <w:szCs w:val="22"/>
          <w:lang w:eastAsia="en-GB"/>
        </w:rPr>
        <w:t>2024 progress report on the Global Action Plan for Healthy Lives and Well-being for All</w:t>
      </w:r>
      <w:r>
        <w:rPr>
          <w:rFonts w:ascii="Arial" w:eastAsia="Times New Roman" w:hAnsi="Arial" w:cs="Arial"/>
          <w:kern w:val="0"/>
          <w:sz w:val="22"/>
          <w:szCs w:val="22"/>
          <w:lang w:eastAsia="en-GB"/>
        </w:rPr>
        <w:t>. Geneva: World Health Organisation.</w:t>
      </w:r>
    </w:p>
    <w:p w14:paraId="3B548968"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WHO (2025a) </w:t>
      </w:r>
      <w:r>
        <w:rPr>
          <w:rFonts w:ascii="Arial" w:eastAsia="Times New Roman" w:hAnsi="Arial" w:cs="Arial"/>
          <w:i/>
          <w:iCs/>
          <w:kern w:val="0"/>
          <w:sz w:val="22"/>
          <w:szCs w:val="22"/>
          <w:lang w:eastAsia="en-GB"/>
        </w:rPr>
        <w:t>Ethics and governance of artificial intelligence for health: guidance on large multi-modal models</w:t>
      </w:r>
      <w:r>
        <w:rPr>
          <w:rFonts w:ascii="Arial" w:eastAsia="Times New Roman" w:hAnsi="Arial" w:cs="Arial"/>
          <w:kern w:val="0"/>
          <w:sz w:val="22"/>
          <w:szCs w:val="22"/>
          <w:lang w:eastAsia="en-GB"/>
        </w:rPr>
        <w:t>. Geneva: World Health Organisation.</w:t>
      </w:r>
    </w:p>
    <w:p w14:paraId="352827A9"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WHO (2025b) </w:t>
      </w:r>
      <w:r>
        <w:rPr>
          <w:rFonts w:ascii="Arial" w:eastAsia="Times New Roman" w:hAnsi="Arial" w:cs="Arial"/>
          <w:i/>
          <w:iCs/>
          <w:kern w:val="0"/>
          <w:sz w:val="22"/>
          <w:szCs w:val="22"/>
          <w:lang w:eastAsia="en-GB"/>
        </w:rPr>
        <w:t>Accelerating progress towards health-related Sustainable Development Goals after the SDG3 Global Action Plan</w:t>
      </w:r>
      <w:r>
        <w:rPr>
          <w:rFonts w:ascii="Arial" w:eastAsia="Times New Roman" w:hAnsi="Arial" w:cs="Arial"/>
          <w:kern w:val="0"/>
          <w:sz w:val="22"/>
          <w:szCs w:val="22"/>
          <w:lang w:eastAsia="en-GB"/>
        </w:rPr>
        <w:t>. Geneva: World Health Organisation.</w:t>
      </w:r>
    </w:p>
    <w:p w14:paraId="60863FCE" w14:textId="77777777" w:rsidR="004D5201" w:rsidRDefault="008E5F0C">
      <w:pPr>
        <w:spacing w:before="100" w:after="100" w:line="360" w:lineRule="auto"/>
        <w:jc w:val="both"/>
      </w:pPr>
      <w:r>
        <w:rPr>
          <w:rFonts w:ascii="Arial" w:eastAsia="Times New Roman" w:hAnsi="Arial" w:cs="Arial"/>
          <w:kern w:val="0"/>
          <w:sz w:val="22"/>
          <w:szCs w:val="22"/>
          <w:lang w:eastAsia="en-GB"/>
        </w:rPr>
        <w:t xml:space="preserve">WHO (2025c) </w:t>
      </w:r>
      <w:r>
        <w:rPr>
          <w:rFonts w:ascii="Arial" w:eastAsia="Times New Roman" w:hAnsi="Arial" w:cs="Arial"/>
          <w:i/>
          <w:iCs/>
          <w:kern w:val="0"/>
          <w:sz w:val="22"/>
          <w:szCs w:val="22"/>
          <w:lang w:eastAsia="en-GB"/>
        </w:rPr>
        <w:t>Harnessing artificial intelligence for health</w:t>
      </w:r>
      <w:r>
        <w:rPr>
          <w:rFonts w:ascii="Arial" w:eastAsia="Times New Roman" w:hAnsi="Arial" w:cs="Arial"/>
          <w:kern w:val="0"/>
          <w:sz w:val="22"/>
          <w:szCs w:val="22"/>
          <w:lang w:eastAsia="en-GB"/>
        </w:rPr>
        <w:t>. Geneva: World Health Organisation.</w:t>
      </w:r>
    </w:p>
    <w:p w14:paraId="194AB1A2" w14:textId="77777777" w:rsidR="004D5201" w:rsidRDefault="004D5201">
      <w:pPr>
        <w:spacing w:line="360" w:lineRule="auto"/>
        <w:jc w:val="both"/>
        <w:rPr>
          <w:rFonts w:ascii="Arial" w:hAnsi="Arial" w:cs="Arial"/>
          <w:sz w:val="22"/>
          <w:szCs w:val="22"/>
        </w:rPr>
      </w:pPr>
    </w:p>
    <w:sectPr w:rsidR="004D5201">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4C5E29" w14:textId="77777777" w:rsidR="00F64995" w:rsidRDefault="00F64995">
      <w:pPr>
        <w:spacing w:after="0" w:line="240" w:lineRule="auto"/>
      </w:pPr>
      <w:r>
        <w:separator/>
      </w:r>
    </w:p>
  </w:endnote>
  <w:endnote w:type="continuationSeparator" w:id="0">
    <w:p w14:paraId="41F9B3A6" w14:textId="77777777" w:rsidR="00F64995" w:rsidRDefault="00F649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1868DD" w14:textId="77777777" w:rsidR="00F64995" w:rsidRDefault="00F64995">
      <w:pPr>
        <w:spacing w:after="0" w:line="240" w:lineRule="auto"/>
      </w:pPr>
      <w:r>
        <w:rPr>
          <w:color w:val="000000"/>
        </w:rPr>
        <w:separator/>
      </w:r>
    </w:p>
  </w:footnote>
  <w:footnote w:type="continuationSeparator" w:id="0">
    <w:p w14:paraId="4F33AF16" w14:textId="77777777" w:rsidR="00F64995" w:rsidRDefault="00F6499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D5201"/>
    <w:rsid w:val="00016BFE"/>
    <w:rsid w:val="00023AA8"/>
    <w:rsid w:val="00093E6B"/>
    <w:rsid w:val="00165E93"/>
    <w:rsid w:val="002C559C"/>
    <w:rsid w:val="00330C64"/>
    <w:rsid w:val="004D5201"/>
    <w:rsid w:val="007B1838"/>
    <w:rsid w:val="00851895"/>
    <w:rsid w:val="008E5F0C"/>
    <w:rsid w:val="00936A42"/>
    <w:rsid w:val="00AF58C1"/>
    <w:rsid w:val="00C6529B"/>
    <w:rsid w:val="00D3648F"/>
    <w:rsid w:val="00D72E3F"/>
    <w:rsid w:val="00E00F3A"/>
    <w:rsid w:val="00E9452D"/>
    <w:rsid w:val="00F622BE"/>
    <w:rsid w:val="00F64995"/>
    <w:rsid w:val="00FA037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CCFBC"/>
  <w15:docId w15:val="{2F205CD7-D0B5-4DB9-973A-19E46C56C1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paragraph" w:customStyle="1" w:styleId="paragraph">
    <w:name w:val="paragraph"/>
    <w:basedOn w:val="Normal"/>
    <w:rsid w:val="007B1838"/>
    <w:pPr>
      <w:suppressAutoHyphens w:val="0"/>
      <w:autoSpaceDN/>
      <w:spacing w:before="100" w:beforeAutospacing="1" w:after="100" w:afterAutospacing="1" w:line="240" w:lineRule="auto"/>
    </w:pPr>
    <w:rPr>
      <w:rFonts w:ascii="Times New Roman" w:eastAsia="Times New Roman" w:hAnsi="Times New Roman"/>
      <w:kern w:val="0"/>
      <w:lang w:eastAsia="en-GB"/>
    </w:rPr>
  </w:style>
  <w:style w:type="character" w:customStyle="1" w:styleId="normaltextrun">
    <w:name w:val="normaltextrun"/>
    <w:basedOn w:val="DefaultParagraphFont"/>
    <w:rsid w:val="007B1838"/>
  </w:style>
  <w:style w:type="paragraph" w:styleId="Header">
    <w:name w:val="header"/>
    <w:basedOn w:val="Normal"/>
    <w:link w:val="HeaderChar"/>
    <w:uiPriority w:val="99"/>
    <w:unhideWhenUsed/>
    <w:rsid w:val="00E9452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452D"/>
  </w:style>
  <w:style w:type="paragraph" w:styleId="Footer">
    <w:name w:val="footer"/>
    <w:basedOn w:val="Normal"/>
    <w:link w:val="FooterChar"/>
    <w:uiPriority w:val="99"/>
    <w:unhideWhenUsed/>
    <w:rsid w:val="00E9452D"/>
    <w:pPr>
      <w:tabs>
        <w:tab w:val="center" w:pos="4513"/>
        <w:tab w:val="right" w:pos="9026"/>
      </w:tabs>
      <w:spacing w:after="0" w:line="240" w:lineRule="auto"/>
    </w:pPr>
  </w:style>
  <w:style w:type="character" w:customStyle="1" w:styleId="FooterChar">
    <w:name w:val="Footer Char"/>
    <w:basedOn w:val="DefaultParagraphFont"/>
    <w:link w:val="Footer"/>
    <w:uiPriority w:val="99"/>
    <w:rsid w:val="00E9452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107</TotalTime>
  <Pages>10</Pages>
  <Words>2951</Words>
  <Characters>16825</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Harwinder Kaur</dc:creator>
  <dc:description/>
  <cp:lastModifiedBy>Victoria Mukusa Kusonika</cp:lastModifiedBy>
  <cp:revision>5</cp:revision>
  <dcterms:created xsi:type="dcterms:W3CDTF">2026-03-19T16:05:00Z</dcterms:created>
  <dcterms:modified xsi:type="dcterms:W3CDTF">2026-03-22T13:48:00Z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c68608d8-5874-4e39-a420-2cadeb2f7f92</vt:lpwstr>
  </property>
</Properties>
</file>