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757CA6" w14:textId="09503D11" w:rsidR="007E314D" w:rsidRDefault="007D3668" w:rsidP="00D503D5">
      <w:pPr>
        <w:spacing w:line="360" w:lineRule="auto"/>
        <w:rPr>
          <w:b/>
          <w:bCs/>
          <w:sz w:val="24"/>
          <w:szCs w:val="24"/>
        </w:rPr>
      </w:pPr>
      <w:r>
        <w:rPr>
          <w:b/>
          <w:bCs/>
          <w:sz w:val="24"/>
          <w:szCs w:val="24"/>
        </w:rPr>
        <w:t>Community Care and Development</w:t>
      </w:r>
    </w:p>
    <w:p w14:paraId="66435937" w14:textId="5EDA3998" w:rsidR="007D3668" w:rsidRDefault="007D3668" w:rsidP="00D503D5">
      <w:pPr>
        <w:spacing w:line="360" w:lineRule="auto"/>
        <w:rPr>
          <w:b/>
          <w:bCs/>
          <w:sz w:val="24"/>
          <w:szCs w:val="24"/>
        </w:rPr>
      </w:pPr>
      <w:r>
        <w:rPr>
          <w:b/>
          <w:bCs/>
          <w:sz w:val="24"/>
          <w:szCs w:val="24"/>
        </w:rPr>
        <w:t xml:space="preserve">Assignment 2 </w:t>
      </w:r>
    </w:p>
    <w:p w14:paraId="74E06723" w14:textId="5AF13096" w:rsidR="007D3668" w:rsidRDefault="002723F4" w:rsidP="00D503D5">
      <w:pPr>
        <w:spacing w:line="360" w:lineRule="auto"/>
        <w:rPr>
          <w:b/>
          <w:bCs/>
          <w:sz w:val="24"/>
          <w:szCs w:val="24"/>
        </w:rPr>
      </w:pPr>
      <w:r>
        <w:rPr>
          <w:b/>
          <w:bCs/>
          <w:sz w:val="24"/>
          <w:szCs w:val="24"/>
        </w:rPr>
        <w:t>Introduction</w:t>
      </w:r>
    </w:p>
    <w:p w14:paraId="71E1C321" w14:textId="350696C2" w:rsidR="002723F4" w:rsidRPr="002723F4" w:rsidRDefault="0020058A" w:rsidP="00D503D5">
      <w:pPr>
        <w:spacing w:line="360" w:lineRule="auto"/>
        <w:rPr>
          <w:sz w:val="24"/>
          <w:szCs w:val="24"/>
        </w:rPr>
      </w:pPr>
      <w:r>
        <w:rPr>
          <w:sz w:val="24"/>
          <w:szCs w:val="24"/>
        </w:rPr>
        <w:t xml:space="preserve">Within this </w:t>
      </w:r>
      <w:r w:rsidR="002723F4">
        <w:rPr>
          <w:sz w:val="24"/>
          <w:szCs w:val="24"/>
        </w:rPr>
        <w:t>assignment</w:t>
      </w:r>
      <w:r>
        <w:rPr>
          <w:sz w:val="24"/>
          <w:szCs w:val="24"/>
        </w:rPr>
        <w:t>, it will</w:t>
      </w:r>
      <w:r w:rsidR="00D503D5">
        <w:rPr>
          <w:sz w:val="24"/>
          <w:szCs w:val="24"/>
        </w:rPr>
        <w:t xml:space="preserve"> outline the work that goes into planning for a public health campaign within the United Kingdom. It will firstly discuss what public health is and what a campaign i</w:t>
      </w:r>
      <w:r>
        <w:rPr>
          <w:sz w:val="24"/>
          <w:szCs w:val="24"/>
        </w:rPr>
        <w:t>s</w:t>
      </w:r>
      <w:r w:rsidR="00D503D5">
        <w:rPr>
          <w:sz w:val="24"/>
          <w:szCs w:val="24"/>
        </w:rPr>
        <w:t xml:space="preserve"> and what goes into the planning of these campaigns. It will also look behavioural change and the approaches used in campaigns, such as the theory of planned behaviour and the health belief model. It will then move on and discuss the effectiveness of these campaigns</w:t>
      </w:r>
      <w:r>
        <w:rPr>
          <w:sz w:val="24"/>
          <w:szCs w:val="24"/>
        </w:rPr>
        <w:t xml:space="preserve">, the recommendations for future campaigns and finish with a conclusion. </w:t>
      </w:r>
    </w:p>
    <w:p w14:paraId="1810B67D" w14:textId="2798590D" w:rsidR="0020058A" w:rsidRDefault="00F13E8F" w:rsidP="00D503D5">
      <w:pPr>
        <w:spacing w:line="360" w:lineRule="auto"/>
        <w:rPr>
          <w:sz w:val="24"/>
          <w:szCs w:val="24"/>
        </w:rPr>
      </w:pPr>
      <w:r>
        <w:rPr>
          <w:sz w:val="24"/>
          <w:szCs w:val="24"/>
        </w:rPr>
        <w:t xml:space="preserve">Public health is defined as helping people to stay healthy and protecting them from threats to their health and can involve dealing with wider factors that have an impact on the health such as an age-group, an ethnic group, a locality or a country (Health Education England 2020). </w:t>
      </w:r>
      <w:r w:rsidR="007D3668">
        <w:rPr>
          <w:sz w:val="24"/>
          <w:szCs w:val="24"/>
        </w:rPr>
        <w:t xml:space="preserve">Public health campaigns give opportunities to raise awareness and understanding about a specific health issue. They provide public attention to a given issue with means to offer support for action including the efforts of multiple agencies in order to reach goals and aims (World Health Organisation, 2020). Springston (2005) </w:t>
      </w:r>
      <w:r w:rsidR="0020058A">
        <w:rPr>
          <w:sz w:val="24"/>
          <w:szCs w:val="24"/>
        </w:rPr>
        <w:t>agrees with this and</w:t>
      </w:r>
      <w:r w:rsidR="007D3668">
        <w:rPr>
          <w:sz w:val="24"/>
          <w:szCs w:val="24"/>
        </w:rPr>
        <w:t xml:space="preserve"> states that </w:t>
      </w:r>
      <w:r w:rsidR="0020058A">
        <w:rPr>
          <w:sz w:val="24"/>
          <w:szCs w:val="24"/>
        </w:rPr>
        <w:t>campaigns</w:t>
      </w:r>
      <w:r w:rsidR="007D3668">
        <w:rPr>
          <w:sz w:val="24"/>
          <w:szCs w:val="24"/>
        </w:rPr>
        <w:t xml:space="preserve"> are an effort to persuade the public to engage in behaviours that will improve health or to help avoid behaviours that are unhealthy. </w:t>
      </w:r>
    </w:p>
    <w:p w14:paraId="1A9D00E5" w14:textId="01E36E1B" w:rsidR="0020058A" w:rsidRPr="0020058A" w:rsidRDefault="0020058A" w:rsidP="00D503D5">
      <w:pPr>
        <w:spacing w:line="360" w:lineRule="auto"/>
        <w:rPr>
          <w:b/>
          <w:bCs/>
          <w:sz w:val="24"/>
          <w:szCs w:val="24"/>
        </w:rPr>
      </w:pPr>
      <w:r>
        <w:rPr>
          <w:b/>
          <w:bCs/>
          <w:sz w:val="24"/>
          <w:szCs w:val="24"/>
        </w:rPr>
        <w:t>Campaigns</w:t>
      </w:r>
    </w:p>
    <w:p w14:paraId="3FE45AA4" w14:textId="4F1E8C04" w:rsidR="00A50DB5" w:rsidRDefault="00061630" w:rsidP="00D503D5">
      <w:pPr>
        <w:spacing w:line="360" w:lineRule="auto"/>
        <w:rPr>
          <w:sz w:val="24"/>
          <w:szCs w:val="24"/>
        </w:rPr>
      </w:pPr>
      <w:r>
        <w:rPr>
          <w:sz w:val="24"/>
          <w:szCs w:val="24"/>
        </w:rPr>
        <w:t>Rice and Atkin (2001) suggested that designing and implementing effective campaigns requires an approach which is strategic and disciplined in order to implement the idea in accordance with the principles of effective campaign practices. T</w:t>
      </w:r>
      <w:r w:rsidR="007F64D4">
        <w:rPr>
          <w:sz w:val="24"/>
          <w:szCs w:val="24"/>
        </w:rPr>
        <w:t>he starting point when designing a campaign is to conceptually analyse the problem in terms of behaviour in order to see which actions to take to help improve health. The design needs to focus on an age demographic whose health-related practices they want to change and also the behaviours that the campaign seeks to influence</w:t>
      </w:r>
      <w:r w:rsidR="00603C89">
        <w:rPr>
          <w:sz w:val="24"/>
          <w:szCs w:val="24"/>
        </w:rPr>
        <w:t xml:space="preserve">. </w:t>
      </w:r>
      <w:r w:rsidR="00D90AE6">
        <w:rPr>
          <w:sz w:val="24"/>
          <w:szCs w:val="24"/>
        </w:rPr>
        <w:t xml:space="preserve">Parvanta et al (2011) describes the planning process involved, and states that campaigns need to determine if there is sufficient evidence to identify a heath problem exists within a certain population. Then it can be researched to see if any past interventions have been conducted and if they were successful. The development </w:t>
      </w:r>
      <w:r w:rsidR="00D90AE6">
        <w:rPr>
          <w:sz w:val="24"/>
          <w:szCs w:val="24"/>
        </w:rPr>
        <w:lastRenderedPageBreak/>
        <w:t xml:space="preserve">stage is next where objectives and goals are identified and also the target population, messages and materials are chosen. A successful campaign needs to evaluate its success in sustaining behavioural change as it can determine whether or not their goals have been reached. </w:t>
      </w:r>
      <w:r w:rsidR="00D90AE6">
        <w:rPr>
          <w:sz w:val="24"/>
          <w:szCs w:val="24"/>
        </w:rPr>
        <w:br/>
      </w:r>
      <w:r w:rsidR="00F60A24">
        <w:rPr>
          <w:sz w:val="24"/>
          <w:szCs w:val="24"/>
        </w:rPr>
        <w:t xml:space="preserve">The World Health Organisation (2020) concluded that a health campaign is structured in a sequence that moves the target audience from awareness of an issue towards a behaviour resulting in a specific health outcome. </w:t>
      </w:r>
      <w:r w:rsidR="00A50DB5">
        <w:rPr>
          <w:sz w:val="24"/>
          <w:szCs w:val="24"/>
        </w:rPr>
        <w:t xml:space="preserve">According to Davies (2012), important design elements include clear measurable aims, a combination of communication and face-to-face marketing approaches and formative research to build a holistic picture of the target audience and identify potential barriers to behavioural change. </w:t>
      </w:r>
    </w:p>
    <w:p w14:paraId="27161241" w14:textId="6043C9A6" w:rsidR="00D53964" w:rsidRDefault="00D53964" w:rsidP="00D503D5">
      <w:pPr>
        <w:spacing w:line="360" w:lineRule="auto"/>
        <w:rPr>
          <w:sz w:val="24"/>
          <w:szCs w:val="24"/>
        </w:rPr>
      </w:pPr>
      <w:r>
        <w:rPr>
          <w:sz w:val="24"/>
          <w:szCs w:val="24"/>
        </w:rPr>
        <w:t xml:space="preserve">Public Health England </w:t>
      </w:r>
      <w:r w:rsidR="00F24EE9">
        <w:rPr>
          <w:sz w:val="24"/>
          <w:szCs w:val="24"/>
        </w:rPr>
        <w:t>(PHE)</w:t>
      </w:r>
      <w:r>
        <w:rPr>
          <w:sz w:val="24"/>
          <w:szCs w:val="24"/>
        </w:rPr>
        <w:t>has a s</w:t>
      </w:r>
      <w:r w:rsidR="004C02A4">
        <w:rPr>
          <w:sz w:val="24"/>
          <w:szCs w:val="24"/>
        </w:rPr>
        <w:t>trong success rate</w:t>
      </w:r>
      <w:r>
        <w:rPr>
          <w:sz w:val="24"/>
          <w:szCs w:val="24"/>
        </w:rPr>
        <w:t xml:space="preserve"> in </w:t>
      </w:r>
      <w:r w:rsidR="004C02A4">
        <w:rPr>
          <w:sz w:val="24"/>
          <w:szCs w:val="24"/>
        </w:rPr>
        <w:t xml:space="preserve">their previous campaigns, especially in the campaigns where social marketing was used. They were able </w:t>
      </w:r>
      <w:r w:rsidR="00F24EE9">
        <w:rPr>
          <w:sz w:val="24"/>
          <w:szCs w:val="24"/>
        </w:rPr>
        <w:t xml:space="preserve">to help over two million families lead a healthier lifestyle using apps, created a new social norm around stopping smoking with over one million attempting to quit. In order to reach these successes, it is stated that PHE’s </w:t>
      </w:r>
      <w:r w:rsidR="007A0D7B">
        <w:rPr>
          <w:sz w:val="24"/>
          <w:szCs w:val="24"/>
        </w:rPr>
        <w:t>marketing campaigns begin with research so they can understand what the problem is, for example they plan on working with local authorities and the National Health Service for three years in order to understand how they can support the needs of frontline public health and healthcare professionals better. They also test new campaigns and develop new partnerships</w:t>
      </w:r>
      <w:r w:rsidR="00D0736C">
        <w:rPr>
          <w:sz w:val="24"/>
          <w:szCs w:val="24"/>
        </w:rPr>
        <w:t xml:space="preserve"> (Public Health England 2020)</w:t>
      </w:r>
      <w:r w:rsidR="007A0D7B">
        <w:rPr>
          <w:sz w:val="24"/>
          <w:szCs w:val="24"/>
        </w:rPr>
        <w:t xml:space="preserve">. </w:t>
      </w:r>
    </w:p>
    <w:p w14:paraId="304878DA" w14:textId="67510009" w:rsidR="00862A99" w:rsidRDefault="00862A99" w:rsidP="00D503D5">
      <w:pPr>
        <w:spacing w:line="360" w:lineRule="auto"/>
        <w:rPr>
          <w:b/>
          <w:bCs/>
          <w:sz w:val="24"/>
          <w:szCs w:val="24"/>
        </w:rPr>
      </w:pPr>
      <w:r>
        <w:rPr>
          <w:b/>
          <w:bCs/>
          <w:sz w:val="24"/>
          <w:szCs w:val="24"/>
        </w:rPr>
        <w:t>Behavioural Change</w:t>
      </w:r>
    </w:p>
    <w:p w14:paraId="6F2F5574" w14:textId="1E3283BD" w:rsidR="0088764B" w:rsidRDefault="00862A99" w:rsidP="00D503D5">
      <w:pPr>
        <w:spacing w:line="360" w:lineRule="auto"/>
        <w:rPr>
          <w:sz w:val="24"/>
          <w:szCs w:val="24"/>
        </w:rPr>
      </w:pPr>
      <w:r>
        <w:rPr>
          <w:sz w:val="24"/>
          <w:szCs w:val="24"/>
        </w:rPr>
        <w:t>According to the National Institute for Health and Care Excellence (2007) behaviour is vital in directing people’s health and different patterns of behaviour are deeply embedded in peoples social and materia</w:t>
      </w:r>
      <w:r w:rsidR="00631802">
        <w:rPr>
          <w:sz w:val="24"/>
          <w:szCs w:val="24"/>
        </w:rPr>
        <w:t>l</w:t>
      </w:r>
      <w:r>
        <w:rPr>
          <w:sz w:val="24"/>
          <w:szCs w:val="24"/>
        </w:rPr>
        <w:t xml:space="preserve"> circumstances and their cultural context. </w:t>
      </w:r>
      <w:r w:rsidR="00631802">
        <w:rPr>
          <w:sz w:val="24"/>
          <w:szCs w:val="24"/>
        </w:rPr>
        <w:t>To help with this behavioural change, interventions can be delivered at individual, household, community or population</w:t>
      </w:r>
      <w:r w:rsidR="0088764B">
        <w:rPr>
          <w:sz w:val="24"/>
          <w:szCs w:val="24"/>
        </w:rPr>
        <w:t xml:space="preserve"> levels</w:t>
      </w:r>
      <w:r w:rsidR="00631802">
        <w:rPr>
          <w:sz w:val="24"/>
          <w:szCs w:val="24"/>
        </w:rPr>
        <w:t xml:space="preserve"> to utilise multiple techniques.</w:t>
      </w:r>
      <w:r w:rsidR="0088764B">
        <w:rPr>
          <w:sz w:val="24"/>
          <w:szCs w:val="24"/>
        </w:rPr>
        <w:t xml:space="preserve"> There are significant target areas that provide vital opportunities </w:t>
      </w:r>
      <w:r w:rsidR="00735ACB">
        <w:rPr>
          <w:sz w:val="24"/>
          <w:szCs w:val="24"/>
        </w:rPr>
        <w:t xml:space="preserve">for intervening such as leaving school, entering the workforce, becoming a parent, becoming unemployed, retirement and bereavement. This can be seen as points in individuals lives where they tend to </w:t>
      </w:r>
      <w:r w:rsidR="00D33376">
        <w:rPr>
          <w:sz w:val="24"/>
          <w:szCs w:val="24"/>
        </w:rPr>
        <w:t xml:space="preserve">evaluate their own behaviour. </w:t>
      </w:r>
    </w:p>
    <w:p w14:paraId="05F905D7" w14:textId="5444076A" w:rsidR="00D4658F" w:rsidRDefault="00D4658F" w:rsidP="00D503D5">
      <w:pPr>
        <w:spacing w:line="360" w:lineRule="auto"/>
        <w:rPr>
          <w:sz w:val="24"/>
          <w:szCs w:val="24"/>
        </w:rPr>
      </w:pPr>
      <w:r>
        <w:rPr>
          <w:sz w:val="24"/>
          <w:szCs w:val="24"/>
        </w:rPr>
        <w:t xml:space="preserve">Some behaviour change techniques include; a brief intervention which involves spoken discussions, negotiation or encouragement which can be delivered by anyone who has the </w:t>
      </w:r>
      <w:r>
        <w:rPr>
          <w:sz w:val="24"/>
          <w:szCs w:val="24"/>
        </w:rPr>
        <w:lastRenderedPageBreak/>
        <w:t xml:space="preserve">necessary skills and knowledge. </w:t>
      </w:r>
      <w:r w:rsidR="00594D4F">
        <w:rPr>
          <w:sz w:val="24"/>
          <w:szCs w:val="24"/>
        </w:rPr>
        <w:t>Choice architecture interventions which is used to change the context</w:t>
      </w:r>
      <w:r>
        <w:rPr>
          <w:sz w:val="24"/>
          <w:szCs w:val="24"/>
        </w:rPr>
        <w:t xml:space="preserve"> </w:t>
      </w:r>
      <w:r w:rsidR="00594D4F">
        <w:rPr>
          <w:sz w:val="24"/>
          <w:szCs w:val="24"/>
        </w:rPr>
        <w:t>in which an individual will make a decision to influence how they act. Motivational interviewing was used in the field of addiction counselling but has been used to promote behaviour change in situations such smoking, weight loss, increasing physical activity</w:t>
      </w:r>
      <w:r w:rsidR="00330D5E">
        <w:rPr>
          <w:sz w:val="24"/>
          <w:szCs w:val="24"/>
        </w:rPr>
        <w:t xml:space="preserve">, however these consultations are known to be difficult due to people being resistant to being told what to do or what is good for them (Public Health Network Cymru 2020). </w:t>
      </w:r>
      <w:r w:rsidR="00594D4F">
        <w:rPr>
          <w:sz w:val="24"/>
          <w:szCs w:val="24"/>
        </w:rPr>
        <w:t xml:space="preserve"> </w:t>
      </w:r>
    </w:p>
    <w:p w14:paraId="20B2F4D1" w14:textId="43216AB1" w:rsidR="00691BCF" w:rsidRPr="00691BCF" w:rsidRDefault="00691BCF" w:rsidP="00D503D5">
      <w:pPr>
        <w:spacing w:line="360" w:lineRule="auto"/>
        <w:rPr>
          <w:b/>
          <w:bCs/>
          <w:sz w:val="24"/>
          <w:szCs w:val="24"/>
        </w:rPr>
      </w:pPr>
      <w:r>
        <w:rPr>
          <w:b/>
          <w:bCs/>
          <w:sz w:val="24"/>
          <w:szCs w:val="24"/>
        </w:rPr>
        <w:t>Model</w:t>
      </w:r>
      <w:r w:rsidR="00594D4F">
        <w:rPr>
          <w:b/>
          <w:bCs/>
          <w:sz w:val="24"/>
          <w:szCs w:val="24"/>
        </w:rPr>
        <w:t>s</w:t>
      </w:r>
    </w:p>
    <w:p w14:paraId="6E4D72AA" w14:textId="77777777" w:rsidR="00691BCF" w:rsidRDefault="00691BCF" w:rsidP="00D503D5">
      <w:pPr>
        <w:spacing w:line="360" w:lineRule="auto"/>
        <w:rPr>
          <w:b/>
          <w:bCs/>
          <w:sz w:val="24"/>
          <w:szCs w:val="24"/>
        </w:rPr>
      </w:pPr>
      <w:r>
        <w:rPr>
          <w:b/>
          <w:bCs/>
          <w:sz w:val="24"/>
          <w:szCs w:val="24"/>
        </w:rPr>
        <w:t xml:space="preserve">Theory of Planned Behaviour </w:t>
      </w:r>
    </w:p>
    <w:p w14:paraId="14A4F321" w14:textId="74F4FD25" w:rsidR="005D026D" w:rsidRPr="002B6004" w:rsidRDefault="00E333CD" w:rsidP="00D503D5">
      <w:pPr>
        <w:spacing w:line="360" w:lineRule="auto"/>
        <w:rPr>
          <w:color w:val="FF0000"/>
          <w:sz w:val="24"/>
          <w:szCs w:val="24"/>
        </w:rPr>
      </w:pPr>
      <w:r>
        <w:rPr>
          <w:sz w:val="24"/>
          <w:szCs w:val="24"/>
        </w:rPr>
        <w:t xml:space="preserve">Conner and Norman (2005) discussed the theory of planned behaviour (TPB) and stated that it is considered a deliberative processing model that suggests people’s attitudes are formed after careful consideration of available information. </w:t>
      </w:r>
      <w:r w:rsidR="00C44621">
        <w:rPr>
          <w:sz w:val="24"/>
          <w:szCs w:val="24"/>
        </w:rPr>
        <w:t xml:space="preserve">The </w:t>
      </w:r>
      <w:r>
        <w:rPr>
          <w:sz w:val="24"/>
          <w:szCs w:val="24"/>
        </w:rPr>
        <w:t>t</w:t>
      </w:r>
      <w:r w:rsidR="00C44621">
        <w:rPr>
          <w:sz w:val="24"/>
          <w:szCs w:val="24"/>
        </w:rPr>
        <w:t>heory of planned behaviour is one of the most used and influential models for the prediction of human social behaviour. However</w:t>
      </w:r>
      <w:r>
        <w:rPr>
          <w:sz w:val="24"/>
          <w:szCs w:val="24"/>
        </w:rPr>
        <w:t>,</w:t>
      </w:r>
      <w:r w:rsidR="00C44621">
        <w:rPr>
          <w:sz w:val="24"/>
          <w:szCs w:val="24"/>
        </w:rPr>
        <w:t xml:space="preserve"> it has been criticised for being too ‘rational’ and not acknowledging cognitive and affective processes which are known to bias human judgements and behaviour and also for not taking into account the effect that emotions can have on behaviour as suggested by Ajzen (2011).</w:t>
      </w:r>
      <w:r>
        <w:rPr>
          <w:sz w:val="24"/>
          <w:szCs w:val="24"/>
        </w:rPr>
        <w:t xml:space="preserve"> </w:t>
      </w:r>
      <w:r w:rsidR="00ED5CFC">
        <w:rPr>
          <w:sz w:val="24"/>
          <w:szCs w:val="24"/>
        </w:rPr>
        <w:t xml:space="preserve">Hardeman et al (2010) </w:t>
      </w:r>
      <w:r w:rsidR="001A2FF3">
        <w:rPr>
          <w:sz w:val="24"/>
          <w:szCs w:val="24"/>
        </w:rPr>
        <w:t xml:space="preserve">conducted a systematic search using 24 distinct interventions and </w:t>
      </w:r>
      <w:r w:rsidR="00ED5CFC">
        <w:rPr>
          <w:sz w:val="24"/>
          <w:szCs w:val="24"/>
        </w:rPr>
        <w:t>suggested that</w:t>
      </w:r>
      <w:r>
        <w:rPr>
          <w:sz w:val="24"/>
          <w:szCs w:val="24"/>
        </w:rPr>
        <w:t xml:space="preserve"> TPB</w:t>
      </w:r>
      <w:r w:rsidR="00ED5CFC">
        <w:rPr>
          <w:sz w:val="24"/>
          <w:szCs w:val="24"/>
        </w:rPr>
        <w:t xml:space="preserve"> is a model of behavioural change and is used to measure process and outcome variables, to predict intention and behaviour and to develop intervention.</w:t>
      </w:r>
      <w:r w:rsidR="001A2FF3">
        <w:rPr>
          <w:sz w:val="24"/>
          <w:szCs w:val="24"/>
        </w:rPr>
        <w:t xml:space="preserve"> I</w:t>
      </w:r>
      <w:r w:rsidR="00ED5CFC">
        <w:rPr>
          <w:sz w:val="24"/>
          <w:szCs w:val="24"/>
        </w:rPr>
        <w:t>t was suggested that when applying TPB to change behaviour interventions</w:t>
      </w:r>
      <w:r w:rsidR="001A2FF3">
        <w:rPr>
          <w:sz w:val="24"/>
          <w:szCs w:val="24"/>
        </w:rPr>
        <w:t xml:space="preserve">, </w:t>
      </w:r>
      <w:r w:rsidR="00ED5CFC">
        <w:rPr>
          <w:sz w:val="24"/>
          <w:szCs w:val="24"/>
        </w:rPr>
        <w:t>only half were effective in changing intention</w:t>
      </w:r>
      <w:r w:rsidR="001A2FF3">
        <w:rPr>
          <w:sz w:val="24"/>
          <w:szCs w:val="24"/>
        </w:rPr>
        <w:t xml:space="preserve"> and </w:t>
      </w:r>
      <w:r w:rsidR="00ED5CFC">
        <w:rPr>
          <w:sz w:val="24"/>
          <w:szCs w:val="24"/>
        </w:rPr>
        <w:t xml:space="preserve">two thirds in changing behaviour. </w:t>
      </w:r>
      <w:r w:rsidR="001A2FF3">
        <w:rPr>
          <w:sz w:val="24"/>
          <w:szCs w:val="24"/>
        </w:rPr>
        <w:t xml:space="preserve">More comprehensive studies may be needed to compare TPB with other models and behavioural techniques. </w:t>
      </w:r>
      <w:r w:rsidR="00691BCF">
        <w:rPr>
          <w:sz w:val="24"/>
          <w:szCs w:val="24"/>
        </w:rPr>
        <w:t xml:space="preserve"> </w:t>
      </w:r>
      <w:r w:rsidR="000F3D6E">
        <w:rPr>
          <w:sz w:val="24"/>
          <w:szCs w:val="24"/>
        </w:rPr>
        <w:t>The TPB has been used successfully to predict and explain a wide range of health behaviours and intentions including smoking, drinking, substance use. It has shown more utility in public health than the health belief model, however it is still limiting in that it does not consider environmental and economic influences.</w:t>
      </w:r>
      <w:r w:rsidR="00691BCF">
        <w:rPr>
          <w:color w:val="FF0000"/>
          <w:sz w:val="24"/>
          <w:szCs w:val="24"/>
        </w:rPr>
        <w:t xml:space="preserve"> </w:t>
      </w:r>
      <w:r w:rsidR="002B6004">
        <w:rPr>
          <w:color w:val="FF0000"/>
          <w:sz w:val="24"/>
          <w:szCs w:val="24"/>
        </w:rPr>
        <w:br/>
      </w:r>
      <w:r w:rsidR="007D63FF">
        <w:rPr>
          <w:sz w:val="24"/>
          <w:szCs w:val="24"/>
        </w:rPr>
        <w:t>Stead et al (2004) disagrees with Conner and Norman and suggests that there have been few attempts to use the TPB to design actual interventions</w:t>
      </w:r>
      <w:r w:rsidR="0021677B">
        <w:rPr>
          <w:sz w:val="24"/>
          <w:szCs w:val="24"/>
        </w:rPr>
        <w:t xml:space="preserve"> or as the basis of health behaviour campaigns</w:t>
      </w:r>
      <w:r w:rsidR="007D63FF">
        <w:rPr>
          <w:sz w:val="24"/>
          <w:szCs w:val="24"/>
        </w:rPr>
        <w:t>. However, support was found for the decision to use TPB as the theoretical underpinning of the advertising which was affective in activating communication outcomes and was also associated with significant changed in attitudes and affective</w:t>
      </w:r>
      <w:r w:rsidR="005D026D">
        <w:rPr>
          <w:sz w:val="24"/>
          <w:szCs w:val="24"/>
        </w:rPr>
        <w:t>.</w:t>
      </w:r>
      <w:r w:rsidR="005D026D">
        <w:rPr>
          <w:sz w:val="24"/>
          <w:szCs w:val="24"/>
        </w:rPr>
        <w:t xml:space="preserve"> TPB is</w:t>
      </w:r>
      <w:r w:rsidR="005D026D">
        <w:rPr>
          <w:sz w:val="24"/>
          <w:szCs w:val="24"/>
        </w:rPr>
        <w:t xml:space="preserve"> also</w:t>
      </w:r>
      <w:r w:rsidR="005D026D">
        <w:rPr>
          <w:sz w:val="24"/>
          <w:szCs w:val="24"/>
        </w:rPr>
        <w:t xml:space="preserve"> useful for explaining and potentially for changing health behaviours, however there is </w:t>
      </w:r>
      <w:r w:rsidR="005D026D">
        <w:rPr>
          <w:sz w:val="24"/>
          <w:szCs w:val="24"/>
        </w:rPr>
        <w:lastRenderedPageBreak/>
        <w:t xml:space="preserve">not much on how to use the model to change behaviour. </w:t>
      </w:r>
      <w:r w:rsidR="0070291B">
        <w:rPr>
          <w:sz w:val="24"/>
          <w:szCs w:val="24"/>
        </w:rPr>
        <w:t>In terms of intervention, TPB have more success in changing attitudes than other determinants of intentions and behaviour</w:t>
      </w:r>
      <w:r w:rsidR="007F5787">
        <w:rPr>
          <w:sz w:val="24"/>
          <w:szCs w:val="24"/>
        </w:rPr>
        <w:t xml:space="preserve">. </w:t>
      </w:r>
    </w:p>
    <w:p w14:paraId="12C6F960" w14:textId="605F0316" w:rsidR="007D63FF" w:rsidRPr="007D63FF" w:rsidRDefault="00EF2D21" w:rsidP="00D503D5">
      <w:pPr>
        <w:spacing w:line="360" w:lineRule="auto"/>
        <w:rPr>
          <w:sz w:val="24"/>
          <w:szCs w:val="24"/>
        </w:rPr>
      </w:pPr>
      <w:r>
        <w:rPr>
          <w:sz w:val="24"/>
          <w:szCs w:val="24"/>
        </w:rPr>
        <w:t xml:space="preserve">A study was conducted by </w:t>
      </w:r>
      <w:r w:rsidR="00733E53">
        <w:rPr>
          <w:sz w:val="24"/>
          <w:szCs w:val="24"/>
        </w:rPr>
        <w:t xml:space="preserve">Johnston and White (2003) </w:t>
      </w:r>
      <w:r>
        <w:rPr>
          <w:sz w:val="24"/>
          <w:szCs w:val="24"/>
        </w:rPr>
        <w:t xml:space="preserve">to examine the application of a planned behaviour theory on </w:t>
      </w:r>
      <w:r w:rsidR="00733E53">
        <w:rPr>
          <w:sz w:val="24"/>
          <w:szCs w:val="24"/>
        </w:rPr>
        <w:t>student’s</w:t>
      </w:r>
      <w:r>
        <w:rPr>
          <w:sz w:val="24"/>
          <w:szCs w:val="24"/>
        </w:rPr>
        <w:t xml:space="preserve"> binge drinking</w:t>
      </w:r>
      <w:r w:rsidR="00733E53">
        <w:rPr>
          <w:sz w:val="24"/>
          <w:szCs w:val="24"/>
        </w:rPr>
        <w:t>. The guideline of the approach predicted intentions to binge drink from the students. The norms of behaviour relevant to the reference group used were found to be a significant predictor of intentions to drink, especially for individuals who strongly identify with the group. The results provide an important social relevance for educators and may provide a focus for advertising campaigns designed to encourage behaviour to change.</w:t>
      </w:r>
    </w:p>
    <w:p w14:paraId="5DE387AE" w14:textId="57377357" w:rsidR="00691BCF" w:rsidRDefault="00691BCF" w:rsidP="00D503D5">
      <w:pPr>
        <w:spacing w:line="360" w:lineRule="auto"/>
        <w:rPr>
          <w:b/>
          <w:bCs/>
          <w:sz w:val="24"/>
          <w:szCs w:val="24"/>
        </w:rPr>
      </w:pPr>
      <w:r>
        <w:rPr>
          <w:b/>
          <w:bCs/>
          <w:sz w:val="24"/>
          <w:szCs w:val="24"/>
        </w:rPr>
        <w:t>Health Belief Model</w:t>
      </w:r>
    </w:p>
    <w:p w14:paraId="451438B6" w14:textId="608558F1" w:rsidR="001A31B8" w:rsidRDefault="00E73EE1" w:rsidP="00D503D5">
      <w:pPr>
        <w:spacing w:line="360" w:lineRule="auto"/>
        <w:rPr>
          <w:sz w:val="24"/>
          <w:szCs w:val="24"/>
        </w:rPr>
      </w:pPr>
      <w:r>
        <w:rPr>
          <w:sz w:val="24"/>
          <w:szCs w:val="24"/>
        </w:rPr>
        <w:t>Champion and Skinner (2008) state that t</w:t>
      </w:r>
      <w:r w:rsidR="008D54EE">
        <w:rPr>
          <w:sz w:val="24"/>
          <w:szCs w:val="24"/>
        </w:rPr>
        <w:t>he health belief</w:t>
      </w:r>
      <w:r w:rsidR="00A25A43">
        <w:rPr>
          <w:sz w:val="24"/>
          <w:szCs w:val="24"/>
        </w:rPr>
        <w:t xml:space="preserve"> (HBM)</w:t>
      </w:r>
      <w:r w:rsidR="008D54EE">
        <w:rPr>
          <w:sz w:val="24"/>
          <w:szCs w:val="24"/>
        </w:rPr>
        <w:t xml:space="preserve"> mode has been widely used in the research of health behaviour. The framework was used to explain change and maintenance of health-related behaviours and to guide health behaviour interventions. It contains various concepts that predict reasons why individuals may </w:t>
      </w:r>
      <w:r>
        <w:rPr>
          <w:sz w:val="24"/>
          <w:szCs w:val="24"/>
        </w:rPr>
        <w:t>want to prevent, screen for or control illness conditions; these include susceptibility, seriousness, benefits and barriers to a behaviour and self-efficacy.</w:t>
      </w:r>
      <w:r w:rsidR="00A8014F">
        <w:rPr>
          <w:sz w:val="24"/>
          <w:szCs w:val="24"/>
        </w:rPr>
        <w:t xml:space="preserve"> </w:t>
      </w:r>
      <w:r w:rsidR="00940730">
        <w:rPr>
          <w:sz w:val="24"/>
          <w:szCs w:val="24"/>
        </w:rPr>
        <w:t xml:space="preserve">Robertson </w:t>
      </w:r>
      <w:r w:rsidR="004279C4">
        <w:rPr>
          <w:sz w:val="24"/>
          <w:szCs w:val="24"/>
        </w:rPr>
        <w:t>(2008)</w:t>
      </w:r>
      <w:r w:rsidR="00940730">
        <w:rPr>
          <w:sz w:val="24"/>
          <w:szCs w:val="24"/>
        </w:rPr>
        <w:t xml:space="preserve"> furthered this and discussed that behaviour change requires a state of readiness to act</w:t>
      </w:r>
      <w:r w:rsidR="004279C4">
        <w:rPr>
          <w:sz w:val="24"/>
          <w:szCs w:val="24"/>
        </w:rPr>
        <w:t xml:space="preserve">. This behaviour is normally affected by an individual’s perceptions about their susceptibility to a particular health condition and whether the consequences are seen to be serious. In order to trigger this change in behaviour, the individual will experience cues which may be internal such as developing symptoms or external such as media messages. In relation to campaigns, this model can play a large role in behaviour change as it suggests that information can act as a trigger for some individuals and advertising campaigns may direct individuals to the service they provide. Also, it suggests that they should emphasise personal susceptibility and the consequences of not making a change and should outline the costs of unhealthy behaviours and the benefits of change.  </w:t>
      </w:r>
      <w:r w:rsidR="001A31B8">
        <w:rPr>
          <w:sz w:val="24"/>
          <w:szCs w:val="24"/>
        </w:rPr>
        <w:br/>
      </w:r>
      <w:r w:rsidR="00A25A43">
        <w:rPr>
          <w:sz w:val="24"/>
          <w:szCs w:val="24"/>
        </w:rPr>
        <w:t>I</w:t>
      </w:r>
      <w:r>
        <w:rPr>
          <w:sz w:val="24"/>
          <w:szCs w:val="24"/>
        </w:rPr>
        <w:t xml:space="preserve">t </w:t>
      </w:r>
      <w:r w:rsidR="00A25A43">
        <w:rPr>
          <w:sz w:val="24"/>
          <w:szCs w:val="24"/>
        </w:rPr>
        <w:t xml:space="preserve">was suggested by Janz and Becker (1984) that the HBM is a psychosocial model which means it can be limited to accounting for as much of the variance in </w:t>
      </w:r>
      <w:r w:rsidR="00A8014F">
        <w:rPr>
          <w:sz w:val="24"/>
          <w:szCs w:val="24"/>
        </w:rPr>
        <w:t>individual’s</w:t>
      </w:r>
      <w:r w:rsidR="00A25A43">
        <w:rPr>
          <w:sz w:val="24"/>
          <w:szCs w:val="24"/>
        </w:rPr>
        <w:t xml:space="preserve"> health related behaviours as can be explained by their attitudes and beliefs. </w:t>
      </w:r>
      <w:r w:rsidR="00382707">
        <w:rPr>
          <w:sz w:val="24"/>
          <w:szCs w:val="24"/>
        </w:rPr>
        <w:t xml:space="preserve">Jones, Jensen and Weaver (2015) also discuss how HBM fails to specify variable ordering which is significant </w:t>
      </w:r>
      <w:r w:rsidR="00382707">
        <w:rPr>
          <w:sz w:val="24"/>
          <w:szCs w:val="24"/>
        </w:rPr>
        <w:lastRenderedPageBreak/>
        <w:t xml:space="preserve">for researchers interested in utilising the model to help understand communication processes. </w:t>
      </w:r>
    </w:p>
    <w:p w14:paraId="4BF2EF16" w14:textId="246801A7" w:rsidR="001A31B8" w:rsidRDefault="001A31B8" w:rsidP="00D503D5">
      <w:pPr>
        <w:spacing w:line="360" w:lineRule="auto"/>
        <w:rPr>
          <w:sz w:val="24"/>
          <w:szCs w:val="24"/>
        </w:rPr>
      </w:pPr>
      <w:r>
        <w:rPr>
          <w:sz w:val="24"/>
          <w:szCs w:val="24"/>
        </w:rPr>
        <w:t xml:space="preserve">The health belief model was used to study the poor eating habits among students to see whether or not they would start eating healthy. It was suggested that the HBM was helpful in predicting the variance in likelihood of healthy eating and has offered help in understanding the comparative influence of various factors. It also helped the study to spot differences in results through genders (Deshpande 2009). </w:t>
      </w:r>
    </w:p>
    <w:p w14:paraId="615DD53E" w14:textId="050E29D2" w:rsidR="00DA7B96" w:rsidRDefault="00DA7B96" w:rsidP="00D503D5">
      <w:pPr>
        <w:spacing w:line="360" w:lineRule="auto"/>
        <w:rPr>
          <w:b/>
          <w:bCs/>
          <w:sz w:val="24"/>
          <w:szCs w:val="24"/>
        </w:rPr>
      </w:pPr>
      <w:r>
        <w:rPr>
          <w:b/>
          <w:bCs/>
          <w:sz w:val="24"/>
          <w:szCs w:val="24"/>
        </w:rPr>
        <w:t>Comparison</w:t>
      </w:r>
    </w:p>
    <w:p w14:paraId="24913508" w14:textId="4B76EB4E" w:rsidR="002723F4" w:rsidRPr="00DA7B96" w:rsidRDefault="00337616" w:rsidP="00D503D5">
      <w:pPr>
        <w:spacing w:line="360" w:lineRule="auto"/>
        <w:rPr>
          <w:sz w:val="24"/>
          <w:szCs w:val="24"/>
        </w:rPr>
      </w:pPr>
      <w:r>
        <w:rPr>
          <w:sz w:val="24"/>
          <w:szCs w:val="24"/>
        </w:rPr>
        <w:t>Nejad, Wertheim and Greenwood (2005) concluded that t</w:t>
      </w:r>
      <w:r w:rsidR="00DA7B96">
        <w:rPr>
          <w:sz w:val="24"/>
          <w:szCs w:val="24"/>
        </w:rPr>
        <w:t>he HBM is different from other models such as the theory of planned behaviour as there are not strict guidelines as to how the different variables predict behaviour. This lack of structure could be seen as a criticism; however</w:t>
      </w:r>
      <w:r w:rsidR="00B15F0C">
        <w:rPr>
          <w:sz w:val="24"/>
          <w:szCs w:val="24"/>
        </w:rPr>
        <w:t>,</w:t>
      </w:r>
      <w:r w:rsidR="00DA7B96">
        <w:rPr>
          <w:sz w:val="24"/>
          <w:szCs w:val="24"/>
        </w:rPr>
        <w:t xml:space="preserve"> some researchers see the flexibility of the model as a way to make it more adaptable to predicting a variety of behaviours. </w:t>
      </w:r>
      <w:r w:rsidR="002723F4">
        <w:rPr>
          <w:sz w:val="24"/>
          <w:szCs w:val="24"/>
        </w:rPr>
        <w:t xml:space="preserve">Montanaro and Bryan (2014) found that the HBM intervention, compared with TPB intervention had a greater effect on perceived susceptibility, severity and attitudes, while the TPB intervention compared with the HBM intervention, had a greater influence on intentions. </w:t>
      </w:r>
      <w:r w:rsidR="00FC7E0A">
        <w:rPr>
          <w:sz w:val="24"/>
          <w:szCs w:val="24"/>
        </w:rPr>
        <w:t>Simsekoglu and Lajunen (2008)</w:t>
      </w:r>
      <w:r w:rsidR="00D31D04">
        <w:rPr>
          <w:sz w:val="24"/>
          <w:szCs w:val="24"/>
        </w:rPr>
        <w:t xml:space="preserve"> also conducted a review of studies comparing the TPB and the HBM in explaining health behaviour which mainly indicated more predictive power of the basic TPB over the HBM, although they both had good predictive value. The TPB was said to be more integrated and extended model that had more predictive success compared to the other theories. The HBM was reported to more economical </w:t>
      </w:r>
      <w:r w:rsidR="00FC7E0A">
        <w:rPr>
          <w:sz w:val="24"/>
          <w:szCs w:val="24"/>
        </w:rPr>
        <w:t xml:space="preserve">than the TPB. </w:t>
      </w:r>
    </w:p>
    <w:p w14:paraId="42F45464" w14:textId="0C7F66A0" w:rsidR="000B5204" w:rsidRDefault="000B5204" w:rsidP="00D503D5">
      <w:pPr>
        <w:spacing w:line="360" w:lineRule="auto"/>
        <w:rPr>
          <w:b/>
          <w:bCs/>
          <w:sz w:val="24"/>
          <w:szCs w:val="24"/>
        </w:rPr>
      </w:pPr>
      <w:r>
        <w:rPr>
          <w:b/>
          <w:bCs/>
          <w:sz w:val="24"/>
          <w:szCs w:val="24"/>
        </w:rPr>
        <w:t>Effectiveness</w:t>
      </w:r>
    </w:p>
    <w:p w14:paraId="2DCCAC05" w14:textId="0292DC05" w:rsidR="00F07CE9" w:rsidRDefault="000B5204" w:rsidP="00D503D5">
      <w:pPr>
        <w:spacing w:line="360" w:lineRule="auto"/>
        <w:rPr>
          <w:sz w:val="24"/>
          <w:szCs w:val="24"/>
        </w:rPr>
      </w:pPr>
      <w:r>
        <w:rPr>
          <w:sz w:val="24"/>
          <w:szCs w:val="24"/>
        </w:rPr>
        <w:t>Health promotion programs may have a range of immediate effects on individuals and on social and physical settings. These effects include; improved health knowledge, skills and motivation, and changes to health actions and behaviour. Integrated health promotion programs should specify impact indicators for program activities which should state the type of change that is expected and the percentage of people or setting for which that change is anticipated. A vital part of planning should be to work out which impacts to assess and how to do this, this is important as process evaluation measures the activities and quality of the program or service and who it is reaching</w:t>
      </w:r>
      <w:r w:rsidR="00D527EB" w:rsidRPr="00D527EB">
        <w:rPr>
          <w:sz w:val="24"/>
          <w:szCs w:val="24"/>
        </w:rPr>
        <w:t xml:space="preserve"> </w:t>
      </w:r>
      <w:r w:rsidR="00D527EB">
        <w:rPr>
          <w:sz w:val="24"/>
          <w:szCs w:val="24"/>
        </w:rPr>
        <w:t xml:space="preserve">episodes (Australian Institute of Primary Care </w:t>
      </w:r>
      <w:r w:rsidR="00D527EB">
        <w:rPr>
          <w:sz w:val="24"/>
          <w:szCs w:val="24"/>
        </w:rPr>
        <w:lastRenderedPageBreak/>
        <w:t>2003)</w:t>
      </w:r>
      <w:r>
        <w:rPr>
          <w:sz w:val="24"/>
          <w:szCs w:val="24"/>
        </w:rPr>
        <w:t xml:space="preserve">. </w:t>
      </w:r>
      <w:r w:rsidR="0020058A">
        <w:rPr>
          <w:sz w:val="24"/>
          <w:szCs w:val="24"/>
        </w:rPr>
        <w:t>Mahoney (2015) suggests that the success of many campaigns is often measured in website hits, social media activity and raised awareness of issues. The effect of these campaigns on individual’s behaviours is considered to be less researched, with only 1% of peer reviewed papers that looked at the impact of marketing campaigns actually assessed behavioural changes, rather than attitudinal.</w:t>
      </w:r>
    </w:p>
    <w:p w14:paraId="4E093034" w14:textId="6B740AAA" w:rsidR="00EA5CC7" w:rsidRDefault="00BC1307" w:rsidP="00D503D5">
      <w:pPr>
        <w:spacing w:line="360" w:lineRule="auto"/>
        <w:rPr>
          <w:sz w:val="24"/>
          <w:szCs w:val="24"/>
        </w:rPr>
      </w:pPr>
      <w:r>
        <w:rPr>
          <w:sz w:val="24"/>
          <w:szCs w:val="24"/>
        </w:rPr>
        <w:t>The</w:t>
      </w:r>
      <w:r w:rsidR="00F07CE9">
        <w:rPr>
          <w:sz w:val="24"/>
          <w:szCs w:val="24"/>
        </w:rPr>
        <w:t xml:space="preserve"> World Health Organisation (2020) suggests that the</w:t>
      </w:r>
      <w:r>
        <w:rPr>
          <w:sz w:val="24"/>
          <w:szCs w:val="24"/>
        </w:rPr>
        <w:t xml:space="preserve"> communication used in campaigns need to be timely, understandable, accessible, relevant, actionable and credible to support efforts to achieve the health impact and therefore should be judged on how well they support the steps leading to the health impact such as saving lives, decreasing infections, and containing infectious diseases. These efforts should be measured</w:t>
      </w:r>
      <w:r w:rsidR="00F07CE9">
        <w:rPr>
          <w:sz w:val="24"/>
          <w:szCs w:val="24"/>
        </w:rPr>
        <w:t xml:space="preserve"> on how they can alter levels of knowledge, influence attitudes and increase knowledge</w:t>
      </w:r>
      <w:r w:rsidR="00F87DC9">
        <w:rPr>
          <w:sz w:val="24"/>
          <w:szCs w:val="24"/>
        </w:rPr>
        <w:t>.</w:t>
      </w:r>
    </w:p>
    <w:p w14:paraId="6E06FECA" w14:textId="77777777" w:rsidR="0020058A" w:rsidRDefault="00B207DA" w:rsidP="00D503D5">
      <w:pPr>
        <w:spacing w:line="360" w:lineRule="auto"/>
        <w:rPr>
          <w:sz w:val="24"/>
          <w:szCs w:val="24"/>
        </w:rPr>
      </w:pPr>
      <w:r>
        <w:rPr>
          <w:sz w:val="24"/>
          <w:szCs w:val="24"/>
        </w:rPr>
        <w:t>Randolph and Viswanath (2004)</w:t>
      </w:r>
      <w:r w:rsidR="00EA5CC7">
        <w:rPr>
          <w:sz w:val="24"/>
          <w:szCs w:val="24"/>
        </w:rPr>
        <w:t xml:space="preserve"> suggests that campaigns adopt this behavioural change and use this to plan their campaign</w:t>
      </w:r>
      <w:r>
        <w:rPr>
          <w:sz w:val="24"/>
          <w:szCs w:val="24"/>
        </w:rPr>
        <w:t>. T</w:t>
      </w:r>
      <w:r w:rsidR="00EA5CC7">
        <w:rPr>
          <w:sz w:val="24"/>
          <w:szCs w:val="24"/>
        </w:rPr>
        <w:t xml:space="preserve">he </w:t>
      </w:r>
      <w:r w:rsidR="005D50CD">
        <w:rPr>
          <w:sz w:val="24"/>
          <w:szCs w:val="24"/>
        </w:rPr>
        <w:t>theory-based</w:t>
      </w:r>
      <w:r w:rsidR="00EA5CC7">
        <w:rPr>
          <w:sz w:val="24"/>
          <w:szCs w:val="24"/>
        </w:rPr>
        <w:t xml:space="preserve"> campaigns are successful as they help to create appropriate message strategies, help choose the best approach to convey the messages and they help to choose the message for the campaigns. </w:t>
      </w:r>
    </w:p>
    <w:p w14:paraId="4977EC8B" w14:textId="783B49AA" w:rsidR="00061630" w:rsidRPr="00E75A6D" w:rsidRDefault="00E75A6D" w:rsidP="00D503D5">
      <w:pPr>
        <w:spacing w:line="360" w:lineRule="auto"/>
        <w:rPr>
          <w:color w:val="FF0000"/>
          <w:sz w:val="24"/>
          <w:szCs w:val="24"/>
        </w:rPr>
      </w:pPr>
      <w:r>
        <w:rPr>
          <w:sz w:val="24"/>
          <w:szCs w:val="24"/>
        </w:rPr>
        <w:t xml:space="preserve">According to Halpern et al (2004) behaviour-based interventions can be very much more cost-effective than traditional service delivery.  Hsu et al (2013) supports this statement by suggesting that individual interventions are an attractive use of resources to raise awareness but are not cost effectives in the impact towards behavioural change. </w:t>
      </w:r>
    </w:p>
    <w:p w14:paraId="5E411AB2" w14:textId="77777777" w:rsidR="00061630" w:rsidRDefault="00061630" w:rsidP="00D503D5">
      <w:pPr>
        <w:spacing w:line="360" w:lineRule="auto"/>
        <w:rPr>
          <w:b/>
          <w:bCs/>
          <w:sz w:val="24"/>
          <w:szCs w:val="24"/>
        </w:rPr>
      </w:pPr>
      <w:r>
        <w:rPr>
          <w:b/>
          <w:bCs/>
          <w:sz w:val="24"/>
          <w:szCs w:val="24"/>
        </w:rPr>
        <w:t>Other Countries</w:t>
      </w:r>
    </w:p>
    <w:p w14:paraId="00C28354" w14:textId="77777777" w:rsidR="00560198" w:rsidRDefault="003428D6" w:rsidP="00D503D5">
      <w:pPr>
        <w:spacing w:line="360" w:lineRule="auto"/>
        <w:rPr>
          <w:sz w:val="24"/>
          <w:szCs w:val="24"/>
        </w:rPr>
      </w:pPr>
      <w:r>
        <w:rPr>
          <w:sz w:val="24"/>
          <w:szCs w:val="24"/>
        </w:rPr>
        <w:t xml:space="preserve">Brug, Tak and Velde (2011) discuss health promotion in the Netherlands and suggest that they </w:t>
      </w:r>
      <w:r w:rsidR="00AE57A6">
        <w:rPr>
          <w:sz w:val="24"/>
          <w:szCs w:val="24"/>
        </w:rPr>
        <w:t xml:space="preserve">invest in the promotion of healthy lifestyle behaviours which include government funded campaigns that are conducted by Health Promotion Institutes (HPI’s). These campaigns consist of nationwide components like mass media, such as tv, radio and internet which then work in partnership with health services or health promotion organisations. </w:t>
      </w:r>
      <w:r>
        <w:rPr>
          <w:sz w:val="24"/>
          <w:szCs w:val="24"/>
        </w:rPr>
        <w:t xml:space="preserve">The funding for the campaign is then decided by the Netherlands Organisation of Health Research and Development, however the requirements for funding include and evaluation plan. The plan must consist of research design, timing, budget and research expertise. </w:t>
      </w:r>
    </w:p>
    <w:p w14:paraId="4063B238" w14:textId="77777777" w:rsidR="00560198" w:rsidRDefault="00560198" w:rsidP="00D503D5">
      <w:pPr>
        <w:spacing w:line="360" w:lineRule="auto"/>
        <w:rPr>
          <w:b/>
          <w:bCs/>
          <w:sz w:val="24"/>
          <w:szCs w:val="24"/>
        </w:rPr>
      </w:pPr>
      <w:r>
        <w:rPr>
          <w:b/>
          <w:bCs/>
          <w:sz w:val="24"/>
          <w:szCs w:val="24"/>
        </w:rPr>
        <w:t>Success Stories</w:t>
      </w:r>
    </w:p>
    <w:p w14:paraId="4373353E" w14:textId="77777777" w:rsidR="00AB7EA1" w:rsidRDefault="00560198" w:rsidP="00D503D5">
      <w:pPr>
        <w:spacing w:line="360" w:lineRule="auto"/>
        <w:rPr>
          <w:sz w:val="24"/>
          <w:szCs w:val="24"/>
        </w:rPr>
      </w:pPr>
      <w:r>
        <w:rPr>
          <w:sz w:val="24"/>
          <w:szCs w:val="24"/>
        </w:rPr>
        <w:lastRenderedPageBreak/>
        <w:t xml:space="preserve">According to </w:t>
      </w:r>
      <w:r w:rsidR="008D2477">
        <w:rPr>
          <w:sz w:val="24"/>
          <w:szCs w:val="24"/>
        </w:rPr>
        <w:t>Anderson, Bulatao and Cohen</w:t>
      </w:r>
      <w:r>
        <w:rPr>
          <w:sz w:val="24"/>
          <w:szCs w:val="24"/>
        </w:rPr>
        <w:t xml:space="preserve"> (2004) national interventions have a higher success rate than community interventions; looking at the campaign launched against drunk driving which was pushed by Mothers Against Drunk Driving and the designated driver campaign had helped in the reduction of traffic fatalities. </w:t>
      </w:r>
    </w:p>
    <w:p w14:paraId="257B341A" w14:textId="7FFC7A5C" w:rsidR="005D50CD" w:rsidRDefault="00AB7EA1" w:rsidP="00D503D5">
      <w:pPr>
        <w:spacing w:line="360" w:lineRule="auto"/>
        <w:rPr>
          <w:sz w:val="24"/>
          <w:szCs w:val="24"/>
        </w:rPr>
      </w:pPr>
      <w:r>
        <w:rPr>
          <w:sz w:val="24"/>
          <w:szCs w:val="24"/>
        </w:rPr>
        <w:t>The ACTIVE for LIFE campaign released in the 1990’s aimed to increase knowledge and acceptance of new recommendations about adult’s physical activity and to contribute to increased participation in this. It was found that the proportion of people who were aware of the new recommendations increased after the campaign, although there was no</w:t>
      </w:r>
      <w:r w:rsidR="00B207DA">
        <w:rPr>
          <w:sz w:val="24"/>
          <w:szCs w:val="24"/>
        </w:rPr>
        <w:t xml:space="preserve"> </w:t>
      </w:r>
      <w:r>
        <w:rPr>
          <w:sz w:val="24"/>
          <w:szCs w:val="24"/>
        </w:rPr>
        <w:t>evidence that the campaign raised levels of physical activity. It was noted that the campaign needed to be realistic about the time period in which effects start to take place and about the limitations of using health promotion campaigns at a national level to stimulate short-term behaviour changes in the population. It was recommended that if they targeted people ready to adopt physical activity there might be higher levels of behaviour change (Health Development Agency 2004)</w:t>
      </w:r>
      <w:r w:rsidR="00B841BD">
        <w:rPr>
          <w:sz w:val="24"/>
          <w:szCs w:val="24"/>
        </w:rPr>
        <w:t>.</w:t>
      </w:r>
    </w:p>
    <w:p w14:paraId="13EF1B8D" w14:textId="6A2A2187" w:rsidR="0063545F" w:rsidRDefault="0063545F" w:rsidP="00D503D5">
      <w:pPr>
        <w:spacing w:line="360" w:lineRule="auto"/>
        <w:rPr>
          <w:sz w:val="24"/>
          <w:szCs w:val="24"/>
        </w:rPr>
      </w:pPr>
      <w:r>
        <w:rPr>
          <w:sz w:val="24"/>
          <w:szCs w:val="24"/>
        </w:rPr>
        <w:t xml:space="preserve">Public Health England (2020) talked about their smoking campaigns such as ‘Smoke free NHS’ which started in December 2016 which offers resources and key information to help the NHS workforce plan and implement smoke free policies. Stoptober was another campaign released by PHE which was a 28-day stop smoking campaign released in October 2019. It provided support and resources to help encourage smokers to quit and helped over one million people attempt to quit which is the largest mass quit attempt in the UK. </w:t>
      </w:r>
      <w:r w:rsidR="00853DD1">
        <w:rPr>
          <w:sz w:val="24"/>
          <w:szCs w:val="24"/>
        </w:rPr>
        <w:t xml:space="preserve">It was based on the idea that if you can stop for 28 days you are five times more likely to quit for good. </w:t>
      </w:r>
    </w:p>
    <w:p w14:paraId="43FC385B" w14:textId="1233AC5F" w:rsidR="005D50CD" w:rsidRDefault="005D50CD" w:rsidP="00D503D5">
      <w:pPr>
        <w:spacing w:line="360" w:lineRule="auto"/>
        <w:rPr>
          <w:b/>
          <w:bCs/>
          <w:sz w:val="24"/>
          <w:szCs w:val="24"/>
        </w:rPr>
      </w:pPr>
      <w:r>
        <w:rPr>
          <w:b/>
          <w:bCs/>
          <w:sz w:val="24"/>
          <w:szCs w:val="24"/>
        </w:rPr>
        <w:t>Recommendations</w:t>
      </w:r>
    </w:p>
    <w:p w14:paraId="63687461" w14:textId="64BD77BC" w:rsidR="00F35FDA" w:rsidRDefault="00F35FDA" w:rsidP="00D503D5">
      <w:pPr>
        <w:spacing w:line="360" w:lineRule="auto"/>
        <w:rPr>
          <w:sz w:val="24"/>
          <w:szCs w:val="24"/>
        </w:rPr>
      </w:pPr>
      <w:r>
        <w:rPr>
          <w:sz w:val="24"/>
          <w:szCs w:val="24"/>
        </w:rPr>
        <w:t xml:space="preserve">According to Wakefield, Loken and Hornik (2010) campaigns should include key components of comprehensive approaches to improving population health behaviours, sufficient funding must be secured to require widespread exposure and campaign messages should be based on sound research of the target group and should be tested during campaign development. </w:t>
      </w:r>
    </w:p>
    <w:p w14:paraId="0A562B45" w14:textId="5038AB1A" w:rsidR="00FC7E0A" w:rsidRPr="00F35FDA" w:rsidRDefault="00C65ECF" w:rsidP="00D503D5">
      <w:pPr>
        <w:spacing w:line="360" w:lineRule="auto"/>
        <w:rPr>
          <w:sz w:val="24"/>
          <w:szCs w:val="24"/>
        </w:rPr>
      </w:pPr>
      <w:r>
        <w:rPr>
          <w:sz w:val="24"/>
          <w:szCs w:val="24"/>
        </w:rPr>
        <w:t xml:space="preserve">Public Health England (2017) believes that it has exceeds the governments standards in terms of delivery, leadership and strategy. It is stated that PHE operates in local, national and international political arenas, including the devolution of funding, functions and </w:t>
      </w:r>
      <w:r>
        <w:rPr>
          <w:sz w:val="24"/>
          <w:szCs w:val="24"/>
        </w:rPr>
        <w:lastRenderedPageBreak/>
        <w:t xml:space="preserve">services to the local level, reductions in national funding and for the local authority public health. With the previous accomplishments of PHE, it shows that in both health protection and improvement, with its goal of strong leadership being solid. In saying that, it was also stated that they need to improve on their development and change management processes, </w:t>
      </w:r>
      <w:r w:rsidR="00300454">
        <w:rPr>
          <w:sz w:val="24"/>
          <w:szCs w:val="24"/>
        </w:rPr>
        <w:t xml:space="preserve">their funding especially in areas of concern such as air pollution and to strengthen their national and international partnerships. </w:t>
      </w:r>
    </w:p>
    <w:p w14:paraId="5B7C8F0F" w14:textId="77777777" w:rsidR="00D90AE6" w:rsidRDefault="005D50CD" w:rsidP="00D503D5">
      <w:pPr>
        <w:spacing w:line="360" w:lineRule="auto"/>
        <w:rPr>
          <w:b/>
          <w:bCs/>
          <w:sz w:val="24"/>
          <w:szCs w:val="24"/>
        </w:rPr>
      </w:pPr>
      <w:r>
        <w:rPr>
          <w:b/>
          <w:bCs/>
          <w:sz w:val="24"/>
          <w:szCs w:val="24"/>
        </w:rPr>
        <w:t>Conclusion</w:t>
      </w:r>
    </w:p>
    <w:p w14:paraId="57C7CFE2" w14:textId="22EC0CF7" w:rsidR="00B46751" w:rsidRPr="00B46751" w:rsidRDefault="00D90AE6" w:rsidP="004C1233">
      <w:pPr>
        <w:spacing w:line="360" w:lineRule="auto"/>
        <w:rPr>
          <w:sz w:val="24"/>
          <w:szCs w:val="24"/>
        </w:rPr>
      </w:pPr>
      <w:r>
        <w:rPr>
          <w:sz w:val="24"/>
          <w:szCs w:val="24"/>
        </w:rPr>
        <w:t>T</w:t>
      </w:r>
      <w:r w:rsidR="00F35FDA">
        <w:rPr>
          <w:sz w:val="24"/>
          <w:szCs w:val="24"/>
        </w:rPr>
        <w:t>o conclude, this review looked at public health campaigns and</w:t>
      </w:r>
      <w:r w:rsidR="00A0746A">
        <w:rPr>
          <w:sz w:val="24"/>
          <w:szCs w:val="24"/>
        </w:rPr>
        <w:t xml:space="preserve"> discussed the approaches needed to design an effective campaign. When reviewing public health, there were different approaches needed to make a campaign successful which include different models which were related to behaviour change. </w:t>
      </w:r>
      <w:r w:rsidR="00C949BE">
        <w:rPr>
          <w:sz w:val="24"/>
          <w:szCs w:val="24"/>
        </w:rPr>
        <w:t>It was stated by</w:t>
      </w:r>
      <w:r w:rsidR="00C949BE">
        <w:rPr>
          <w:sz w:val="24"/>
          <w:szCs w:val="24"/>
        </w:rPr>
        <w:t xml:space="preserve"> the National Institute for Health and Care Excellence (2007)</w:t>
      </w:r>
      <w:r w:rsidR="00C949BE">
        <w:rPr>
          <w:sz w:val="24"/>
          <w:szCs w:val="24"/>
        </w:rPr>
        <w:t xml:space="preserve"> that behaviour is vital in changing </w:t>
      </w:r>
      <w:r w:rsidR="00B16C9C">
        <w:rPr>
          <w:sz w:val="24"/>
          <w:szCs w:val="24"/>
        </w:rPr>
        <w:t>individuals’</w:t>
      </w:r>
      <w:r w:rsidR="00C949BE">
        <w:rPr>
          <w:sz w:val="24"/>
          <w:szCs w:val="24"/>
        </w:rPr>
        <w:t xml:space="preserve"> attitudes and behaviour patterns towards health. </w:t>
      </w:r>
      <w:r w:rsidR="00B16C9C">
        <w:rPr>
          <w:sz w:val="24"/>
          <w:szCs w:val="24"/>
        </w:rPr>
        <w:t xml:space="preserve">There were two main models which were more commonly used in health campaigns which are the theory of planned behaviour and the health belief model. The TPB was criticised by Ajzen (2011) </w:t>
      </w:r>
      <w:r w:rsidR="00B16C9C">
        <w:rPr>
          <w:sz w:val="24"/>
          <w:szCs w:val="24"/>
        </w:rPr>
        <w:t>for being too ‘rational’ and not acknowledging cognitive and affective processes which are known to bias human judgements and behaviour</w:t>
      </w:r>
      <w:r w:rsidR="00B16C9C">
        <w:rPr>
          <w:sz w:val="24"/>
          <w:szCs w:val="24"/>
        </w:rPr>
        <w:t xml:space="preserve">. Similarly, the HBM was acknowledged for having a limitation of </w:t>
      </w:r>
      <w:r w:rsidR="00B16C9C">
        <w:rPr>
          <w:sz w:val="24"/>
          <w:szCs w:val="24"/>
        </w:rPr>
        <w:t>accounting for as much of the variance in individual’s health related behaviours as can be explained by their attitudes and beliefs</w:t>
      </w:r>
      <w:r w:rsidR="00B16C9C">
        <w:rPr>
          <w:sz w:val="24"/>
          <w:szCs w:val="24"/>
        </w:rPr>
        <w:t xml:space="preserve">. </w:t>
      </w:r>
      <w:r w:rsidR="004C1233">
        <w:rPr>
          <w:sz w:val="24"/>
          <w:szCs w:val="24"/>
        </w:rPr>
        <w:t xml:space="preserve">It was suggested by </w:t>
      </w:r>
      <w:r w:rsidR="004C1233">
        <w:rPr>
          <w:sz w:val="24"/>
          <w:szCs w:val="24"/>
        </w:rPr>
        <w:t xml:space="preserve">Randolph and Viswanath (2004) </w:t>
      </w:r>
      <w:r w:rsidR="004C1233">
        <w:rPr>
          <w:sz w:val="24"/>
          <w:szCs w:val="24"/>
        </w:rPr>
        <w:t>that t</w:t>
      </w:r>
      <w:r w:rsidR="004C1233">
        <w:rPr>
          <w:sz w:val="24"/>
          <w:szCs w:val="24"/>
        </w:rPr>
        <w:t xml:space="preserve">he theory-based campaigns are successful as they help to create appropriate message strategies, help choose the best approach to convey the messages and they help to choose the message for the campaigns. </w:t>
      </w:r>
      <w:r w:rsidR="004C1233">
        <w:rPr>
          <w:sz w:val="24"/>
          <w:szCs w:val="24"/>
        </w:rPr>
        <w:t xml:space="preserve">These successes can be seen in campaigns such as ACTIVE for LIFE and Stoptober which were released to help people lead healthier lives. </w:t>
      </w:r>
      <w:r w:rsidR="00B46751">
        <w:rPr>
          <w:sz w:val="24"/>
          <w:szCs w:val="24"/>
        </w:rPr>
        <w:t xml:space="preserve">The review can conclude that in order to have an effective campaign, the planning and research process is vital and </w:t>
      </w:r>
      <w:r w:rsidR="00B46751">
        <w:rPr>
          <w:sz w:val="24"/>
          <w:szCs w:val="24"/>
        </w:rPr>
        <w:t xml:space="preserve">campaigns should include key components of comprehensive approaches to improving population health behaviours, sufficient funding </w:t>
      </w:r>
      <w:r w:rsidR="00B46751">
        <w:rPr>
          <w:sz w:val="24"/>
          <w:szCs w:val="24"/>
        </w:rPr>
        <w:t xml:space="preserve">is needed </w:t>
      </w:r>
      <w:r w:rsidR="00B46751">
        <w:rPr>
          <w:sz w:val="24"/>
          <w:szCs w:val="24"/>
        </w:rPr>
        <w:t>and campaign messages should be based on sound research of the target group</w:t>
      </w:r>
      <w:r w:rsidR="00B46751">
        <w:rPr>
          <w:sz w:val="24"/>
          <w:szCs w:val="24"/>
        </w:rPr>
        <w:t xml:space="preserve">. </w:t>
      </w:r>
    </w:p>
    <w:p w14:paraId="21AE2D84" w14:textId="54F9B3E1" w:rsidR="00B16C9C" w:rsidRDefault="00061630" w:rsidP="00D503D5">
      <w:pPr>
        <w:spacing w:line="360" w:lineRule="auto"/>
        <w:rPr>
          <w:sz w:val="24"/>
          <w:szCs w:val="24"/>
        </w:rPr>
      </w:pPr>
      <w:r>
        <w:rPr>
          <w:sz w:val="24"/>
          <w:szCs w:val="24"/>
        </w:rPr>
        <w:br w:type="page"/>
      </w:r>
    </w:p>
    <w:p w14:paraId="02167A68" w14:textId="77777777" w:rsidR="0062138F" w:rsidRDefault="0062138F" w:rsidP="00D503D5">
      <w:pPr>
        <w:spacing w:line="360" w:lineRule="auto"/>
        <w:rPr>
          <w:sz w:val="24"/>
          <w:szCs w:val="24"/>
        </w:rPr>
      </w:pPr>
    </w:p>
    <w:p w14:paraId="786E9CD4" w14:textId="77777777" w:rsidR="007D3668" w:rsidRDefault="007D3668" w:rsidP="00D503D5">
      <w:pPr>
        <w:spacing w:line="360" w:lineRule="auto"/>
        <w:rPr>
          <w:sz w:val="24"/>
          <w:szCs w:val="24"/>
        </w:rPr>
      </w:pPr>
    </w:p>
    <w:p w14:paraId="71FCD8A3" w14:textId="79EF0DDA" w:rsidR="007D3668" w:rsidRDefault="007D3668" w:rsidP="00D503D5">
      <w:pPr>
        <w:spacing w:line="360" w:lineRule="auto"/>
        <w:rPr>
          <w:b/>
          <w:bCs/>
          <w:sz w:val="24"/>
          <w:szCs w:val="24"/>
        </w:rPr>
      </w:pPr>
      <w:r>
        <w:rPr>
          <w:b/>
          <w:bCs/>
          <w:sz w:val="24"/>
          <w:szCs w:val="24"/>
        </w:rPr>
        <w:t>References</w:t>
      </w:r>
    </w:p>
    <w:p w14:paraId="672F10C5" w14:textId="77777777" w:rsidR="004C4C18" w:rsidRPr="009C3F26" w:rsidRDefault="004C4C18" w:rsidP="004C4C18">
      <w:pPr>
        <w:spacing w:line="360" w:lineRule="auto"/>
        <w:rPr>
          <w:sz w:val="24"/>
          <w:szCs w:val="24"/>
        </w:rPr>
      </w:pPr>
      <w:r w:rsidRPr="009C3F26">
        <w:rPr>
          <w:sz w:val="24"/>
          <w:szCs w:val="24"/>
        </w:rPr>
        <w:t xml:space="preserve">Ajzen, I. 2011. The theory of planned behaviour; reactions and reflections. </w:t>
      </w:r>
      <w:r w:rsidRPr="009C3F26">
        <w:rPr>
          <w:i/>
          <w:iCs/>
          <w:sz w:val="24"/>
          <w:szCs w:val="24"/>
        </w:rPr>
        <w:t xml:space="preserve">Psychology and Health. </w:t>
      </w:r>
      <w:r w:rsidRPr="009C3F26">
        <w:rPr>
          <w:sz w:val="24"/>
          <w:szCs w:val="24"/>
        </w:rPr>
        <w:t>26 (9), pp 1113 – 1127</w:t>
      </w:r>
    </w:p>
    <w:p w14:paraId="13A34ECE" w14:textId="77777777" w:rsidR="004C4C18" w:rsidRPr="009C3F26" w:rsidRDefault="004C4C18" w:rsidP="004C4C18">
      <w:pPr>
        <w:spacing w:line="360" w:lineRule="auto"/>
        <w:rPr>
          <w:sz w:val="24"/>
          <w:szCs w:val="24"/>
        </w:rPr>
      </w:pPr>
      <w:r w:rsidRPr="009C3F26">
        <w:rPr>
          <w:sz w:val="24"/>
          <w:szCs w:val="24"/>
        </w:rPr>
        <w:t xml:space="preserve">Anderson, N., Bulatao, R. and Cohen, B. 2004. </w:t>
      </w:r>
      <w:r w:rsidRPr="009C3F26">
        <w:rPr>
          <w:i/>
          <w:iCs/>
          <w:sz w:val="24"/>
          <w:szCs w:val="24"/>
        </w:rPr>
        <w:t xml:space="preserve">Critical Perspectives on Racial and Ethnic Differences in Health in Late Life. </w:t>
      </w:r>
      <w:r w:rsidRPr="009C3F26">
        <w:rPr>
          <w:sz w:val="24"/>
          <w:szCs w:val="24"/>
        </w:rPr>
        <w:t>The National Academies Press | Washington.</w:t>
      </w:r>
    </w:p>
    <w:p w14:paraId="7B12E443" w14:textId="77777777" w:rsidR="004C4C18" w:rsidRPr="009C3F26" w:rsidRDefault="004C4C18" w:rsidP="004C4C18">
      <w:pPr>
        <w:spacing w:line="360" w:lineRule="auto"/>
        <w:rPr>
          <w:sz w:val="24"/>
          <w:szCs w:val="24"/>
        </w:rPr>
      </w:pPr>
      <w:r w:rsidRPr="009C3F26">
        <w:rPr>
          <w:sz w:val="24"/>
          <w:szCs w:val="24"/>
        </w:rPr>
        <w:t xml:space="preserve">Austrailian Institute of Primary Care. 2003. </w:t>
      </w:r>
      <w:r w:rsidRPr="009C3F26">
        <w:rPr>
          <w:i/>
          <w:iCs/>
          <w:sz w:val="24"/>
          <w:szCs w:val="24"/>
        </w:rPr>
        <w:t xml:space="preserve">Measuring health promotion impacts; A guide to impact evaluation in integrated health promotion. </w:t>
      </w:r>
      <w:r w:rsidRPr="009C3F26">
        <w:rPr>
          <w:sz w:val="24"/>
          <w:szCs w:val="24"/>
        </w:rPr>
        <w:t xml:space="preserve">[Online] Available at </w:t>
      </w:r>
      <w:hyperlink r:id="rId5" w:history="1">
        <w:r w:rsidRPr="009C3F26">
          <w:rPr>
            <w:rStyle w:val="Hyperlink"/>
            <w:color w:val="auto"/>
            <w:sz w:val="24"/>
            <w:szCs w:val="24"/>
            <w:u w:val="none"/>
          </w:rPr>
          <w:t>http://docs2.health.vic.gov.au/docs/doc/9CF1F628F2BE470FCA257A7F0022825E/$FILE/measuring_hp_impacts.pdf accessed January 2020</w:t>
        </w:r>
      </w:hyperlink>
    </w:p>
    <w:p w14:paraId="1ECBDDB8" w14:textId="77777777" w:rsidR="004C4C18" w:rsidRPr="009C3F26" w:rsidRDefault="004C4C18" w:rsidP="004C4C18">
      <w:pPr>
        <w:spacing w:line="360" w:lineRule="auto"/>
        <w:rPr>
          <w:sz w:val="24"/>
          <w:szCs w:val="24"/>
        </w:rPr>
      </w:pPr>
      <w:r w:rsidRPr="009C3F26">
        <w:rPr>
          <w:sz w:val="24"/>
          <w:szCs w:val="24"/>
        </w:rPr>
        <w:t xml:space="preserve">Brug, J., Tak, N. and Velde, S. 2011. Evaluation of nationwide health promotion campaigns in the Netherlands: an exploration of practices, wishes and opportunities. </w:t>
      </w:r>
      <w:r w:rsidRPr="009C3F26">
        <w:rPr>
          <w:i/>
          <w:iCs/>
          <w:sz w:val="24"/>
          <w:szCs w:val="24"/>
        </w:rPr>
        <w:t xml:space="preserve">Health Promotion International. </w:t>
      </w:r>
      <w:r w:rsidRPr="009C3F26">
        <w:rPr>
          <w:sz w:val="24"/>
          <w:szCs w:val="24"/>
        </w:rPr>
        <w:t>26 (2), 244-254</w:t>
      </w:r>
    </w:p>
    <w:p w14:paraId="0E05AD98" w14:textId="77777777" w:rsidR="004C4C18" w:rsidRPr="009C3F26" w:rsidRDefault="004C4C18" w:rsidP="004C4C18">
      <w:pPr>
        <w:spacing w:line="360" w:lineRule="auto"/>
        <w:rPr>
          <w:sz w:val="24"/>
          <w:szCs w:val="24"/>
        </w:rPr>
      </w:pPr>
      <w:r w:rsidRPr="009C3F26">
        <w:rPr>
          <w:sz w:val="24"/>
          <w:szCs w:val="24"/>
        </w:rPr>
        <w:t xml:space="preserve">Champion, V. and Skinner, C. 2008. The health belief model. </w:t>
      </w:r>
      <w:r w:rsidRPr="009C3F26">
        <w:rPr>
          <w:i/>
          <w:iCs/>
          <w:sz w:val="24"/>
          <w:szCs w:val="24"/>
        </w:rPr>
        <w:t xml:space="preserve">Health behaviour and health education: Theory, research, and practice. </w:t>
      </w:r>
      <w:r w:rsidRPr="009C3F26">
        <w:rPr>
          <w:sz w:val="24"/>
          <w:szCs w:val="24"/>
        </w:rPr>
        <w:t>4, pp 45 – 65</w:t>
      </w:r>
    </w:p>
    <w:p w14:paraId="0AE15A38" w14:textId="77777777" w:rsidR="004C4C18" w:rsidRPr="009C3F26" w:rsidRDefault="004C4C18" w:rsidP="004C4C18">
      <w:pPr>
        <w:spacing w:line="360" w:lineRule="auto"/>
        <w:rPr>
          <w:sz w:val="24"/>
          <w:szCs w:val="24"/>
        </w:rPr>
      </w:pPr>
      <w:r w:rsidRPr="009C3F26">
        <w:rPr>
          <w:sz w:val="24"/>
          <w:szCs w:val="24"/>
        </w:rPr>
        <w:t xml:space="preserve">Conner, M. and Norman, P. 2005. </w:t>
      </w:r>
      <w:r w:rsidRPr="009C3F26">
        <w:rPr>
          <w:i/>
          <w:iCs/>
          <w:sz w:val="24"/>
          <w:szCs w:val="24"/>
        </w:rPr>
        <w:t xml:space="preserve">Predicting Health Behaviour: Research and Practice with Social Cognition Models. </w:t>
      </w:r>
      <w:r w:rsidRPr="009C3F26">
        <w:rPr>
          <w:sz w:val="24"/>
          <w:szCs w:val="24"/>
        </w:rPr>
        <w:t>Second Edition. Open University Press | Berkshire</w:t>
      </w:r>
    </w:p>
    <w:p w14:paraId="024EBA17" w14:textId="77777777" w:rsidR="004C4C18" w:rsidRPr="009C3F26" w:rsidRDefault="004C4C18" w:rsidP="004C4C18">
      <w:pPr>
        <w:spacing w:line="360" w:lineRule="auto"/>
        <w:rPr>
          <w:sz w:val="24"/>
          <w:szCs w:val="24"/>
        </w:rPr>
      </w:pPr>
      <w:r w:rsidRPr="009C3F26">
        <w:rPr>
          <w:sz w:val="24"/>
          <w:szCs w:val="24"/>
        </w:rPr>
        <w:t xml:space="preserve">Davies, N. 2012. What are the ingredients of successful travel behavioural change campaigns? </w:t>
      </w:r>
      <w:r w:rsidRPr="009C3F26">
        <w:rPr>
          <w:i/>
          <w:iCs/>
          <w:sz w:val="24"/>
          <w:szCs w:val="24"/>
        </w:rPr>
        <w:t xml:space="preserve">Transport Policy. </w:t>
      </w:r>
      <w:r w:rsidRPr="009C3F26">
        <w:rPr>
          <w:sz w:val="24"/>
          <w:szCs w:val="24"/>
        </w:rPr>
        <w:t>24, pp 19-29</w:t>
      </w:r>
    </w:p>
    <w:p w14:paraId="2145AA1F" w14:textId="77777777" w:rsidR="004C4C18" w:rsidRPr="009C3F26" w:rsidRDefault="004C4C18" w:rsidP="004C4C18">
      <w:pPr>
        <w:spacing w:line="360" w:lineRule="auto"/>
        <w:rPr>
          <w:sz w:val="24"/>
          <w:szCs w:val="24"/>
        </w:rPr>
      </w:pPr>
      <w:r w:rsidRPr="009C3F26">
        <w:rPr>
          <w:sz w:val="24"/>
          <w:szCs w:val="24"/>
        </w:rPr>
        <w:t xml:space="preserve">Deshpande, S. 2009. Factors influencing healthy eating habits among college students: an application of the health belief model. </w:t>
      </w:r>
      <w:r w:rsidRPr="009C3F26">
        <w:rPr>
          <w:i/>
          <w:iCs/>
          <w:sz w:val="24"/>
          <w:szCs w:val="24"/>
        </w:rPr>
        <w:t xml:space="preserve">Health Marketing Quarterly. </w:t>
      </w:r>
      <w:r w:rsidRPr="009C3F26">
        <w:rPr>
          <w:sz w:val="24"/>
          <w:szCs w:val="24"/>
        </w:rPr>
        <w:t>26 (2), pp 145 – 164</w:t>
      </w:r>
    </w:p>
    <w:p w14:paraId="089C2FB9" w14:textId="77777777" w:rsidR="004C4C18" w:rsidRPr="009C3F26" w:rsidRDefault="004C4C18" w:rsidP="004C4C18">
      <w:pPr>
        <w:spacing w:line="360" w:lineRule="auto"/>
        <w:rPr>
          <w:sz w:val="24"/>
          <w:szCs w:val="24"/>
        </w:rPr>
      </w:pPr>
      <w:r w:rsidRPr="009C3F26">
        <w:rPr>
          <w:sz w:val="24"/>
          <w:szCs w:val="24"/>
        </w:rPr>
        <w:t xml:space="preserve">Fenn, K. and Byrne, M. 2013. The key principles of cognitive behavioural therapy. </w:t>
      </w:r>
      <w:r w:rsidRPr="009C3F26">
        <w:rPr>
          <w:i/>
          <w:iCs/>
          <w:sz w:val="24"/>
          <w:szCs w:val="24"/>
        </w:rPr>
        <w:t xml:space="preserve">Education and Inspiration for General Practice. </w:t>
      </w:r>
      <w:r w:rsidRPr="009C3F26">
        <w:rPr>
          <w:sz w:val="24"/>
          <w:szCs w:val="24"/>
        </w:rPr>
        <w:t>6 (9), pp 579 – 585</w:t>
      </w:r>
    </w:p>
    <w:p w14:paraId="6ADF891F" w14:textId="77777777" w:rsidR="004C4C18" w:rsidRPr="009C3F26" w:rsidRDefault="004C4C18" w:rsidP="004C4C18">
      <w:pPr>
        <w:spacing w:line="360" w:lineRule="auto"/>
        <w:rPr>
          <w:sz w:val="24"/>
          <w:szCs w:val="24"/>
        </w:rPr>
      </w:pPr>
      <w:r w:rsidRPr="009C3F26">
        <w:rPr>
          <w:sz w:val="24"/>
          <w:szCs w:val="24"/>
        </w:rPr>
        <w:t xml:space="preserve">Halpern, D., Bates, C., Muglan, G., Aldridge, A., Beales, G. and Heathfield, A. 2004. </w:t>
      </w:r>
      <w:r w:rsidRPr="009C3F26">
        <w:rPr>
          <w:i/>
          <w:iCs/>
          <w:sz w:val="24"/>
          <w:szCs w:val="24"/>
        </w:rPr>
        <w:t xml:space="preserve">Personal Responsibility and Changing Behaviour: the state of knowledge and its implication for public policy. </w:t>
      </w:r>
      <w:r w:rsidRPr="009C3F26">
        <w:rPr>
          <w:sz w:val="24"/>
          <w:szCs w:val="24"/>
        </w:rPr>
        <w:t xml:space="preserve">[Online] Available at </w:t>
      </w:r>
      <w:hyperlink r:id="rId6" w:history="1">
        <w:r w:rsidRPr="009C3F26">
          <w:rPr>
            <w:rStyle w:val="Hyperlink"/>
            <w:color w:val="auto"/>
            <w:sz w:val="24"/>
            <w:szCs w:val="24"/>
            <w:u w:val="none"/>
          </w:rPr>
          <w:t>https://webarchive.nationalarchives.gov.uk/+/http:/www.cabinetoffice.gov.uk/media/cabinetoffice/strategy/assets/pr2.pdf Accessed January 2020</w:t>
        </w:r>
      </w:hyperlink>
    </w:p>
    <w:p w14:paraId="1C9C5DF4" w14:textId="77777777" w:rsidR="004C4C18" w:rsidRPr="009C3F26" w:rsidRDefault="004C4C18" w:rsidP="004C4C18">
      <w:pPr>
        <w:spacing w:line="360" w:lineRule="auto"/>
        <w:rPr>
          <w:sz w:val="24"/>
          <w:szCs w:val="24"/>
        </w:rPr>
      </w:pPr>
      <w:r w:rsidRPr="009C3F26">
        <w:rPr>
          <w:sz w:val="24"/>
          <w:szCs w:val="24"/>
        </w:rPr>
        <w:t xml:space="preserve">Hardeman, W., Johnston, M., Johnston, D., Bonetti, D., Wareham, N. and Kinmonth, A. 2010. Application of the Theory of Planned Behaviour in Behaviour Change Interventions; A Systematic Review. </w:t>
      </w:r>
      <w:r w:rsidRPr="009C3F26">
        <w:rPr>
          <w:i/>
          <w:iCs/>
          <w:sz w:val="24"/>
          <w:szCs w:val="24"/>
        </w:rPr>
        <w:t xml:space="preserve">Psychology &amp; Health. </w:t>
      </w:r>
      <w:r w:rsidRPr="009C3F26">
        <w:rPr>
          <w:sz w:val="24"/>
          <w:szCs w:val="24"/>
        </w:rPr>
        <w:t>17, 123-158</w:t>
      </w:r>
    </w:p>
    <w:p w14:paraId="35CD1E80" w14:textId="77777777" w:rsidR="004C4C18" w:rsidRPr="009C3F26" w:rsidRDefault="004C4C18" w:rsidP="004C4C18">
      <w:pPr>
        <w:spacing w:line="360" w:lineRule="auto"/>
        <w:rPr>
          <w:sz w:val="24"/>
          <w:szCs w:val="24"/>
        </w:rPr>
      </w:pPr>
      <w:r w:rsidRPr="009C3F26">
        <w:rPr>
          <w:sz w:val="24"/>
          <w:szCs w:val="24"/>
        </w:rPr>
        <w:t xml:space="preserve">Health Development Agency. 2004. </w:t>
      </w:r>
      <w:r w:rsidRPr="009C3F26">
        <w:rPr>
          <w:i/>
          <w:iCs/>
          <w:sz w:val="24"/>
          <w:szCs w:val="24"/>
        </w:rPr>
        <w:t xml:space="preserve">The effectiveness of public health campaigns. </w:t>
      </w:r>
      <w:r w:rsidRPr="009C3F26">
        <w:rPr>
          <w:sz w:val="24"/>
          <w:szCs w:val="24"/>
        </w:rPr>
        <w:t xml:space="preserve">[Online] Available at </w:t>
      </w:r>
      <w:hyperlink r:id="rId7" w:history="1">
        <w:r w:rsidRPr="009C3F26">
          <w:rPr>
            <w:rStyle w:val="Hyperlink"/>
            <w:color w:val="auto"/>
            <w:sz w:val="24"/>
            <w:szCs w:val="24"/>
            <w:u w:val="none"/>
          </w:rPr>
          <w:t>http://www.emcdda.europa.eu/attachements.cfm/att_94034_EN_Effectiveness%20of%20Mass%20Media%20campaigns%20HDA.pdf</w:t>
        </w:r>
      </w:hyperlink>
      <w:r w:rsidRPr="009C3F26">
        <w:rPr>
          <w:sz w:val="24"/>
          <w:szCs w:val="24"/>
        </w:rPr>
        <w:t xml:space="preserve"> Accessed January 2020</w:t>
      </w:r>
    </w:p>
    <w:p w14:paraId="1917EB92" w14:textId="77777777" w:rsidR="004C4C18" w:rsidRPr="009C3F26" w:rsidRDefault="004C4C18" w:rsidP="004C4C18">
      <w:pPr>
        <w:spacing w:line="360" w:lineRule="auto"/>
        <w:rPr>
          <w:sz w:val="24"/>
          <w:szCs w:val="24"/>
        </w:rPr>
      </w:pPr>
      <w:r w:rsidRPr="009C3F26">
        <w:rPr>
          <w:sz w:val="24"/>
          <w:szCs w:val="24"/>
        </w:rPr>
        <w:t xml:space="preserve">Health Education England. 2020. </w:t>
      </w:r>
      <w:r w:rsidRPr="009C3F26">
        <w:rPr>
          <w:i/>
          <w:iCs/>
          <w:sz w:val="24"/>
          <w:szCs w:val="24"/>
        </w:rPr>
        <w:t xml:space="preserve">What is Public Health? </w:t>
      </w:r>
      <w:r w:rsidRPr="009C3F26">
        <w:rPr>
          <w:sz w:val="24"/>
          <w:szCs w:val="24"/>
        </w:rPr>
        <w:t xml:space="preserve">[Online] Available at </w:t>
      </w:r>
      <w:hyperlink r:id="rId8" w:history="1">
        <w:r w:rsidRPr="009C3F26">
          <w:rPr>
            <w:rStyle w:val="Hyperlink"/>
            <w:color w:val="auto"/>
            <w:sz w:val="24"/>
            <w:szCs w:val="24"/>
            <w:u w:val="none"/>
          </w:rPr>
          <w:t>https://www.healthcareers.nhs.uk/working-health/working-public-health/what-public-health Accessed January 2020</w:t>
        </w:r>
      </w:hyperlink>
    </w:p>
    <w:p w14:paraId="45B4F610" w14:textId="77777777" w:rsidR="004C4C18" w:rsidRPr="009C3F26" w:rsidRDefault="004C4C18" w:rsidP="004C4C18">
      <w:pPr>
        <w:spacing w:line="360" w:lineRule="auto"/>
        <w:rPr>
          <w:sz w:val="24"/>
          <w:szCs w:val="24"/>
        </w:rPr>
      </w:pPr>
      <w:r w:rsidRPr="009C3F26">
        <w:rPr>
          <w:sz w:val="24"/>
          <w:szCs w:val="24"/>
        </w:rPr>
        <w:t xml:space="preserve">Hsu, J., Zinzou, C., Parkhurst, J., N’Dour, M., Foyet, L. and Mueller, D. 2013. Comparative costs and cost-effectiveness of behavioural interventions as part of HIV prevention strategies. </w:t>
      </w:r>
      <w:r w:rsidRPr="009C3F26">
        <w:rPr>
          <w:i/>
          <w:iCs/>
          <w:sz w:val="24"/>
          <w:szCs w:val="24"/>
        </w:rPr>
        <w:t xml:space="preserve">Health Police and Planning. </w:t>
      </w:r>
      <w:r w:rsidRPr="009C3F26">
        <w:rPr>
          <w:sz w:val="24"/>
          <w:szCs w:val="24"/>
        </w:rPr>
        <w:t>28, pp 20 – 29</w:t>
      </w:r>
    </w:p>
    <w:p w14:paraId="4A509C3A" w14:textId="77777777" w:rsidR="004C4C18" w:rsidRPr="009C3F26" w:rsidRDefault="004C4C18" w:rsidP="004C4C18">
      <w:pPr>
        <w:spacing w:line="360" w:lineRule="auto"/>
        <w:rPr>
          <w:sz w:val="24"/>
          <w:szCs w:val="24"/>
        </w:rPr>
      </w:pPr>
      <w:r w:rsidRPr="009C3F26">
        <w:rPr>
          <w:sz w:val="24"/>
          <w:szCs w:val="24"/>
        </w:rPr>
        <w:t xml:space="preserve">Janz, N. and Becker, M. 1984. The Health Belief Model: A Decade Later. </w:t>
      </w:r>
      <w:r w:rsidRPr="009C3F26">
        <w:rPr>
          <w:i/>
          <w:iCs/>
          <w:sz w:val="24"/>
          <w:szCs w:val="24"/>
        </w:rPr>
        <w:t xml:space="preserve">Health Education Quarterly. </w:t>
      </w:r>
      <w:r w:rsidRPr="009C3F26">
        <w:rPr>
          <w:sz w:val="24"/>
          <w:szCs w:val="24"/>
        </w:rPr>
        <w:t>11, pp 1 – 47</w:t>
      </w:r>
    </w:p>
    <w:p w14:paraId="118643CD" w14:textId="77777777" w:rsidR="004C4C18" w:rsidRPr="009C3F26" w:rsidRDefault="004C4C18" w:rsidP="004C4C18">
      <w:pPr>
        <w:spacing w:line="360" w:lineRule="auto"/>
        <w:rPr>
          <w:sz w:val="24"/>
          <w:szCs w:val="24"/>
        </w:rPr>
      </w:pPr>
      <w:r w:rsidRPr="009C3F26">
        <w:rPr>
          <w:sz w:val="24"/>
          <w:szCs w:val="24"/>
        </w:rPr>
        <w:t xml:space="preserve">Johnston, K. and White, K. 2003. Bing-drinking: a test of the role of group norms in the theory of planned behaviour. </w:t>
      </w:r>
      <w:r w:rsidRPr="009C3F26">
        <w:rPr>
          <w:i/>
          <w:iCs/>
          <w:sz w:val="24"/>
          <w:szCs w:val="24"/>
        </w:rPr>
        <w:t xml:space="preserve">Psychology and Health. </w:t>
      </w:r>
      <w:r w:rsidRPr="009C3F26">
        <w:rPr>
          <w:sz w:val="24"/>
          <w:szCs w:val="24"/>
        </w:rPr>
        <w:t xml:space="preserve">18, pp 63 – 77 </w:t>
      </w:r>
    </w:p>
    <w:p w14:paraId="66E3C412" w14:textId="77777777" w:rsidR="004C4C18" w:rsidRPr="009C3F26" w:rsidRDefault="004C4C18" w:rsidP="004C4C18">
      <w:pPr>
        <w:spacing w:line="360" w:lineRule="auto"/>
        <w:rPr>
          <w:sz w:val="24"/>
          <w:szCs w:val="24"/>
        </w:rPr>
      </w:pPr>
      <w:r w:rsidRPr="009C3F26">
        <w:rPr>
          <w:sz w:val="24"/>
          <w:szCs w:val="24"/>
        </w:rPr>
        <w:t>Johnston, K. and White, K. 2003. Binge-drinkning: A test of the role of group norms in the theory of planned beh</w:t>
      </w:r>
    </w:p>
    <w:p w14:paraId="4AE5D402" w14:textId="77777777" w:rsidR="004C4C18" w:rsidRPr="009C3F26" w:rsidRDefault="004C4C18" w:rsidP="004C4C18">
      <w:pPr>
        <w:spacing w:line="360" w:lineRule="auto"/>
        <w:rPr>
          <w:sz w:val="24"/>
          <w:szCs w:val="24"/>
        </w:rPr>
      </w:pPr>
      <w:r w:rsidRPr="009C3F26">
        <w:rPr>
          <w:sz w:val="24"/>
          <w:szCs w:val="24"/>
        </w:rPr>
        <w:t xml:space="preserve">Jones, C., Jensen, J. and Weaver, J. 2015. The Health Belief Model as an Explanatory Framework in Communication Research: Exploring Parallel, Serial, and Moderated Mediation. </w:t>
      </w:r>
      <w:r w:rsidRPr="009C3F26">
        <w:rPr>
          <w:i/>
          <w:iCs/>
          <w:sz w:val="24"/>
          <w:szCs w:val="24"/>
        </w:rPr>
        <w:t xml:space="preserve">Health Communication. </w:t>
      </w:r>
      <w:r w:rsidRPr="009C3F26">
        <w:rPr>
          <w:sz w:val="24"/>
          <w:szCs w:val="24"/>
        </w:rPr>
        <w:t>30 (6), pp 566 – 576</w:t>
      </w:r>
    </w:p>
    <w:p w14:paraId="6E033906" w14:textId="77777777" w:rsidR="004C4C18" w:rsidRPr="009C3F26" w:rsidRDefault="004C4C18" w:rsidP="004C4C18">
      <w:pPr>
        <w:spacing w:line="360" w:lineRule="auto"/>
        <w:rPr>
          <w:sz w:val="24"/>
          <w:szCs w:val="24"/>
        </w:rPr>
      </w:pPr>
      <w:r w:rsidRPr="009C3F26">
        <w:rPr>
          <w:sz w:val="24"/>
          <w:szCs w:val="24"/>
        </w:rPr>
        <w:t xml:space="preserve">Mahoney, C. 2015. </w:t>
      </w:r>
      <w:r w:rsidRPr="009C3F26">
        <w:rPr>
          <w:i/>
          <w:iCs/>
          <w:sz w:val="24"/>
          <w:szCs w:val="24"/>
        </w:rPr>
        <w:t xml:space="preserve">The BMJ Today: Are public health campaigns a waste of money? </w:t>
      </w:r>
      <w:r w:rsidRPr="009C3F26">
        <w:rPr>
          <w:sz w:val="24"/>
          <w:szCs w:val="24"/>
        </w:rPr>
        <w:t xml:space="preserve">[Online] Available </w:t>
      </w:r>
      <w:hyperlink r:id="rId9" w:history="1">
        <w:r w:rsidRPr="009C3F26">
          <w:rPr>
            <w:rStyle w:val="Hyperlink"/>
            <w:color w:val="auto"/>
            <w:sz w:val="24"/>
            <w:szCs w:val="24"/>
            <w:u w:val="none"/>
          </w:rPr>
          <w:t>https://blogs.bmj.com/bmj/2015/01/30/the-bmj-today-are-public-health-campaigns-a-waste-of-money/</w:t>
        </w:r>
      </w:hyperlink>
      <w:r w:rsidRPr="009C3F26">
        <w:rPr>
          <w:sz w:val="24"/>
          <w:szCs w:val="24"/>
        </w:rPr>
        <w:t xml:space="preserve"> Accessed January 2020</w:t>
      </w:r>
    </w:p>
    <w:p w14:paraId="0CAF9564" w14:textId="77777777" w:rsidR="004C4C18" w:rsidRPr="009C3F26" w:rsidRDefault="004C4C18" w:rsidP="004C4C18">
      <w:pPr>
        <w:spacing w:line="360" w:lineRule="auto"/>
        <w:rPr>
          <w:sz w:val="24"/>
          <w:szCs w:val="24"/>
        </w:rPr>
      </w:pPr>
      <w:r w:rsidRPr="009C3F26">
        <w:rPr>
          <w:sz w:val="24"/>
          <w:szCs w:val="24"/>
        </w:rPr>
        <w:lastRenderedPageBreak/>
        <w:t xml:space="preserve">Montanaro, E. and Bryan, A. 2014. Comparing theory-based condom intervention: health belief model versus theory of planned behaviour. </w:t>
      </w:r>
      <w:r w:rsidRPr="009C3F26">
        <w:rPr>
          <w:i/>
          <w:iCs/>
          <w:sz w:val="24"/>
          <w:szCs w:val="24"/>
        </w:rPr>
        <w:t xml:space="preserve">Health Psychology. </w:t>
      </w:r>
      <w:r w:rsidRPr="009C3F26">
        <w:rPr>
          <w:sz w:val="24"/>
          <w:szCs w:val="24"/>
        </w:rPr>
        <w:t>33 (10), pp 1251 – 1260</w:t>
      </w:r>
    </w:p>
    <w:p w14:paraId="4702DAB2" w14:textId="77777777" w:rsidR="004C4C18" w:rsidRPr="009C3F26" w:rsidRDefault="004C4C18" w:rsidP="004C4C18">
      <w:pPr>
        <w:spacing w:line="360" w:lineRule="auto"/>
        <w:rPr>
          <w:sz w:val="24"/>
          <w:szCs w:val="24"/>
        </w:rPr>
      </w:pPr>
      <w:r w:rsidRPr="009C3F26">
        <w:rPr>
          <w:sz w:val="24"/>
          <w:szCs w:val="24"/>
        </w:rPr>
        <w:t xml:space="preserve">National Health Service. 2020. </w:t>
      </w:r>
      <w:r w:rsidRPr="009C3F26">
        <w:rPr>
          <w:i/>
          <w:iCs/>
          <w:sz w:val="24"/>
          <w:szCs w:val="24"/>
        </w:rPr>
        <w:t xml:space="preserve">Cognitive Behavioural Therapy. </w:t>
      </w:r>
      <w:r w:rsidRPr="009C3F26">
        <w:rPr>
          <w:sz w:val="24"/>
          <w:szCs w:val="24"/>
        </w:rPr>
        <w:t xml:space="preserve">[Online] Available at </w:t>
      </w:r>
      <w:hyperlink r:id="rId10" w:history="1">
        <w:r w:rsidRPr="009C3F26">
          <w:rPr>
            <w:rStyle w:val="Hyperlink"/>
            <w:color w:val="auto"/>
            <w:sz w:val="24"/>
            <w:szCs w:val="24"/>
            <w:u w:val="none"/>
          </w:rPr>
          <w:t>https://www.nhs.uk/conditions/cognitive-behavioural-therapy-cbt/</w:t>
        </w:r>
      </w:hyperlink>
      <w:r w:rsidRPr="009C3F26">
        <w:rPr>
          <w:sz w:val="24"/>
          <w:szCs w:val="24"/>
        </w:rPr>
        <w:t xml:space="preserve"> Accessed January 2020</w:t>
      </w:r>
    </w:p>
    <w:p w14:paraId="538CAF70" w14:textId="77777777" w:rsidR="004C4C18" w:rsidRPr="009C3F26" w:rsidRDefault="004C4C18" w:rsidP="004C4C18">
      <w:pPr>
        <w:spacing w:line="360" w:lineRule="auto"/>
        <w:rPr>
          <w:sz w:val="24"/>
          <w:szCs w:val="24"/>
        </w:rPr>
      </w:pPr>
      <w:r w:rsidRPr="009C3F26">
        <w:rPr>
          <w:sz w:val="24"/>
          <w:szCs w:val="24"/>
        </w:rPr>
        <w:t xml:space="preserve">National Institute for Health and Care Excellence. 2007. </w:t>
      </w:r>
      <w:r w:rsidRPr="009C3F26">
        <w:rPr>
          <w:i/>
          <w:iCs/>
          <w:sz w:val="24"/>
          <w:szCs w:val="24"/>
        </w:rPr>
        <w:t xml:space="preserve">Behaviour change: general approaches. Public health guideline. </w:t>
      </w:r>
      <w:r w:rsidRPr="009C3F26">
        <w:rPr>
          <w:sz w:val="24"/>
          <w:szCs w:val="24"/>
        </w:rPr>
        <w:t xml:space="preserve">[Online] Available at </w:t>
      </w:r>
      <w:hyperlink r:id="rId11" w:history="1">
        <w:r w:rsidRPr="009C3F26">
          <w:rPr>
            <w:rStyle w:val="Hyperlink"/>
            <w:color w:val="auto"/>
            <w:sz w:val="24"/>
            <w:szCs w:val="24"/>
            <w:u w:val="none"/>
          </w:rPr>
          <w:t>https://www.nice.org.uk/guidance/ph6/chapter/1-Public-health-need-and-practice Accessed January 2020</w:t>
        </w:r>
      </w:hyperlink>
    </w:p>
    <w:p w14:paraId="57332E2F" w14:textId="77777777" w:rsidR="004C4C18" w:rsidRPr="009C3F26" w:rsidRDefault="004C4C18" w:rsidP="004C4C18">
      <w:pPr>
        <w:spacing w:line="360" w:lineRule="auto"/>
        <w:rPr>
          <w:sz w:val="24"/>
          <w:szCs w:val="24"/>
        </w:rPr>
      </w:pPr>
      <w:r w:rsidRPr="009C3F26">
        <w:rPr>
          <w:sz w:val="24"/>
          <w:szCs w:val="24"/>
        </w:rPr>
        <w:t xml:space="preserve">Nejad, L., Wertheim, E. and Greenwood, L. 2005. Comparison of the Health Belief Model and the Theory of Planned Behaviour in the Prediction of Dieting and Fasting Behaviour. </w:t>
      </w:r>
      <w:r w:rsidRPr="009C3F26">
        <w:rPr>
          <w:i/>
          <w:iCs/>
          <w:sz w:val="24"/>
          <w:szCs w:val="24"/>
        </w:rPr>
        <w:t xml:space="preserve">E-Journal of Applied Psychology. </w:t>
      </w:r>
      <w:r w:rsidRPr="009C3F26">
        <w:rPr>
          <w:sz w:val="24"/>
          <w:szCs w:val="24"/>
        </w:rPr>
        <w:t>1, pp 63 – 74</w:t>
      </w:r>
    </w:p>
    <w:p w14:paraId="617F9A63" w14:textId="77777777" w:rsidR="004C4C18" w:rsidRPr="009C3F26" w:rsidRDefault="004C4C18" w:rsidP="004C4C18">
      <w:pPr>
        <w:spacing w:line="360" w:lineRule="auto"/>
        <w:rPr>
          <w:sz w:val="24"/>
          <w:szCs w:val="24"/>
        </w:rPr>
      </w:pPr>
      <w:r w:rsidRPr="009C3F26">
        <w:rPr>
          <w:sz w:val="24"/>
          <w:szCs w:val="24"/>
        </w:rPr>
        <w:t xml:space="preserve">Parvanta, C., Nelson, D., Parvanta, S. and Harner, R. 2011. </w:t>
      </w:r>
      <w:r w:rsidRPr="009C3F26">
        <w:rPr>
          <w:i/>
          <w:iCs/>
          <w:sz w:val="24"/>
          <w:szCs w:val="24"/>
        </w:rPr>
        <w:t xml:space="preserve">Essentials of Public Health Communication. </w:t>
      </w:r>
      <w:r w:rsidRPr="009C3F26">
        <w:rPr>
          <w:sz w:val="24"/>
          <w:szCs w:val="24"/>
        </w:rPr>
        <w:t>London | Jones &amp; Bartlett Learning</w:t>
      </w:r>
    </w:p>
    <w:p w14:paraId="7752B595" w14:textId="77777777" w:rsidR="004C4C18" w:rsidRPr="009C3F26" w:rsidRDefault="004C4C18" w:rsidP="004C4C18">
      <w:pPr>
        <w:spacing w:line="360" w:lineRule="auto"/>
        <w:rPr>
          <w:sz w:val="24"/>
          <w:szCs w:val="24"/>
        </w:rPr>
      </w:pPr>
      <w:r w:rsidRPr="009C3F26">
        <w:rPr>
          <w:sz w:val="24"/>
          <w:szCs w:val="24"/>
        </w:rPr>
        <w:t xml:space="preserve">Public Health England. 2017. </w:t>
      </w:r>
      <w:r w:rsidRPr="009C3F26">
        <w:rPr>
          <w:i/>
          <w:iCs/>
          <w:sz w:val="24"/>
          <w:szCs w:val="24"/>
        </w:rPr>
        <w:t xml:space="preserve">Evaluation and Recommendations. </w:t>
      </w:r>
      <w:r w:rsidRPr="009C3F26">
        <w:rPr>
          <w:sz w:val="24"/>
          <w:szCs w:val="24"/>
        </w:rPr>
        <w:t xml:space="preserve">[Online] Available at </w:t>
      </w:r>
      <w:hyperlink r:id="rId12" w:history="1">
        <w:r w:rsidRPr="009C3F26">
          <w:rPr>
            <w:rStyle w:val="Hyperlink"/>
            <w:color w:val="auto"/>
            <w:sz w:val="24"/>
            <w:szCs w:val="24"/>
            <w:u w:val="none"/>
          </w:rPr>
          <w:t>https://assets.publishing.service.gov.uk/government/uploads/system/uploads/attachment_data/file/661350/PHE-Evaluation_and_Recommendations.pdf Accessed January 2020</w:t>
        </w:r>
      </w:hyperlink>
    </w:p>
    <w:p w14:paraId="3B0D0B5E" w14:textId="77777777" w:rsidR="004C4C18" w:rsidRPr="009C3F26" w:rsidRDefault="004C4C18" w:rsidP="004C4C18">
      <w:pPr>
        <w:spacing w:line="360" w:lineRule="auto"/>
        <w:rPr>
          <w:sz w:val="24"/>
          <w:szCs w:val="24"/>
        </w:rPr>
      </w:pPr>
      <w:r w:rsidRPr="009C3F26">
        <w:rPr>
          <w:sz w:val="24"/>
          <w:szCs w:val="24"/>
        </w:rPr>
        <w:t xml:space="preserve">Public Health England. 2020. </w:t>
      </w:r>
      <w:r w:rsidRPr="009C3F26">
        <w:rPr>
          <w:i/>
          <w:iCs/>
          <w:sz w:val="24"/>
          <w:szCs w:val="24"/>
        </w:rPr>
        <w:t xml:space="preserve">Social Marketing Strategy 2017 to 2020. </w:t>
      </w:r>
      <w:r w:rsidRPr="009C3F26">
        <w:rPr>
          <w:sz w:val="24"/>
          <w:szCs w:val="24"/>
        </w:rPr>
        <w:t xml:space="preserve">[Online] Available at </w:t>
      </w:r>
      <w:hyperlink r:id="rId13" w:history="1">
        <w:r w:rsidRPr="009C3F26">
          <w:rPr>
            <w:rStyle w:val="Hyperlink"/>
            <w:color w:val="auto"/>
            <w:sz w:val="24"/>
            <w:szCs w:val="24"/>
            <w:u w:val="none"/>
          </w:rPr>
          <w:t>https://assets.publishing.service.gov.uk/government/uploads/system/uploads/attachment_data/file/646715/public_health_england_marketing_strategy_2017_to_2020.pdf Accessed January 2020</w:t>
        </w:r>
      </w:hyperlink>
    </w:p>
    <w:p w14:paraId="7E79E0E6" w14:textId="77777777" w:rsidR="004C4C18" w:rsidRPr="009C3F26" w:rsidRDefault="004C4C18" w:rsidP="004C4C18">
      <w:pPr>
        <w:spacing w:line="360" w:lineRule="auto"/>
        <w:rPr>
          <w:sz w:val="24"/>
          <w:szCs w:val="24"/>
        </w:rPr>
      </w:pPr>
      <w:r w:rsidRPr="009C3F26">
        <w:rPr>
          <w:sz w:val="24"/>
          <w:szCs w:val="24"/>
        </w:rPr>
        <w:t xml:space="preserve">Public Health England. 2020. </w:t>
      </w:r>
      <w:r w:rsidRPr="009C3F26">
        <w:rPr>
          <w:i/>
          <w:iCs/>
          <w:sz w:val="24"/>
          <w:szCs w:val="24"/>
        </w:rPr>
        <w:t xml:space="preserve">Stoptober. </w:t>
      </w:r>
      <w:r w:rsidRPr="009C3F26">
        <w:rPr>
          <w:sz w:val="24"/>
          <w:szCs w:val="24"/>
        </w:rPr>
        <w:t>[Online] Available at https://campaignresources.phe.gov.uk/resources/campaigns/6-stoptober/overview</w:t>
      </w:r>
      <w:r w:rsidRPr="009C3F26">
        <w:rPr>
          <w:sz w:val="24"/>
          <w:szCs w:val="24"/>
        </w:rPr>
        <w:cr/>
        <w:t xml:space="preserve"> Accessed January 2020</w:t>
      </w:r>
    </w:p>
    <w:p w14:paraId="24B5C9E6" w14:textId="77777777" w:rsidR="004C4C18" w:rsidRPr="009C3F26" w:rsidRDefault="004C4C18" w:rsidP="004C4C18">
      <w:pPr>
        <w:spacing w:line="360" w:lineRule="auto"/>
        <w:rPr>
          <w:sz w:val="24"/>
          <w:szCs w:val="24"/>
        </w:rPr>
      </w:pPr>
      <w:r w:rsidRPr="009C3F26">
        <w:rPr>
          <w:sz w:val="24"/>
          <w:szCs w:val="24"/>
        </w:rPr>
        <w:t xml:space="preserve">Public Health Network Cymru. 2020. </w:t>
      </w:r>
      <w:r w:rsidRPr="009C3F26">
        <w:rPr>
          <w:i/>
          <w:iCs/>
          <w:sz w:val="24"/>
          <w:szCs w:val="24"/>
        </w:rPr>
        <w:t xml:space="preserve">Behaviour Change. </w:t>
      </w:r>
      <w:r w:rsidRPr="009C3F26">
        <w:rPr>
          <w:sz w:val="24"/>
          <w:szCs w:val="24"/>
        </w:rPr>
        <w:t xml:space="preserve">[Online] Available at </w:t>
      </w:r>
      <w:hyperlink r:id="rId14" w:history="1">
        <w:r w:rsidRPr="009C3F26">
          <w:rPr>
            <w:rStyle w:val="Hyperlink"/>
            <w:color w:val="auto"/>
            <w:sz w:val="24"/>
            <w:szCs w:val="24"/>
            <w:u w:val="none"/>
          </w:rPr>
          <w:t>https://www.publichealthnetwork.cymru/en/social-determinants/lifestyle/behaviour-change/</w:t>
        </w:r>
      </w:hyperlink>
      <w:r w:rsidRPr="009C3F26">
        <w:rPr>
          <w:sz w:val="24"/>
          <w:szCs w:val="24"/>
        </w:rPr>
        <w:t xml:space="preserve"> Accessed January 2020</w:t>
      </w:r>
    </w:p>
    <w:p w14:paraId="6D0F3739" w14:textId="77777777" w:rsidR="004C4C18" w:rsidRPr="009C3F26" w:rsidRDefault="004C4C18" w:rsidP="004C4C18">
      <w:pPr>
        <w:spacing w:line="360" w:lineRule="auto"/>
        <w:rPr>
          <w:sz w:val="24"/>
          <w:szCs w:val="24"/>
        </w:rPr>
      </w:pPr>
      <w:r w:rsidRPr="009C3F26">
        <w:rPr>
          <w:sz w:val="24"/>
          <w:szCs w:val="24"/>
        </w:rPr>
        <w:lastRenderedPageBreak/>
        <w:t xml:space="preserve">Randolph, W. and Viswanath, K. 2004. Lessons learned from the Public Health Mass Media Campaigns: Marketing Health in a Crowded Media World. </w:t>
      </w:r>
      <w:r w:rsidRPr="009C3F26">
        <w:rPr>
          <w:i/>
          <w:iCs/>
          <w:sz w:val="24"/>
          <w:szCs w:val="24"/>
        </w:rPr>
        <w:t xml:space="preserve">Ann Rev Public Health. </w:t>
      </w:r>
      <w:r w:rsidRPr="009C3F26">
        <w:rPr>
          <w:sz w:val="24"/>
          <w:szCs w:val="24"/>
        </w:rPr>
        <w:t>25, pp 419 – 437</w:t>
      </w:r>
    </w:p>
    <w:p w14:paraId="7BC66829" w14:textId="77777777" w:rsidR="004C4C18" w:rsidRPr="009C3F26" w:rsidRDefault="004C4C18" w:rsidP="004C4C18">
      <w:pPr>
        <w:spacing w:line="360" w:lineRule="auto"/>
        <w:rPr>
          <w:sz w:val="24"/>
          <w:szCs w:val="24"/>
        </w:rPr>
      </w:pPr>
      <w:r w:rsidRPr="009C3F26">
        <w:rPr>
          <w:sz w:val="24"/>
          <w:szCs w:val="24"/>
        </w:rPr>
        <w:t xml:space="preserve">Rice, R. and Atkin, C. 2001. </w:t>
      </w:r>
      <w:r w:rsidRPr="009C3F26">
        <w:rPr>
          <w:i/>
          <w:iCs/>
          <w:sz w:val="24"/>
          <w:szCs w:val="24"/>
        </w:rPr>
        <w:t xml:space="preserve">Public Communication Campaigns. </w:t>
      </w:r>
      <w:r w:rsidRPr="009C3F26">
        <w:rPr>
          <w:sz w:val="24"/>
          <w:szCs w:val="24"/>
        </w:rPr>
        <w:t>Third Edition. London | Sage Publications.</w:t>
      </w:r>
    </w:p>
    <w:p w14:paraId="0596E0D0" w14:textId="77777777" w:rsidR="004C4C18" w:rsidRPr="009C3F26" w:rsidRDefault="004C4C18" w:rsidP="004C4C18">
      <w:pPr>
        <w:spacing w:line="360" w:lineRule="auto"/>
        <w:rPr>
          <w:sz w:val="24"/>
          <w:szCs w:val="24"/>
        </w:rPr>
      </w:pPr>
      <w:r w:rsidRPr="009C3F26">
        <w:rPr>
          <w:sz w:val="24"/>
          <w:szCs w:val="24"/>
        </w:rPr>
        <w:t xml:space="preserve">Robertson, R. 2008. </w:t>
      </w:r>
      <w:r w:rsidRPr="009C3F26">
        <w:rPr>
          <w:i/>
          <w:iCs/>
          <w:sz w:val="24"/>
          <w:szCs w:val="24"/>
        </w:rPr>
        <w:t xml:space="preserve">Using information to promote healthy behaviours. </w:t>
      </w:r>
      <w:r w:rsidRPr="009C3F26">
        <w:rPr>
          <w:sz w:val="24"/>
          <w:szCs w:val="24"/>
        </w:rPr>
        <w:t xml:space="preserve">[Online] Available at </w:t>
      </w:r>
      <w:hyperlink r:id="rId15" w:history="1">
        <w:r w:rsidRPr="009C3F26">
          <w:rPr>
            <w:rStyle w:val="Hyperlink"/>
            <w:color w:val="auto"/>
            <w:sz w:val="24"/>
            <w:szCs w:val="24"/>
            <w:u w:val="none"/>
          </w:rPr>
          <w:t>https://www.kingsfund.org.uk/sites/default/files/KBH_Using_info.pdf Accessed January 2020</w:t>
        </w:r>
      </w:hyperlink>
    </w:p>
    <w:p w14:paraId="083B3F0B" w14:textId="77777777" w:rsidR="004C4C18" w:rsidRPr="009C3F26" w:rsidRDefault="004C4C18" w:rsidP="004C4C18">
      <w:pPr>
        <w:spacing w:line="360" w:lineRule="auto"/>
        <w:rPr>
          <w:sz w:val="24"/>
          <w:szCs w:val="24"/>
        </w:rPr>
      </w:pPr>
      <w:r w:rsidRPr="009C3F26">
        <w:rPr>
          <w:sz w:val="24"/>
          <w:szCs w:val="24"/>
        </w:rPr>
        <w:t xml:space="preserve">Scott, J., Paykel, E., Morris, R., Bentall, R., Kinderman P., Johnson, T. and Hayhurst, H. 2006. Cognitive-behavioural therapy for severe and recurrent bipolar disorders: randomised controlled trial. </w:t>
      </w:r>
      <w:r w:rsidRPr="009C3F26">
        <w:rPr>
          <w:i/>
          <w:iCs/>
          <w:sz w:val="24"/>
          <w:szCs w:val="24"/>
        </w:rPr>
        <w:t xml:space="preserve">British Journal of Psychiatry. </w:t>
      </w:r>
      <w:r w:rsidRPr="009C3F26">
        <w:rPr>
          <w:sz w:val="24"/>
          <w:szCs w:val="24"/>
        </w:rPr>
        <w:t>188, pp 313 – 320</w:t>
      </w:r>
    </w:p>
    <w:p w14:paraId="63EE344E" w14:textId="77777777" w:rsidR="004C4C18" w:rsidRPr="009C3F26" w:rsidRDefault="004C4C18" w:rsidP="004C4C18">
      <w:pPr>
        <w:spacing w:line="360" w:lineRule="auto"/>
        <w:rPr>
          <w:sz w:val="24"/>
          <w:szCs w:val="24"/>
        </w:rPr>
      </w:pPr>
      <w:r w:rsidRPr="009C3F26">
        <w:rPr>
          <w:sz w:val="24"/>
          <w:szCs w:val="24"/>
        </w:rPr>
        <w:t xml:space="preserve">Simsekoglu, O. and Lajunen, T. 2008. Social psychology of seat of belt use; a comparison of theory of planned behaviour and health belief model. </w:t>
      </w:r>
      <w:r w:rsidRPr="009C3F26">
        <w:rPr>
          <w:i/>
          <w:iCs/>
          <w:sz w:val="24"/>
          <w:szCs w:val="24"/>
        </w:rPr>
        <w:t xml:space="preserve">Transportation Research. </w:t>
      </w:r>
      <w:r w:rsidRPr="009C3F26">
        <w:rPr>
          <w:sz w:val="24"/>
          <w:szCs w:val="24"/>
        </w:rPr>
        <w:t>11, pp 181 – 191</w:t>
      </w:r>
    </w:p>
    <w:p w14:paraId="44596DBA" w14:textId="77777777" w:rsidR="004C4C18" w:rsidRPr="009C3F26" w:rsidRDefault="004C4C18" w:rsidP="004C4C18">
      <w:pPr>
        <w:spacing w:line="360" w:lineRule="auto"/>
        <w:rPr>
          <w:sz w:val="24"/>
          <w:szCs w:val="24"/>
        </w:rPr>
      </w:pPr>
      <w:r w:rsidRPr="009C3F26">
        <w:rPr>
          <w:sz w:val="24"/>
          <w:szCs w:val="24"/>
        </w:rPr>
        <w:t xml:space="preserve">Springston, J. 2005. Public health campaigns. </w:t>
      </w:r>
      <w:r w:rsidRPr="009C3F26">
        <w:rPr>
          <w:i/>
          <w:iCs/>
          <w:sz w:val="24"/>
          <w:szCs w:val="24"/>
        </w:rPr>
        <w:t xml:space="preserve">Encyclopaedia of Public Relations. </w:t>
      </w:r>
      <w:r w:rsidRPr="009C3F26">
        <w:rPr>
          <w:sz w:val="24"/>
          <w:szCs w:val="24"/>
        </w:rPr>
        <w:t>1, pp 670 – 673</w:t>
      </w:r>
    </w:p>
    <w:p w14:paraId="35D346CC" w14:textId="77777777" w:rsidR="004C4C18" w:rsidRPr="009C3F26" w:rsidRDefault="004C4C18" w:rsidP="004C4C18">
      <w:pPr>
        <w:spacing w:line="360" w:lineRule="auto"/>
        <w:rPr>
          <w:sz w:val="24"/>
          <w:szCs w:val="24"/>
        </w:rPr>
      </w:pPr>
      <w:r w:rsidRPr="009C3F26">
        <w:rPr>
          <w:sz w:val="24"/>
          <w:szCs w:val="24"/>
        </w:rPr>
        <w:t xml:space="preserve">Stead, M., Tagg, S., MacKintosh, A. and Eadie, D. 2004. Development and evaluation of a mass media theory of planned behaviour intervention to reduce speeding. </w:t>
      </w:r>
      <w:r w:rsidRPr="009C3F26">
        <w:rPr>
          <w:i/>
          <w:iCs/>
          <w:sz w:val="24"/>
          <w:szCs w:val="24"/>
        </w:rPr>
        <w:t xml:space="preserve">Health Education Research. </w:t>
      </w:r>
      <w:r w:rsidRPr="009C3F26">
        <w:rPr>
          <w:sz w:val="24"/>
          <w:szCs w:val="24"/>
        </w:rPr>
        <w:t xml:space="preserve">20, pp 36 – 50 </w:t>
      </w:r>
    </w:p>
    <w:p w14:paraId="054FCBDE" w14:textId="77777777" w:rsidR="004C4C18" w:rsidRPr="009C3F26" w:rsidRDefault="004C4C18" w:rsidP="004C4C18">
      <w:pPr>
        <w:spacing w:line="360" w:lineRule="auto"/>
        <w:rPr>
          <w:sz w:val="24"/>
          <w:szCs w:val="24"/>
        </w:rPr>
      </w:pPr>
      <w:r w:rsidRPr="009C3F26">
        <w:rPr>
          <w:sz w:val="24"/>
          <w:szCs w:val="24"/>
        </w:rPr>
        <w:t xml:space="preserve">Wakefield, M., Loken, B. and Hornik R. 2010. Use of mass media campaigns to change health behaviour. </w:t>
      </w:r>
      <w:r w:rsidRPr="009C3F26">
        <w:rPr>
          <w:i/>
          <w:iCs/>
          <w:sz w:val="24"/>
          <w:szCs w:val="24"/>
        </w:rPr>
        <w:t xml:space="preserve">Lancet. </w:t>
      </w:r>
      <w:r w:rsidRPr="009C3F26">
        <w:rPr>
          <w:sz w:val="24"/>
          <w:szCs w:val="24"/>
        </w:rPr>
        <w:t>376 (9748), pp 1261 – 1271</w:t>
      </w:r>
    </w:p>
    <w:p w14:paraId="614CA943" w14:textId="77777777" w:rsidR="004C4C18" w:rsidRPr="009C3F26" w:rsidRDefault="004C4C18" w:rsidP="004C4C18">
      <w:pPr>
        <w:spacing w:line="360" w:lineRule="auto"/>
        <w:rPr>
          <w:sz w:val="24"/>
          <w:szCs w:val="24"/>
        </w:rPr>
      </w:pPr>
      <w:r w:rsidRPr="009C3F26">
        <w:rPr>
          <w:sz w:val="24"/>
          <w:szCs w:val="24"/>
        </w:rPr>
        <w:t xml:space="preserve">World Health Organisation. 2020. </w:t>
      </w:r>
      <w:r w:rsidRPr="009C3F26">
        <w:rPr>
          <w:i/>
          <w:iCs/>
          <w:sz w:val="24"/>
          <w:szCs w:val="24"/>
        </w:rPr>
        <w:t xml:space="preserve">Evaluate Complex Campaign. </w:t>
      </w:r>
      <w:r w:rsidRPr="009C3F26">
        <w:rPr>
          <w:sz w:val="24"/>
          <w:szCs w:val="24"/>
        </w:rPr>
        <w:t xml:space="preserve">[Online] Available at </w:t>
      </w:r>
      <w:hyperlink r:id="rId16" w:history="1">
        <w:r w:rsidRPr="009C3F26">
          <w:rPr>
            <w:rStyle w:val="Hyperlink"/>
            <w:color w:val="auto"/>
            <w:sz w:val="24"/>
            <w:szCs w:val="24"/>
            <w:u w:val="none"/>
          </w:rPr>
          <w:t>https://www.who.int/about/communications/evaluation/campaigns-evaluation Accessed January 2020</w:t>
        </w:r>
      </w:hyperlink>
    </w:p>
    <w:p w14:paraId="55065039" w14:textId="77777777" w:rsidR="004C4C18" w:rsidRPr="009C3F26" w:rsidRDefault="004C4C18" w:rsidP="004C4C18">
      <w:pPr>
        <w:spacing w:line="360" w:lineRule="auto"/>
        <w:rPr>
          <w:sz w:val="24"/>
          <w:szCs w:val="24"/>
        </w:rPr>
      </w:pPr>
      <w:r w:rsidRPr="009C3F26">
        <w:rPr>
          <w:sz w:val="24"/>
          <w:szCs w:val="24"/>
        </w:rPr>
        <w:t>World Health Organisation. 2020.</w:t>
      </w:r>
      <w:r w:rsidRPr="009C3F26">
        <w:rPr>
          <w:i/>
          <w:iCs/>
          <w:sz w:val="24"/>
          <w:szCs w:val="24"/>
        </w:rPr>
        <w:t xml:space="preserve"> Health Campaigns. </w:t>
      </w:r>
      <w:r w:rsidRPr="009C3F26">
        <w:rPr>
          <w:sz w:val="24"/>
          <w:szCs w:val="24"/>
        </w:rPr>
        <w:t xml:space="preserve">[Online] Available at </w:t>
      </w:r>
      <w:hyperlink r:id="rId17" w:history="1">
        <w:r w:rsidRPr="009C3F26">
          <w:rPr>
            <w:rStyle w:val="Hyperlink"/>
            <w:color w:val="auto"/>
            <w:sz w:val="24"/>
            <w:szCs w:val="24"/>
            <w:u w:val="none"/>
          </w:rPr>
          <w:t>https://www.who.int/communicating-for-health/functions/campaigns/en/</w:t>
        </w:r>
      </w:hyperlink>
      <w:r w:rsidRPr="009C3F26">
        <w:rPr>
          <w:sz w:val="24"/>
          <w:szCs w:val="24"/>
        </w:rPr>
        <w:t xml:space="preserve"> Accessed January 2020.</w:t>
      </w:r>
    </w:p>
    <w:p w14:paraId="6E406F39" w14:textId="77777777" w:rsidR="004C4C18" w:rsidRPr="009C3F26" w:rsidRDefault="004C4C18" w:rsidP="004C4C18">
      <w:pPr>
        <w:spacing w:line="360" w:lineRule="auto"/>
        <w:rPr>
          <w:sz w:val="24"/>
          <w:szCs w:val="24"/>
        </w:rPr>
      </w:pPr>
      <w:r w:rsidRPr="009C3F26">
        <w:rPr>
          <w:sz w:val="24"/>
          <w:szCs w:val="24"/>
        </w:rPr>
        <w:lastRenderedPageBreak/>
        <w:t xml:space="preserve">World Health Organisation. 2020. </w:t>
      </w:r>
      <w:r w:rsidRPr="009C3F26">
        <w:rPr>
          <w:i/>
          <w:iCs/>
          <w:sz w:val="24"/>
          <w:szCs w:val="24"/>
        </w:rPr>
        <w:t xml:space="preserve">Principle: Actionable. Behaviour change campaigns. </w:t>
      </w:r>
      <w:r w:rsidRPr="009C3F26">
        <w:rPr>
          <w:sz w:val="24"/>
          <w:szCs w:val="24"/>
        </w:rPr>
        <w:t xml:space="preserve">[Online] Available at </w:t>
      </w:r>
      <w:hyperlink r:id="rId18" w:history="1">
        <w:r w:rsidRPr="009C3F26">
          <w:rPr>
            <w:rStyle w:val="Hyperlink"/>
            <w:color w:val="auto"/>
            <w:sz w:val="24"/>
            <w:szCs w:val="24"/>
            <w:u w:val="none"/>
          </w:rPr>
          <w:t>https://www.who.int/about/communications/actionable/behaviour-change</w:t>
        </w:r>
      </w:hyperlink>
      <w:r w:rsidRPr="009C3F26">
        <w:rPr>
          <w:sz w:val="24"/>
          <w:szCs w:val="24"/>
        </w:rPr>
        <w:t>. Accessed January 2020</w:t>
      </w:r>
    </w:p>
    <w:p w14:paraId="59808DB4" w14:textId="3435E398" w:rsidR="004279C4" w:rsidRPr="004279C4" w:rsidRDefault="004279C4" w:rsidP="00D503D5">
      <w:pPr>
        <w:spacing w:line="360" w:lineRule="auto"/>
        <w:rPr>
          <w:sz w:val="24"/>
          <w:szCs w:val="24"/>
        </w:rPr>
      </w:pPr>
      <w:bookmarkStart w:id="0" w:name="_GoBack"/>
      <w:bookmarkEnd w:id="0"/>
    </w:p>
    <w:sectPr w:rsidR="004279C4" w:rsidRPr="004279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668"/>
    <w:rsid w:val="00026607"/>
    <w:rsid w:val="00061630"/>
    <w:rsid w:val="000B5204"/>
    <w:rsid w:val="000F2A08"/>
    <w:rsid w:val="000F3D6E"/>
    <w:rsid w:val="00191ADD"/>
    <w:rsid w:val="001A2FF3"/>
    <w:rsid w:val="001A31B8"/>
    <w:rsid w:val="0020058A"/>
    <w:rsid w:val="0021677B"/>
    <w:rsid w:val="002723F4"/>
    <w:rsid w:val="002B6004"/>
    <w:rsid w:val="002D241A"/>
    <w:rsid w:val="002E5F3B"/>
    <w:rsid w:val="00300454"/>
    <w:rsid w:val="0031666A"/>
    <w:rsid w:val="00330D5E"/>
    <w:rsid w:val="00337616"/>
    <w:rsid w:val="003428D6"/>
    <w:rsid w:val="003473F5"/>
    <w:rsid w:val="00382707"/>
    <w:rsid w:val="004279C4"/>
    <w:rsid w:val="00456B29"/>
    <w:rsid w:val="004C02A4"/>
    <w:rsid w:val="004C1233"/>
    <w:rsid w:val="004C4C18"/>
    <w:rsid w:val="004E0EFE"/>
    <w:rsid w:val="00523A6D"/>
    <w:rsid w:val="00560198"/>
    <w:rsid w:val="00573B92"/>
    <w:rsid w:val="00594D4F"/>
    <w:rsid w:val="005D026D"/>
    <w:rsid w:val="005D50CD"/>
    <w:rsid w:val="00603C89"/>
    <w:rsid w:val="0062138F"/>
    <w:rsid w:val="00631802"/>
    <w:rsid w:val="0063545F"/>
    <w:rsid w:val="0063632A"/>
    <w:rsid w:val="00691BCF"/>
    <w:rsid w:val="0070291B"/>
    <w:rsid w:val="00733E53"/>
    <w:rsid w:val="00735ACB"/>
    <w:rsid w:val="007A0D7B"/>
    <w:rsid w:val="007D3668"/>
    <w:rsid w:val="007D63FF"/>
    <w:rsid w:val="007E03D9"/>
    <w:rsid w:val="007E3047"/>
    <w:rsid w:val="007E314D"/>
    <w:rsid w:val="007F5787"/>
    <w:rsid w:val="007F64D4"/>
    <w:rsid w:val="00806B4F"/>
    <w:rsid w:val="008166AE"/>
    <w:rsid w:val="00853DD1"/>
    <w:rsid w:val="00862A99"/>
    <w:rsid w:val="0088764B"/>
    <w:rsid w:val="008A6DCA"/>
    <w:rsid w:val="008B533A"/>
    <w:rsid w:val="008D2477"/>
    <w:rsid w:val="008D54EE"/>
    <w:rsid w:val="00940730"/>
    <w:rsid w:val="00984CF4"/>
    <w:rsid w:val="00A0746A"/>
    <w:rsid w:val="00A14145"/>
    <w:rsid w:val="00A25A43"/>
    <w:rsid w:val="00A41AFB"/>
    <w:rsid w:val="00A50DB5"/>
    <w:rsid w:val="00A8014F"/>
    <w:rsid w:val="00AA5FBF"/>
    <w:rsid w:val="00AB7EA1"/>
    <w:rsid w:val="00AE3A2C"/>
    <w:rsid w:val="00AE57A6"/>
    <w:rsid w:val="00AF0364"/>
    <w:rsid w:val="00B122D6"/>
    <w:rsid w:val="00B15F0C"/>
    <w:rsid w:val="00B16C9C"/>
    <w:rsid w:val="00B207DA"/>
    <w:rsid w:val="00B46751"/>
    <w:rsid w:val="00B62F3D"/>
    <w:rsid w:val="00B841BD"/>
    <w:rsid w:val="00BC1307"/>
    <w:rsid w:val="00C4345D"/>
    <w:rsid w:val="00C44621"/>
    <w:rsid w:val="00C65ECF"/>
    <w:rsid w:val="00C949BE"/>
    <w:rsid w:val="00D0736C"/>
    <w:rsid w:val="00D31D04"/>
    <w:rsid w:val="00D33376"/>
    <w:rsid w:val="00D4658F"/>
    <w:rsid w:val="00D503D5"/>
    <w:rsid w:val="00D527EB"/>
    <w:rsid w:val="00D53964"/>
    <w:rsid w:val="00D90AE6"/>
    <w:rsid w:val="00DA7B96"/>
    <w:rsid w:val="00E333CD"/>
    <w:rsid w:val="00E73EE1"/>
    <w:rsid w:val="00E75A6D"/>
    <w:rsid w:val="00E765AE"/>
    <w:rsid w:val="00EA5CC7"/>
    <w:rsid w:val="00ED5CFC"/>
    <w:rsid w:val="00EF2D21"/>
    <w:rsid w:val="00F07CE9"/>
    <w:rsid w:val="00F11A5C"/>
    <w:rsid w:val="00F13E8F"/>
    <w:rsid w:val="00F147BB"/>
    <w:rsid w:val="00F24EE9"/>
    <w:rsid w:val="00F35FDA"/>
    <w:rsid w:val="00F60A24"/>
    <w:rsid w:val="00F87DC9"/>
    <w:rsid w:val="00FC7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BDA4D"/>
  <w15:chartTrackingRefBased/>
  <w15:docId w15:val="{8F9528E8-16ED-4191-B19B-F7F75BEE9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3668"/>
    <w:rPr>
      <w:color w:val="0563C1" w:themeColor="hyperlink"/>
      <w:u w:val="single"/>
    </w:rPr>
  </w:style>
  <w:style w:type="character" w:styleId="UnresolvedMention">
    <w:name w:val="Unresolved Mention"/>
    <w:basedOn w:val="DefaultParagraphFont"/>
    <w:uiPriority w:val="99"/>
    <w:semiHidden/>
    <w:unhideWhenUsed/>
    <w:rsid w:val="007D3668"/>
    <w:rPr>
      <w:color w:val="605E5C"/>
      <w:shd w:val="clear" w:color="auto" w:fill="E1DFDD"/>
    </w:rPr>
  </w:style>
  <w:style w:type="character" w:styleId="CommentReference">
    <w:name w:val="annotation reference"/>
    <w:basedOn w:val="DefaultParagraphFont"/>
    <w:uiPriority w:val="99"/>
    <w:semiHidden/>
    <w:unhideWhenUsed/>
    <w:rsid w:val="00573B92"/>
    <w:rPr>
      <w:sz w:val="16"/>
      <w:szCs w:val="16"/>
    </w:rPr>
  </w:style>
  <w:style w:type="paragraph" w:styleId="CommentText">
    <w:name w:val="annotation text"/>
    <w:basedOn w:val="Normal"/>
    <w:link w:val="CommentTextChar"/>
    <w:uiPriority w:val="99"/>
    <w:semiHidden/>
    <w:unhideWhenUsed/>
    <w:rsid w:val="00573B92"/>
    <w:pPr>
      <w:spacing w:line="240" w:lineRule="auto"/>
    </w:pPr>
    <w:rPr>
      <w:sz w:val="20"/>
      <w:szCs w:val="20"/>
    </w:rPr>
  </w:style>
  <w:style w:type="character" w:customStyle="1" w:styleId="CommentTextChar">
    <w:name w:val="Comment Text Char"/>
    <w:basedOn w:val="DefaultParagraphFont"/>
    <w:link w:val="CommentText"/>
    <w:uiPriority w:val="99"/>
    <w:semiHidden/>
    <w:rsid w:val="00573B92"/>
    <w:rPr>
      <w:sz w:val="20"/>
      <w:szCs w:val="20"/>
    </w:rPr>
  </w:style>
  <w:style w:type="paragraph" w:styleId="CommentSubject">
    <w:name w:val="annotation subject"/>
    <w:basedOn w:val="CommentText"/>
    <w:next w:val="CommentText"/>
    <w:link w:val="CommentSubjectChar"/>
    <w:uiPriority w:val="99"/>
    <w:semiHidden/>
    <w:unhideWhenUsed/>
    <w:rsid w:val="00573B92"/>
    <w:rPr>
      <w:b/>
      <w:bCs/>
    </w:rPr>
  </w:style>
  <w:style w:type="character" w:customStyle="1" w:styleId="CommentSubjectChar">
    <w:name w:val="Comment Subject Char"/>
    <w:basedOn w:val="CommentTextChar"/>
    <w:link w:val="CommentSubject"/>
    <w:uiPriority w:val="99"/>
    <w:semiHidden/>
    <w:rsid w:val="00573B92"/>
    <w:rPr>
      <w:b/>
      <w:bCs/>
      <w:sz w:val="20"/>
      <w:szCs w:val="20"/>
    </w:rPr>
  </w:style>
  <w:style w:type="paragraph" w:styleId="BalloonText">
    <w:name w:val="Balloon Text"/>
    <w:basedOn w:val="Normal"/>
    <w:link w:val="BalloonTextChar"/>
    <w:uiPriority w:val="99"/>
    <w:semiHidden/>
    <w:unhideWhenUsed/>
    <w:rsid w:val="00573B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3B9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ers.nhs.uk/working-health/working-public-health/what-public-health%20Accessed%20January%202020" TargetMode="External"/><Relationship Id="rId13" Type="http://schemas.openxmlformats.org/officeDocument/2006/relationships/hyperlink" Target="https://assets.publishing.service.gov.uk/government/uploads/system/uploads/attachment_data/file/646715/public_health_england_marketing_strategy_2017_to_2020.pdf%20Accessed%20January%202020" TargetMode="External"/><Relationship Id="rId18" Type="http://schemas.openxmlformats.org/officeDocument/2006/relationships/hyperlink" Target="https://www.who.int/about/communications/actionable/behaviour-change" TargetMode="External"/><Relationship Id="rId3" Type="http://schemas.openxmlformats.org/officeDocument/2006/relationships/settings" Target="settings.xml"/><Relationship Id="rId7" Type="http://schemas.openxmlformats.org/officeDocument/2006/relationships/hyperlink" Target="http://www.emcdda.europa.eu/attachements.cfm/att_94034_EN_Effectiveness%20of%20Mass%20Media%20campaigns%20HDA.pdf" TargetMode="External"/><Relationship Id="rId12" Type="http://schemas.openxmlformats.org/officeDocument/2006/relationships/hyperlink" Target="https://assets.publishing.service.gov.uk/government/uploads/system/uploads/attachment_data/file/661350/PHE-Evaluation_and_Recommendations.pdf%20Accessed%20January%202020" TargetMode="External"/><Relationship Id="rId17" Type="http://schemas.openxmlformats.org/officeDocument/2006/relationships/hyperlink" Target="https://www.who.int/communicating-for-health/functions/campaigns/en/" TargetMode="External"/><Relationship Id="rId2" Type="http://schemas.openxmlformats.org/officeDocument/2006/relationships/styles" Target="styles.xml"/><Relationship Id="rId16" Type="http://schemas.openxmlformats.org/officeDocument/2006/relationships/hyperlink" Target="https://www.who.int/about/communications/evaluation/campaigns-evaluation%20Accessed%20January%20202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ebarchive.nationalarchives.gov.uk/+/http:/www.cabinetoffice.gov.uk/media/cabinetoffice/strategy/assets/pr2.pdf%20Accessed%20January%202020" TargetMode="External"/><Relationship Id="rId11" Type="http://schemas.openxmlformats.org/officeDocument/2006/relationships/hyperlink" Target="https://www.nice.org.uk/guidance/ph6/chapter/1-Public-health-need-and-practice%20Accessed%20January%202020" TargetMode="External"/><Relationship Id="rId5" Type="http://schemas.openxmlformats.org/officeDocument/2006/relationships/hyperlink" Target="http://docs2.health.vic.gov.au/docs/doc/9CF1F628F2BE470FCA257A7F0022825E/$FILE/measuring_hp_impacts.pdf%20accessed%20January%202020" TargetMode="External"/><Relationship Id="rId15" Type="http://schemas.openxmlformats.org/officeDocument/2006/relationships/hyperlink" Target="https://www.kingsfund.org.uk/sites/default/files/KBH_Using_info.pdf%20Accessed%20January%202020" TargetMode="External"/><Relationship Id="rId10" Type="http://schemas.openxmlformats.org/officeDocument/2006/relationships/hyperlink" Target="https://www.nhs.uk/conditions/cognitive-behavioural-therapy-cb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logs.bmj.com/bmj/2015/01/30/the-bmj-today-are-public-health-campaigns-a-waste-of-money/" TargetMode="External"/><Relationship Id="rId14" Type="http://schemas.openxmlformats.org/officeDocument/2006/relationships/hyperlink" Target="https://www.publichealthnetwork.cymru/en/social-determinants/lifestyle/behaviour-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B984B9-3F8A-467C-AD13-844B91379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10490</TotalTime>
  <Pages>13</Pages>
  <Words>4207</Words>
  <Characters>23986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Robinson</dc:creator>
  <cp:keywords/>
  <dc:description/>
  <cp:lastModifiedBy>Vicky Robinson</cp:lastModifiedBy>
  <cp:revision>96</cp:revision>
  <dcterms:created xsi:type="dcterms:W3CDTF">2019-11-27T15:55:00Z</dcterms:created>
  <dcterms:modified xsi:type="dcterms:W3CDTF">2020-01-17T19:53:00Z</dcterms:modified>
</cp:coreProperties>
</file>