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17FE4" w14:textId="77777777" w:rsidR="002B0F3E" w:rsidRPr="0066224E" w:rsidRDefault="002B0F3E" w:rsidP="002B0F3E">
      <w:pPr>
        <w:spacing w:before="212"/>
        <w:jc w:val="center"/>
        <w:rPr>
          <w:rFonts w:ascii="Arial"/>
          <w:b/>
          <w:sz w:val="56"/>
          <w:szCs w:val="56"/>
        </w:rPr>
      </w:pPr>
      <w:r>
        <w:rPr>
          <w:noProof/>
        </w:rPr>
        <w:drawing>
          <wp:inline distT="0" distB="0" distL="0" distR="0" wp14:anchorId="3519A7AB" wp14:editId="344228A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C43B9A" w14:textId="77777777" w:rsidR="002B0F3E" w:rsidRDefault="002B0F3E" w:rsidP="002B0F3E">
      <w:pPr>
        <w:spacing w:before="212"/>
        <w:rPr>
          <w:rFonts w:ascii="Arial" w:hAnsi="Arial" w:cs="Arial"/>
          <w:b/>
          <w:sz w:val="48"/>
          <w:szCs w:val="48"/>
        </w:rPr>
      </w:pPr>
    </w:p>
    <w:p w14:paraId="012F3A65" w14:textId="77777777" w:rsidR="002B0F3E" w:rsidRPr="004B31F1" w:rsidRDefault="002B0F3E" w:rsidP="002B0F3E">
      <w:pPr>
        <w:spacing w:before="212"/>
        <w:rPr>
          <w:rFonts w:ascii="Arial" w:hAnsi="Arial" w:cs="Arial"/>
          <w:b/>
          <w:bCs/>
          <w:sz w:val="48"/>
          <w:szCs w:val="48"/>
        </w:rPr>
      </w:pPr>
      <w:r w:rsidRPr="166ABB76">
        <w:rPr>
          <w:rFonts w:ascii="Arial" w:hAnsi="Arial" w:cs="Arial"/>
          <w:b/>
          <w:bCs/>
          <w:sz w:val="48"/>
          <w:szCs w:val="48"/>
        </w:rPr>
        <w:t xml:space="preserve">Module Name: </w:t>
      </w:r>
      <w:r w:rsidRPr="00F1399D">
        <w:rPr>
          <w:rFonts w:ascii="Arial" w:hAnsi="Arial" w:cs="Arial"/>
          <w:sz w:val="48"/>
          <w:szCs w:val="48"/>
        </w:rPr>
        <w:t>Academic Skills in the Digital Era</w:t>
      </w:r>
    </w:p>
    <w:p w14:paraId="0BDFF80E" w14:textId="25894657" w:rsidR="002B0F3E" w:rsidRPr="004B31F1" w:rsidRDefault="002B0F3E" w:rsidP="002B0F3E">
      <w:pPr>
        <w:spacing w:before="212"/>
        <w:rPr>
          <w:rFonts w:ascii="Arial" w:hAnsi="Arial" w:cs="Arial"/>
          <w:b/>
          <w:bCs/>
          <w:sz w:val="48"/>
          <w:szCs w:val="48"/>
        </w:rPr>
      </w:pPr>
      <w:r w:rsidRPr="004B31F1">
        <w:rPr>
          <w:rFonts w:ascii="Arial" w:hAnsi="Arial" w:cs="Arial"/>
          <w:b/>
          <w:bCs/>
          <w:sz w:val="48"/>
          <w:szCs w:val="48"/>
        </w:rPr>
        <w:t xml:space="preserve">Module Code:  </w:t>
      </w:r>
      <w:r w:rsidRPr="00F1399D">
        <w:rPr>
          <w:rFonts w:ascii="Arial" w:hAnsi="Arial" w:cs="Arial"/>
          <w:sz w:val="48"/>
          <w:szCs w:val="48"/>
        </w:rPr>
        <w:t>BMSW401</w:t>
      </w:r>
      <w:r>
        <w:rPr>
          <w:rFonts w:ascii="Arial" w:hAnsi="Arial" w:cs="Arial"/>
          <w:sz w:val="48"/>
          <w:szCs w:val="48"/>
        </w:rPr>
        <w:t>2</w:t>
      </w:r>
    </w:p>
    <w:p w14:paraId="794967C4" w14:textId="77777777" w:rsidR="002B0F3E" w:rsidRPr="002B0F3E" w:rsidRDefault="002B0F3E" w:rsidP="002B0F3E">
      <w:pPr>
        <w:spacing w:before="212"/>
        <w:rPr>
          <w:rFonts w:ascii="Arial" w:hAnsi="Arial" w:cs="Arial"/>
          <w:sz w:val="48"/>
          <w:szCs w:val="48"/>
        </w:rPr>
      </w:pPr>
      <w:r w:rsidRPr="004B31F1">
        <w:rPr>
          <w:rFonts w:ascii="Arial" w:hAnsi="Arial" w:cs="Arial"/>
          <w:b/>
          <w:bCs/>
          <w:sz w:val="48"/>
          <w:szCs w:val="48"/>
        </w:rPr>
        <w:t>Assignment Name:</w:t>
      </w:r>
      <w:r>
        <w:rPr>
          <w:rFonts w:ascii="Arial" w:hAnsi="Arial" w:cs="Arial"/>
          <w:b/>
          <w:bCs/>
          <w:sz w:val="48"/>
          <w:szCs w:val="48"/>
        </w:rPr>
        <w:t xml:space="preserve"> </w:t>
      </w:r>
      <w:r w:rsidRPr="002B0F3E">
        <w:rPr>
          <w:rFonts w:ascii="Arial" w:hAnsi="Arial" w:cs="Arial"/>
          <w:sz w:val="48"/>
          <w:szCs w:val="48"/>
        </w:rPr>
        <w:t>Professional Career Development Reflective Essay</w:t>
      </w:r>
    </w:p>
    <w:p w14:paraId="586E51F5" w14:textId="101ECAA2" w:rsidR="002B0F3E" w:rsidRPr="006355C8" w:rsidRDefault="002B0F3E" w:rsidP="002B0F3E">
      <w:pPr>
        <w:spacing w:before="212"/>
        <w:rPr>
          <w:rFonts w:ascii="Arial" w:hAnsi="Arial" w:cs="Arial"/>
          <w:bCs/>
          <w:sz w:val="48"/>
          <w:szCs w:val="48"/>
        </w:rPr>
      </w:pPr>
      <w:r w:rsidRPr="004B31F1">
        <w:rPr>
          <w:rFonts w:ascii="Arial" w:hAnsi="Arial" w:cs="Arial"/>
          <w:b/>
          <w:sz w:val="48"/>
          <w:szCs w:val="48"/>
        </w:rPr>
        <w:t>Student Name:</w:t>
      </w:r>
      <w:r>
        <w:rPr>
          <w:rFonts w:ascii="Arial" w:hAnsi="Arial" w:cs="Arial"/>
          <w:b/>
          <w:sz w:val="48"/>
          <w:szCs w:val="48"/>
        </w:rPr>
        <w:t xml:space="preserve"> </w:t>
      </w:r>
      <w:r w:rsidRPr="006355C8">
        <w:rPr>
          <w:rFonts w:ascii="Arial" w:hAnsi="Arial" w:cs="Arial"/>
          <w:bCs/>
          <w:sz w:val="48"/>
          <w:szCs w:val="48"/>
        </w:rPr>
        <w:t>Tudor-Florin Vass</w:t>
      </w:r>
    </w:p>
    <w:p w14:paraId="1B4B0394" w14:textId="77777777" w:rsidR="002B0F3E" w:rsidRPr="006355C8" w:rsidRDefault="002B0F3E" w:rsidP="002B0F3E">
      <w:pPr>
        <w:spacing w:before="3"/>
        <w:rPr>
          <w:rFonts w:ascii="Arial" w:hAnsi="Arial" w:cs="Arial"/>
          <w:bCs/>
          <w:sz w:val="48"/>
          <w:szCs w:val="48"/>
        </w:rPr>
      </w:pPr>
      <w:r w:rsidRPr="004B31F1">
        <w:rPr>
          <w:rFonts w:ascii="Arial" w:hAnsi="Arial" w:cs="Arial"/>
          <w:b/>
          <w:sz w:val="48"/>
          <w:szCs w:val="48"/>
        </w:rPr>
        <w:t>Student Number:</w:t>
      </w:r>
      <w:r>
        <w:rPr>
          <w:rFonts w:ascii="Arial" w:hAnsi="Arial" w:cs="Arial"/>
          <w:b/>
          <w:sz w:val="48"/>
          <w:szCs w:val="48"/>
        </w:rPr>
        <w:t xml:space="preserve"> </w:t>
      </w:r>
      <w:r w:rsidRPr="006355C8">
        <w:rPr>
          <w:rFonts w:ascii="Arial" w:hAnsi="Arial" w:cs="Arial"/>
          <w:bCs/>
          <w:sz w:val="48"/>
          <w:szCs w:val="48"/>
        </w:rPr>
        <w:t>2436754</w:t>
      </w:r>
    </w:p>
    <w:p w14:paraId="27D4FF36" w14:textId="20FD971A" w:rsidR="002B0F3E" w:rsidRPr="004B31F1" w:rsidRDefault="002B0F3E" w:rsidP="002B0F3E">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w:t>
      </w:r>
      <w:r w:rsidR="002D1A7F" w:rsidRPr="006355C8">
        <w:rPr>
          <w:rFonts w:ascii="Arial" w:hAnsi="Arial" w:cs="Arial"/>
          <w:bCs/>
          <w:sz w:val="48"/>
          <w:szCs w:val="48"/>
        </w:rPr>
        <w:t>Philippa Fitzgerald</w:t>
      </w:r>
      <w:r w:rsidRPr="006355C8">
        <w:rPr>
          <w:rFonts w:ascii="Arial" w:hAnsi="Arial" w:cs="Arial"/>
          <w:bCs/>
          <w:sz w:val="48"/>
          <w:szCs w:val="48"/>
        </w:rPr>
        <w:br/>
      </w:r>
    </w:p>
    <w:p w14:paraId="314F882B" w14:textId="77777777" w:rsidR="002B0F3E" w:rsidRPr="004B578F" w:rsidRDefault="002B0F3E" w:rsidP="002B0F3E">
      <w:pPr>
        <w:spacing w:after="0" w:line="360" w:lineRule="auto"/>
        <w:rPr>
          <w:rFonts w:ascii="Arial" w:hAnsi="Arial" w:cs="Arial"/>
        </w:rPr>
      </w:pPr>
      <w:r w:rsidRPr="004B578F">
        <w:rPr>
          <w:rFonts w:ascii="Arial" w:hAnsi="Arial" w:cs="Arial"/>
        </w:rPr>
        <w:t xml:space="preserve">AI Acknowledgement  </w:t>
      </w:r>
    </w:p>
    <w:p w14:paraId="5327B362" w14:textId="77777777" w:rsidR="002B0F3E" w:rsidRPr="004B578F" w:rsidRDefault="002B0F3E" w:rsidP="002B0F3E">
      <w:pPr>
        <w:spacing w:after="0" w:line="360" w:lineRule="auto"/>
        <w:rPr>
          <w:rFonts w:ascii="Arial" w:hAnsi="Arial" w:cs="Arial"/>
        </w:rPr>
      </w:pPr>
      <w:r w:rsidRPr="004B578F">
        <w:rPr>
          <w:rFonts w:ascii="Arial" w:hAnsi="Arial" w:cs="Arial"/>
        </w:rPr>
        <w:t>I confirm that no AI-generated content has been submitted as my work. I also confirm that I have all the drafts, notes, and resources used to prepare this assignment and can provide them if needed.</w:t>
      </w:r>
      <w:r w:rsidRPr="004B578F">
        <w:rPr>
          <w:rFonts w:ascii="Arial" w:hAnsi="Arial" w:cs="Arial"/>
        </w:rPr>
        <w:br w:type="page"/>
      </w:r>
    </w:p>
    <w:p w14:paraId="206B9558" w14:textId="77777777" w:rsidR="002B0F3E" w:rsidRPr="00BB122D" w:rsidRDefault="002B0F3E" w:rsidP="002B0F3E">
      <w:pPr>
        <w:spacing w:after="0" w:line="360" w:lineRule="auto"/>
        <w:jc w:val="center"/>
        <w:rPr>
          <w:rFonts w:ascii="Arial" w:eastAsia="Calibri" w:hAnsi="Arial" w:cs="Arial"/>
          <w:b/>
          <w:bCs/>
          <w:kern w:val="0"/>
          <w14:ligatures w14:val="none"/>
        </w:rPr>
      </w:pPr>
      <w:r w:rsidRPr="002B0F3E">
        <w:rPr>
          <w:rFonts w:ascii="Arial" w:eastAsia="Calibri" w:hAnsi="Arial" w:cs="Arial"/>
          <w:b/>
          <w:bCs/>
          <w:kern w:val="0"/>
          <w14:ligatures w14:val="none"/>
        </w:rPr>
        <w:lastRenderedPageBreak/>
        <w:t>Professional Career Development Reflective Essay</w:t>
      </w:r>
    </w:p>
    <w:p w14:paraId="0E18F999" w14:textId="77777777" w:rsidR="002B0F3E" w:rsidRPr="002B0F3E" w:rsidRDefault="002B0F3E" w:rsidP="002B0F3E">
      <w:pPr>
        <w:spacing w:after="0" w:line="360" w:lineRule="auto"/>
        <w:jc w:val="center"/>
        <w:rPr>
          <w:rFonts w:ascii="Arial" w:eastAsia="Calibri" w:hAnsi="Arial" w:cs="Arial"/>
          <w:kern w:val="0"/>
          <w14:ligatures w14:val="none"/>
        </w:rPr>
      </w:pPr>
    </w:p>
    <w:p w14:paraId="5A4D05A4" w14:textId="77777777" w:rsidR="002B0F3E" w:rsidRPr="002B0F3E" w:rsidRDefault="002B0F3E" w:rsidP="002B0F3E">
      <w:pPr>
        <w:spacing w:after="0" w:line="360" w:lineRule="auto"/>
        <w:jc w:val="both"/>
        <w:rPr>
          <w:rFonts w:ascii="Arial" w:eastAsia="Calibri" w:hAnsi="Arial" w:cs="Arial"/>
          <w:b/>
          <w:bCs/>
          <w:kern w:val="0"/>
          <w14:ligatures w14:val="none"/>
        </w:rPr>
      </w:pPr>
      <w:r w:rsidRPr="002B0F3E">
        <w:rPr>
          <w:rFonts w:ascii="Arial" w:eastAsia="Calibri" w:hAnsi="Arial" w:cs="Arial"/>
          <w:b/>
          <w:bCs/>
          <w:kern w:val="0"/>
          <w14:ligatures w14:val="none"/>
        </w:rPr>
        <w:t>Introduction</w:t>
      </w:r>
    </w:p>
    <w:p w14:paraId="01D710D6" w14:textId="77777777" w:rsidR="007223E4" w:rsidRPr="007223E4" w:rsidRDefault="007223E4" w:rsidP="007223E4">
      <w:pPr>
        <w:spacing w:after="0" w:line="360" w:lineRule="auto"/>
        <w:jc w:val="both"/>
        <w:rPr>
          <w:rFonts w:ascii="Arial" w:eastAsia="Calibri" w:hAnsi="Arial" w:cs="Arial"/>
          <w:kern w:val="0"/>
          <w14:ligatures w14:val="none"/>
        </w:rPr>
      </w:pPr>
      <w:r w:rsidRPr="007223E4">
        <w:rPr>
          <w:rFonts w:ascii="Arial" w:eastAsia="Calibri" w:hAnsi="Arial" w:cs="Arial"/>
          <w:kern w:val="0"/>
          <w14:ligatures w14:val="none"/>
        </w:rPr>
        <w:t>Introduction</w:t>
      </w:r>
    </w:p>
    <w:p w14:paraId="6B630573" w14:textId="78DEC360" w:rsidR="007223E4" w:rsidRDefault="007223E4" w:rsidP="007223E4">
      <w:pPr>
        <w:spacing w:after="0" w:line="360" w:lineRule="auto"/>
        <w:jc w:val="both"/>
        <w:rPr>
          <w:rFonts w:ascii="Arial" w:eastAsia="Calibri" w:hAnsi="Arial" w:cs="Arial"/>
          <w:kern w:val="0"/>
          <w14:ligatures w14:val="none"/>
        </w:rPr>
      </w:pPr>
      <w:r w:rsidRPr="007223E4">
        <w:rPr>
          <w:rFonts w:ascii="Arial" w:eastAsia="Calibri" w:hAnsi="Arial" w:cs="Arial"/>
          <w:kern w:val="0"/>
          <w14:ligatures w14:val="none"/>
        </w:rPr>
        <w:t xml:space="preserve">In today’s competitive job market, professional career development is becoming increasingly important. I gained insight into different models and frameworks that can help increase my employability and foster professional growth by participating in professional career development courses (Robertson, Hooley, &amp; McCash, 2020). Using </w:t>
      </w:r>
      <w:r w:rsidR="00A159E2">
        <w:rPr>
          <w:rFonts w:ascii="Arial" w:eastAsia="Calibri" w:hAnsi="Arial" w:cs="Arial"/>
          <w:kern w:val="0"/>
          <w14:ligatures w14:val="none"/>
        </w:rPr>
        <w:t xml:space="preserve">the </w:t>
      </w:r>
      <w:r w:rsidR="00825113">
        <w:rPr>
          <w:rFonts w:ascii="Arial" w:eastAsia="Calibri" w:hAnsi="Arial" w:cs="Arial"/>
          <w:kern w:val="0"/>
          <w14:ligatures w14:val="none"/>
        </w:rPr>
        <w:t>SWOT</w:t>
      </w:r>
      <w:r w:rsidR="004873F3">
        <w:rPr>
          <w:rFonts w:ascii="Arial" w:eastAsia="Calibri" w:hAnsi="Arial" w:cs="Arial"/>
          <w:kern w:val="0"/>
          <w14:ligatures w14:val="none"/>
        </w:rPr>
        <w:t>,</w:t>
      </w:r>
      <w:r w:rsidR="00605A8D">
        <w:rPr>
          <w:rFonts w:ascii="Arial" w:eastAsia="Calibri" w:hAnsi="Arial" w:cs="Arial"/>
          <w:kern w:val="0"/>
          <w14:ligatures w14:val="none"/>
        </w:rPr>
        <w:t xml:space="preserve"> </w:t>
      </w:r>
      <w:r w:rsidRPr="007223E4">
        <w:rPr>
          <w:rFonts w:ascii="Arial" w:eastAsia="Calibri" w:hAnsi="Arial" w:cs="Arial"/>
          <w:kern w:val="0"/>
          <w14:ligatures w14:val="none"/>
        </w:rPr>
        <w:t>this reflective essay discusses my learning experience and how three key models will impact my professional development in the future.</w:t>
      </w:r>
    </w:p>
    <w:p w14:paraId="502F32ED" w14:textId="77777777" w:rsidR="00442DFF" w:rsidRDefault="00442DFF" w:rsidP="007223E4">
      <w:pPr>
        <w:spacing w:after="0" w:line="360" w:lineRule="auto"/>
        <w:jc w:val="both"/>
        <w:rPr>
          <w:rFonts w:ascii="Arial" w:eastAsia="Calibri" w:hAnsi="Arial" w:cs="Arial"/>
          <w:kern w:val="0"/>
          <w14:ligatures w14:val="none"/>
        </w:rPr>
      </w:pPr>
    </w:p>
    <w:p w14:paraId="2E2D417F" w14:textId="77777777" w:rsidR="00154DC4" w:rsidRDefault="00154DC4" w:rsidP="007223E4">
      <w:pPr>
        <w:spacing w:after="0" w:line="360" w:lineRule="auto"/>
        <w:jc w:val="both"/>
        <w:rPr>
          <w:rFonts w:ascii="Arial" w:eastAsia="Calibri" w:hAnsi="Arial" w:cs="Arial"/>
          <w:b/>
          <w:bCs/>
          <w:kern w:val="0"/>
          <w14:ligatures w14:val="none"/>
        </w:rPr>
      </w:pPr>
      <w:r w:rsidRPr="00154DC4">
        <w:rPr>
          <w:rFonts w:ascii="Arial" w:eastAsia="Calibri" w:hAnsi="Arial" w:cs="Arial"/>
          <w:b/>
          <w:bCs/>
          <w:kern w:val="0"/>
          <w14:ligatures w14:val="none"/>
        </w:rPr>
        <w:t>Applying SWOT and Experiential Learning in Career Planning</w:t>
      </w:r>
    </w:p>
    <w:p w14:paraId="06EFE4A9" w14:textId="6DC4B3A9" w:rsidR="007223E4" w:rsidRDefault="00173C0C" w:rsidP="007223E4">
      <w:pPr>
        <w:spacing w:after="0" w:line="360" w:lineRule="auto"/>
        <w:jc w:val="both"/>
        <w:rPr>
          <w:rFonts w:ascii="Arial" w:eastAsia="Calibri" w:hAnsi="Arial" w:cs="Arial"/>
          <w:kern w:val="0"/>
          <w14:ligatures w14:val="none"/>
        </w:rPr>
      </w:pPr>
      <w:r w:rsidRPr="00173C0C">
        <w:rPr>
          <w:rFonts w:ascii="Arial" w:eastAsia="Calibri" w:hAnsi="Arial" w:cs="Arial"/>
          <w:kern w:val="0"/>
          <w14:ligatures w14:val="none"/>
        </w:rPr>
        <w:t xml:space="preserve">When I attended the Professional Career Development courses, I was introduced to a number of theoretical frameworks and practical tools to improve my professional skills. Of these models, I particularly found the SWOT coaching model, quite interesting and relevant to what I learned and what I look forward to in my career. The experiential learning cycle presents a four-step process that encompasses concrete experience, reflective observation, abstract </w:t>
      </w:r>
      <w:proofErr w:type="spellStart"/>
      <w:r w:rsidRPr="00173C0C">
        <w:rPr>
          <w:rFonts w:ascii="Arial" w:eastAsia="Calibri" w:hAnsi="Arial" w:cs="Arial"/>
          <w:kern w:val="0"/>
          <w14:ligatures w14:val="none"/>
        </w:rPr>
        <w:t>conceptualisation</w:t>
      </w:r>
      <w:proofErr w:type="spellEnd"/>
      <w:r w:rsidRPr="00173C0C">
        <w:rPr>
          <w:rFonts w:ascii="Arial" w:eastAsia="Calibri" w:hAnsi="Arial" w:cs="Arial"/>
          <w:kern w:val="0"/>
          <w14:ligatures w14:val="none"/>
        </w:rPr>
        <w:t>, and active experimentation (Kayes &amp; Kayes, 2021). I knew that through the cycle of doing, learning, and teaching we can always support this continuous learning and skill development, but I was not sure how to proceed until recently. The model emphasizes that effective learning occurs through direct engagement with experiences, reflecting on and gaining theoretical understanding, and finally applying it in practice.</w:t>
      </w:r>
    </w:p>
    <w:p w14:paraId="1176EE73" w14:textId="77777777" w:rsidR="0031369A" w:rsidRDefault="0031369A" w:rsidP="007223E4">
      <w:pPr>
        <w:spacing w:after="0" w:line="360" w:lineRule="auto"/>
        <w:jc w:val="both"/>
        <w:rPr>
          <w:rFonts w:ascii="Arial" w:eastAsia="Calibri" w:hAnsi="Arial" w:cs="Arial"/>
          <w:kern w:val="0"/>
          <w14:ligatures w14:val="none"/>
        </w:rPr>
      </w:pPr>
    </w:p>
    <w:p w14:paraId="25D5DD62" w14:textId="29D7A650" w:rsidR="0031369A" w:rsidRPr="0031369A" w:rsidRDefault="0031369A" w:rsidP="007223E4">
      <w:pPr>
        <w:spacing w:after="0" w:line="360" w:lineRule="auto"/>
        <w:jc w:val="both"/>
        <w:rPr>
          <w:rFonts w:ascii="Arial" w:eastAsia="Calibri" w:hAnsi="Arial" w:cs="Arial"/>
          <w:b/>
          <w:bCs/>
          <w:kern w:val="0"/>
          <w14:ligatures w14:val="none"/>
        </w:rPr>
      </w:pPr>
      <w:r w:rsidRPr="0031369A">
        <w:rPr>
          <w:rFonts w:ascii="Arial" w:eastAsia="Calibri" w:hAnsi="Arial" w:cs="Arial"/>
          <w:b/>
          <w:bCs/>
          <w:kern w:val="0"/>
          <w14:ligatures w14:val="none"/>
        </w:rPr>
        <w:t>Role-Playing and Mindset Shifts Through SWOT Coaching</w:t>
      </w:r>
    </w:p>
    <w:p w14:paraId="106CFB8C" w14:textId="5F064F4B" w:rsidR="00442DFF" w:rsidRDefault="00442DFF" w:rsidP="002B0F3E">
      <w:pPr>
        <w:spacing w:after="0" w:line="360" w:lineRule="auto"/>
        <w:jc w:val="both"/>
        <w:rPr>
          <w:rFonts w:ascii="Arial" w:eastAsia="Calibri" w:hAnsi="Arial" w:cs="Arial"/>
          <w:kern w:val="0"/>
          <w14:ligatures w14:val="none"/>
        </w:rPr>
      </w:pPr>
      <w:r w:rsidRPr="00442DFF">
        <w:rPr>
          <w:rFonts w:ascii="Arial" w:eastAsia="Calibri" w:hAnsi="Arial" w:cs="Arial"/>
          <w:kern w:val="0"/>
          <w14:ligatures w14:val="none"/>
        </w:rPr>
        <w:t xml:space="preserve">The </w:t>
      </w:r>
      <w:r w:rsidR="001E1932">
        <w:rPr>
          <w:rFonts w:ascii="Arial" w:eastAsia="Calibri" w:hAnsi="Arial" w:cs="Arial"/>
          <w:b/>
          <w:bCs/>
          <w:kern w:val="0"/>
          <w14:ligatures w14:val="none"/>
        </w:rPr>
        <w:t>SWOT</w:t>
      </w:r>
      <w:r w:rsidRPr="00442DFF">
        <w:rPr>
          <w:rFonts w:ascii="Arial" w:eastAsia="Calibri" w:hAnsi="Arial" w:cs="Arial"/>
          <w:kern w:val="0"/>
          <w14:ligatures w14:val="none"/>
        </w:rPr>
        <w:t xml:space="preserve"> </w:t>
      </w:r>
      <w:r w:rsidRPr="0074368E">
        <w:rPr>
          <w:rFonts w:ascii="Arial" w:eastAsia="Calibri" w:hAnsi="Arial" w:cs="Arial"/>
          <w:kern w:val="0"/>
          <w14:ligatures w14:val="none"/>
        </w:rPr>
        <w:t>(</w:t>
      </w:r>
      <w:r w:rsidR="001E1932" w:rsidRPr="0074368E">
        <w:rPr>
          <w:rFonts w:ascii="Arial" w:eastAsia="Calibri" w:hAnsi="Arial" w:cs="Arial"/>
          <w:kern w:val="0"/>
          <w14:ligatures w14:val="none"/>
        </w:rPr>
        <w:t>Strengths, Weaknesses, Opportunities, and Threats</w:t>
      </w:r>
      <w:r w:rsidR="0074368E">
        <w:rPr>
          <w:rFonts w:ascii="Arial" w:eastAsia="Calibri" w:hAnsi="Arial" w:cs="Arial"/>
          <w:kern w:val="0"/>
          <w14:ligatures w14:val="none"/>
        </w:rPr>
        <w:t>)</w:t>
      </w:r>
      <w:r w:rsidR="001E1932" w:rsidRPr="00442DFF">
        <w:rPr>
          <w:rFonts w:ascii="Arial" w:eastAsia="Calibri" w:hAnsi="Arial" w:cs="Arial"/>
          <w:kern w:val="0"/>
          <w14:ligatures w14:val="none"/>
        </w:rPr>
        <w:t xml:space="preserve"> </w:t>
      </w:r>
      <w:r w:rsidRPr="00442DFF">
        <w:rPr>
          <w:rFonts w:ascii="Arial" w:eastAsia="Calibri" w:hAnsi="Arial" w:cs="Arial"/>
          <w:kern w:val="0"/>
          <w14:ligatures w14:val="none"/>
        </w:rPr>
        <w:t>model was introduced as a structured coaching framework for professional development conversations. Through role-playing exercises, I coached and was coached using this model and saw it in action in clarifying goals, assessing current situations, exploring potential situations, and making actionable plans (Hughes, Warhurst, &amp; Duarte, 2021). It helped clarify what seemed like a round stack of decisions about my career. The foundation from which our concepts of skills, intelligence, and professional development were understood was</w:t>
      </w:r>
      <w:r w:rsidR="008F2399">
        <w:rPr>
          <w:rFonts w:ascii="Arial" w:eastAsia="Calibri" w:hAnsi="Arial" w:cs="Arial"/>
          <w:kern w:val="0"/>
          <w14:ligatures w14:val="none"/>
        </w:rPr>
        <w:t xml:space="preserve"> the</w:t>
      </w:r>
      <w:r w:rsidRPr="00442DFF">
        <w:rPr>
          <w:rFonts w:ascii="Arial" w:eastAsia="Calibri" w:hAnsi="Arial" w:cs="Arial"/>
          <w:kern w:val="0"/>
          <w14:ligatures w14:val="none"/>
        </w:rPr>
        <w:t xml:space="preserve"> growth mindset theory. Through self-assessment activities and case study analyses, the difference between fixed and </w:t>
      </w:r>
      <w:r w:rsidRPr="00442DFF">
        <w:rPr>
          <w:rFonts w:ascii="Arial" w:eastAsia="Calibri" w:hAnsi="Arial" w:cs="Arial"/>
          <w:kern w:val="0"/>
          <w14:ligatures w14:val="none"/>
        </w:rPr>
        <w:lastRenderedPageBreak/>
        <w:t>growth mindsets was differentiated and how accepting challenges, learning from failure, and striving toward mastery can lead to a different career trajectory (</w:t>
      </w:r>
      <w:proofErr w:type="spellStart"/>
      <w:r w:rsidRPr="00442DFF">
        <w:rPr>
          <w:rFonts w:ascii="Arial" w:eastAsia="Calibri" w:hAnsi="Arial" w:cs="Arial"/>
          <w:kern w:val="0"/>
          <w14:ligatures w14:val="none"/>
        </w:rPr>
        <w:t>Lindebaum</w:t>
      </w:r>
      <w:proofErr w:type="spellEnd"/>
      <w:r w:rsidRPr="00442DFF">
        <w:rPr>
          <w:rFonts w:ascii="Arial" w:eastAsia="Calibri" w:hAnsi="Arial" w:cs="Arial"/>
          <w:kern w:val="0"/>
          <w14:ligatures w14:val="none"/>
        </w:rPr>
        <w:t xml:space="preserve"> &amp; Fleming, 2023). According to the results of learning style assessments during the courses, I found out that my predominant learning profile was a reflective and pragmatic profile and I was very inclined towards the visual learning type.</w:t>
      </w:r>
    </w:p>
    <w:p w14:paraId="3FC07B26" w14:textId="77777777" w:rsidR="00DB64AC" w:rsidRDefault="00DB64AC" w:rsidP="002B0F3E">
      <w:pPr>
        <w:spacing w:after="0" w:line="360" w:lineRule="auto"/>
        <w:jc w:val="both"/>
        <w:rPr>
          <w:rFonts w:ascii="Arial" w:eastAsia="Calibri" w:hAnsi="Arial" w:cs="Arial"/>
          <w:kern w:val="0"/>
          <w14:ligatures w14:val="none"/>
        </w:rPr>
      </w:pPr>
    </w:p>
    <w:p w14:paraId="15690529" w14:textId="0F4DD805" w:rsidR="00442DFF" w:rsidRPr="00DB64AC" w:rsidRDefault="00DB64AC" w:rsidP="002B0F3E">
      <w:pPr>
        <w:spacing w:after="0" w:line="360" w:lineRule="auto"/>
        <w:jc w:val="both"/>
        <w:rPr>
          <w:rFonts w:ascii="Arial" w:eastAsia="Calibri" w:hAnsi="Arial" w:cs="Arial"/>
          <w:b/>
          <w:bCs/>
          <w:kern w:val="0"/>
          <w14:ligatures w14:val="none"/>
        </w:rPr>
      </w:pPr>
      <w:r w:rsidRPr="00DB64AC">
        <w:rPr>
          <w:rFonts w:ascii="Arial" w:eastAsia="Calibri" w:hAnsi="Arial" w:cs="Arial"/>
          <w:b/>
          <w:bCs/>
          <w:kern w:val="0"/>
          <w14:ligatures w14:val="none"/>
        </w:rPr>
        <w:t>Reflective Learning and the Experiential Cycle in Practice</w:t>
      </w:r>
    </w:p>
    <w:p w14:paraId="362CF7A4" w14:textId="77777777" w:rsidR="008D32D8" w:rsidRDefault="00F031F8" w:rsidP="002B0F3E">
      <w:pPr>
        <w:spacing w:after="0" w:line="360" w:lineRule="auto"/>
        <w:jc w:val="both"/>
        <w:rPr>
          <w:rFonts w:ascii="Arial" w:eastAsia="Calibri" w:hAnsi="Arial" w:cs="Arial"/>
          <w:kern w:val="0"/>
          <w14:ligatures w14:val="none"/>
        </w:rPr>
      </w:pPr>
      <w:r w:rsidRPr="00F031F8">
        <w:rPr>
          <w:rFonts w:ascii="Arial" w:eastAsia="Calibri" w:hAnsi="Arial" w:cs="Arial"/>
          <w:kern w:val="0"/>
          <w14:ligatures w14:val="none"/>
        </w:rPr>
        <w:t xml:space="preserve">Models are not only significant as theory; they also strongly influence how I plan and develop my career. Different models address different parts of my professional growth and mesh well with my learning style. Exploring the learning cycle has given me a better idea of how meaningful learning occurs. Previously, I had not focused much on systematically reflecting on or </w:t>
      </w:r>
      <w:proofErr w:type="spellStart"/>
      <w:r w:rsidRPr="00F031F8">
        <w:rPr>
          <w:rFonts w:ascii="Arial" w:eastAsia="Calibri" w:hAnsi="Arial" w:cs="Arial"/>
          <w:kern w:val="0"/>
          <w14:ligatures w14:val="none"/>
        </w:rPr>
        <w:t>organising</w:t>
      </w:r>
      <w:proofErr w:type="spellEnd"/>
      <w:r w:rsidRPr="00F031F8">
        <w:rPr>
          <w:rFonts w:ascii="Arial" w:eastAsia="Calibri" w:hAnsi="Arial" w:cs="Arial"/>
          <w:kern w:val="0"/>
          <w14:ligatures w14:val="none"/>
        </w:rPr>
        <w:t xml:space="preserve"> what I learned from different opportunities for improvement (Chiu, Hwang, &amp; Hsia, 2022). Based on my cycle, I </w:t>
      </w:r>
      <w:proofErr w:type="spellStart"/>
      <w:r w:rsidRPr="00F031F8">
        <w:rPr>
          <w:rFonts w:ascii="Arial" w:eastAsia="Calibri" w:hAnsi="Arial" w:cs="Arial"/>
          <w:kern w:val="0"/>
          <w14:ligatures w14:val="none"/>
        </w:rPr>
        <w:t>recognise</w:t>
      </w:r>
      <w:proofErr w:type="spellEnd"/>
      <w:r w:rsidRPr="00F031F8">
        <w:rPr>
          <w:rFonts w:ascii="Arial" w:eastAsia="Calibri" w:hAnsi="Arial" w:cs="Arial"/>
          <w:kern w:val="0"/>
          <w14:ligatures w14:val="none"/>
        </w:rPr>
        <w:t xml:space="preserve"> that my preference for reflection fits well with the model’s key areas of focus on observation and concepts. This finding proves useful because it confirms that taking the time to understand experiences before applying what I learn comes naturally to me (</w:t>
      </w:r>
      <w:proofErr w:type="spellStart"/>
      <w:r w:rsidRPr="00F031F8">
        <w:rPr>
          <w:rFonts w:ascii="Arial" w:eastAsia="Calibri" w:hAnsi="Arial" w:cs="Arial"/>
          <w:kern w:val="0"/>
          <w14:ligatures w14:val="none"/>
        </w:rPr>
        <w:t>Lindebaum</w:t>
      </w:r>
      <w:proofErr w:type="spellEnd"/>
      <w:r w:rsidRPr="00F031F8">
        <w:rPr>
          <w:rFonts w:ascii="Arial" w:eastAsia="Calibri" w:hAnsi="Arial" w:cs="Arial"/>
          <w:kern w:val="0"/>
          <w14:ligatures w14:val="none"/>
        </w:rPr>
        <w:t xml:space="preserve"> &amp; Fleming, 2023). I was able to see the utility of the cycle when I used it on a recent personal project. When I received feedback on how I presented (concrete experience), I considered my strengths and weaknesses (reflective observation), learned how to improve through study (abstract </w:t>
      </w:r>
      <w:proofErr w:type="spellStart"/>
      <w:r w:rsidRPr="00F031F8">
        <w:rPr>
          <w:rFonts w:ascii="Arial" w:eastAsia="Calibri" w:hAnsi="Arial" w:cs="Arial"/>
          <w:kern w:val="0"/>
          <w14:ligatures w14:val="none"/>
        </w:rPr>
        <w:t>conceptualisation</w:t>
      </w:r>
      <w:proofErr w:type="spellEnd"/>
      <w:r w:rsidRPr="00F031F8">
        <w:rPr>
          <w:rFonts w:ascii="Arial" w:eastAsia="Calibri" w:hAnsi="Arial" w:cs="Arial"/>
          <w:kern w:val="0"/>
          <w14:ligatures w14:val="none"/>
        </w:rPr>
        <w:t>), and put my findings into practice in multiple presentations (active experimentation). My results using the method were much more effective than ever before when I tried to develop my skills by accident.</w:t>
      </w:r>
    </w:p>
    <w:p w14:paraId="4E9C6569" w14:textId="77777777" w:rsidR="00CF67E0" w:rsidRDefault="00CF67E0" w:rsidP="002B0F3E">
      <w:pPr>
        <w:spacing w:after="0" w:line="360" w:lineRule="auto"/>
        <w:jc w:val="both"/>
        <w:rPr>
          <w:rFonts w:ascii="Arial" w:eastAsia="Calibri" w:hAnsi="Arial" w:cs="Arial"/>
          <w:kern w:val="0"/>
          <w14:ligatures w14:val="none"/>
        </w:rPr>
      </w:pPr>
    </w:p>
    <w:p w14:paraId="5ED8CCE8" w14:textId="32365E81" w:rsidR="00B822FA" w:rsidRPr="00CF67E0" w:rsidRDefault="00B822FA" w:rsidP="002B0F3E">
      <w:pPr>
        <w:spacing w:after="0" w:line="360" w:lineRule="auto"/>
        <w:jc w:val="both"/>
        <w:rPr>
          <w:rFonts w:ascii="Arial" w:eastAsia="Calibri" w:hAnsi="Arial" w:cs="Arial"/>
          <w:b/>
          <w:bCs/>
          <w:kern w:val="0"/>
          <w14:ligatures w14:val="none"/>
        </w:rPr>
      </w:pPr>
      <w:r w:rsidRPr="00CF67E0">
        <w:rPr>
          <w:rFonts w:ascii="Arial" w:eastAsia="Calibri" w:hAnsi="Arial" w:cs="Arial"/>
          <w:b/>
          <w:bCs/>
          <w:kern w:val="0"/>
          <w14:ligatures w14:val="none"/>
        </w:rPr>
        <w:t>Structuring Career Conversations with SWOT</w:t>
      </w:r>
    </w:p>
    <w:p w14:paraId="2BEB2B61" w14:textId="14073B13" w:rsidR="0078512A" w:rsidRPr="0078512A" w:rsidRDefault="0078512A" w:rsidP="0078512A">
      <w:pPr>
        <w:spacing w:after="0" w:line="360" w:lineRule="auto"/>
        <w:jc w:val="both"/>
        <w:rPr>
          <w:rFonts w:ascii="Arial" w:eastAsia="Calibri" w:hAnsi="Arial" w:cs="Arial"/>
          <w:kern w:val="0"/>
          <w14:ligatures w14:val="none"/>
        </w:rPr>
      </w:pPr>
      <w:r w:rsidRPr="0078512A">
        <w:rPr>
          <w:rFonts w:ascii="Arial" w:eastAsia="Calibri" w:hAnsi="Arial" w:cs="Arial"/>
          <w:kern w:val="0"/>
          <w14:ligatures w14:val="none"/>
        </w:rPr>
        <w:t>Having a structure to my career conversations with mentors and peers allowed the SW</w:t>
      </w:r>
      <w:r w:rsidR="00D330E1">
        <w:rPr>
          <w:rFonts w:ascii="Arial" w:eastAsia="Calibri" w:hAnsi="Arial" w:cs="Arial"/>
          <w:kern w:val="0"/>
          <w14:ligatures w14:val="none"/>
        </w:rPr>
        <w:t>O</w:t>
      </w:r>
      <w:r w:rsidRPr="0078512A">
        <w:rPr>
          <w:rFonts w:ascii="Arial" w:eastAsia="Calibri" w:hAnsi="Arial" w:cs="Arial"/>
          <w:kern w:val="0"/>
          <w14:ligatures w14:val="none"/>
        </w:rPr>
        <w:t>T model to help. I like the goal-oriented, solution-focused style of the model because my learning style is pragmatic (</w:t>
      </w:r>
      <w:proofErr w:type="spellStart"/>
      <w:r w:rsidRPr="0078512A">
        <w:rPr>
          <w:rFonts w:ascii="Arial" w:eastAsia="Calibri" w:hAnsi="Arial" w:cs="Arial"/>
          <w:kern w:val="0"/>
          <w14:ligatures w14:val="none"/>
        </w:rPr>
        <w:t>Lindebaum</w:t>
      </w:r>
      <w:proofErr w:type="spellEnd"/>
      <w:r w:rsidRPr="0078512A">
        <w:rPr>
          <w:rFonts w:ascii="Arial" w:eastAsia="Calibri" w:hAnsi="Arial" w:cs="Arial"/>
          <w:kern w:val="0"/>
          <w14:ligatures w14:val="none"/>
        </w:rPr>
        <w:t xml:space="preserve"> &amp; Fleming, 2023). After my most recent career planning attempt, I used the SWOT framework to structure how I spent the session. The structured approach brought out things that would have been lost in an unstructured conversation (Sato, 2023). For example, during the “Weaknesses” phase, I </w:t>
      </w:r>
      <w:proofErr w:type="spellStart"/>
      <w:r w:rsidRPr="0078512A">
        <w:rPr>
          <w:rFonts w:ascii="Arial" w:eastAsia="Calibri" w:hAnsi="Arial" w:cs="Arial"/>
          <w:kern w:val="0"/>
          <w14:ligatures w14:val="none"/>
        </w:rPr>
        <w:t>realised</w:t>
      </w:r>
      <w:proofErr w:type="spellEnd"/>
      <w:r w:rsidRPr="0078512A">
        <w:rPr>
          <w:rFonts w:ascii="Arial" w:eastAsia="Calibri" w:hAnsi="Arial" w:cs="Arial"/>
          <w:kern w:val="0"/>
          <w14:ligatures w14:val="none"/>
        </w:rPr>
        <w:t xml:space="preserve"> that I had been far too critical of what I thought I could do networking, and the “Opportunities” phase opened up avenues of work that I had not previously considered.</w:t>
      </w:r>
    </w:p>
    <w:p w14:paraId="2FCDFC12" w14:textId="6C7642F9" w:rsidR="00CF67E0" w:rsidRPr="00CF67E0" w:rsidRDefault="00CF67E0" w:rsidP="0078512A">
      <w:pPr>
        <w:spacing w:after="0" w:line="360" w:lineRule="auto"/>
        <w:jc w:val="both"/>
        <w:rPr>
          <w:rFonts w:ascii="Arial" w:eastAsia="Calibri" w:hAnsi="Arial" w:cs="Arial"/>
          <w:b/>
          <w:bCs/>
          <w:kern w:val="0"/>
          <w14:ligatures w14:val="none"/>
        </w:rPr>
      </w:pPr>
      <w:r w:rsidRPr="00CF67E0">
        <w:rPr>
          <w:rFonts w:ascii="Arial" w:eastAsia="Calibri" w:hAnsi="Arial" w:cs="Arial"/>
          <w:b/>
          <w:bCs/>
          <w:kern w:val="0"/>
          <w14:ligatures w14:val="none"/>
        </w:rPr>
        <w:lastRenderedPageBreak/>
        <w:t>Adopting a Growth Mindset for Leadership and Challenges</w:t>
      </w:r>
    </w:p>
    <w:p w14:paraId="16057C03" w14:textId="50F3B0AF" w:rsidR="00BB122D" w:rsidRDefault="0078512A" w:rsidP="0078512A">
      <w:pPr>
        <w:spacing w:after="0" w:line="360" w:lineRule="auto"/>
        <w:jc w:val="both"/>
        <w:rPr>
          <w:rFonts w:ascii="Arial" w:eastAsia="Calibri" w:hAnsi="Arial" w:cs="Arial"/>
          <w:kern w:val="0"/>
          <w14:ligatures w14:val="none"/>
        </w:rPr>
      </w:pPr>
      <w:r w:rsidRPr="0078512A">
        <w:rPr>
          <w:rFonts w:ascii="Arial" w:eastAsia="Calibri" w:hAnsi="Arial" w:cs="Arial"/>
          <w:kern w:val="0"/>
          <w14:ligatures w14:val="none"/>
        </w:rPr>
        <w:t xml:space="preserve">The most important learning experience I have had has been from </w:t>
      </w:r>
      <w:r w:rsidR="007A77E4">
        <w:rPr>
          <w:rFonts w:ascii="Arial" w:eastAsia="Calibri" w:hAnsi="Arial" w:cs="Arial"/>
          <w:kern w:val="0"/>
          <w14:ligatures w14:val="none"/>
        </w:rPr>
        <w:t xml:space="preserve"> the</w:t>
      </w:r>
      <w:r w:rsidRPr="0078512A">
        <w:rPr>
          <w:rFonts w:ascii="Arial" w:eastAsia="Calibri" w:hAnsi="Arial" w:cs="Arial"/>
          <w:kern w:val="0"/>
          <w14:ligatures w14:val="none"/>
        </w:rPr>
        <w:t xml:space="preserve"> growth mindset theory. Previously, I ran on a primarily fixed mindset when it came to technical skills and where I appeared to be short in the leadership department. I avoided challenges that would fail right away because drawbacks were a sign of my shortcomings, rather than the chance to learn something. The growth mindset has fundamentally changed my point of view on professional challenges (Sato, 2023). One of the ways I have been challenged recently is any time I have worked on a group project, volunteered to be a leader, or taken on a task I did not feel ready to do, and I have done it anyway. Instead of worrying about failure, I took it as a chance to learn (Hargreaves, Quick and Buchanan, 2020). In times of difficulty, I stuck with what I could take away instead of what I was missing and strove to get constructive feedback, not defensive. These models are integrated into my learning profile, and this forms a powerful framework for professional development.</w:t>
      </w:r>
    </w:p>
    <w:p w14:paraId="20E5590D" w14:textId="77777777" w:rsidR="000F3159" w:rsidRDefault="000F3159" w:rsidP="0078512A">
      <w:pPr>
        <w:spacing w:after="0" w:line="360" w:lineRule="auto"/>
        <w:jc w:val="both"/>
        <w:rPr>
          <w:rFonts w:ascii="Arial" w:eastAsia="Calibri" w:hAnsi="Arial" w:cs="Arial"/>
          <w:kern w:val="0"/>
          <w14:ligatures w14:val="none"/>
        </w:rPr>
      </w:pPr>
    </w:p>
    <w:p w14:paraId="1012B3A7" w14:textId="76D565C6" w:rsidR="000F3159" w:rsidRPr="000F3159" w:rsidRDefault="000F3159" w:rsidP="0078512A">
      <w:pPr>
        <w:spacing w:after="0" w:line="360" w:lineRule="auto"/>
        <w:jc w:val="both"/>
        <w:rPr>
          <w:rFonts w:ascii="Arial" w:eastAsia="Calibri" w:hAnsi="Arial" w:cs="Arial"/>
          <w:b/>
          <w:bCs/>
          <w:kern w:val="0"/>
          <w14:ligatures w14:val="none"/>
        </w:rPr>
      </w:pPr>
      <w:r w:rsidRPr="000F3159">
        <w:rPr>
          <w:rFonts w:ascii="Arial" w:eastAsia="Calibri" w:hAnsi="Arial" w:cs="Arial"/>
          <w:b/>
          <w:bCs/>
          <w:kern w:val="0"/>
          <w14:ligatures w14:val="none"/>
        </w:rPr>
        <w:t>Systematic Implementation of Learning Models</w:t>
      </w:r>
    </w:p>
    <w:p w14:paraId="06E632B3" w14:textId="77777777" w:rsidR="00D13D46" w:rsidRDefault="00D13D46" w:rsidP="00D13D46">
      <w:pPr>
        <w:spacing w:after="0" w:line="360" w:lineRule="auto"/>
        <w:jc w:val="both"/>
        <w:rPr>
          <w:rFonts w:ascii="Arial" w:eastAsia="Calibri" w:hAnsi="Arial" w:cs="Arial"/>
          <w:kern w:val="0"/>
          <w14:ligatures w14:val="none"/>
        </w:rPr>
      </w:pPr>
      <w:r w:rsidRPr="00D13D46">
        <w:rPr>
          <w:rFonts w:ascii="Arial" w:eastAsia="Calibri" w:hAnsi="Arial" w:cs="Arial"/>
          <w:kern w:val="0"/>
          <w14:ligatures w14:val="none"/>
        </w:rPr>
        <w:t xml:space="preserve">will use these models systematically from now on and blend them into my professional development strategy in a comprehensive way, adding the strengths of both while taking into account my learning preferences. This will be my new standard for coming up with skill development plans that follow the experiential learning cycle (Alhur et al., 2023). To do this, I will have a learning journal where I will document, concrete experiences, and spend time each day in reflective observation. I found this to fit my reflective learning style, and at the same time, I made sure to complete the reflection stage (Weller &amp; </w:t>
      </w:r>
      <w:proofErr w:type="spellStart"/>
      <w:r w:rsidRPr="00D13D46">
        <w:rPr>
          <w:rFonts w:ascii="Arial" w:eastAsia="Calibri" w:hAnsi="Arial" w:cs="Arial"/>
          <w:kern w:val="0"/>
          <w14:ligatures w14:val="none"/>
        </w:rPr>
        <w:t>Gotian</w:t>
      </w:r>
      <w:proofErr w:type="spellEnd"/>
      <w:r w:rsidRPr="00D13D46">
        <w:rPr>
          <w:rFonts w:ascii="Arial" w:eastAsia="Calibri" w:hAnsi="Arial" w:cs="Arial"/>
          <w:kern w:val="0"/>
          <w14:ligatures w14:val="none"/>
        </w:rPr>
        <w:t>, 2023). For abstract conceptualization, I will research appropriate theories and practices, in addition to creating visual summaries that will satisfy my visual learning style.</w:t>
      </w:r>
    </w:p>
    <w:p w14:paraId="3493FCF1" w14:textId="77777777" w:rsidR="00280959" w:rsidRDefault="00280959" w:rsidP="00D13D46">
      <w:pPr>
        <w:spacing w:after="0" w:line="360" w:lineRule="auto"/>
        <w:jc w:val="both"/>
        <w:rPr>
          <w:rFonts w:ascii="Arial" w:eastAsia="Calibri" w:hAnsi="Arial" w:cs="Arial"/>
          <w:kern w:val="0"/>
          <w14:ligatures w14:val="none"/>
        </w:rPr>
      </w:pPr>
    </w:p>
    <w:p w14:paraId="4A59ECB4" w14:textId="5A5E3ACD" w:rsidR="00280959" w:rsidRPr="00280959" w:rsidRDefault="00280959" w:rsidP="00D13D46">
      <w:pPr>
        <w:spacing w:after="0" w:line="360" w:lineRule="auto"/>
        <w:jc w:val="both"/>
        <w:rPr>
          <w:rFonts w:ascii="Arial" w:eastAsia="Calibri" w:hAnsi="Arial" w:cs="Arial"/>
          <w:b/>
          <w:bCs/>
          <w:kern w:val="0"/>
          <w14:ligatures w14:val="none"/>
        </w:rPr>
      </w:pPr>
      <w:r w:rsidRPr="00280959">
        <w:rPr>
          <w:rFonts w:ascii="Arial" w:eastAsia="Calibri" w:hAnsi="Arial" w:cs="Arial"/>
          <w:b/>
          <w:bCs/>
          <w:kern w:val="0"/>
          <w14:ligatures w14:val="none"/>
        </w:rPr>
        <w:t>Practical Development Plan: Public Speaking and Project Management</w:t>
      </w:r>
    </w:p>
    <w:p w14:paraId="5E139BDC" w14:textId="77777777" w:rsidR="00D13D46" w:rsidRDefault="00D13D46" w:rsidP="00D13D46">
      <w:pPr>
        <w:spacing w:after="0" w:line="360" w:lineRule="auto"/>
        <w:jc w:val="both"/>
        <w:rPr>
          <w:rFonts w:ascii="Arial" w:eastAsia="Calibri" w:hAnsi="Arial" w:cs="Arial"/>
          <w:b/>
          <w:bCs/>
          <w:kern w:val="0"/>
          <w14:ligatures w14:val="none"/>
        </w:rPr>
      </w:pPr>
      <w:r w:rsidRPr="00D13D46">
        <w:rPr>
          <w:rFonts w:ascii="Arial" w:eastAsia="Calibri" w:hAnsi="Arial" w:cs="Arial"/>
          <w:kern w:val="0"/>
          <w14:ligatures w14:val="none"/>
        </w:rPr>
        <w:t xml:space="preserve">In the active experimentation phase, I will practice deliberately with specific improvement targets. For example, I will seek out opportunities to improve my public speaking skills (concrete experience), write about each speaking experience so I can reflect on how I can improve (reflective observation), study presentation techniques and communication theories (abstract conceptualization), and practice what I have learned in future presentations (active experimentation) (Hargreaves, Quick, &amp; </w:t>
      </w:r>
      <w:r w:rsidRPr="00D13D46">
        <w:rPr>
          <w:rFonts w:ascii="Arial" w:eastAsia="Calibri" w:hAnsi="Arial" w:cs="Arial"/>
          <w:kern w:val="0"/>
          <w14:ligatures w14:val="none"/>
        </w:rPr>
        <w:lastRenderedPageBreak/>
        <w:t>Buchanan, 2020). This will continue to repeat until the skills are developed in a systematic way</w:t>
      </w:r>
      <w:r w:rsidRPr="00D13D46">
        <w:rPr>
          <w:rFonts w:ascii="Arial" w:eastAsia="Calibri" w:hAnsi="Arial" w:cs="Arial"/>
          <w:b/>
          <w:bCs/>
          <w:kern w:val="0"/>
          <w14:ligatures w14:val="none"/>
        </w:rPr>
        <w:t>.</w:t>
      </w:r>
    </w:p>
    <w:p w14:paraId="6DC0103D" w14:textId="0D3C2623" w:rsidR="00BB122D" w:rsidRPr="002B0F3E" w:rsidRDefault="00B95A3F" w:rsidP="00BB122D">
      <w:pPr>
        <w:spacing w:after="0" w:line="360" w:lineRule="auto"/>
        <w:jc w:val="both"/>
        <w:rPr>
          <w:rFonts w:ascii="Arial" w:eastAsia="Calibri" w:hAnsi="Arial" w:cs="Arial"/>
          <w:kern w:val="0"/>
          <w14:ligatures w14:val="none"/>
        </w:rPr>
      </w:pPr>
      <w:r w:rsidRPr="00B95A3F">
        <w:rPr>
          <w:rFonts w:ascii="Arial" w:eastAsia="Calibri" w:hAnsi="Arial" w:cs="Arial"/>
          <w:kern w:val="0"/>
          <w14:ligatures w14:val="none"/>
        </w:rPr>
        <w:t>I will structure my regular self-directed and mentor-led career planning sessions on the SWOT model. I will take the initiative to set aside some time once a month to conduct a self-coaching session using the SWOT framework and take notes for each of them to measure progress and also to feed back to me. In addition, I will also share this model and copy the meeting structure with my lecturer and request that we continue to have meetings in this format to optimize its effectiveness. In particular, I will use SWOT to help me progress in developing my project management skills, which is currently one of my top priorities (Morgan et al., 2024). In the goal phase, the goal will be to set specific and measurable goals in the area of project management competency. This will include a reality check, both an assessment of current competencies and identification of gaps. The exploration of options will consider certification, practical experience, and mentoring opportunities. Concrete action steps, along with appropriate timelines and accountability measures, will be part of the Path Forward. I will base my professional development on the principles of growth mindset (Hughes, Warhurst, &amp; Duarte, 2021). I will continue to keep a growth mindset journal to reinforce this mindset shift, noting any times I have embraced a challenge instead of the comfortable path, learned from failure, or persevered through difficulty. For example, GROW sessions will introduce the principles of growth mindset, challenges are viewed as opportunities, and the Kolb cycle will be used as a learning structure when implementing SWOT action plans.</w:t>
      </w:r>
    </w:p>
    <w:p w14:paraId="680B4A5E" w14:textId="77777777" w:rsidR="002B0F3E" w:rsidRPr="002B0F3E" w:rsidRDefault="002B0F3E" w:rsidP="002B0F3E">
      <w:pPr>
        <w:spacing w:after="0" w:line="360" w:lineRule="auto"/>
        <w:jc w:val="both"/>
        <w:rPr>
          <w:rFonts w:ascii="Arial" w:eastAsia="Calibri" w:hAnsi="Arial" w:cs="Arial"/>
          <w:b/>
          <w:bCs/>
          <w:kern w:val="0"/>
          <w14:ligatures w14:val="none"/>
        </w:rPr>
      </w:pPr>
      <w:r w:rsidRPr="002B0F3E">
        <w:rPr>
          <w:rFonts w:ascii="Arial" w:eastAsia="Calibri" w:hAnsi="Arial" w:cs="Arial"/>
          <w:b/>
          <w:bCs/>
          <w:kern w:val="0"/>
          <w14:ligatures w14:val="none"/>
        </w:rPr>
        <w:t>Conclusion</w:t>
      </w:r>
    </w:p>
    <w:p w14:paraId="32788B9D" w14:textId="4AC79A7B" w:rsidR="002B0F3E" w:rsidRPr="002B0F3E" w:rsidRDefault="00454F9B" w:rsidP="002B0F3E">
      <w:pPr>
        <w:spacing w:after="0" w:line="360" w:lineRule="auto"/>
        <w:jc w:val="both"/>
        <w:rPr>
          <w:rFonts w:ascii="Arial" w:eastAsia="Calibri" w:hAnsi="Arial" w:cs="Arial"/>
          <w:kern w:val="0"/>
          <w14:ligatures w14:val="none"/>
        </w:rPr>
      </w:pPr>
      <w:r w:rsidRPr="00454F9B">
        <w:rPr>
          <w:rFonts w:ascii="Arial" w:eastAsia="Calibri" w:hAnsi="Arial" w:cs="Arial"/>
          <w:kern w:val="0"/>
          <w14:ligatures w14:val="none"/>
        </w:rPr>
        <w:t>By using this reflective cycle, I have been able to understand in a deeper way how I can use the Learning Cycle, the SWOT Model and the Growth Mindset theory to change my career development model. Each of these frameworks involves a different aspect of professional growth and complements my learning preferences. This is a huge advancement over the way I previously did this in a completely new way, to create a systematic implementation that will take me through my career.</w:t>
      </w:r>
    </w:p>
    <w:p w14:paraId="5590DD07" w14:textId="77777777" w:rsidR="002B0F3E" w:rsidRPr="002B0F3E" w:rsidRDefault="002B0F3E" w:rsidP="002B0F3E">
      <w:pPr>
        <w:spacing w:after="0" w:line="360" w:lineRule="auto"/>
        <w:jc w:val="both"/>
        <w:rPr>
          <w:rFonts w:ascii="Arial" w:eastAsia="Calibri" w:hAnsi="Arial" w:cs="Arial"/>
          <w:kern w:val="0"/>
          <w14:ligatures w14:val="none"/>
        </w:rPr>
      </w:pPr>
    </w:p>
    <w:p w14:paraId="317C2AF6" w14:textId="77777777" w:rsidR="002B0F3E" w:rsidRPr="002B0F3E" w:rsidRDefault="002B0F3E" w:rsidP="002B0F3E">
      <w:pPr>
        <w:spacing w:after="0" w:line="360" w:lineRule="auto"/>
        <w:jc w:val="both"/>
        <w:rPr>
          <w:rFonts w:ascii="Arial" w:eastAsia="Calibri" w:hAnsi="Arial" w:cs="Arial"/>
          <w:kern w:val="0"/>
          <w14:ligatures w14:val="none"/>
        </w:rPr>
      </w:pPr>
      <w:r w:rsidRPr="002B0F3E">
        <w:rPr>
          <w:rFonts w:ascii="Arial" w:eastAsia="Calibri" w:hAnsi="Arial" w:cs="Arial"/>
          <w:kern w:val="0"/>
          <w14:ligatures w14:val="none"/>
        </w:rPr>
        <w:t>References</w:t>
      </w:r>
    </w:p>
    <w:p w14:paraId="0388FBE8" w14:textId="77777777" w:rsidR="002B0F3E" w:rsidRPr="002B0F3E" w:rsidRDefault="002B0F3E" w:rsidP="002B0F3E">
      <w:pPr>
        <w:spacing w:after="0" w:line="360" w:lineRule="auto"/>
        <w:ind w:left="720" w:hanging="720"/>
        <w:rPr>
          <w:rFonts w:ascii="Arial" w:eastAsia="Times New Roman" w:hAnsi="Arial" w:cs="Arial"/>
          <w:kern w:val="0"/>
          <w14:ligatures w14:val="none"/>
        </w:rPr>
      </w:pPr>
      <w:r w:rsidRPr="002B0F3E">
        <w:rPr>
          <w:rFonts w:ascii="Arial" w:eastAsia="Times New Roman" w:hAnsi="Arial" w:cs="Arial"/>
          <w:kern w:val="0"/>
          <w14:ligatures w14:val="none"/>
        </w:rPr>
        <w:t xml:space="preserve">Alhur, A., Ali Alhur, A., Alhur, A., Almalki, K., </w:t>
      </w:r>
      <w:proofErr w:type="spellStart"/>
      <w:r w:rsidRPr="002B0F3E">
        <w:rPr>
          <w:rFonts w:ascii="Arial" w:eastAsia="Times New Roman" w:hAnsi="Arial" w:cs="Arial"/>
          <w:kern w:val="0"/>
          <w14:ligatures w14:val="none"/>
        </w:rPr>
        <w:t>Aljoudi</w:t>
      </w:r>
      <w:proofErr w:type="spellEnd"/>
      <w:r w:rsidRPr="002B0F3E">
        <w:rPr>
          <w:rFonts w:ascii="Arial" w:eastAsia="Times New Roman" w:hAnsi="Arial" w:cs="Arial"/>
          <w:kern w:val="0"/>
          <w14:ligatures w14:val="none"/>
        </w:rPr>
        <w:t xml:space="preserve">, R., </w:t>
      </w:r>
      <w:proofErr w:type="spellStart"/>
      <w:r w:rsidRPr="002B0F3E">
        <w:rPr>
          <w:rFonts w:ascii="Arial" w:eastAsia="Times New Roman" w:hAnsi="Arial" w:cs="Arial"/>
          <w:kern w:val="0"/>
          <w14:ligatures w14:val="none"/>
        </w:rPr>
        <w:t>Aloqla</w:t>
      </w:r>
      <w:proofErr w:type="spellEnd"/>
      <w:r w:rsidRPr="002B0F3E">
        <w:rPr>
          <w:rFonts w:ascii="Arial" w:eastAsia="Times New Roman" w:hAnsi="Arial" w:cs="Arial"/>
          <w:kern w:val="0"/>
          <w14:ligatures w14:val="none"/>
        </w:rPr>
        <w:t xml:space="preserve">, H., </w:t>
      </w:r>
      <w:proofErr w:type="spellStart"/>
      <w:r w:rsidRPr="002B0F3E">
        <w:rPr>
          <w:rFonts w:ascii="Arial" w:eastAsia="Times New Roman" w:hAnsi="Arial" w:cs="Arial"/>
          <w:kern w:val="0"/>
          <w14:ligatures w14:val="none"/>
        </w:rPr>
        <w:t>AlKayyal</w:t>
      </w:r>
      <w:proofErr w:type="spellEnd"/>
      <w:r w:rsidRPr="002B0F3E">
        <w:rPr>
          <w:rFonts w:ascii="Arial" w:eastAsia="Times New Roman" w:hAnsi="Arial" w:cs="Arial"/>
          <w:kern w:val="0"/>
          <w14:ligatures w14:val="none"/>
        </w:rPr>
        <w:t xml:space="preserve">, S., Almalki, M.S., </w:t>
      </w:r>
      <w:proofErr w:type="spellStart"/>
      <w:r w:rsidRPr="002B0F3E">
        <w:rPr>
          <w:rFonts w:ascii="Arial" w:eastAsia="Times New Roman" w:hAnsi="Arial" w:cs="Arial"/>
          <w:kern w:val="0"/>
          <w14:ligatures w14:val="none"/>
        </w:rPr>
        <w:t>Alenazi</w:t>
      </w:r>
      <w:proofErr w:type="spellEnd"/>
      <w:r w:rsidRPr="002B0F3E">
        <w:rPr>
          <w:rFonts w:ascii="Arial" w:eastAsia="Times New Roman" w:hAnsi="Arial" w:cs="Arial"/>
          <w:kern w:val="0"/>
          <w14:ligatures w14:val="none"/>
        </w:rPr>
        <w:t xml:space="preserve">, A. and Almalki, A.F., 2023. Evaluating computer science students’ experiences and motivation towards learning artificial </w:t>
      </w:r>
      <w:r w:rsidRPr="002B0F3E">
        <w:rPr>
          <w:rFonts w:ascii="Arial" w:eastAsia="Times New Roman" w:hAnsi="Arial" w:cs="Arial"/>
          <w:kern w:val="0"/>
          <w14:ligatures w14:val="none"/>
        </w:rPr>
        <w:lastRenderedPageBreak/>
        <w:t xml:space="preserve">intelligence. </w:t>
      </w:r>
      <w:r w:rsidRPr="002B0F3E">
        <w:rPr>
          <w:rFonts w:ascii="Arial" w:eastAsia="Times New Roman" w:hAnsi="Arial" w:cs="Arial"/>
          <w:i/>
          <w:iCs/>
          <w:kern w:val="0"/>
          <w14:ligatures w14:val="none"/>
        </w:rPr>
        <w:t>British Journal of Teacher Education and Pedagogy</w:t>
      </w:r>
      <w:r w:rsidRPr="002B0F3E">
        <w:rPr>
          <w:rFonts w:ascii="Arial" w:eastAsia="Times New Roman" w:hAnsi="Arial" w:cs="Arial"/>
          <w:kern w:val="0"/>
          <w14:ligatures w14:val="none"/>
        </w:rPr>
        <w:t xml:space="preserve">, </w:t>
      </w:r>
      <w:r w:rsidRPr="002B0F3E">
        <w:rPr>
          <w:rFonts w:ascii="Arial" w:eastAsia="Times New Roman" w:hAnsi="Arial" w:cs="Arial"/>
          <w:b/>
          <w:kern w:val="0"/>
          <w14:ligatures w14:val="none"/>
        </w:rPr>
        <w:t>2</w:t>
      </w:r>
      <w:r w:rsidRPr="002B0F3E">
        <w:rPr>
          <w:rFonts w:ascii="Arial" w:eastAsia="Times New Roman" w:hAnsi="Arial" w:cs="Arial"/>
          <w:kern w:val="0"/>
          <w14:ligatures w14:val="none"/>
        </w:rPr>
        <w:t>(3), pp.49–56.</w:t>
      </w:r>
    </w:p>
    <w:p w14:paraId="3934B345" w14:textId="77777777" w:rsidR="002B0F3E" w:rsidRPr="002B0F3E" w:rsidRDefault="002B0F3E" w:rsidP="002B0F3E">
      <w:pPr>
        <w:spacing w:after="0" w:line="360" w:lineRule="auto"/>
        <w:ind w:left="720" w:hanging="720"/>
        <w:rPr>
          <w:rFonts w:ascii="Arial" w:eastAsia="Times New Roman" w:hAnsi="Arial" w:cs="Arial"/>
          <w:kern w:val="0"/>
          <w14:ligatures w14:val="none"/>
        </w:rPr>
      </w:pPr>
      <w:r w:rsidRPr="002B0F3E">
        <w:rPr>
          <w:rFonts w:ascii="Arial" w:eastAsia="Times New Roman" w:hAnsi="Arial" w:cs="Arial"/>
          <w:kern w:val="0"/>
          <w14:ligatures w14:val="none"/>
        </w:rPr>
        <w:t>Chiu, M., Hwang, G. and Hsia, L., 2022. Promoting students’ artwork appreciation: An experiential learning</w:t>
      </w:r>
      <w:r w:rsidRPr="002B0F3E">
        <w:rPr>
          <w:rFonts w:ascii="Cambria Math" w:eastAsia="Times New Roman" w:hAnsi="Cambria Math" w:cs="Cambria Math"/>
          <w:kern w:val="0"/>
          <w14:ligatures w14:val="none"/>
        </w:rPr>
        <w:t>‐</w:t>
      </w:r>
      <w:r w:rsidRPr="002B0F3E">
        <w:rPr>
          <w:rFonts w:ascii="Arial" w:eastAsia="Times New Roman" w:hAnsi="Arial" w:cs="Arial"/>
          <w:kern w:val="0"/>
          <w14:ligatures w14:val="none"/>
        </w:rPr>
        <w:t xml:space="preserve">based virtual reality approach. </w:t>
      </w:r>
      <w:r w:rsidRPr="002B0F3E">
        <w:rPr>
          <w:rFonts w:ascii="Arial" w:eastAsia="Times New Roman" w:hAnsi="Arial" w:cs="Arial"/>
          <w:i/>
          <w:iCs/>
          <w:kern w:val="0"/>
          <w14:ligatures w14:val="none"/>
        </w:rPr>
        <w:t>British Journal of Educational Technology</w:t>
      </w:r>
      <w:r w:rsidRPr="002B0F3E">
        <w:rPr>
          <w:rFonts w:ascii="Arial" w:eastAsia="Times New Roman" w:hAnsi="Arial" w:cs="Arial"/>
          <w:kern w:val="0"/>
          <w14:ligatures w14:val="none"/>
        </w:rPr>
        <w:t xml:space="preserve">, </w:t>
      </w:r>
      <w:r w:rsidRPr="002B0F3E">
        <w:rPr>
          <w:rFonts w:ascii="Arial" w:eastAsia="Times New Roman" w:hAnsi="Arial" w:cs="Arial"/>
          <w:b/>
          <w:kern w:val="0"/>
          <w14:ligatures w14:val="none"/>
        </w:rPr>
        <w:t>54</w:t>
      </w:r>
      <w:r w:rsidRPr="002B0F3E">
        <w:rPr>
          <w:rFonts w:ascii="Arial" w:eastAsia="Times New Roman" w:hAnsi="Arial" w:cs="Arial"/>
          <w:kern w:val="0"/>
          <w14:ligatures w14:val="none"/>
        </w:rPr>
        <w:t>(2), pp.603–621.</w:t>
      </w:r>
    </w:p>
    <w:p w14:paraId="35CE3C8D" w14:textId="77777777" w:rsidR="002B0F3E" w:rsidRPr="002B0F3E" w:rsidRDefault="002B0F3E" w:rsidP="002B0F3E">
      <w:pPr>
        <w:spacing w:after="0" w:line="360" w:lineRule="auto"/>
        <w:ind w:left="720" w:hanging="720"/>
        <w:rPr>
          <w:rFonts w:ascii="Arial" w:eastAsia="Times New Roman" w:hAnsi="Arial" w:cs="Arial"/>
          <w:kern w:val="0"/>
          <w14:ligatures w14:val="none"/>
        </w:rPr>
      </w:pPr>
      <w:r w:rsidRPr="002B0F3E">
        <w:rPr>
          <w:rFonts w:ascii="Arial" w:eastAsia="Times New Roman" w:hAnsi="Arial" w:cs="Arial"/>
          <w:kern w:val="0"/>
          <w14:ligatures w14:val="none"/>
        </w:rPr>
        <w:t xml:space="preserve">Hargreaves, E., Quick, L. and Buchanan, D., 2020. Systemic threats to the growth mindset: classroom experiences of agency among children designated as ‘lower-attaining’. </w:t>
      </w:r>
      <w:r w:rsidRPr="002B0F3E">
        <w:rPr>
          <w:rFonts w:ascii="Arial" w:eastAsia="Times New Roman" w:hAnsi="Arial" w:cs="Arial"/>
          <w:i/>
          <w:iCs/>
          <w:kern w:val="0"/>
          <w14:ligatures w14:val="none"/>
        </w:rPr>
        <w:t>Cambridge Journal of Education</w:t>
      </w:r>
      <w:r w:rsidRPr="002B0F3E">
        <w:rPr>
          <w:rFonts w:ascii="Arial" w:eastAsia="Times New Roman" w:hAnsi="Arial" w:cs="Arial"/>
          <w:kern w:val="0"/>
          <w14:ligatures w14:val="none"/>
        </w:rPr>
        <w:t xml:space="preserve">, </w:t>
      </w:r>
      <w:r w:rsidRPr="002B0F3E">
        <w:rPr>
          <w:rFonts w:ascii="Arial" w:eastAsia="Times New Roman" w:hAnsi="Arial" w:cs="Arial"/>
          <w:b/>
          <w:kern w:val="0"/>
          <w14:ligatures w14:val="none"/>
        </w:rPr>
        <w:t>51</w:t>
      </w:r>
      <w:r w:rsidRPr="002B0F3E">
        <w:rPr>
          <w:rFonts w:ascii="Arial" w:eastAsia="Times New Roman" w:hAnsi="Arial" w:cs="Arial"/>
          <w:kern w:val="0"/>
          <w14:ligatures w14:val="none"/>
        </w:rPr>
        <w:t>(3), pp.283–299.</w:t>
      </w:r>
    </w:p>
    <w:p w14:paraId="43F5C8EF" w14:textId="77777777" w:rsidR="002B0F3E" w:rsidRPr="002B0F3E" w:rsidRDefault="002B0F3E" w:rsidP="002B0F3E">
      <w:pPr>
        <w:spacing w:after="0" w:line="360" w:lineRule="auto"/>
        <w:ind w:left="720" w:hanging="720"/>
        <w:rPr>
          <w:rFonts w:ascii="Arial" w:eastAsia="Times New Roman" w:hAnsi="Arial" w:cs="Arial"/>
          <w:kern w:val="0"/>
          <w14:ligatures w14:val="none"/>
        </w:rPr>
      </w:pPr>
      <w:r w:rsidRPr="002B0F3E">
        <w:rPr>
          <w:rFonts w:ascii="Arial" w:eastAsia="Times New Roman" w:hAnsi="Arial" w:cs="Arial"/>
          <w:kern w:val="0"/>
          <w14:ligatures w14:val="none"/>
        </w:rPr>
        <w:t xml:space="preserve">Hughes, D., Warhurst, C. and Duarte, M.E., 2021. Decent work, inclusion and sustainability: a new era lies ahead. </w:t>
      </w:r>
      <w:r w:rsidRPr="002B0F3E">
        <w:rPr>
          <w:rFonts w:ascii="Arial" w:eastAsia="Times New Roman" w:hAnsi="Arial" w:cs="Arial"/>
          <w:i/>
          <w:iCs/>
          <w:kern w:val="0"/>
          <w14:ligatures w14:val="none"/>
        </w:rPr>
        <w:t>British Journal of Guidance &amp; Counselling</w:t>
      </w:r>
      <w:r w:rsidRPr="002B0F3E">
        <w:rPr>
          <w:rFonts w:ascii="Arial" w:eastAsia="Times New Roman" w:hAnsi="Arial" w:cs="Arial"/>
          <w:kern w:val="0"/>
          <w14:ligatures w14:val="none"/>
        </w:rPr>
        <w:t xml:space="preserve">, </w:t>
      </w:r>
      <w:r w:rsidRPr="002B0F3E">
        <w:rPr>
          <w:rFonts w:ascii="Arial" w:eastAsia="Times New Roman" w:hAnsi="Arial" w:cs="Arial"/>
          <w:b/>
          <w:kern w:val="0"/>
          <w14:ligatures w14:val="none"/>
        </w:rPr>
        <w:t>49</w:t>
      </w:r>
      <w:r w:rsidRPr="002B0F3E">
        <w:rPr>
          <w:rFonts w:ascii="Arial" w:eastAsia="Times New Roman" w:hAnsi="Arial" w:cs="Arial"/>
          <w:kern w:val="0"/>
          <w14:ligatures w14:val="none"/>
        </w:rPr>
        <w:t>(2), pp.145–152.</w:t>
      </w:r>
    </w:p>
    <w:p w14:paraId="472A5F40" w14:textId="77777777" w:rsidR="002B0F3E" w:rsidRPr="002B0F3E" w:rsidRDefault="002B0F3E" w:rsidP="002B0F3E">
      <w:pPr>
        <w:spacing w:after="0" w:line="360" w:lineRule="auto"/>
        <w:ind w:left="720" w:hanging="720"/>
        <w:rPr>
          <w:rFonts w:ascii="Arial" w:eastAsia="Times New Roman" w:hAnsi="Arial" w:cs="Arial"/>
          <w:kern w:val="0"/>
          <w14:ligatures w14:val="none"/>
        </w:rPr>
      </w:pPr>
      <w:r w:rsidRPr="002B0F3E">
        <w:rPr>
          <w:rFonts w:ascii="Arial" w:eastAsia="Times New Roman" w:hAnsi="Arial" w:cs="Arial"/>
          <w:kern w:val="0"/>
          <w14:ligatures w14:val="none"/>
        </w:rPr>
        <w:t xml:space="preserve">Kayes, D.C. and Kayes, A.B., 2021. Experiential learning and education in management. </w:t>
      </w:r>
      <w:r w:rsidRPr="002B0F3E">
        <w:rPr>
          <w:rFonts w:ascii="Arial" w:eastAsia="Times New Roman" w:hAnsi="Arial" w:cs="Arial"/>
          <w:i/>
          <w:iCs/>
          <w:kern w:val="0"/>
          <w14:ligatures w14:val="none"/>
        </w:rPr>
        <w:t>Oxford Research Encyclopedia of Business and Management</w:t>
      </w:r>
      <w:r w:rsidRPr="002B0F3E">
        <w:rPr>
          <w:rFonts w:ascii="Arial" w:eastAsia="Times New Roman" w:hAnsi="Arial" w:cs="Arial"/>
          <w:kern w:val="0"/>
          <w14:ligatures w14:val="none"/>
        </w:rPr>
        <w:t xml:space="preserve">, </w:t>
      </w:r>
      <w:r w:rsidRPr="002B0F3E">
        <w:rPr>
          <w:rFonts w:ascii="Arial" w:eastAsia="Times New Roman" w:hAnsi="Arial" w:cs="Arial"/>
          <w:b/>
          <w:kern w:val="0"/>
          <w14:ligatures w14:val="none"/>
        </w:rPr>
        <w:t>1</w:t>
      </w:r>
      <w:r w:rsidRPr="002B0F3E">
        <w:rPr>
          <w:rFonts w:ascii="Arial" w:eastAsia="Times New Roman" w:hAnsi="Arial" w:cs="Arial"/>
          <w:kern w:val="0"/>
          <w14:ligatures w14:val="none"/>
        </w:rPr>
        <w:t>(1), pp.1–6.</w:t>
      </w:r>
    </w:p>
    <w:p w14:paraId="3F94FFB4" w14:textId="77777777" w:rsidR="002B0F3E" w:rsidRPr="002B0F3E" w:rsidRDefault="002B0F3E" w:rsidP="002B0F3E">
      <w:pPr>
        <w:spacing w:after="0" w:line="360" w:lineRule="auto"/>
        <w:ind w:left="720" w:hanging="720"/>
        <w:rPr>
          <w:rFonts w:ascii="Arial" w:eastAsia="Times New Roman" w:hAnsi="Arial" w:cs="Arial"/>
          <w:kern w:val="0"/>
          <w14:ligatures w14:val="none"/>
        </w:rPr>
      </w:pPr>
      <w:proofErr w:type="spellStart"/>
      <w:r w:rsidRPr="002B0F3E">
        <w:rPr>
          <w:rFonts w:ascii="Arial" w:eastAsia="Times New Roman" w:hAnsi="Arial" w:cs="Arial"/>
          <w:kern w:val="0"/>
          <w14:ligatures w14:val="none"/>
        </w:rPr>
        <w:t>Lindebaum</w:t>
      </w:r>
      <w:proofErr w:type="spellEnd"/>
      <w:r w:rsidRPr="002B0F3E">
        <w:rPr>
          <w:rFonts w:ascii="Arial" w:eastAsia="Times New Roman" w:hAnsi="Arial" w:cs="Arial"/>
          <w:kern w:val="0"/>
          <w14:ligatures w14:val="none"/>
        </w:rPr>
        <w:t xml:space="preserve">, D. and Fleming, P., 2023. ChatGPT undermines human reflexivity, scientific responsibility and responsible management research. </w:t>
      </w:r>
      <w:r w:rsidRPr="002B0F3E">
        <w:rPr>
          <w:rFonts w:ascii="Arial" w:eastAsia="Times New Roman" w:hAnsi="Arial" w:cs="Arial"/>
          <w:i/>
          <w:iCs/>
          <w:kern w:val="0"/>
          <w14:ligatures w14:val="none"/>
        </w:rPr>
        <w:t>British Journal of Management</w:t>
      </w:r>
      <w:r w:rsidRPr="002B0F3E">
        <w:rPr>
          <w:rFonts w:ascii="Arial" w:eastAsia="Times New Roman" w:hAnsi="Arial" w:cs="Arial"/>
          <w:kern w:val="0"/>
          <w14:ligatures w14:val="none"/>
        </w:rPr>
        <w:t xml:space="preserve">, </w:t>
      </w:r>
      <w:r w:rsidRPr="002B0F3E">
        <w:rPr>
          <w:rFonts w:ascii="Arial" w:eastAsia="Times New Roman" w:hAnsi="Arial" w:cs="Arial"/>
          <w:b/>
          <w:kern w:val="0"/>
          <w14:ligatures w14:val="none"/>
        </w:rPr>
        <w:t>35</w:t>
      </w:r>
      <w:r w:rsidRPr="002B0F3E">
        <w:rPr>
          <w:rFonts w:ascii="Arial" w:eastAsia="Times New Roman" w:hAnsi="Arial" w:cs="Arial"/>
          <w:kern w:val="0"/>
          <w14:ligatures w14:val="none"/>
        </w:rPr>
        <w:t>(2), pp.566–575.</w:t>
      </w:r>
    </w:p>
    <w:p w14:paraId="522273FB" w14:textId="77777777" w:rsidR="002B0F3E" w:rsidRPr="002B0F3E" w:rsidRDefault="002B0F3E" w:rsidP="002B0F3E">
      <w:pPr>
        <w:spacing w:after="0" w:line="360" w:lineRule="auto"/>
        <w:ind w:left="720" w:hanging="720"/>
        <w:rPr>
          <w:rFonts w:ascii="Arial" w:eastAsia="Times New Roman" w:hAnsi="Arial" w:cs="Arial"/>
          <w:kern w:val="0"/>
          <w14:ligatures w14:val="none"/>
        </w:rPr>
      </w:pPr>
      <w:r w:rsidRPr="002B0F3E">
        <w:rPr>
          <w:rFonts w:ascii="Arial" w:eastAsia="Times New Roman" w:hAnsi="Arial" w:cs="Arial"/>
          <w:kern w:val="0"/>
          <w14:ligatures w14:val="none"/>
        </w:rPr>
        <w:t xml:space="preserve">Morgan, K., Reed, H., Garay, S., Vocht, F. de and Murphy, S., 2024. Perceived impacts of a school-based growth mindset </w:t>
      </w:r>
      <w:proofErr w:type="spellStart"/>
      <w:r w:rsidRPr="002B0F3E">
        <w:rPr>
          <w:rFonts w:ascii="Arial" w:eastAsia="Times New Roman" w:hAnsi="Arial" w:cs="Arial"/>
          <w:kern w:val="0"/>
          <w14:ligatures w14:val="none"/>
        </w:rPr>
        <w:t>programme</w:t>
      </w:r>
      <w:proofErr w:type="spellEnd"/>
      <w:r w:rsidRPr="002B0F3E">
        <w:rPr>
          <w:rFonts w:ascii="Arial" w:eastAsia="Times New Roman" w:hAnsi="Arial" w:cs="Arial"/>
          <w:kern w:val="0"/>
          <w14:ligatures w14:val="none"/>
        </w:rPr>
        <w:t xml:space="preserve"> ‘Mindset Teams’ in Scotland: a qualitative study. </w:t>
      </w:r>
      <w:r w:rsidRPr="002B0F3E">
        <w:rPr>
          <w:rFonts w:ascii="Arial" w:eastAsia="Times New Roman" w:hAnsi="Arial" w:cs="Arial"/>
          <w:i/>
          <w:iCs/>
          <w:kern w:val="0"/>
          <w14:ligatures w14:val="none"/>
        </w:rPr>
        <w:t>BMC Public Health</w:t>
      </w:r>
      <w:r w:rsidRPr="002B0F3E">
        <w:rPr>
          <w:rFonts w:ascii="Arial" w:eastAsia="Times New Roman" w:hAnsi="Arial" w:cs="Arial"/>
          <w:kern w:val="0"/>
          <w14:ligatures w14:val="none"/>
        </w:rPr>
        <w:t xml:space="preserve">, </w:t>
      </w:r>
      <w:r w:rsidRPr="002B0F3E">
        <w:rPr>
          <w:rFonts w:ascii="Arial" w:eastAsia="Times New Roman" w:hAnsi="Arial" w:cs="Arial"/>
          <w:b/>
          <w:kern w:val="0"/>
          <w14:ligatures w14:val="none"/>
        </w:rPr>
        <w:t>24</w:t>
      </w:r>
      <w:r w:rsidRPr="002B0F3E">
        <w:rPr>
          <w:rFonts w:ascii="Arial" w:eastAsia="Times New Roman" w:hAnsi="Arial" w:cs="Arial"/>
          <w:kern w:val="0"/>
          <w14:ligatures w14:val="none"/>
        </w:rPr>
        <w:t>(1), pp.1–14.</w:t>
      </w:r>
    </w:p>
    <w:p w14:paraId="0EC84AFD" w14:textId="6C22C2E9" w:rsidR="002B0F3E" w:rsidRPr="002B0F3E" w:rsidRDefault="002B0F3E" w:rsidP="002B0F3E">
      <w:pPr>
        <w:spacing w:after="0" w:line="360" w:lineRule="auto"/>
        <w:ind w:left="720" w:hanging="720"/>
        <w:rPr>
          <w:rFonts w:ascii="Arial" w:eastAsia="Times New Roman" w:hAnsi="Arial" w:cs="Arial"/>
          <w:kern w:val="0"/>
          <w14:ligatures w14:val="none"/>
        </w:rPr>
      </w:pPr>
      <w:r w:rsidRPr="002B0F3E">
        <w:rPr>
          <w:rFonts w:ascii="Arial" w:eastAsia="Times New Roman" w:hAnsi="Arial" w:cs="Arial"/>
          <w:kern w:val="0"/>
          <w14:ligatures w14:val="none"/>
        </w:rPr>
        <w:t xml:space="preserve">Robertson, P.J., Hooley, T. and Mccash, P., 2020. </w:t>
      </w:r>
      <w:r w:rsidRPr="002B0F3E">
        <w:rPr>
          <w:rFonts w:ascii="Arial" w:eastAsia="Times New Roman" w:hAnsi="Arial" w:cs="Arial"/>
          <w:i/>
          <w:iCs/>
          <w:kern w:val="0"/>
          <w14:ligatures w14:val="none"/>
        </w:rPr>
        <w:t>The Oxford handbook of career development</w:t>
      </w:r>
      <w:r w:rsidRPr="002B0F3E">
        <w:rPr>
          <w:rFonts w:ascii="Arial" w:eastAsia="Times New Roman" w:hAnsi="Arial" w:cs="Arial"/>
          <w:kern w:val="0"/>
          <w14:ligatures w14:val="none"/>
        </w:rPr>
        <w:t>. New York, N</w:t>
      </w:r>
      <w:r w:rsidR="005B7CC7">
        <w:rPr>
          <w:rFonts w:ascii="Arial" w:eastAsia="Times New Roman" w:hAnsi="Arial" w:cs="Arial"/>
          <w:kern w:val="0"/>
          <w14:ligatures w14:val="none"/>
        </w:rPr>
        <w:t>Y</w:t>
      </w:r>
      <w:r w:rsidRPr="002B0F3E">
        <w:rPr>
          <w:rFonts w:ascii="Arial" w:eastAsia="Times New Roman" w:hAnsi="Arial" w:cs="Arial"/>
          <w:kern w:val="0"/>
          <w14:ligatures w14:val="none"/>
        </w:rPr>
        <w:t>: Oxfor</w:t>
      </w:r>
      <w:r>
        <w:rPr>
          <w:rFonts w:ascii="Arial" w:eastAsia="Times New Roman" w:hAnsi="Arial" w:cs="Arial"/>
          <w:kern w:val="0"/>
          <w14:ligatures w14:val="none"/>
        </w:rPr>
        <w:t xml:space="preserve">d </w:t>
      </w:r>
      <w:r w:rsidRPr="002B0F3E">
        <w:rPr>
          <w:rFonts w:ascii="Arial" w:eastAsia="Times New Roman" w:hAnsi="Arial" w:cs="Arial"/>
          <w:kern w:val="0"/>
          <w14:ligatures w14:val="none"/>
        </w:rPr>
        <w:t>University Press.</w:t>
      </w:r>
    </w:p>
    <w:p w14:paraId="34F1877B" w14:textId="77777777" w:rsidR="002B0F3E" w:rsidRPr="002B0F3E" w:rsidRDefault="002B0F3E" w:rsidP="002B0F3E">
      <w:pPr>
        <w:spacing w:after="0" w:line="360" w:lineRule="auto"/>
        <w:ind w:left="720" w:hanging="720"/>
        <w:rPr>
          <w:rFonts w:ascii="Arial" w:eastAsia="Times New Roman" w:hAnsi="Arial" w:cs="Arial"/>
          <w:kern w:val="0"/>
          <w14:ligatures w14:val="none"/>
        </w:rPr>
      </w:pPr>
      <w:r w:rsidRPr="002B0F3E">
        <w:rPr>
          <w:rFonts w:ascii="Arial" w:eastAsia="Times New Roman" w:hAnsi="Arial" w:cs="Arial"/>
          <w:kern w:val="0"/>
          <w14:ligatures w14:val="none"/>
        </w:rPr>
        <w:t xml:space="preserve">Sato, M., 2023. Navigating the research–practice relationship: Professional goals and constraints. </w:t>
      </w:r>
      <w:r w:rsidRPr="002B0F3E">
        <w:rPr>
          <w:rFonts w:ascii="Arial" w:eastAsia="Times New Roman" w:hAnsi="Arial" w:cs="Arial"/>
          <w:i/>
          <w:iCs/>
          <w:kern w:val="0"/>
          <w14:ligatures w14:val="none"/>
        </w:rPr>
        <w:t>Cambridge University Press: Language Teaching</w:t>
      </w:r>
      <w:r w:rsidRPr="002B0F3E">
        <w:rPr>
          <w:rFonts w:ascii="Arial" w:eastAsia="Times New Roman" w:hAnsi="Arial" w:cs="Arial"/>
          <w:kern w:val="0"/>
          <w14:ligatures w14:val="none"/>
        </w:rPr>
        <w:t xml:space="preserve">, </w:t>
      </w:r>
      <w:r w:rsidRPr="002B0F3E">
        <w:rPr>
          <w:rFonts w:ascii="Arial" w:eastAsia="Times New Roman" w:hAnsi="Arial" w:cs="Arial"/>
          <w:b/>
          <w:kern w:val="0"/>
          <w14:ligatures w14:val="none"/>
        </w:rPr>
        <w:t>57</w:t>
      </w:r>
      <w:r w:rsidRPr="002B0F3E">
        <w:rPr>
          <w:rFonts w:ascii="Arial" w:eastAsia="Times New Roman" w:hAnsi="Arial" w:cs="Arial"/>
          <w:kern w:val="0"/>
          <w14:ligatures w14:val="none"/>
        </w:rPr>
        <w:t>(4), pp.1–16.</w:t>
      </w:r>
    </w:p>
    <w:p w14:paraId="30E73CAC" w14:textId="77777777" w:rsidR="002B0F3E" w:rsidRPr="002B0F3E" w:rsidRDefault="002B0F3E" w:rsidP="002B0F3E">
      <w:pPr>
        <w:spacing w:after="0" w:line="360" w:lineRule="auto"/>
        <w:ind w:left="720" w:hanging="720"/>
        <w:rPr>
          <w:rFonts w:ascii="Arial" w:eastAsia="Times New Roman" w:hAnsi="Arial" w:cs="Arial"/>
          <w:kern w:val="0"/>
          <w14:ligatures w14:val="none"/>
        </w:rPr>
      </w:pPr>
      <w:r w:rsidRPr="002B0F3E">
        <w:rPr>
          <w:rFonts w:ascii="Arial" w:eastAsia="Times New Roman" w:hAnsi="Arial" w:cs="Arial"/>
          <w:kern w:val="0"/>
          <w14:ligatures w14:val="none"/>
        </w:rPr>
        <w:t xml:space="preserve">Weller, J. and </w:t>
      </w:r>
      <w:proofErr w:type="spellStart"/>
      <w:r w:rsidRPr="002B0F3E">
        <w:rPr>
          <w:rFonts w:ascii="Arial" w:eastAsia="Times New Roman" w:hAnsi="Arial" w:cs="Arial"/>
          <w:kern w:val="0"/>
          <w14:ligatures w14:val="none"/>
        </w:rPr>
        <w:t>Gotian</w:t>
      </w:r>
      <w:proofErr w:type="spellEnd"/>
      <w:r w:rsidRPr="002B0F3E">
        <w:rPr>
          <w:rFonts w:ascii="Arial" w:eastAsia="Times New Roman" w:hAnsi="Arial" w:cs="Arial"/>
          <w:kern w:val="0"/>
          <w14:ligatures w14:val="none"/>
        </w:rPr>
        <w:t xml:space="preserve">, R., 2023. Evolution of the feedback conversation in </w:t>
      </w:r>
      <w:proofErr w:type="spellStart"/>
      <w:r w:rsidRPr="002B0F3E">
        <w:rPr>
          <w:rFonts w:ascii="Arial" w:eastAsia="Times New Roman" w:hAnsi="Arial" w:cs="Arial"/>
          <w:kern w:val="0"/>
          <w14:ligatures w14:val="none"/>
        </w:rPr>
        <w:t>anaesthesia</w:t>
      </w:r>
      <w:proofErr w:type="spellEnd"/>
      <w:r w:rsidRPr="002B0F3E">
        <w:rPr>
          <w:rFonts w:ascii="Arial" w:eastAsia="Times New Roman" w:hAnsi="Arial" w:cs="Arial"/>
          <w:kern w:val="0"/>
          <w14:ligatures w14:val="none"/>
        </w:rPr>
        <w:t xml:space="preserve"> education: a narrative review. </w:t>
      </w:r>
      <w:r w:rsidRPr="002B0F3E">
        <w:rPr>
          <w:rFonts w:ascii="Arial" w:eastAsia="Times New Roman" w:hAnsi="Arial" w:cs="Arial"/>
          <w:i/>
          <w:iCs/>
          <w:kern w:val="0"/>
          <w14:ligatures w14:val="none"/>
        </w:rPr>
        <w:t xml:space="preserve">British Journal of </w:t>
      </w:r>
      <w:proofErr w:type="spellStart"/>
      <w:r w:rsidRPr="002B0F3E">
        <w:rPr>
          <w:rFonts w:ascii="Arial" w:eastAsia="Times New Roman" w:hAnsi="Arial" w:cs="Arial"/>
          <w:i/>
          <w:iCs/>
          <w:kern w:val="0"/>
          <w14:ligatures w14:val="none"/>
        </w:rPr>
        <w:t>Anaesthesia</w:t>
      </w:r>
      <w:proofErr w:type="spellEnd"/>
      <w:r w:rsidRPr="002B0F3E">
        <w:rPr>
          <w:rFonts w:ascii="Arial" w:eastAsia="Times New Roman" w:hAnsi="Arial" w:cs="Arial"/>
          <w:kern w:val="0"/>
          <w14:ligatures w14:val="none"/>
        </w:rPr>
        <w:t xml:space="preserve">, [online] </w:t>
      </w:r>
      <w:r w:rsidRPr="002B0F3E">
        <w:rPr>
          <w:rFonts w:ascii="Arial" w:eastAsia="Times New Roman" w:hAnsi="Arial" w:cs="Arial"/>
          <w:b/>
          <w:kern w:val="0"/>
          <w14:ligatures w14:val="none"/>
        </w:rPr>
        <w:t>131</w:t>
      </w:r>
      <w:r w:rsidRPr="002B0F3E">
        <w:rPr>
          <w:rFonts w:ascii="Arial" w:eastAsia="Times New Roman" w:hAnsi="Arial" w:cs="Arial"/>
          <w:kern w:val="0"/>
          <w14:ligatures w14:val="none"/>
        </w:rPr>
        <w:t>(3), pp.503–509. Available at: https://www.sciencedirect.com/science/article/pii/S000709122300257X.</w:t>
      </w:r>
    </w:p>
    <w:p w14:paraId="320F54CC" w14:textId="77777777" w:rsidR="002B0F3E" w:rsidRPr="002B0F3E" w:rsidRDefault="002B0F3E" w:rsidP="002B0F3E">
      <w:pPr>
        <w:spacing w:after="0" w:line="360" w:lineRule="auto"/>
        <w:rPr>
          <w:rFonts w:ascii="Arial" w:eastAsia="Calibri" w:hAnsi="Arial" w:cs="Arial"/>
          <w:kern w:val="0"/>
          <w14:ligatures w14:val="none"/>
        </w:rPr>
      </w:pPr>
    </w:p>
    <w:p w14:paraId="3F2055EC" w14:textId="77777777" w:rsidR="002B0F3E" w:rsidRDefault="002B0F3E" w:rsidP="002B0F3E"/>
    <w:sectPr w:rsidR="002B0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F3E"/>
    <w:rsid w:val="0004793E"/>
    <w:rsid w:val="000F22F6"/>
    <w:rsid w:val="000F3159"/>
    <w:rsid w:val="00154DC4"/>
    <w:rsid w:val="00173C0C"/>
    <w:rsid w:val="00187908"/>
    <w:rsid w:val="001E1932"/>
    <w:rsid w:val="00280959"/>
    <w:rsid w:val="002B0F3E"/>
    <w:rsid w:val="002D1A7F"/>
    <w:rsid w:val="00300D13"/>
    <w:rsid w:val="0031369A"/>
    <w:rsid w:val="00324195"/>
    <w:rsid w:val="003B0AC7"/>
    <w:rsid w:val="00425044"/>
    <w:rsid w:val="00442DFF"/>
    <w:rsid w:val="00454F9B"/>
    <w:rsid w:val="004873F3"/>
    <w:rsid w:val="005B0DDA"/>
    <w:rsid w:val="005B7CC7"/>
    <w:rsid w:val="00605A8D"/>
    <w:rsid w:val="006355C8"/>
    <w:rsid w:val="007223E4"/>
    <w:rsid w:val="0074368E"/>
    <w:rsid w:val="0078512A"/>
    <w:rsid w:val="007A77E4"/>
    <w:rsid w:val="007D515A"/>
    <w:rsid w:val="00825113"/>
    <w:rsid w:val="00881B81"/>
    <w:rsid w:val="008C3681"/>
    <w:rsid w:val="008D32D8"/>
    <w:rsid w:val="008F2399"/>
    <w:rsid w:val="009E3472"/>
    <w:rsid w:val="00A159E2"/>
    <w:rsid w:val="00AD0DA9"/>
    <w:rsid w:val="00B81A8F"/>
    <w:rsid w:val="00B822FA"/>
    <w:rsid w:val="00B95A3F"/>
    <w:rsid w:val="00BB122D"/>
    <w:rsid w:val="00CB0EC8"/>
    <w:rsid w:val="00CC0AC4"/>
    <w:rsid w:val="00CE04E0"/>
    <w:rsid w:val="00CF67E0"/>
    <w:rsid w:val="00D13D46"/>
    <w:rsid w:val="00D330E1"/>
    <w:rsid w:val="00DB64AC"/>
    <w:rsid w:val="00E55BB3"/>
    <w:rsid w:val="00F031F8"/>
    <w:rsid w:val="00F92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F8CB5C"/>
  <w15:chartTrackingRefBased/>
  <w15:docId w15:val="{2402E52C-53EE-49BE-9813-9369C015D5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F3E"/>
    <w:rPr>
      <w:lang w:val="en-US"/>
    </w:rPr>
  </w:style>
  <w:style w:type="paragraph" w:styleId="Heading1">
    <w:name w:val="heading 1"/>
    <w:basedOn w:val="Normal"/>
    <w:next w:val="Normal"/>
    <w:link w:val="Heading1Char"/>
    <w:uiPriority w:val="9"/>
    <w:qFormat/>
    <w:rsid w:val="002B0F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0F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0F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0F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0F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0F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0F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0F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0F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0F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0F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0F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0F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0F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0F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0F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0F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0F3E"/>
    <w:rPr>
      <w:rFonts w:eastAsiaTheme="majorEastAsia" w:cstheme="majorBidi"/>
      <w:color w:val="272727" w:themeColor="text1" w:themeTint="D8"/>
    </w:rPr>
  </w:style>
  <w:style w:type="paragraph" w:styleId="Title">
    <w:name w:val="Title"/>
    <w:basedOn w:val="Normal"/>
    <w:next w:val="Normal"/>
    <w:link w:val="TitleChar"/>
    <w:uiPriority w:val="10"/>
    <w:qFormat/>
    <w:rsid w:val="002B0F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0F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0F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0F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0F3E"/>
    <w:pPr>
      <w:spacing w:before="160"/>
      <w:jc w:val="center"/>
    </w:pPr>
    <w:rPr>
      <w:i/>
      <w:iCs/>
      <w:color w:val="404040" w:themeColor="text1" w:themeTint="BF"/>
    </w:rPr>
  </w:style>
  <w:style w:type="character" w:customStyle="1" w:styleId="QuoteChar">
    <w:name w:val="Quote Char"/>
    <w:basedOn w:val="DefaultParagraphFont"/>
    <w:link w:val="Quote"/>
    <w:uiPriority w:val="29"/>
    <w:rsid w:val="002B0F3E"/>
    <w:rPr>
      <w:i/>
      <w:iCs/>
      <w:color w:val="404040" w:themeColor="text1" w:themeTint="BF"/>
    </w:rPr>
  </w:style>
  <w:style w:type="paragraph" w:styleId="ListParagraph">
    <w:name w:val="List Paragraph"/>
    <w:basedOn w:val="Normal"/>
    <w:uiPriority w:val="34"/>
    <w:qFormat/>
    <w:rsid w:val="002B0F3E"/>
    <w:pPr>
      <w:ind w:left="720"/>
      <w:contextualSpacing/>
    </w:pPr>
  </w:style>
  <w:style w:type="character" w:styleId="IntenseEmphasis">
    <w:name w:val="Intense Emphasis"/>
    <w:basedOn w:val="DefaultParagraphFont"/>
    <w:uiPriority w:val="21"/>
    <w:qFormat/>
    <w:rsid w:val="002B0F3E"/>
    <w:rPr>
      <w:i/>
      <w:iCs/>
      <w:color w:val="0F4761" w:themeColor="accent1" w:themeShade="BF"/>
    </w:rPr>
  </w:style>
  <w:style w:type="paragraph" w:styleId="IntenseQuote">
    <w:name w:val="Intense Quote"/>
    <w:basedOn w:val="Normal"/>
    <w:next w:val="Normal"/>
    <w:link w:val="IntenseQuoteChar"/>
    <w:uiPriority w:val="30"/>
    <w:qFormat/>
    <w:rsid w:val="002B0F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0F3E"/>
    <w:rPr>
      <w:i/>
      <w:iCs/>
      <w:color w:val="0F4761" w:themeColor="accent1" w:themeShade="BF"/>
    </w:rPr>
  </w:style>
  <w:style w:type="character" w:styleId="IntenseReference">
    <w:name w:val="Intense Reference"/>
    <w:basedOn w:val="DefaultParagraphFont"/>
    <w:uiPriority w:val="32"/>
    <w:qFormat/>
    <w:rsid w:val="002B0F3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1799</Words>
  <Characters>10169</Characters>
  <Application>Microsoft Office Word</Application>
  <DocSecurity>0</DocSecurity>
  <Lines>181</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Tudor-Florin Vass</dc:creator>
  <cp:keywords/>
  <dc:description/>
  <cp:lastModifiedBy>Tudor-Florin Vass</cp:lastModifiedBy>
  <cp:revision>39</cp:revision>
  <dcterms:created xsi:type="dcterms:W3CDTF">2025-06-09T12:00:00Z</dcterms:created>
  <dcterms:modified xsi:type="dcterms:W3CDTF">2025-06-13T16:32:00Z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a2af488e-d799-4659-b9d6-132b541ae8bb</vt:lpwstr>
  </property>
</Properties>
</file>