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C2480" w14:textId="77777777" w:rsidR="00A85D71" w:rsidRDefault="00A85D71" w:rsidP="00A85D71">
      <w:pPr>
        <w:spacing w:before="0" w:after="0"/>
        <w:jc w:val="center"/>
        <w:rPr>
          <w:b/>
          <w:bCs/>
        </w:rPr>
      </w:pPr>
    </w:p>
    <w:p w14:paraId="4D24B685" w14:textId="77777777" w:rsidR="00A85D71" w:rsidRDefault="00A85D71" w:rsidP="00A85D71">
      <w:pPr>
        <w:spacing w:before="0" w:after="0"/>
        <w:jc w:val="center"/>
        <w:rPr>
          <w:b/>
          <w:bCs/>
        </w:rPr>
      </w:pPr>
    </w:p>
    <w:p w14:paraId="4CADDDBE" w14:textId="77777777" w:rsidR="00A85D71" w:rsidRDefault="00A85D71" w:rsidP="00A85D71">
      <w:pPr>
        <w:spacing w:before="0" w:after="0"/>
        <w:jc w:val="center"/>
        <w:rPr>
          <w:b/>
          <w:bCs/>
        </w:rPr>
      </w:pPr>
    </w:p>
    <w:p w14:paraId="0F2D9D47" w14:textId="77777777" w:rsidR="00A85D71" w:rsidRDefault="00A85D71" w:rsidP="00A85D71">
      <w:pPr>
        <w:spacing w:before="0" w:after="0"/>
        <w:jc w:val="center"/>
        <w:rPr>
          <w:b/>
          <w:bCs/>
        </w:rPr>
      </w:pPr>
    </w:p>
    <w:p w14:paraId="68CFDED4" w14:textId="45209CD6" w:rsidR="00A85D71" w:rsidRPr="00A85D71" w:rsidRDefault="00A85D71" w:rsidP="00A85D71">
      <w:pPr>
        <w:spacing w:before="0" w:after="0"/>
        <w:jc w:val="center"/>
        <w:rPr>
          <w:b/>
          <w:bCs/>
        </w:rPr>
      </w:pPr>
      <w:r w:rsidRPr="00A85D71">
        <w:rPr>
          <w:b/>
          <w:bCs/>
        </w:rPr>
        <w:t>BMLW4001</w:t>
      </w:r>
    </w:p>
    <w:p w14:paraId="4499B5EE" w14:textId="72D5239C" w:rsidR="00A85D71" w:rsidRPr="009B3CBE" w:rsidRDefault="00A85D71" w:rsidP="00A85D71">
      <w:pPr>
        <w:spacing w:before="0" w:after="0"/>
        <w:jc w:val="center"/>
        <w:rPr>
          <w:rFonts w:ascii="Abadi Extra Light" w:hAnsi="Abadi Extra Light"/>
          <w:b/>
          <w:bCs/>
          <w:i/>
          <w:iCs/>
          <w:sz w:val="28"/>
          <w:szCs w:val="40"/>
        </w:rPr>
      </w:pPr>
      <w:r w:rsidRPr="00A85D71">
        <w:rPr>
          <w:b/>
          <w:bCs/>
          <w:sz w:val="28"/>
          <w:szCs w:val="40"/>
        </w:rPr>
        <w:t>Law and Legal Practice</w:t>
      </w:r>
      <w:r w:rsidR="009B3CBE">
        <w:rPr>
          <w:b/>
          <w:bCs/>
          <w:sz w:val="28"/>
          <w:szCs w:val="40"/>
        </w:rPr>
        <w:br/>
      </w:r>
      <w:r w:rsidR="009B3CBE">
        <w:rPr>
          <w:b/>
          <w:bCs/>
          <w:sz w:val="28"/>
          <w:szCs w:val="40"/>
        </w:rPr>
        <w:br/>
      </w:r>
      <w:r w:rsidR="009B3CBE">
        <w:rPr>
          <w:b/>
          <w:bCs/>
          <w:i/>
          <w:iCs/>
          <w:sz w:val="28"/>
          <w:szCs w:val="40"/>
        </w:rPr>
        <w:t>Student number:2232423</w:t>
      </w:r>
    </w:p>
    <w:p w14:paraId="5E10B06C" w14:textId="6F5DFFE5" w:rsidR="00A85D71" w:rsidRDefault="00A85D71" w:rsidP="009B3CBE">
      <w:r>
        <w:br w:type="page"/>
      </w:r>
      <w:r w:rsidR="009B3CBE">
        <w:lastRenderedPageBreak/>
        <w:t xml:space="preserve"> </w:t>
      </w:r>
    </w:p>
    <w:sdt>
      <w:sdtPr>
        <w:rPr>
          <w:rFonts w:ascii="Times New Roman" w:eastAsia="Arial" w:hAnsi="Times New Roman" w:cs="Arial"/>
          <w:color w:val="auto"/>
          <w:sz w:val="24"/>
          <w:szCs w:val="22"/>
          <w:lang w:val=""/>
        </w:rPr>
        <w:id w:val="-329138116"/>
        <w:docPartObj>
          <w:docPartGallery w:val="Table of Contents"/>
          <w:docPartUnique/>
        </w:docPartObj>
      </w:sdtPr>
      <w:sdtEndPr>
        <w:rPr>
          <w:b/>
          <w:bCs/>
          <w:noProof/>
        </w:rPr>
      </w:sdtEndPr>
      <w:sdtContent>
        <w:p w14:paraId="2FEA0FD1" w14:textId="64F3C09E" w:rsidR="00EE6B34" w:rsidRDefault="00EE6B34">
          <w:pPr>
            <w:pStyle w:val="TOCHeading"/>
          </w:pPr>
          <w:r>
            <w:t>Table of Contents</w:t>
          </w:r>
        </w:p>
        <w:p w14:paraId="3FE94BB0" w14:textId="5748C1B1" w:rsidR="00EE6B34" w:rsidRDefault="00EE6B34">
          <w:pPr>
            <w:pStyle w:val="TOC1"/>
            <w:tabs>
              <w:tab w:val="right" w:leader="dot" w:pos="9019"/>
            </w:tabs>
            <w:rPr>
              <w:noProof/>
            </w:rPr>
          </w:pPr>
          <w:r>
            <w:fldChar w:fldCharType="begin"/>
          </w:r>
          <w:r>
            <w:instrText xml:space="preserve"> TOC \o "1-3" \h \z \u </w:instrText>
          </w:r>
          <w:r>
            <w:fldChar w:fldCharType="separate"/>
          </w:r>
          <w:hyperlink w:anchor="_Toc142407135" w:history="1">
            <w:r w:rsidRPr="00BF7C4D">
              <w:rPr>
                <w:rStyle w:val="Hyperlink"/>
                <w:noProof/>
              </w:rPr>
              <w:t>Element 1</w:t>
            </w:r>
            <w:r>
              <w:rPr>
                <w:noProof/>
                <w:webHidden/>
              </w:rPr>
              <w:tab/>
            </w:r>
            <w:r>
              <w:rPr>
                <w:noProof/>
                <w:webHidden/>
              </w:rPr>
              <w:fldChar w:fldCharType="begin"/>
            </w:r>
            <w:r>
              <w:rPr>
                <w:noProof/>
                <w:webHidden/>
              </w:rPr>
              <w:instrText xml:space="preserve"> PAGEREF _Toc142407135 \h </w:instrText>
            </w:r>
            <w:r>
              <w:rPr>
                <w:noProof/>
                <w:webHidden/>
              </w:rPr>
            </w:r>
            <w:r>
              <w:rPr>
                <w:noProof/>
                <w:webHidden/>
              </w:rPr>
              <w:fldChar w:fldCharType="separate"/>
            </w:r>
            <w:r>
              <w:rPr>
                <w:noProof/>
                <w:webHidden/>
              </w:rPr>
              <w:t>3</w:t>
            </w:r>
            <w:r>
              <w:rPr>
                <w:noProof/>
                <w:webHidden/>
              </w:rPr>
              <w:fldChar w:fldCharType="end"/>
            </w:r>
          </w:hyperlink>
        </w:p>
        <w:p w14:paraId="74096DE9" w14:textId="57E766B7" w:rsidR="00EE6B34" w:rsidRDefault="00000000">
          <w:pPr>
            <w:pStyle w:val="TOC2"/>
            <w:tabs>
              <w:tab w:val="right" w:leader="dot" w:pos="9019"/>
            </w:tabs>
            <w:rPr>
              <w:noProof/>
            </w:rPr>
          </w:pPr>
          <w:hyperlink w:anchor="_Toc142407136" w:history="1">
            <w:r w:rsidR="00EE6B34" w:rsidRPr="00BF7C4D">
              <w:rPr>
                <w:rStyle w:val="Hyperlink"/>
                <w:noProof/>
              </w:rPr>
              <w:t>Email Writing</w:t>
            </w:r>
            <w:r w:rsidR="00EE6B34">
              <w:rPr>
                <w:noProof/>
                <w:webHidden/>
              </w:rPr>
              <w:tab/>
            </w:r>
            <w:r w:rsidR="00EE6B34">
              <w:rPr>
                <w:noProof/>
                <w:webHidden/>
              </w:rPr>
              <w:fldChar w:fldCharType="begin"/>
            </w:r>
            <w:r w:rsidR="00EE6B34">
              <w:rPr>
                <w:noProof/>
                <w:webHidden/>
              </w:rPr>
              <w:instrText xml:space="preserve"> PAGEREF _Toc142407136 \h </w:instrText>
            </w:r>
            <w:r w:rsidR="00EE6B34">
              <w:rPr>
                <w:noProof/>
                <w:webHidden/>
              </w:rPr>
            </w:r>
            <w:r w:rsidR="00EE6B34">
              <w:rPr>
                <w:noProof/>
                <w:webHidden/>
              </w:rPr>
              <w:fldChar w:fldCharType="separate"/>
            </w:r>
            <w:r w:rsidR="00EE6B34">
              <w:rPr>
                <w:noProof/>
                <w:webHidden/>
              </w:rPr>
              <w:t>3</w:t>
            </w:r>
            <w:r w:rsidR="00EE6B34">
              <w:rPr>
                <w:noProof/>
                <w:webHidden/>
              </w:rPr>
              <w:fldChar w:fldCharType="end"/>
            </w:r>
          </w:hyperlink>
        </w:p>
        <w:p w14:paraId="28CA6EB8" w14:textId="7139ED04" w:rsidR="00EE6B34" w:rsidRDefault="00000000">
          <w:pPr>
            <w:pStyle w:val="TOC1"/>
            <w:tabs>
              <w:tab w:val="right" w:leader="dot" w:pos="9019"/>
            </w:tabs>
            <w:rPr>
              <w:noProof/>
            </w:rPr>
          </w:pPr>
          <w:hyperlink w:anchor="_Toc142407137" w:history="1">
            <w:r w:rsidR="00EE6B34" w:rsidRPr="00BF7C4D">
              <w:rPr>
                <w:rStyle w:val="Hyperlink"/>
                <w:noProof/>
                <w:highlight w:val="white"/>
              </w:rPr>
              <w:t>Element 2</w:t>
            </w:r>
            <w:r w:rsidR="00EE6B34">
              <w:rPr>
                <w:noProof/>
                <w:webHidden/>
              </w:rPr>
              <w:tab/>
            </w:r>
            <w:r w:rsidR="00EE6B34">
              <w:rPr>
                <w:noProof/>
                <w:webHidden/>
              </w:rPr>
              <w:fldChar w:fldCharType="begin"/>
            </w:r>
            <w:r w:rsidR="00EE6B34">
              <w:rPr>
                <w:noProof/>
                <w:webHidden/>
              </w:rPr>
              <w:instrText xml:space="preserve"> PAGEREF _Toc142407137 \h </w:instrText>
            </w:r>
            <w:r w:rsidR="00EE6B34">
              <w:rPr>
                <w:noProof/>
                <w:webHidden/>
              </w:rPr>
            </w:r>
            <w:r w:rsidR="00EE6B34">
              <w:rPr>
                <w:noProof/>
                <w:webHidden/>
              </w:rPr>
              <w:fldChar w:fldCharType="separate"/>
            </w:r>
            <w:r w:rsidR="00EE6B34">
              <w:rPr>
                <w:noProof/>
                <w:webHidden/>
              </w:rPr>
              <w:t>5</w:t>
            </w:r>
            <w:r w:rsidR="00EE6B34">
              <w:rPr>
                <w:noProof/>
                <w:webHidden/>
              </w:rPr>
              <w:fldChar w:fldCharType="end"/>
            </w:r>
          </w:hyperlink>
        </w:p>
        <w:p w14:paraId="7906520C" w14:textId="35248E6F" w:rsidR="00EE6B34" w:rsidRDefault="00000000">
          <w:pPr>
            <w:pStyle w:val="TOC2"/>
            <w:tabs>
              <w:tab w:val="right" w:leader="dot" w:pos="9019"/>
            </w:tabs>
            <w:rPr>
              <w:noProof/>
            </w:rPr>
          </w:pPr>
          <w:hyperlink w:anchor="_Toc142407138" w:history="1">
            <w:r w:rsidR="00EE6B34" w:rsidRPr="00BF7C4D">
              <w:rPr>
                <w:rStyle w:val="Hyperlink"/>
                <w:noProof/>
                <w:highlight w:val="white"/>
              </w:rPr>
              <w:t>Letter Writting</w:t>
            </w:r>
            <w:r w:rsidR="00EE6B34">
              <w:rPr>
                <w:noProof/>
                <w:webHidden/>
              </w:rPr>
              <w:tab/>
            </w:r>
            <w:r w:rsidR="00EE6B34">
              <w:rPr>
                <w:noProof/>
                <w:webHidden/>
              </w:rPr>
              <w:fldChar w:fldCharType="begin"/>
            </w:r>
            <w:r w:rsidR="00EE6B34">
              <w:rPr>
                <w:noProof/>
                <w:webHidden/>
              </w:rPr>
              <w:instrText xml:space="preserve"> PAGEREF _Toc142407138 \h </w:instrText>
            </w:r>
            <w:r w:rsidR="00EE6B34">
              <w:rPr>
                <w:noProof/>
                <w:webHidden/>
              </w:rPr>
            </w:r>
            <w:r w:rsidR="00EE6B34">
              <w:rPr>
                <w:noProof/>
                <w:webHidden/>
              </w:rPr>
              <w:fldChar w:fldCharType="separate"/>
            </w:r>
            <w:r w:rsidR="00EE6B34">
              <w:rPr>
                <w:noProof/>
                <w:webHidden/>
              </w:rPr>
              <w:t>5</w:t>
            </w:r>
            <w:r w:rsidR="00EE6B34">
              <w:rPr>
                <w:noProof/>
                <w:webHidden/>
              </w:rPr>
              <w:fldChar w:fldCharType="end"/>
            </w:r>
          </w:hyperlink>
        </w:p>
        <w:p w14:paraId="028681F6" w14:textId="55A017B7" w:rsidR="00EE6B34" w:rsidRDefault="00000000">
          <w:pPr>
            <w:pStyle w:val="TOC1"/>
            <w:tabs>
              <w:tab w:val="right" w:leader="dot" w:pos="9019"/>
            </w:tabs>
            <w:rPr>
              <w:noProof/>
            </w:rPr>
          </w:pPr>
          <w:hyperlink w:anchor="_Toc142407139" w:history="1">
            <w:r w:rsidR="00EE6B34" w:rsidRPr="00BF7C4D">
              <w:rPr>
                <w:rStyle w:val="Hyperlink"/>
                <w:noProof/>
              </w:rPr>
              <w:t>Element 3</w:t>
            </w:r>
            <w:r w:rsidR="00EE6B34">
              <w:rPr>
                <w:noProof/>
                <w:webHidden/>
              </w:rPr>
              <w:tab/>
            </w:r>
            <w:r w:rsidR="00EE6B34">
              <w:rPr>
                <w:noProof/>
                <w:webHidden/>
              </w:rPr>
              <w:fldChar w:fldCharType="begin"/>
            </w:r>
            <w:r w:rsidR="00EE6B34">
              <w:rPr>
                <w:noProof/>
                <w:webHidden/>
              </w:rPr>
              <w:instrText xml:space="preserve"> PAGEREF _Toc142407139 \h </w:instrText>
            </w:r>
            <w:r w:rsidR="00EE6B34">
              <w:rPr>
                <w:noProof/>
                <w:webHidden/>
              </w:rPr>
            </w:r>
            <w:r w:rsidR="00EE6B34">
              <w:rPr>
                <w:noProof/>
                <w:webHidden/>
              </w:rPr>
              <w:fldChar w:fldCharType="separate"/>
            </w:r>
            <w:r w:rsidR="00EE6B34">
              <w:rPr>
                <w:noProof/>
                <w:webHidden/>
              </w:rPr>
              <w:t>7</w:t>
            </w:r>
            <w:r w:rsidR="00EE6B34">
              <w:rPr>
                <w:noProof/>
                <w:webHidden/>
              </w:rPr>
              <w:fldChar w:fldCharType="end"/>
            </w:r>
          </w:hyperlink>
        </w:p>
        <w:p w14:paraId="7D34678C" w14:textId="35B6C27E" w:rsidR="00EE6B34" w:rsidRDefault="00000000">
          <w:pPr>
            <w:pStyle w:val="TOC2"/>
            <w:tabs>
              <w:tab w:val="right" w:leader="dot" w:pos="9019"/>
            </w:tabs>
            <w:rPr>
              <w:noProof/>
            </w:rPr>
          </w:pPr>
          <w:hyperlink w:anchor="_Toc142407140" w:history="1">
            <w:r w:rsidR="00EE6B34" w:rsidRPr="00BF7C4D">
              <w:rPr>
                <w:rStyle w:val="Hyperlink"/>
                <w:noProof/>
              </w:rPr>
              <w:t>Introduction</w:t>
            </w:r>
            <w:r w:rsidR="00EE6B34">
              <w:rPr>
                <w:noProof/>
                <w:webHidden/>
              </w:rPr>
              <w:tab/>
            </w:r>
            <w:r w:rsidR="00EE6B34">
              <w:rPr>
                <w:noProof/>
                <w:webHidden/>
              </w:rPr>
              <w:fldChar w:fldCharType="begin"/>
            </w:r>
            <w:r w:rsidR="00EE6B34">
              <w:rPr>
                <w:noProof/>
                <w:webHidden/>
              </w:rPr>
              <w:instrText xml:space="preserve"> PAGEREF _Toc142407140 \h </w:instrText>
            </w:r>
            <w:r w:rsidR="00EE6B34">
              <w:rPr>
                <w:noProof/>
                <w:webHidden/>
              </w:rPr>
            </w:r>
            <w:r w:rsidR="00EE6B34">
              <w:rPr>
                <w:noProof/>
                <w:webHidden/>
              </w:rPr>
              <w:fldChar w:fldCharType="separate"/>
            </w:r>
            <w:r w:rsidR="00EE6B34">
              <w:rPr>
                <w:noProof/>
                <w:webHidden/>
              </w:rPr>
              <w:t>7</w:t>
            </w:r>
            <w:r w:rsidR="00EE6B34">
              <w:rPr>
                <w:noProof/>
                <w:webHidden/>
              </w:rPr>
              <w:fldChar w:fldCharType="end"/>
            </w:r>
          </w:hyperlink>
        </w:p>
        <w:p w14:paraId="5E755401" w14:textId="1DEF5C2E" w:rsidR="00EE6B34" w:rsidRDefault="00000000">
          <w:pPr>
            <w:pStyle w:val="TOC2"/>
            <w:tabs>
              <w:tab w:val="right" w:leader="dot" w:pos="9019"/>
            </w:tabs>
            <w:rPr>
              <w:noProof/>
            </w:rPr>
          </w:pPr>
          <w:hyperlink w:anchor="_Toc142407141" w:history="1">
            <w:r w:rsidR="00EE6B34" w:rsidRPr="00BF7C4D">
              <w:rPr>
                <w:rStyle w:val="Hyperlink"/>
                <w:noProof/>
              </w:rPr>
              <w:t>Advantages and disadvantages of funding methods/options</w:t>
            </w:r>
            <w:r w:rsidR="00EE6B34">
              <w:rPr>
                <w:noProof/>
                <w:webHidden/>
              </w:rPr>
              <w:tab/>
            </w:r>
            <w:r w:rsidR="00EE6B34">
              <w:rPr>
                <w:noProof/>
                <w:webHidden/>
              </w:rPr>
              <w:fldChar w:fldCharType="begin"/>
            </w:r>
            <w:r w:rsidR="00EE6B34">
              <w:rPr>
                <w:noProof/>
                <w:webHidden/>
              </w:rPr>
              <w:instrText xml:space="preserve"> PAGEREF _Toc142407141 \h </w:instrText>
            </w:r>
            <w:r w:rsidR="00EE6B34">
              <w:rPr>
                <w:noProof/>
                <w:webHidden/>
              </w:rPr>
            </w:r>
            <w:r w:rsidR="00EE6B34">
              <w:rPr>
                <w:noProof/>
                <w:webHidden/>
              </w:rPr>
              <w:fldChar w:fldCharType="separate"/>
            </w:r>
            <w:r w:rsidR="00EE6B34">
              <w:rPr>
                <w:noProof/>
                <w:webHidden/>
              </w:rPr>
              <w:t>7</w:t>
            </w:r>
            <w:r w:rsidR="00EE6B34">
              <w:rPr>
                <w:noProof/>
                <w:webHidden/>
              </w:rPr>
              <w:fldChar w:fldCharType="end"/>
            </w:r>
          </w:hyperlink>
        </w:p>
        <w:p w14:paraId="56249BBB" w14:textId="52A84FC4" w:rsidR="00EE6B34" w:rsidRDefault="00000000">
          <w:pPr>
            <w:pStyle w:val="TOC2"/>
            <w:tabs>
              <w:tab w:val="right" w:leader="dot" w:pos="9019"/>
            </w:tabs>
            <w:rPr>
              <w:noProof/>
            </w:rPr>
          </w:pPr>
          <w:hyperlink w:anchor="_Toc142407142" w:history="1">
            <w:r w:rsidR="00EE6B34" w:rsidRPr="00BF7C4D">
              <w:rPr>
                <w:rStyle w:val="Hyperlink"/>
                <w:noProof/>
              </w:rPr>
              <w:t>Types of Funding Most Suitable for Particular Areas of Law</w:t>
            </w:r>
            <w:r w:rsidR="00EE6B34">
              <w:rPr>
                <w:noProof/>
                <w:webHidden/>
              </w:rPr>
              <w:tab/>
            </w:r>
            <w:r w:rsidR="00EE6B34">
              <w:rPr>
                <w:noProof/>
                <w:webHidden/>
              </w:rPr>
              <w:fldChar w:fldCharType="begin"/>
            </w:r>
            <w:r w:rsidR="00EE6B34">
              <w:rPr>
                <w:noProof/>
                <w:webHidden/>
              </w:rPr>
              <w:instrText xml:space="preserve"> PAGEREF _Toc142407142 \h </w:instrText>
            </w:r>
            <w:r w:rsidR="00EE6B34">
              <w:rPr>
                <w:noProof/>
                <w:webHidden/>
              </w:rPr>
            </w:r>
            <w:r w:rsidR="00EE6B34">
              <w:rPr>
                <w:noProof/>
                <w:webHidden/>
              </w:rPr>
              <w:fldChar w:fldCharType="separate"/>
            </w:r>
            <w:r w:rsidR="00EE6B34">
              <w:rPr>
                <w:noProof/>
                <w:webHidden/>
              </w:rPr>
              <w:t>9</w:t>
            </w:r>
            <w:r w:rsidR="00EE6B34">
              <w:rPr>
                <w:noProof/>
                <w:webHidden/>
              </w:rPr>
              <w:fldChar w:fldCharType="end"/>
            </w:r>
          </w:hyperlink>
        </w:p>
        <w:p w14:paraId="557727F4" w14:textId="6F6BEDD4" w:rsidR="00EE6B34" w:rsidRDefault="00000000">
          <w:pPr>
            <w:pStyle w:val="TOC1"/>
            <w:tabs>
              <w:tab w:val="right" w:leader="dot" w:pos="9019"/>
            </w:tabs>
            <w:rPr>
              <w:noProof/>
            </w:rPr>
          </w:pPr>
          <w:hyperlink w:anchor="_Toc142407143" w:history="1">
            <w:r w:rsidR="00EE6B34" w:rsidRPr="00BF7C4D">
              <w:rPr>
                <w:rStyle w:val="Hyperlink"/>
                <w:noProof/>
              </w:rPr>
              <w:t>Conclusion</w:t>
            </w:r>
            <w:r w:rsidR="00EE6B34">
              <w:rPr>
                <w:noProof/>
                <w:webHidden/>
              </w:rPr>
              <w:tab/>
            </w:r>
            <w:r w:rsidR="00EE6B34">
              <w:rPr>
                <w:noProof/>
                <w:webHidden/>
              </w:rPr>
              <w:fldChar w:fldCharType="begin"/>
            </w:r>
            <w:r w:rsidR="00EE6B34">
              <w:rPr>
                <w:noProof/>
                <w:webHidden/>
              </w:rPr>
              <w:instrText xml:space="preserve"> PAGEREF _Toc142407143 \h </w:instrText>
            </w:r>
            <w:r w:rsidR="00EE6B34">
              <w:rPr>
                <w:noProof/>
                <w:webHidden/>
              </w:rPr>
            </w:r>
            <w:r w:rsidR="00EE6B34">
              <w:rPr>
                <w:noProof/>
                <w:webHidden/>
              </w:rPr>
              <w:fldChar w:fldCharType="separate"/>
            </w:r>
            <w:r w:rsidR="00EE6B34">
              <w:rPr>
                <w:noProof/>
                <w:webHidden/>
              </w:rPr>
              <w:t>10</w:t>
            </w:r>
            <w:r w:rsidR="00EE6B34">
              <w:rPr>
                <w:noProof/>
                <w:webHidden/>
              </w:rPr>
              <w:fldChar w:fldCharType="end"/>
            </w:r>
          </w:hyperlink>
        </w:p>
        <w:p w14:paraId="57449F5E" w14:textId="74E8545B" w:rsidR="00EE6B34" w:rsidRDefault="00000000">
          <w:pPr>
            <w:pStyle w:val="TOC1"/>
            <w:tabs>
              <w:tab w:val="right" w:leader="dot" w:pos="9019"/>
            </w:tabs>
            <w:rPr>
              <w:noProof/>
            </w:rPr>
          </w:pPr>
          <w:hyperlink w:anchor="_Toc142407144" w:history="1">
            <w:r w:rsidR="00EE6B34" w:rsidRPr="00BF7C4D">
              <w:rPr>
                <w:rStyle w:val="Hyperlink"/>
                <w:noProof/>
                <w:highlight w:val="white"/>
              </w:rPr>
              <w:t>References</w:t>
            </w:r>
            <w:r w:rsidR="00EE6B34">
              <w:rPr>
                <w:noProof/>
                <w:webHidden/>
              </w:rPr>
              <w:tab/>
            </w:r>
            <w:r w:rsidR="00EE6B34">
              <w:rPr>
                <w:noProof/>
                <w:webHidden/>
              </w:rPr>
              <w:fldChar w:fldCharType="begin"/>
            </w:r>
            <w:r w:rsidR="00EE6B34">
              <w:rPr>
                <w:noProof/>
                <w:webHidden/>
              </w:rPr>
              <w:instrText xml:space="preserve"> PAGEREF _Toc142407144 \h </w:instrText>
            </w:r>
            <w:r w:rsidR="00EE6B34">
              <w:rPr>
                <w:noProof/>
                <w:webHidden/>
              </w:rPr>
            </w:r>
            <w:r w:rsidR="00EE6B34">
              <w:rPr>
                <w:noProof/>
                <w:webHidden/>
              </w:rPr>
              <w:fldChar w:fldCharType="separate"/>
            </w:r>
            <w:r w:rsidR="00EE6B34">
              <w:rPr>
                <w:noProof/>
                <w:webHidden/>
              </w:rPr>
              <w:t>11</w:t>
            </w:r>
            <w:r w:rsidR="00EE6B34">
              <w:rPr>
                <w:noProof/>
                <w:webHidden/>
              </w:rPr>
              <w:fldChar w:fldCharType="end"/>
            </w:r>
          </w:hyperlink>
        </w:p>
        <w:p w14:paraId="416D928E" w14:textId="0FF92B03" w:rsidR="00EE6B34" w:rsidRDefault="00EE6B34">
          <w:r>
            <w:rPr>
              <w:b/>
              <w:bCs/>
              <w:noProof/>
            </w:rPr>
            <w:fldChar w:fldCharType="end"/>
          </w:r>
        </w:p>
      </w:sdtContent>
    </w:sdt>
    <w:p w14:paraId="6284E29A" w14:textId="77777777" w:rsidR="00EE6B34" w:rsidRDefault="00EE6B34">
      <w:pPr>
        <w:spacing w:before="0" w:after="0" w:line="276" w:lineRule="auto"/>
        <w:jc w:val="left"/>
        <w:rPr>
          <w:b/>
          <w:sz w:val="28"/>
          <w:szCs w:val="40"/>
        </w:rPr>
      </w:pPr>
      <w:r>
        <w:br w:type="page"/>
      </w:r>
    </w:p>
    <w:p w14:paraId="41D5964D" w14:textId="66122E3E" w:rsidR="00A85D71" w:rsidRDefault="00A85D71" w:rsidP="00A4384A">
      <w:pPr>
        <w:pStyle w:val="Heading1"/>
      </w:pPr>
      <w:bookmarkStart w:id="0" w:name="_Toc142407135"/>
      <w:r w:rsidRPr="00A85D71">
        <w:lastRenderedPageBreak/>
        <w:t>Element 1</w:t>
      </w:r>
      <w:bookmarkEnd w:id="0"/>
    </w:p>
    <w:p w14:paraId="00000001" w14:textId="637CB26B" w:rsidR="006A1062" w:rsidRDefault="00000000" w:rsidP="00A85D71">
      <w:pPr>
        <w:pStyle w:val="Heading2"/>
      </w:pPr>
      <w:bookmarkStart w:id="1" w:name="_Toc142407136"/>
      <w:r>
        <w:t>Email</w:t>
      </w:r>
      <w:r w:rsidR="00A85D71">
        <w:t xml:space="preserve"> Writing</w:t>
      </w:r>
      <w:bookmarkEnd w:id="1"/>
      <w:r w:rsidR="00A85D71">
        <w:t xml:space="preserve"> </w:t>
      </w:r>
    </w:p>
    <w:p w14:paraId="00000002" w14:textId="2F6C3F3A" w:rsidR="006A1062" w:rsidRDefault="00000000" w:rsidP="00A4384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w:t>
      </w:r>
      <w:r w:rsidR="00217523">
        <w:rPr>
          <w:rFonts w:ascii="Times New Roman" w:eastAsia="Times New Roman" w:hAnsi="Times New Roman" w:cs="Times New Roman"/>
          <w:sz w:val="24"/>
          <w:szCs w:val="24"/>
        </w:rPr>
        <w:t xml:space="preserve"> Ana Maria Acsinte</w:t>
      </w:r>
    </w:p>
    <w:p w14:paraId="00000003" w14:textId="5629DEB0" w:rsidR="006A1062" w:rsidRDefault="00000000" w:rsidP="00A4384A">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Mr, </w:t>
      </w:r>
      <w:r w:rsidR="00A85D71">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oneymaker </w:t>
      </w:r>
      <w:r>
        <w:rPr>
          <w:rFonts w:ascii="Times New Roman" w:eastAsia="Times New Roman" w:hAnsi="Times New Roman" w:cs="Times New Roman"/>
          <w:sz w:val="24"/>
          <w:szCs w:val="24"/>
        </w:rPr>
        <w:tab/>
      </w:r>
    </w:p>
    <w:p w14:paraId="00000005" w14:textId="6B520B51" w:rsidR="006A1062" w:rsidRPr="00A85D71" w:rsidRDefault="00000000" w:rsidP="00A85D71">
      <w:pPr>
        <w:jc w:val="center"/>
      </w:pPr>
      <w:r>
        <w:t xml:space="preserve">Subject: </w:t>
      </w:r>
      <w:r w:rsidR="00A85D71">
        <w:t>T</w:t>
      </w:r>
      <w:r>
        <w:t>o advise whether he should invest his money in a startup or not.</w:t>
      </w:r>
    </w:p>
    <w:p w14:paraId="00000006" w14:textId="76B9AFF2" w:rsidR="006A1062" w:rsidRDefault="00000000" w:rsidP="00A4384A">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sz w:val="24"/>
          <w:szCs w:val="24"/>
        </w:rPr>
        <w:t xml:space="preserve">The current market of the UK now has more than 120 unicorn startups with a valuation of </w:t>
      </w:r>
      <w:r>
        <w:rPr>
          <w:rFonts w:ascii="Times New Roman" w:eastAsia="Times New Roman" w:hAnsi="Times New Roman" w:cs="Times New Roman"/>
          <w:color w:val="202124"/>
          <w:sz w:val="24"/>
          <w:szCs w:val="24"/>
          <w:highlight w:val="white"/>
        </w:rPr>
        <w:t>£700 million</w:t>
      </w:r>
      <w:sdt>
        <w:sdtPr>
          <w:rPr>
            <w:rFonts w:ascii="Times New Roman" w:eastAsia="Times New Roman" w:hAnsi="Times New Roman" w:cs="Times New Roman"/>
            <w:color w:val="202124"/>
            <w:sz w:val="24"/>
            <w:szCs w:val="24"/>
            <w:highlight w:val="white"/>
          </w:rPr>
          <w:id w:val="1659266511"/>
          <w:citation/>
        </w:sdtPr>
        <w:sdtContent>
          <w:r w:rsidR="007F0076">
            <w:rPr>
              <w:rFonts w:ascii="Times New Roman" w:eastAsia="Times New Roman" w:hAnsi="Times New Roman" w:cs="Times New Roman"/>
              <w:color w:val="202124"/>
              <w:sz w:val="24"/>
              <w:szCs w:val="24"/>
              <w:highlight w:val="white"/>
            </w:rPr>
            <w:fldChar w:fldCharType="begin"/>
          </w:r>
          <w:r w:rsidR="007F0076">
            <w:rPr>
              <w:rFonts w:ascii="Times New Roman" w:eastAsia="Times New Roman" w:hAnsi="Times New Roman" w:cs="Times New Roman"/>
              <w:color w:val="202124"/>
              <w:sz w:val="24"/>
              <w:szCs w:val="24"/>
              <w:highlight w:val="white"/>
              <w:lang w:val="en-US"/>
            </w:rPr>
            <w:instrText xml:space="preserve"> CITATION pro237 \l 1033 </w:instrText>
          </w:r>
          <w:r w:rsidR="007F0076">
            <w:rPr>
              <w:rFonts w:ascii="Times New Roman" w:eastAsia="Times New Roman" w:hAnsi="Times New Roman" w:cs="Times New Roman"/>
              <w:color w:val="202124"/>
              <w:sz w:val="24"/>
              <w:szCs w:val="24"/>
              <w:highlight w:val="white"/>
            </w:rPr>
            <w:fldChar w:fldCharType="separate"/>
          </w:r>
          <w:r w:rsidR="007F0076">
            <w:rPr>
              <w:rFonts w:ascii="Times New Roman" w:eastAsia="Times New Roman" w:hAnsi="Times New Roman" w:cs="Times New Roman"/>
              <w:noProof/>
              <w:color w:val="202124"/>
              <w:sz w:val="24"/>
              <w:szCs w:val="24"/>
              <w:highlight w:val="white"/>
              <w:lang w:val="en-US"/>
            </w:rPr>
            <w:t xml:space="preserve"> </w:t>
          </w:r>
          <w:r w:rsidR="007F0076" w:rsidRPr="007F0076">
            <w:rPr>
              <w:rFonts w:ascii="Times New Roman" w:eastAsia="Times New Roman" w:hAnsi="Times New Roman" w:cs="Times New Roman"/>
              <w:noProof/>
              <w:color w:val="202124"/>
              <w:sz w:val="24"/>
              <w:szCs w:val="24"/>
              <w:highlight w:val="white"/>
              <w:lang w:val="en-US"/>
            </w:rPr>
            <w:t>(profiletre, 2023)</w:t>
          </w:r>
          <w:r w:rsidR="007F0076">
            <w:rPr>
              <w:rFonts w:ascii="Times New Roman" w:eastAsia="Times New Roman" w:hAnsi="Times New Roman" w:cs="Times New Roman"/>
              <w:color w:val="202124"/>
              <w:sz w:val="24"/>
              <w:szCs w:val="24"/>
              <w:highlight w:val="white"/>
            </w:rPr>
            <w:fldChar w:fldCharType="end"/>
          </w:r>
        </w:sdtContent>
      </w:sdt>
      <w:r>
        <w:rPr>
          <w:rFonts w:ascii="Times New Roman" w:eastAsia="Times New Roman" w:hAnsi="Times New Roman" w:cs="Times New Roman"/>
          <w:color w:val="202124"/>
          <w:sz w:val="24"/>
          <w:szCs w:val="24"/>
          <w:highlight w:val="white"/>
        </w:rPr>
        <w:t xml:space="preserve">. This might be eye catchy for the investors but there are some pros and cons of investing within this market. The current growing market of UK startup companies has the potential to generate high revenue which is beneficial for the investor. Within this scenario, the client can invest his money in the start company which gives him short-term benefits or also might give long-term benefits too. The potential investor should consider the market of the fintech companies too where the chances of long-term benefits are high. On the other hand, the client might benefit by investing in the startup company as the startups regularly introduce new things in the market. This might enable the investor to be one of the prime and or even first investors of the product.  On the contrary, there is no such evidence or the performance record of any startup which can create a feeling of uncertainty within the mind of the investors. Similarly, a startup company with poor management can harm the condition of the company which can lead the firm to various losses and also will damage the funds of the investors. </w:t>
      </w:r>
    </w:p>
    <w:p w14:paraId="00000007" w14:textId="4CD86BEB" w:rsidR="006A1062" w:rsidRDefault="00000000" w:rsidP="00A4384A">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As you, Mr. Moneymaker is wanting to invest your money into a bakery startup company named J's Bakery. It is highly suggested that I verify all the documents and policies of the company. Furthermore, I will advise you to observe the policies and operational techniques of the company to understand if the company is complying with the laws of the Financial Services </w:t>
      </w:r>
      <w:r>
        <w:rPr>
          <w:rFonts w:ascii="Times New Roman" w:eastAsia="Times New Roman" w:hAnsi="Times New Roman" w:cs="Times New Roman"/>
          <w:color w:val="202124"/>
          <w:sz w:val="24"/>
          <w:szCs w:val="24"/>
          <w:highlight w:val="white"/>
        </w:rPr>
        <w:lastRenderedPageBreak/>
        <w:t>and Markets Act 2000</w:t>
      </w:r>
      <w:sdt>
        <w:sdtPr>
          <w:rPr>
            <w:rFonts w:ascii="Times New Roman" w:eastAsia="Times New Roman" w:hAnsi="Times New Roman" w:cs="Times New Roman"/>
            <w:color w:val="202124"/>
            <w:sz w:val="24"/>
            <w:szCs w:val="24"/>
            <w:highlight w:val="white"/>
          </w:rPr>
          <w:id w:val="337281648"/>
          <w:citation/>
        </w:sdtPr>
        <w:sdtContent>
          <w:r w:rsidR="007F0076">
            <w:rPr>
              <w:rFonts w:ascii="Times New Roman" w:eastAsia="Times New Roman" w:hAnsi="Times New Roman" w:cs="Times New Roman"/>
              <w:color w:val="202124"/>
              <w:sz w:val="24"/>
              <w:szCs w:val="24"/>
              <w:highlight w:val="white"/>
            </w:rPr>
            <w:fldChar w:fldCharType="begin"/>
          </w:r>
          <w:r w:rsidR="007F0076">
            <w:rPr>
              <w:rFonts w:ascii="Times New Roman" w:eastAsia="Times New Roman" w:hAnsi="Times New Roman" w:cs="Times New Roman"/>
              <w:color w:val="202124"/>
              <w:sz w:val="24"/>
              <w:szCs w:val="24"/>
              <w:highlight w:val="white"/>
              <w:lang w:val="en-US"/>
            </w:rPr>
            <w:instrText xml:space="preserve"> CITATION leg23 \l 1033 </w:instrText>
          </w:r>
          <w:r w:rsidR="007F0076">
            <w:rPr>
              <w:rFonts w:ascii="Times New Roman" w:eastAsia="Times New Roman" w:hAnsi="Times New Roman" w:cs="Times New Roman"/>
              <w:color w:val="202124"/>
              <w:sz w:val="24"/>
              <w:szCs w:val="24"/>
              <w:highlight w:val="white"/>
            </w:rPr>
            <w:fldChar w:fldCharType="separate"/>
          </w:r>
          <w:r w:rsidR="007F0076">
            <w:rPr>
              <w:rFonts w:ascii="Times New Roman" w:eastAsia="Times New Roman" w:hAnsi="Times New Roman" w:cs="Times New Roman"/>
              <w:noProof/>
              <w:color w:val="202124"/>
              <w:sz w:val="24"/>
              <w:szCs w:val="24"/>
              <w:highlight w:val="white"/>
              <w:lang w:val="en-US"/>
            </w:rPr>
            <w:t xml:space="preserve"> </w:t>
          </w:r>
          <w:r w:rsidR="007F0076" w:rsidRPr="007F0076">
            <w:rPr>
              <w:rFonts w:ascii="Times New Roman" w:eastAsia="Times New Roman" w:hAnsi="Times New Roman" w:cs="Times New Roman"/>
              <w:noProof/>
              <w:color w:val="202124"/>
              <w:sz w:val="24"/>
              <w:szCs w:val="24"/>
              <w:highlight w:val="white"/>
              <w:lang w:val="en-US"/>
            </w:rPr>
            <w:t>(legislation, 2023)</w:t>
          </w:r>
          <w:r w:rsidR="007F0076">
            <w:rPr>
              <w:rFonts w:ascii="Times New Roman" w:eastAsia="Times New Roman" w:hAnsi="Times New Roman" w:cs="Times New Roman"/>
              <w:color w:val="202124"/>
              <w:sz w:val="24"/>
              <w:szCs w:val="24"/>
              <w:highlight w:val="white"/>
            </w:rPr>
            <w:fldChar w:fldCharType="end"/>
          </w:r>
        </w:sdtContent>
      </w:sdt>
      <w:r>
        <w:rPr>
          <w:rFonts w:ascii="Times New Roman" w:eastAsia="Times New Roman" w:hAnsi="Times New Roman" w:cs="Times New Roman"/>
          <w:color w:val="202124"/>
          <w:sz w:val="24"/>
          <w:szCs w:val="24"/>
          <w:highlight w:val="white"/>
        </w:rPr>
        <w:t xml:space="preserve">. This will be beneficial for you Mr. Moneymaker as it will keep you safe from the long hazards. FSMA was conducted in the year 2000 which has provided businesses operating in the UK with proper guidelines. This legislation of the UK has identified the ethics of the businesses which are protecting the investor from losing their money. I will advise Mr Moneymaker to go through all the documents of the company in order to prevent any future losses. </w:t>
      </w:r>
    </w:p>
    <w:p w14:paraId="00000008" w14:textId="71FC8D46" w:rsidR="006A1062" w:rsidRDefault="00000000" w:rsidP="00A4384A">
      <w:pPr>
        <w:pStyle w:val="Normal1"/>
        <w:spacing w:line="48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The client also needs to verify whether the company is following the rules and regulations of the SRA and the money laundering act or not. SRA code of conduct provides a set of business ethics and professional rules which helps organisations in maintaining integrity</w:t>
      </w:r>
      <w:sdt>
        <w:sdtPr>
          <w:rPr>
            <w:rFonts w:ascii="Times New Roman" w:eastAsia="Times New Roman" w:hAnsi="Times New Roman" w:cs="Times New Roman"/>
            <w:color w:val="202124"/>
            <w:sz w:val="24"/>
            <w:szCs w:val="24"/>
            <w:highlight w:val="white"/>
          </w:rPr>
          <w:id w:val="-459805943"/>
          <w:citation/>
        </w:sdtPr>
        <w:sdtContent>
          <w:r w:rsidR="00F004C8">
            <w:rPr>
              <w:rFonts w:ascii="Times New Roman" w:eastAsia="Times New Roman" w:hAnsi="Times New Roman" w:cs="Times New Roman"/>
              <w:color w:val="202124"/>
              <w:sz w:val="24"/>
              <w:szCs w:val="24"/>
              <w:highlight w:val="white"/>
            </w:rPr>
            <w:fldChar w:fldCharType="begin"/>
          </w:r>
          <w:r w:rsidR="00F004C8">
            <w:rPr>
              <w:rFonts w:ascii="Times New Roman" w:eastAsia="Times New Roman" w:hAnsi="Times New Roman" w:cs="Times New Roman"/>
              <w:color w:val="202124"/>
              <w:sz w:val="24"/>
              <w:szCs w:val="24"/>
              <w:highlight w:val="white"/>
              <w:lang w:val="en-US"/>
            </w:rPr>
            <w:instrText xml:space="preserve"> CITATION com231 \l 1033 </w:instrText>
          </w:r>
          <w:r w:rsidR="00F004C8">
            <w:rPr>
              <w:rFonts w:ascii="Times New Roman" w:eastAsia="Times New Roman" w:hAnsi="Times New Roman" w:cs="Times New Roman"/>
              <w:color w:val="202124"/>
              <w:sz w:val="24"/>
              <w:szCs w:val="24"/>
              <w:highlight w:val="white"/>
            </w:rPr>
            <w:fldChar w:fldCharType="separate"/>
          </w:r>
          <w:r w:rsidR="00F004C8">
            <w:rPr>
              <w:rFonts w:ascii="Times New Roman" w:eastAsia="Times New Roman" w:hAnsi="Times New Roman" w:cs="Times New Roman"/>
              <w:noProof/>
              <w:color w:val="202124"/>
              <w:sz w:val="24"/>
              <w:szCs w:val="24"/>
              <w:highlight w:val="white"/>
              <w:lang w:val="en-US"/>
            </w:rPr>
            <w:t xml:space="preserve"> </w:t>
          </w:r>
          <w:r w:rsidR="00F004C8" w:rsidRPr="00F004C8">
            <w:rPr>
              <w:rFonts w:ascii="Times New Roman" w:eastAsia="Times New Roman" w:hAnsi="Times New Roman" w:cs="Times New Roman"/>
              <w:noProof/>
              <w:color w:val="202124"/>
              <w:sz w:val="24"/>
              <w:szCs w:val="24"/>
              <w:highlight w:val="white"/>
              <w:lang w:val="en-US"/>
            </w:rPr>
            <w:t>(committees.parliament, 2023)</w:t>
          </w:r>
          <w:r w:rsidR="00F004C8">
            <w:rPr>
              <w:rFonts w:ascii="Times New Roman" w:eastAsia="Times New Roman" w:hAnsi="Times New Roman" w:cs="Times New Roman"/>
              <w:color w:val="202124"/>
              <w:sz w:val="24"/>
              <w:szCs w:val="24"/>
              <w:highlight w:val="white"/>
            </w:rPr>
            <w:fldChar w:fldCharType="end"/>
          </w:r>
        </w:sdtContent>
      </w:sdt>
      <w:r>
        <w:rPr>
          <w:rFonts w:ascii="Times New Roman" w:eastAsia="Times New Roman" w:hAnsi="Times New Roman" w:cs="Times New Roman"/>
          <w:color w:val="202124"/>
          <w:sz w:val="24"/>
          <w:szCs w:val="24"/>
          <w:highlight w:val="white"/>
        </w:rPr>
        <w:t>. Mr Moneymaker should verify if J's bakery is following all the norms of the SRA code of conduct or not. A company following the norms and regulations of the SRA code of conduct has a higher chance to attract the attention and gain the trust of the investors. Furthermore, following this code of conduct will also ensure that the information and insights which are getting provided by the company are authentic and have been verified by lawyers. This gives a sense of relaxation within the mind of the investor which makes them invest in the business safely.</w:t>
      </w:r>
    </w:p>
    <w:p w14:paraId="00000009" w14:textId="627CC7E8"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202124"/>
          <w:sz w:val="24"/>
          <w:szCs w:val="24"/>
          <w:highlight w:val="white"/>
        </w:rPr>
        <w:t xml:space="preserve">Furthermore, the money laundering act of the UK has been included in the </w:t>
      </w:r>
      <w:r>
        <w:rPr>
          <w:rFonts w:ascii="Times New Roman" w:eastAsia="Times New Roman" w:hAnsi="Times New Roman" w:cs="Times New Roman"/>
          <w:color w:val="040C28"/>
          <w:sz w:val="24"/>
          <w:szCs w:val="24"/>
          <w:highlight w:val="white"/>
        </w:rPr>
        <w:t>Proceeds of Crimes Act 2002 (POCA)</w:t>
      </w:r>
      <w:sdt>
        <w:sdtPr>
          <w:rPr>
            <w:rFonts w:ascii="Times New Roman" w:eastAsia="Times New Roman" w:hAnsi="Times New Roman" w:cs="Times New Roman"/>
            <w:color w:val="040C28"/>
            <w:sz w:val="24"/>
            <w:szCs w:val="24"/>
            <w:highlight w:val="white"/>
          </w:rPr>
          <w:id w:val="-2136091912"/>
          <w:citation/>
        </w:sdtPr>
        <w:sdtContent>
          <w:r w:rsidR="007F0076">
            <w:rPr>
              <w:rFonts w:ascii="Times New Roman" w:eastAsia="Times New Roman" w:hAnsi="Times New Roman" w:cs="Times New Roman"/>
              <w:color w:val="040C28"/>
              <w:sz w:val="24"/>
              <w:szCs w:val="24"/>
              <w:highlight w:val="white"/>
            </w:rPr>
            <w:fldChar w:fldCharType="begin"/>
          </w:r>
          <w:r w:rsidR="007F0076">
            <w:rPr>
              <w:rFonts w:ascii="Times New Roman" w:eastAsia="Times New Roman" w:hAnsi="Times New Roman" w:cs="Times New Roman"/>
              <w:color w:val="040C28"/>
              <w:sz w:val="24"/>
              <w:szCs w:val="24"/>
              <w:highlight w:val="white"/>
              <w:lang w:val="en-US"/>
            </w:rPr>
            <w:instrText xml:space="preserve"> CITATION ukc23 \l 1033 </w:instrText>
          </w:r>
          <w:r w:rsidR="007F0076">
            <w:rPr>
              <w:rFonts w:ascii="Times New Roman" w:eastAsia="Times New Roman" w:hAnsi="Times New Roman" w:cs="Times New Roman"/>
              <w:color w:val="040C28"/>
              <w:sz w:val="24"/>
              <w:szCs w:val="24"/>
              <w:highlight w:val="white"/>
            </w:rPr>
            <w:fldChar w:fldCharType="separate"/>
          </w:r>
          <w:r w:rsidR="007F0076">
            <w:rPr>
              <w:rFonts w:ascii="Times New Roman" w:eastAsia="Times New Roman" w:hAnsi="Times New Roman" w:cs="Times New Roman"/>
              <w:noProof/>
              <w:color w:val="040C28"/>
              <w:sz w:val="24"/>
              <w:szCs w:val="24"/>
              <w:highlight w:val="white"/>
              <w:lang w:val="en-US"/>
            </w:rPr>
            <w:t xml:space="preserve"> </w:t>
          </w:r>
          <w:r w:rsidR="007F0076" w:rsidRPr="007F0076">
            <w:rPr>
              <w:rFonts w:ascii="Times New Roman" w:eastAsia="Times New Roman" w:hAnsi="Times New Roman" w:cs="Times New Roman"/>
              <w:noProof/>
              <w:color w:val="040C28"/>
              <w:sz w:val="24"/>
              <w:szCs w:val="24"/>
              <w:highlight w:val="white"/>
              <w:lang w:val="en-US"/>
            </w:rPr>
            <w:t>(ukciu, 2023)</w:t>
          </w:r>
          <w:r w:rsidR="007F0076">
            <w:rPr>
              <w:rFonts w:ascii="Times New Roman" w:eastAsia="Times New Roman" w:hAnsi="Times New Roman" w:cs="Times New Roman"/>
              <w:color w:val="040C28"/>
              <w:sz w:val="24"/>
              <w:szCs w:val="24"/>
              <w:highlight w:val="white"/>
            </w:rPr>
            <w:fldChar w:fldCharType="end"/>
          </w:r>
        </w:sdtContent>
      </w:sdt>
      <w:r>
        <w:rPr>
          <w:rFonts w:ascii="Times New Roman" w:eastAsia="Times New Roman" w:hAnsi="Times New Roman" w:cs="Times New Roman"/>
          <w:color w:val="040C28"/>
          <w:sz w:val="24"/>
          <w:szCs w:val="24"/>
          <w:highlight w:val="white"/>
        </w:rPr>
        <w:t xml:space="preserve">. This act prevents the criminals from hiding their money within the company which is helping the community to be crime free. Mr Moneymaker's last consideration should be identifying whether the company was ever accused of this type of legal case or not. If the company doesn't have any criminal record then I will suggest that it is safe for Mr. Moneymaker for putting his money in J's bakery. </w:t>
      </w:r>
    </w:p>
    <w:p w14:paraId="0000000A" w14:textId="2940F848"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Your's true,</w:t>
      </w:r>
      <w:r w:rsidR="00217523">
        <w:rPr>
          <w:rFonts w:ascii="Times New Roman" w:eastAsia="Times New Roman" w:hAnsi="Times New Roman" w:cs="Times New Roman"/>
          <w:color w:val="040C28"/>
          <w:sz w:val="24"/>
          <w:szCs w:val="24"/>
          <w:highlight w:val="white"/>
        </w:rPr>
        <w:t xml:space="preserve"> Ana Maria Acsinte</w:t>
      </w:r>
    </w:p>
    <w:p w14:paraId="0000000B" w14:textId="77777777"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 </w:t>
      </w:r>
      <w:r>
        <w:br w:type="page"/>
      </w:r>
    </w:p>
    <w:p w14:paraId="02AEFB8B" w14:textId="02B16264" w:rsidR="00A85D71" w:rsidRDefault="00A85D71" w:rsidP="00A4384A">
      <w:pPr>
        <w:pStyle w:val="Heading1"/>
        <w:rPr>
          <w:highlight w:val="white"/>
        </w:rPr>
      </w:pPr>
      <w:bookmarkStart w:id="2" w:name="_Toc142407137"/>
      <w:r>
        <w:rPr>
          <w:highlight w:val="white"/>
        </w:rPr>
        <w:lastRenderedPageBreak/>
        <w:t>Element 2</w:t>
      </w:r>
      <w:bookmarkEnd w:id="2"/>
    </w:p>
    <w:p w14:paraId="0000000C" w14:textId="619AD545" w:rsidR="006A1062" w:rsidRDefault="00000000" w:rsidP="00A85D71">
      <w:pPr>
        <w:pStyle w:val="Heading2"/>
        <w:rPr>
          <w:highlight w:val="white"/>
        </w:rPr>
      </w:pPr>
      <w:bookmarkStart w:id="3" w:name="_Toc142407138"/>
      <w:r>
        <w:rPr>
          <w:highlight w:val="white"/>
        </w:rPr>
        <w:t xml:space="preserve">Letter </w:t>
      </w:r>
      <w:r w:rsidR="00A85D71">
        <w:rPr>
          <w:highlight w:val="white"/>
        </w:rPr>
        <w:t>Writting</w:t>
      </w:r>
      <w:bookmarkEnd w:id="3"/>
    </w:p>
    <w:p w14:paraId="0000000D" w14:textId="77777777"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To,                                                                                                                                  From, </w:t>
      </w:r>
    </w:p>
    <w:p w14:paraId="0000000E" w14:textId="75FF83CB"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Newly qualified solicitors                                                                                  </w:t>
      </w:r>
      <w:r w:rsidR="009B3CBE">
        <w:rPr>
          <w:rFonts w:ascii="Times New Roman" w:eastAsia="Times New Roman" w:hAnsi="Times New Roman" w:cs="Times New Roman"/>
          <w:color w:val="040C28"/>
          <w:sz w:val="24"/>
          <w:szCs w:val="24"/>
          <w:highlight w:val="white"/>
        </w:rPr>
        <w:t>Ana Maria Acsinte</w:t>
      </w:r>
    </w:p>
    <w:p w14:paraId="0000000F" w14:textId="77777777" w:rsidR="006A1062" w:rsidRDefault="006A1062" w:rsidP="00A4384A">
      <w:pPr>
        <w:pStyle w:val="Normal1"/>
        <w:spacing w:line="480" w:lineRule="auto"/>
        <w:jc w:val="both"/>
        <w:rPr>
          <w:rFonts w:ascii="Times New Roman" w:eastAsia="Times New Roman" w:hAnsi="Times New Roman" w:cs="Times New Roman"/>
          <w:color w:val="040C28"/>
          <w:sz w:val="24"/>
          <w:szCs w:val="24"/>
          <w:highlight w:val="white"/>
        </w:rPr>
      </w:pPr>
    </w:p>
    <w:p w14:paraId="00000010" w14:textId="77777777"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Respected new solicitors of the firm, </w:t>
      </w:r>
    </w:p>
    <w:p w14:paraId="00000011" w14:textId="75AED684"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I have been writing this letter to make you understand some of the core principles of the SRA code of conduct.  S</w:t>
      </w:r>
      <w:r w:rsidR="007F0076">
        <w:rPr>
          <w:rFonts w:ascii="Times New Roman" w:eastAsia="Times New Roman" w:hAnsi="Times New Roman" w:cs="Times New Roman"/>
          <w:color w:val="040C28"/>
          <w:sz w:val="24"/>
          <w:szCs w:val="24"/>
          <w:highlight w:val="white"/>
        </w:rPr>
        <w:t>RA</w:t>
      </w:r>
      <w:r>
        <w:rPr>
          <w:rFonts w:ascii="Times New Roman" w:eastAsia="Times New Roman" w:hAnsi="Times New Roman" w:cs="Times New Roman"/>
          <w:color w:val="040C28"/>
          <w:sz w:val="24"/>
          <w:szCs w:val="24"/>
          <w:highlight w:val="white"/>
        </w:rPr>
        <w:t xml:space="preserve">'s main objective is to do well-being to the consumers of law and to uplift the trust level of solicitors within the eyes of the general people. SRA also exchanges information from other regulators and with the agencies which enforce the law for the benefit of the general people and law consumers. There are many sub-divisions of the SRA's rules and I will mention 4 of those today. </w:t>
      </w:r>
    </w:p>
    <w:p w14:paraId="00000012" w14:textId="77777777" w:rsidR="006A1062" w:rsidRPr="00A85D71" w:rsidRDefault="00000000" w:rsidP="00A85D71">
      <w:pPr>
        <w:rPr>
          <w:b/>
          <w:bCs/>
          <w:i/>
          <w:iCs/>
          <w:highlight w:val="white"/>
        </w:rPr>
      </w:pPr>
      <w:r w:rsidRPr="00A85D71">
        <w:rPr>
          <w:b/>
          <w:bCs/>
          <w:i/>
          <w:iCs/>
          <w:highlight w:val="white"/>
        </w:rPr>
        <w:t xml:space="preserve">Rule 1 </w:t>
      </w:r>
    </w:p>
    <w:p w14:paraId="00000013" w14:textId="28A1DF8A"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Rule one of the SRA handbooks says that one solicitor needs to be transparent about that individual's activity. Similarly, a solicitor can not omit or mislead the court, client or any other body for any benefit. This is considered to be a punishable offence and this rule is known as Maintaining Trust and Acting Fairly. This rule also quotes that it is illegal for the solicitor to use the position of that individual for personal benefit. Furthermore, the rule has stated that it is mandatory for the solicitor to behave properly with colleagues and also need to respect their point of view</w:t>
      </w:r>
      <w:sdt>
        <w:sdtPr>
          <w:rPr>
            <w:rFonts w:ascii="Times New Roman" w:eastAsia="Times New Roman" w:hAnsi="Times New Roman" w:cs="Times New Roman"/>
            <w:color w:val="040C28"/>
            <w:sz w:val="24"/>
            <w:szCs w:val="24"/>
            <w:highlight w:val="white"/>
          </w:rPr>
          <w:id w:val="523597732"/>
          <w:citation/>
        </w:sdtPr>
        <w:sdtContent>
          <w:r w:rsidR="007F0076">
            <w:rPr>
              <w:rFonts w:ascii="Times New Roman" w:eastAsia="Times New Roman" w:hAnsi="Times New Roman" w:cs="Times New Roman"/>
              <w:color w:val="040C28"/>
              <w:sz w:val="24"/>
              <w:szCs w:val="24"/>
              <w:highlight w:val="white"/>
            </w:rPr>
            <w:fldChar w:fldCharType="begin"/>
          </w:r>
          <w:r w:rsidR="007F0076">
            <w:rPr>
              <w:rFonts w:ascii="Times New Roman" w:eastAsia="Times New Roman" w:hAnsi="Times New Roman" w:cs="Times New Roman"/>
              <w:color w:val="040C28"/>
              <w:sz w:val="24"/>
              <w:szCs w:val="24"/>
              <w:highlight w:val="white"/>
              <w:lang w:val="en-US"/>
            </w:rPr>
            <w:instrText xml:space="preserve"> CITATION sra23 \l 1033 </w:instrText>
          </w:r>
          <w:r w:rsidR="007F0076">
            <w:rPr>
              <w:rFonts w:ascii="Times New Roman" w:eastAsia="Times New Roman" w:hAnsi="Times New Roman" w:cs="Times New Roman"/>
              <w:color w:val="040C28"/>
              <w:sz w:val="24"/>
              <w:szCs w:val="24"/>
              <w:highlight w:val="white"/>
            </w:rPr>
            <w:fldChar w:fldCharType="separate"/>
          </w:r>
          <w:r w:rsidR="007F0076">
            <w:rPr>
              <w:rFonts w:ascii="Times New Roman" w:eastAsia="Times New Roman" w:hAnsi="Times New Roman" w:cs="Times New Roman"/>
              <w:noProof/>
              <w:color w:val="040C28"/>
              <w:sz w:val="24"/>
              <w:szCs w:val="24"/>
              <w:highlight w:val="white"/>
              <w:lang w:val="en-US"/>
            </w:rPr>
            <w:t xml:space="preserve"> </w:t>
          </w:r>
          <w:r w:rsidR="007F0076" w:rsidRPr="007F0076">
            <w:rPr>
              <w:rFonts w:ascii="Times New Roman" w:eastAsia="Times New Roman" w:hAnsi="Times New Roman" w:cs="Times New Roman"/>
              <w:noProof/>
              <w:color w:val="040C28"/>
              <w:sz w:val="24"/>
              <w:szCs w:val="24"/>
              <w:highlight w:val="white"/>
              <w:lang w:val="en-US"/>
            </w:rPr>
            <w:t>(sra, 2023)</w:t>
          </w:r>
          <w:r w:rsidR="007F0076">
            <w:rPr>
              <w:rFonts w:ascii="Times New Roman" w:eastAsia="Times New Roman" w:hAnsi="Times New Roman" w:cs="Times New Roman"/>
              <w:color w:val="040C28"/>
              <w:sz w:val="24"/>
              <w:szCs w:val="24"/>
              <w:highlight w:val="white"/>
            </w:rPr>
            <w:fldChar w:fldCharType="end"/>
          </w:r>
        </w:sdtContent>
      </w:sdt>
      <w:r>
        <w:rPr>
          <w:rFonts w:ascii="Times New Roman" w:eastAsia="Times New Roman" w:hAnsi="Times New Roman" w:cs="Times New Roman"/>
          <w:color w:val="040C28"/>
          <w:sz w:val="24"/>
          <w:szCs w:val="24"/>
          <w:highlight w:val="white"/>
        </w:rPr>
        <w:t>.</w:t>
      </w:r>
    </w:p>
    <w:p w14:paraId="00000014" w14:textId="77777777" w:rsidR="006A1062" w:rsidRPr="00A85D71" w:rsidRDefault="00000000" w:rsidP="00A85D71">
      <w:pPr>
        <w:rPr>
          <w:b/>
          <w:bCs/>
          <w:i/>
          <w:iCs/>
          <w:highlight w:val="white"/>
        </w:rPr>
      </w:pPr>
      <w:r w:rsidRPr="00A85D71">
        <w:rPr>
          <w:b/>
          <w:bCs/>
          <w:i/>
          <w:iCs/>
          <w:highlight w:val="white"/>
        </w:rPr>
        <w:t>Rule 2</w:t>
      </w:r>
    </w:p>
    <w:p w14:paraId="00000015" w14:textId="77777777"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Rule 2 quotes that one solicitor can not misuse the evidence and should not use those evidence for personal benefits. </w:t>
      </w:r>
    </w:p>
    <w:p w14:paraId="00000016" w14:textId="77777777" w:rsidR="006A1062" w:rsidRPr="00A85D71" w:rsidRDefault="00000000" w:rsidP="00A85D71">
      <w:pPr>
        <w:rPr>
          <w:b/>
          <w:bCs/>
          <w:i/>
          <w:iCs/>
          <w:highlight w:val="white"/>
        </w:rPr>
      </w:pPr>
      <w:r w:rsidRPr="00A85D71">
        <w:rPr>
          <w:b/>
          <w:bCs/>
          <w:i/>
          <w:iCs/>
          <w:highlight w:val="white"/>
        </w:rPr>
        <w:lastRenderedPageBreak/>
        <w:t>Rule 3</w:t>
      </w:r>
    </w:p>
    <w:p w14:paraId="00000017" w14:textId="77777777"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Rule number 3 depicts that it comes under the job role of the solicitors to deliver the outcome within the pre-decided timespan for reducing hazards from the client. </w:t>
      </w:r>
    </w:p>
    <w:p w14:paraId="00000018" w14:textId="77777777" w:rsidR="006A1062" w:rsidRPr="00A85D71" w:rsidRDefault="00000000" w:rsidP="00A85D71">
      <w:pPr>
        <w:rPr>
          <w:b/>
          <w:bCs/>
          <w:i/>
          <w:iCs/>
          <w:highlight w:val="white"/>
        </w:rPr>
      </w:pPr>
      <w:r w:rsidRPr="00A85D71">
        <w:rPr>
          <w:b/>
          <w:bCs/>
          <w:i/>
          <w:iCs/>
          <w:highlight w:val="white"/>
        </w:rPr>
        <w:t>Rule 4</w:t>
      </w:r>
    </w:p>
    <w:p w14:paraId="0000001A" w14:textId="0BF4ACBC" w:rsidR="006A1062" w:rsidRPr="00A85D71"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The 4 of the SRA handbook says that it is the job of the solicitor to safeguard the money of the clients. It is necessary for the personnel to properly account for the client for any kind of financial benefits. In short, this rule has been introduced to control any financial damage to a law consumer</w:t>
      </w:r>
      <w:sdt>
        <w:sdtPr>
          <w:rPr>
            <w:rFonts w:ascii="Times New Roman" w:eastAsia="Times New Roman" w:hAnsi="Times New Roman" w:cs="Times New Roman"/>
            <w:color w:val="040C28"/>
            <w:sz w:val="24"/>
            <w:szCs w:val="24"/>
            <w:highlight w:val="white"/>
          </w:rPr>
          <w:id w:val="-1491408313"/>
          <w:citation/>
        </w:sdtPr>
        <w:sdtContent>
          <w:r w:rsidR="00F004C8">
            <w:rPr>
              <w:rFonts w:ascii="Times New Roman" w:eastAsia="Times New Roman" w:hAnsi="Times New Roman" w:cs="Times New Roman"/>
              <w:color w:val="040C28"/>
              <w:sz w:val="24"/>
              <w:szCs w:val="24"/>
              <w:highlight w:val="white"/>
            </w:rPr>
            <w:fldChar w:fldCharType="begin"/>
          </w:r>
          <w:r w:rsidR="00F004C8">
            <w:rPr>
              <w:rFonts w:ascii="Times New Roman" w:eastAsia="Times New Roman" w:hAnsi="Times New Roman" w:cs="Times New Roman"/>
              <w:color w:val="040C28"/>
              <w:sz w:val="24"/>
              <w:szCs w:val="24"/>
              <w:highlight w:val="white"/>
              <w:lang w:val="en-US"/>
            </w:rPr>
            <w:instrText xml:space="preserve"> CITATION leg231 \l 1033 </w:instrText>
          </w:r>
          <w:r w:rsidR="00F004C8">
            <w:rPr>
              <w:rFonts w:ascii="Times New Roman" w:eastAsia="Times New Roman" w:hAnsi="Times New Roman" w:cs="Times New Roman"/>
              <w:color w:val="040C28"/>
              <w:sz w:val="24"/>
              <w:szCs w:val="24"/>
              <w:highlight w:val="white"/>
            </w:rPr>
            <w:fldChar w:fldCharType="separate"/>
          </w:r>
          <w:r w:rsidR="00F004C8">
            <w:rPr>
              <w:rFonts w:ascii="Times New Roman" w:eastAsia="Times New Roman" w:hAnsi="Times New Roman" w:cs="Times New Roman"/>
              <w:noProof/>
              <w:color w:val="040C28"/>
              <w:sz w:val="24"/>
              <w:szCs w:val="24"/>
              <w:highlight w:val="white"/>
              <w:lang w:val="en-US"/>
            </w:rPr>
            <w:t xml:space="preserve"> </w:t>
          </w:r>
          <w:r w:rsidR="00F004C8" w:rsidRPr="00F004C8">
            <w:rPr>
              <w:rFonts w:ascii="Times New Roman" w:eastAsia="Times New Roman" w:hAnsi="Times New Roman" w:cs="Times New Roman"/>
              <w:noProof/>
              <w:color w:val="040C28"/>
              <w:sz w:val="24"/>
              <w:szCs w:val="24"/>
              <w:highlight w:val="white"/>
              <w:lang w:val="en-US"/>
            </w:rPr>
            <w:t>(legalservicesboard, 2023)</w:t>
          </w:r>
          <w:r w:rsidR="00F004C8">
            <w:rPr>
              <w:rFonts w:ascii="Times New Roman" w:eastAsia="Times New Roman" w:hAnsi="Times New Roman" w:cs="Times New Roman"/>
              <w:color w:val="040C28"/>
              <w:sz w:val="24"/>
              <w:szCs w:val="24"/>
              <w:highlight w:val="white"/>
            </w:rPr>
            <w:fldChar w:fldCharType="end"/>
          </w:r>
        </w:sdtContent>
      </w:sdt>
      <w:r>
        <w:rPr>
          <w:rFonts w:ascii="Times New Roman" w:eastAsia="Times New Roman" w:hAnsi="Times New Roman" w:cs="Times New Roman"/>
          <w:color w:val="040C28"/>
          <w:sz w:val="24"/>
          <w:szCs w:val="24"/>
          <w:highlight w:val="white"/>
        </w:rPr>
        <w:t xml:space="preserve">. </w:t>
      </w:r>
    </w:p>
    <w:p w14:paraId="0000001B" w14:textId="77777777" w:rsidR="006A1062" w:rsidRPr="00A85D71" w:rsidRDefault="00000000" w:rsidP="00A85D71">
      <w:pPr>
        <w:rPr>
          <w:b/>
          <w:bCs/>
          <w:i/>
          <w:iCs/>
          <w:highlight w:val="white"/>
        </w:rPr>
      </w:pPr>
      <w:r w:rsidRPr="00A85D71">
        <w:rPr>
          <w:b/>
          <w:bCs/>
          <w:i/>
          <w:iCs/>
          <w:highlight w:val="white"/>
        </w:rPr>
        <w:t>Rule 6.1</w:t>
      </w:r>
    </w:p>
    <w:p w14:paraId="0000001C" w14:textId="77777777"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Rule 6.1 guidelines the solicitor from involving in such a scenario where that individual has a personal benefit or personal risk. This may cause the personnel to perform in a biased manner or the risk can even cause poor performance of the solicitor.</w:t>
      </w:r>
    </w:p>
    <w:p w14:paraId="0000001D" w14:textId="77777777" w:rsidR="006A1062" w:rsidRPr="00A85D71" w:rsidRDefault="00000000" w:rsidP="00A85D71">
      <w:pPr>
        <w:rPr>
          <w:b/>
          <w:bCs/>
          <w:i/>
          <w:iCs/>
          <w:highlight w:val="white"/>
        </w:rPr>
      </w:pPr>
      <w:r w:rsidRPr="00A85D71">
        <w:rPr>
          <w:b/>
          <w:bCs/>
          <w:i/>
          <w:iCs/>
          <w:highlight w:val="white"/>
        </w:rPr>
        <w:t>Rule 6.5</w:t>
      </w:r>
    </w:p>
    <w:p w14:paraId="0000001E" w14:textId="2876FA6F"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Rule 6.5 only quotes that one solicitor should not enter a situation if that individual's client has a precise crime history. Furthermore, the solicitor also should restrict themselves from entering a scenario where a previous client is involved from the opposite side. This might give an informational advantage which promotes unbiased practice</w:t>
      </w:r>
      <w:sdt>
        <w:sdtPr>
          <w:rPr>
            <w:rFonts w:ascii="Times New Roman" w:eastAsia="Times New Roman" w:hAnsi="Times New Roman" w:cs="Times New Roman"/>
            <w:color w:val="040C28"/>
            <w:sz w:val="24"/>
            <w:szCs w:val="24"/>
            <w:highlight w:val="white"/>
          </w:rPr>
          <w:id w:val="-1242409078"/>
          <w:citation/>
        </w:sdtPr>
        <w:sdtContent>
          <w:r w:rsidR="00F004C8">
            <w:rPr>
              <w:rFonts w:ascii="Times New Roman" w:eastAsia="Times New Roman" w:hAnsi="Times New Roman" w:cs="Times New Roman"/>
              <w:color w:val="040C28"/>
              <w:sz w:val="24"/>
              <w:szCs w:val="24"/>
              <w:highlight w:val="white"/>
            </w:rPr>
            <w:fldChar w:fldCharType="begin"/>
          </w:r>
          <w:r w:rsidR="00F004C8">
            <w:rPr>
              <w:rFonts w:ascii="Times New Roman" w:eastAsia="Times New Roman" w:hAnsi="Times New Roman" w:cs="Times New Roman"/>
              <w:color w:val="040C28"/>
              <w:sz w:val="24"/>
              <w:szCs w:val="24"/>
              <w:highlight w:val="white"/>
              <w:lang w:val="en-US"/>
            </w:rPr>
            <w:instrText xml:space="preserve"> CITATION law19 \l 1033 </w:instrText>
          </w:r>
          <w:r w:rsidR="00F004C8">
            <w:rPr>
              <w:rFonts w:ascii="Times New Roman" w:eastAsia="Times New Roman" w:hAnsi="Times New Roman" w:cs="Times New Roman"/>
              <w:color w:val="040C28"/>
              <w:sz w:val="24"/>
              <w:szCs w:val="24"/>
              <w:highlight w:val="white"/>
            </w:rPr>
            <w:fldChar w:fldCharType="separate"/>
          </w:r>
          <w:r w:rsidR="00F004C8">
            <w:rPr>
              <w:rFonts w:ascii="Times New Roman" w:eastAsia="Times New Roman" w:hAnsi="Times New Roman" w:cs="Times New Roman"/>
              <w:noProof/>
              <w:color w:val="040C28"/>
              <w:sz w:val="24"/>
              <w:szCs w:val="24"/>
              <w:highlight w:val="white"/>
              <w:lang w:val="en-US"/>
            </w:rPr>
            <w:t xml:space="preserve"> </w:t>
          </w:r>
          <w:r w:rsidR="00F004C8" w:rsidRPr="00F004C8">
            <w:rPr>
              <w:rFonts w:ascii="Times New Roman" w:eastAsia="Times New Roman" w:hAnsi="Times New Roman" w:cs="Times New Roman"/>
              <w:noProof/>
              <w:color w:val="040C28"/>
              <w:sz w:val="24"/>
              <w:szCs w:val="24"/>
              <w:highlight w:val="white"/>
              <w:lang w:val="en-US"/>
            </w:rPr>
            <w:t>(lawsociety, 2019)</w:t>
          </w:r>
          <w:r w:rsidR="00F004C8">
            <w:rPr>
              <w:rFonts w:ascii="Times New Roman" w:eastAsia="Times New Roman" w:hAnsi="Times New Roman" w:cs="Times New Roman"/>
              <w:color w:val="040C28"/>
              <w:sz w:val="24"/>
              <w:szCs w:val="24"/>
              <w:highlight w:val="white"/>
            </w:rPr>
            <w:fldChar w:fldCharType="end"/>
          </w:r>
        </w:sdtContent>
      </w:sdt>
      <w:r>
        <w:rPr>
          <w:rFonts w:ascii="Times New Roman" w:eastAsia="Times New Roman" w:hAnsi="Times New Roman" w:cs="Times New Roman"/>
          <w:color w:val="040C28"/>
          <w:sz w:val="24"/>
          <w:szCs w:val="24"/>
          <w:highlight w:val="white"/>
        </w:rPr>
        <w:t>.</w:t>
      </w:r>
    </w:p>
    <w:p w14:paraId="0000001F" w14:textId="77777777" w:rsidR="006A1062" w:rsidRDefault="006A1062" w:rsidP="00A4384A">
      <w:pPr>
        <w:pStyle w:val="Normal1"/>
        <w:spacing w:line="480" w:lineRule="auto"/>
        <w:jc w:val="both"/>
        <w:rPr>
          <w:rFonts w:ascii="Times New Roman" w:eastAsia="Times New Roman" w:hAnsi="Times New Roman" w:cs="Times New Roman"/>
          <w:color w:val="040C28"/>
          <w:sz w:val="24"/>
          <w:szCs w:val="24"/>
          <w:highlight w:val="white"/>
        </w:rPr>
      </w:pPr>
    </w:p>
    <w:p w14:paraId="00000020" w14:textId="77777777" w:rsidR="006A1062" w:rsidRDefault="00000000" w:rsidP="00A4384A">
      <w:pPr>
        <w:pStyle w:val="Normal1"/>
        <w:spacing w:line="480" w:lineRule="auto"/>
        <w:jc w:val="both"/>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On the other hand conflict of interest is considered to be the involvement of a body with two competitive sides which can create chaos. As an example, an investor investing in two different companies competing within the same market can be denoted as a conflict of interest.</w:t>
      </w:r>
    </w:p>
    <w:p w14:paraId="48DBFAC9" w14:textId="62934D8D" w:rsidR="007F0076" w:rsidRDefault="007F0076" w:rsidP="00A4384A">
      <w:pPr>
        <w:pStyle w:val="Normal1"/>
        <w:spacing w:line="480" w:lineRule="auto"/>
        <w:jc w:val="right"/>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Thanking you </w:t>
      </w:r>
    </w:p>
    <w:p w14:paraId="1D09BA61" w14:textId="3ABDC21E" w:rsidR="007F0076" w:rsidRDefault="007F0076" w:rsidP="00A4384A">
      <w:pPr>
        <w:pStyle w:val="Normal1"/>
        <w:spacing w:line="480" w:lineRule="auto"/>
        <w:jc w:val="right"/>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Regards,</w:t>
      </w:r>
    </w:p>
    <w:p w14:paraId="5CE5D8AF" w14:textId="7A2D90E9" w:rsidR="00A4384A" w:rsidRPr="00A85D71" w:rsidRDefault="009B3CBE" w:rsidP="00A85D71">
      <w:pPr>
        <w:pStyle w:val="Normal1"/>
        <w:spacing w:line="480" w:lineRule="auto"/>
        <w:jc w:val="right"/>
        <w:rPr>
          <w:rFonts w:ascii="Times New Roman" w:eastAsia="Times New Roman" w:hAnsi="Times New Roman" w:cs="Times New Roman"/>
          <w:color w:val="040C28"/>
          <w:sz w:val="24"/>
          <w:szCs w:val="24"/>
          <w:highlight w:val="white"/>
        </w:rPr>
      </w:pPr>
      <w:r>
        <w:rPr>
          <w:rFonts w:ascii="Times New Roman" w:eastAsia="Times New Roman" w:hAnsi="Times New Roman" w:cs="Times New Roman"/>
          <w:color w:val="040C28"/>
          <w:sz w:val="24"/>
          <w:szCs w:val="24"/>
          <w:highlight w:val="white"/>
        </w:rPr>
        <w:t xml:space="preserve">Ana Maria Acsinte </w:t>
      </w:r>
    </w:p>
    <w:p w14:paraId="74E8B4CF" w14:textId="77777777" w:rsidR="00A4384A" w:rsidRDefault="00A4384A" w:rsidP="00A4384A">
      <w:pPr>
        <w:pStyle w:val="Heading1"/>
      </w:pPr>
      <w:bookmarkStart w:id="4" w:name="_Toc142407139"/>
      <w:r>
        <w:lastRenderedPageBreak/>
        <w:t>Element 3</w:t>
      </w:r>
      <w:bookmarkEnd w:id="4"/>
    </w:p>
    <w:p w14:paraId="76A9DBEE" w14:textId="7C06D8CA" w:rsidR="00FD0AD6" w:rsidRPr="00FD0AD6" w:rsidRDefault="00FD0AD6" w:rsidP="00FD0AD6">
      <w:pPr>
        <w:pStyle w:val="Normal1"/>
        <w:jc w:val="center"/>
      </w:pPr>
      <w:r w:rsidRPr="00FD0AD6">
        <w:rPr>
          <w:noProof/>
        </w:rPr>
        <w:drawing>
          <wp:inline distT="0" distB="0" distL="0" distR="0" wp14:anchorId="2DB7B498" wp14:editId="7B9804C1">
            <wp:extent cx="2591025" cy="4640982"/>
            <wp:effectExtent l="0" t="0" r="0" b="7620"/>
            <wp:docPr id="1278994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994192" name=""/>
                    <pic:cNvPicPr/>
                  </pic:nvPicPr>
                  <pic:blipFill>
                    <a:blip r:embed="rId7"/>
                    <a:stretch>
                      <a:fillRect/>
                    </a:stretch>
                  </pic:blipFill>
                  <pic:spPr>
                    <a:xfrm>
                      <a:off x="0" y="0"/>
                      <a:ext cx="2591025" cy="4640982"/>
                    </a:xfrm>
                    <a:prstGeom prst="rect">
                      <a:avLst/>
                    </a:prstGeom>
                  </pic:spPr>
                </pic:pic>
              </a:graphicData>
            </a:graphic>
          </wp:inline>
        </w:drawing>
      </w:r>
    </w:p>
    <w:p w14:paraId="1E6D6A87" w14:textId="77777777" w:rsidR="00A4384A" w:rsidRDefault="00A4384A" w:rsidP="00A4384A">
      <w:pPr>
        <w:pStyle w:val="Heading2"/>
      </w:pPr>
      <w:bookmarkStart w:id="5" w:name="_Toc142407140"/>
      <w:r>
        <w:t>Introduction</w:t>
      </w:r>
      <w:bookmarkEnd w:id="5"/>
    </w:p>
    <w:p w14:paraId="669C844C" w14:textId="77777777" w:rsidR="00A4384A" w:rsidRDefault="00A4384A" w:rsidP="00A4384A">
      <w:r>
        <w:t>Different funding methods or options are used by the law firm to facilitate their customers so that the clients of the firm can fund their case. Therefore, the advantages and disadvantages of the funding methods will be elaborated on in the poster presentation. Particular areas of law such as public children's law, business law, and residential conveyancing will be described along with the suitable funding methods for those areas.</w:t>
      </w:r>
    </w:p>
    <w:p w14:paraId="1D8C4DD9" w14:textId="77777777" w:rsidR="00A4384A" w:rsidRPr="004502B5" w:rsidRDefault="00A4384A" w:rsidP="00A4384A">
      <w:pPr>
        <w:pStyle w:val="Heading2"/>
      </w:pPr>
      <w:bookmarkStart w:id="6" w:name="_Toc142407141"/>
      <w:r w:rsidRPr="004502B5">
        <w:t>Advantages and disadvantages of funding methods/options</w:t>
      </w:r>
      <w:bookmarkEnd w:id="6"/>
    </w:p>
    <w:p w14:paraId="2A934970" w14:textId="77777777" w:rsidR="00A4384A" w:rsidRDefault="00A4384A" w:rsidP="00A4384A">
      <w:pPr>
        <w:rPr>
          <w:b/>
          <w:i/>
          <w:u w:val="single"/>
        </w:rPr>
      </w:pPr>
      <w:r>
        <w:rPr>
          <w:b/>
          <w:i/>
          <w:u w:val="single"/>
        </w:rPr>
        <w:t>Overdraft:</w:t>
      </w:r>
    </w:p>
    <w:p w14:paraId="6F750BBA" w14:textId="77777777" w:rsidR="00A4384A" w:rsidRDefault="00A4384A" w:rsidP="00A4384A">
      <w:r>
        <w:lastRenderedPageBreak/>
        <w:t>This specific process helps the clients to spend more than they have available in their own bank account by borrowing from banks.</w:t>
      </w:r>
    </w:p>
    <w:p w14:paraId="784FC7B1" w14:textId="77777777" w:rsidR="00A4384A" w:rsidRDefault="00A4384A" w:rsidP="00A4384A">
      <w:pPr>
        <w:rPr>
          <w:b/>
          <w:i/>
        </w:rPr>
      </w:pPr>
      <w:r>
        <w:rPr>
          <w:b/>
          <w:i/>
          <w:u w:val="single"/>
        </w:rPr>
        <w:t xml:space="preserve"> </w:t>
      </w:r>
      <w:r>
        <w:rPr>
          <w:b/>
          <w:i/>
        </w:rPr>
        <w:t>Advantages</w:t>
      </w:r>
    </w:p>
    <w:p w14:paraId="27ACCB83" w14:textId="77777777" w:rsidR="00A4384A" w:rsidRDefault="00A4384A" w:rsidP="00A4384A">
      <w:r>
        <w:t>1. Having a flexible repayment option is easy to use by the clients.</w:t>
      </w:r>
    </w:p>
    <w:p w14:paraId="2B081DF5" w14:textId="77777777" w:rsidR="00A4384A" w:rsidRDefault="00A4384A" w:rsidP="00A4384A">
      <w:r>
        <w:t xml:space="preserve">2. Clients' overdrafts can be dipped in or out as per their requirement </w:t>
      </w:r>
      <w:sdt>
        <w:sdtPr>
          <w:id w:val="-1451699583"/>
          <w:citation/>
        </w:sdtPr>
        <w:sdtContent>
          <w:r>
            <w:fldChar w:fldCharType="begin"/>
          </w:r>
          <w:r>
            <w:rPr>
              <w:lang w:val="en-US"/>
            </w:rPr>
            <w:instrText xml:space="preserve"> CITATION The23 \l 1033 </w:instrText>
          </w:r>
          <w:r>
            <w:fldChar w:fldCharType="separate"/>
          </w:r>
          <w:r w:rsidRPr="000A3E07">
            <w:rPr>
              <w:noProof/>
              <w:lang w:val="en-US"/>
            </w:rPr>
            <w:t>(The infolaw Partner Showcase, 2023)</w:t>
          </w:r>
          <w:r>
            <w:fldChar w:fldCharType="end"/>
          </w:r>
        </w:sdtContent>
      </w:sdt>
      <w:r>
        <w:t>.</w:t>
      </w:r>
    </w:p>
    <w:p w14:paraId="717210C6" w14:textId="77777777" w:rsidR="00A4384A" w:rsidRDefault="00A4384A" w:rsidP="00A4384A">
      <w:pPr>
        <w:rPr>
          <w:b/>
          <w:i/>
        </w:rPr>
      </w:pPr>
      <w:r>
        <w:rPr>
          <w:b/>
          <w:i/>
        </w:rPr>
        <w:t>Disadvantages</w:t>
      </w:r>
    </w:p>
    <w:p w14:paraId="3FFA74CA" w14:textId="77777777" w:rsidR="00A4384A" w:rsidRDefault="00A4384A" w:rsidP="00A4384A">
      <w:r>
        <w:t>1. One one of the costly processes of borrowing as per the higher interest rates associated with the overdraft.</w:t>
      </w:r>
    </w:p>
    <w:p w14:paraId="065F42C7" w14:textId="77777777" w:rsidR="00A4384A" w:rsidRDefault="00A4384A" w:rsidP="00A4384A">
      <w:r>
        <w:t>2. Limit can be reduced or the overdraft can be cancelled at any time by the client’s bank</w:t>
      </w:r>
    </w:p>
    <w:p w14:paraId="0F917428" w14:textId="62E17DB8" w:rsidR="00A4384A" w:rsidRPr="00A85D71" w:rsidRDefault="00A4384A" w:rsidP="00A85D71">
      <w:pPr>
        <w:rPr>
          <w:b/>
          <w:bCs/>
          <w:i/>
          <w:iCs/>
          <w:u w:val="single"/>
        </w:rPr>
      </w:pPr>
      <w:bookmarkStart w:id="7" w:name="_4d34og8" w:colFirst="0" w:colLast="0"/>
      <w:bookmarkEnd w:id="7"/>
      <w:r w:rsidRPr="00A85D71">
        <w:rPr>
          <w:b/>
          <w:bCs/>
          <w:i/>
          <w:iCs/>
          <w:u w:val="single"/>
        </w:rPr>
        <w:t>Government Funding</w:t>
      </w:r>
    </w:p>
    <w:p w14:paraId="5A21EE48" w14:textId="77777777" w:rsidR="00A4384A" w:rsidRDefault="00A4384A" w:rsidP="00A4384A">
      <w:r>
        <w:t xml:space="preserve">Government or non-government bodies providing monetary facilities to any area of the society or any sector related to the specific region are considered government funding. </w:t>
      </w:r>
    </w:p>
    <w:p w14:paraId="62BF327F" w14:textId="77777777" w:rsidR="00A4384A" w:rsidRDefault="00A4384A" w:rsidP="00A4384A">
      <w:pPr>
        <w:rPr>
          <w:b/>
          <w:i/>
        </w:rPr>
      </w:pPr>
      <w:r>
        <w:rPr>
          <w:b/>
          <w:i/>
        </w:rPr>
        <w:t>Advantages</w:t>
      </w:r>
    </w:p>
    <w:p w14:paraId="5C011305" w14:textId="77777777" w:rsidR="00A4384A" w:rsidRDefault="00A4384A" w:rsidP="00A4384A">
      <w:r>
        <w:t>1. Most beneficial facility is that it is a non-repayable funding.</w:t>
      </w:r>
    </w:p>
    <w:p w14:paraId="30437B56" w14:textId="77777777" w:rsidR="00A4384A" w:rsidRDefault="00A4384A" w:rsidP="00A4384A">
      <w:r>
        <w:t>2. There are many types of government funds available so government fundings are available widely.</w:t>
      </w:r>
    </w:p>
    <w:p w14:paraId="27DF67E3" w14:textId="77777777" w:rsidR="00A4384A" w:rsidRDefault="00A4384A" w:rsidP="00A4384A">
      <w:pPr>
        <w:rPr>
          <w:b/>
          <w:i/>
        </w:rPr>
      </w:pPr>
      <w:r>
        <w:rPr>
          <w:b/>
          <w:i/>
        </w:rPr>
        <w:t>Disadvantages</w:t>
      </w:r>
    </w:p>
    <w:p w14:paraId="40A13A8B" w14:textId="77777777" w:rsidR="00A4384A" w:rsidRDefault="00A4384A" w:rsidP="00A4384A">
      <w:r>
        <w:t>1. Contractual bond is one of the crucial disadvantages of government funding.</w:t>
      </w:r>
    </w:p>
    <w:p w14:paraId="044FC07D" w14:textId="77777777" w:rsidR="00A4384A" w:rsidRDefault="00A4384A" w:rsidP="00A4384A">
      <w:r>
        <w:t>2. Strict criteria needed to be maintained and have to be eligible by meeting the criteria to be facilitated with government funding. Also, a difficult process of written application needs to provide to avail of the opportunity.</w:t>
      </w:r>
    </w:p>
    <w:p w14:paraId="029834A9" w14:textId="77777777" w:rsidR="00A4384A" w:rsidRPr="00A85D71" w:rsidRDefault="00A4384A" w:rsidP="00A85D71">
      <w:pPr>
        <w:rPr>
          <w:b/>
          <w:bCs/>
          <w:i/>
          <w:iCs/>
          <w:u w:val="single"/>
        </w:rPr>
      </w:pPr>
      <w:bookmarkStart w:id="8" w:name="_2s8eyo1" w:colFirst="0" w:colLast="0"/>
      <w:bookmarkEnd w:id="8"/>
      <w:r w:rsidRPr="00A85D71">
        <w:rPr>
          <w:b/>
          <w:bCs/>
          <w:i/>
          <w:iCs/>
          <w:u w:val="single"/>
        </w:rPr>
        <w:lastRenderedPageBreak/>
        <w:t>Corporate finance</w:t>
      </w:r>
    </w:p>
    <w:p w14:paraId="2428E22E" w14:textId="77777777" w:rsidR="00A4384A" w:rsidRDefault="00A4384A" w:rsidP="00A4384A">
      <w:pPr>
        <w:rPr>
          <w:color w:val="000000"/>
        </w:rPr>
      </w:pPr>
      <w:r>
        <w:t>While dealing with law firms, customers or clients are needed to acquire their required equipment and find a cost-effective opportunity by financing new assets then that funding method is known as asset finance.</w:t>
      </w:r>
    </w:p>
    <w:p w14:paraId="4F79CDB0" w14:textId="77777777" w:rsidR="00A4384A" w:rsidRDefault="00A4384A" w:rsidP="00A4384A">
      <w:pPr>
        <w:rPr>
          <w:b/>
          <w:i/>
        </w:rPr>
      </w:pPr>
      <w:r>
        <w:rPr>
          <w:b/>
          <w:i/>
        </w:rPr>
        <w:t>Advantages</w:t>
      </w:r>
    </w:p>
    <w:p w14:paraId="0ED4B4A7" w14:textId="77777777" w:rsidR="00A4384A" w:rsidRDefault="00A4384A" w:rsidP="00A4384A">
      <w:r>
        <w:t>1. This specific asset finance method is most beneficial at the time of purchasing new or used vehicles, required machinery or technologies, and other important as well as costly assets.</w:t>
      </w:r>
    </w:p>
    <w:p w14:paraId="11232ABC" w14:textId="77777777" w:rsidR="00A4384A" w:rsidRDefault="00A4384A" w:rsidP="00A4384A">
      <w:r>
        <w:t xml:space="preserve">2. Most of the Agreements are fixed while using asset financing </w:t>
      </w:r>
      <w:sdt>
        <w:sdtPr>
          <w:id w:val="957843675"/>
          <w:citation/>
        </w:sdtPr>
        <w:sdtContent>
          <w:r>
            <w:fldChar w:fldCharType="begin"/>
          </w:r>
          <w:r>
            <w:rPr>
              <w:lang w:val="en-US"/>
            </w:rPr>
            <w:instrText xml:space="preserve"> CITATION Kee23 \l 1033 </w:instrText>
          </w:r>
          <w:r>
            <w:fldChar w:fldCharType="separate"/>
          </w:r>
          <w:r w:rsidRPr="00863B3B">
            <w:rPr>
              <w:noProof/>
              <w:lang w:val="en-US"/>
            </w:rPr>
            <w:t>(Woodley, 2023)</w:t>
          </w:r>
          <w:r>
            <w:fldChar w:fldCharType="end"/>
          </w:r>
        </w:sdtContent>
      </w:sdt>
      <w:r>
        <w:t xml:space="preserve">. </w:t>
      </w:r>
    </w:p>
    <w:p w14:paraId="0D2B2D64" w14:textId="77777777" w:rsidR="00A4384A" w:rsidRDefault="00A4384A" w:rsidP="00A4384A">
      <w:pPr>
        <w:rPr>
          <w:b/>
          <w:i/>
        </w:rPr>
      </w:pPr>
      <w:r>
        <w:rPr>
          <w:b/>
          <w:i/>
        </w:rPr>
        <w:t>Disadvantages</w:t>
      </w:r>
    </w:p>
    <w:p w14:paraId="4C79068E" w14:textId="77777777" w:rsidR="00A4384A" w:rsidRDefault="00A4384A" w:rsidP="00A4384A">
      <w:r>
        <w:t>1. Assets can be permanently seized by the ban if repayment is not done perfectly.</w:t>
      </w:r>
    </w:p>
    <w:p w14:paraId="59FD5C63" w14:textId="77777777" w:rsidR="00A4384A" w:rsidRDefault="00A4384A" w:rsidP="00A4384A">
      <w:r>
        <w:t xml:space="preserve">2. Repayment amount is greater than the exact value of the assets. </w:t>
      </w:r>
    </w:p>
    <w:p w14:paraId="67CE23E5" w14:textId="77777777" w:rsidR="00A4384A" w:rsidRDefault="00A4384A" w:rsidP="00A4384A">
      <w:pPr>
        <w:pStyle w:val="Heading2"/>
        <w:rPr>
          <w:b w:val="0"/>
        </w:rPr>
      </w:pPr>
      <w:bookmarkStart w:id="9" w:name="_Toc142407142"/>
      <w:r>
        <w:t>Types of Funding Most Suitable for Particular Areas of Law</w:t>
      </w:r>
      <w:bookmarkEnd w:id="9"/>
    </w:p>
    <w:p w14:paraId="6A43F18A" w14:textId="77777777" w:rsidR="00A4384A" w:rsidRDefault="00A4384A" w:rsidP="00A4384A">
      <w:r>
        <w:t>There are plenty of areas of laws that can be suggested for funding to the client, such as public children law for extending support or procurement of juvenile welfare. As this will promote the importance of sociolegal justice to the community. Another one is business law and the last one is residential conveyancing will be illustrated with respect to funding.</w:t>
      </w:r>
    </w:p>
    <w:p w14:paraId="4B9623CF" w14:textId="77777777" w:rsidR="00A4384A" w:rsidRDefault="00A4384A" w:rsidP="00A4384A">
      <w:pPr>
        <w:rPr>
          <w:b/>
          <w:i/>
          <w:u w:val="single"/>
        </w:rPr>
      </w:pPr>
      <w:r>
        <w:rPr>
          <w:b/>
          <w:i/>
          <w:u w:val="single"/>
        </w:rPr>
        <w:t>Public Children Law/Care Law advice</w:t>
      </w:r>
    </w:p>
    <w:p w14:paraId="59E88C85" w14:textId="77777777" w:rsidR="00A4384A" w:rsidRDefault="00A4384A" w:rsidP="00A4384A">
      <w:r>
        <w:t>The local government funding would be most suitable for the welfare of the children indulged in court procedures. The procurement for the same would have been better opted if funds for initiating an awareness campaign could be advised.</w:t>
      </w:r>
    </w:p>
    <w:p w14:paraId="4963BFBB" w14:textId="77777777" w:rsidR="00A4384A" w:rsidRDefault="00A4384A" w:rsidP="00A4384A">
      <w:pPr>
        <w:rPr>
          <w:b/>
          <w:i/>
          <w:u w:val="single"/>
        </w:rPr>
      </w:pPr>
      <w:r>
        <w:rPr>
          <w:b/>
          <w:i/>
          <w:u w:val="single"/>
        </w:rPr>
        <w:t>Business Law</w:t>
      </w:r>
    </w:p>
    <w:p w14:paraId="12BF349D" w14:textId="77777777" w:rsidR="00A4384A" w:rsidRDefault="00A4384A" w:rsidP="00A4384A">
      <w:r>
        <w:lastRenderedPageBreak/>
        <w:t xml:space="preserve">The corporate finance funds would be mostly taken into consideration for the purpose of extending legal information to businesses utilising business laws. Therefore, the company's financial assets and long-term financing would be recommended to the client. </w:t>
      </w:r>
    </w:p>
    <w:p w14:paraId="4C52300B" w14:textId="77777777" w:rsidR="00A4384A" w:rsidRDefault="00A4384A" w:rsidP="00A4384A">
      <w:pPr>
        <w:rPr>
          <w:b/>
          <w:i/>
          <w:u w:val="single"/>
        </w:rPr>
      </w:pPr>
      <w:r>
        <w:rPr>
          <w:b/>
          <w:i/>
          <w:u w:val="single"/>
        </w:rPr>
        <w:t>Residential Conveyancing</w:t>
      </w:r>
    </w:p>
    <w:p w14:paraId="0809FB01" w14:textId="77777777" w:rsidR="00A4384A" w:rsidRDefault="00A4384A" w:rsidP="00A4384A">
      <w:r>
        <w:t xml:space="preserve">Residential conveyancing is done to acquire or transfer the title of the property and by virtue of this long-term capital gain is acquired. This fund would be suitable for legal conveyancing. </w:t>
      </w:r>
    </w:p>
    <w:p w14:paraId="49587B9B" w14:textId="7FA0F333" w:rsidR="00A4384A" w:rsidRPr="00A85D71" w:rsidRDefault="00A4384A" w:rsidP="00A4384A">
      <w:r>
        <w:t xml:space="preserve">Therefore, the most appropriate which would be utilised here is “source funds” to avoid legal complexities </w:t>
      </w:r>
      <w:sdt>
        <w:sdtPr>
          <w:id w:val="-850255214"/>
          <w:citation/>
        </w:sdtPr>
        <w:sdtContent>
          <w:r>
            <w:fldChar w:fldCharType="begin"/>
          </w:r>
          <w:r>
            <w:rPr>
              <w:lang w:val="en-US"/>
            </w:rPr>
            <w:instrText xml:space="preserve">CITATION The201 \l 1033 </w:instrText>
          </w:r>
          <w:r>
            <w:fldChar w:fldCharType="separate"/>
          </w:r>
          <w:r w:rsidRPr="000A3E07">
            <w:rPr>
              <w:noProof/>
              <w:lang w:val="en-US"/>
            </w:rPr>
            <w:t>(The Law Society, 2020)</w:t>
          </w:r>
          <w:r>
            <w:fldChar w:fldCharType="end"/>
          </w:r>
        </w:sdtContent>
      </w:sdt>
      <w:r>
        <w:t xml:space="preserve">. </w:t>
      </w:r>
    </w:p>
    <w:p w14:paraId="628AC8FE" w14:textId="77777777" w:rsidR="00A4384A" w:rsidRPr="004502B5" w:rsidRDefault="00A4384A" w:rsidP="00A4384A">
      <w:pPr>
        <w:pStyle w:val="Heading1"/>
      </w:pPr>
      <w:bookmarkStart w:id="10" w:name="_Toc142407143"/>
      <w:r w:rsidRPr="004502B5">
        <w:t>Conclusion</w:t>
      </w:r>
      <w:bookmarkEnd w:id="10"/>
    </w:p>
    <w:p w14:paraId="014DA765" w14:textId="77777777" w:rsidR="00A4384A" w:rsidRDefault="00A4384A" w:rsidP="00A4384A">
      <w:r>
        <w:t>This portfolio has demonstrated different types of funds such as corporate funds, government funds, and overdrafts. Therefore, various advantages and disadvantages have also been illustrated with examples. Thereafter, relevant funding methods for different areas of law and their suitability with respect to public children, business, and residential conveyancing laws have been discussed.</w:t>
      </w:r>
    </w:p>
    <w:p w14:paraId="6AADDC21" w14:textId="77777777" w:rsidR="00F004C8" w:rsidRDefault="00F004C8" w:rsidP="00A4384A">
      <w:pPr>
        <w:pStyle w:val="Normal1"/>
        <w:spacing w:line="480" w:lineRule="auto"/>
        <w:jc w:val="both"/>
        <w:rPr>
          <w:rFonts w:ascii="Times New Roman" w:eastAsia="Times New Roman" w:hAnsi="Times New Roman" w:cs="Times New Roman"/>
          <w:color w:val="040C28"/>
          <w:sz w:val="24"/>
          <w:szCs w:val="24"/>
          <w:highlight w:val="white"/>
        </w:rPr>
      </w:pPr>
    </w:p>
    <w:p w14:paraId="6A0E7E4F" w14:textId="77777777" w:rsidR="00F004C8" w:rsidRDefault="00F004C8" w:rsidP="00A4384A">
      <w:pPr>
        <w:spacing w:before="0" w:after="0"/>
        <w:jc w:val="left"/>
        <w:rPr>
          <w:rFonts w:eastAsia="Times New Roman" w:cs="Times New Roman"/>
          <w:color w:val="040C28"/>
          <w:szCs w:val="24"/>
          <w:highlight w:val="white"/>
        </w:rPr>
      </w:pPr>
      <w:r>
        <w:rPr>
          <w:rFonts w:eastAsia="Times New Roman" w:cs="Times New Roman"/>
          <w:color w:val="040C28"/>
          <w:szCs w:val="24"/>
          <w:highlight w:val="white"/>
        </w:rPr>
        <w:br w:type="page"/>
      </w:r>
    </w:p>
    <w:p w14:paraId="4A3AB1DA" w14:textId="7EBF6A5E" w:rsidR="007F0076" w:rsidRDefault="00F004C8" w:rsidP="00A4384A">
      <w:pPr>
        <w:pStyle w:val="Heading1"/>
        <w:rPr>
          <w:highlight w:val="white"/>
        </w:rPr>
      </w:pPr>
      <w:bookmarkStart w:id="11" w:name="_Toc142407144"/>
      <w:r w:rsidRPr="00F004C8">
        <w:rPr>
          <w:highlight w:val="white"/>
        </w:rPr>
        <w:lastRenderedPageBreak/>
        <w:t>References</w:t>
      </w:r>
      <w:bookmarkEnd w:id="11"/>
      <w:r w:rsidRPr="00F004C8">
        <w:rPr>
          <w:highlight w:val="white"/>
        </w:rPr>
        <w:t xml:space="preserve"> </w:t>
      </w:r>
    </w:p>
    <w:p w14:paraId="51BB0836" w14:textId="77777777" w:rsidR="00A85D71" w:rsidRPr="00F004C8" w:rsidRDefault="00A85D71" w:rsidP="00A85D71">
      <w:pPr>
        <w:pStyle w:val="Normal1"/>
        <w:spacing w:line="480" w:lineRule="auto"/>
        <w:jc w:val="both"/>
        <w:rPr>
          <w:rFonts w:ascii="Times New Roman" w:eastAsia="Times New Roman" w:hAnsi="Times New Roman" w:cs="Times New Roman"/>
          <w:color w:val="202124"/>
          <w:sz w:val="24"/>
          <w:szCs w:val="24"/>
        </w:rPr>
      </w:pPr>
      <w:r w:rsidRPr="00F004C8">
        <w:rPr>
          <w:rFonts w:ascii="Times New Roman" w:eastAsia="Times New Roman" w:hAnsi="Times New Roman" w:cs="Times New Roman"/>
          <w:color w:val="202124"/>
          <w:sz w:val="24"/>
          <w:szCs w:val="24"/>
        </w:rPr>
        <w:t xml:space="preserve">committees.parliament, </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2023</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 Solicitors Regulation Authority. [Online] Available at: https://committees.parliament.uk/writtenevidence/8046/default/</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[Accessed 29 July 2023].</w:t>
      </w:r>
    </w:p>
    <w:p w14:paraId="0F36D50A" w14:textId="77777777" w:rsidR="00A85D71" w:rsidRPr="00F004C8" w:rsidRDefault="00A85D71" w:rsidP="00A85D71">
      <w:pPr>
        <w:pStyle w:val="Normal1"/>
        <w:spacing w:line="480" w:lineRule="auto"/>
        <w:jc w:val="both"/>
        <w:rPr>
          <w:rFonts w:ascii="Times New Roman" w:eastAsia="Times New Roman" w:hAnsi="Times New Roman" w:cs="Times New Roman"/>
          <w:color w:val="202124"/>
          <w:sz w:val="24"/>
          <w:szCs w:val="24"/>
        </w:rPr>
      </w:pPr>
      <w:r w:rsidRPr="00F004C8">
        <w:rPr>
          <w:rFonts w:ascii="Times New Roman" w:eastAsia="Times New Roman" w:hAnsi="Times New Roman" w:cs="Times New Roman"/>
          <w:color w:val="202124"/>
          <w:sz w:val="24"/>
          <w:szCs w:val="24"/>
        </w:rPr>
        <w:t xml:space="preserve">lawsociety, </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2019</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 SRA Standards and Regulations. [Online] Available at: https://www.lawsociety.org.uk/topics/regulation/sra-standards-and-regulations</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[Accessed 29 July 2023].</w:t>
      </w:r>
    </w:p>
    <w:p w14:paraId="459796CE" w14:textId="77777777" w:rsidR="00A85D71" w:rsidRPr="00F004C8" w:rsidRDefault="00A85D71" w:rsidP="00A85D71">
      <w:pPr>
        <w:pStyle w:val="Normal1"/>
        <w:spacing w:line="480" w:lineRule="auto"/>
        <w:jc w:val="both"/>
        <w:rPr>
          <w:rFonts w:ascii="Times New Roman" w:eastAsia="Times New Roman" w:hAnsi="Times New Roman" w:cs="Times New Roman"/>
          <w:color w:val="202124"/>
          <w:sz w:val="24"/>
          <w:szCs w:val="24"/>
        </w:rPr>
      </w:pPr>
      <w:r w:rsidRPr="00F004C8">
        <w:rPr>
          <w:rFonts w:ascii="Times New Roman" w:eastAsia="Times New Roman" w:hAnsi="Times New Roman" w:cs="Times New Roman"/>
          <w:color w:val="202124"/>
          <w:sz w:val="24"/>
          <w:szCs w:val="24"/>
        </w:rPr>
        <w:t xml:space="preserve">legalservicesboard, </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2023</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 SRA Principles. [Online] Available at: https://www.legalservicesboard.org.uk/Projects/statutory_decision_making/pdf/2018/Annex_A_the_new_rules.pdf</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[Accessed 29 July 2023].</w:t>
      </w:r>
    </w:p>
    <w:p w14:paraId="63814330" w14:textId="77777777" w:rsidR="00A85D71" w:rsidRPr="00F004C8" w:rsidRDefault="00A85D71" w:rsidP="00A85D71">
      <w:pPr>
        <w:pStyle w:val="Normal1"/>
        <w:spacing w:line="480" w:lineRule="auto"/>
        <w:jc w:val="both"/>
        <w:rPr>
          <w:rFonts w:ascii="Times New Roman" w:eastAsia="Times New Roman" w:hAnsi="Times New Roman" w:cs="Times New Roman"/>
          <w:color w:val="202124"/>
          <w:sz w:val="24"/>
          <w:szCs w:val="24"/>
        </w:rPr>
      </w:pPr>
      <w:r w:rsidRPr="00F004C8">
        <w:rPr>
          <w:rFonts w:ascii="Times New Roman" w:eastAsia="Times New Roman" w:hAnsi="Times New Roman" w:cs="Times New Roman"/>
          <w:color w:val="202124"/>
          <w:sz w:val="24"/>
          <w:szCs w:val="24"/>
        </w:rPr>
        <w:t>legislation, 2023. Financial Services and Markets Act 2000. [Online] Available at: https://www.legislation.gov.uk/ukpga/2000/8/contents</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[Accessed 29 July 2023].</w:t>
      </w:r>
    </w:p>
    <w:p w14:paraId="70FB66EB" w14:textId="77777777" w:rsidR="00A85D71" w:rsidRPr="00F004C8" w:rsidRDefault="00A85D71" w:rsidP="00A85D71">
      <w:pPr>
        <w:pStyle w:val="Normal1"/>
        <w:spacing w:line="480" w:lineRule="auto"/>
        <w:jc w:val="both"/>
        <w:rPr>
          <w:rFonts w:ascii="Times New Roman" w:eastAsia="Times New Roman" w:hAnsi="Times New Roman" w:cs="Times New Roman"/>
          <w:color w:val="202124"/>
          <w:sz w:val="24"/>
          <w:szCs w:val="24"/>
        </w:rPr>
      </w:pPr>
      <w:r w:rsidRPr="00F004C8">
        <w:rPr>
          <w:rFonts w:ascii="Times New Roman" w:eastAsia="Times New Roman" w:hAnsi="Times New Roman" w:cs="Times New Roman"/>
          <w:color w:val="202124"/>
          <w:sz w:val="24"/>
          <w:szCs w:val="24"/>
        </w:rPr>
        <w:t xml:space="preserve">profiletre, </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2023</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 GREAT 12 UK Business Startup Statistics: What You Need to Know About the Market. [Online] Available at: https://profiletree.com/uk-business-startup-statistics/#:~:text=The%20UK%20is%20home%20to,decline%20from%20the%20previous%20year.</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[Accessed 29 July 2023].</w:t>
      </w:r>
    </w:p>
    <w:p w14:paraId="77A84772" w14:textId="77777777" w:rsidR="00A85D71" w:rsidRPr="00F004C8" w:rsidRDefault="00A85D71" w:rsidP="00A85D71">
      <w:pPr>
        <w:pStyle w:val="Normal1"/>
        <w:spacing w:line="480" w:lineRule="auto"/>
        <w:jc w:val="both"/>
        <w:rPr>
          <w:rFonts w:ascii="Times New Roman" w:eastAsia="Times New Roman" w:hAnsi="Times New Roman" w:cs="Times New Roman"/>
          <w:color w:val="202124"/>
          <w:sz w:val="24"/>
          <w:szCs w:val="24"/>
        </w:rPr>
      </w:pPr>
      <w:r w:rsidRPr="00F004C8">
        <w:rPr>
          <w:rFonts w:ascii="Times New Roman" w:eastAsia="Times New Roman" w:hAnsi="Times New Roman" w:cs="Times New Roman"/>
          <w:color w:val="202124"/>
          <w:sz w:val="24"/>
          <w:szCs w:val="24"/>
        </w:rPr>
        <w:t xml:space="preserve">sra, </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2023</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 SRA Code of Conduct for Solicitors, RELs and RFLs. [Online] Available at: https://www.sra.org.uk/solicitors/standards-regulations/code-conduct-solicitors/</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[Accessed 29 July 2023].</w:t>
      </w:r>
    </w:p>
    <w:p w14:paraId="0DC9C6D8" w14:textId="77777777" w:rsidR="00A85D71" w:rsidRPr="00A4384A" w:rsidRDefault="00A85D71" w:rsidP="00A85D71">
      <w:pPr>
        <w:pStyle w:val="Normal1"/>
        <w:spacing w:line="480" w:lineRule="auto"/>
        <w:jc w:val="both"/>
        <w:rPr>
          <w:rFonts w:ascii="Times New Roman" w:eastAsia="Times New Roman" w:hAnsi="Times New Roman" w:cs="Times New Roman"/>
          <w:color w:val="202124"/>
          <w:sz w:val="24"/>
          <w:szCs w:val="24"/>
        </w:rPr>
      </w:pPr>
      <w:r w:rsidRPr="00A4384A">
        <w:rPr>
          <w:rFonts w:ascii="Times New Roman" w:eastAsia="Times New Roman" w:hAnsi="Times New Roman" w:cs="Times New Roman"/>
          <w:color w:val="202124"/>
          <w:sz w:val="24"/>
          <w:szCs w:val="24"/>
        </w:rPr>
        <w:t>The infolaw Partner Showcase, (2023). What are the funding options available for a law firm?. [Online] Available at: https://www.infolaw.co.uk/partners/what-are-the-funding-options-available-for-a-law-firm/ [Accessed 05 August 2023].</w:t>
      </w:r>
    </w:p>
    <w:p w14:paraId="10DE0BA3" w14:textId="77777777" w:rsidR="00A85D71" w:rsidRPr="00A4384A" w:rsidRDefault="00A85D71" w:rsidP="00A85D71">
      <w:pPr>
        <w:pStyle w:val="Normal1"/>
        <w:spacing w:line="480" w:lineRule="auto"/>
        <w:jc w:val="both"/>
        <w:rPr>
          <w:rFonts w:ascii="Times New Roman" w:eastAsia="Times New Roman" w:hAnsi="Times New Roman" w:cs="Times New Roman"/>
          <w:color w:val="202124"/>
          <w:sz w:val="24"/>
          <w:szCs w:val="24"/>
        </w:rPr>
      </w:pPr>
      <w:r w:rsidRPr="00A4384A">
        <w:rPr>
          <w:rFonts w:ascii="Times New Roman" w:eastAsia="Times New Roman" w:hAnsi="Times New Roman" w:cs="Times New Roman"/>
          <w:color w:val="202124"/>
          <w:sz w:val="24"/>
          <w:szCs w:val="24"/>
        </w:rPr>
        <w:t>The Law Society, (2020). Conveyancing Protocol. [Online] Available at: https://www.lawsociety.org.uk/topics/property/conveyancing-protocol [Accessed 05 August 2023].</w:t>
      </w:r>
    </w:p>
    <w:p w14:paraId="3171246A" w14:textId="77777777" w:rsidR="00A85D71" w:rsidRDefault="00A85D71" w:rsidP="00A85D71">
      <w:pPr>
        <w:pStyle w:val="Normal1"/>
        <w:spacing w:line="480" w:lineRule="auto"/>
        <w:jc w:val="both"/>
        <w:rPr>
          <w:rFonts w:ascii="Times New Roman" w:eastAsia="Times New Roman" w:hAnsi="Times New Roman" w:cs="Times New Roman"/>
          <w:color w:val="202124"/>
          <w:sz w:val="24"/>
          <w:szCs w:val="24"/>
        </w:rPr>
      </w:pPr>
      <w:r w:rsidRPr="00F004C8">
        <w:rPr>
          <w:rFonts w:ascii="Times New Roman" w:eastAsia="Times New Roman" w:hAnsi="Times New Roman" w:cs="Times New Roman"/>
          <w:color w:val="202124"/>
          <w:sz w:val="24"/>
          <w:szCs w:val="24"/>
        </w:rPr>
        <w:lastRenderedPageBreak/>
        <w:t xml:space="preserve">ukciu, </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2023</w:t>
      </w:r>
      <w:r>
        <w:rPr>
          <w:rFonts w:ascii="Times New Roman" w:eastAsia="Times New Roman" w:hAnsi="Times New Roman" w:cs="Times New Roman"/>
          <w:color w:val="202124"/>
          <w:sz w:val="24"/>
          <w:szCs w:val="24"/>
        </w:rPr>
        <w:t>)</w:t>
      </w:r>
      <w:r w:rsidRPr="00F004C8">
        <w:rPr>
          <w:rFonts w:ascii="Times New Roman" w:eastAsia="Times New Roman" w:hAnsi="Times New Roman" w:cs="Times New Roman"/>
          <w:color w:val="202124"/>
          <w:sz w:val="24"/>
          <w:szCs w:val="24"/>
        </w:rPr>
        <w:t>. Proceeds of Crime Act 2002. [Online] Available at:</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https://www.ukciu.gov.uk/(xwxqxm55yk5tzxbr0dznv2en)/Information/info.aspx?InfoSection=Legislation#:~:text=The%20Proceeds%20of%20Crime%20Act,criminal%20assets%20through%20civil%20means.</w:t>
      </w:r>
      <w:r>
        <w:rPr>
          <w:rFonts w:ascii="Times New Roman" w:eastAsia="Times New Roman" w:hAnsi="Times New Roman" w:cs="Times New Roman"/>
          <w:color w:val="202124"/>
          <w:sz w:val="24"/>
          <w:szCs w:val="24"/>
        </w:rPr>
        <w:t xml:space="preserve"> </w:t>
      </w:r>
      <w:r w:rsidRPr="00F004C8">
        <w:rPr>
          <w:rFonts w:ascii="Times New Roman" w:eastAsia="Times New Roman" w:hAnsi="Times New Roman" w:cs="Times New Roman"/>
          <w:color w:val="202124"/>
          <w:sz w:val="24"/>
          <w:szCs w:val="24"/>
        </w:rPr>
        <w:t>[Accessed 29 July 2023].</w:t>
      </w:r>
    </w:p>
    <w:p w14:paraId="5C8EB2D3" w14:textId="77777777" w:rsidR="00A85D71" w:rsidRPr="00A4384A" w:rsidRDefault="00A85D71" w:rsidP="00A85D71">
      <w:pPr>
        <w:pStyle w:val="Normal1"/>
        <w:spacing w:line="480" w:lineRule="auto"/>
        <w:jc w:val="both"/>
        <w:rPr>
          <w:rFonts w:ascii="Times New Roman" w:eastAsia="Times New Roman" w:hAnsi="Times New Roman" w:cs="Times New Roman"/>
          <w:color w:val="202124"/>
          <w:sz w:val="24"/>
          <w:szCs w:val="24"/>
        </w:rPr>
      </w:pPr>
      <w:r w:rsidRPr="00A4384A">
        <w:rPr>
          <w:rFonts w:ascii="Times New Roman" w:eastAsia="Times New Roman" w:hAnsi="Times New Roman" w:cs="Times New Roman"/>
          <w:color w:val="202124"/>
          <w:sz w:val="24"/>
          <w:szCs w:val="24"/>
        </w:rPr>
        <w:t>Woodley, K., (2023). Corporate finance. [Online] Available at: https://www.grantthornton.co.uk/services/deals/corporate-finance/ [Accessed 05 August 2023].</w:t>
      </w:r>
    </w:p>
    <w:sectPr w:rsidR="00A85D71" w:rsidRPr="00A4384A" w:rsidSect="00A85D71">
      <w:headerReference w:type="default" r:id="rId8"/>
      <w:footerReference w:type="default" r:id="rId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F459A" w14:textId="77777777" w:rsidR="00B0786B" w:rsidRDefault="00B0786B">
      <w:pPr>
        <w:spacing w:before="0" w:after="0" w:line="240" w:lineRule="auto"/>
      </w:pPr>
      <w:r>
        <w:separator/>
      </w:r>
    </w:p>
  </w:endnote>
  <w:endnote w:type="continuationSeparator" w:id="0">
    <w:p w14:paraId="6820E6BE" w14:textId="77777777" w:rsidR="00B0786B" w:rsidRDefault="00B078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badi Extra Light">
    <w:charset w:val="00"/>
    <w:family w:val="swiss"/>
    <w:pitch w:val="variable"/>
    <w:sig w:usb0="8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687682"/>
      <w:docPartObj>
        <w:docPartGallery w:val="Page Numbers (Bottom of Page)"/>
        <w:docPartUnique/>
      </w:docPartObj>
    </w:sdtPr>
    <w:sdtContent>
      <w:sdt>
        <w:sdtPr>
          <w:id w:val="-1769616900"/>
          <w:docPartObj>
            <w:docPartGallery w:val="Page Numbers (Top of Page)"/>
            <w:docPartUnique/>
          </w:docPartObj>
        </w:sdtPr>
        <w:sdtContent>
          <w:p w14:paraId="5A78C53D" w14:textId="646354C3" w:rsidR="00A85D71" w:rsidRDefault="00A85D7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8BD60A0" w14:textId="77777777" w:rsidR="00A85D71" w:rsidRDefault="00A85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79875" w14:textId="77777777" w:rsidR="00B0786B" w:rsidRDefault="00B0786B">
      <w:pPr>
        <w:spacing w:before="0" w:after="0" w:line="240" w:lineRule="auto"/>
      </w:pPr>
      <w:r>
        <w:separator/>
      </w:r>
    </w:p>
  </w:footnote>
  <w:footnote w:type="continuationSeparator" w:id="0">
    <w:p w14:paraId="6640619C" w14:textId="77777777" w:rsidR="00B0786B" w:rsidRDefault="00B0786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0B4543B8" w:rsidR="006A1062" w:rsidRDefault="00A85D71" w:rsidP="00A85D71">
    <w:pPr>
      <w:jc w:val="right"/>
    </w:pPr>
    <w:r>
      <w:tab/>
    </w:r>
    <w:r>
      <w:tab/>
    </w:r>
    <w:r>
      <w:tab/>
    </w:r>
    <w:r>
      <w:tab/>
    </w:r>
    <w:r>
      <w:tab/>
    </w:r>
    <w:r>
      <w:tab/>
    </w:r>
    <w:r>
      <w:tab/>
    </w:r>
    <w:r>
      <w:tab/>
    </w:r>
    <w:r w:rsidRPr="00A85D71">
      <w:t>Law and Legal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062"/>
    <w:rsid w:val="000F5C98"/>
    <w:rsid w:val="00217523"/>
    <w:rsid w:val="00495842"/>
    <w:rsid w:val="00612246"/>
    <w:rsid w:val="006A1062"/>
    <w:rsid w:val="007F0076"/>
    <w:rsid w:val="009A1A62"/>
    <w:rsid w:val="009B3CBE"/>
    <w:rsid w:val="00A4384A"/>
    <w:rsid w:val="00A85D71"/>
    <w:rsid w:val="00B0786B"/>
    <w:rsid w:val="00C6318E"/>
    <w:rsid w:val="00EC2CC9"/>
    <w:rsid w:val="00EE6B34"/>
    <w:rsid w:val="00F004C8"/>
    <w:rsid w:val="00FD0A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CA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076"/>
    <w:pPr>
      <w:spacing w:before="120" w:after="120" w:line="480" w:lineRule="auto"/>
      <w:jc w:val="both"/>
    </w:pPr>
    <w:rPr>
      <w:rFonts w:ascii="Times New Roman" w:hAnsi="Times New Roman"/>
      <w:sz w:val="24"/>
    </w:rPr>
  </w:style>
  <w:style w:type="paragraph" w:styleId="Heading1">
    <w:name w:val="heading 1"/>
    <w:basedOn w:val="Normal1"/>
    <w:next w:val="Normal1"/>
    <w:link w:val="Heading1Char"/>
    <w:uiPriority w:val="9"/>
    <w:qFormat/>
    <w:rsid w:val="00F004C8"/>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F004C8"/>
    <w:pPr>
      <w:keepNext/>
      <w:keepLines/>
      <w:spacing w:before="480" w:after="240" w:line="48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F004C8"/>
    <w:rPr>
      <w:rFonts w:ascii="Times New Roman" w:hAnsi="Times New Roman"/>
      <w:b/>
      <w:sz w:val="28"/>
      <w:szCs w:val="40"/>
    </w:rPr>
  </w:style>
  <w:style w:type="paragraph" w:styleId="Bibliography">
    <w:name w:val="Bibliography"/>
    <w:basedOn w:val="Normal"/>
    <w:next w:val="Normal"/>
    <w:uiPriority w:val="37"/>
    <w:unhideWhenUsed/>
    <w:rsid w:val="00F004C8"/>
  </w:style>
  <w:style w:type="character" w:styleId="Hyperlink">
    <w:name w:val="Hyperlink"/>
    <w:basedOn w:val="DefaultParagraphFont"/>
    <w:uiPriority w:val="99"/>
    <w:unhideWhenUsed/>
    <w:rsid w:val="00F004C8"/>
    <w:rPr>
      <w:color w:val="0000FF" w:themeColor="hyperlink"/>
      <w:u w:val="single"/>
    </w:rPr>
  </w:style>
  <w:style w:type="character" w:styleId="UnresolvedMention">
    <w:name w:val="Unresolved Mention"/>
    <w:basedOn w:val="DefaultParagraphFont"/>
    <w:uiPriority w:val="99"/>
    <w:semiHidden/>
    <w:unhideWhenUsed/>
    <w:rsid w:val="00F004C8"/>
    <w:rPr>
      <w:color w:val="605E5C"/>
      <w:shd w:val="clear" w:color="auto" w:fill="E1DFDD"/>
    </w:rPr>
  </w:style>
  <w:style w:type="paragraph" w:styleId="Header">
    <w:name w:val="header"/>
    <w:basedOn w:val="Normal"/>
    <w:link w:val="HeaderChar"/>
    <w:uiPriority w:val="99"/>
    <w:unhideWhenUsed/>
    <w:rsid w:val="00A85D7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85D71"/>
    <w:rPr>
      <w:rFonts w:ascii="Times New Roman" w:hAnsi="Times New Roman"/>
      <w:sz w:val="24"/>
    </w:rPr>
  </w:style>
  <w:style w:type="paragraph" w:styleId="Footer">
    <w:name w:val="footer"/>
    <w:basedOn w:val="Normal"/>
    <w:link w:val="FooterChar"/>
    <w:uiPriority w:val="99"/>
    <w:unhideWhenUsed/>
    <w:rsid w:val="00A85D7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85D71"/>
    <w:rPr>
      <w:rFonts w:ascii="Times New Roman" w:hAnsi="Times New Roman"/>
      <w:sz w:val="24"/>
    </w:rPr>
  </w:style>
  <w:style w:type="paragraph" w:styleId="TOCHeading">
    <w:name w:val="TOC Heading"/>
    <w:basedOn w:val="Heading1"/>
    <w:next w:val="Normal"/>
    <w:uiPriority w:val="39"/>
    <w:unhideWhenUsed/>
    <w:qFormat/>
    <w:rsid w:val="00EE6B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E6B34"/>
    <w:pPr>
      <w:spacing w:after="100"/>
    </w:pPr>
  </w:style>
  <w:style w:type="paragraph" w:styleId="TOC2">
    <w:name w:val="toc 2"/>
    <w:basedOn w:val="Normal"/>
    <w:next w:val="Normal"/>
    <w:autoRedefine/>
    <w:uiPriority w:val="39"/>
    <w:unhideWhenUsed/>
    <w:rsid w:val="00EE6B3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1068">
      <w:bodyDiv w:val="1"/>
      <w:marLeft w:val="0"/>
      <w:marRight w:val="0"/>
      <w:marTop w:val="0"/>
      <w:marBottom w:val="0"/>
      <w:divBdr>
        <w:top w:val="none" w:sz="0" w:space="0" w:color="auto"/>
        <w:left w:val="none" w:sz="0" w:space="0" w:color="auto"/>
        <w:bottom w:val="none" w:sz="0" w:space="0" w:color="auto"/>
        <w:right w:val="none" w:sz="0" w:space="0" w:color="auto"/>
      </w:divBdr>
    </w:div>
    <w:div w:id="422341259">
      <w:bodyDiv w:val="1"/>
      <w:marLeft w:val="0"/>
      <w:marRight w:val="0"/>
      <w:marTop w:val="0"/>
      <w:marBottom w:val="0"/>
      <w:divBdr>
        <w:top w:val="none" w:sz="0" w:space="0" w:color="auto"/>
        <w:left w:val="none" w:sz="0" w:space="0" w:color="auto"/>
        <w:bottom w:val="none" w:sz="0" w:space="0" w:color="auto"/>
        <w:right w:val="none" w:sz="0" w:space="0" w:color="auto"/>
      </w:divBdr>
    </w:div>
    <w:div w:id="765733210">
      <w:bodyDiv w:val="1"/>
      <w:marLeft w:val="0"/>
      <w:marRight w:val="0"/>
      <w:marTop w:val="0"/>
      <w:marBottom w:val="0"/>
      <w:divBdr>
        <w:top w:val="none" w:sz="0" w:space="0" w:color="auto"/>
        <w:left w:val="none" w:sz="0" w:space="0" w:color="auto"/>
        <w:bottom w:val="none" w:sz="0" w:space="0" w:color="auto"/>
        <w:right w:val="none" w:sz="0" w:space="0" w:color="auto"/>
      </w:divBdr>
    </w:div>
    <w:div w:id="817111811">
      <w:bodyDiv w:val="1"/>
      <w:marLeft w:val="0"/>
      <w:marRight w:val="0"/>
      <w:marTop w:val="0"/>
      <w:marBottom w:val="0"/>
      <w:divBdr>
        <w:top w:val="none" w:sz="0" w:space="0" w:color="auto"/>
        <w:left w:val="none" w:sz="0" w:space="0" w:color="auto"/>
        <w:bottom w:val="none" w:sz="0" w:space="0" w:color="auto"/>
        <w:right w:val="none" w:sz="0" w:space="0" w:color="auto"/>
      </w:divBdr>
    </w:div>
    <w:div w:id="867138224">
      <w:bodyDiv w:val="1"/>
      <w:marLeft w:val="0"/>
      <w:marRight w:val="0"/>
      <w:marTop w:val="0"/>
      <w:marBottom w:val="0"/>
      <w:divBdr>
        <w:top w:val="none" w:sz="0" w:space="0" w:color="auto"/>
        <w:left w:val="none" w:sz="0" w:space="0" w:color="auto"/>
        <w:bottom w:val="none" w:sz="0" w:space="0" w:color="auto"/>
        <w:right w:val="none" w:sz="0" w:space="0" w:color="auto"/>
      </w:divBdr>
    </w:div>
    <w:div w:id="1085880906">
      <w:bodyDiv w:val="1"/>
      <w:marLeft w:val="0"/>
      <w:marRight w:val="0"/>
      <w:marTop w:val="0"/>
      <w:marBottom w:val="0"/>
      <w:divBdr>
        <w:top w:val="none" w:sz="0" w:space="0" w:color="auto"/>
        <w:left w:val="none" w:sz="0" w:space="0" w:color="auto"/>
        <w:bottom w:val="none" w:sz="0" w:space="0" w:color="auto"/>
        <w:right w:val="none" w:sz="0" w:space="0" w:color="auto"/>
      </w:divBdr>
    </w:div>
    <w:div w:id="1150443808">
      <w:bodyDiv w:val="1"/>
      <w:marLeft w:val="0"/>
      <w:marRight w:val="0"/>
      <w:marTop w:val="0"/>
      <w:marBottom w:val="0"/>
      <w:divBdr>
        <w:top w:val="none" w:sz="0" w:space="0" w:color="auto"/>
        <w:left w:val="none" w:sz="0" w:space="0" w:color="auto"/>
        <w:bottom w:val="none" w:sz="0" w:space="0" w:color="auto"/>
        <w:right w:val="none" w:sz="0" w:space="0" w:color="auto"/>
      </w:divBdr>
    </w:div>
    <w:div w:id="138058837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leg23</b:Tag>
    <b:SourceType>InternetSite</b:SourceType>
    <b:Guid>{391A9390-615F-4ABC-B0CE-DB075AA282D5}</b:Guid>
    <b:Author>
      <b:Author>
        <b:Corporate>legislation</b:Corporate>
      </b:Author>
    </b:Author>
    <b:Title>Financial Services and Markets Act 2000</b:Title>
    <b:Year>2023</b:Year>
    <b:YearAccessed>2023</b:YearAccessed>
    <b:MonthAccessed>July </b:MonthAccessed>
    <b:DayAccessed>29</b:DayAccessed>
    <b:URL>https://www.legislation.gov.uk/ukpga/2000/8/contents</b:URL>
    <b:RefOrder>2</b:RefOrder>
  </b:Source>
  <b:Source>
    <b:Tag>pro237</b:Tag>
    <b:SourceType>InternetSite</b:SourceType>
    <b:Guid>{3BD5DA58-9963-4C9F-9366-D149C0DD2565}</b:Guid>
    <b:Author>
      <b:Author>
        <b:Corporate>profiletre</b:Corporate>
      </b:Author>
    </b:Author>
    <b:Title>GREAT 12 UK Business Startup Statistics: What You Need to Know About the Market</b:Title>
    <b:Year>2023</b:Year>
    <b:YearAccessed>2023</b:YearAccessed>
    <b:MonthAccessed>July </b:MonthAccessed>
    <b:DayAccessed>29</b:DayAccessed>
    <b:URL>https://profiletree.com/uk-business-startup-statistics/#:~:text=The%20UK%20is%20home%20to,decline%20from%20the%20previous%20year.</b:URL>
    <b:RefOrder>1</b:RefOrder>
  </b:Source>
  <b:Source>
    <b:Tag>ukc23</b:Tag>
    <b:SourceType>InternetSite</b:SourceType>
    <b:Guid>{D0583B9C-34D3-4BFD-A72A-AD622A51FE7F}</b:Guid>
    <b:Author>
      <b:Author>
        <b:Corporate>ukciu</b:Corporate>
      </b:Author>
    </b:Author>
    <b:Title>Proceeds of Crime Act 2002</b:Title>
    <b:Year>2023</b:Year>
    <b:YearAccessed>2023</b:YearAccessed>
    <b:MonthAccessed>July </b:MonthAccessed>
    <b:DayAccessed>29</b:DayAccessed>
    <b:URL>https://www.ukciu.gov.uk/(xwxqxm55yk5tzxbr0dznv2en)/Information/info.aspx?InfoSection=Legislation#:~:text=The%20Proceeds%20of%20Crime%20Act,criminal%20assets%20through%20civil%20means.</b:URL>
    <b:RefOrder>4</b:RefOrder>
  </b:Source>
  <b:Source>
    <b:Tag>sra23</b:Tag>
    <b:SourceType>InternetSite</b:SourceType>
    <b:Guid>{79EBE06B-8E47-4CE0-B75C-3D83D5A5F588}</b:Guid>
    <b:Author>
      <b:Author>
        <b:Corporate>sra</b:Corporate>
      </b:Author>
    </b:Author>
    <b:Title>SRA Code of Conduct for Solicitors, RELs and RFLs</b:Title>
    <b:Year>2023</b:Year>
    <b:YearAccessed>2023</b:YearAccessed>
    <b:MonthAccessed>July </b:MonthAccessed>
    <b:DayAccessed>29</b:DayAccessed>
    <b:URL>https://www.sra.org.uk/solicitors/standards-regulations/code-conduct-solicitors/</b:URL>
    <b:RefOrder>5</b:RefOrder>
  </b:Source>
  <b:Source>
    <b:Tag>law19</b:Tag>
    <b:SourceType>InternetSite</b:SourceType>
    <b:Guid>{FB4C9800-7EAA-46FF-8D8A-9D89F927827F}</b:Guid>
    <b:Author>
      <b:Author>
        <b:Corporate>lawsociety</b:Corporate>
      </b:Author>
    </b:Author>
    <b:Title>SRA Standards and Regulations</b:Title>
    <b:Year>2019</b:Year>
    <b:YearAccessed>2023</b:YearAccessed>
    <b:MonthAccessed>July </b:MonthAccessed>
    <b:DayAccessed>29</b:DayAccessed>
    <b:URL>https://www.lawsociety.org.uk/topics/regulation/sra-standards-and-regulations</b:URL>
    <b:RefOrder>7</b:RefOrder>
  </b:Source>
  <b:Source>
    <b:Tag>leg231</b:Tag>
    <b:SourceType>InternetSite</b:SourceType>
    <b:Guid>{444F5309-283F-47D7-9A8F-C8A7EF7DD20B}</b:Guid>
    <b:Author>
      <b:Author>
        <b:Corporate>legalservicesboard</b:Corporate>
      </b:Author>
    </b:Author>
    <b:Title>SRA Principles</b:Title>
    <b:Year>2023</b:Year>
    <b:YearAccessed>2023</b:YearAccessed>
    <b:MonthAccessed>July </b:MonthAccessed>
    <b:DayAccessed>29</b:DayAccessed>
    <b:URL>https://www.legalservicesboard.org.uk/Projects/statutory_decision_making/pdf/2018/Annex_A_the_new_rules.pdf</b:URL>
    <b:RefOrder>6</b:RefOrder>
  </b:Source>
  <b:Source>
    <b:Tag>com231</b:Tag>
    <b:SourceType>InternetSite</b:SourceType>
    <b:Guid>{4528C79D-D350-45ED-89A4-6FD2353639C3}</b:Guid>
    <b:Author>
      <b:Author>
        <b:Corporate>committees.parliament</b:Corporate>
      </b:Author>
    </b:Author>
    <b:Title>Solicitors Regulation Authority</b:Title>
    <b:Year>2023</b:Year>
    <b:YearAccessed>2023</b:YearAccessed>
    <b:MonthAccessed>July </b:MonthAccessed>
    <b:DayAccessed>29</b:DayAccessed>
    <b:URL>https://committees.parliament.uk/writtenevidence/8046/default/</b:URL>
    <b:RefOrder>3</b:RefOrder>
  </b:Source>
  <b:Source>
    <b:Tag>The23</b:Tag>
    <b:SourceType>InternetSite</b:SourceType>
    <b:Guid>{74ED52CB-FE1C-49E4-BB11-8C504ED5E7F9}</b:Guid>
    <b:Author>
      <b:Author>
        <b:Corporate>The infolaw Partner Showcase</b:Corporate>
      </b:Author>
    </b:Author>
    <b:Title>What are the funding options available for a law firm?</b:Title>
    <b:Year>2023</b:Year>
    <b:YearAccessed>2023</b:YearAccessed>
    <b:MonthAccessed>August</b:MonthAccessed>
    <b:DayAccessed>05</b:DayAccessed>
    <b:URL>https://www.infolaw.co.uk/partners/what-are-the-funding-options-available-for-a-law-firm/</b:URL>
    <b:RefOrder>1</b:RefOrder>
  </b:Source>
  <b:Source>
    <b:Tag>Kee23</b:Tag>
    <b:SourceType>InternetSite</b:SourceType>
    <b:Guid>{FDDC13A0-F8F2-4804-8CB4-E2FB5FF36242}</b:Guid>
    <b:Author>
      <b:Author>
        <b:NameList>
          <b:Person>
            <b:Last>Woodley</b:Last>
            <b:First>Keely</b:First>
          </b:Person>
        </b:NameList>
      </b:Author>
    </b:Author>
    <b:Title>Corporate finance</b:Title>
    <b:Year>2023</b:Year>
    <b:YearAccessed>2023</b:YearAccessed>
    <b:MonthAccessed>August </b:MonthAccessed>
    <b:DayAccessed>05</b:DayAccessed>
    <b:URL>https://www.grantthornton.co.uk/services/deals/corporate-finance/</b:URL>
    <b:RefOrder>2</b:RefOrder>
  </b:Source>
  <b:Source>
    <b:Tag>The201</b:Tag>
    <b:SourceType>InternetSite</b:SourceType>
    <b:Guid>{2DD4C4B3-205E-4D4E-A021-3A19272CE1D5}</b:Guid>
    <b:Author>
      <b:Author>
        <b:Corporate>The Law Society</b:Corporate>
      </b:Author>
    </b:Author>
    <b:Title>Conveyancing Protocol</b:Title>
    <b:Year>2020</b:Year>
    <b:YearAccessed>2023</b:YearAccessed>
    <b:MonthAccessed>August</b:MonthAccessed>
    <b:DayAccessed>05</b:DayAccessed>
    <b:URL>https://www.lawsociety.org.uk/topics/property/conveyancing-protocol</b:URL>
    <b:RefOrder>3</b:RefOrder>
  </b:Source>
</b:Sources>
</file>

<file path=customXml/itemProps1.xml><?xml version="1.0" encoding="utf-8"?>
<ds:datastoreItem xmlns:ds="http://schemas.openxmlformats.org/officeDocument/2006/customXml" ds:itemID="{357EFF80-E93E-47F1-A6C0-F3F89AD47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2106</Words>
  <Characters>12005</Characters>
  <Application>Microsoft Office Word</Application>
  <DocSecurity>0</DocSecurity>
  <Lines>100</Lines>
  <Paragraphs>28</Paragraphs>
  <ScaleCrop>false</ScaleCrop>
  <Company/>
  <LinksUpToDate>false</LinksUpToDate>
  <CharactersWithSpaces>14083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2023-08-08T11:39:00Z</dcterms:created>
  <dcterms:modified xsi:type="dcterms:W3CDTF">2023-08-14T09:07:00Z</dcterms:modified>
</cp:coreProperties>
</file>