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3E1C" w:rsidRDefault="00EA3E1C" w:rsidP="00EA3E1C">
      <w:pPr>
        <w:jc w:val="center"/>
        <w:rPr>
          <w:rFonts w:ascii="Arial" w:hAnsi="Arial" w:cs="Arial"/>
          <w:sz w:val="28"/>
        </w:rPr>
      </w:pPr>
      <w:r w:rsidRPr="00EA3E1C">
        <w:rPr>
          <w:rFonts w:ascii="Arial" w:hAnsi="Arial" w:cs="Arial"/>
          <w:sz w:val="28"/>
        </w:rPr>
        <w:t>To what extent were the achievements of the Normans in England the result of the same factors as those that explain their success in Southern Italy and Sicily?</w:t>
      </w:r>
    </w:p>
    <w:p w:rsidR="00EA3E1C" w:rsidRDefault="00EA3E1C" w:rsidP="00EA3E1C">
      <w:pPr>
        <w:jc w:val="center"/>
        <w:rPr>
          <w:rFonts w:ascii="Arial" w:hAnsi="Arial" w:cs="Arial"/>
          <w:sz w:val="28"/>
        </w:rPr>
      </w:pPr>
    </w:p>
    <w:p w:rsidR="00FE5223" w:rsidRDefault="00BA3611" w:rsidP="00EA3E1C">
      <w:pPr>
        <w:rPr>
          <w:rFonts w:ascii="Arial" w:hAnsi="Arial" w:cs="Arial"/>
          <w:sz w:val="24"/>
        </w:rPr>
      </w:pPr>
      <w:r>
        <w:rPr>
          <w:rFonts w:ascii="Arial" w:hAnsi="Arial" w:cs="Arial"/>
          <w:sz w:val="24"/>
        </w:rPr>
        <w:t>On the 14</w:t>
      </w:r>
      <w:r w:rsidRPr="00BA3611">
        <w:rPr>
          <w:rFonts w:ascii="Arial" w:hAnsi="Arial" w:cs="Arial"/>
          <w:sz w:val="24"/>
          <w:vertAlign w:val="superscript"/>
        </w:rPr>
        <w:t>th</w:t>
      </w:r>
      <w:r>
        <w:rPr>
          <w:rFonts w:ascii="Arial" w:hAnsi="Arial" w:cs="Arial"/>
          <w:sz w:val="24"/>
        </w:rPr>
        <w:t xml:space="preserve"> of October 1066 </w:t>
      </w:r>
      <w:r w:rsidR="00F5267F">
        <w:rPr>
          <w:rFonts w:ascii="Arial" w:hAnsi="Arial" w:cs="Arial"/>
          <w:sz w:val="24"/>
        </w:rPr>
        <w:t xml:space="preserve">AD </w:t>
      </w:r>
      <w:r>
        <w:rPr>
          <w:rFonts w:ascii="Arial" w:hAnsi="Arial" w:cs="Arial"/>
          <w:sz w:val="24"/>
        </w:rPr>
        <w:t>one of the most important dynastic shifts in English history took place.</w:t>
      </w:r>
      <w:r>
        <w:rPr>
          <w:rStyle w:val="FootnoteReference"/>
          <w:rFonts w:ascii="Arial" w:hAnsi="Arial" w:cs="Arial"/>
          <w:sz w:val="24"/>
        </w:rPr>
        <w:footnoteReference w:id="1"/>
      </w:r>
      <w:r>
        <w:rPr>
          <w:rFonts w:ascii="Arial" w:hAnsi="Arial" w:cs="Arial"/>
          <w:sz w:val="24"/>
        </w:rPr>
        <w:t xml:space="preserve"> The day had started with Harold Godwinson, King of England facing down a rival claimant to his crown, Duke William of Normandy, on Senlac Hill North West of the town of Hastings.</w:t>
      </w:r>
      <w:r>
        <w:rPr>
          <w:rStyle w:val="FootnoteReference"/>
          <w:rFonts w:ascii="Arial" w:hAnsi="Arial" w:cs="Arial"/>
          <w:sz w:val="24"/>
        </w:rPr>
        <w:footnoteReference w:id="2"/>
      </w:r>
      <w:r>
        <w:rPr>
          <w:rFonts w:ascii="Arial" w:hAnsi="Arial" w:cs="Arial"/>
          <w:sz w:val="24"/>
        </w:rPr>
        <w:t xml:space="preserve"> By nightfall Harold lay dead, whether cut down in battle or shot through the eye no one can be sure, and William </w:t>
      </w:r>
      <w:r w:rsidR="0036336E">
        <w:rPr>
          <w:rFonts w:ascii="Arial" w:hAnsi="Arial" w:cs="Arial"/>
          <w:sz w:val="24"/>
        </w:rPr>
        <w:t>had removed the greatest opposition to him becoming</w:t>
      </w:r>
      <w:r>
        <w:rPr>
          <w:rFonts w:ascii="Arial" w:hAnsi="Arial" w:cs="Arial"/>
          <w:sz w:val="24"/>
        </w:rPr>
        <w:t xml:space="preserve"> the first Norman King of England.</w:t>
      </w:r>
      <w:r>
        <w:rPr>
          <w:rStyle w:val="FootnoteReference"/>
          <w:rFonts w:ascii="Arial" w:hAnsi="Arial" w:cs="Arial"/>
          <w:sz w:val="24"/>
        </w:rPr>
        <w:footnoteReference w:id="3"/>
      </w:r>
      <w:r>
        <w:rPr>
          <w:rFonts w:ascii="Arial" w:hAnsi="Arial" w:cs="Arial"/>
          <w:sz w:val="24"/>
        </w:rPr>
        <w:t xml:space="preserve"> </w:t>
      </w:r>
      <w:r w:rsidR="00F5267F">
        <w:rPr>
          <w:rFonts w:ascii="Arial" w:hAnsi="Arial" w:cs="Arial"/>
          <w:sz w:val="24"/>
        </w:rPr>
        <w:t>Thus, William was crowned king of all England on Christmas Day 1066 AD after the English nobles submitted to his rule.</w:t>
      </w:r>
      <w:r w:rsidR="00F5267F">
        <w:rPr>
          <w:rStyle w:val="FootnoteReference"/>
          <w:rFonts w:ascii="Arial" w:hAnsi="Arial" w:cs="Arial"/>
          <w:sz w:val="24"/>
        </w:rPr>
        <w:footnoteReference w:id="4"/>
      </w:r>
      <w:r w:rsidR="00F5267F">
        <w:rPr>
          <w:rFonts w:ascii="Arial" w:hAnsi="Arial" w:cs="Arial"/>
          <w:sz w:val="24"/>
        </w:rPr>
        <w:t xml:space="preserve"> Unrest and rebellion may have continued until 1070 AD</w:t>
      </w:r>
      <w:r w:rsidR="00F5267F">
        <w:rPr>
          <w:rStyle w:val="FootnoteReference"/>
          <w:rFonts w:ascii="Arial" w:hAnsi="Arial" w:cs="Arial"/>
          <w:sz w:val="24"/>
        </w:rPr>
        <w:footnoteReference w:id="5"/>
      </w:r>
      <w:r w:rsidR="00F5267F">
        <w:rPr>
          <w:rFonts w:ascii="Arial" w:hAnsi="Arial" w:cs="Arial"/>
          <w:sz w:val="24"/>
        </w:rPr>
        <w:t xml:space="preserve"> but Norman rule of England was never truly challenged again. The conquest of England also demonstrates some interesting parallels with the Norman successes in Southern Italy and Sicily. </w:t>
      </w:r>
      <w:r w:rsidR="00A60CF9">
        <w:rPr>
          <w:rFonts w:ascii="Arial" w:hAnsi="Arial" w:cs="Arial"/>
          <w:sz w:val="24"/>
        </w:rPr>
        <w:t>Small groups of individual knights had hired themselves to various powers in southern Italy as mercenaries</w:t>
      </w:r>
      <w:r w:rsidR="00686BF8">
        <w:rPr>
          <w:rFonts w:ascii="Arial" w:hAnsi="Arial" w:cs="Arial"/>
          <w:sz w:val="24"/>
        </w:rPr>
        <w:t>, often fighting one another.</w:t>
      </w:r>
      <w:r w:rsidR="00686BF8">
        <w:rPr>
          <w:rStyle w:val="FootnoteReference"/>
          <w:rFonts w:ascii="Arial" w:hAnsi="Arial" w:cs="Arial"/>
          <w:sz w:val="24"/>
        </w:rPr>
        <w:footnoteReference w:id="6"/>
      </w:r>
      <w:r w:rsidR="00686BF8">
        <w:rPr>
          <w:rFonts w:ascii="Arial" w:hAnsi="Arial" w:cs="Arial"/>
          <w:sz w:val="24"/>
        </w:rPr>
        <w:t xml:space="preserve"> However, the conquering blood flowed in these Normans too and they began to capture territory. Their first lands gained were in Aversa in 1030 AD, then Apulia and Calabria twenty nine years later in 1059 AD.</w:t>
      </w:r>
      <w:r w:rsidR="00686BF8">
        <w:rPr>
          <w:rStyle w:val="FootnoteReference"/>
          <w:rFonts w:ascii="Arial" w:hAnsi="Arial" w:cs="Arial"/>
          <w:sz w:val="24"/>
        </w:rPr>
        <w:footnoteReference w:id="7"/>
      </w:r>
      <w:r w:rsidR="00686BF8">
        <w:rPr>
          <w:rFonts w:ascii="Arial" w:hAnsi="Arial" w:cs="Arial"/>
          <w:sz w:val="24"/>
        </w:rPr>
        <w:t xml:space="preserve"> These territories in southern Italy were not enough for the Norman appetite it seems and they turned to Sicily, capturing most of the island by 1072 AD.</w:t>
      </w:r>
      <w:r w:rsidR="00686BF8">
        <w:rPr>
          <w:rStyle w:val="FootnoteReference"/>
          <w:rFonts w:ascii="Arial" w:hAnsi="Arial" w:cs="Arial"/>
          <w:sz w:val="24"/>
        </w:rPr>
        <w:footnoteReference w:id="8"/>
      </w:r>
      <w:r w:rsidR="00FB15B9">
        <w:rPr>
          <w:rFonts w:ascii="Arial" w:hAnsi="Arial" w:cs="Arial"/>
          <w:sz w:val="24"/>
        </w:rPr>
        <w:t xml:space="preserve"> </w:t>
      </w:r>
      <w:r w:rsidR="00FE5223">
        <w:rPr>
          <w:rFonts w:ascii="Arial" w:hAnsi="Arial" w:cs="Arial"/>
          <w:sz w:val="24"/>
        </w:rPr>
        <w:t>In both the cases the Norman’s success can be attributed to several factors, some of which can be attributed to the Normans’ Conquest of England as well as to their achievements in Southern Italy and Sicily.</w:t>
      </w:r>
    </w:p>
    <w:p w:rsidR="00D730A0" w:rsidRDefault="00FE5223" w:rsidP="00EA3E1C">
      <w:pPr>
        <w:rPr>
          <w:rFonts w:ascii="Arial" w:hAnsi="Arial" w:cs="Arial"/>
          <w:sz w:val="24"/>
        </w:rPr>
      </w:pPr>
      <w:r>
        <w:rPr>
          <w:rFonts w:ascii="Arial" w:hAnsi="Arial" w:cs="Arial"/>
          <w:sz w:val="24"/>
        </w:rPr>
        <w:t>Probably one of the most potent factors of the Normans’ success is their prominent use of heavy cavalry.</w:t>
      </w:r>
      <w:r w:rsidR="001C0B4B">
        <w:rPr>
          <w:rFonts w:ascii="Arial" w:hAnsi="Arial" w:cs="Arial"/>
          <w:sz w:val="24"/>
        </w:rPr>
        <w:t xml:space="preserve"> </w:t>
      </w:r>
      <w:r w:rsidR="007F002F">
        <w:rPr>
          <w:rFonts w:ascii="Arial" w:hAnsi="Arial" w:cs="Arial"/>
          <w:sz w:val="24"/>
        </w:rPr>
        <w:t xml:space="preserve">By no stretch of the imagination was cavalry new in the Eleventh Century. In fact, the earliest depictions of horses being used in warfare are from </w:t>
      </w:r>
      <w:r w:rsidR="007F002F">
        <w:rPr>
          <w:rFonts w:ascii="Arial" w:hAnsi="Arial" w:cs="Arial"/>
          <w:sz w:val="24"/>
        </w:rPr>
        <w:lastRenderedPageBreak/>
        <w:t>Babylon, Egypt, Assyria and the Hittites</w:t>
      </w:r>
      <w:r w:rsidR="009E2C0E">
        <w:rPr>
          <w:rFonts w:ascii="Arial" w:hAnsi="Arial" w:cs="Arial"/>
          <w:sz w:val="24"/>
        </w:rPr>
        <w:t xml:space="preserve"> in the time of the Biblical Old Testament.</w:t>
      </w:r>
      <w:r w:rsidR="007F002F">
        <w:rPr>
          <w:rStyle w:val="FootnoteReference"/>
          <w:rFonts w:ascii="Arial" w:hAnsi="Arial" w:cs="Arial"/>
          <w:sz w:val="24"/>
        </w:rPr>
        <w:footnoteReference w:id="9"/>
      </w:r>
      <w:r w:rsidR="00C336D2">
        <w:rPr>
          <w:rFonts w:ascii="Arial" w:hAnsi="Arial" w:cs="Arial"/>
          <w:sz w:val="24"/>
        </w:rPr>
        <w:t xml:space="preserve"> </w:t>
      </w:r>
      <w:r w:rsidR="00CB224C">
        <w:rPr>
          <w:rFonts w:ascii="Arial" w:hAnsi="Arial" w:cs="Arial"/>
          <w:sz w:val="24"/>
        </w:rPr>
        <w:t xml:space="preserve">In fact, a brief delve into pre medieval military history dredges up many examples of cavalry usage. </w:t>
      </w:r>
      <w:r w:rsidR="00A06EF0">
        <w:rPr>
          <w:rFonts w:ascii="Arial" w:hAnsi="Arial" w:cs="Arial"/>
          <w:sz w:val="24"/>
        </w:rPr>
        <w:t xml:space="preserve">Alexander the Great employed his famous Companion </w:t>
      </w:r>
      <w:r w:rsidR="001E4743">
        <w:rPr>
          <w:rFonts w:ascii="Arial" w:hAnsi="Arial" w:cs="Arial"/>
          <w:sz w:val="24"/>
        </w:rPr>
        <w:t>cavalry in many of his battles</w:t>
      </w:r>
      <w:r w:rsidR="00C13D6F">
        <w:rPr>
          <w:rFonts w:ascii="Arial" w:hAnsi="Arial" w:cs="Arial"/>
          <w:sz w:val="24"/>
        </w:rPr>
        <w:t xml:space="preserve"> such as </w:t>
      </w:r>
      <w:r w:rsidR="001E4743">
        <w:rPr>
          <w:rFonts w:ascii="Arial" w:hAnsi="Arial" w:cs="Arial"/>
          <w:sz w:val="24"/>
        </w:rPr>
        <w:t>Granicus, Issus and Hydaspes</w:t>
      </w:r>
      <w:r w:rsidR="00A06EF0">
        <w:rPr>
          <w:rFonts w:ascii="Arial" w:hAnsi="Arial" w:cs="Arial"/>
          <w:sz w:val="24"/>
        </w:rPr>
        <w:t>.</w:t>
      </w:r>
      <w:r w:rsidR="00A06EF0">
        <w:rPr>
          <w:rStyle w:val="FootnoteReference"/>
          <w:rFonts w:ascii="Arial" w:hAnsi="Arial" w:cs="Arial"/>
          <w:sz w:val="24"/>
        </w:rPr>
        <w:footnoteReference w:id="10"/>
      </w:r>
      <w:r w:rsidR="00A06EF0">
        <w:rPr>
          <w:rFonts w:ascii="Arial" w:hAnsi="Arial" w:cs="Arial"/>
          <w:sz w:val="24"/>
        </w:rPr>
        <w:t xml:space="preserve"> </w:t>
      </w:r>
      <w:r w:rsidR="00233F37">
        <w:rPr>
          <w:rFonts w:ascii="Arial" w:hAnsi="Arial" w:cs="Arial"/>
          <w:sz w:val="24"/>
        </w:rPr>
        <w:t xml:space="preserve">In </w:t>
      </w:r>
      <w:r w:rsidR="00183C16">
        <w:rPr>
          <w:rFonts w:ascii="Arial" w:hAnsi="Arial" w:cs="Arial"/>
          <w:sz w:val="24"/>
        </w:rPr>
        <w:t>216 BC t</w:t>
      </w:r>
      <w:r w:rsidR="003A0E34">
        <w:rPr>
          <w:rFonts w:ascii="Arial" w:hAnsi="Arial" w:cs="Arial"/>
          <w:sz w:val="24"/>
        </w:rPr>
        <w:t>he Roman Consuls at the battle of Cannae led an army which included two thousand, five hundred cavalry against Hannibal</w:t>
      </w:r>
      <w:r w:rsidR="004B1D5A">
        <w:rPr>
          <w:rFonts w:ascii="Arial" w:hAnsi="Arial" w:cs="Arial"/>
          <w:sz w:val="24"/>
        </w:rPr>
        <w:t xml:space="preserve"> -</w:t>
      </w:r>
      <w:r w:rsidR="003A0E34">
        <w:rPr>
          <w:rFonts w:ascii="Arial" w:hAnsi="Arial" w:cs="Arial"/>
          <w:sz w:val="24"/>
        </w:rPr>
        <w:t xml:space="preserve"> who fielded ten thousand horsemen of his own.</w:t>
      </w:r>
      <w:r w:rsidR="003A0E34">
        <w:rPr>
          <w:rStyle w:val="FootnoteReference"/>
          <w:rFonts w:ascii="Arial" w:hAnsi="Arial" w:cs="Arial"/>
          <w:sz w:val="24"/>
        </w:rPr>
        <w:footnoteReference w:id="11"/>
      </w:r>
      <w:r w:rsidR="00233F37">
        <w:rPr>
          <w:rFonts w:ascii="Arial" w:hAnsi="Arial" w:cs="Arial"/>
          <w:sz w:val="24"/>
        </w:rPr>
        <w:t xml:space="preserve"> After the fall of Rome, Charles Martel also employed cavalry to great effect against Abd-er-Rahman’s Muslim army at the battle of Poitiers (or Tours) in 732 AD.</w:t>
      </w:r>
      <w:r w:rsidR="00233F37">
        <w:rPr>
          <w:rStyle w:val="FootnoteReference"/>
          <w:rFonts w:ascii="Arial" w:hAnsi="Arial" w:cs="Arial"/>
          <w:sz w:val="24"/>
        </w:rPr>
        <w:footnoteReference w:id="12"/>
      </w:r>
      <w:r w:rsidR="00387CB4">
        <w:rPr>
          <w:rFonts w:ascii="Arial" w:hAnsi="Arial" w:cs="Arial"/>
          <w:sz w:val="24"/>
        </w:rPr>
        <w:t xml:space="preserve"> </w:t>
      </w:r>
      <w:r w:rsidR="00B53A83">
        <w:rPr>
          <w:rFonts w:ascii="Arial" w:hAnsi="Arial" w:cs="Arial"/>
          <w:sz w:val="24"/>
        </w:rPr>
        <w:t>Both the Normans in Sicily and William the Conqueror’s forces were primarily mounted soldiers employed in a shock role</w:t>
      </w:r>
      <w:r w:rsidR="000A7DD6">
        <w:rPr>
          <w:rStyle w:val="FootnoteReference"/>
          <w:rFonts w:ascii="Arial" w:hAnsi="Arial" w:cs="Arial"/>
          <w:sz w:val="24"/>
        </w:rPr>
        <w:footnoteReference w:id="13"/>
      </w:r>
      <w:r w:rsidR="009756F4">
        <w:rPr>
          <w:rFonts w:ascii="Arial" w:hAnsi="Arial" w:cs="Arial"/>
          <w:sz w:val="24"/>
        </w:rPr>
        <w:t xml:space="preserve"> but this was, as seen, not the revolutionary tact</w:t>
      </w:r>
      <w:r w:rsidR="008541DF">
        <w:rPr>
          <w:rFonts w:ascii="Arial" w:hAnsi="Arial" w:cs="Arial"/>
          <w:sz w:val="24"/>
        </w:rPr>
        <w:t>ic that Lynn White Junior argues</w:t>
      </w:r>
      <w:r w:rsidR="009756F4">
        <w:rPr>
          <w:rFonts w:ascii="Arial" w:hAnsi="Arial" w:cs="Arial"/>
          <w:sz w:val="24"/>
        </w:rPr>
        <w:t xml:space="preserve"> it was.</w:t>
      </w:r>
      <w:r w:rsidR="009756F4">
        <w:rPr>
          <w:rStyle w:val="FootnoteReference"/>
          <w:rFonts w:ascii="Arial" w:hAnsi="Arial" w:cs="Arial"/>
          <w:sz w:val="24"/>
        </w:rPr>
        <w:footnoteReference w:id="14"/>
      </w:r>
      <w:r w:rsidR="008541DF">
        <w:rPr>
          <w:rFonts w:ascii="Arial" w:hAnsi="Arial" w:cs="Arial"/>
          <w:sz w:val="24"/>
        </w:rPr>
        <w:t xml:space="preserve"> In fact, Phillip Sidnell also refutes this claim in his book ‘Warhorse’</w:t>
      </w:r>
      <w:r w:rsidR="008541DF">
        <w:rPr>
          <w:rStyle w:val="FootnoteReference"/>
          <w:rFonts w:ascii="Arial" w:hAnsi="Arial" w:cs="Arial"/>
          <w:sz w:val="24"/>
        </w:rPr>
        <w:footnoteReference w:id="15"/>
      </w:r>
      <w:r w:rsidR="008541DF">
        <w:rPr>
          <w:rFonts w:ascii="Arial" w:hAnsi="Arial" w:cs="Arial"/>
          <w:sz w:val="24"/>
        </w:rPr>
        <w:t xml:space="preserve"> arguing that the methods Norman horsemen used at Hastings would have been unsurprising to </w:t>
      </w:r>
      <w:r w:rsidR="00C010C7">
        <w:rPr>
          <w:rFonts w:ascii="Arial" w:hAnsi="Arial" w:cs="Arial"/>
          <w:sz w:val="24"/>
        </w:rPr>
        <w:t>both Alexander’s Companion cavalry and Hannibal’s mounted forces.</w:t>
      </w:r>
      <w:r w:rsidR="00C010C7">
        <w:rPr>
          <w:rStyle w:val="FootnoteReference"/>
          <w:rFonts w:ascii="Arial" w:hAnsi="Arial" w:cs="Arial"/>
          <w:sz w:val="24"/>
        </w:rPr>
        <w:footnoteReference w:id="16"/>
      </w:r>
      <w:r w:rsidR="006D3E4E">
        <w:rPr>
          <w:rFonts w:ascii="Arial" w:hAnsi="Arial" w:cs="Arial"/>
          <w:sz w:val="24"/>
        </w:rPr>
        <w:t xml:space="preserve"> The greatest consideration though is that despite cavalry being no new thing the Normans still used it to devastating effect in England and Italy. It was cavalry who performed the famous feinted retreats at Senlac Hill which drew the Saxon fyrd from their shield wall and to their deaths.</w:t>
      </w:r>
      <w:r w:rsidR="006D3E4E">
        <w:rPr>
          <w:rStyle w:val="FootnoteReference"/>
          <w:rFonts w:ascii="Arial" w:hAnsi="Arial" w:cs="Arial"/>
          <w:sz w:val="24"/>
        </w:rPr>
        <w:footnoteReference w:id="17"/>
      </w:r>
      <w:r w:rsidR="006D3E4E">
        <w:rPr>
          <w:rFonts w:ascii="Arial" w:hAnsi="Arial" w:cs="Arial"/>
          <w:sz w:val="24"/>
        </w:rPr>
        <w:t xml:space="preserve"> Likewise, in Italy the Normans established their dominion by defeating Pope Leo IX at the battle of Civitate without engaging any infantry, just their heavily outnumbered knights.</w:t>
      </w:r>
      <w:r w:rsidR="006D3E4E">
        <w:rPr>
          <w:rStyle w:val="FootnoteReference"/>
          <w:rFonts w:ascii="Arial" w:hAnsi="Arial" w:cs="Arial"/>
          <w:sz w:val="24"/>
        </w:rPr>
        <w:footnoteReference w:id="18"/>
      </w:r>
      <w:r w:rsidR="00560494">
        <w:rPr>
          <w:rFonts w:ascii="Arial" w:hAnsi="Arial" w:cs="Arial"/>
          <w:sz w:val="24"/>
        </w:rPr>
        <w:t xml:space="preserve"> This demonstrates how the Norman achievements in England and Italy were a result of one of the same factors – heavy cavalry.</w:t>
      </w:r>
    </w:p>
    <w:p w:rsidR="0067498A" w:rsidRDefault="00560494" w:rsidP="00EA3E1C">
      <w:pPr>
        <w:rPr>
          <w:rFonts w:ascii="Arial" w:hAnsi="Arial" w:cs="Arial"/>
          <w:sz w:val="24"/>
        </w:rPr>
      </w:pPr>
      <w:r>
        <w:rPr>
          <w:rFonts w:ascii="Arial" w:hAnsi="Arial" w:cs="Arial"/>
          <w:sz w:val="24"/>
        </w:rPr>
        <w:t>Another factor which was important to the success of the Normans in both England and Southern Italy and Sicily was the institution of f</w:t>
      </w:r>
      <w:r w:rsidR="00D730A0">
        <w:rPr>
          <w:rFonts w:ascii="Arial" w:hAnsi="Arial" w:cs="Arial"/>
          <w:sz w:val="24"/>
        </w:rPr>
        <w:t>eudalism</w:t>
      </w:r>
      <w:r>
        <w:rPr>
          <w:rFonts w:ascii="Arial" w:hAnsi="Arial" w:cs="Arial"/>
          <w:sz w:val="24"/>
        </w:rPr>
        <w:t xml:space="preserve">. </w:t>
      </w:r>
      <w:r w:rsidR="00BD73B4">
        <w:rPr>
          <w:rFonts w:ascii="Arial" w:hAnsi="Arial" w:cs="Arial"/>
          <w:sz w:val="24"/>
        </w:rPr>
        <w:t xml:space="preserve">Feudalism or the feudal system is a governmental method whereby a vassal held land from a superior in return </w:t>
      </w:r>
      <w:r w:rsidR="00BD73B4">
        <w:rPr>
          <w:rFonts w:ascii="Arial" w:hAnsi="Arial" w:cs="Arial"/>
          <w:sz w:val="24"/>
        </w:rPr>
        <w:lastRenderedPageBreak/>
        <w:t>for allegiance and service.</w:t>
      </w:r>
      <w:r w:rsidR="00BD73B4">
        <w:rPr>
          <w:rStyle w:val="FootnoteReference"/>
          <w:rFonts w:ascii="Arial" w:hAnsi="Arial" w:cs="Arial"/>
          <w:sz w:val="24"/>
        </w:rPr>
        <w:footnoteReference w:id="19"/>
      </w:r>
      <w:r w:rsidR="0039580A">
        <w:rPr>
          <w:rFonts w:ascii="Arial" w:hAnsi="Arial" w:cs="Arial"/>
          <w:sz w:val="24"/>
        </w:rPr>
        <w:t xml:space="preserve"> </w:t>
      </w:r>
      <w:r w:rsidR="00CB2A26">
        <w:rPr>
          <w:rFonts w:ascii="Arial" w:hAnsi="Arial" w:cs="Arial"/>
          <w:sz w:val="24"/>
        </w:rPr>
        <w:t xml:space="preserve">So, the King gives lands to his lords; these lords give lands to knights; and the knights give lands to tenant farmers all in return for service to the rank above. </w:t>
      </w:r>
      <w:r w:rsidR="00DE5FE9">
        <w:rPr>
          <w:rFonts w:ascii="Arial" w:hAnsi="Arial" w:cs="Arial"/>
          <w:sz w:val="24"/>
        </w:rPr>
        <w:t>In the Norman territories of Southern Italy and Sicily and in England</w:t>
      </w:r>
      <w:r w:rsidR="002873D8">
        <w:rPr>
          <w:rFonts w:ascii="Arial" w:hAnsi="Arial" w:cs="Arial"/>
          <w:sz w:val="24"/>
        </w:rPr>
        <w:t>,</w:t>
      </w:r>
      <w:r w:rsidR="00DE5FE9">
        <w:rPr>
          <w:rFonts w:ascii="Arial" w:hAnsi="Arial" w:cs="Arial"/>
          <w:sz w:val="24"/>
        </w:rPr>
        <w:t xml:space="preserve"> after 1066</w:t>
      </w:r>
      <w:r w:rsidR="00AC2488">
        <w:rPr>
          <w:rFonts w:ascii="Arial" w:hAnsi="Arial" w:cs="Arial"/>
          <w:sz w:val="24"/>
        </w:rPr>
        <w:t xml:space="preserve"> AD</w:t>
      </w:r>
      <w:r w:rsidR="002873D8">
        <w:rPr>
          <w:rFonts w:ascii="Arial" w:hAnsi="Arial" w:cs="Arial"/>
          <w:sz w:val="24"/>
        </w:rPr>
        <w:t>,</w:t>
      </w:r>
      <w:r w:rsidR="00DE5FE9">
        <w:rPr>
          <w:rFonts w:ascii="Arial" w:hAnsi="Arial" w:cs="Arial"/>
          <w:sz w:val="24"/>
        </w:rPr>
        <w:t xml:space="preserve"> the feudal system was established to great effect and was a major factor in the </w:t>
      </w:r>
      <w:r w:rsidR="00E0616F">
        <w:rPr>
          <w:rFonts w:ascii="Arial" w:hAnsi="Arial" w:cs="Arial"/>
          <w:sz w:val="24"/>
        </w:rPr>
        <w:t>maintenance of these conquests. The feudal system had long been established in Normandy but William the Conqueror was able to institute it far better in England. This was for the simple reason that he was the ultimate ruler of the country and claimed the entirety as his own, so only the king could claim land as his irremovable property.</w:t>
      </w:r>
      <w:r w:rsidR="00E0616F">
        <w:rPr>
          <w:rStyle w:val="FootnoteReference"/>
          <w:rFonts w:ascii="Arial" w:hAnsi="Arial" w:cs="Arial"/>
          <w:sz w:val="24"/>
        </w:rPr>
        <w:footnoteReference w:id="20"/>
      </w:r>
      <w:r w:rsidR="00FC17AF">
        <w:rPr>
          <w:rFonts w:ascii="Arial" w:hAnsi="Arial" w:cs="Arial"/>
          <w:sz w:val="24"/>
        </w:rPr>
        <w:t xml:space="preserve"> The point of this was that everyone else in England were tenants and paid rent, although this was usually through knight service.</w:t>
      </w:r>
      <w:r w:rsidR="00FC17AF">
        <w:rPr>
          <w:rStyle w:val="FootnoteReference"/>
          <w:rFonts w:ascii="Arial" w:hAnsi="Arial" w:cs="Arial"/>
          <w:sz w:val="24"/>
        </w:rPr>
        <w:footnoteReference w:id="21"/>
      </w:r>
      <w:r w:rsidR="00543799">
        <w:rPr>
          <w:rFonts w:ascii="Arial" w:hAnsi="Arial" w:cs="Arial"/>
          <w:sz w:val="24"/>
        </w:rPr>
        <w:t xml:space="preserve"> The potency of this may not be immediately apparent but it meant that King William I was simultaneously king and feudal overlord of every square foot of land in his kingdom, placing him in an almost unassailable position.</w:t>
      </w:r>
      <w:r w:rsidR="00543799">
        <w:rPr>
          <w:rStyle w:val="FootnoteReference"/>
          <w:rFonts w:ascii="Arial" w:hAnsi="Arial" w:cs="Arial"/>
          <w:sz w:val="24"/>
        </w:rPr>
        <w:footnoteReference w:id="22"/>
      </w:r>
      <w:r w:rsidR="00CB37AB">
        <w:rPr>
          <w:rFonts w:ascii="Arial" w:hAnsi="Arial" w:cs="Arial"/>
          <w:sz w:val="24"/>
        </w:rPr>
        <w:t xml:space="preserve"> Somewhat similarly, Roger Guiscard, later count of Sicily, too had complete sway over the captured territories in Sicily.</w:t>
      </w:r>
      <w:r w:rsidR="00CB37AB">
        <w:rPr>
          <w:rStyle w:val="FootnoteReference"/>
          <w:rFonts w:ascii="Arial" w:hAnsi="Arial" w:cs="Arial"/>
          <w:sz w:val="24"/>
        </w:rPr>
        <w:footnoteReference w:id="23"/>
      </w:r>
      <w:r w:rsidR="00CB37AB">
        <w:rPr>
          <w:rFonts w:ascii="Arial" w:hAnsi="Arial" w:cs="Arial"/>
          <w:sz w:val="24"/>
        </w:rPr>
        <w:t xml:space="preserve"> This again placed him in a very strong stance to rule the island</w:t>
      </w:r>
    </w:p>
    <w:p w:rsidR="002873D8" w:rsidRDefault="00F50847" w:rsidP="00EA3E1C">
      <w:pPr>
        <w:rPr>
          <w:rFonts w:ascii="Arial" w:hAnsi="Arial" w:cs="Arial"/>
          <w:sz w:val="24"/>
        </w:rPr>
      </w:pPr>
      <w:r>
        <w:rPr>
          <w:rFonts w:ascii="Arial" w:hAnsi="Arial" w:cs="Arial"/>
          <w:sz w:val="24"/>
        </w:rPr>
        <w:t xml:space="preserve">On the topic of their deeds, the Normans also made use of </w:t>
      </w:r>
      <w:r w:rsidR="002C78F7">
        <w:rPr>
          <w:rFonts w:ascii="Arial" w:hAnsi="Arial" w:cs="Arial"/>
          <w:sz w:val="24"/>
        </w:rPr>
        <w:t xml:space="preserve">written works to promote a fearsome reputation. </w:t>
      </w:r>
      <w:r w:rsidR="00706085">
        <w:rPr>
          <w:rFonts w:ascii="Arial" w:hAnsi="Arial" w:cs="Arial"/>
          <w:sz w:val="24"/>
        </w:rPr>
        <w:t>The earliest example of this was Dudo of Saint Quentin’s Gesta Normannorum or History of the Normans, writing began in 994 AD and it was finished between 1016 and 1026 AD.</w:t>
      </w:r>
      <w:r w:rsidR="008A311B">
        <w:rPr>
          <w:rStyle w:val="FootnoteReference"/>
          <w:rFonts w:ascii="Arial" w:hAnsi="Arial" w:cs="Arial"/>
          <w:sz w:val="24"/>
        </w:rPr>
        <w:footnoteReference w:id="24"/>
      </w:r>
      <w:r w:rsidR="00073B57">
        <w:rPr>
          <w:rFonts w:ascii="Arial" w:hAnsi="Arial" w:cs="Arial"/>
          <w:sz w:val="24"/>
        </w:rPr>
        <w:t xml:space="preserve"> This history begins by explaining how Rollo, a Norwegian Earl, was given land near the mouth of the river Seine by King Charles the simple</w:t>
      </w:r>
      <w:r w:rsidR="00893050">
        <w:rPr>
          <w:rFonts w:ascii="Arial" w:hAnsi="Arial" w:cs="Arial"/>
          <w:sz w:val="24"/>
        </w:rPr>
        <w:t xml:space="preserve"> in 911 AD</w:t>
      </w:r>
      <w:r w:rsidR="00073B57">
        <w:rPr>
          <w:rFonts w:ascii="Arial" w:hAnsi="Arial" w:cs="Arial"/>
          <w:sz w:val="24"/>
        </w:rPr>
        <w:t>.</w:t>
      </w:r>
      <w:r w:rsidR="00073B57">
        <w:rPr>
          <w:rStyle w:val="FootnoteReference"/>
          <w:rFonts w:ascii="Arial" w:hAnsi="Arial" w:cs="Arial"/>
          <w:sz w:val="24"/>
        </w:rPr>
        <w:footnoteReference w:id="25"/>
      </w:r>
      <w:r w:rsidR="00073B57">
        <w:rPr>
          <w:rFonts w:ascii="Arial" w:hAnsi="Arial" w:cs="Arial"/>
          <w:sz w:val="24"/>
        </w:rPr>
        <w:t xml:space="preserve"> The great great grandson of this Rollo, Richard, would eventually assume the title Duke of Normandy</w:t>
      </w:r>
      <w:r w:rsidR="00073B57">
        <w:rPr>
          <w:rStyle w:val="FootnoteReference"/>
          <w:rFonts w:ascii="Arial" w:hAnsi="Arial" w:cs="Arial"/>
          <w:sz w:val="24"/>
        </w:rPr>
        <w:footnoteReference w:id="26"/>
      </w:r>
      <w:r w:rsidR="00432B55">
        <w:rPr>
          <w:rFonts w:ascii="Arial" w:hAnsi="Arial" w:cs="Arial"/>
          <w:sz w:val="24"/>
        </w:rPr>
        <w:t xml:space="preserve"> and it was his descendant, William, who took the Crown of England in 1066 AD</w:t>
      </w:r>
      <w:r w:rsidR="00124B8F">
        <w:rPr>
          <w:rFonts w:ascii="Arial" w:hAnsi="Arial" w:cs="Arial"/>
          <w:sz w:val="24"/>
        </w:rPr>
        <w:t>.</w:t>
      </w:r>
      <w:r w:rsidR="00432B55">
        <w:rPr>
          <w:rStyle w:val="FootnoteReference"/>
          <w:rFonts w:ascii="Arial" w:hAnsi="Arial" w:cs="Arial"/>
          <w:sz w:val="24"/>
        </w:rPr>
        <w:footnoteReference w:id="27"/>
      </w:r>
      <w:r w:rsidR="00124B8F">
        <w:rPr>
          <w:rFonts w:ascii="Arial" w:hAnsi="Arial" w:cs="Arial"/>
          <w:sz w:val="24"/>
        </w:rPr>
        <w:t xml:space="preserve"> It was also descendants of Rollo’s settlers who travelled to Southern Italy, Sicily and England as conquerors.</w:t>
      </w:r>
      <w:r w:rsidR="00124B8F">
        <w:rPr>
          <w:rStyle w:val="FootnoteReference"/>
          <w:rFonts w:ascii="Arial" w:hAnsi="Arial" w:cs="Arial"/>
          <w:sz w:val="24"/>
        </w:rPr>
        <w:footnoteReference w:id="28"/>
      </w:r>
      <w:r w:rsidR="00124B8F">
        <w:rPr>
          <w:rFonts w:ascii="Arial" w:hAnsi="Arial" w:cs="Arial"/>
          <w:sz w:val="24"/>
        </w:rPr>
        <w:t xml:space="preserve"> </w:t>
      </w:r>
      <w:r w:rsidR="00AE262A">
        <w:rPr>
          <w:rFonts w:ascii="Arial" w:hAnsi="Arial" w:cs="Arial"/>
          <w:sz w:val="24"/>
        </w:rPr>
        <w:t>The fierce reputation of their ‘Viking’ forebears was played masterfully by Norman leaders, especially the pagan connection as Rollo was very much a believer in the Norse gods prior to his baptism at the</w:t>
      </w:r>
      <w:r w:rsidR="00D14179">
        <w:rPr>
          <w:rFonts w:ascii="Arial" w:hAnsi="Arial" w:cs="Arial"/>
          <w:sz w:val="24"/>
        </w:rPr>
        <w:t xml:space="preserve"> </w:t>
      </w:r>
      <w:r w:rsidR="00D14179">
        <w:rPr>
          <w:rFonts w:ascii="Arial" w:hAnsi="Arial" w:cs="Arial"/>
          <w:sz w:val="24"/>
        </w:rPr>
        <w:lastRenderedPageBreak/>
        <w:t>beginning of the tenth century.</w:t>
      </w:r>
      <w:r w:rsidR="00AE262A">
        <w:rPr>
          <w:rStyle w:val="FootnoteReference"/>
          <w:rFonts w:ascii="Arial" w:hAnsi="Arial" w:cs="Arial"/>
          <w:sz w:val="24"/>
        </w:rPr>
        <w:footnoteReference w:id="29"/>
      </w:r>
      <w:r w:rsidR="00D14179">
        <w:rPr>
          <w:rFonts w:ascii="Arial" w:hAnsi="Arial" w:cs="Arial"/>
          <w:sz w:val="24"/>
        </w:rPr>
        <w:t xml:space="preserve"> </w:t>
      </w:r>
      <w:r w:rsidR="00D14179">
        <w:rPr>
          <w:rFonts w:ascii="Arial" w:hAnsi="Arial" w:cs="Arial"/>
          <w:sz w:val="24"/>
          <w:szCs w:val="32"/>
          <w:lang w:val="en-US"/>
        </w:rPr>
        <w:t xml:space="preserve">The pseudo pagan image carried on into the eleventh Century too as shortly after the battle of Civitate, </w:t>
      </w:r>
      <w:r w:rsidR="00D14179">
        <w:rPr>
          <w:rFonts w:ascii="Arial" w:hAnsi="Arial" w:cs="Arial"/>
          <w:sz w:val="24"/>
          <w:szCs w:val="32"/>
          <w:lang w:val="en-US"/>
        </w:rPr>
        <w:t>the Pope accused the Normans in Sicily of recognizing ‘no distinction between the sacred and the profane’</w:t>
      </w:r>
      <w:r w:rsidR="00D14179">
        <w:rPr>
          <w:rFonts w:ascii="Arial" w:hAnsi="Arial" w:cs="Arial"/>
          <w:sz w:val="24"/>
          <w:szCs w:val="32"/>
          <w:lang w:val="en-US"/>
        </w:rPr>
        <w:t>.</w:t>
      </w:r>
      <w:r w:rsidR="00D14179">
        <w:rPr>
          <w:rStyle w:val="FootnoteReference"/>
          <w:rFonts w:ascii="Arial" w:hAnsi="Arial" w:cs="Arial"/>
          <w:sz w:val="24"/>
          <w:szCs w:val="32"/>
          <w:lang w:val="en-US"/>
        </w:rPr>
        <w:footnoteReference w:id="30"/>
      </w:r>
      <w:r w:rsidR="00D14179">
        <w:rPr>
          <w:rFonts w:ascii="Arial" w:hAnsi="Arial" w:cs="Arial"/>
          <w:sz w:val="24"/>
          <w:szCs w:val="32"/>
          <w:lang w:val="en-US"/>
        </w:rPr>
        <w:t xml:space="preserve"> In fact, the anti-Norman forces sent south who had fought at Civitate were there for two reasons. One: to stop Norman encroachment into Papal lands and two: to deal with these newcomers who acted with </w:t>
      </w:r>
      <w:r w:rsidR="00D14179">
        <w:rPr>
          <w:rFonts w:ascii="Arial" w:hAnsi="Arial" w:cs="Arial"/>
          <w:sz w:val="24"/>
          <w:szCs w:val="32"/>
          <w:lang w:val="en-US"/>
        </w:rPr>
        <w:t>‘more than pagan impiety’</w:t>
      </w:r>
      <w:r w:rsidR="00D14179">
        <w:rPr>
          <w:rStyle w:val="FootnoteReference"/>
          <w:rFonts w:ascii="Arial" w:hAnsi="Arial" w:cs="Arial"/>
          <w:sz w:val="24"/>
          <w:szCs w:val="32"/>
          <w:lang w:val="en-US"/>
        </w:rPr>
        <w:footnoteReference w:id="31"/>
      </w:r>
      <w:r w:rsidR="0057033C">
        <w:rPr>
          <w:rFonts w:ascii="Arial" w:hAnsi="Arial" w:cs="Arial"/>
          <w:sz w:val="24"/>
          <w:szCs w:val="32"/>
          <w:lang w:val="en-US"/>
        </w:rPr>
        <w:t xml:space="preserve"> Likewise, the Normans in England pushed their reputation to secure a victory although slightly differently. After landing, William erected fortifications at Hastings and began to pillage the surrounding country.</w:t>
      </w:r>
      <w:r w:rsidR="0057033C">
        <w:rPr>
          <w:rStyle w:val="FootnoteReference"/>
          <w:rFonts w:ascii="Arial" w:hAnsi="Arial" w:cs="Arial"/>
          <w:sz w:val="24"/>
          <w:szCs w:val="32"/>
          <w:lang w:val="en-US"/>
        </w:rPr>
        <w:footnoteReference w:id="32"/>
      </w:r>
      <w:r w:rsidR="00FE211E">
        <w:rPr>
          <w:rFonts w:ascii="Arial" w:hAnsi="Arial" w:cs="Arial"/>
          <w:sz w:val="24"/>
          <w:szCs w:val="32"/>
          <w:lang w:val="en-US"/>
        </w:rPr>
        <w:t xml:space="preserve"> Quickly the Norman reputation for cruelty spread and it undermined Harold’s ability to protect his people also prompting him to rush to a battle without all the available forces.</w:t>
      </w:r>
      <w:r w:rsidR="00FE211E">
        <w:rPr>
          <w:rStyle w:val="FootnoteReference"/>
          <w:rFonts w:ascii="Arial" w:hAnsi="Arial" w:cs="Arial"/>
          <w:sz w:val="24"/>
          <w:szCs w:val="32"/>
          <w:lang w:val="en-US"/>
        </w:rPr>
        <w:footnoteReference w:id="33"/>
      </w:r>
      <w:r w:rsidR="00D3652D">
        <w:rPr>
          <w:rFonts w:ascii="Arial" w:hAnsi="Arial" w:cs="Arial"/>
          <w:sz w:val="24"/>
          <w:szCs w:val="32"/>
          <w:lang w:val="en-US"/>
        </w:rPr>
        <w:t xml:space="preserve"> Despite some disparity in method the Normans clearly knew how best to use their reputation to their advantage and this factor was important to their various successes.</w:t>
      </w:r>
    </w:p>
    <w:p w:rsidR="002873D8" w:rsidRPr="006E720D" w:rsidRDefault="001A7A14" w:rsidP="00EA3E1C">
      <w:pPr>
        <w:rPr>
          <w:rFonts w:ascii="Arial" w:hAnsi="Arial" w:cs="Arial"/>
          <w:sz w:val="24"/>
          <w:lang w:val="en-US"/>
        </w:rPr>
      </w:pPr>
      <w:r>
        <w:rPr>
          <w:rFonts w:ascii="Arial" w:hAnsi="Arial" w:cs="Arial"/>
          <w:sz w:val="24"/>
        </w:rPr>
        <w:t>Another factor which helped the Normans greatly in their conquests of England, Southern Italy and Sicily was the support of the papacy. When William the Conqueror brought his army to Pevensey he did so as the heir to the English throne recognised by the Pope.</w:t>
      </w:r>
      <w:r>
        <w:rPr>
          <w:rStyle w:val="FootnoteReference"/>
          <w:rFonts w:ascii="Arial" w:hAnsi="Arial" w:cs="Arial"/>
          <w:sz w:val="24"/>
        </w:rPr>
        <w:footnoteReference w:id="34"/>
      </w:r>
      <w:r>
        <w:rPr>
          <w:rFonts w:ascii="Arial" w:hAnsi="Arial" w:cs="Arial"/>
          <w:sz w:val="24"/>
        </w:rPr>
        <w:t xml:space="preserve"> Similarly, Robert Guiscard was invested as Duke of Sicily by Pope Nicholas II </w:t>
      </w:r>
      <w:r w:rsidR="008358AB">
        <w:rPr>
          <w:rFonts w:ascii="Arial" w:hAnsi="Arial" w:cs="Arial"/>
          <w:sz w:val="24"/>
        </w:rPr>
        <w:t>in 1059, on the proviso that he captured it from its Muslim rulers</w:t>
      </w:r>
      <w:r w:rsidR="001D78AA">
        <w:rPr>
          <w:rFonts w:ascii="Arial" w:hAnsi="Arial" w:cs="Arial"/>
          <w:sz w:val="24"/>
        </w:rPr>
        <w:t>.</w:t>
      </w:r>
      <w:r w:rsidR="008358AB">
        <w:rPr>
          <w:rStyle w:val="FootnoteReference"/>
          <w:rFonts w:ascii="Arial" w:hAnsi="Arial" w:cs="Arial"/>
          <w:sz w:val="24"/>
        </w:rPr>
        <w:footnoteReference w:id="35"/>
      </w:r>
      <w:r w:rsidR="001D78AA">
        <w:rPr>
          <w:rFonts w:ascii="Arial" w:hAnsi="Arial" w:cs="Arial"/>
          <w:sz w:val="24"/>
        </w:rPr>
        <w:t xml:space="preserve"> Aside from being the</w:t>
      </w:r>
      <w:r w:rsidR="006E720D">
        <w:rPr>
          <w:rFonts w:ascii="Arial" w:hAnsi="Arial" w:cs="Arial"/>
          <w:sz w:val="24"/>
        </w:rPr>
        <w:t xml:space="preserve"> Bishop of Rome, the Pope is also head of the entire Catholic Church.</w:t>
      </w:r>
      <w:r w:rsidR="006E720D">
        <w:rPr>
          <w:rStyle w:val="FootnoteReference"/>
          <w:rFonts w:ascii="Arial" w:hAnsi="Arial" w:cs="Arial"/>
          <w:sz w:val="24"/>
        </w:rPr>
        <w:footnoteReference w:id="36"/>
      </w:r>
      <w:r w:rsidR="006E720D">
        <w:rPr>
          <w:rFonts w:ascii="Arial" w:hAnsi="Arial" w:cs="Arial"/>
          <w:sz w:val="24"/>
        </w:rPr>
        <w:t xml:space="preserve"> The majority of Europe in the Eleventh Century was Catholic and it is from this that the idea of ‘Christendom’ comes from: the part of the world which followed the Gospel of Jesus Christ.</w:t>
      </w:r>
      <w:r w:rsidR="006E720D">
        <w:rPr>
          <w:rStyle w:val="FootnoteReference"/>
          <w:rFonts w:ascii="Arial" w:hAnsi="Arial" w:cs="Arial"/>
          <w:sz w:val="24"/>
        </w:rPr>
        <w:footnoteReference w:id="37"/>
      </w:r>
      <w:r w:rsidR="006E720D">
        <w:rPr>
          <w:rFonts w:ascii="Arial" w:hAnsi="Arial" w:cs="Arial"/>
          <w:sz w:val="24"/>
        </w:rPr>
        <w:t xml:space="preserve"> As such, the Pope wielded a considerable amount of power even over</w:t>
      </w:r>
      <w:r w:rsidR="00DF24BA">
        <w:rPr>
          <w:rFonts w:ascii="Arial" w:hAnsi="Arial" w:cs="Arial"/>
          <w:sz w:val="24"/>
        </w:rPr>
        <w:t xml:space="preserve"> the rulers of entire countries.</w:t>
      </w:r>
      <w:r w:rsidR="006E720D">
        <w:rPr>
          <w:rStyle w:val="FootnoteReference"/>
          <w:rFonts w:ascii="Arial" w:hAnsi="Arial" w:cs="Arial"/>
          <w:sz w:val="24"/>
        </w:rPr>
        <w:footnoteReference w:id="38"/>
      </w:r>
      <w:r w:rsidR="00802733">
        <w:rPr>
          <w:rFonts w:ascii="Arial" w:hAnsi="Arial" w:cs="Arial"/>
          <w:sz w:val="24"/>
        </w:rPr>
        <w:t xml:space="preserve"> Moreover, an army fighting under a </w:t>
      </w:r>
      <w:r w:rsidR="00DF24BA">
        <w:rPr>
          <w:rFonts w:ascii="Arial" w:hAnsi="Arial" w:cs="Arial"/>
          <w:sz w:val="24"/>
        </w:rPr>
        <w:t>papal banner was considered to be fighting a Holy War or Crusade</w:t>
      </w:r>
      <w:r w:rsidR="004E4638">
        <w:rPr>
          <w:rFonts w:ascii="Arial" w:hAnsi="Arial" w:cs="Arial"/>
          <w:sz w:val="24"/>
        </w:rPr>
        <w:t>.</w:t>
      </w:r>
      <w:r w:rsidR="0049262C">
        <w:rPr>
          <w:rStyle w:val="FootnoteReference"/>
          <w:rFonts w:ascii="Arial" w:hAnsi="Arial" w:cs="Arial"/>
          <w:sz w:val="24"/>
        </w:rPr>
        <w:footnoteReference w:id="39"/>
      </w:r>
      <w:r w:rsidR="004E4638">
        <w:rPr>
          <w:rFonts w:ascii="Arial" w:hAnsi="Arial" w:cs="Arial"/>
          <w:sz w:val="24"/>
        </w:rPr>
        <w:t xml:space="preserve"> I</w:t>
      </w:r>
      <w:r w:rsidR="0049262C">
        <w:rPr>
          <w:rFonts w:ascii="Arial" w:hAnsi="Arial" w:cs="Arial"/>
          <w:sz w:val="24"/>
        </w:rPr>
        <w:t>n England this legitimised Duke William’s claim to the throne</w:t>
      </w:r>
      <w:r w:rsidR="004E4638">
        <w:rPr>
          <w:rFonts w:ascii="Arial" w:hAnsi="Arial" w:cs="Arial"/>
          <w:sz w:val="24"/>
        </w:rPr>
        <w:t>;</w:t>
      </w:r>
      <w:r w:rsidR="0049262C">
        <w:rPr>
          <w:rFonts w:ascii="Arial" w:hAnsi="Arial" w:cs="Arial"/>
          <w:sz w:val="24"/>
        </w:rPr>
        <w:t xml:space="preserve"> </w:t>
      </w:r>
      <w:r w:rsidR="004E4638">
        <w:rPr>
          <w:rFonts w:ascii="Arial" w:hAnsi="Arial" w:cs="Arial"/>
          <w:sz w:val="24"/>
        </w:rPr>
        <w:t>while in Southern Italy the Normans were no longer considered enemies of the papacy once Robert Guiscard had sworn his oath of allegiance to Pope Nicholas II</w:t>
      </w:r>
      <w:r w:rsidR="006837EB">
        <w:rPr>
          <w:rFonts w:ascii="Arial" w:hAnsi="Arial" w:cs="Arial"/>
          <w:sz w:val="24"/>
        </w:rPr>
        <w:t>.</w:t>
      </w:r>
      <w:r w:rsidR="006837EB">
        <w:rPr>
          <w:rStyle w:val="FootnoteReference"/>
          <w:rFonts w:ascii="Arial" w:hAnsi="Arial" w:cs="Arial"/>
          <w:sz w:val="24"/>
        </w:rPr>
        <w:footnoteReference w:id="40"/>
      </w:r>
      <w:r w:rsidR="006837EB">
        <w:rPr>
          <w:rFonts w:ascii="Arial" w:hAnsi="Arial" w:cs="Arial"/>
          <w:sz w:val="24"/>
        </w:rPr>
        <w:t xml:space="preserve"> Along with this, the Norman invasion of Sicily was </w:t>
      </w:r>
      <w:r w:rsidR="006837EB">
        <w:rPr>
          <w:rFonts w:ascii="Arial" w:hAnsi="Arial" w:cs="Arial"/>
          <w:sz w:val="24"/>
        </w:rPr>
        <w:lastRenderedPageBreak/>
        <w:t xml:space="preserve">undertaken at the pope’s direction, thus their acquisitions were not only kept but Robert Guiscard’s brother Roger was able to gain the title of count of Sicily from the pope via Robert in </w:t>
      </w:r>
      <w:r w:rsidR="00E16816">
        <w:rPr>
          <w:rFonts w:ascii="Arial" w:hAnsi="Arial" w:cs="Arial"/>
          <w:sz w:val="24"/>
        </w:rPr>
        <w:t>1071 AD.</w:t>
      </w:r>
      <w:r w:rsidR="00E16816">
        <w:rPr>
          <w:rStyle w:val="FootnoteReference"/>
          <w:rFonts w:ascii="Arial" w:hAnsi="Arial" w:cs="Arial"/>
          <w:sz w:val="24"/>
        </w:rPr>
        <w:footnoteReference w:id="41"/>
      </w:r>
      <w:r w:rsidR="00867AAD">
        <w:rPr>
          <w:rFonts w:ascii="Arial" w:hAnsi="Arial" w:cs="Arial"/>
          <w:sz w:val="24"/>
        </w:rPr>
        <w:t xml:space="preserve"> The support of the papacy was significant to both endeavours and definitely factored in their successes. In Sicily, Roger was able to maintain undisputed control of the war as well as being able to do what he wished with the territory captured – all because his invasion was sanctioned by the pope.</w:t>
      </w:r>
      <w:r w:rsidR="00867AAD">
        <w:rPr>
          <w:rStyle w:val="FootnoteReference"/>
          <w:rFonts w:ascii="Arial" w:hAnsi="Arial" w:cs="Arial"/>
          <w:sz w:val="24"/>
        </w:rPr>
        <w:footnoteReference w:id="42"/>
      </w:r>
      <w:r w:rsidR="00867AAD">
        <w:rPr>
          <w:rFonts w:ascii="Arial" w:hAnsi="Arial" w:cs="Arial"/>
          <w:sz w:val="24"/>
        </w:rPr>
        <w:t xml:space="preserve"> Duke William too required Papal assistance to succeed in his invasion as it would secure him as king without being branded a usurper by the rest of Christendom.</w:t>
      </w:r>
      <w:r w:rsidR="00867AAD">
        <w:rPr>
          <w:rStyle w:val="FootnoteReference"/>
          <w:rFonts w:ascii="Arial" w:hAnsi="Arial" w:cs="Arial"/>
          <w:sz w:val="24"/>
        </w:rPr>
        <w:footnoteReference w:id="43"/>
      </w:r>
    </w:p>
    <w:p w:rsidR="0067498A" w:rsidRDefault="002873D8" w:rsidP="00EA3E1C">
      <w:pPr>
        <w:rPr>
          <w:rFonts w:ascii="Arial" w:hAnsi="Arial" w:cs="Arial"/>
          <w:sz w:val="24"/>
        </w:rPr>
      </w:pPr>
      <w:r>
        <w:rPr>
          <w:rFonts w:ascii="Arial" w:hAnsi="Arial" w:cs="Arial"/>
          <w:sz w:val="24"/>
        </w:rPr>
        <w:t xml:space="preserve">It should be noted however that not all of the elements contributing to Norman success in England were the same as those in Southern Italy and Sicily. An example of this is the difference between the political landscapes of England and Southern Italy. England had been a nation united under one king </w:t>
      </w:r>
      <w:r w:rsidR="00416019">
        <w:rPr>
          <w:rFonts w:ascii="Arial" w:hAnsi="Arial" w:cs="Arial"/>
          <w:sz w:val="24"/>
        </w:rPr>
        <w:t>since Athelstan won the battle of Brunaburh in 937 AD</w:t>
      </w:r>
      <w:r w:rsidR="00D45E9A">
        <w:rPr>
          <w:rFonts w:ascii="Arial" w:hAnsi="Arial" w:cs="Arial"/>
          <w:sz w:val="24"/>
        </w:rPr>
        <w:t>, defeating the Scandinavian kings of Northern England and Scotland.</w:t>
      </w:r>
      <w:r w:rsidR="00416019">
        <w:rPr>
          <w:rStyle w:val="FootnoteReference"/>
          <w:rFonts w:ascii="Arial" w:hAnsi="Arial" w:cs="Arial"/>
          <w:sz w:val="24"/>
        </w:rPr>
        <w:footnoteReference w:id="44"/>
      </w:r>
      <w:r w:rsidR="00416019">
        <w:rPr>
          <w:rFonts w:ascii="Arial" w:hAnsi="Arial" w:cs="Arial"/>
          <w:sz w:val="24"/>
        </w:rPr>
        <w:t xml:space="preserve"> Granted this Kingdom of all England fell apart briefly as Irish Vikings invaded following Athelstan’s death</w:t>
      </w:r>
      <w:r w:rsidR="00416019">
        <w:rPr>
          <w:rStyle w:val="FootnoteReference"/>
          <w:rFonts w:ascii="Arial" w:hAnsi="Arial" w:cs="Arial"/>
          <w:sz w:val="24"/>
        </w:rPr>
        <w:footnoteReference w:id="45"/>
      </w:r>
      <w:r w:rsidR="00D45E9A">
        <w:rPr>
          <w:rFonts w:ascii="Arial" w:hAnsi="Arial" w:cs="Arial"/>
          <w:sz w:val="24"/>
        </w:rPr>
        <w:t xml:space="preserve"> but the country was unified once again</w:t>
      </w:r>
      <w:r w:rsidR="00331D25">
        <w:rPr>
          <w:rFonts w:ascii="Arial" w:hAnsi="Arial" w:cs="Arial"/>
          <w:sz w:val="24"/>
        </w:rPr>
        <w:t>,</w:t>
      </w:r>
      <w:r w:rsidR="00D45E9A">
        <w:rPr>
          <w:rFonts w:ascii="Arial" w:hAnsi="Arial" w:cs="Arial"/>
          <w:sz w:val="24"/>
        </w:rPr>
        <w:t xml:space="preserve"> despite the crown passing from S</w:t>
      </w:r>
      <w:r w:rsidR="00331D25">
        <w:rPr>
          <w:rFonts w:ascii="Arial" w:hAnsi="Arial" w:cs="Arial"/>
          <w:sz w:val="24"/>
        </w:rPr>
        <w:t>axon to Dane before finally settl</w:t>
      </w:r>
      <w:r w:rsidR="00D45E9A">
        <w:rPr>
          <w:rFonts w:ascii="Arial" w:hAnsi="Arial" w:cs="Arial"/>
          <w:sz w:val="24"/>
        </w:rPr>
        <w:t>ing upon the head of Edward the Confessor in 1042 AD.</w:t>
      </w:r>
      <w:r w:rsidR="00D45E9A">
        <w:rPr>
          <w:rStyle w:val="FootnoteReference"/>
          <w:rFonts w:ascii="Arial" w:hAnsi="Arial" w:cs="Arial"/>
          <w:sz w:val="24"/>
        </w:rPr>
        <w:footnoteReference w:id="46"/>
      </w:r>
      <w:r w:rsidR="00D45E9A">
        <w:rPr>
          <w:rFonts w:ascii="Arial" w:hAnsi="Arial" w:cs="Arial"/>
          <w:sz w:val="24"/>
        </w:rPr>
        <w:t xml:space="preserve"> </w:t>
      </w:r>
      <w:r w:rsidR="00331D25">
        <w:rPr>
          <w:rFonts w:ascii="Arial" w:hAnsi="Arial" w:cs="Arial"/>
          <w:sz w:val="24"/>
        </w:rPr>
        <w:t>Thus when William landed in 1066 AD he was faced by Harold Godwinson: King of all England, with his people united behind him against this foreign invader.</w:t>
      </w:r>
      <w:r w:rsidR="00331D25">
        <w:rPr>
          <w:rStyle w:val="FootnoteReference"/>
          <w:rFonts w:ascii="Arial" w:hAnsi="Arial" w:cs="Arial"/>
          <w:sz w:val="24"/>
        </w:rPr>
        <w:footnoteReference w:id="47"/>
      </w:r>
      <w:r w:rsidR="00F86CAE">
        <w:rPr>
          <w:rFonts w:ascii="Arial" w:hAnsi="Arial" w:cs="Arial"/>
          <w:sz w:val="24"/>
        </w:rPr>
        <w:t xml:space="preserve"> This meant that William’s victory at Hastings was decisive and very soon after this he was met by a deputation of the Archbishop of York, Aldred, Edgar the Atheling and the Earls Edwin and Morcar</w:t>
      </w:r>
      <w:r w:rsidR="00F61FF2">
        <w:rPr>
          <w:rFonts w:ascii="Arial" w:hAnsi="Arial" w:cs="Arial"/>
          <w:sz w:val="24"/>
        </w:rPr>
        <w:t>; all of whom</w:t>
      </w:r>
      <w:r w:rsidR="00F86CAE">
        <w:rPr>
          <w:rFonts w:ascii="Arial" w:hAnsi="Arial" w:cs="Arial"/>
          <w:sz w:val="24"/>
        </w:rPr>
        <w:t xml:space="preserve"> submitted to William’s rule.</w:t>
      </w:r>
      <w:r w:rsidR="00F86CAE">
        <w:rPr>
          <w:rStyle w:val="FootnoteReference"/>
          <w:rFonts w:ascii="Arial" w:hAnsi="Arial" w:cs="Arial"/>
          <w:sz w:val="24"/>
        </w:rPr>
        <w:footnoteReference w:id="48"/>
      </w:r>
      <w:r w:rsidR="00F61FF2">
        <w:rPr>
          <w:rFonts w:ascii="Arial" w:hAnsi="Arial" w:cs="Arial"/>
          <w:sz w:val="24"/>
        </w:rPr>
        <w:t xml:space="preserve"> </w:t>
      </w:r>
      <w:r w:rsidR="005D772A">
        <w:rPr>
          <w:rFonts w:ascii="Arial" w:hAnsi="Arial" w:cs="Arial"/>
          <w:sz w:val="24"/>
        </w:rPr>
        <w:t>In contrast, Southern Italy was distinctly divided between several powers, w</w:t>
      </w:r>
      <w:r w:rsidR="00623D27">
        <w:rPr>
          <w:rFonts w:ascii="Arial" w:hAnsi="Arial" w:cs="Arial"/>
          <w:sz w:val="24"/>
        </w:rPr>
        <w:t>ith Lombards ruling some areas and the Byzantine Empire controlling others.</w:t>
      </w:r>
      <w:r w:rsidR="00623D27">
        <w:rPr>
          <w:rStyle w:val="FootnoteReference"/>
          <w:rFonts w:ascii="Arial" w:hAnsi="Arial" w:cs="Arial"/>
          <w:sz w:val="24"/>
        </w:rPr>
        <w:footnoteReference w:id="49"/>
      </w:r>
      <w:r w:rsidR="00623D27">
        <w:rPr>
          <w:rFonts w:ascii="Arial" w:hAnsi="Arial" w:cs="Arial"/>
          <w:sz w:val="24"/>
        </w:rPr>
        <w:t xml:space="preserve"> The Norman arrivals, notably the Hauteville family, exploited these divisions very successfully in order to take power for themselves.</w:t>
      </w:r>
      <w:r w:rsidR="00DC44C9">
        <w:rPr>
          <w:rFonts w:ascii="Arial" w:hAnsi="Arial" w:cs="Arial"/>
          <w:sz w:val="24"/>
        </w:rPr>
        <w:t xml:space="preserve"> The Normans hired themselves out as mercenaries to whoever would pay, frequently switching employers as </w:t>
      </w:r>
      <w:r w:rsidR="007869DD">
        <w:rPr>
          <w:rFonts w:ascii="Arial" w:hAnsi="Arial" w:cs="Arial"/>
          <w:sz w:val="24"/>
        </w:rPr>
        <w:t xml:space="preserve">the political landscape shifted and often facing fellow </w:t>
      </w:r>
      <w:r w:rsidR="007869DD">
        <w:rPr>
          <w:rFonts w:ascii="Arial" w:hAnsi="Arial" w:cs="Arial"/>
          <w:sz w:val="24"/>
        </w:rPr>
        <w:lastRenderedPageBreak/>
        <w:t>Normans in the opposing force.</w:t>
      </w:r>
      <w:r w:rsidR="007869DD">
        <w:rPr>
          <w:rStyle w:val="FootnoteReference"/>
          <w:rFonts w:ascii="Arial" w:hAnsi="Arial" w:cs="Arial"/>
          <w:sz w:val="24"/>
        </w:rPr>
        <w:footnoteReference w:id="50"/>
      </w:r>
      <w:r w:rsidR="00915351">
        <w:rPr>
          <w:rFonts w:ascii="Arial" w:hAnsi="Arial" w:cs="Arial"/>
          <w:sz w:val="24"/>
        </w:rPr>
        <w:t xml:space="preserve"> Some Normans even briefly moved on to Greece or Asia Minor to fight with or against the Byzantine Empire</w:t>
      </w:r>
      <w:r w:rsidR="00B2593D">
        <w:rPr>
          <w:rFonts w:ascii="Arial" w:hAnsi="Arial" w:cs="Arial"/>
          <w:sz w:val="24"/>
        </w:rPr>
        <w:t>.</w:t>
      </w:r>
      <w:r w:rsidR="00B2593D">
        <w:rPr>
          <w:rStyle w:val="FootnoteReference"/>
          <w:rFonts w:ascii="Arial" w:hAnsi="Arial" w:cs="Arial"/>
          <w:sz w:val="24"/>
        </w:rPr>
        <w:footnoteReference w:id="51"/>
      </w:r>
      <w:r w:rsidR="00C668FA">
        <w:rPr>
          <w:rFonts w:ascii="Arial" w:hAnsi="Arial" w:cs="Arial"/>
          <w:sz w:val="24"/>
        </w:rPr>
        <w:t xml:space="preserve"> Slowly but surely these landless mercenaries f</w:t>
      </w:r>
      <w:r w:rsidR="00E127D8">
        <w:rPr>
          <w:rFonts w:ascii="Arial" w:hAnsi="Arial" w:cs="Arial"/>
          <w:sz w:val="24"/>
        </w:rPr>
        <w:t>rom Normandy began to gain territories in their own right, mostly by playing their employers off against one another.</w:t>
      </w:r>
      <w:r w:rsidR="00E127D8">
        <w:rPr>
          <w:rStyle w:val="FootnoteReference"/>
          <w:rFonts w:ascii="Arial" w:hAnsi="Arial" w:cs="Arial"/>
          <w:sz w:val="24"/>
        </w:rPr>
        <w:footnoteReference w:id="52"/>
      </w:r>
      <w:r w:rsidR="00122824">
        <w:rPr>
          <w:rFonts w:ascii="Arial" w:hAnsi="Arial" w:cs="Arial"/>
          <w:sz w:val="24"/>
        </w:rPr>
        <w:t xml:space="preserve"> Eventually these same Normans became the lords of southern Italy dividing into three areas, roughly along its previous divisions. In 1030 AD one Rainulf established himself in the Lombard principalities as Count o</w:t>
      </w:r>
      <w:r w:rsidR="00AF4D1D">
        <w:rPr>
          <w:rFonts w:ascii="Arial" w:hAnsi="Arial" w:cs="Arial"/>
          <w:sz w:val="24"/>
        </w:rPr>
        <w:t>f Aversa.</w:t>
      </w:r>
      <w:r w:rsidR="00AF4D1D">
        <w:rPr>
          <w:rStyle w:val="FootnoteReference"/>
          <w:rFonts w:ascii="Arial" w:hAnsi="Arial" w:cs="Arial"/>
          <w:sz w:val="24"/>
        </w:rPr>
        <w:footnoteReference w:id="53"/>
      </w:r>
      <w:r w:rsidR="00122824">
        <w:rPr>
          <w:rFonts w:ascii="Arial" w:hAnsi="Arial" w:cs="Arial"/>
          <w:sz w:val="24"/>
        </w:rPr>
        <w:t xml:space="preserve"> </w:t>
      </w:r>
      <w:r w:rsidR="00AF4D1D">
        <w:rPr>
          <w:rFonts w:ascii="Arial" w:hAnsi="Arial" w:cs="Arial"/>
          <w:sz w:val="24"/>
        </w:rPr>
        <w:t>T</w:t>
      </w:r>
      <w:r w:rsidR="00C2117E">
        <w:rPr>
          <w:rFonts w:ascii="Arial" w:hAnsi="Arial" w:cs="Arial"/>
          <w:sz w:val="24"/>
        </w:rPr>
        <w:t xml:space="preserve">he previously Byzantine Apulia was overtaken by the Hauteville family </w:t>
      </w:r>
      <w:r w:rsidR="00824FBD">
        <w:rPr>
          <w:rFonts w:ascii="Arial" w:hAnsi="Arial" w:cs="Arial"/>
          <w:sz w:val="24"/>
        </w:rPr>
        <w:t>and one of their members, Robert</w:t>
      </w:r>
      <w:r w:rsidR="00C2117E">
        <w:rPr>
          <w:rFonts w:ascii="Arial" w:hAnsi="Arial" w:cs="Arial"/>
          <w:sz w:val="24"/>
        </w:rPr>
        <w:t xml:space="preserve"> Guiscard</w:t>
      </w:r>
      <w:r w:rsidR="00824FBD">
        <w:rPr>
          <w:rFonts w:ascii="Arial" w:hAnsi="Arial" w:cs="Arial"/>
          <w:sz w:val="24"/>
        </w:rPr>
        <w:t>,</w:t>
      </w:r>
      <w:r w:rsidR="00C2117E">
        <w:rPr>
          <w:rFonts w:ascii="Arial" w:hAnsi="Arial" w:cs="Arial"/>
          <w:sz w:val="24"/>
        </w:rPr>
        <w:t xml:space="preserve"> was invested as Duke of the same and Calabria by the Pope in 1059 AD.</w:t>
      </w:r>
      <w:r w:rsidR="00C2117E">
        <w:rPr>
          <w:rStyle w:val="FootnoteReference"/>
          <w:rFonts w:ascii="Arial" w:hAnsi="Arial" w:cs="Arial"/>
          <w:sz w:val="24"/>
        </w:rPr>
        <w:footnoteReference w:id="54"/>
      </w:r>
      <w:r w:rsidR="00082E13">
        <w:rPr>
          <w:rFonts w:ascii="Arial" w:hAnsi="Arial" w:cs="Arial"/>
          <w:sz w:val="24"/>
        </w:rPr>
        <w:t xml:space="preserve"> </w:t>
      </w:r>
      <w:r w:rsidR="00BE48D7">
        <w:rPr>
          <w:rFonts w:ascii="Arial" w:hAnsi="Arial" w:cs="Arial"/>
          <w:sz w:val="24"/>
        </w:rPr>
        <w:t>These successes in Italy were largely the result of the marked political and cultural divisions present in the South of the country; while in England a unified country had aided William the Conqueror’s achievement suggesting that these were not a result of the same factors in respect of the state of the countries they invaded.</w:t>
      </w:r>
    </w:p>
    <w:p w:rsidR="003A3807" w:rsidRDefault="003A3807" w:rsidP="00EA3E1C">
      <w:pPr>
        <w:rPr>
          <w:rFonts w:ascii="Arial" w:hAnsi="Arial" w:cs="Arial"/>
          <w:sz w:val="24"/>
        </w:rPr>
      </w:pPr>
      <w:r>
        <w:rPr>
          <w:rFonts w:ascii="Arial" w:hAnsi="Arial" w:cs="Arial"/>
          <w:sz w:val="24"/>
        </w:rPr>
        <w:t>A considerable part of William the Conqueror’s achievement at the Battle of Hastings was due to the relative superiority of his troops, especially in terms of their experience</w:t>
      </w:r>
      <w:r w:rsidR="002F32AE">
        <w:rPr>
          <w:rFonts w:ascii="Arial" w:hAnsi="Arial" w:cs="Arial"/>
          <w:sz w:val="24"/>
        </w:rPr>
        <w:t xml:space="preserve"> over their opponents</w:t>
      </w:r>
      <w:r w:rsidR="00287ADC">
        <w:rPr>
          <w:rFonts w:ascii="Arial" w:hAnsi="Arial" w:cs="Arial"/>
          <w:sz w:val="24"/>
        </w:rPr>
        <w:t>. Many of these troops gained this experience by fighting in the wars in Southern Italy and Sicily.</w:t>
      </w:r>
      <w:r w:rsidR="00287ADC">
        <w:rPr>
          <w:rStyle w:val="FootnoteReference"/>
          <w:rFonts w:ascii="Arial" w:hAnsi="Arial" w:cs="Arial"/>
          <w:sz w:val="24"/>
        </w:rPr>
        <w:footnoteReference w:id="55"/>
      </w:r>
      <w:r w:rsidR="00287ADC">
        <w:rPr>
          <w:rFonts w:ascii="Arial" w:hAnsi="Arial" w:cs="Arial"/>
          <w:sz w:val="24"/>
        </w:rPr>
        <w:t xml:space="preserve"> </w:t>
      </w:r>
      <w:r w:rsidR="002F32AE">
        <w:rPr>
          <w:rFonts w:ascii="Arial" w:hAnsi="Arial" w:cs="Arial"/>
          <w:sz w:val="24"/>
        </w:rPr>
        <w:t>Conversely</w:t>
      </w:r>
      <w:r w:rsidR="0081268B">
        <w:rPr>
          <w:rFonts w:ascii="Arial" w:hAnsi="Arial" w:cs="Arial"/>
          <w:sz w:val="24"/>
        </w:rPr>
        <w:t>, those Normans who initially embarked on the conquest of Southern Italy did not all have this advantage of experience over their enemies from the offset</w:t>
      </w:r>
      <w:r w:rsidR="002F32AE">
        <w:rPr>
          <w:rFonts w:ascii="Arial" w:hAnsi="Arial" w:cs="Arial"/>
          <w:sz w:val="24"/>
        </w:rPr>
        <w:t>. The reason for this is that the Normans at Hastings faced a Saxon army made of small bands of professional soldiers called Huscarls, while the majority of the force consisted of the Fyrd: peasants called up to honour an obligation to the king and fight for their country.</w:t>
      </w:r>
      <w:r w:rsidR="002F32AE">
        <w:rPr>
          <w:rStyle w:val="FootnoteReference"/>
          <w:rFonts w:ascii="Arial" w:hAnsi="Arial" w:cs="Arial"/>
          <w:sz w:val="24"/>
        </w:rPr>
        <w:footnoteReference w:id="56"/>
      </w:r>
      <w:r w:rsidR="008406B8">
        <w:rPr>
          <w:rFonts w:ascii="Arial" w:hAnsi="Arial" w:cs="Arial"/>
          <w:sz w:val="24"/>
        </w:rPr>
        <w:t xml:space="preserve"> The vast majority of this fyrd had never seen a battle in their lives and were not the same men Harold had led at Stamford Bridge against Harold Hardrada a few days earlier.</w:t>
      </w:r>
      <w:r w:rsidR="008406B8">
        <w:rPr>
          <w:rStyle w:val="FootnoteReference"/>
          <w:rFonts w:ascii="Arial" w:hAnsi="Arial" w:cs="Arial"/>
          <w:sz w:val="24"/>
        </w:rPr>
        <w:footnoteReference w:id="57"/>
      </w:r>
      <w:r w:rsidR="002D5FCF">
        <w:rPr>
          <w:rFonts w:ascii="Arial" w:hAnsi="Arial" w:cs="Arial"/>
          <w:sz w:val="24"/>
        </w:rPr>
        <w:t xml:space="preserve"> Thus the gulf in experience is obvious and largely one of the main reasons the Saxons were drawn from the hilltop and slaughtered.</w:t>
      </w:r>
      <w:r w:rsidR="002D5FCF">
        <w:rPr>
          <w:rStyle w:val="FootnoteReference"/>
          <w:rFonts w:ascii="Arial" w:hAnsi="Arial" w:cs="Arial"/>
          <w:sz w:val="24"/>
        </w:rPr>
        <w:footnoteReference w:id="58"/>
      </w:r>
      <w:r w:rsidR="004638B1">
        <w:rPr>
          <w:rFonts w:ascii="Arial" w:hAnsi="Arial" w:cs="Arial"/>
          <w:sz w:val="24"/>
        </w:rPr>
        <w:t xml:space="preserve"> The Mediterranean Normans, meanwhile, frequently fought each other and so would have roughly the same experience</w:t>
      </w:r>
      <w:r w:rsidR="004638B1">
        <w:rPr>
          <w:rStyle w:val="FootnoteReference"/>
          <w:rFonts w:ascii="Arial" w:hAnsi="Arial" w:cs="Arial"/>
          <w:sz w:val="24"/>
        </w:rPr>
        <w:footnoteReference w:id="59"/>
      </w:r>
      <w:r w:rsidR="004638B1">
        <w:rPr>
          <w:rFonts w:ascii="Arial" w:hAnsi="Arial" w:cs="Arial"/>
          <w:sz w:val="24"/>
        </w:rPr>
        <w:t xml:space="preserve"> or they engaged with soldiers whose prowess and experience was far greater than their own. A good example of this is the Swabian Mercenaries employed by the Papal states at the battle of Civitate in 1053 </w:t>
      </w:r>
      <w:r w:rsidR="004638B1">
        <w:rPr>
          <w:rFonts w:ascii="Arial" w:hAnsi="Arial" w:cs="Arial"/>
          <w:sz w:val="24"/>
        </w:rPr>
        <w:lastRenderedPageBreak/>
        <w:t>AD.</w:t>
      </w:r>
      <w:r w:rsidR="004638B1">
        <w:rPr>
          <w:rStyle w:val="FootnoteReference"/>
          <w:rFonts w:ascii="Arial" w:hAnsi="Arial" w:cs="Arial"/>
          <w:sz w:val="24"/>
        </w:rPr>
        <w:footnoteReference w:id="60"/>
      </w:r>
      <w:r w:rsidR="00867AAD">
        <w:rPr>
          <w:rFonts w:ascii="Arial" w:hAnsi="Arial" w:cs="Arial"/>
          <w:sz w:val="24"/>
        </w:rPr>
        <w:t xml:space="preserve"> The experience advantage that the Normans had at Hastings was key to their victory as explained and was not something their fellows enjoyed in Southern Italy, hence not all the factors to which any achievement was owed were the same in both instances.</w:t>
      </w:r>
    </w:p>
    <w:p w:rsidR="006D1BFC" w:rsidRDefault="006D1BFC" w:rsidP="006D1BFC">
      <w:pPr>
        <w:rPr>
          <w:rFonts w:ascii="Arial" w:hAnsi="Arial" w:cs="Arial"/>
          <w:sz w:val="24"/>
          <w:szCs w:val="24"/>
        </w:rPr>
      </w:pPr>
      <w:r>
        <w:rPr>
          <w:rFonts w:ascii="Arial" w:hAnsi="Arial" w:cs="Arial"/>
          <w:sz w:val="24"/>
          <w:szCs w:val="24"/>
        </w:rPr>
        <w:t xml:space="preserve">Therefore, </w:t>
      </w:r>
      <w:r w:rsidRPr="006D1BFC">
        <w:rPr>
          <w:rFonts w:ascii="Arial" w:hAnsi="Arial" w:cs="Arial"/>
          <w:sz w:val="24"/>
          <w:szCs w:val="24"/>
        </w:rPr>
        <w:t xml:space="preserve">the achievements of the Normans in England </w:t>
      </w:r>
      <w:r>
        <w:rPr>
          <w:rFonts w:ascii="Arial" w:hAnsi="Arial" w:cs="Arial"/>
          <w:sz w:val="24"/>
          <w:szCs w:val="24"/>
        </w:rPr>
        <w:t xml:space="preserve">were, to a considerable extent, </w:t>
      </w:r>
      <w:r w:rsidRPr="006D1BFC">
        <w:rPr>
          <w:rFonts w:ascii="Arial" w:hAnsi="Arial" w:cs="Arial"/>
          <w:sz w:val="24"/>
          <w:szCs w:val="24"/>
        </w:rPr>
        <w:t>the result of the same factors as those that explain their succe</w:t>
      </w:r>
      <w:r>
        <w:rPr>
          <w:rFonts w:ascii="Arial" w:hAnsi="Arial" w:cs="Arial"/>
          <w:sz w:val="24"/>
          <w:szCs w:val="24"/>
        </w:rPr>
        <w:t xml:space="preserve">ss in Southern Italy and Sicily. In both cases the Normans use of heavy cavalry and institution of the feudal system factored heavily in their success. In addition, the Normans in England and the Mediterranean all had strong leaders who made masterful use of the well-established, Norman reputation; as well </w:t>
      </w:r>
      <w:r w:rsidR="003D7DC7">
        <w:rPr>
          <w:rFonts w:ascii="Arial" w:hAnsi="Arial" w:cs="Arial"/>
          <w:sz w:val="24"/>
          <w:szCs w:val="24"/>
        </w:rPr>
        <w:t>as papal</w:t>
      </w:r>
      <w:r>
        <w:rPr>
          <w:rFonts w:ascii="Arial" w:hAnsi="Arial" w:cs="Arial"/>
          <w:sz w:val="24"/>
          <w:szCs w:val="24"/>
        </w:rPr>
        <w:t xml:space="preserve"> support </w:t>
      </w:r>
      <w:r w:rsidR="003D7DC7">
        <w:rPr>
          <w:rFonts w:ascii="Arial" w:hAnsi="Arial" w:cs="Arial"/>
          <w:sz w:val="24"/>
          <w:szCs w:val="24"/>
        </w:rPr>
        <w:t>to further their goals and achieve a great area to rule. Admittedly, not all the factors at play were the same in England as in</w:t>
      </w:r>
      <w:r w:rsidR="00FB5434">
        <w:rPr>
          <w:rFonts w:ascii="Arial" w:hAnsi="Arial" w:cs="Arial"/>
          <w:sz w:val="24"/>
          <w:szCs w:val="24"/>
        </w:rPr>
        <w:t xml:space="preserve"> </w:t>
      </w:r>
      <w:r w:rsidR="003D7DC7">
        <w:rPr>
          <w:rFonts w:ascii="Arial" w:hAnsi="Arial" w:cs="Arial"/>
          <w:sz w:val="24"/>
          <w:szCs w:val="24"/>
        </w:rPr>
        <w:t xml:space="preserve">Southern Italy. </w:t>
      </w:r>
      <w:r w:rsidR="00FB5434">
        <w:rPr>
          <w:rFonts w:ascii="Arial" w:hAnsi="Arial" w:cs="Arial"/>
          <w:sz w:val="24"/>
          <w:szCs w:val="24"/>
        </w:rPr>
        <w:t xml:space="preserve">The two exhibit distinctly different </w:t>
      </w:r>
      <w:r>
        <w:rPr>
          <w:rFonts w:ascii="Arial" w:hAnsi="Arial" w:cs="Arial"/>
          <w:sz w:val="24"/>
          <w:szCs w:val="24"/>
        </w:rPr>
        <w:t>political landscapes</w:t>
      </w:r>
      <w:r w:rsidR="00FB5434">
        <w:rPr>
          <w:rFonts w:ascii="Arial" w:hAnsi="Arial" w:cs="Arial"/>
          <w:sz w:val="24"/>
          <w:szCs w:val="24"/>
        </w:rPr>
        <w:t xml:space="preserve"> with the one unified against a foreign invader while the other was divided</w:t>
      </w:r>
      <w:r w:rsidR="00C551F7">
        <w:rPr>
          <w:rFonts w:ascii="Arial" w:hAnsi="Arial" w:cs="Arial"/>
          <w:sz w:val="24"/>
          <w:szCs w:val="24"/>
        </w:rPr>
        <w:t xml:space="preserve">. </w:t>
      </w:r>
      <w:r w:rsidR="00FB5434">
        <w:rPr>
          <w:rFonts w:ascii="Arial" w:hAnsi="Arial" w:cs="Arial"/>
          <w:sz w:val="24"/>
          <w:szCs w:val="24"/>
        </w:rPr>
        <w:t xml:space="preserve"> </w:t>
      </w:r>
      <w:r w:rsidR="00C551F7">
        <w:rPr>
          <w:rFonts w:ascii="Arial" w:hAnsi="Arial" w:cs="Arial"/>
          <w:sz w:val="24"/>
          <w:szCs w:val="24"/>
        </w:rPr>
        <w:t xml:space="preserve">What’s more, the Norman forces in England also had the advantage of greater </w:t>
      </w:r>
      <w:r>
        <w:rPr>
          <w:rFonts w:ascii="Arial" w:hAnsi="Arial" w:cs="Arial"/>
          <w:sz w:val="24"/>
          <w:szCs w:val="24"/>
        </w:rPr>
        <w:t>experience</w:t>
      </w:r>
      <w:r w:rsidR="009009A9">
        <w:rPr>
          <w:rFonts w:ascii="Arial" w:hAnsi="Arial" w:cs="Arial"/>
          <w:sz w:val="24"/>
          <w:szCs w:val="24"/>
        </w:rPr>
        <w:t xml:space="preserve"> than their enemies</w:t>
      </w:r>
      <w:r w:rsidR="00C551F7">
        <w:rPr>
          <w:rFonts w:ascii="Arial" w:hAnsi="Arial" w:cs="Arial"/>
          <w:sz w:val="24"/>
          <w:szCs w:val="24"/>
        </w:rPr>
        <w:t xml:space="preserve"> from the outset of their campaign rather than </w:t>
      </w:r>
      <w:r w:rsidR="009009A9">
        <w:rPr>
          <w:rFonts w:ascii="Arial" w:hAnsi="Arial" w:cs="Arial"/>
          <w:sz w:val="24"/>
          <w:szCs w:val="24"/>
        </w:rPr>
        <w:t>engaging with foes tempered and hardened by the same amount of warfare. Even considering this though, the factors which led to Norman success in Southern Italy and Sicily did result in the remarkable victory of Duke William the Bastard over England and earning him the kinder epithet: the Conqueror.</w:t>
      </w:r>
    </w:p>
    <w:p w:rsidR="007A434F" w:rsidRDefault="007A434F" w:rsidP="007A434F">
      <w:pPr>
        <w:jc w:val="center"/>
        <w:rPr>
          <w:rFonts w:ascii="Arial" w:hAnsi="Arial" w:cs="Arial"/>
          <w:b/>
          <w:bCs/>
          <w:sz w:val="32"/>
          <w:szCs w:val="32"/>
          <w:u w:val="single"/>
        </w:rPr>
      </w:pPr>
      <w:r>
        <w:rPr>
          <w:rFonts w:ascii="Arial" w:hAnsi="Arial" w:cs="Arial"/>
          <w:b/>
          <w:bCs/>
          <w:sz w:val="32"/>
          <w:szCs w:val="32"/>
          <w:u w:val="single"/>
        </w:rPr>
        <w:t>Bibliography</w:t>
      </w:r>
    </w:p>
    <w:p w:rsidR="007A434F" w:rsidRDefault="007A434F" w:rsidP="007A434F">
      <w:pPr>
        <w:jc w:val="center"/>
        <w:rPr>
          <w:rFonts w:ascii="Arial" w:hAnsi="Arial" w:cs="Arial"/>
          <w:bCs/>
          <w:sz w:val="28"/>
          <w:szCs w:val="32"/>
          <w:u w:val="single"/>
        </w:rPr>
      </w:pPr>
      <w:r>
        <w:rPr>
          <w:rFonts w:ascii="Arial" w:hAnsi="Arial" w:cs="Arial"/>
          <w:bCs/>
          <w:sz w:val="28"/>
          <w:szCs w:val="32"/>
          <w:u w:val="single"/>
        </w:rPr>
        <w:t>Primary Sources</w:t>
      </w:r>
    </w:p>
    <w:p w:rsidR="007A434F" w:rsidRDefault="007A434F" w:rsidP="007A434F">
      <w:pPr>
        <w:rPr>
          <w:rFonts w:ascii="Arial" w:hAnsi="Arial" w:cs="Arial"/>
          <w:bCs/>
          <w:sz w:val="24"/>
          <w:szCs w:val="32"/>
        </w:rPr>
      </w:pPr>
      <w:r>
        <w:rPr>
          <w:rFonts w:ascii="Arial" w:hAnsi="Arial" w:cs="Arial"/>
          <w:bCs/>
          <w:i/>
          <w:sz w:val="24"/>
          <w:szCs w:val="32"/>
        </w:rPr>
        <w:t xml:space="preserve">The Anglo Saxon Chronicle, </w:t>
      </w:r>
      <w:r>
        <w:rPr>
          <w:rFonts w:ascii="Arial" w:hAnsi="Arial" w:cs="Arial"/>
          <w:bCs/>
          <w:sz w:val="24"/>
          <w:szCs w:val="32"/>
        </w:rPr>
        <w:t>trans. James Ingram, (USA, Project Gutenburg, 1996)</w:t>
      </w:r>
    </w:p>
    <w:p w:rsidR="007A434F" w:rsidRDefault="007A434F" w:rsidP="007A434F">
      <w:pPr>
        <w:jc w:val="center"/>
        <w:rPr>
          <w:rFonts w:ascii="Arial" w:hAnsi="Arial" w:cs="Arial"/>
          <w:bCs/>
          <w:sz w:val="28"/>
          <w:szCs w:val="32"/>
        </w:rPr>
      </w:pPr>
      <w:r>
        <w:rPr>
          <w:rFonts w:ascii="Arial" w:hAnsi="Arial" w:cs="Arial"/>
          <w:bCs/>
          <w:sz w:val="24"/>
          <w:szCs w:val="32"/>
        </w:rPr>
        <w:t xml:space="preserve">‘Letter of Pope Leo IX to the Emperor Constantine Monomachos (1054)’, trans. W. L. North from  C. Will, </w:t>
      </w:r>
      <w:r>
        <w:rPr>
          <w:rFonts w:ascii="Arial" w:hAnsi="Arial" w:cs="Arial"/>
          <w:bCs/>
          <w:i/>
          <w:sz w:val="24"/>
          <w:szCs w:val="32"/>
        </w:rPr>
        <w:t>Acta et Scripta Quae de Controversiis Ecclesiae Graecae et Latinae Saeculo Undecimo Composita Extant</w:t>
      </w:r>
      <w:r>
        <w:rPr>
          <w:rFonts w:ascii="Arial" w:hAnsi="Arial" w:cs="Arial"/>
          <w:bCs/>
          <w:sz w:val="24"/>
          <w:szCs w:val="32"/>
        </w:rPr>
        <w:t>, Document III, pp. 85-89. (Leipzig &amp; Marburg, 1861)</w:t>
      </w:r>
    </w:p>
    <w:p w:rsidR="007A434F" w:rsidRDefault="007A434F" w:rsidP="007A434F">
      <w:pPr>
        <w:jc w:val="center"/>
        <w:rPr>
          <w:rFonts w:ascii="Arial" w:hAnsi="Arial" w:cs="Arial"/>
          <w:bCs/>
          <w:sz w:val="28"/>
          <w:szCs w:val="32"/>
          <w:u w:val="single"/>
        </w:rPr>
      </w:pPr>
      <w:r>
        <w:rPr>
          <w:rFonts w:ascii="Arial" w:hAnsi="Arial" w:cs="Arial"/>
          <w:bCs/>
          <w:sz w:val="28"/>
          <w:szCs w:val="32"/>
          <w:u w:val="single"/>
        </w:rPr>
        <w:t>Secondary Sources</w:t>
      </w:r>
    </w:p>
    <w:p w:rsidR="007A434F" w:rsidRDefault="007A434F" w:rsidP="007A434F">
      <w:pPr>
        <w:rPr>
          <w:rFonts w:ascii="Arial" w:hAnsi="Arial" w:cs="Arial"/>
          <w:sz w:val="32"/>
          <w:szCs w:val="24"/>
        </w:rPr>
      </w:pPr>
      <w:r>
        <w:rPr>
          <w:rFonts w:ascii="Arial" w:hAnsi="Arial" w:cs="Arial"/>
          <w:i/>
          <w:sz w:val="24"/>
          <w:szCs w:val="24"/>
        </w:rPr>
        <w:t>1001 Battles that changed the course of History,</w:t>
      </w:r>
      <w:r>
        <w:rPr>
          <w:rFonts w:ascii="Arial" w:hAnsi="Arial" w:cs="Arial"/>
          <w:sz w:val="24"/>
          <w:szCs w:val="24"/>
        </w:rPr>
        <w:t xml:space="preserve"> ed. R. G. Grant, (London: Cassel Illustrated, 2017)</w:t>
      </w:r>
    </w:p>
    <w:p w:rsidR="007A434F" w:rsidRDefault="007A434F" w:rsidP="007A434F">
      <w:pPr>
        <w:rPr>
          <w:rFonts w:ascii="Arial" w:hAnsi="Arial" w:cs="Arial"/>
          <w:sz w:val="24"/>
          <w:szCs w:val="24"/>
        </w:rPr>
      </w:pPr>
      <w:r>
        <w:rPr>
          <w:rFonts w:ascii="Arial" w:hAnsi="Arial" w:cs="Arial"/>
          <w:sz w:val="24"/>
          <w:szCs w:val="24"/>
        </w:rPr>
        <w:t xml:space="preserve">Ashley, Maurice, </w:t>
      </w:r>
      <w:r>
        <w:rPr>
          <w:rFonts w:ascii="Arial" w:hAnsi="Arial" w:cs="Arial"/>
          <w:i/>
          <w:sz w:val="24"/>
          <w:szCs w:val="24"/>
        </w:rPr>
        <w:t>The Life and Times of William I,</w:t>
      </w:r>
      <w:r>
        <w:rPr>
          <w:rFonts w:ascii="Arial" w:hAnsi="Arial" w:cs="Arial"/>
          <w:sz w:val="24"/>
          <w:szCs w:val="24"/>
        </w:rPr>
        <w:t xml:space="preserve"> (London: Book Club Associates, 1973)</w:t>
      </w:r>
    </w:p>
    <w:p w:rsidR="007A434F" w:rsidRDefault="007A434F" w:rsidP="007A434F">
      <w:pPr>
        <w:rPr>
          <w:rFonts w:ascii="Arial" w:hAnsi="Arial" w:cs="Arial"/>
          <w:sz w:val="24"/>
          <w:szCs w:val="24"/>
        </w:rPr>
      </w:pPr>
      <w:r>
        <w:rPr>
          <w:rFonts w:ascii="Arial" w:hAnsi="Arial" w:cs="Arial"/>
          <w:i/>
          <w:sz w:val="24"/>
          <w:szCs w:val="24"/>
        </w:rPr>
        <w:t>Battles that Changed History: Epic Conflicts Explored and Explained,</w:t>
      </w:r>
      <w:r>
        <w:rPr>
          <w:rFonts w:ascii="Arial" w:hAnsi="Arial" w:cs="Arial"/>
          <w:sz w:val="24"/>
          <w:szCs w:val="24"/>
        </w:rPr>
        <w:t xml:space="preserve"> eds. Hugo Wilkinson and Andrew Szudek, (London: Dorling Kindersley Limited, 2018)</w:t>
      </w:r>
    </w:p>
    <w:p w:rsidR="007A434F" w:rsidRDefault="007A434F" w:rsidP="007A434F">
      <w:pPr>
        <w:rPr>
          <w:rFonts w:ascii="Arial" w:hAnsi="Arial" w:cs="Arial"/>
          <w:sz w:val="24"/>
          <w:szCs w:val="24"/>
        </w:rPr>
      </w:pPr>
      <w:r>
        <w:rPr>
          <w:rFonts w:ascii="Arial" w:hAnsi="Arial" w:cs="Arial"/>
          <w:i/>
          <w:sz w:val="24"/>
          <w:szCs w:val="24"/>
        </w:rPr>
        <w:lastRenderedPageBreak/>
        <w:t>The Concise Oxford Dictionary of Current English,</w:t>
      </w:r>
      <w:r>
        <w:rPr>
          <w:rFonts w:ascii="Arial" w:hAnsi="Arial" w:cs="Arial"/>
          <w:sz w:val="24"/>
          <w:szCs w:val="24"/>
        </w:rPr>
        <w:t>8</w:t>
      </w:r>
      <w:r>
        <w:rPr>
          <w:rFonts w:ascii="Arial" w:hAnsi="Arial" w:cs="Arial"/>
          <w:sz w:val="24"/>
          <w:szCs w:val="24"/>
          <w:vertAlign w:val="superscript"/>
        </w:rPr>
        <w:t>th</w:t>
      </w:r>
      <w:r>
        <w:rPr>
          <w:rFonts w:ascii="Arial" w:hAnsi="Arial" w:cs="Arial"/>
          <w:sz w:val="24"/>
          <w:szCs w:val="24"/>
        </w:rPr>
        <w:t xml:space="preserve"> edn., ed. R. E. Allen, (Oxford: BCA, 1990)</w:t>
      </w:r>
    </w:p>
    <w:p w:rsidR="007A434F" w:rsidRDefault="007A434F" w:rsidP="007A434F">
      <w:pPr>
        <w:rPr>
          <w:rFonts w:ascii="Arial" w:hAnsi="Arial" w:cs="Arial"/>
          <w:sz w:val="24"/>
          <w:szCs w:val="24"/>
        </w:rPr>
      </w:pPr>
      <w:r>
        <w:rPr>
          <w:rFonts w:ascii="Arial" w:hAnsi="Arial" w:cs="Arial"/>
          <w:sz w:val="24"/>
          <w:szCs w:val="24"/>
        </w:rPr>
        <w:t xml:space="preserve">Davis, R.H.C., </w:t>
      </w:r>
      <w:r>
        <w:rPr>
          <w:rFonts w:ascii="Arial" w:hAnsi="Arial" w:cs="Arial"/>
          <w:i/>
          <w:sz w:val="24"/>
          <w:szCs w:val="24"/>
        </w:rPr>
        <w:t>The Normans and their Myth</w:t>
      </w:r>
      <w:r>
        <w:rPr>
          <w:rFonts w:ascii="Arial" w:hAnsi="Arial" w:cs="Arial"/>
          <w:sz w:val="24"/>
          <w:szCs w:val="24"/>
        </w:rPr>
        <w:t>, (London: Thames and Hudson, 1976)</w:t>
      </w:r>
    </w:p>
    <w:p w:rsidR="007A434F" w:rsidRDefault="007A434F" w:rsidP="007A434F">
      <w:pPr>
        <w:rPr>
          <w:rFonts w:ascii="Arial" w:hAnsi="Arial" w:cs="Arial"/>
          <w:sz w:val="24"/>
          <w:szCs w:val="24"/>
        </w:rPr>
      </w:pPr>
      <w:r>
        <w:rPr>
          <w:rFonts w:ascii="Arial" w:hAnsi="Arial" w:cs="Arial"/>
          <w:sz w:val="24"/>
          <w:szCs w:val="24"/>
        </w:rPr>
        <w:t xml:space="preserve">Hart, George, </w:t>
      </w:r>
      <w:r>
        <w:rPr>
          <w:rFonts w:ascii="Arial" w:hAnsi="Arial" w:cs="Arial"/>
          <w:i/>
          <w:sz w:val="24"/>
          <w:szCs w:val="24"/>
        </w:rPr>
        <w:t>The Pharoahs, Volume II: Dominion to Conquest,</w:t>
      </w:r>
      <w:r>
        <w:rPr>
          <w:rFonts w:ascii="Arial" w:hAnsi="Arial" w:cs="Arial"/>
          <w:sz w:val="24"/>
          <w:szCs w:val="24"/>
        </w:rPr>
        <w:t xml:space="preserve"> (London: The Folio Society, 2010)</w:t>
      </w:r>
    </w:p>
    <w:p w:rsidR="007A434F" w:rsidRDefault="007A434F" w:rsidP="007A434F">
      <w:pPr>
        <w:rPr>
          <w:rFonts w:ascii="Arial" w:hAnsi="Arial" w:cs="Arial"/>
          <w:sz w:val="24"/>
          <w:szCs w:val="24"/>
        </w:rPr>
      </w:pPr>
      <w:r>
        <w:rPr>
          <w:rFonts w:ascii="Arial" w:hAnsi="Arial" w:cs="Arial"/>
          <w:sz w:val="24"/>
          <w:szCs w:val="24"/>
        </w:rPr>
        <w:t xml:space="preserve">Hyland, Ann, </w:t>
      </w:r>
      <w:r>
        <w:rPr>
          <w:rFonts w:ascii="Arial" w:hAnsi="Arial" w:cs="Arial"/>
          <w:i/>
          <w:sz w:val="24"/>
          <w:szCs w:val="24"/>
        </w:rPr>
        <w:t>The Medieval Warhorse: From Byzantium to the Crusades</w:t>
      </w:r>
      <w:r>
        <w:rPr>
          <w:rFonts w:ascii="Arial" w:hAnsi="Arial" w:cs="Arial"/>
          <w:sz w:val="24"/>
          <w:szCs w:val="24"/>
        </w:rPr>
        <w:t>, (Stroud: Alan Sutton Publishing Limited, 1994)</w:t>
      </w:r>
    </w:p>
    <w:p w:rsidR="007A434F" w:rsidRDefault="007A434F" w:rsidP="007A434F">
      <w:pPr>
        <w:rPr>
          <w:rFonts w:ascii="Arial" w:hAnsi="Arial" w:cs="Arial"/>
          <w:sz w:val="24"/>
          <w:szCs w:val="24"/>
        </w:rPr>
      </w:pPr>
      <w:r>
        <w:rPr>
          <w:rFonts w:ascii="Arial" w:hAnsi="Arial" w:cs="Arial"/>
          <w:sz w:val="24"/>
          <w:szCs w:val="24"/>
        </w:rPr>
        <w:t xml:space="preserve">Matthews, Rupert, ‘Cannae’, </w:t>
      </w:r>
      <w:r>
        <w:rPr>
          <w:rFonts w:ascii="Arial" w:hAnsi="Arial" w:cs="Arial"/>
          <w:i/>
          <w:sz w:val="24"/>
          <w:szCs w:val="24"/>
        </w:rPr>
        <w:t>1001 Battles that changed the course of History,</w:t>
      </w:r>
      <w:r>
        <w:rPr>
          <w:rFonts w:ascii="Arial" w:hAnsi="Arial" w:cs="Arial"/>
          <w:sz w:val="24"/>
          <w:szCs w:val="24"/>
        </w:rPr>
        <w:t xml:space="preserve"> ed. R. G. Grant, (London: Cassel Illustrated, 2017), pp. 60-61</w:t>
      </w:r>
    </w:p>
    <w:p w:rsidR="007A434F" w:rsidRDefault="007A434F" w:rsidP="007A434F">
      <w:pPr>
        <w:rPr>
          <w:rFonts w:ascii="Arial" w:hAnsi="Arial" w:cs="Arial"/>
          <w:sz w:val="24"/>
          <w:szCs w:val="24"/>
        </w:rPr>
      </w:pPr>
      <w:r>
        <w:rPr>
          <w:rFonts w:ascii="Arial" w:hAnsi="Arial" w:cs="Arial"/>
          <w:sz w:val="24"/>
          <w:szCs w:val="24"/>
        </w:rPr>
        <w:t xml:space="preserve">McEvedy, Colin, </w:t>
      </w:r>
      <w:r>
        <w:rPr>
          <w:rFonts w:ascii="Arial" w:hAnsi="Arial" w:cs="Arial"/>
          <w:i/>
          <w:sz w:val="24"/>
          <w:szCs w:val="24"/>
        </w:rPr>
        <w:t>The New Penguin Atlas of Medieval History,</w:t>
      </w:r>
      <w:r>
        <w:rPr>
          <w:rFonts w:ascii="Arial" w:hAnsi="Arial" w:cs="Arial"/>
          <w:sz w:val="24"/>
          <w:szCs w:val="24"/>
        </w:rPr>
        <w:t xml:space="preserve"> (London: Penguin Books, 1992)</w:t>
      </w:r>
    </w:p>
    <w:p w:rsidR="007A434F" w:rsidRDefault="007A434F" w:rsidP="007A434F">
      <w:pPr>
        <w:rPr>
          <w:rFonts w:ascii="Arial" w:hAnsi="Arial" w:cs="Arial"/>
          <w:sz w:val="24"/>
          <w:szCs w:val="24"/>
        </w:rPr>
      </w:pPr>
      <w:r>
        <w:rPr>
          <w:rFonts w:ascii="Arial" w:hAnsi="Arial" w:cs="Arial"/>
          <w:sz w:val="24"/>
          <w:szCs w:val="24"/>
        </w:rPr>
        <w:t xml:space="preserve">Sidnell, Philip, </w:t>
      </w:r>
      <w:r>
        <w:rPr>
          <w:rFonts w:ascii="Arial" w:hAnsi="Arial" w:cs="Arial"/>
          <w:i/>
          <w:sz w:val="24"/>
          <w:szCs w:val="24"/>
        </w:rPr>
        <w:t>Warhorse: Cavalry in Ancient Warfare,</w:t>
      </w:r>
      <w:r>
        <w:rPr>
          <w:rFonts w:ascii="Arial" w:hAnsi="Arial" w:cs="Arial"/>
          <w:sz w:val="24"/>
          <w:szCs w:val="24"/>
        </w:rPr>
        <w:t xml:space="preserve"> (London: Hambledon Continuum, 2006)</w:t>
      </w:r>
    </w:p>
    <w:p w:rsidR="007A434F" w:rsidRDefault="007A434F" w:rsidP="007A434F">
      <w:pPr>
        <w:rPr>
          <w:rFonts w:ascii="Arial" w:hAnsi="Arial" w:cs="Arial"/>
          <w:sz w:val="24"/>
          <w:szCs w:val="24"/>
        </w:rPr>
      </w:pPr>
      <w:r>
        <w:rPr>
          <w:rFonts w:ascii="Arial" w:hAnsi="Arial" w:cs="Arial"/>
          <w:sz w:val="24"/>
          <w:szCs w:val="24"/>
        </w:rPr>
        <w:t xml:space="preserve">Stenton, Frank, </w:t>
      </w:r>
      <w:r>
        <w:rPr>
          <w:rFonts w:ascii="Arial" w:hAnsi="Arial" w:cs="Arial"/>
          <w:i/>
          <w:sz w:val="24"/>
          <w:szCs w:val="24"/>
        </w:rPr>
        <w:t>Anglo-Saxon England</w:t>
      </w:r>
      <w:r>
        <w:rPr>
          <w:rFonts w:ascii="Arial" w:hAnsi="Arial" w:cs="Arial"/>
          <w:sz w:val="24"/>
          <w:szCs w:val="24"/>
        </w:rPr>
        <w:t>, 3</w:t>
      </w:r>
      <w:r>
        <w:rPr>
          <w:rFonts w:ascii="Arial" w:hAnsi="Arial" w:cs="Arial"/>
          <w:sz w:val="24"/>
          <w:szCs w:val="24"/>
          <w:vertAlign w:val="superscript"/>
        </w:rPr>
        <w:t>rd</w:t>
      </w:r>
      <w:r>
        <w:rPr>
          <w:rFonts w:ascii="Arial" w:hAnsi="Arial" w:cs="Arial"/>
          <w:sz w:val="24"/>
          <w:szCs w:val="24"/>
        </w:rPr>
        <w:t xml:space="preserve"> edn., (Oxford: Clarendon Press, 1971)</w:t>
      </w:r>
    </w:p>
    <w:p w:rsidR="007A434F" w:rsidRDefault="007A434F" w:rsidP="007A434F">
      <w:pPr>
        <w:jc w:val="center"/>
        <w:rPr>
          <w:rFonts w:ascii="Arial" w:hAnsi="Arial" w:cs="Arial"/>
          <w:b/>
          <w:bCs/>
          <w:sz w:val="32"/>
          <w:szCs w:val="32"/>
          <w:u w:val="single"/>
        </w:rPr>
      </w:pPr>
      <w:r>
        <w:rPr>
          <w:rFonts w:ascii="Arial" w:hAnsi="Arial" w:cs="Arial"/>
          <w:b/>
          <w:bCs/>
          <w:sz w:val="32"/>
          <w:szCs w:val="32"/>
          <w:u w:val="single"/>
        </w:rPr>
        <w:t>Webliography</w:t>
      </w:r>
    </w:p>
    <w:p w:rsidR="007A434F" w:rsidRDefault="007A434F" w:rsidP="007A434F">
      <w:pPr>
        <w:rPr>
          <w:rFonts w:ascii="Arial" w:hAnsi="Arial" w:cs="Arial"/>
          <w:sz w:val="24"/>
          <w:szCs w:val="24"/>
        </w:rPr>
      </w:pPr>
      <w:r>
        <w:rPr>
          <w:rFonts w:ascii="Arial" w:hAnsi="Arial" w:cs="Arial"/>
          <w:sz w:val="24"/>
          <w:szCs w:val="24"/>
        </w:rPr>
        <w:t xml:space="preserve">The Editors of Encyclopaedia Britannica, ‘Dudo of Saint-Quentin’, from: </w:t>
      </w:r>
      <w:hyperlink r:id="rId7" w:history="1">
        <w:r>
          <w:rPr>
            <w:rStyle w:val="Hyperlink"/>
            <w:rFonts w:ascii="Arial" w:hAnsi="Arial" w:cs="Arial"/>
            <w:sz w:val="24"/>
            <w:szCs w:val="24"/>
          </w:rPr>
          <w:t>https://www.britannica.com/biography/Dudo-of-Saint-Quentin</w:t>
        </w:r>
      </w:hyperlink>
      <w:r>
        <w:rPr>
          <w:rFonts w:ascii="Arial" w:hAnsi="Arial" w:cs="Arial"/>
          <w:sz w:val="24"/>
          <w:szCs w:val="24"/>
        </w:rPr>
        <w:t>; [accessed 11</w:t>
      </w:r>
      <w:r>
        <w:rPr>
          <w:rFonts w:ascii="Arial" w:hAnsi="Arial" w:cs="Arial"/>
          <w:sz w:val="24"/>
          <w:szCs w:val="24"/>
          <w:vertAlign w:val="superscript"/>
        </w:rPr>
        <w:t>th</w:t>
      </w:r>
      <w:r>
        <w:rPr>
          <w:rFonts w:ascii="Arial" w:hAnsi="Arial" w:cs="Arial"/>
          <w:sz w:val="24"/>
          <w:szCs w:val="24"/>
        </w:rPr>
        <w:t xml:space="preserve"> February 2023]</w:t>
      </w:r>
    </w:p>
    <w:p w:rsidR="007A434F" w:rsidRPr="006D1BFC" w:rsidRDefault="007A434F" w:rsidP="006D1BFC">
      <w:pPr>
        <w:rPr>
          <w:rFonts w:ascii="Arial" w:hAnsi="Arial" w:cs="Arial"/>
          <w:sz w:val="24"/>
          <w:szCs w:val="24"/>
        </w:rPr>
      </w:pPr>
      <w:r>
        <w:rPr>
          <w:rFonts w:ascii="Arial" w:hAnsi="Arial" w:cs="Arial"/>
          <w:sz w:val="24"/>
          <w:szCs w:val="24"/>
        </w:rPr>
        <w:t xml:space="preserve">The Editors of Encyclopaedia Britannica, ‘Roger I’, from: </w:t>
      </w:r>
      <w:hyperlink r:id="rId8" w:history="1">
        <w:r>
          <w:rPr>
            <w:rStyle w:val="Hyperlink"/>
            <w:rFonts w:ascii="Arial" w:hAnsi="Arial" w:cs="Arial"/>
            <w:sz w:val="24"/>
            <w:szCs w:val="24"/>
          </w:rPr>
          <w:t>https://www.britannica.com/biography/Roger-I</w:t>
        </w:r>
      </w:hyperlink>
      <w:r>
        <w:rPr>
          <w:rFonts w:ascii="Arial" w:hAnsi="Arial" w:cs="Arial"/>
          <w:sz w:val="24"/>
          <w:szCs w:val="24"/>
        </w:rPr>
        <w:t>; [accessed 12</w:t>
      </w:r>
      <w:r>
        <w:rPr>
          <w:rFonts w:ascii="Arial" w:hAnsi="Arial" w:cs="Arial"/>
          <w:sz w:val="24"/>
          <w:szCs w:val="24"/>
          <w:vertAlign w:val="superscript"/>
        </w:rPr>
        <w:t>th</w:t>
      </w:r>
      <w:r>
        <w:rPr>
          <w:rFonts w:ascii="Arial" w:hAnsi="Arial" w:cs="Arial"/>
          <w:sz w:val="24"/>
          <w:szCs w:val="24"/>
        </w:rPr>
        <w:t xml:space="preserve"> February 2023]</w:t>
      </w:r>
      <w:bookmarkStart w:id="0" w:name="_GoBack"/>
      <w:bookmarkEnd w:id="0"/>
    </w:p>
    <w:sectPr w:rsidR="007A434F" w:rsidRPr="006D1B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7A32" w:rsidRDefault="00DD7A32" w:rsidP="00BA3611">
      <w:pPr>
        <w:spacing w:after="0" w:line="240" w:lineRule="auto"/>
      </w:pPr>
      <w:r>
        <w:separator/>
      </w:r>
    </w:p>
  </w:endnote>
  <w:endnote w:type="continuationSeparator" w:id="0">
    <w:p w:rsidR="00DD7A32" w:rsidRDefault="00DD7A32" w:rsidP="00BA3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7A32" w:rsidRDefault="00DD7A32" w:rsidP="00BA3611">
      <w:pPr>
        <w:spacing w:after="0" w:line="240" w:lineRule="auto"/>
      </w:pPr>
      <w:r>
        <w:separator/>
      </w:r>
    </w:p>
  </w:footnote>
  <w:footnote w:type="continuationSeparator" w:id="0">
    <w:p w:rsidR="00DD7A32" w:rsidRDefault="00DD7A32" w:rsidP="00BA3611">
      <w:pPr>
        <w:spacing w:after="0" w:line="240" w:lineRule="auto"/>
      </w:pPr>
      <w:r>
        <w:continuationSeparator/>
      </w:r>
    </w:p>
  </w:footnote>
  <w:footnote w:id="1">
    <w:p w:rsidR="00BA3611" w:rsidRPr="00AC0989" w:rsidRDefault="00BA3611" w:rsidP="00AC0989">
      <w:pPr>
        <w:rPr>
          <w:rFonts w:ascii="Arial" w:hAnsi="Arial" w:cs="Arial"/>
          <w:sz w:val="24"/>
          <w:szCs w:val="24"/>
        </w:rPr>
      </w:pPr>
      <w:r>
        <w:rPr>
          <w:rStyle w:val="FootnoteReference"/>
        </w:rPr>
        <w:footnoteRef/>
      </w:r>
      <w:r>
        <w:t xml:space="preserve"> </w:t>
      </w:r>
      <w:r w:rsidR="00AC0989" w:rsidRPr="00AC0989">
        <w:rPr>
          <w:rFonts w:ascii="Arial" w:hAnsi="Arial" w:cs="Arial"/>
          <w:i/>
          <w:sz w:val="20"/>
          <w:szCs w:val="24"/>
        </w:rPr>
        <w:t>Battles that Changed History: Epic Conflicts Explored and Explained,</w:t>
      </w:r>
      <w:r w:rsidR="00AC0989" w:rsidRPr="00AC0989">
        <w:rPr>
          <w:rFonts w:ascii="Arial" w:hAnsi="Arial" w:cs="Arial"/>
          <w:sz w:val="20"/>
          <w:szCs w:val="24"/>
        </w:rPr>
        <w:t xml:space="preserve"> </w:t>
      </w:r>
      <w:r w:rsidR="00D03487">
        <w:rPr>
          <w:rFonts w:ascii="Arial" w:hAnsi="Arial" w:cs="Arial"/>
          <w:sz w:val="20"/>
          <w:szCs w:val="24"/>
        </w:rPr>
        <w:t>eds. Hugo Wilkinson and</w:t>
      </w:r>
      <w:r w:rsidR="00AC0989" w:rsidRPr="00AC0989">
        <w:rPr>
          <w:rFonts w:ascii="Arial" w:hAnsi="Arial" w:cs="Arial"/>
          <w:sz w:val="20"/>
          <w:szCs w:val="24"/>
        </w:rPr>
        <w:t xml:space="preserve"> Andrew Szudek, (London: Dorling Kindersley Limited, 2018)</w:t>
      </w:r>
      <w:r w:rsidR="00AC0989">
        <w:rPr>
          <w:rFonts w:ascii="Arial" w:hAnsi="Arial" w:cs="Arial"/>
          <w:sz w:val="20"/>
          <w:szCs w:val="24"/>
        </w:rPr>
        <w:t>, (p. 47)</w:t>
      </w:r>
    </w:p>
  </w:footnote>
  <w:footnote w:id="2">
    <w:p w:rsidR="00BA3611" w:rsidRPr="00AC0989" w:rsidRDefault="00BA3611" w:rsidP="00AC0989">
      <w:pPr>
        <w:rPr>
          <w:rFonts w:ascii="Arial" w:hAnsi="Arial" w:cs="Arial"/>
          <w:sz w:val="24"/>
          <w:szCs w:val="24"/>
        </w:rPr>
      </w:pPr>
      <w:r>
        <w:rPr>
          <w:rStyle w:val="FootnoteReference"/>
        </w:rPr>
        <w:footnoteRef/>
      </w:r>
      <w:r>
        <w:t xml:space="preserve"> </w:t>
      </w:r>
      <w:r w:rsidR="00D03487">
        <w:t xml:space="preserve">Phillip </w:t>
      </w:r>
      <w:r w:rsidR="00D03487">
        <w:rPr>
          <w:rFonts w:ascii="Arial" w:hAnsi="Arial" w:cs="Arial"/>
          <w:sz w:val="20"/>
          <w:szCs w:val="24"/>
        </w:rPr>
        <w:t>Sidnell,</w:t>
      </w:r>
      <w:r w:rsidR="00AC0989" w:rsidRPr="00AC0989">
        <w:rPr>
          <w:rFonts w:ascii="Arial" w:hAnsi="Arial" w:cs="Arial"/>
          <w:sz w:val="20"/>
          <w:szCs w:val="24"/>
        </w:rPr>
        <w:t xml:space="preserve"> </w:t>
      </w:r>
      <w:r w:rsidR="00AC0989" w:rsidRPr="00AC0989">
        <w:rPr>
          <w:rFonts w:ascii="Arial" w:hAnsi="Arial" w:cs="Arial"/>
          <w:i/>
          <w:sz w:val="20"/>
          <w:szCs w:val="24"/>
        </w:rPr>
        <w:t>Warhorse: Cavalry in Ancient Warfare,</w:t>
      </w:r>
      <w:r w:rsidR="00AC0989" w:rsidRPr="00AC0989">
        <w:rPr>
          <w:rFonts w:ascii="Arial" w:hAnsi="Arial" w:cs="Arial"/>
          <w:sz w:val="20"/>
          <w:szCs w:val="24"/>
        </w:rPr>
        <w:t xml:space="preserve"> (London: Hambledon Continuum, 2006)</w:t>
      </w:r>
      <w:r w:rsidR="00AC0989">
        <w:rPr>
          <w:rFonts w:ascii="Arial" w:hAnsi="Arial" w:cs="Arial"/>
          <w:sz w:val="20"/>
          <w:szCs w:val="24"/>
        </w:rPr>
        <w:t>, (p. 323)</w:t>
      </w:r>
    </w:p>
  </w:footnote>
  <w:footnote w:id="3">
    <w:p w:rsidR="00BA3611" w:rsidRPr="00AC0989" w:rsidRDefault="00BA3611">
      <w:pPr>
        <w:pStyle w:val="FootnoteText"/>
        <w:rPr>
          <w:rFonts w:ascii="Arial" w:hAnsi="Arial" w:cs="Arial"/>
          <w:szCs w:val="24"/>
        </w:rPr>
      </w:pPr>
      <w:r>
        <w:rPr>
          <w:rStyle w:val="FootnoteReference"/>
        </w:rPr>
        <w:footnoteRef/>
      </w:r>
      <w:r>
        <w:t xml:space="preserve"> </w:t>
      </w:r>
      <w:r w:rsidR="00AC0989">
        <w:rPr>
          <w:rFonts w:ascii="Arial" w:hAnsi="Arial" w:cs="Arial"/>
          <w:i/>
          <w:szCs w:val="24"/>
        </w:rPr>
        <w:t>Battles that Changed History</w:t>
      </w:r>
      <w:r w:rsidR="00AC0989" w:rsidRPr="00AC0989">
        <w:rPr>
          <w:rFonts w:ascii="Arial" w:hAnsi="Arial" w:cs="Arial"/>
          <w:i/>
          <w:szCs w:val="24"/>
        </w:rPr>
        <w:t>,</w:t>
      </w:r>
      <w:r w:rsidR="00AC0989" w:rsidRPr="00AC0989">
        <w:rPr>
          <w:rFonts w:ascii="Arial" w:hAnsi="Arial" w:cs="Arial"/>
          <w:szCs w:val="24"/>
        </w:rPr>
        <w:t xml:space="preserve"> </w:t>
      </w:r>
      <w:r w:rsidR="00AC0989">
        <w:rPr>
          <w:rFonts w:ascii="Arial" w:hAnsi="Arial" w:cs="Arial"/>
          <w:szCs w:val="24"/>
        </w:rPr>
        <w:t>eds. Wilkinson and</w:t>
      </w:r>
      <w:r w:rsidR="00AC0989" w:rsidRPr="00AC0989">
        <w:rPr>
          <w:rFonts w:ascii="Arial" w:hAnsi="Arial" w:cs="Arial"/>
          <w:szCs w:val="24"/>
        </w:rPr>
        <w:t xml:space="preserve"> Szudek,</w:t>
      </w:r>
      <w:r w:rsidR="00A65542">
        <w:rPr>
          <w:rFonts w:ascii="Arial" w:hAnsi="Arial" w:cs="Arial"/>
          <w:szCs w:val="24"/>
        </w:rPr>
        <w:t xml:space="preserve"> (pp. 48-49)</w:t>
      </w:r>
    </w:p>
  </w:footnote>
  <w:footnote w:id="4">
    <w:p w:rsidR="00F5267F" w:rsidRPr="00B568C2" w:rsidRDefault="00F5267F" w:rsidP="00B568C2">
      <w:pPr>
        <w:rPr>
          <w:rFonts w:ascii="Arial" w:hAnsi="Arial" w:cs="Arial"/>
          <w:sz w:val="24"/>
          <w:szCs w:val="24"/>
        </w:rPr>
      </w:pPr>
      <w:r>
        <w:rPr>
          <w:rStyle w:val="FootnoteReference"/>
        </w:rPr>
        <w:footnoteRef/>
      </w:r>
      <w:r>
        <w:t xml:space="preserve"> </w:t>
      </w:r>
      <w:r w:rsidR="00B568C2" w:rsidRPr="00B568C2">
        <w:rPr>
          <w:rFonts w:ascii="Arial" w:hAnsi="Arial" w:cs="Arial"/>
          <w:sz w:val="20"/>
          <w:szCs w:val="24"/>
        </w:rPr>
        <w:t xml:space="preserve"> </w:t>
      </w:r>
      <w:r w:rsidR="00D03487">
        <w:rPr>
          <w:rFonts w:ascii="Arial" w:hAnsi="Arial" w:cs="Arial"/>
          <w:sz w:val="20"/>
          <w:szCs w:val="24"/>
        </w:rPr>
        <w:t>Maurice Ashley,</w:t>
      </w:r>
      <w:r w:rsidR="00B568C2" w:rsidRPr="00B568C2">
        <w:rPr>
          <w:rFonts w:ascii="Arial" w:hAnsi="Arial" w:cs="Arial"/>
          <w:sz w:val="20"/>
          <w:szCs w:val="24"/>
        </w:rPr>
        <w:t xml:space="preserve"> </w:t>
      </w:r>
      <w:r w:rsidR="00C85E12">
        <w:rPr>
          <w:rFonts w:ascii="Arial" w:hAnsi="Arial" w:cs="Arial"/>
          <w:i/>
          <w:sz w:val="20"/>
          <w:szCs w:val="24"/>
        </w:rPr>
        <w:t>The</w:t>
      </w:r>
      <w:r w:rsidR="00B568C2" w:rsidRPr="00B568C2">
        <w:rPr>
          <w:rFonts w:ascii="Arial" w:hAnsi="Arial" w:cs="Arial"/>
          <w:i/>
          <w:sz w:val="20"/>
          <w:szCs w:val="24"/>
        </w:rPr>
        <w:t xml:space="preserve"> Times of William I,</w:t>
      </w:r>
      <w:r w:rsidR="00B568C2" w:rsidRPr="00B568C2">
        <w:rPr>
          <w:rFonts w:ascii="Arial" w:hAnsi="Arial" w:cs="Arial"/>
          <w:sz w:val="20"/>
          <w:szCs w:val="24"/>
        </w:rPr>
        <w:t xml:space="preserve"> (London: Book Club Associates, 1973)</w:t>
      </w:r>
      <w:r w:rsidR="00B568C2">
        <w:rPr>
          <w:rFonts w:ascii="Arial" w:hAnsi="Arial" w:cs="Arial"/>
          <w:sz w:val="20"/>
          <w:szCs w:val="24"/>
        </w:rPr>
        <w:t>, (p. 217)</w:t>
      </w:r>
    </w:p>
  </w:footnote>
  <w:footnote w:id="5">
    <w:p w:rsidR="00F5267F" w:rsidRPr="00D03487" w:rsidRDefault="00F5267F" w:rsidP="00D03487">
      <w:pPr>
        <w:rPr>
          <w:rFonts w:ascii="Arial" w:hAnsi="Arial" w:cs="Arial"/>
          <w:sz w:val="24"/>
          <w:szCs w:val="24"/>
        </w:rPr>
      </w:pPr>
      <w:r>
        <w:rPr>
          <w:rStyle w:val="FootnoteReference"/>
        </w:rPr>
        <w:footnoteRef/>
      </w:r>
      <w:r>
        <w:t xml:space="preserve"> </w:t>
      </w:r>
      <w:r w:rsidR="00D03487" w:rsidRPr="00B568C2">
        <w:rPr>
          <w:rFonts w:ascii="Arial" w:hAnsi="Arial" w:cs="Arial"/>
          <w:sz w:val="20"/>
          <w:szCs w:val="24"/>
        </w:rPr>
        <w:t xml:space="preserve">Ashley, </w:t>
      </w:r>
      <w:r w:rsidR="00D03487" w:rsidRPr="00B568C2">
        <w:rPr>
          <w:rFonts w:ascii="Arial" w:hAnsi="Arial" w:cs="Arial"/>
          <w:i/>
          <w:sz w:val="20"/>
          <w:szCs w:val="24"/>
        </w:rPr>
        <w:t>The Life and Times of William I,</w:t>
      </w:r>
      <w:r w:rsidR="00D03487" w:rsidRPr="00B568C2">
        <w:rPr>
          <w:rFonts w:ascii="Arial" w:hAnsi="Arial" w:cs="Arial"/>
          <w:sz w:val="20"/>
          <w:szCs w:val="24"/>
        </w:rPr>
        <w:t xml:space="preserve"> </w:t>
      </w:r>
      <w:r w:rsidR="00D03487">
        <w:rPr>
          <w:rFonts w:ascii="Arial" w:hAnsi="Arial" w:cs="Arial"/>
          <w:sz w:val="20"/>
          <w:szCs w:val="24"/>
        </w:rPr>
        <w:t>(pp. 86-88)</w:t>
      </w:r>
    </w:p>
  </w:footnote>
  <w:footnote w:id="6">
    <w:p w:rsidR="00686BF8" w:rsidRPr="00686BF8" w:rsidRDefault="00686BF8" w:rsidP="00686BF8">
      <w:pPr>
        <w:rPr>
          <w:rFonts w:ascii="Arial" w:hAnsi="Arial" w:cs="Arial"/>
          <w:sz w:val="24"/>
          <w:szCs w:val="24"/>
        </w:rPr>
      </w:pPr>
      <w:r>
        <w:rPr>
          <w:rStyle w:val="FootnoteReference"/>
        </w:rPr>
        <w:footnoteRef/>
      </w:r>
      <w:r>
        <w:t xml:space="preserve"> </w:t>
      </w:r>
      <w:r w:rsidR="00D03487">
        <w:rPr>
          <w:rFonts w:ascii="Arial" w:hAnsi="Arial" w:cs="Arial"/>
          <w:sz w:val="20"/>
        </w:rPr>
        <w:t>R.H.C.</w:t>
      </w:r>
      <w:r w:rsidRPr="00E510DB">
        <w:rPr>
          <w:rFonts w:ascii="Arial" w:hAnsi="Arial" w:cs="Arial"/>
          <w:sz w:val="20"/>
        </w:rPr>
        <w:t xml:space="preserve"> </w:t>
      </w:r>
      <w:r w:rsidRPr="00686BF8">
        <w:rPr>
          <w:rFonts w:ascii="Arial" w:hAnsi="Arial" w:cs="Arial"/>
          <w:sz w:val="20"/>
          <w:szCs w:val="24"/>
        </w:rPr>
        <w:t xml:space="preserve">Davis, </w:t>
      </w:r>
      <w:r w:rsidRPr="00686BF8">
        <w:rPr>
          <w:rFonts w:ascii="Arial" w:hAnsi="Arial" w:cs="Arial"/>
          <w:i/>
          <w:sz w:val="20"/>
          <w:szCs w:val="24"/>
        </w:rPr>
        <w:t>The Normans and their Myth</w:t>
      </w:r>
      <w:r w:rsidRPr="00686BF8">
        <w:rPr>
          <w:rFonts w:ascii="Arial" w:hAnsi="Arial" w:cs="Arial"/>
          <w:sz w:val="20"/>
          <w:szCs w:val="24"/>
        </w:rPr>
        <w:t>, (London, Thames and Hudson, 1976)</w:t>
      </w:r>
      <w:r>
        <w:rPr>
          <w:rFonts w:ascii="Arial" w:hAnsi="Arial" w:cs="Arial"/>
          <w:sz w:val="20"/>
          <w:szCs w:val="24"/>
        </w:rPr>
        <w:t>, (p. 79)</w:t>
      </w:r>
    </w:p>
  </w:footnote>
  <w:footnote w:id="7">
    <w:p w:rsidR="00686BF8" w:rsidRPr="00686BF8" w:rsidRDefault="00686BF8">
      <w:pPr>
        <w:pStyle w:val="FootnoteText"/>
        <w:rPr>
          <w:lang w:val="en-US"/>
        </w:rPr>
      </w:pPr>
      <w:r>
        <w:rPr>
          <w:rStyle w:val="FootnoteReference"/>
        </w:rPr>
        <w:footnoteRef/>
      </w:r>
      <w:r>
        <w:t xml:space="preserve"> </w:t>
      </w:r>
      <w:r w:rsidRPr="00686BF8">
        <w:rPr>
          <w:rFonts w:ascii="Arial" w:hAnsi="Arial" w:cs="Arial"/>
          <w:szCs w:val="24"/>
        </w:rPr>
        <w:t xml:space="preserve">Davis, </w:t>
      </w:r>
      <w:r w:rsidRPr="00686BF8">
        <w:rPr>
          <w:rFonts w:ascii="Arial" w:hAnsi="Arial" w:cs="Arial"/>
          <w:i/>
          <w:szCs w:val="24"/>
        </w:rPr>
        <w:t>The Normans and their Myth</w:t>
      </w:r>
      <w:r w:rsidRPr="00686BF8">
        <w:rPr>
          <w:rFonts w:ascii="Arial" w:hAnsi="Arial" w:cs="Arial"/>
          <w:szCs w:val="24"/>
        </w:rPr>
        <w:t>,</w:t>
      </w:r>
      <w:r>
        <w:rPr>
          <w:rFonts w:ascii="Arial" w:hAnsi="Arial" w:cs="Arial"/>
          <w:szCs w:val="24"/>
        </w:rPr>
        <w:t xml:space="preserve"> (p. 7)</w:t>
      </w:r>
    </w:p>
  </w:footnote>
  <w:footnote w:id="8">
    <w:p w:rsidR="00686BF8" w:rsidRPr="00686BF8" w:rsidRDefault="00686BF8">
      <w:pPr>
        <w:pStyle w:val="FootnoteText"/>
        <w:rPr>
          <w:lang w:val="en-US"/>
        </w:rPr>
      </w:pPr>
      <w:r>
        <w:rPr>
          <w:rStyle w:val="FootnoteReference"/>
        </w:rPr>
        <w:footnoteRef/>
      </w:r>
      <w:r>
        <w:t xml:space="preserve"> </w:t>
      </w:r>
      <w:r>
        <w:rPr>
          <w:i/>
        </w:rPr>
        <w:t xml:space="preserve">Ibid. </w:t>
      </w:r>
      <w:r>
        <w:t>(p. 7)</w:t>
      </w:r>
    </w:p>
  </w:footnote>
  <w:footnote w:id="9">
    <w:p w:rsidR="007F002F" w:rsidRPr="007F002F" w:rsidRDefault="007F002F">
      <w:pPr>
        <w:pStyle w:val="FootnoteText"/>
        <w:rPr>
          <w:lang w:val="en-US"/>
        </w:rPr>
      </w:pPr>
      <w:r>
        <w:rPr>
          <w:rStyle w:val="FootnoteReference"/>
        </w:rPr>
        <w:footnoteRef/>
      </w:r>
      <w:r>
        <w:t xml:space="preserve"> </w:t>
      </w:r>
      <w:r>
        <w:rPr>
          <w:rFonts w:ascii="Arial" w:hAnsi="Arial" w:cs="Arial"/>
          <w:szCs w:val="24"/>
        </w:rPr>
        <w:t>Sidnell,</w:t>
      </w:r>
      <w:r w:rsidRPr="00AC0989">
        <w:rPr>
          <w:rFonts w:ascii="Arial" w:hAnsi="Arial" w:cs="Arial"/>
          <w:szCs w:val="24"/>
        </w:rPr>
        <w:t xml:space="preserve"> </w:t>
      </w:r>
      <w:r w:rsidRPr="00AC0989">
        <w:rPr>
          <w:rFonts w:ascii="Arial" w:hAnsi="Arial" w:cs="Arial"/>
          <w:i/>
          <w:szCs w:val="24"/>
        </w:rPr>
        <w:t>Warhorse: Cavalry in Ancient Warfare,</w:t>
      </w:r>
      <w:r>
        <w:rPr>
          <w:rFonts w:ascii="Arial" w:hAnsi="Arial" w:cs="Arial"/>
          <w:i/>
          <w:szCs w:val="24"/>
        </w:rPr>
        <w:t xml:space="preserve"> </w:t>
      </w:r>
      <w:r>
        <w:rPr>
          <w:rFonts w:ascii="Arial" w:hAnsi="Arial" w:cs="Arial"/>
          <w:szCs w:val="24"/>
        </w:rPr>
        <w:t>(p. 1)</w:t>
      </w:r>
    </w:p>
  </w:footnote>
  <w:footnote w:id="10">
    <w:p w:rsidR="00A06EF0" w:rsidRPr="00A06EF0" w:rsidRDefault="00A06EF0">
      <w:pPr>
        <w:pStyle w:val="FootnoteText"/>
        <w:rPr>
          <w:lang w:val="en-US"/>
        </w:rPr>
      </w:pPr>
      <w:r>
        <w:rPr>
          <w:rStyle w:val="FootnoteReference"/>
        </w:rPr>
        <w:footnoteRef/>
      </w:r>
      <w:r>
        <w:t xml:space="preserve"> </w:t>
      </w:r>
      <w:r w:rsidR="003F6CB5">
        <w:rPr>
          <w:rFonts w:ascii="Arial" w:hAnsi="Arial" w:cs="Arial"/>
          <w:szCs w:val="24"/>
        </w:rPr>
        <w:t>Rupert Matthews, ‘Conquests of Alexander’</w:t>
      </w:r>
      <w:r w:rsidR="00A62C52">
        <w:rPr>
          <w:rFonts w:ascii="Arial" w:hAnsi="Arial" w:cs="Arial"/>
          <w:szCs w:val="24"/>
        </w:rPr>
        <w:t xml:space="preserve">, </w:t>
      </w:r>
      <w:r w:rsidR="003F6CB5">
        <w:rPr>
          <w:rFonts w:ascii="Arial" w:hAnsi="Arial" w:cs="Arial"/>
          <w:i/>
          <w:szCs w:val="24"/>
        </w:rPr>
        <w:t>1</w:t>
      </w:r>
      <w:r w:rsidR="003F6CB5" w:rsidRPr="003A0E34">
        <w:rPr>
          <w:rFonts w:ascii="Arial" w:hAnsi="Arial" w:cs="Arial"/>
          <w:i/>
          <w:szCs w:val="24"/>
        </w:rPr>
        <w:t>001 Battles that changed the course of History,</w:t>
      </w:r>
      <w:r w:rsidR="003F6CB5" w:rsidRPr="003A0E34">
        <w:rPr>
          <w:rFonts w:ascii="Arial" w:hAnsi="Arial" w:cs="Arial"/>
          <w:szCs w:val="24"/>
        </w:rPr>
        <w:t xml:space="preserve"> ed. R. G. Grant, (London: Cassel Illustrated, 2017), pp.</w:t>
      </w:r>
      <w:r w:rsidR="003F6CB5">
        <w:rPr>
          <w:rFonts w:ascii="Arial" w:hAnsi="Arial" w:cs="Arial"/>
          <w:szCs w:val="24"/>
        </w:rPr>
        <w:t xml:space="preserve"> 45-49, (pp. 45-4</w:t>
      </w:r>
      <w:r w:rsidR="001236F0">
        <w:rPr>
          <w:rFonts w:ascii="Arial" w:hAnsi="Arial" w:cs="Arial"/>
          <w:szCs w:val="24"/>
        </w:rPr>
        <w:t>7, 49)</w:t>
      </w:r>
    </w:p>
  </w:footnote>
  <w:footnote w:id="11">
    <w:p w:rsidR="003A0E34" w:rsidRPr="003A0E34" w:rsidRDefault="003A0E34" w:rsidP="003A0E34">
      <w:pPr>
        <w:rPr>
          <w:rFonts w:ascii="Arial" w:hAnsi="Arial" w:cs="Arial"/>
          <w:sz w:val="24"/>
          <w:szCs w:val="24"/>
        </w:rPr>
      </w:pPr>
      <w:r>
        <w:rPr>
          <w:rStyle w:val="FootnoteReference"/>
        </w:rPr>
        <w:footnoteRef/>
      </w:r>
      <w:r>
        <w:t xml:space="preserve"> </w:t>
      </w:r>
      <w:r w:rsidR="00F85035">
        <w:t xml:space="preserve">Rupert </w:t>
      </w:r>
      <w:r w:rsidRPr="003A0E34">
        <w:rPr>
          <w:rFonts w:ascii="Arial" w:hAnsi="Arial" w:cs="Arial"/>
          <w:sz w:val="20"/>
          <w:szCs w:val="24"/>
        </w:rPr>
        <w:t xml:space="preserve">Matthews, ‘Cannae’, </w:t>
      </w:r>
      <w:r w:rsidRPr="003A0E34">
        <w:rPr>
          <w:rFonts w:ascii="Arial" w:hAnsi="Arial" w:cs="Arial"/>
          <w:i/>
          <w:sz w:val="20"/>
          <w:szCs w:val="24"/>
        </w:rPr>
        <w:t>1001 Battles that changed the course of History,</w:t>
      </w:r>
      <w:r w:rsidR="003D260B">
        <w:rPr>
          <w:rFonts w:ascii="Arial" w:hAnsi="Arial" w:cs="Arial"/>
          <w:sz w:val="20"/>
          <w:szCs w:val="24"/>
        </w:rPr>
        <w:t xml:space="preserve"> ed. R. G. Grant</w:t>
      </w:r>
      <w:r w:rsidRPr="003A0E34">
        <w:rPr>
          <w:rFonts w:ascii="Arial" w:hAnsi="Arial" w:cs="Arial"/>
          <w:sz w:val="20"/>
          <w:szCs w:val="24"/>
        </w:rPr>
        <w:t>, pp. 60-61</w:t>
      </w:r>
      <w:r>
        <w:rPr>
          <w:rFonts w:ascii="Arial" w:hAnsi="Arial" w:cs="Arial"/>
          <w:sz w:val="20"/>
          <w:szCs w:val="24"/>
        </w:rPr>
        <w:t>, (p, 60)</w:t>
      </w:r>
    </w:p>
  </w:footnote>
  <w:footnote w:id="12">
    <w:p w:rsidR="00233F37" w:rsidRPr="00233F37" w:rsidRDefault="00233F37">
      <w:pPr>
        <w:pStyle w:val="FootnoteText"/>
        <w:rPr>
          <w:lang w:val="en-US"/>
        </w:rPr>
      </w:pPr>
      <w:r>
        <w:rPr>
          <w:rStyle w:val="FootnoteReference"/>
        </w:rPr>
        <w:footnoteRef/>
      </w:r>
      <w:r>
        <w:t xml:space="preserve"> </w:t>
      </w:r>
      <w:r>
        <w:rPr>
          <w:rFonts w:ascii="Arial" w:hAnsi="Arial" w:cs="Arial"/>
          <w:szCs w:val="24"/>
        </w:rPr>
        <w:t>Sidnell,</w:t>
      </w:r>
      <w:r w:rsidRPr="00AC0989">
        <w:rPr>
          <w:rFonts w:ascii="Arial" w:hAnsi="Arial" w:cs="Arial"/>
          <w:szCs w:val="24"/>
        </w:rPr>
        <w:t xml:space="preserve"> </w:t>
      </w:r>
      <w:r w:rsidRPr="00AC0989">
        <w:rPr>
          <w:rFonts w:ascii="Arial" w:hAnsi="Arial" w:cs="Arial"/>
          <w:i/>
          <w:szCs w:val="24"/>
        </w:rPr>
        <w:t>Warhorse: Cavalry in Ancient Warfare,</w:t>
      </w:r>
      <w:r>
        <w:rPr>
          <w:rFonts w:ascii="Arial" w:hAnsi="Arial" w:cs="Arial"/>
          <w:i/>
          <w:szCs w:val="24"/>
        </w:rPr>
        <w:t xml:space="preserve"> </w:t>
      </w:r>
      <w:r>
        <w:rPr>
          <w:rFonts w:ascii="Arial" w:hAnsi="Arial" w:cs="Arial"/>
          <w:szCs w:val="24"/>
        </w:rPr>
        <w:t>(p. 303)</w:t>
      </w:r>
    </w:p>
  </w:footnote>
  <w:footnote w:id="13">
    <w:p w:rsidR="000A7DD6" w:rsidRPr="000A7DD6" w:rsidRDefault="000A7DD6" w:rsidP="000A7DD6">
      <w:pPr>
        <w:rPr>
          <w:rFonts w:ascii="Arial" w:hAnsi="Arial" w:cs="Arial"/>
          <w:sz w:val="24"/>
          <w:szCs w:val="24"/>
        </w:rPr>
      </w:pPr>
      <w:r>
        <w:rPr>
          <w:rStyle w:val="FootnoteReference"/>
        </w:rPr>
        <w:footnoteRef/>
      </w:r>
      <w:r>
        <w:t xml:space="preserve"> </w:t>
      </w:r>
      <w:r w:rsidR="00F85035">
        <w:t xml:space="preserve">Ann </w:t>
      </w:r>
      <w:r w:rsidR="00F85035">
        <w:rPr>
          <w:rFonts w:ascii="Arial" w:hAnsi="Arial" w:cs="Arial"/>
          <w:sz w:val="20"/>
          <w:szCs w:val="24"/>
        </w:rPr>
        <w:t>Hyland,</w:t>
      </w:r>
      <w:r w:rsidRPr="000A7DD6">
        <w:rPr>
          <w:rFonts w:ascii="Arial" w:hAnsi="Arial" w:cs="Arial"/>
          <w:sz w:val="20"/>
          <w:szCs w:val="24"/>
        </w:rPr>
        <w:t xml:space="preserve"> </w:t>
      </w:r>
      <w:r w:rsidRPr="000A7DD6">
        <w:rPr>
          <w:rFonts w:ascii="Arial" w:hAnsi="Arial" w:cs="Arial"/>
          <w:i/>
          <w:sz w:val="20"/>
          <w:szCs w:val="24"/>
        </w:rPr>
        <w:t>The Medieval Warhorse: From Byzantium to the Crusades</w:t>
      </w:r>
      <w:r w:rsidRPr="000A7DD6">
        <w:rPr>
          <w:rFonts w:ascii="Arial" w:hAnsi="Arial" w:cs="Arial"/>
          <w:sz w:val="20"/>
          <w:szCs w:val="24"/>
        </w:rPr>
        <w:t>, (Stroud: Alan Sutton Publishing Limited, 1994)</w:t>
      </w:r>
      <w:r>
        <w:rPr>
          <w:rFonts w:ascii="Arial" w:hAnsi="Arial" w:cs="Arial"/>
          <w:sz w:val="20"/>
          <w:szCs w:val="24"/>
        </w:rPr>
        <w:t>, (p. 91)</w:t>
      </w:r>
    </w:p>
  </w:footnote>
  <w:footnote w:id="14">
    <w:p w:rsidR="009756F4" w:rsidRPr="003F6CB5" w:rsidRDefault="009756F4" w:rsidP="003F6CB5">
      <w:pPr>
        <w:rPr>
          <w:rFonts w:ascii="Arial" w:hAnsi="Arial" w:cs="Arial"/>
          <w:sz w:val="24"/>
          <w:szCs w:val="24"/>
        </w:rPr>
      </w:pPr>
      <w:r>
        <w:rPr>
          <w:rStyle w:val="FootnoteReference"/>
        </w:rPr>
        <w:footnoteRef/>
      </w:r>
      <w:r>
        <w:t xml:space="preserve"> </w:t>
      </w:r>
      <w:r w:rsidR="003F6CB5">
        <w:t xml:space="preserve">Lynn White Jr., </w:t>
      </w:r>
      <w:r w:rsidR="003F6CB5">
        <w:rPr>
          <w:i/>
        </w:rPr>
        <w:t>Medieval Technology and Social Change,</w:t>
      </w:r>
      <w:r w:rsidR="003F6CB5">
        <w:t xml:space="preserve"> in </w:t>
      </w:r>
      <w:r w:rsidR="003F6CB5">
        <w:t xml:space="preserve">Phillip </w:t>
      </w:r>
      <w:r w:rsidR="003F6CB5">
        <w:rPr>
          <w:rFonts w:ascii="Arial" w:hAnsi="Arial" w:cs="Arial"/>
          <w:sz w:val="20"/>
          <w:szCs w:val="24"/>
        </w:rPr>
        <w:t>Sidnell,</w:t>
      </w:r>
      <w:r w:rsidR="003F6CB5" w:rsidRPr="00AC0989">
        <w:rPr>
          <w:rFonts w:ascii="Arial" w:hAnsi="Arial" w:cs="Arial"/>
          <w:sz w:val="20"/>
          <w:szCs w:val="24"/>
        </w:rPr>
        <w:t xml:space="preserve"> </w:t>
      </w:r>
      <w:r w:rsidR="003F6CB5" w:rsidRPr="00AC0989">
        <w:rPr>
          <w:rFonts w:ascii="Arial" w:hAnsi="Arial" w:cs="Arial"/>
          <w:i/>
          <w:sz w:val="20"/>
          <w:szCs w:val="24"/>
        </w:rPr>
        <w:t>Warhorse: Cavalry in Ancient Warfare,</w:t>
      </w:r>
      <w:r w:rsidR="003F6CB5" w:rsidRPr="00AC0989">
        <w:rPr>
          <w:rFonts w:ascii="Arial" w:hAnsi="Arial" w:cs="Arial"/>
          <w:sz w:val="20"/>
          <w:szCs w:val="24"/>
        </w:rPr>
        <w:t xml:space="preserve"> (London: Hambledon Continuum, 2006)</w:t>
      </w:r>
      <w:r w:rsidR="003F6CB5">
        <w:rPr>
          <w:rFonts w:ascii="Arial" w:hAnsi="Arial" w:cs="Arial"/>
          <w:sz w:val="20"/>
          <w:szCs w:val="24"/>
        </w:rPr>
        <w:t>, (p. 30</w:t>
      </w:r>
      <w:r w:rsidR="003F6CB5">
        <w:rPr>
          <w:rFonts w:ascii="Arial" w:hAnsi="Arial" w:cs="Arial"/>
          <w:sz w:val="20"/>
          <w:szCs w:val="24"/>
        </w:rPr>
        <w:t>3)</w:t>
      </w:r>
    </w:p>
  </w:footnote>
  <w:footnote w:id="15">
    <w:p w:rsidR="008541DF" w:rsidRPr="008541DF" w:rsidRDefault="008541DF">
      <w:pPr>
        <w:pStyle w:val="FootnoteText"/>
        <w:rPr>
          <w:lang w:val="en-US"/>
        </w:rPr>
      </w:pPr>
      <w:r>
        <w:rPr>
          <w:rStyle w:val="FootnoteReference"/>
        </w:rPr>
        <w:footnoteRef/>
      </w:r>
      <w:r>
        <w:t xml:space="preserve"> </w:t>
      </w:r>
      <w:r>
        <w:rPr>
          <w:rFonts w:ascii="Arial" w:hAnsi="Arial" w:cs="Arial"/>
          <w:szCs w:val="24"/>
        </w:rPr>
        <w:t>Sidnell,</w:t>
      </w:r>
      <w:r w:rsidRPr="00AC0989">
        <w:rPr>
          <w:rFonts w:ascii="Arial" w:hAnsi="Arial" w:cs="Arial"/>
          <w:szCs w:val="24"/>
        </w:rPr>
        <w:t xml:space="preserve"> </w:t>
      </w:r>
      <w:r w:rsidRPr="00AC0989">
        <w:rPr>
          <w:rFonts w:ascii="Arial" w:hAnsi="Arial" w:cs="Arial"/>
          <w:i/>
          <w:szCs w:val="24"/>
        </w:rPr>
        <w:t>Warhorse: Cavalry in Ancient Warfare,</w:t>
      </w:r>
    </w:p>
  </w:footnote>
  <w:footnote w:id="16">
    <w:p w:rsidR="00C010C7" w:rsidRPr="00C010C7" w:rsidRDefault="00C010C7">
      <w:pPr>
        <w:pStyle w:val="FootnoteText"/>
        <w:rPr>
          <w:lang w:val="en-US"/>
        </w:rPr>
      </w:pPr>
      <w:r>
        <w:rPr>
          <w:rStyle w:val="FootnoteReference"/>
        </w:rPr>
        <w:footnoteRef/>
      </w:r>
      <w:r>
        <w:t xml:space="preserve"> </w:t>
      </w:r>
      <w:r>
        <w:rPr>
          <w:i/>
          <w:lang w:val="en-US"/>
        </w:rPr>
        <w:t xml:space="preserve">Ibid. </w:t>
      </w:r>
      <w:r>
        <w:rPr>
          <w:lang w:val="en-US"/>
        </w:rPr>
        <w:t>(p. 330)</w:t>
      </w:r>
    </w:p>
  </w:footnote>
  <w:footnote w:id="17">
    <w:p w:rsidR="006D3E4E" w:rsidRPr="006D3E4E" w:rsidRDefault="006D3E4E">
      <w:pPr>
        <w:pStyle w:val="FootnoteText"/>
        <w:rPr>
          <w:lang w:val="en-US"/>
        </w:rPr>
      </w:pPr>
      <w:r>
        <w:rPr>
          <w:rStyle w:val="FootnoteReference"/>
        </w:rPr>
        <w:footnoteRef/>
      </w:r>
      <w:r>
        <w:t xml:space="preserve"> </w:t>
      </w:r>
      <w:r>
        <w:rPr>
          <w:i/>
          <w:lang w:val="en-US"/>
        </w:rPr>
        <w:t>Ibid.</w:t>
      </w:r>
      <w:r>
        <w:rPr>
          <w:lang w:val="en-US"/>
        </w:rPr>
        <w:t xml:space="preserve"> (p. 327)</w:t>
      </w:r>
    </w:p>
  </w:footnote>
  <w:footnote w:id="18">
    <w:p w:rsidR="006D3E4E" w:rsidRPr="006D3E4E" w:rsidRDefault="006D3E4E" w:rsidP="006D3E4E">
      <w:pPr>
        <w:rPr>
          <w:rFonts w:ascii="Arial" w:hAnsi="Arial" w:cs="Arial"/>
          <w:sz w:val="24"/>
          <w:szCs w:val="24"/>
        </w:rPr>
      </w:pPr>
      <w:r>
        <w:rPr>
          <w:rStyle w:val="FootnoteReference"/>
        </w:rPr>
        <w:footnoteRef/>
      </w:r>
      <w:r>
        <w:t xml:space="preserve"> </w:t>
      </w:r>
      <w:r>
        <w:t xml:space="preserve">Rupert </w:t>
      </w:r>
      <w:r w:rsidRPr="003A0E34">
        <w:rPr>
          <w:rFonts w:ascii="Arial" w:hAnsi="Arial" w:cs="Arial"/>
          <w:sz w:val="20"/>
          <w:szCs w:val="24"/>
        </w:rPr>
        <w:t xml:space="preserve">Matthews, </w:t>
      </w:r>
      <w:r>
        <w:rPr>
          <w:rFonts w:ascii="Arial" w:hAnsi="Arial" w:cs="Arial"/>
          <w:sz w:val="20"/>
          <w:szCs w:val="24"/>
        </w:rPr>
        <w:t>‘Civitate</w:t>
      </w:r>
      <w:r w:rsidRPr="003A0E34">
        <w:rPr>
          <w:rFonts w:ascii="Arial" w:hAnsi="Arial" w:cs="Arial"/>
          <w:sz w:val="20"/>
          <w:szCs w:val="24"/>
        </w:rPr>
        <w:t xml:space="preserve">’, </w:t>
      </w:r>
      <w:r w:rsidRPr="003A0E34">
        <w:rPr>
          <w:rFonts w:ascii="Arial" w:hAnsi="Arial" w:cs="Arial"/>
          <w:i/>
          <w:sz w:val="20"/>
          <w:szCs w:val="24"/>
        </w:rPr>
        <w:t>1001 Battles that changed the course of History,</w:t>
      </w:r>
      <w:r w:rsidRPr="003A0E34">
        <w:rPr>
          <w:rFonts w:ascii="Arial" w:hAnsi="Arial" w:cs="Arial"/>
          <w:sz w:val="20"/>
          <w:szCs w:val="24"/>
        </w:rPr>
        <w:t xml:space="preserve"> ed. R. G. Grant,</w:t>
      </w:r>
      <w:r>
        <w:rPr>
          <w:rFonts w:ascii="Arial" w:hAnsi="Arial" w:cs="Arial"/>
          <w:sz w:val="20"/>
          <w:szCs w:val="24"/>
        </w:rPr>
        <w:t xml:space="preserve"> p. 132</w:t>
      </w:r>
      <w:r>
        <w:rPr>
          <w:rFonts w:ascii="Arial" w:hAnsi="Arial" w:cs="Arial"/>
          <w:sz w:val="20"/>
          <w:szCs w:val="24"/>
        </w:rPr>
        <w:t>,</w:t>
      </w:r>
      <w:r w:rsidR="00287ADC">
        <w:rPr>
          <w:rFonts w:ascii="Arial" w:hAnsi="Arial" w:cs="Arial"/>
          <w:sz w:val="20"/>
          <w:szCs w:val="24"/>
        </w:rPr>
        <w:t xml:space="preserve"> </w:t>
      </w:r>
      <w:r>
        <w:rPr>
          <w:rFonts w:ascii="Arial" w:hAnsi="Arial" w:cs="Arial"/>
          <w:sz w:val="20"/>
          <w:szCs w:val="24"/>
        </w:rPr>
        <w:t>(p. 132</w:t>
      </w:r>
      <w:r>
        <w:rPr>
          <w:rFonts w:ascii="Arial" w:hAnsi="Arial" w:cs="Arial"/>
          <w:sz w:val="20"/>
          <w:szCs w:val="24"/>
        </w:rPr>
        <w:t>)</w:t>
      </w:r>
    </w:p>
  </w:footnote>
  <w:footnote w:id="19">
    <w:p w:rsidR="00BD73B4" w:rsidRPr="00BD73B4" w:rsidRDefault="00BD73B4" w:rsidP="00BD73B4">
      <w:pPr>
        <w:rPr>
          <w:rFonts w:ascii="Arial" w:hAnsi="Arial" w:cs="Arial"/>
          <w:sz w:val="24"/>
          <w:szCs w:val="24"/>
        </w:rPr>
      </w:pPr>
      <w:r>
        <w:rPr>
          <w:rStyle w:val="FootnoteReference"/>
        </w:rPr>
        <w:footnoteRef/>
      </w:r>
      <w:r>
        <w:t xml:space="preserve">   </w:t>
      </w:r>
      <w:r w:rsidRPr="00BD73B4">
        <w:rPr>
          <w:rFonts w:ascii="Arial" w:hAnsi="Arial" w:cs="Arial"/>
          <w:i/>
          <w:sz w:val="20"/>
          <w:szCs w:val="24"/>
        </w:rPr>
        <w:t>The Concise Oxford Dictionary of Current English,</w:t>
      </w:r>
      <w:r w:rsidRPr="00BD73B4">
        <w:rPr>
          <w:rFonts w:ascii="Arial" w:hAnsi="Arial" w:cs="Arial"/>
          <w:sz w:val="20"/>
          <w:szCs w:val="24"/>
        </w:rPr>
        <w:t>8</w:t>
      </w:r>
      <w:r w:rsidRPr="00BD73B4">
        <w:rPr>
          <w:rFonts w:ascii="Arial" w:hAnsi="Arial" w:cs="Arial"/>
          <w:sz w:val="20"/>
          <w:szCs w:val="24"/>
          <w:vertAlign w:val="superscript"/>
        </w:rPr>
        <w:t>th</w:t>
      </w:r>
      <w:r w:rsidRPr="00BD73B4">
        <w:rPr>
          <w:rFonts w:ascii="Arial" w:hAnsi="Arial" w:cs="Arial"/>
          <w:sz w:val="20"/>
          <w:szCs w:val="24"/>
        </w:rPr>
        <w:t xml:space="preserve"> edn., ed. R. E. Allen, (Oxford: BCA, 1990)</w:t>
      </w:r>
      <w:r w:rsidRPr="00BD73B4">
        <w:rPr>
          <w:rFonts w:ascii="Arial" w:hAnsi="Arial" w:cs="Arial"/>
          <w:sz w:val="20"/>
          <w:szCs w:val="24"/>
        </w:rPr>
        <w:t>,</w:t>
      </w:r>
      <w:r w:rsidRPr="00BD73B4">
        <w:rPr>
          <w:rFonts w:ascii="Arial" w:hAnsi="Arial" w:cs="Arial"/>
          <w:sz w:val="18"/>
          <w:szCs w:val="24"/>
        </w:rPr>
        <w:t xml:space="preserve"> </w:t>
      </w:r>
      <w:r w:rsidRPr="00BD73B4">
        <w:rPr>
          <w:rFonts w:ascii="Arial" w:hAnsi="Arial" w:cs="Arial"/>
          <w:sz w:val="20"/>
          <w:lang w:val="en-US"/>
        </w:rPr>
        <w:t>(p. 432)</w:t>
      </w:r>
    </w:p>
  </w:footnote>
  <w:footnote w:id="20">
    <w:p w:rsidR="00E0616F" w:rsidRPr="00E0616F" w:rsidRDefault="00E0616F">
      <w:pPr>
        <w:pStyle w:val="FootnoteText"/>
        <w:rPr>
          <w:lang w:val="en-US"/>
        </w:rPr>
      </w:pPr>
      <w:r>
        <w:rPr>
          <w:rStyle w:val="FootnoteReference"/>
        </w:rPr>
        <w:footnoteRef/>
      </w:r>
      <w:r>
        <w:t xml:space="preserve"> </w:t>
      </w:r>
      <w:r w:rsidRPr="00686BF8">
        <w:rPr>
          <w:rFonts w:ascii="Arial" w:hAnsi="Arial" w:cs="Arial"/>
          <w:szCs w:val="24"/>
        </w:rPr>
        <w:t xml:space="preserve">Davis, </w:t>
      </w:r>
      <w:r w:rsidRPr="00686BF8">
        <w:rPr>
          <w:rFonts w:ascii="Arial" w:hAnsi="Arial" w:cs="Arial"/>
          <w:i/>
          <w:szCs w:val="24"/>
        </w:rPr>
        <w:t>The Normans and their Myth</w:t>
      </w:r>
      <w:r w:rsidRPr="00686BF8">
        <w:rPr>
          <w:rFonts w:ascii="Arial" w:hAnsi="Arial" w:cs="Arial"/>
          <w:szCs w:val="24"/>
        </w:rPr>
        <w:t>,</w:t>
      </w:r>
      <w:r>
        <w:rPr>
          <w:rFonts w:ascii="Arial" w:hAnsi="Arial" w:cs="Arial"/>
          <w:szCs w:val="24"/>
        </w:rPr>
        <w:t xml:space="preserve"> (p. </w:t>
      </w:r>
      <w:r>
        <w:rPr>
          <w:rFonts w:ascii="Arial" w:hAnsi="Arial" w:cs="Arial"/>
          <w:szCs w:val="24"/>
        </w:rPr>
        <w:t>10</w:t>
      </w:r>
      <w:r>
        <w:rPr>
          <w:rFonts w:ascii="Arial" w:hAnsi="Arial" w:cs="Arial"/>
          <w:szCs w:val="24"/>
        </w:rPr>
        <w:t>7)</w:t>
      </w:r>
    </w:p>
  </w:footnote>
  <w:footnote w:id="21">
    <w:p w:rsidR="00FC17AF" w:rsidRPr="00FC17AF" w:rsidRDefault="00FC17AF">
      <w:pPr>
        <w:pStyle w:val="FootnoteText"/>
        <w:rPr>
          <w:lang w:val="en-US"/>
        </w:rPr>
      </w:pPr>
      <w:r>
        <w:rPr>
          <w:rStyle w:val="FootnoteReference"/>
        </w:rPr>
        <w:footnoteRef/>
      </w:r>
      <w:r>
        <w:t xml:space="preserve"> </w:t>
      </w:r>
      <w:r>
        <w:rPr>
          <w:i/>
          <w:lang w:val="en-US"/>
        </w:rPr>
        <w:t xml:space="preserve">Ibid. </w:t>
      </w:r>
      <w:r>
        <w:rPr>
          <w:lang w:val="en-US"/>
        </w:rPr>
        <w:t>(p. 107)</w:t>
      </w:r>
    </w:p>
  </w:footnote>
  <w:footnote w:id="22">
    <w:p w:rsidR="00543799" w:rsidRPr="00543799" w:rsidRDefault="00543799">
      <w:pPr>
        <w:pStyle w:val="FootnoteText"/>
        <w:rPr>
          <w:lang w:val="en-US"/>
        </w:rPr>
      </w:pPr>
      <w:r>
        <w:rPr>
          <w:rStyle w:val="FootnoteReference"/>
        </w:rPr>
        <w:footnoteRef/>
      </w:r>
      <w:r>
        <w:t xml:space="preserve"> </w:t>
      </w:r>
      <w:r>
        <w:rPr>
          <w:i/>
          <w:lang w:val="en-US"/>
        </w:rPr>
        <w:t xml:space="preserve">Ibid. </w:t>
      </w:r>
      <w:r>
        <w:rPr>
          <w:lang w:val="en-US"/>
        </w:rPr>
        <w:t>(p. 110)</w:t>
      </w:r>
    </w:p>
  </w:footnote>
  <w:footnote w:id="23">
    <w:p w:rsidR="00CB37AB" w:rsidRPr="00CB37AB" w:rsidRDefault="00CB37AB">
      <w:pPr>
        <w:pStyle w:val="FootnoteText"/>
        <w:rPr>
          <w:b/>
          <w:lang w:val="en-US"/>
        </w:rPr>
      </w:pPr>
      <w:r>
        <w:rPr>
          <w:rStyle w:val="FootnoteReference"/>
        </w:rPr>
        <w:footnoteRef/>
      </w:r>
      <w:r>
        <w:t xml:space="preserve"> </w:t>
      </w:r>
      <w:r w:rsidRPr="00686BF8">
        <w:rPr>
          <w:rFonts w:ascii="Arial" w:hAnsi="Arial" w:cs="Arial"/>
          <w:szCs w:val="24"/>
        </w:rPr>
        <w:t xml:space="preserve">Davis, </w:t>
      </w:r>
      <w:r w:rsidRPr="00686BF8">
        <w:rPr>
          <w:rFonts w:ascii="Arial" w:hAnsi="Arial" w:cs="Arial"/>
          <w:i/>
          <w:szCs w:val="24"/>
        </w:rPr>
        <w:t>The Normans and their Myth</w:t>
      </w:r>
      <w:r w:rsidRPr="00686BF8">
        <w:rPr>
          <w:rFonts w:ascii="Arial" w:hAnsi="Arial" w:cs="Arial"/>
          <w:szCs w:val="24"/>
        </w:rPr>
        <w:t>,</w:t>
      </w:r>
      <w:r>
        <w:rPr>
          <w:rFonts w:ascii="Arial" w:hAnsi="Arial" w:cs="Arial"/>
          <w:szCs w:val="24"/>
        </w:rPr>
        <w:t xml:space="preserve"> (p. 82)</w:t>
      </w:r>
    </w:p>
  </w:footnote>
  <w:footnote w:id="24">
    <w:p w:rsidR="008A311B" w:rsidRPr="008A311B" w:rsidRDefault="008A311B" w:rsidP="008A311B">
      <w:pPr>
        <w:rPr>
          <w:rFonts w:ascii="Arial" w:hAnsi="Arial" w:cs="Arial"/>
          <w:sz w:val="24"/>
          <w:szCs w:val="24"/>
        </w:rPr>
      </w:pPr>
      <w:r>
        <w:rPr>
          <w:rStyle w:val="FootnoteReference"/>
        </w:rPr>
        <w:footnoteRef/>
      </w:r>
      <w:r>
        <w:t xml:space="preserve"> </w:t>
      </w:r>
      <w:r w:rsidRPr="00254D11">
        <w:rPr>
          <w:rFonts w:ascii="Arial" w:hAnsi="Arial" w:cs="Arial"/>
          <w:sz w:val="20"/>
          <w:szCs w:val="20"/>
        </w:rPr>
        <w:t xml:space="preserve">The Editors of Encyclopaedia Britannica, ‘Dudo of Saint-Quentin’, from: </w:t>
      </w:r>
      <w:hyperlink r:id="rId1" w:history="1">
        <w:r w:rsidRPr="00254D11">
          <w:rPr>
            <w:rStyle w:val="Hyperlink"/>
            <w:rFonts w:ascii="Arial" w:hAnsi="Arial" w:cs="Arial"/>
            <w:sz w:val="20"/>
            <w:szCs w:val="20"/>
          </w:rPr>
          <w:t>https://www.britannica.com/biography/Dudo-of-Saint-Quentin</w:t>
        </w:r>
      </w:hyperlink>
      <w:r>
        <w:rPr>
          <w:rFonts w:ascii="Arial" w:hAnsi="Arial" w:cs="Arial"/>
          <w:sz w:val="20"/>
          <w:szCs w:val="20"/>
        </w:rPr>
        <w:t>; [accessed 11</w:t>
      </w:r>
      <w:r w:rsidRPr="008A311B">
        <w:rPr>
          <w:rFonts w:ascii="Arial" w:hAnsi="Arial" w:cs="Arial"/>
          <w:sz w:val="20"/>
          <w:szCs w:val="20"/>
          <w:vertAlign w:val="superscript"/>
        </w:rPr>
        <w:t>th</w:t>
      </w:r>
      <w:r>
        <w:rPr>
          <w:rFonts w:ascii="Arial" w:hAnsi="Arial" w:cs="Arial"/>
          <w:sz w:val="20"/>
          <w:szCs w:val="20"/>
        </w:rPr>
        <w:t xml:space="preserve"> February</w:t>
      </w:r>
      <w:r w:rsidRPr="00254D11">
        <w:rPr>
          <w:rFonts w:ascii="Arial" w:hAnsi="Arial" w:cs="Arial"/>
          <w:sz w:val="20"/>
          <w:szCs w:val="20"/>
        </w:rPr>
        <w:t xml:space="preserve"> 2023]</w:t>
      </w:r>
    </w:p>
  </w:footnote>
  <w:footnote w:id="25">
    <w:p w:rsidR="00073B57" w:rsidRPr="00893050" w:rsidRDefault="00073B57" w:rsidP="00893050">
      <w:pPr>
        <w:rPr>
          <w:rFonts w:ascii="Arial" w:hAnsi="Arial" w:cs="Arial"/>
          <w:sz w:val="24"/>
          <w:szCs w:val="24"/>
        </w:rPr>
      </w:pPr>
      <w:r>
        <w:rPr>
          <w:rStyle w:val="FootnoteReference"/>
        </w:rPr>
        <w:footnoteRef/>
      </w:r>
      <w:r>
        <w:t xml:space="preserve"> </w:t>
      </w:r>
      <w:r w:rsidR="002D789C">
        <w:rPr>
          <w:rFonts w:ascii="Arial" w:hAnsi="Arial" w:cs="Arial"/>
          <w:sz w:val="20"/>
          <w:szCs w:val="24"/>
        </w:rPr>
        <w:t>Colin M</w:t>
      </w:r>
      <w:r w:rsidR="00893050" w:rsidRPr="007C7E6A">
        <w:rPr>
          <w:rFonts w:ascii="Arial" w:hAnsi="Arial" w:cs="Arial"/>
          <w:sz w:val="20"/>
          <w:szCs w:val="24"/>
        </w:rPr>
        <w:t xml:space="preserve">cEvedy </w:t>
      </w:r>
      <w:r w:rsidR="00893050" w:rsidRPr="007C7E6A">
        <w:rPr>
          <w:rFonts w:ascii="Arial" w:hAnsi="Arial" w:cs="Arial"/>
          <w:i/>
          <w:sz w:val="20"/>
          <w:szCs w:val="24"/>
        </w:rPr>
        <w:t>The New Penguin Atlas of Medieval History</w:t>
      </w:r>
      <w:r w:rsidR="00893050" w:rsidRPr="007C7E6A">
        <w:rPr>
          <w:rFonts w:ascii="Arial" w:hAnsi="Arial" w:cs="Arial"/>
          <w:sz w:val="20"/>
          <w:szCs w:val="24"/>
        </w:rPr>
        <w:t>, (England, Penguin Books, 1992)</w:t>
      </w:r>
      <w:r w:rsidR="00893050">
        <w:rPr>
          <w:rFonts w:ascii="Arial" w:hAnsi="Arial" w:cs="Arial"/>
          <w:sz w:val="20"/>
          <w:szCs w:val="24"/>
        </w:rPr>
        <w:t>, (p. 48)</w:t>
      </w:r>
    </w:p>
  </w:footnote>
  <w:footnote w:id="26">
    <w:p w:rsidR="00073B57" w:rsidRPr="00073B57" w:rsidRDefault="00073B57">
      <w:pPr>
        <w:pStyle w:val="FootnoteText"/>
        <w:rPr>
          <w:lang w:val="en-US"/>
        </w:rPr>
      </w:pPr>
      <w:r>
        <w:rPr>
          <w:rStyle w:val="FootnoteReference"/>
        </w:rPr>
        <w:footnoteRef/>
      </w:r>
      <w:r>
        <w:t xml:space="preserve"> </w:t>
      </w:r>
      <w:r w:rsidRPr="00B568C2">
        <w:rPr>
          <w:rFonts w:ascii="Arial" w:hAnsi="Arial" w:cs="Arial"/>
          <w:szCs w:val="24"/>
        </w:rPr>
        <w:t xml:space="preserve">Ashley, </w:t>
      </w:r>
      <w:r w:rsidRPr="00B568C2">
        <w:rPr>
          <w:rFonts w:ascii="Arial" w:hAnsi="Arial" w:cs="Arial"/>
          <w:i/>
          <w:szCs w:val="24"/>
        </w:rPr>
        <w:t>The Life and Times of William I,</w:t>
      </w:r>
      <w:r w:rsidRPr="00B568C2">
        <w:rPr>
          <w:rFonts w:ascii="Arial" w:hAnsi="Arial" w:cs="Arial"/>
          <w:szCs w:val="24"/>
        </w:rPr>
        <w:t xml:space="preserve"> </w:t>
      </w:r>
      <w:r>
        <w:rPr>
          <w:rFonts w:ascii="Arial" w:hAnsi="Arial" w:cs="Arial"/>
          <w:szCs w:val="24"/>
        </w:rPr>
        <w:t>(p</w:t>
      </w:r>
      <w:r>
        <w:rPr>
          <w:rFonts w:ascii="Arial" w:hAnsi="Arial" w:cs="Arial"/>
          <w:szCs w:val="24"/>
        </w:rPr>
        <w:t>. 52)</w:t>
      </w:r>
    </w:p>
  </w:footnote>
  <w:footnote w:id="27">
    <w:p w:rsidR="00432B55" w:rsidRPr="00432B55" w:rsidRDefault="00432B55" w:rsidP="00432B55">
      <w:pPr>
        <w:rPr>
          <w:rFonts w:ascii="Arial" w:hAnsi="Arial" w:cs="Arial"/>
          <w:sz w:val="24"/>
          <w:szCs w:val="24"/>
        </w:rPr>
      </w:pPr>
      <w:r>
        <w:rPr>
          <w:rStyle w:val="FootnoteReference"/>
        </w:rPr>
        <w:footnoteRef/>
      </w:r>
      <w:r>
        <w:t xml:space="preserve"> </w:t>
      </w:r>
      <w:r>
        <w:rPr>
          <w:rFonts w:ascii="Arial" w:hAnsi="Arial" w:cs="Arial"/>
          <w:sz w:val="20"/>
          <w:szCs w:val="24"/>
        </w:rPr>
        <w:t>Ashley,</w:t>
      </w:r>
      <w:r w:rsidRPr="00B568C2">
        <w:rPr>
          <w:rFonts w:ascii="Arial" w:hAnsi="Arial" w:cs="Arial"/>
          <w:sz w:val="20"/>
          <w:szCs w:val="24"/>
        </w:rPr>
        <w:t xml:space="preserve"> </w:t>
      </w:r>
      <w:r w:rsidRPr="00B568C2">
        <w:rPr>
          <w:rFonts w:ascii="Arial" w:hAnsi="Arial" w:cs="Arial"/>
          <w:i/>
          <w:sz w:val="20"/>
          <w:szCs w:val="24"/>
        </w:rPr>
        <w:t>The Life and Times of William I,</w:t>
      </w:r>
      <w:r>
        <w:rPr>
          <w:rFonts w:ascii="Arial" w:hAnsi="Arial" w:cs="Arial"/>
          <w:sz w:val="20"/>
          <w:szCs w:val="24"/>
        </w:rPr>
        <w:t xml:space="preserve"> (p. 217)</w:t>
      </w:r>
    </w:p>
  </w:footnote>
  <w:footnote w:id="28">
    <w:p w:rsidR="00124B8F" w:rsidRPr="00124B8F" w:rsidRDefault="00124B8F">
      <w:pPr>
        <w:pStyle w:val="FootnoteText"/>
        <w:rPr>
          <w:lang w:val="en-US"/>
        </w:rPr>
      </w:pPr>
      <w:r>
        <w:rPr>
          <w:rStyle w:val="FootnoteReference"/>
        </w:rPr>
        <w:footnoteRef/>
      </w:r>
      <w:r>
        <w:t xml:space="preserve"> </w:t>
      </w:r>
      <w:r w:rsidR="00C551F7" w:rsidRPr="00686BF8">
        <w:rPr>
          <w:rFonts w:ascii="Arial" w:hAnsi="Arial" w:cs="Arial"/>
          <w:szCs w:val="24"/>
        </w:rPr>
        <w:t xml:space="preserve">Davis, </w:t>
      </w:r>
      <w:r w:rsidR="00C551F7" w:rsidRPr="00686BF8">
        <w:rPr>
          <w:rFonts w:ascii="Arial" w:hAnsi="Arial" w:cs="Arial"/>
          <w:i/>
          <w:szCs w:val="24"/>
        </w:rPr>
        <w:t>The Normans and their Myth</w:t>
      </w:r>
      <w:r w:rsidR="00C551F7" w:rsidRPr="00686BF8">
        <w:rPr>
          <w:rFonts w:ascii="Arial" w:hAnsi="Arial" w:cs="Arial"/>
          <w:szCs w:val="24"/>
        </w:rPr>
        <w:t>,</w:t>
      </w:r>
      <w:r w:rsidR="00C551F7">
        <w:rPr>
          <w:rFonts w:ascii="Arial" w:hAnsi="Arial" w:cs="Arial"/>
          <w:szCs w:val="24"/>
        </w:rPr>
        <w:t xml:space="preserve"> (p. 7</w:t>
      </w:r>
      <w:r w:rsidR="00C551F7">
        <w:rPr>
          <w:rFonts w:ascii="Arial" w:hAnsi="Arial" w:cs="Arial"/>
          <w:szCs w:val="24"/>
        </w:rPr>
        <w:t>)</w:t>
      </w:r>
    </w:p>
  </w:footnote>
  <w:footnote w:id="29">
    <w:p w:rsidR="00AE262A" w:rsidRPr="00AE262A" w:rsidRDefault="00AE262A" w:rsidP="00AE262A">
      <w:pPr>
        <w:rPr>
          <w:rFonts w:ascii="Arial" w:hAnsi="Arial" w:cs="Arial"/>
          <w:sz w:val="24"/>
          <w:szCs w:val="24"/>
        </w:rPr>
      </w:pPr>
      <w:r>
        <w:rPr>
          <w:rStyle w:val="FootnoteReference"/>
        </w:rPr>
        <w:footnoteRef/>
      </w:r>
      <w:r>
        <w:t xml:space="preserve"> </w:t>
      </w:r>
      <w:r>
        <w:t xml:space="preserve"> </w:t>
      </w:r>
      <w:r>
        <w:rPr>
          <w:rFonts w:ascii="Arial" w:hAnsi="Arial" w:cs="Arial"/>
          <w:sz w:val="20"/>
          <w:szCs w:val="24"/>
        </w:rPr>
        <w:t xml:space="preserve">Ashley, </w:t>
      </w:r>
      <w:r w:rsidRPr="00ED7B2F">
        <w:rPr>
          <w:rFonts w:ascii="Arial" w:hAnsi="Arial" w:cs="Arial"/>
          <w:i/>
          <w:sz w:val="20"/>
          <w:szCs w:val="24"/>
        </w:rPr>
        <w:t>The Life and Times of William I,</w:t>
      </w:r>
      <w:r w:rsidRPr="00ED7B2F">
        <w:rPr>
          <w:rFonts w:ascii="Arial" w:hAnsi="Arial" w:cs="Arial"/>
          <w:sz w:val="20"/>
          <w:szCs w:val="24"/>
        </w:rPr>
        <w:t xml:space="preserve"> </w:t>
      </w:r>
      <w:r>
        <w:rPr>
          <w:rFonts w:ascii="Arial" w:hAnsi="Arial" w:cs="Arial"/>
          <w:sz w:val="20"/>
          <w:szCs w:val="24"/>
        </w:rPr>
        <w:t>(p. 73)</w:t>
      </w:r>
    </w:p>
  </w:footnote>
  <w:footnote w:id="30">
    <w:p w:rsidR="00D14179" w:rsidRPr="00D14179" w:rsidRDefault="00D14179">
      <w:pPr>
        <w:pStyle w:val="FootnoteText"/>
        <w:rPr>
          <w:lang w:val="en-US"/>
        </w:rPr>
      </w:pPr>
      <w:r>
        <w:rPr>
          <w:rStyle w:val="FootnoteReference"/>
        </w:rPr>
        <w:footnoteRef/>
      </w:r>
      <w:r>
        <w:t xml:space="preserve"> </w:t>
      </w:r>
      <w:r w:rsidRPr="00516131">
        <w:rPr>
          <w:rFonts w:ascii="Arial" w:hAnsi="Arial" w:cs="Arial"/>
          <w:bCs/>
          <w:szCs w:val="32"/>
        </w:rPr>
        <w:t xml:space="preserve">‘Letter of Pope Leo IX to the Emperor Constantine Monomachos (1054)’, trans. W. L. North from  C. Will, </w:t>
      </w:r>
      <w:r w:rsidRPr="00516131">
        <w:rPr>
          <w:rFonts w:ascii="Arial" w:hAnsi="Arial" w:cs="Arial"/>
          <w:bCs/>
          <w:i/>
          <w:szCs w:val="32"/>
        </w:rPr>
        <w:t>Acta et Scripta Quae de Controversiis Ecclesiae Graecae et Latinae Saeculo Undecimo Composita Extant</w:t>
      </w:r>
      <w:r w:rsidRPr="00516131">
        <w:rPr>
          <w:rFonts w:ascii="Arial" w:hAnsi="Arial" w:cs="Arial"/>
          <w:bCs/>
          <w:szCs w:val="32"/>
        </w:rPr>
        <w:t>, Document III, pp. 85-89. (Leipzig &amp; Marburg, 1861)</w:t>
      </w:r>
      <w:r>
        <w:rPr>
          <w:rFonts w:ascii="Arial" w:hAnsi="Arial" w:cs="Arial"/>
          <w:bCs/>
          <w:szCs w:val="32"/>
        </w:rPr>
        <w:t>, (p. 2)</w:t>
      </w:r>
    </w:p>
  </w:footnote>
  <w:footnote w:id="31">
    <w:p w:rsidR="00D14179" w:rsidRPr="00D14179" w:rsidRDefault="00D14179">
      <w:pPr>
        <w:pStyle w:val="FootnoteText"/>
        <w:rPr>
          <w:lang w:val="en-US"/>
        </w:rPr>
      </w:pPr>
      <w:r>
        <w:rPr>
          <w:rStyle w:val="FootnoteReference"/>
        </w:rPr>
        <w:footnoteRef/>
      </w:r>
      <w:r>
        <w:t xml:space="preserve"> </w:t>
      </w:r>
      <w:r>
        <w:rPr>
          <w:i/>
          <w:lang w:val="en-US"/>
        </w:rPr>
        <w:t>Ibid</w:t>
      </w:r>
      <w:r>
        <w:rPr>
          <w:lang w:val="en-US"/>
        </w:rPr>
        <w:t>. (p. 2)</w:t>
      </w:r>
    </w:p>
  </w:footnote>
  <w:footnote w:id="32">
    <w:p w:rsidR="0057033C" w:rsidRPr="0057033C" w:rsidRDefault="0057033C">
      <w:pPr>
        <w:pStyle w:val="FootnoteText"/>
        <w:rPr>
          <w:lang w:val="en-US"/>
        </w:rPr>
      </w:pPr>
      <w:r>
        <w:rPr>
          <w:rStyle w:val="FootnoteReference"/>
        </w:rPr>
        <w:footnoteRef/>
      </w:r>
      <w:r>
        <w:t xml:space="preserve"> </w:t>
      </w:r>
      <w:r>
        <w:rPr>
          <w:rFonts w:ascii="Arial" w:hAnsi="Arial" w:cs="Arial"/>
          <w:szCs w:val="24"/>
        </w:rPr>
        <w:t>Sidnell,</w:t>
      </w:r>
      <w:r w:rsidRPr="00AC0989">
        <w:rPr>
          <w:rFonts w:ascii="Arial" w:hAnsi="Arial" w:cs="Arial"/>
          <w:szCs w:val="24"/>
        </w:rPr>
        <w:t xml:space="preserve"> </w:t>
      </w:r>
      <w:r w:rsidRPr="00AC0989">
        <w:rPr>
          <w:rFonts w:ascii="Arial" w:hAnsi="Arial" w:cs="Arial"/>
          <w:i/>
          <w:szCs w:val="24"/>
        </w:rPr>
        <w:t>Warhorse: Cavalry in Ancient Warfare,</w:t>
      </w:r>
      <w:r>
        <w:rPr>
          <w:rFonts w:ascii="Arial" w:hAnsi="Arial" w:cs="Arial"/>
          <w:i/>
          <w:szCs w:val="24"/>
        </w:rPr>
        <w:t xml:space="preserve"> </w:t>
      </w:r>
      <w:r>
        <w:rPr>
          <w:rFonts w:ascii="Arial" w:hAnsi="Arial" w:cs="Arial"/>
          <w:szCs w:val="24"/>
        </w:rPr>
        <w:t>(p. 322</w:t>
      </w:r>
      <w:r>
        <w:rPr>
          <w:rFonts w:ascii="Arial" w:hAnsi="Arial" w:cs="Arial"/>
          <w:szCs w:val="24"/>
        </w:rPr>
        <w:t>)</w:t>
      </w:r>
    </w:p>
  </w:footnote>
  <w:footnote w:id="33">
    <w:p w:rsidR="00FE211E" w:rsidRPr="00FE211E" w:rsidRDefault="00FE211E">
      <w:pPr>
        <w:pStyle w:val="FootnoteText"/>
        <w:rPr>
          <w:lang w:val="en-US"/>
        </w:rPr>
      </w:pPr>
      <w:r>
        <w:rPr>
          <w:rStyle w:val="FootnoteReference"/>
        </w:rPr>
        <w:footnoteRef/>
      </w:r>
      <w:r>
        <w:t xml:space="preserve"> </w:t>
      </w:r>
      <w:r>
        <w:rPr>
          <w:i/>
          <w:lang w:val="en-US"/>
        </w:rPr>
        <w:t>Ibid.</w:t>
      </w:r>
      <w:r>
        <w:rPr>
          <w:lang w:val="en-US"/>
        </w:rPr>
        <w:t xml:space="preserve"> (p. 322)</w:t>
      </w:r>
    </w:p>
  </w:footnote>
  <w:footnote w:id="34">
    <w:p w:rsidR="001A7A14" w:rsidRPr="001A7A14" w:rsidRDefault="001A7A14">
      <w:pPr>
        <w:pStyle w:val="FootnoteText"/>
        <w:rPr>
          <w:lang w:val="en-US"/>
        </w:rPr>
      </w:pPr>
      <w:r>
        <w:rPr>
          <w:rStyle w:val="FootnoteReference"/>
        </w:rPr>
        <w:footnoteRef/>
      </w:r>
      <w:r>
        <w:t xml:space="preserve"> </w:t>
      </w:r>
      <w:r w:rsidR="00735209" w:rsidRPr="00B568C2">
        <w:rPr>
          <w:rFonts w:ascii="Arial" w:hAnsi="Arial" w:cs="Arial"/>
          <w:szCs w:val="24"/>
        </w:rPr>
        <w:t xml:space="preserve">Ashley, </w:t>
      </w:r>
      <w:r w:rsidR="00735209" w:rsidRPr="00B568C2">
        <w:rPr>
          <w:rFonts w:ascii="Arial" w:hAnsi="Arial" w:cs="Arial"/>
          <w:i/>
          <w:szCs w:val="24"/>
        </w:rPr>
        <w:t>The Life and Times of William I,</w:t>
      </w:r>
      <w:r w:rsidR="00735209" w:rsidRPr="00B568C2">
        <w:rPr>
          <w:rFonts w:ascii="Arial" w:hAnsi="Arial" w:cs="Arial"/>
          <w:szCs w:val="24"/>
        </w:rPr>
        <w:t xml:space="preserve"> </w:t>
      </w:r>
      <w:r w:rsidR="00735209">
        <w:rPr>
          <w:rFonts w:ascii="Arial" w:hAnsi="Arial" w:cs="Arial"/>
          <w:szCs w:val="24"/>
        </w:rPr>
        <w:t>(p</w:t>
      </w:r>
      <w:r w:rsidR="00735209">
        <w:rPr>
          <w:rFonts w:ascii="Arial" w:hAnsi="Arial" w:cs="Arial"/>
          <w:szCs w:val="24"/>
        </w:rPr>
        <w:t>. 18</w:t>
      </w:r>
      <w:r w:rsidR="00735209">
        <w:rPr>
          <w:rFonts w:ascii="Arial" w:hAnsi="Arial" w:cs="Arial"/>
          <w:szCs w:val="24"/>
        </w:rPr>
        <w:t>)</w:t>
      </w:r>
    </w:p>
  </w:footnote>
  <w:footnote w:id="35">
    <w:p w:rsidR="008358AB" w:rsidRPr="008358AB" w:rsidRDefault="008358AB">
      <w:pPr>
        <w:pStyle w:val="FootnoteText"/>
        <w:rPr>
          <w:lang w:val="en-US"/>
        </w:rPr>
      </w:pPr>
      <w:r>
        <w:rPr>
          <w:rStyle w:val="FootnoteReference"/>
        </w:rPr>
        <w:footnoteRef/>
      </w:r>
      <w:r>
        <w:t xml:space="preserve"> </w:t>
      </w:r>
      <w:r w:rsidRPr="00686BF8">
        <w:rPr>
          <w:rFonts w:ascii="Arial" w:hAnsi="Arial" w:cs="Arial"/>
          <w:szCs w:val="24"/>
        </w:rPr>
        <w:t xml:space="preserve">Davis, </w:t>
      </w:r>
      <w:r w:rsidRPr="00686BF8">
        <w:rPr>
          <w:rFonts w:ascii="Arial" w:hAnsi="Arial" w:cs="Arial"/>
          <w:i/>
          <w:szCs w:val="24"/>
        </w:rPr>
        <w:t>The Normans and their Myth</w:t>
      </w:r>
      <w:r w:rsidRPr="00686BF8">
        <w:rPr>
          <w:rFonts w:ascii="Arial" w:hAnsi="Arial" w:cs="Arial"/>
          <w:szCs w:val="24"/>
        </w:rPr>
        <w:t>,</w:t>
      </w:r>
      <w:r>
        <w:rPr>
          <w:rFonts w:ascii="Arial" w:hAnsi="Arial" w:cs="Arial"/>
          <w:szCs w:val="24"/>
        </w:rPr>
        <w:t xml:space="preserve"> (p. 79)</w:t>
      </w:r>
    </w:p>
  </w:footnote>
  <w:footnote w:id="36">
    <w:p w:rsidR="006E720D" w:rsidRPr="00292CBF" w:rsidRDefault="006E720D">
      <w:pPr>
        <w:pStyle w:val="FootnoteText"/>
        <w:rPr>
          <w:lang w:val="en-US"/>
        </w:rPr>
      </w:pPr>
      <w:r>
        <w:rPr>
          <w:rStyle w:val="FootnoteReference"/>
        </w:rPr>
        <w:footnoteRef/>
      </w:r>
      <w:r>
        <w:t xml:space="preserve"> </w:t>
      </w:r>
      <w:r w:rsidR="00292CBF">
        <w:rPr>
          <w:i/>
        </w:rPr>
        <w:t>Ibid.</w:t>
      </w:r>
      <w:r w:rsidR="00292CBF">
        <w:t xml:space="preserve"> (p. 79)</w:t>
      </w:r>
    </w:p>
  </w:footnote>
  <w:footnote w:id="37">
    <w:p w:rsidR="006E720D" w:rsidRPr="00E00868" w:rsidRDefault="006E720D" w:rsidP="00E00868">
      <w:pPr>
        <w:rPr>
          <w:rFonts w:ascii="Arial" w:hAnsi="Arial" w:cs="Arial"/>
          <w:sz w:val="24"/>
          <w:szCs w:val="24"/>
        </w:rPr>
      </w:pPr>
      <w:r>
        <w:rPr>
          <w:rStyle w:val="FootnoteReference"/>
        </w:rPr>
        <w:footnoteRef/>
      </w:r>
      <w:r>
        <w:t xml:space="preserve"> </w:t>
      </w:r>
      <w:r w:rsidR="00E00868" w:rsidRPr="00623D27">
        <w:rPr>
          <w:rFonts w:ascii="Arial" w:hAnsi="Arial" w:cs="Arial"/>
          <w:sz w:val="20"/>
          <w:szCs w:val="24"/>
        </w:rPr>
        <w:t xml:space="preserve">McEvedy, </w:t>
      </w:r>
      <w:r w:rsidR="00E00868" w:rsidRPr="00623D27">
        <w:rPr>
          <w:rFonts w:ascii="Arial" w:hAnsi="Arial" w:cs="Arial"/>
          <w:i/>
          <w:sz w:val="20"/>
          <w:szCs w:val="24"/>
        </w:rPr>
        <w:t>The New Penguin Atlas of Medieval History,</w:t>
      </w:r>
      <w:r w:rsidR="00E00868" w:rsidRPr="00623D27">
        <w:rPr>
          <w:rFonts w:ascii="Arial" w:hAnsi="Arial" w:cs="Arial"/>
          <w:sz w:val="20"/>
          <w:szCs w:val="24"/>
        </w:rPr>
        <w:t xml:space="preserve"> </w:t>
      </w:r>
      <w:r w:rsidR="00E00868">
        <w:rPr>
          <w:rFonts w:ascii="Arial" w:hAnsi="Arial" w:cs="Arial"/>
          <w:sz w:val="20"/>
          <w:szCs w:val="24"/>
        </w:rPr>
        <w:t xml:space="preserve"> (p. 52</w:t>
      </w:r>
      <w:r w:rsidR="00E00868">
        <w:rPr>
          <w:rFonts w:ascii="Arial" w:hAnsi="Arial" w:cs="Arial"/>
          <w:sz w:val="20"/>
          <w:szCs w:val="24"/>
        </w:rPr>
        <w:t>)</w:t>
      </w:r>
    </w:p>
  </w:footnote>
  <w:footnote w:id="38">
    <w:p w:rsidR="006E720D" w:rsidRPr="00C85E12" w:rsidRDefault="006E720D">
      <w:pPr>
        <w:pStyle w:val="FootnoteText"/>
        <w:rPr>
          <w:lang w:val="en-US"/>
        </w:rPr>
      </w:pPr>
      <w:r>
        <w:rPr>
          <w:rStyle w:val="FootnoteReference"/>
        </w:rPr>
        <w:footnoteRef/>
      </w:r>
      <w:r>
        <w:t xml:space="preserve"> </w:t>
      </w:r>
      <w:r w:rsidR="00C85E12">
        <w:rPr>
          <w:i/>
        </w:rPr>
        <w:t xml:space="preserve">Ibid. </w:t>
      </w:r>
      <w:r w:rsidR="00C85E12">
        <w:t>(p. 52)</w:t>
      </w:r>
    </w:p>
  </w:footnote>
  <w:footnote w:id="39">
    <w:p w:rsidR="0049262C" w:rsidRPr="0049262C" w:rsidRDefault="0049262C">
      <w:pPr>
        <w:pStyle w:val="FootnoteText"/>
        <w:rPr>
          <w:lang w:val="en-US"/>
        </w:rPr>
      </w:pPr>
      <w:r>
        <w:rPr>
          <w:rStyle w:val="FootnoteReference"/>
        </w:rPr>
        <w:footnoteRef/>
      </w:r>
      <w:r>
        <w:t xml:space="preserve"> </w:t>
      </w:r>
      <w:r w:rsidR="00074D7E" w:rsidRPr="00BD73B4">
        <w:rPr>
          <w:rFonts w:ascii="Arial" w:hAnsi="Arial" w:cs="Arial"/>
          <w:i/>
          <w:szCs w:val="24"/>
        </w:rPr>
        <w:t>The Concise Oxford Dictionary of Current English,</w:t>
      </w:r>
      <w:r w:rsidR="00074D7E" w:rsidRPr="00BD73B4">
        <w:rPr>
          <w:rFonts w:ascii="Arial" w:hAnsi="Arial" w:cs="Arial"/>
          <w:szCs w:val="24"/>
        </w:rPr>
        <w:t>8</w:t>
      </w:r>
      <w:r w:rsidR="00074D7E" w:rsidRPr="00BD73B4">
        <w:rPr>
          <w:rFonts w:ascii="Arial" w:hAnsi="Arial" w:cs="Arial"/>
          <w:szCs w:val="24"/>
          <w:vertAlign w:val="superscript"/>
        </w:rPr>
        <w:t>th</w:t>
      </w:r>
      <w:r w:rsidR="00074D7E" w:rsidRPr="00BD73B4">
        <w:rPr>
          <w:rFonts w:ascii="Arial" w:hAnsi="Arial" w:cs="Arial"/>
          <w:szCs w:val="24"/>
        </w:rPr>
        <w:t xml:space="preserve"> edn., ed. R. E. Allen,</w:t>
      </w:r>
      <w:r w:rsidR="00074D7E">
        <w:rPr>
          <w:rFonts w:ascii="Arial" w:hAnsi="Arial" w:cs="Arial"/>
          <w:szCs w:val="24"/>
        </w:rPr>
        <w:t xml:space="preserve"> (p. 279)</w:t>
      </w:r>
    </w:p>
  </w:footnote>
  <w:footnote w:id="40">
    <w:p w:rsidR="006837EB" w:rsidRPr="006837EB" w:rsidRDefault="006837EB">
      <w:pPr>
        <w:pStyle w:val="FootnoteText"/>
        <w:rPr>
          <w:lang w:val="en-US"/>
        </w:rPr>
      </w:pPr>
      <w:r>
        <w:rPr>
          <w:rStyle w:val="FootnoteReference"/>
        </w:rPr>
        <w:footnoteRef/>
      </w:r>
      <w:r>
        <w:t xml:space="preserve"> </w:t>
      </w:r>
      <w:r w:rsidR="00FA0F02" w:rsidRPr="00686BF8">
        <w:rPr>
          <w:rFonts w:ascii="Arial" w:hAnsi="Arial" w:cs="Arial"/>
          <w:szCs w:val="24"/>
        </w:rPr>
        <w:t xml:space="preserve">Davis, </w:t>
      </w:r>
      <w:r w:rsidR="00FA0F02" w:rsidRPr="00686BF8">
        <w:rPr>
          <w:rFonts w:ascii="Arial" w:hAnsi="Arial" w:cs="Arial"/>
          <w:i/>
          <w:szCs w:val="24"/>
        </w:rPr>
        <w:t>The Normans and their Myth</w:t>
      </w:r>
      <w:r w:rsidR="00FA0F02" w:rsidRPr="00686BF8">
        <w:rPr>
          <w:rFonts w:ascii="Arial" w:hAnsi="Arial" w:cs="Arial"/>
          <w:szCs w:val="24"/>
        </w:rPr>
        <w:t>,</w:t>
      </w:r>
      <w:r w:rsidR="00FA0F02">
        <w:rPr>
          <w:rFonts w:ascii="Arial" w:hAnsi="Arial" w:cs="Arial"/>
          <w:szCs w:val="24"/>
        </w:rPr>
        <w:t xml:space="preserve"> (p. 79)</w:t>
      </w:r>
    </w:p>
  </w:footnote>
  <w:footnote w:id="41">
    <w:p w:rsidR="00E16816" w:rsidRPr="00FA0F02" w:rsidRDefault="00E16816" w:rsidP="00FA0F02">
      <w:pPr>
        <w:rPr>
          <w:rFonts w:ascii="Arial" w:hAnsi="Arial" w:cs="Arial"/>
          <w:sz w:val="24"/>
          <w:szCs w:val="24"/>
        </w:rPr>
      </w:pPr>
      <w:r>
        <w:rPr>
          <w:rStyle w:val="FootnoteReference"/>
        </w:rPr>
        <w:footnoteRef/>
      </w:r>
      <w:r>
        <w:t xml:space="preserve"> </w:t>
      </w:r>
      <w:r w:rsidR="00FA0F02" w:rsidRPr="00FA0F02">
        <w:rPr>
          <w:rFonts w:ascii="Arial" w:hAnsi="Arial" w:cs="Arial"/>
          <w:sz w:val="20"/>
          <w:szCs w:val="24"/>
        </w:rPr>
        <w:t xml:space="preserve">The Editors of Encyclopaedia Britannica, ‘Roger I’, from: </w:t>
      </w:r>
      <w:hyperlink r:id="rId2" w:history="1">
        <w:r w:rsidR="00FA0F02" w:rsidRPr="00FA0F02">
          <w:rPr>
            <w:rStyle w:val="Hyperlink"/>
            <w:rFonts w:ascii="Arial" w:hAnsi="Arial" w:cs="Arial"/>
            <w:sz w:val="20"/>
            <w:szCs w:val="24"/>
          </w:rPr>
          <w:t>https://www.britannica.com/biography/Roger-I</w:t>
        </w:r>
      </w:hyperlink>
      <w:r w:rsidR="00FA0F02" w:rsidRPr="00FA0F02">
        <w:rPr>
          <w:rFonts w:ascii="Arial" w:hAnsi="Arial" w:cs="Arial"/>
          <w:sz w:val="20"/>
          <w:szCs w:val="24"/>
        </w:rPr>
        <w:t>; [accessed 12</w:t>
      </w:r>
      <w:r w:rsidR="00FA0F02" w:rsidRPr="00FA0F02">
        <w:rPr>
          <w:rFonts w:ascii="Arial" w:hAnsi="Arial" w:cs="Arial"/>
          <w:sz w:val="20"/>
          <w:szCs w:val="24"/>
          <w:vertAlign w:val="superscript"/>
        </w:rPr>
        <w:t>th</w:t>
      </w:r>
      <w:r w:rsidR="00FA0F02" w:rsidRPr="00FA0F02">
        <w:rPr>
          <w:rFonts w:ascii="Arial" w:hAnsi="Arial" w:cs="Arial"/>
          <w:sz w:val="20"/>
          <w:szCs w:val="24"/>
        </w:rPr>
        <w:t xml:space="preserve"> February 2023]</w:t>
      </w:r>
    </w:p>
  </w:footnote>
  <w:footnote w:id="42">
    <w:p w:rsidR="00867AAD" w:rsidRPr="00867AAD" w:rsidRDefault="00867AAD">
      <w:pPr>
        <w:pStyle w:val="FootnoteText"/>
        <w:rPr>
          <w:lang w:val="en-US"/>
        </w:rPr>
      </w:pPr>
      <w:r>
        <w:rPr>
          <w:rStyle w:val="FootnoteReference"/>
        </w:rPr>
        <w:footnoteRef/>
      </w:r>
      <w:r>
        <w:t xml:space="preserve"> </w:t>
      </w:r>
      <w:r w:rsidRPr="00686BF8">
        <w:rPr>
          <w:rFonts w:ascii="Arial" w:hAnsi="Arial" w:cs="Arial"/>
          <w:szCs w:val="24"/>
        </w:rPr>
        <w:t xml:space="preserve">Davis, </w:t>
      </w:r>
      <w:r w:rsidRPr="00686BF8">
        <w:rPr>
          <w:rFonts w:ascii="Arial" w:hAnsi="Arial" w:cs="Arial"/>
          <w:i/>
          <w:szCs w:val="24"/>
        </w:rPr>
        <w:t>The Normans and their Myth</w:t>
      </w:r>
      <w:r w:rsidRPr="00686BF8">
        <w:rPr>
          <w:rFonts w:ascii="Arial" w:hAnsi="Arial" w:cs="Arial"/>
          <w:szCs w:val="24"/>
        </w:rPr>
        <w:t>,</w:t>
      </w:r>
      <w:r>
        <w:rPr>
          <w:rFonts w:ascii="Arial" w:hAnsi="Arial" w:cs="Arial"/>
          <w:szCs w:val="24"/>
        </w:rPr>
        <w:t xml:space="preserve"> (p.</w:t>
      </w:r>
      <w:r>
        <w:rPr>
          <w:rFonts w:ascii="Arial" w:hAnsi="Arial" w:cs="Arial"/>
          <w:szCs w:val="24"/>
        </w:rPr>
        <w:t xml:space="preserve"> 82</w:t>
      </w:r>
      <w:r>
        <w:rPr>
          <w:rFonts w:ascii="Arial" w:hAnsi="Arial" w:cs="Arial"/>
          <w:szCs w:val="24"/>
        </w:rPr>
        <w:t>)</w:t>
      </w:r>
    </w:p>
  </w:footnote>
  <w:footnote w:id="43">
    <w:p w:rsidR="00867AAD" w:rsidRPr="00867AAD" w:rsidRDefault="00867AAD">
      <w:pPr>
        <w:pStyle w:val="FootnoteText"/>
        <w:rPr>
          <w:lang w:val="en-US"/>
        </w:rPr>
      </w:pPr>
      <w:r>
        <w:rPr>
          <w:rStyle w:val="FootnoteReference"/>
        </w:rPr>
        <w:footnoteRef/>
      </w:r>
      <w:r>
        <w:t xml:space="preserve"> </w:t>
      </w:r>
      <w:r w:rsidRPr="00331D25">
        <w:rPr>
          <w:rFonts w:ascii="Arial" w:hAnsi="Arial" w:cs="Arial"/>
          <w:szCs w:val="24"/>
        </w:rPr>
        <w:t xml:space="preserve">Ashley, </w:t>
      </w:r>
      <w:r w:rsidRPr="00331D25">
        <w:rPr>
          <w:rFonts w:ascii="Arial" w:hAnsi="Arial" w:cs="Arial"/>
          <w:i/>
          <w:szCs w:val="24"/>
        </w:rPr>
        <w:t>The Life and Times of William I,</w:t>
      </w:r>
      <w:r w:rsidRPr="00331D25">
        <w:rPr>
          <w:rFonts w:ascii="Arial" w:hAnsi="Arial" w:cs="Arial"/>
          <w:szCs w:val="24"/>
        </w:rPr>
        <w:t xml:space="preserve"> </w:t>
      </w:r>
      <w:r>
        <w:rPr>
          <w:rFonts w:ascii="Arial" w:hAnsi="Arial" w:cs="Arial"/>
          <w:szCs w:val="24"/>
        </w:rPr>
        <w:t>(p. 32)</w:t>
      </w:r>
    </w:p>
  </w:footnote>
  <w:footnote w:id="44">
    <w:p w:rsidR="00416019" w:rsidRPr="00416019" w:rsidRDefault="00416019" w:rsidP="00416019">
      <w:pPr>
        <w:rPr>
          <w:rFonts w:ascii="Arial" w:hAnsi="Arial" w:cs="Arial"/>
          <w:sz w:val="20"/>
          <w:szCs w:val="20"/>
        </w:rPr>
      </w:pPr>
      <w:r>
        <w:rPr>
          <w:rStyle w:val="FootnoteReference"/>
        </w:rPr>
        <w:footnoteRef/>
      </w:r>
      <w:r>
        <w:t xml:space="preserve"> </w:t>
      </w:r>
      <w:r w:rsidR="00E6631C">
        <w:t xml:space="preserve">Frank </w:t>
      </w:r>
      <w:r w:rsidRPr="00416019">
        <w:rPr>
          <w:rFonts w:ascii="Arial" w:hAnsi="Arial" w:cs="Arial"/>
          <w:sz w:val="20"/>
          <w:szCs w:val="20"/>
        </w:rPr>
        <w:t xml:space="preserve">Stenton,  </w:t>
      </w:r>
      <w:r w:rsidRPr="00416019">
        <w:rPr>
          <w:rFonts w:ascii="Arial" w:hAnsi="Arial" w:cs="Arial"/>
          <w:i/>
          <w:sz w:val="20"/>
          <w:szCs w:val="20"/>
        </w:rPr>
        <w:t>Anglo-Saxon England</w:t>
      </w:r>
      <w:r w:rsidRPr="00416019">
        <w:rPr>
          <w:rFonts w:ascii="Arial" w:hAnsi="Arial" w:cs="Arial"/>
          <w:sz w:val="20"/>
          <w:szCs w:val="20"/>
        </w:rPr>
        <w:t>, 3</w:t>
      </w:r>
      <w:r w:rsidRPr="00416019">
        <w:rPr>
          <w:rFonts w:ascii="Arial" w:hAnsi="Arial" w:cs="Arial"/>
          <w:sz w:val="20"/>
          <w:szCs w:val="20"/>
          <w:vertAlign w:val="superscript"/>
        </w:rPr>
        <w:t>rd</w:t>
      </w:r>
      <w:r w:rsidRPr="00416019">
        <w:rPr>
          <w:rFonts w:ascii="Arial" w:hAnsi="Arial" w:cs="Arial"/>
          <w:sz w:val="20"/>
          <w:szCs w:val="20"/>
        </w:rPr>
        <w:t xml:space="preserve"> edn., (Oxford: Clarendon Press, 1971)</w:t>
      </w:r>
      <w:r w:rsidRPr="00416019">
        <w:rPr>
          <w:rFonts w:ascii="Arial" w:hAnsi="Arial" w:cs="Arial"/>
          <w:sz w:val="20"/>
          <w:szCs w:val="20"/>
        </w:rPr>
        <w:t>, (p. 343)</w:t>
      </w:r>
    </w:p>
  </w:footnote>
  <w:footnote w:id="45">
    <w:p w:rsidR="00416019" w:rsidRPr="00416019" w:rsidRDefault="00416019" w:rsidP="00416019">
      <w:pPr>
        <w:rPr>
          <w:rFonts w:ascii="Arial" w:hAnsi="Arial" w:cs="Arial"/>
          <w:sz w:val="24"/>
          <w:szCs w:val="24"/>
        </w:rPr>
      </w:pPr>
      <w:r w:rsidRPr="00416019">
        <w:rPr>
          <w:rStyle w:val="FootnoteReference"/>
          <w:rFonts w:ascii="Arial" w:hAnsi="Arial" w:cs="Arial"/>
          <w:sz w:val="20"/>
          <w:szCs w:val="20"/>
        </w:rPr>
        <w:footnoteRef/>
      </w:r>
      <w:r w:rsidRPr="00416019">
        <w:rPr>
          <w:rFonts w:ascii="Arial" w:hAnsi="Arial" w:cs="Arial"/>
          <w:sz w:val="20"/>
          <w:szCs w:val="20"/>
        </w:rPr>
        <w:t xml:space="preserve"> </w:t>
      </w:r>
      <w:r w:rsidR="00E6631C">
        <w:rPr>
          <w:rFonts w:ascii="Arial" w:hAnsi="Arial" w:cs="Arial"/>
          <w:sz w:val="20"/>
          <w:szCs w:val="20"/>
        </w:rPr>
        <w:t>Stenton</w:t>
      </w:r>
      <w:r w:rsidRPr="00416019">
        <w:rPr>
          <w:rFonts w:ascii="Arial" w:hAnsi="Arial" w:cs="Arial"/>
          <w:sz w:val="20"/>
          <w:szCs w:val="20"/>
        </w:rPr>
        <w:t xml:space="preserve">, </w:t>
      </w:r>
      <w:r w:rsidRPr="00416019">
        <w:rPr>
          <w:rFonts w:ascii="Arial" w:hAnsi="Arial" w:cs="Arial"/>
          <w:i/>
          <w:sz w:val="20"/>
          <w:szCs w:val="20"/>
        </w:rPr>
        <w:t>Anglo-Saxon England</w:t>
      </w:r>
      <w:r w:rsidRPr="00416019">
        <w:rPr>
          <w:rFonts w:ascii="Arial" w:hAnsi="Arial" w:cs="Arial"/>
          <w:sz w:val="20"/>
          <w:szCs w:val="20"/>
        </w:rPr>
        <w:t xml:space="preserve">, </w:t>
      </w:r>
      <w:r w:rsidRPr="00416019">
        <w:rPr>
          <w:rFonts w:ascii="Arial" w:hAnsi="Arial" w:cs="Arial"/>
          <w:sz w:val="20"/>
          <w:szCs w:val="20"/>
        </w:rPr>
        <w:t>(p. 357</w:t>
      </w:r>
    </w:p>
  </w:footnote>
  <w:footnote w:id="46">
    <w:p w:rsidR="00D45E9A" w:rsidRPr="00D45E9A" w:rsidRDefault="00D45E9A" w:rsidP="00D45E9A">
      <w:pPr>
        <w:rPr>
          <w:rFonts w:ascii="Arial" w:hAnsi="Arial" w:cs="Arial"/>
          <w:bCs/>
          <w:sz w:val="24"/>
          <w:szCs w:val="32"/>
        </w:rPr>
      </w:pPr>
      <w:r>
        <w:rPr>
          <w:rStyle w:val="FootnoteReference"/>
        </w:rPr>
        <w:footnoteRef/>
      </w:r>
      <w:r>
        <w:t xml:space="preserve"> </w:t>
      </w:r>
      <w:r w:rsidRPr="00D45E9A">
        <w:rPr>
          <w:rFonts w:ascii="Arial" w:hAnsi="Arial" w:cs="Arial"/>
          <w:bCs/>
          <w:i/>
          <w:sz w:val="20"/>
          <w:szCs w:val="32"/>
        </w:rPr>
        <w:t xml:space="preserve">The Anglo Saxon Chronicle, </w:t>
      </w:r>
      <w:r w:rsidRPr="00D45E9A">
        <w:rPr>
          <w:rFonts w:ascii="Arial" w:hAnsi="Arial" w:cs="Arial"/>
          <w:bCs/>
          <w:sz w:val="20"/>
          <w:szCs w:val="32"/>
        </w:rPr>
        <w:t>trans. James Ingram, (USA, Project Gutenburg, 1996)</w:t>
      </w:r>
      <w:r>
        <w:rPr>
          <w:rFonts w:ascii="Arial" w:hAnsi="Arial" w:cs="Arial"/>
          <w:bCs/>
          <w:sz w:val="20"/>
          <w:szCs w:val="32"/>
        </w:rPr>
        <w:t>, (p. 98)</w:t>
      </w:r>
    </w:p>
  </w:footnote>
  <w:footnote w:id="47">
    <w:p w:rsidR="00331D25" w:rsidRPr="00331D25" w:rsidRDefault="00331D25" w:rsidP="00331D25">
      <w:pPr>
        <w:rPr>
          <w:rFonts w:ascii="Arial" w:hAnsi="Arial" w:cs="Arial"/>
          <w:sz w:val="24"/>
          <w:szCs w:val="24"/>
        </w:rPr>
      </w:pPr>
      <w:r>
        <w:rPr>
          <w:rStyle w:val="FootnoteReference"/>
        </w:rPr>
        <w:footnoteRef/>
      </w:r>
      <w:r w:rsidRPr="00331D25">
        <w:rPr>
          <w:rFonts w:ascii="Arial" w:hAnsi="Arial" w:cs="Arial"/>
          <w:sz w:val="20"/>
          <w:szCs w:val="24"/>
        </w:rPr>
        <w:t xml:space="preserve"> </w:t>
      </w:r>
      <w:r w:rsidR="007869DD" w:rsidRPr="00331D25">
        <w:rPr>
          <w:rFonts w:ascii="Arial" w:hAnsi="Arial" w:cs="Arial"/>
          <w:sz w:val="20"/>
          <w:szCs w:val="24"/>
        </w:rPr>
        <w:t>Ashley</w:t>
      </w:r>
      <w:r w:rsidRPr="00331D25">
        <w:rPr>
          <w:rFonts w:ascii="Arial" w:hAnsi="Arial" w:cs="Arial"/>
          <w:sz w:val="20"/>
          <w:szCs w:val="24"/>
        </w:rPr>
        <w:t xml:space="preserve">, </w:t>
      </w:r>
      <w:r w:rsidRPr="00331D25">
        <w:rPr>
          <w:rFonts w:ascii="Arial" w:hAnsi="Arial" w:cs="Arial"/>
          <w:i/>
          <w:sz w:val="20"/>
          <w:szCs w:val="24"/>
        </w:rPr>
        <w:t>The Life and Times of William I,</w:t>
      </w:r>
      <w:r w:rsidRPr="00331D25">
        <w:rPr>
          <w:rFonts w:ascii="Arial" w:hAnsi="Arial" w:cs="Arial"/>
          <w:sz w:val="20"/>
          <w:szCs w:val="24"/>
        </w:rPr>
        <w:t xml:space="preserve"> </w:t>
      </w:r>
      <w:r>
        <w:rPr>
          <w:rFonts w:ascii="Arial" w:hAnsi="Arial" w:cs="Arial"/>
          <w:sz w:val="20"/>
          <w:szCs w:val="24"/>
        </w:rPr>
        <w:t>(p. 39)</w:t>
      </w:r>
    </w:p>
  </w:footnote>
  <w:footnote w:id="48">
    <w:p w:rsidR="00F86CAE" w:rsidRPr="00F86CAE" w:rsidRDefault="00F86CAE">
      <w:pPr>
        <w:pStyle w:val="FootnoteText"/>
        <w:rPr>
          <w:lang w:val="en-US"/>
        </w:rPr>
      </w:pPr>
      <w:r>
        <w:rPr>
          <w:rStyle w:val="FootnoteReference"/>
        </w:rPr>
        <w:footnoteRef/>
      </w:r>
      <w:r>
        <w:t xml:space="preserve"> </w:t>
      </w:r>
      <w:r w:rsidRPr="00D45E9A">
        <w:rPr>
          <w:rFonts w:ascii="Arial" w:hAnsi="Arial" w:cs="Arial"/>
          <w:bCs/>
          <w:i/>
          <w:szCs w:val="32"/>
        </w:rPr>
        <w:t xml:space="preserve">The Anglo Saxon Chronicle, </w:t>
      </w:r>
      <w:r w:rsidRPr="00D45E9A">
        <w:rPr>
          <w:rFonts w:ascii="Arial" w:hAnsi="Arial" w:cs="Arial"/>
          <w:bCs/>
          <w:szCs w:val="32"/>
        </w:rPr>
        <w:t>trans. James Ingram,</w:t>
      </w:r>
      <w:r>
        <w:rPr>
          <w:rFonts w:ascii="Arial" w:hAnsi="Arial" w:cs="Arial"/>
          <w:bCs/>
          <w:szCs w:val="32"/>
        </w:rPr>
        <w:t xml:space="preserve"> (p. 125)</w:t>
      </w:r>
    </w:p>
  </w:footnote>
  <w:footnote w:id="49">
    <w:p w:rsidR="00623D27" w:rsidRPr="00623D27" w:rsidRDefault="00623D27" w:rsidP="00623D27">
      <w:pPr>
        <w:rPr>
          <w:rFonts w:ascii="Arial" w:hAnsi="Arial" w:cs="Arial"/>
          <w:sz w:val="24"/>
          <w:szCs w:val="24"/>
        </w:rPr>
      </w:pPr>
      <w:r>
        <w:rPr>
          <w:rStyle w:val="FootnoteReference"/>
        </w:rPr>
        <w:footnoteRef/>
      </w:r>
      <w:r>
        <w:t xml:space="preserve"> </w:t>
      </w:r>
      <w:r w:rsidRPr="00623D27">
        <w:rPr>
          <w:rFonts w:ascii="Arial" w:hAnsi="Arial" w:cs="Arial"/>
          <w:sz w:val="20"/>
          <w:szCs w:val="24"/>
        </w:rPr>
        <w:t xml:space="preserve">McEvedy, </w:t>
      </w:r>
      <w:r w:rsidRPr="00623D27">
        <w:rPr>
          <w:rFonts w:ascii="Arial" w:hAnsi="Arial" w:cs="Arial"/>
          <w:i/>
          <w:sz w:val="20"/>
          <w:szCs w:val="24"/>
        </w:rPr>
        <w:t>The New Penguin Atlas of Medieval History,</w:t>
      </w:r>
      <w:r w:rsidRPr="00623D27">
        <w:rPr>
          <w:rFonts w:ascii="Arial" w:hAnsi="Arial" w:cs="Arial"/>
          <w:sz w:val="20"/>
          <w:szCs w:val="24"/>
        </w:rPr>
        <w:t xml:space="preserve"> </w:t>
      </w:r>
      <w:r>
        <w:rPr>
          <w:rFonts w:ascii="Arial" w:hAnsi="Arial" w:cs="Arial"/>
          <w:sz w:val="20"/>
          <w:szCs w:val="24"/>
        </w:rPr>
        <w:t xml:space="preserve"> (pp. 60-61)</w:t>
      </w:r>
    </w:p>
  </w:footnote>
  <w:footnote w:id="50">
    <w:p w:rsidR="007869DD" w:rsidRPr="007869DD" w:rsidRDefault="007869DD">
      <w:pPr>
        <w:pStyle w:val="FootnoteText"/>
        <w:rPr>
          <w:lang w:val="en-US"/>
        </w:rPr>
      </w:pPr>
      <w:r>
        <w:rPr>
          <w:rStyle w:val="FootnoteReference"/>
        </w:rPr>
        <w:footnoteRef/>
      </w:r>
      <w:r>
        <w:t xml:space="preserve"> </w:t>
      </w:r>
      <w:r w:rsidR="005C45A6" w:rsidRPr="00686BF8">
        <w:rPr>
          <w:rFonts w:ascii="Arial" w:hAnsi="Arial" w:cs="Arial"/>
          <w:szCs w:val="24"/>
        </w:rPr>
        <w:t xml:space="preserve">Davis, </w:t>
      </w:r>
      <w:r w:rsidR="005C45A6" w:rsidRPr="00686BF8">
        <w:rPr>
          <w:rFonts w:ascii="Arial" w:hAnsi="Arial" w:cs="Arial"/>
          <w:i/>
          <w:szCs w:val="24"/>
        </w:rPr>
        <w:t>The Normans and their Myth</w:t>
      </w:r>
      <w:r w:rsidR="005C45A6" w:rsidRPr="00686BF8">
        <w:rPr>
          <w:rFonts w:ascii="Arial" w:hAnsi="Arial" w:cs="Arial"/>
          <w:szCs w:val="24"/>
        </w:rPr>
        <w:t>,</w:t>
      </w:r>
      <w:r w:rsidR="005C45A6">
        <w:rPr>
          <w:rFonts w:ascii="Arial" w:hAnsi="Arial" w:cs="Arial"/>
          <w:szCs w:val="24"/>
        </w:rPr>
        <w:t xml:space="preserve"> (p.</w:t>
      </w:r>
      <w:r w:rsidR="005C45A6">
        <w:rPr>
          <w:rFonts w:ascii="Arial" w:hAnsi="Arial" w:cs="Arial"/>
          <w:szCs w:val="24"/>
        </w:rPr>
        <w:t xml:space="preserve"> 79)</w:t>
      </w:r>
    </w:p>
  </w:footnote>
  <w:footnote w:id="51">
    <w:p w:rsidR="00B2593D" w:rsidRPr="00B2593D" w:rsidRDefault="00B2593D">
      <w:pPr>
        <w:pStyle w:val="FootnoteText"/>
        <w:rPr>
          <w:lang w:val="en-US"/>
        </w:rPr>
      </w:pPr>
      <w:r>
        <w:rPr>
          <w:rStyle w:val="FootnoteReference"/>
        </w:rPr>
        <w:footnoteRef/>
      </w:r>
      <w:r>
        <w:t xml:space="preserve"> </w:t>
      </w:r>
      <w:r w:rsidR="00AD3930">
        <w:rPr>
          <w:rFonts w:ascii="Arial" w:hAnsi="Arial" w:cs="Arial"/>
          <w:i/>
          <w:szCs w:val="24"/>
        </w:rPr>
        <w:t xml:space="preserve">Ibid. </w:t>
      </w:r>
      <w:r>
        <w:rPr>
          <w:rFonts w:ascii="Arial" w:hAnsi="Arial" w:cs="Arial"/>
          <w:szCs w:val="24"/>
        </w:rPr>
        <w:t>(p.</w:t>
      </w:r>
      <w:r>
        <w:rPr>
          <w:rFonts w:ascii="Arial" w:hAnsi="Arial" w:cs="Arial"/>
          <w:szCs w:val="24"/>
        </w:rPr>
        <w:t xml:space="preserve"> 79)</w:t>
      </w:r>
    </w:p>
  </w:footnote>
  <w:footnote w:id="52">
    <w:p w:rsidR="00E127D8" w:rsidRPr="00E127D8" w:rsidRDefault="00E127D8">
      <w:pPr>
        <w:pStyle w:val="FootnoteText"/>
        <w:rPr>
          <w:lang w:val="en-US"/>
        </w:rPr>
      </w:pPr>
      <w:r>
        <w:rPr>
          <w:rStyle w:val="FootnoteReference"/>
        </w:rPr>
        <w:footnoteRef/>
      </w:r>
      <w:r>
        <w:t xml:space="preserve"> </w:t>
      </w:r>
      <w:r>
        <w:rPr>
          <w:i/>
          <w:lang w:val="en-US"/>
        </w:rPr>
        <w:t>Ibid.</w:t>
      </w:r>
      <w:r>
        <w:rPr>
          <w:lang w:val="en-US"/>
        </w:rPr>
        <w:t xml:space="preserve"> (p.79)</w:t>
      </w:r>
    </w:p>
  </w:footnote>
  <w:footnote w:id="53">
    <w:p w:rsidR="00AF4D1D" w:rsidRPr="00AF4D1D" w:rsidRDefault="00AF4D1D">
      <w:pPr>
        <w:pStyle w:val="FootnoteText"/>
        <w:rPr>
          <w:lang w:val="en-US"/>
        </w:rPr>
      </w:pPr>
      <w:r>
        <w:rPr>
          <w:rStyle w:val="FootnoteReference"/>
        </w:rPr>
        <w:footnoteRef/>
      </w:r>
      <w:r>
        <w:t xml:space="preserve"> </w:t>
      </w:r>
      <w:r>
        <w:rPr>
          <w:i/>
          <w:lang w:val="en-US"/>
        </w:rPr>
        <w:t>Ibid.</w:t>
      </w:r>
      <w:r>
        <w:rPr>
          <w:lang w:val="en-US"/>
        </w:rPr>
        <w:t xml:space="preserve"> (p. 79)</w:t>
      </w:r>
    </w:p>
  </w:footnote>
  <w:footnote w:id="54">
    <w:p w:rsidR="00C2117E" w:rsidRPr="00C2117E" w:rsidRDefault="00C2117E">
      <w:pPr>
        <w:pStyle w:val="FootnoteText"/>
        <w:rPr>
          <w:lang w:val="en-US"/>
        </w:rPr>
      </w:pPr>
      <w:r>
        <w:rPr>
          <w:rStyle w:val="FootnoteReference"/>
        </w:rPr>
        <w:footnoteRef/>
      </w:r>
      <w:r>
        <w:t xml:space="preserve"> </w:t>
      </w:r>
      <w:r>
        <w:rPr>
          <w:i/>
          <w:lang w:val="en-US"/>
        </w:rPr>
        <w:t xml:space="preserve">Ibid. </w:t>
      </w:r>
      <w:r>
        <w:rPr>
          <w:lang w:val="en-US"/>
        </w:rPr>
        <w:t>(p. 79)</w:t>
      </w:r>
    </w:p>
  </w:footnote>
  <w:footnote w:id="55">
    <w:p w:rsidR="00287ADC" w:rsidRPr="00FA0F02" w:rsidRDefault="00287ADC">
      <w:pPr>
        <w:pStyle w:val="FootnoteText"/>
        <w:rPr>
          <w:lang w:val="en-US"/>
        </w:rPr>
      </w:pPr>
      <w:r>
        <w:rPr>
          <w:rStyle w:val="FootnoteReference"/>
        </w:rPr>
        <w:footnoteRef/>
      </w:r>
      <w:r w:rsidR="00FA0F02">
        <w:rPr>
          <w:rFonts w:ascii="Arial" w:hAnsi="Arial" w:cs="Arial"/>
          <w:szCs w:val="24"/>
        </w:rPr>
        <w:t>Sidnell,</w:t>
      </w:r>
      <w:r w:rsidR="00FA0F02" w:rsidRPr="00AC0989">
        <w:rPr>
          <w:rFonts w:ascii="Arial" w:hAnsi="Arial" w:cs="Arial"/>
          <w:szCs w:val="24"/>
        </w:rPr>
        <w:t xml:space="preserve"> </w:t>
      </w:r>
      <w:r w:rsidR="00FA0F02" w:rsidRPr="00AC0989">
        <w:rPr>
          <w:rFonts w:ascii="Arial" w:hAnsi="Arial" w:cs="Arial"/>
          <w:i/>
          <w:szCs w:val="24"/>
        </w:rPr>
        <w:t>Warhorse: Cavalry in Ancient Warfare,</w:t>
      </w:r>
      <w:r w:rsidR="00FA0F02">
        <w:rPr>
          <w:rFonts w:ascii="Arial" w:hAnsi="Arial" w:cs="Arial"/>
          <w:szCs w:val="24"/>
        </w:rPr>
        <w:t xml:space="preserve"> (p. 325)</w:t>
      </w:r>
    </w:p>
  </w:footnote>
  <w:footnote w:id="56">
    <w:p w:rsidR="002F32AE" w:rsidRPr="002F32AE" w:rsidRDefault="002F32AE">
      <w:pPr>
        <w:pStyle w:val="FootnoteText"/>
        <w:rPr>
          <w:lang w:val="en-US"/>
        </w:rPr>
      </w:pPr>
      <w:r>
        <w:rPr>
          <w:rStyle w:val="FootnoteReference"/>
        </w:rPr>
        <w:footnoteRef/>
      </w:r>
      <w:r>
        <w:t xml:space="preserve"> </w:t>
      </w:r>
      <w:r>
        <w:rPr>
          <w:i/>
          <w:lang w:val="en-US"/>
        </w:rPr>
        <w:t>Ibid.</w:t>
      </w:r>
      <w:r>
        <w:rPr>
          <w:lang w:val="en-US"/>
        </w:rPr>
        <w:t xml:space="preserve"> (p. 323)</w:t>
      </w:r>
    </w:p>
  </w:footnote>
  <w:footnote w:id="57">
    <w:p w:rsidR="008406B8" w:rsidRPr="008406B8" w:rsidRDefault="008406B8" w:rsidP="008406B8">
      <w:pPr>
        <w:rPr>
          <w:rFonts w:ascii="Arial" w:hAnsi="Arial" w:cs="Arial"/>
          <w:sz w:val="24"/>
          <w:szCs w:val="24"/>
        </w:rPr>
      </w:pPr>
      <w:r>
        <w:rPr>
          <w:rStyle w:val="FootnoteReference"/>
        </w:rPr>
        <w:footnoteRef/>
      </w:r>
      <w:r>
        <w:t xml:space="preserve"> </w:t>
      </w:r>
      <w:r w:rsidRPr="00331D25">
        <w:rPr>
          <w:rFonts w:ascii="Arial" w:hAnsi="Arial" w:cs="Arial"/>
          <w:sz w:val="20"/>
          <w:szCs w:val="24"/>
        </w:rPr>
        <w:t xml:space="preserve">Ashley, </w:t>
      </w:r>
      <w:r w:rsidRPr="00331D25">
        <w:rPr>
          <w:rFonts w:ascii="Arial" w:hAnsi="Arial" w:cs="Arial"/>
          <w:i/>
          <w:sz w:val="20"/>
          <w:szCs w:val="24"/>
        </w:rPr>
        <w:t>The Life and Times of William I,</w:t>
      </w:r>
      <w:r w:rsidRPr="00331D25">
        <w:rPr>
          <w:rFonts w:ascii="Arial" w:hAnsi="Arial" w:cs="Arial"/>
          <w:sz w:val="20"/>
          <w:szCs w:val="24"/>
        </w:rPr>
        <w:t xml:space="preserve"> </w:t>
      </w:r>
      <w:r>
        <w:rPr>
          <w:rFonts w:ascii="Arial" w:hAnsi="Arial" w:cs="Arial"/>
          <w:sz w:val="20"/>
          <w:szCs w:val="24"/>
        </w:rPr>
        <w:t>(p. 37</w:t>
      </w:r>
      <w:r>
        <w:rPr>
          <w:rFonts w:ascii="Arial" w:hAnsi="Arial" w:cs="Arial"/>
          <w:sz w:val="20"/>
          <w:szCs w:val="24"/>
        </w:rPr>
        <w:t>)</w:t>
      </w:r>
    </w:p>
  </w:footnote>
  <w:footnote w:id="58">
    <w:p w:rsidR="002D5FCF" w:rsidRPr="002D5FCF" w:rsidRDefault="002D5FCF">
      <w:pPr>
        <w:pStyle w:val="FootnoteText"/>
        <w:rPr>
          <w:lang w:val="en-US"/>
        </w:rPr>
      </w:pPr>
      <w:r>
        <w:rPr>
          <w:rStyle w:val="FootnoteReference"/>
        </w:rPr>
        <w:footnoteRef/>
      </w:r>
      <w:r>
        <w:t xml:space="preserve"> </w:t>
      </w:r>
      <w:r>
        <w:rPr>
          <w:rFonts w:ascii="Arial" w:hAnsi="Arial" w:cs="Arial"/>
          <w:szCs w:val="24"/>
        </w:rPr>
        <w:t>Sidnell,</w:t>
      </w:r>
      <w:r w:rsidRPr="00AC0989">
        <w:rPr>
          <w:rFonts w:ascii="Arial" w:hAnsi="Arial" w:cs="Arial"/>
          <w:szCs w:val="24"/>
        </w:rPr>
        <w:t xml:space="preserve"> </w:t>
      </w:r>
      <w:r w:rsidRPr="00AC0989">
        <w:rPr>
          <w:rFonts w:ascii="Arial" w:hAnsi="Arial" w:cs="Arial"/>
          <w:i/>
          <w:szCs w:val="24"/>
        </w:rPr>
        <w:t>Warhorse: Cavalry in Ancient Warfare,</w:t>
      </w:r>
      <w:r>
        <w:rPr>
          <w:lang w:val="en-US"/>
        </w:rPr>
        <w:t xml:space="preserve"> (p. 327)</w:t>
      </w:r>
    </w:p>
  </w:footnote>
  <w:footnote w:id="59">
    <w:p w:rsidR="004638B1" w:rsidRPr="004638B1" w:rsidRDefault="004638B1">
      <w:pPr>
        <w:pStyle w:val="FootnoteText"/>
        <w:rPr>
          <w:lang w:val="en-US"/>
        </w:rPr>
      </w:pPr>
      <w:r>
        <w:rPr>
          <w:rStyle w:val="FootnoteReference"/>
        </w:rPr>
        <w:footnoteRef/>
      </w:r>
      <w:r>
        <w:t xml:space="preserve"> </w:t>
      </w:r>
      <w:r w:rsidRPr="00686BF8">
        <w:rPr>
          <w:rFonts w:ascii="Arial" w:hAnsi="Arial" w:cs="Arial"/>
          <w:szCs w:val="24"/>
        </w:rPr>
        <w:t xml:space="preserve">Davis, </w:t>
      </w:r>
      <w:r w:rsidRPr="00686BF8">
        <w:rPr>
          <w:rFonts w:ascii="Arial" w:hAnsi="Arial" w:cs="Arial"/>
          <w:i/>
          <w:szCs w:val="24"/>
        </w:rPr>
        <w:t>The Normans and their Myth</w:t>
      </w:r>
      <w:r w:rsidRPr="00686BF8">
        <w:rPr>
          <w:rFonts w:ascii="Arial" w:hAnsi="Arial" w:cs="Arial"/>
          <w:szCs w:val="24"/>
        </w:rPr>
        <w:t>,</w:t>
      </w:r>
      <w:r>
        <w:rPr>
          <w:rFonts w:ascii="Arial" w:hAnsi="Arial" w:cs="Arial"/>
          <w:szCs w:val="24"/>
        </w:rPr>
        <w:t xml:space="preserve"> (p. 79)</w:t>
      </w:r>
    </w:p>
  </w:footnote>
  <w:footnote w:id="60">
    <w:p w:rsidR="004638B1" w:rsidRPr="004638B1" w:rsidRDefault="004638B1">
      <w:pPr>
        <w:pStyle w:val="FootnoteText"/>
        <w:rPr>
          <w:lang w:val="en-US"/>
        </w:rPr>
      </w:pPr>
      <w:r>
        <w:rPr>
          <w:rStyle w:val="FootnoteReference"/>
        </w:rPr>
        <w:footnoteRef/>
      </w:r>
      <w:r>
        <w:t xml:space="preserve"> </w:t>
      </w:r>
      <w:r>
        <w:t xml:space="preserve">Rupert </w:t>
      </w:r>
      <w:r w:rsidRPr="003A0E34">
        <w:rPr>
          <w:rFonts w:ascii="Arial" w:hAnsi="Arial" w:cs="Arial"/>
          <w:szCs w:val="24"/>
        </w:rPr>
        <w:t xml:space="preserve">Matthews, </w:t>
      </w:r>
      <w:r>
        <w:rPr>
          <w:rFonts w:ascii="Arial" w:hAnsi="Arial" w:cs="Arial"/>
          <w:szCs w:val="24"/>
        </w:rPr>
        <w:t>‘Civitate</w:t>
      </w:r>
      <w:r w:rsidRPr="003A0E34">
        <w:rPr>
          <w:rFonts w:ascii="Arial" w:hAnsi="Arial" w:cs="Arial"/>
          <w:szCs w:val="24"/>
        </w:rPr>
        <w:t xml:space="preserve">’, </w:t>
      </w:r>
      <w:r w:rsidRPr="003A0E34">
        <w:rPr>
          <w:rFonts w:ascii="Arial" w:hAnsi="Arial" w:cs="Arial"/>
          <w:i/>
          <w:szCs w:val="24"/>
        </w:rPr>
        <w:t>1001 Battles that changed the course of History,</w:t>
      </w:r>
      <w:r w:rsidRPr="003A0E34">
        <w:rPr>
          <w:rFonts w:ascii="Arial" w:hAnsi="Arial" w:cs="Arial"/>
          <w:szCs w:val="24"/>
        </w:rPr>
        <w:t xml:space="preserve"> ed. R. G. Grant,</w:t>
      </w:r>
      <w:r>
        <w:rPr>
          <w:rFonts w:ascii="Arial" w:hAnsi="Arial" w:cs="Arial"/>
          <w:szCs w:val="24"/>
        </w:rPr>
        <w:t xml:space="preserve"> p. 132, (p. 132)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3E1C"/>
    <w:rsid w:val="00021D26"/>
    <w:rsid w:val="00073B57"/>
    <w:rsid w:val="00074D7E"/>
    <w:rsid w:val="00082E13"/>
    <w:rsid w:val="000A7DD6"/>
    <w:rsid w:val="000F3921"/>
    <w:rsid w:val="00122824"/>
    <w:rsid w:val="001236F0"/>
    <w:rsid w:val="00124B8F"/>
    <w:rsid w:val="00183C16"/>
    <w:rsid w:val="001A7A14"/>
    <w:rsid w:val="001B4B00"/>
    <w:rsid w:val="001C0B4B"/>
    <w:rsid w:val="001D78AA"/>
    <w:rsid w:val="001E4743"/>
    <w:rsid w:val="00204BF6"/>
    <w:rsid w:val="00233F37"/>
    <w:rsid w:val="002873D8"/>
    <w:rsid w:val="00287ADC"/>
    <w:rsid w:val="00292CBF"/>
    <w:rsid w:val="002C78F7"/>
    <w:rsid w:val="002D5FCF"/>
    <w:rsid w:val="002D789C"/>
    <w:rsid w:val="002F32AE"/>
    <w:rsid w:val="00301F0D"/>
    <w:rsid w:val="00331D25"/>
    <w:rsid w:val="00362DDB"/>
    <w:rsid w:val="0036336E"/>
    <w:rsid w:val="00387CB4"/>
    <w:rsid w:val="0039580A"/>
    <w:rsid w:val="003A0E34"/>
    <w:rsid w:val="003A3807"/>
    <w:rsid w:val="003D260B"/>
    <w:rsid w:val="003D7DC7"/>
    <w:rsid w:val="003F1AE0"/>
    <w:rsid w:val="003F6CB5"/>
    <w:rsid w:val="00416019"/>
    <w:rsid w:val="00432B55"/>
    <w:rsid w:val="004638B1"/>
    <w:rsid w:val="00470E46"/>
    <w:rsid w:val="0049262C"/>
    <w:rsid w:val="004B0A6B"/>
    <w:rsid w:val="004B1D5A"/>
    <w:rsid w:val="004E4638"/>
    <w:rsid w:val="005060C6"/>
    <w:rsid w:val="00543799"/>
    <w:rsid w:val="00560494"/>
    <w:rsid w:val="0057033C"/>
    <w:rsid w:val="00573F7D"/>
    <w:rsid w:val="005C45A6"/>
    <w:rsid w:val="005D772A"/>
    <w:rsid w:val="00602C9C"/>
    <w:rsid w:val="00623D27"/>
    <w:rsid w:val="00630535"/>
    <w:rsid w:val="006424B5"/>
    <w:rsid w:val="006444C3"/>
    <w:rsid w:val="0067498A"/>
    <w:rsid w:val="006837EB"/>
    <w:rsid w:val="00686BF8"/>
    <w:rsid w:val="006D1BFC"/>
    <w:rsid w:val="006D3E4E"/>
    <w:rsid w:val="006E720D"/>
    <w:rsid w:val="00706085"/>
    <w:rsid w:val="00735209"/>
    <w:rsid w:val="00783AAF"/>
    <w:rsid w:val="007854D2"/>
    <w:rsid w:val="007869DD"/>
    <w:rsid w:val="007A434F"/>
    <w:rsid w:val="007B61C5"/>
    <w:rsid w:val="007C25DD"/>
    <w:rsid w:val="007F002F"/>
    <w:rsid w:val="00802733"/>
    <w:rsid w:val="0081268B"/>
    <w:rsid w:val="00824FBD"/>
    <w:rsid w:val="008358AB"/>
    <w:rsid w:val="008406B8"/>
    <w:rsid w:val="008541DF"/>
    <w:rsid w:val="00867AAD"/>
    <w:rsid w:val="00887AB6"/>
    <w:rsid w:val="00893050"/>
    <w:rsid w:val="008A311B"/>
    <w:rsid w:val="008D02DB"/>
    <w:rsid w:val="009009A9"/>
    <w:rsid w:val="00915351"/>
    <w:rsid w:val="009756F4"/>
    <w:rsid w:val="009E2C0E"/>
    <w:rsid w:val="00A06EF0"/>
    <w:rsid w:val="00A60CF9"/>
    <w:rsid w:val="00A62C52"/>
    <w:rsid w:val="00A65542"/>
    <w:rsid w:val="00AC02AF"/>
    <w:rsid w:val="00AC0989"/>
    <w:rsid w:val="00AC2488"/>
    <w:rsid w:val="00AD3930"/>
    <w:rsid w:val="00AE262A"/>
    <w:rsid w:val="00AF4D1D"/>
    <w:rsid w:val="00AF4F32"/>
    <w:rsid w:val="00B2593D"/>
    <w:rsid w:val="00B53A83"/>
    <w:rsid w:val="00B568C2"/>
    <w:rsid w:val="00BA3611"/>
    <w:rsid w:val="00BB5FA1"/>
    <w:rsid w:val="00BD73B4"/>
    <w:rsid w:val="00BE48D7"/>
    <w:rsid w:val="00BF5CD6"/>
    <w:rsid w:val="00C010C7"/>
    <w:rsid w:val="00C03280"/>
    <w:rsid w:val="00C13D6F"/>
    <w:rsid w:val="00C2117E"/>
    <w:rsid w:val="00C336D2"/>
    <w:rsid w:val="00C52424"/>
    <w:rsid w:val="00C551F7"/>
    <w:rsid w:val="00C668FA"/>
    <w:rsid w:val="00C85E12"/>
    <w:rsid w:val="00C95DB2"/>
    <w:rsid w:val="00CA54A5"/>
    <w:rsid w:val="00CB224C"/>
    <w:rsid w:val="00CB2A26"/>
    <w:rsid w:val="00CB37AB"/>
    <w:rsid w:val="00D03487"/>
    <w:rsid w:val="00D07B48"/>
    <w:rsid w:val="00D14179"/>
    <w:rsid w:val="00D16320"/>
    <w:rsid w:val="00D3652D"/>
    <w:rsid w:val="00D444C1"/>
    <w:rsid w:val="00D45E9A"/>
    <w:rsid w:val="00D51028"/>
    <w:rsid w:val="00D6447C"/>
    <w:rsid w:val="00D6548C"/>
    <w:rsid w:val="00D730A0"/>
    <w:rsid w:val="00DC44C9"/>
    <w:rsid w:val="00DD0828"/>
    <w:rsid w:val="00DD7A32"/>
    <w:rsid w:val="00DE5FE9"/>
    <w:rsid w:val="00DF24BA"/>
    <w:rsid w:val="00E00868"/>
    <w:rsid w:val="00E0616F"/>
    <w:rsid w:val="00E127D8"/>
    <w:rsid w:val="00E16816"/>
    <w:rsid w:val="00E510DB"/>
    <w:rsid w:val="00E6631C"/>
    <w:rsid w:val="00EA3E1C"/>
    <w:rsid w:val="00EC59AA"/>
    <w:rsid w:val="00F50847"/>
    <w:rsid w:val="00F5267F"/>
    <w:rsid w:val="00F61FF2"/>
    <w:rsid w:val="00F85035"/>
    <w:rsid w:val="00F86CAE"/>
    <w:rsid w:val="00FA0F02"/>
    <w:rsid w:val="00FB15B9"/>
    <w:rsid w:val="00FB5434"/>
    <w:rsid w:val="00FC17AF"/>
    <w:rsid w:val="00FE211E"/>
    <w:rsid w:val="00FE5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36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3611"/>
    <w:rPr>
      <w:sz w:val="20"/>
      <w:szCs w:val="20"/>
      <w:lang w:val="en-GB"/>
    </w:rPr>
  </w:style>
  <w:style w:type="character" w:styleId="FootnoteReference">
    <w:name w:val="footnote reference"/>
    <w:basedOn w:val="DefaultParagraphFont"/>
    <w:uiPriority w:val="99"/>
    <w:semiHidden/>
    <w:unhideWhenUsed/>
    <w:rsid w:val="00BA3611"/>
    <w:rPr>
      <w:vertAlign w:val="superscript"/>
    </w:rPr>
  </w:style>
  <w:style w:type="paragraph" w:styleId="EndnoteText">
    <w:name w:val="endnote text"/>
    <w:basedOn w:val="Normal"/>
    <w:link w:val="EndnoteTextChar"/>
    <w:uiPriority w:val="99"/>
    <w:semiHidden/>
    <w:unhideWhenUsed/>
    <w:rsid w:val="00233F3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33F37"/>
    <w:rPr>
      <w:sz w:val="20"/>
      <w:szCs w:val="20"/>
      <w:lang w:val="en-GB"/>
    </w:rPr>
  </w:style>
  <w:style w:type="character" w:styleId="EndnoteReference">
    <w:name w:val="endnote reference"/>
    <w:basedOn w:val="DefaultParagraphFont"/>
    <w:uiPriority w:val="99"/>
    <w:semiHidden/>
    <w:unhideWhenUsed/>
    <w:rsid w:val="00233F37"/>
    <w:rPr>
      <w:vertAlign w:val="superscript"/>
    </w:rPr>
  </w:style>
  <w:style w:type="character" w:styleId="SubtleEmphasis">
    <w:name w:val="Subtle Emphasis"/>
    <w:basedOn w:val="DefaultParagraphFont"/>
    <w:uiPriority w:val="19"/>
    <w:qFormat/>
    <w:rsid w:val="00387CB4"/>
    <w:rPr>
      <w:i/>
      <w:iCs/>
      <w:color w:val="808080" w:themeColor="text1" w:themeTint="7F"/>
    </w:rPr>
  </w:style>
  <w:style w:type="character" w:styleId="Hyperlink">
    <w:name w:val="Hyperlink"/>
    <w:basedOn w:val="DefaultParagraphFont"/>
    <w:uiPriority w:val="99"/>
    <w:unhideWhenUsed/>
    <w:rsid w:val="008A311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36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3611"/>
    <w:rPr>
      <w:sz w:val="20"/>
      <w:szCs w:val="20"/>
      <w:lang w:val="en-GB"/>
    </w:rPr>
  </w:style>
  <w:style w:type="character" w:styleId="FootnoteReference">
    <w:name w:val="footnote reference"/>
    <w:basedOn w:val="DefaultParagraphFont"/>
    <w:uiPriority w:val="99"/>
    <w:semiHidden/>
    <w:unhideWhenUsed/>
    <w:rsid w:val="00BA3611"/>
    <w:rPr>
      <w:vertAlign w:val="superscript"/>
    </w:rPr>
  </w:style>
  <w:style w:type="paragraph" w:styleId="EndnoteText">
    <w:name w:val="endnote text"/>
    <w:basedOn w:val="Normal"/>
    <w:link w:val="EndnoteTextChar"/>
    <w:uiPriority w:val="99"/>
    <w:semiHidden/>
    <w:unhideWhenUsed/>
    <w:rsid w:val="00233F3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33F37"/>
    <w:rPr>
      <w:sz w:val="20"/>
      <w:szCs w:val="20"/>
      <w:lang w:val="en-GB"/>
    </w:rPr>
  </w:style>
  <w:style w:type="character" w:styleId="EndnoteReference">
    <w:name w:val="endnote reference"/>
    <w:basedOn w:val="DefaultParagraphFont"/>
    <w:uiPriority w:val="99"/>
    <w:semiHidden/>
    <w:unhideWhenUsed/>
    <w:rsid w:val="00233F37"/>
    <w:rPr>
      <w:vertAlign w:val="superscript"/>
    </w:rPr>
  </w:style>
  <w:style w:type="character" w:styleId="SubtleEmphasis">
    <w:name w:val="Subtle Emphasis"/>
    <w:basedOn w:val="DefaultParagraphFont"/>
    <w:uiPriority w:val="19"/>
    <w:qFormat/>
    <w:rsid w:val="00387CB4"/>
    <w:rPr>
      <w:i/>
      <w:iCs/>
      <w:color w:val="808080" w:themeColor="text1" w:themeTint="7F"/>
    </w:rPr>
  </w:style>
  <w:style w:type="character" w:styleId="Hyperlink">
    <w:name w:val="Hyperlink"/>
    <w:basedOn w:val="DefaultParagraphFont"/>
    <w:uiPriority w:val="99"/>
    <w:unhideWhenUsed/>
    <w:rsid w:val="008A311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106164">
      <w:bodyDiv w:val="1"/>
      <w:marLeft w:val="0"/>
      <w:marRight w:val="0"/>
      <w:marTop w:val="0"/>
      <w:marBottom w:val="0"/>
      <w:divBdr>
        <w:top w:val="none" w:sz="0" w:space="0" w:color="auto"/>
        <w:left w:val="none" w:sz="0" w:space="0" w:color="auto"/>
        <w:bottom w:val="none" w:sz="0" w:space="0" w:color="auto"/>
        <w:right w:val="none" w:sz="0" w:space="0" w:color="auto"/>
      </w:divBdr>
    </w:div>
    <w:div w:id="267012025">
      <w:bodyDiv w:val="1"/>
      <w:marLeft w:val="0"/>
      <w:marRight w:val="0"/>
      <w:marTop w:val="0"/>
      <w:marBottom w:val="0"/>
      <w:divBdr>
        <w:top w:val="none" w:sz="0" w:space="0" w:color="auto"/>
        <w:left w:val="none" w:sz="0" w:space="0" w:color="auto"/>
        <w:bottom w:val="none" w:sz="0" w:space="0" w:color="auto"/>
        <w:right w:val="none" w:sz="0" w:space="0" w:color="auto"/>
      </w:divBdr>
    </w:div>
    <w:div w:id="490484494">
      <w:bodyDiv w:val="1"/>
      <w:marLeft w:val="0"/>
      <w:marRight w:val="0"/>
      <w:marTop w:val="0"/>
      <w:marBottom w:val="0"/>
      <w:divBdr>
        <w:top w:val="none" w:sz="0" w:space="0" w:color="auto"/>
        <w:left w:val="none" w:sz="0" w:space="0" w:color="auto"/>
        <w:bottom w:val="none" w:sz="0" w:space="0" w:color="auto"/>
        <w:right w:val="none" w:sz="0" w:space="0" w:color="auto"/>
      </w:divBdr>
    </w:div>
    <w:div w:id="528228848">
      <w:bodyDiv w:val="1"/>
      <w:marLeft w:val="0"/>
      <w:marRight w:val="0"/>
      <w:marTop w:val="0"/>
      <w:marBottom w:val="0"/>
      <w:divBdr>
        <w:top w:val="none" w:sz="0" w:space="0" w:color="auto"/>
        <w:left w:val="none" w:sz="0" w:space="0" w:color="auto"/>
        <w:bottom w:val="none" w:sz="0" w:space="0" w:color="auto"/>
        <w:right w:val="none" w:sz="0" w:space="0" w:color="auto"/>
      </w:divBdr>
    </w:div>
    <w:div w:id="1068260288">
      <w:bodyDiv w:val="1"/>
      <w:marLeft w:val="0"/>
      <w:marRight w:val="0"/>
      <w:marTop w:val="0"/>
      <w:marBottom w:val="0"/>
      <w:divBdr>
        <w:top w:val="none" w:sz="0" w:space="0" w:color="auto"/>
        <w:left w:val="none" w:sz="0" w:space="0" w:color="auto"/>
        <w:bottom w:val="none" w:sz="0" w:space="0" w:color="auto"/>
        <w:right w:val="none" w:sz="0" w:space="0" w:color="auto"/>
      </w:divBdr>
    </w:div>
    <w:div w:id="1096558423">
      <w:bodyDiv w:val="1"/>
      <w:marLeft w:val="0"/>
      <w:marRight w:val="0"/>
      <w:marTop w:val="0"/>
      <w:marBottom w:val="0"/>
      <w:divBdr>
        <w:top w:val="none" w:sz="0" w:space="0" w:color="auto"/>
        <w:left w:val="none" w:sz="0" w:space="0" w:color="auto"/>
        <w:bottom w:val="none" w:sz="0" w:space="0" w:color="auto"/>
        <w:right w:val="none" w:sz="0" w:space="0" w:color="auto"/>
      </w:divBdr>
    </w:div>
    <w:div w:id="1266578311">
      <w:bodyDiv w:val="1"/>
      <w:marLeft w:val="0"/>
      <w:marRight w:val="0"/>
      <w:marTop w:val="0"/>
      <w:marBottom w:val="0"/>
      <w:divBdr>
        <w:top w:val="none" w:sz="0" w:space="0" w:color="auto"/>
        <w:left w:val="none" w:sz="0" w:space="0" w:color="auto"/>
        <w:bottom w:val="none" w:sz="0" w:space="0" w:color="auto"/>
        <w:right w:val="none" w:sz="0" w:space="0" w:color="auto"/>
      </w:divBdr>
    </w:div>
    <w:div w:id="1356154298">
      <w:bodyDiv w:val="1"/>
      <w:marLeft w:val="0"/>
      <w:marRight w:val="0"/>
      <w:marTop w:val="0"/>
      <w:marBottom w:val="0"/>
      <w:divBdr>
        <w:top w:val="none" w:sz="0" w:space="0" w:color="auto"/>
        <w:left w:val="none" w:sz="0" w:space="0" w:color="auto"/>
        <w:bottom w:val="none" w:sz="0" w:space="0" w:color="auto"/>
        <w:right w:val="none" w:sz="0" w:space="0" w:color="auto"/>
      </w:divBdr>
    </w:div>
    <w:div w:id="1418864139">
      <w:bodyDiv w:val="1"/>
      <w:marLeft w:val="0"/>
      <w:marRight w:val="0"/>
      <w:marTop w:val="0"/>
      <w:marBottom w:val="0"/>
      <w:divBdr>
        <w:top w:val="none" w:sz="0" w:space="0" w:color="auto"/>
        <w:left w:val="none" w:sz="0" w:space="0" w:color="auto"/>
        <w:bottom w:val="none" w:sz="0" w:space="0" w:color="auto"/>
        <w:right w:val="none" w:sz="0" w:space="0" w:color="auto"/>
      </w:divBdr>
    </w:div>
    <w:div w:id="1426922361">
      <w:bodyDiv w:val="1"/>
      <w:marLeft w:val="0"/>
      <w:marRight w:val="0"/>
      <w:marTop w:val="0"/>
      <w:marBottom w:val="0"/>
      <w:divBdr>
        <w:top w:val="none" w:sz="0" w:space="0" w:color="auto"/>
        <w:left w:val="none" w:sz="0" w:space="0" w:color="auto"/>
        <w:bottom w:val="none" w:sz="0" w:space="0" w:color="auto"/>
        <w:right w:val="none" w:sz="0" w:space="0" w:color="auto"/>
      </w:divBdr>
    </w:div>
    <w:div w:id="1472869852">
      <w:bodyDiv w:val="1"/>
      <w:marLeft w:val="0"/>
      <w:marRight w:val="0"/>
      <w:marTop w:val="0"/>
      <w:marBottom w:val="0"/>
      <w:divBdr>
        <w:top w:val="none" w:sz="0" w:space="0" w:color="auto"/>
        <w:left w:val="none" w:sz="0" w:space="0" w:color="auto"/>
        <w:bottom w:val="none" w:sz="0" w:space="0" w:color="auto"/>
        <w:right w:val="none" w:sz="0" w:space="0" w:color="auto"/>
      </w:divBdr>
    </w:div>
    <w:div w:id="1574389064">
      <w:bodyDiv w:val="1"/>
      <w:marLeft w:val="0"/>
      <w:marRight w:val="0"/>
      <w:marTop w:val="0"/>
      <w:marBottom w:val="0"/>
      <w:divBdr>
        <w:top w:val="none" w:sz="0" w:space="0" w:color="auto"/>
        <w:left w:val="none" w:sz="0" w:space="0" w:color="auto"/>
        <w:bottom w:val="none" w:sz="0" w:space="0" w:color="auto"/>
        <w:right w:val="none" w:sz="0" w:space="0" w:color="auto"/>
      </w:divBdr>
    </w:div>
    <w:div w:id="1641227596">
      <w:bodyDiv w:val="1"/>
      <w:marLeft w:val="0"/>
      <w:marRight w:val="0"/>
      <w:marTop w:val="0"/>
      <w:marBottom w:val="0"/>
      <w:divBdr>
        <w:top w:val="none" w:sz="0" w:space="0" w:color="auto"/>
        <w:left w:val="none" w:sz="0" w:space="0" w:color="auto"/>
        <w:bottom w:val="none" w:sz="0" w:space="0" w:color="auto"/>
        <w:right w:val="none" w:sz="0" w:space="0" w:color="auto"/>
      </w:divBdr>
    </w:div>
    <w:div w:id="2046787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Roger-I" TargetMode="External"/><Relationship Id="rId3" Type="http://schemas.openxmlformats.org/officeDocument/2006/relationships/settings" Target="settings.xml"/><Relationship Id="rId7" Type="http://schemas.openxmlformats.org/officeDocument/2006/relationships/hyperlink" Target="https://www.britannica.com/biography/Dudo-of-Saint-Quentin"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biography/Roger-I" TargetMode="External"/><Relationship Id="rId1" Type="http://schemas.openxmlformats.org/officeDocument/2006/relationships/hyperlink" Target="https://www.britannica.com/biography/Dudo-of-Saint-Quent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7966</TotalTime>
  <Pages>8</Pages>
  <Words>2723</Words>
  <Characters>13561</Characters>
  <Application>Microsoft Office Word</Application>
  <DocSecurity>0</DocSecurity>
  <Lines>208</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Isaac Law</dc:creator>
  <cp:lastModifiedBy>Isaac Law</cp:lastModifiedBy>
  <cp:revision>287</cp:revision>
  <dcterms:created xsi:type="dcterms:W3CDTF">2023-02-05T16:11:00Z</dcterms:created>
  <dcterms:modified xsi:type="dcterms:W3CDTF">2023-02-12T23:57:00Z</dcterms:modified>
</cp:coreProperties>
</file>