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0274B"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University of Wales Trinity Saint David</w:t>
      </w:r>
    </w:p>
    <w:p w14:paraId="50405DBC"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Certificate of Higher Education: Skills for the Workplace (Health &amp; Social Care)</w:t>
      </w:r>
    </w:p>
    <w:p w14:paraId="5058C7F1" w14:textId="70BAE23C"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 xml:space="preserve">Module: LCHS4010 : </w:t>
      </w:r>
      <w:r w:rsidRPr="00201F7B">
        <w:rPr>
          <w:rFonts w:ascii="Arial" w:hAnsi="Arial" w:cs="Arial"/>
          <w:sz w:val="22"/>
          <w:szCs w:val="22"/>
        </w:rPr>
        <w:t>Psychology in Health and Social Care</w:t>
      </w:r>
    </w:p>
    <w:p w14:paraId="78FB4FCC" w14:textId="4C860CC2"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 xml:space="preserve">Assignment 2: </w:t>
      </w:r>
      <w:r w:rsidRPr="00201F7B">
        <w:rPr>
          <w:rFonts w:ascii="Arial" w:hAnsi="Arial" w:cs="Arial"/>
          <w:sz w:val="22"/>
          <w:szCs w:val="22"/>
        </w:rPr>
        <w:t>Written Report</w:t>
      </w:r>
      <w:r w:rsidRPr="00201F7B">
        <w:rPr>
          <w:rFonts w:ascii="Arial" w:hAnsi="Arial" w:cs="Arial"/>
          <w:b/>
          <w:bCs/>
          <w:sz w:val="22"/>
          <w:szCs w:val="22"/>
        </w:rPr>
        <w:t xml:space="preserve"> </w:t>
      </w:r>
    </w:p>
    <w:p w14:paraId="5C3150D9"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Title:</w:t>
      </w:r>
      <w:r w:rsidRPr="00201F7B">
        <w:rPr>
          <w:rFonts w:ascii="Arial" w:hAnsi="Arial" w:cs="Arial"/>
          <w:sz w:val="22"/>
          <w:szCs w:val="22"/>
        </w:rPr>
        <w:t xml:space="preserve"> Application of Continuity Theory and Social Learning Theory in Dementia Care</w:t>
      </w:r>
    </w:p>
    <w:p w14:paraId="35BE9BB8" w14:textId="3862BEA7" w:rsidR="00201F7B" w:rsidRPr="00C2721A" w:rsidRDefault="00201F7B" w:rsidP="00201F7B">
      <w:pPr>
        <w:spacing w:line="360" w:lineRule="auto"/>
        <w:rPr>
          <w:rFonts w:ascii="Arial" w:hAnsi="Arial" w:cs="Arial"/>
          <w:sz w:val="22"/>
          <w:szCs w:val="22"/>
        </w:rPr>
      </w:pPr>
      <w:r w:rsidRPr="00201F7B">
        <w:rPr>
          <w:rFonts w:ascii="Arial" w:hAnsi="Arial" w:cs="Arial"/>
          <w:b/>
          <w:bCs/>
          <w:sz w:val="22"/>
          <w:szCs w:val="22"/>
        </w:rPr>
        <w:t xml:space="preserve">Student Name: </w:t>
      </w:r>
      <w:r w:rsidR="00C2721A">
        <w:rPr>
          <w:rFonts w:ascii="Arial" w:hAnsi="Arial" w:cs="Arial"/>
          <w:sz w:val="22"/>
          <w:szCs w:val="22"/>
        </w:rPr>
        <w:t xml:space="preserve">John Chapman </w:t>
      </w:r>
    </w:p>
    <w:p w14:paraId="6C68BF47" w14:textId="00486282" w:rsidR="00201F7B" w:rsidRPr="00C2721A" w:rsidRDefault="00201F7B" w:rsidP="00201F7B">
      <w:pPr>
        <w:spacing w:line="360" w:lineRule="auto"/>
        <w:rPr>
          <w:rFonts w:ascii="Arial" w:hAnsi="Arial" w:cs="Arial"/>
          <w:sz w:val="22"/>
          <w:szCs w:val="22"/>
        </w:rPr>
      </w:pPr>
      <w:r w:rsidRPr="00201F7B">
        <w:rPr>
          <w:rFonts w:ascii="Arial" w:hAnsi="Arial" w:cs="Arial"/>
          <w:b/>
          <w:bCs/>
          <w:sz w:val="22"/>
          <w:szCs w:val="22"/>
        </w:rPr>
        <w:t xml:space="preserve">Student number: </w:t>
      </w:r>
      <w:r w:rsidR="00C2721A">
        <w:rPr>
          <w:rFonts w:ascii="Arial" w:hAnsi="Arial" w:cs="Arial"/>
          <w:sz w:val="22"/>
          <w:szCs w:val="22"/>
        </w:rPr>
        <w:t>2424587</w:t>
      </w:r>
    </w:p>
    <w:p w14:paraId="097EF40B" w14:textId="77498639" w:rsidR="00201F7B" w:rsidRPr="000A3059" w:rsidRDefault="00201F7B" w:rsidP="00201F7B">
      <w:pPr>
        <w:spacing w:line="360" w:lineRule="auto"/>
        <w:rPr>
          <w:rFonts w:ascii="Arial" w:hAnsi="Arial" w:cs="Arial"/>
          <w:sz w:val="22"/>
          <w:szCs w:val="22"/>
        </w:rPr>
      </w:pPr>
      <w:r w:rsidRPr="00201F7B">
        <w:rPr>
          <w:rFonts w:ascii="Arial" w:hAnsi="Arial" w:cs="Arial"/>
          <w:b/>
          <w:bCs/>
          <w:sz w:val="22"/>
          <w:szCs w:val="22"/>
        </w:rPr>
        <w:t xml:space="preserve">Lecturer: </w:t>
      </w:r>
      <w:r w:rsidR="000A3059">
        <w:rPr>
          <w:rFonts w:ascii="Arial" w:hAnsi="Arial" w:cs="Arial"/>
          <w:sz w:val="22"/>
          <w:szCs w:val="22"/>
        </w:rPr>
        <w:t>Shaila Hu</w:t>
      </w:r>
      <w:r w:rsidR="004451DE">
        <w:rPr>
          <w:rFonts w:ascii="Arial" w:hAnsi="Arial" w:cs="Arial"/>
          <w:sz w:val="22"/>
          <w:szCs w:val="22"/>
        </w:rPr>
        <w:t>ssain</w:t>
      </w:r>
    </w:p>
    <w:p w14:paraId="53DAEE40" w14:textId="3848E6DE" w:rsidR="00201F7B" w:rsidRPr="00201F7B" w:rsidRDefault="000A3059" w:rsidP="00201F7B">
      <w:pPr>
        <w:spacing w:line="360" w:lineRule="auto"/>
        <w:rPr>
          <w:rFonts w:ascii="Arial" w:hAnsi="Arial" w:cs="Arial"/>
          <w:b/>
          <w:bCs/>
          <w:sz w:val="22"/>
          <w:szCs w:val="22"/>
        </w:rPr>
      </w:pPr>
      <w:r>
        <w:rPr>
          <w:rFonts w:ascii="Arial" w:hAnsi="Arial" w:cs="Arial"/>
          <w:b/>
          <w:bCs/>
          <w:sz w:val="22"/>
          <w:szCs w:val="22"/>
        </w:rPr>
        <w:t xml:space="preserve"> </w:t>
      </w:r>
    </w:p>
    <w:p w14:paraId="62CF4164" w14:textId="77777777" w:rsidR="00201F7B" w:rsidRPr="00201F7B" w:rsidRDefault="00201F7B" w:rsidP="00201F7B">
      <w:pPr>
        <w:spacing w:line="360" w:lineRule="auto"/>
        <w:rPr>
          <w:rFonts w:ascii="Arial" w:hAnsi="Arial" w:cs="Arial"/>
          <w:b/>
          <w:bCs/>
          <w:sz w:val="22"/>
          <w:szCs w:val="22"/>
        </w:rPr>
      </w:pPr>
    </w:p>
    <w:p w14:paraId="2D5D4247" w14:textId="77777777" w:rsidR="00201F7B" w:rsidRPr="00201F7B" w:rsidRDefault="00201F7B" w:rsidP="00201F7B">
      <w:pPr>
        <w:spacing w:line="360" w:lineRule="auto"/>
        <w:rPr>
          <w:rFonts w:ascii="Arial" w:hAnsi="Arial" w:cs="Arial"/>
          <w:b/>
          <w:bCs/>
          <w:sz w:val="22"/>
          <w:szCs w:val="22"/>
        </w:rPr>
      </w:pPr>
    </w:p>
    <w:p w14:paraId="21518004" w14:textId="77777777" w:rsidR="00201F7B" w:rsidRPr="00201F7B" w:rsidRDefault="00201F7B" w:rsidP="00201F7B">
      <w:pPr>
        <w:spacing w:line="360" w:lineRule="auto"/>
        <w:rPr>
          <w:rFonts w:ascii="Arial" w:hAnsi="Arial" w:cs="Arial"/>
          <w:b/>
          <w:bCs/>
          <w:sz w:val="22"/>
          <w:szCs w:val="22"/>
        </w:rPr>
      </w:pPr>
    </w:p>
    <w:p w14:paraId="3C7A1BC1" w14:textId="77777777" w:rsidR="00201F7B" w:rsidRPr="00201F7B" w:rsidRDefault="00201F7B" w:rsidP="00201F7B">
      <w:pPr>
        <w:spacing w:line="360" w:lineRule="auto"/>
        <w:rPr>
          <w:rFonts w:ascii="Arial" w:hAnsi="Arial" w:cs="Arial"/>
          <w:b/>
          <w:bCs/>
          <w:sz w:val="22"/>
          <w:szCs w:val="22"/>
        </w:rPr>
      </w:pPr>
    </w:p>
    <w:p w14:paraId="73646691" w14:textId="77777777" w:rsidR="00201F7B" w:rsidRPr="00201F7B" w:rsidRDefault="00201F7B" w:rsidP="00201F7B">
      <w:pPr>
        <w:spacing w:line="360" w:lineRule="auto"/>
        <w:rPr>
          <w:rFonts w:ascii="Arial" w:hAnsi="Arial" w:cs="Arial"/>
          <w:b/>
          <w:bCs/>
          <w:sz w:val="22"/>
          <w:szCs w:val="22"/>
        </w:rPr>
      </w:pPr>
    </w:p>
    <w:p w14:paraId="72B52408" w14:textId="77777777" w:rsidR="00201F7B" w:rsidRPr="00201F7B" w:rsidRDefault="00201F7B" w:rsidP="00201F7B">
      <w:pPr>
        <w:spacing w:line="360" w:lineRule="auto"/>
        <w:rPr>
          <w:rFonts w:ascii="Arial" w:hAnsi="Arial" w:cs="Arial"/>
          <w:b/>
          <w:bCs/>
          <w:sz w:val="22"/>
          <w:szCs w:val="22"/>
        </w:rPr>
      </w:pPr>
    </w:p>
    <w:p w14:paraId="3298CEEB" w14:textId="77777777" w:rsidR="00201F7B" w:rsidRPr="00201F7B" w:rsidRDefault="00201F7B" w:rsidP="00201F7B">
      <w:pPr>
        <w:spacing w:line="360" w:lineRule="auto"/>
        <w:rPr>
          <w:rFonts w:ascii="Arial" w:hAnsi="Arial" w:cs="Arial"/>
          <w:b/>
          <w:bCs/>
          <w:sz w:val="22"/>
          <w:szCs w:val="22"/>
        </w:rPr>
      </w:pPr>
    </w:p>
    <w:p w14:paraId="5B1AE909" w14:textId="77777777" w:rsidR="00201F7B" w:rsidRPr="00201F7B" w:rsidRDefault="00201F7B" w:rsidP="00201F7B">
      <w:pPr>
        <w:spacing w:line="360" w:lineRule="auto"/>
        <w:rPr>
          <w:rFonts w:ascii="Arial" w:hAnsi="Arial" w:cs="Arial"/>
          <w:b/>
          <w:bCs/>
          <w:sz w:val="22"/>
          <w:szCs w:val="22"/>
        </w:rPr>
      </w:pPr>
    </w:p>
    <w:p w14:paraId="1DF6DE95" w14:textId="77777777" w:rsid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4DE4244" w14:textId="77777777" w:rsid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3AE4BE3" w14:textId="77777777" w:rsid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0498FE8A" w14:textId="77777777" w:rsid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D836F81" w14:textId="77777777" w:rsid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5ABC74A" w14:textId="77777777" w:rsid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E9B6182" w14:textId="77777777" w:rsid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8CD4A39" w14:textId="09F89E95" w:rsidR="00201F7B" w:rsidRPr="00201F7B" w:rsidRDefault="00201F7B" w:rsidP="00201F7B">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201F7B">
        <w:rPr>
          <w:rFonts w:ascii="Arial" w:eastAsia="Times New Roman" w:hAnsi="Arial" w:cs="Arial"/>
          <w:b/>
          <w:bCs/>
          <w:kern w:val="36"/>
          <w:sz w:val="22"/>
          <w:szCs w:val="22"/>
          <w:lang w:eastAsia="en-GB"/>
          <w14:ligatures w14:val="none"/>
        </w:rPr>
        <w:lastRenderedPageBreak/>
        <w:t>Table of Contents</w:t>
      </w:r>
    </w:p>
    <w:p w14:paraId="26A55156" w14:textId="77777777" w:rsidR="00201F7B" w:rsidRPr="00201F7B" w:rsidRDefault="00201F7B" w:rsidP="00201F7B">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b/>
          <w:bCs/>
          <w:kern w:val="0"/>
          <w:sz w:val="22"/>
          <w:szCs w:val="22"/>
          <w:lang w:eastAsia="en-GB"/>
          <w14:ligatures w14:val="none"/>
        </w:rPr>
        <w:t>Introduction</w:t>
      </w:r>
    </w:p>
    <w:p w14:paraId="2F2E27E9" w14:textId="77777777" w:rsidR="00201F7B" w:rsidRPr="00201F7B" w:rsidRDefault="00201F7B" w:rsidP="00201F7B">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b/>
          <w:bCs/>
          <w:kern w:val="0"/>
          <w:sz w:val="22"/>
          <w:szCs w:val="22"/>
          <w:lang w:eastAsia="en-GB"/>
          <w14:ligatures w14:val="none"/>
        </w:rPr>
        <w:t>Continuity Theory of Ageing</w:t>
      </w:r>
    </w:p>
    <w:p w14:paraId="18BDDD0E"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Explanation of the Theory</w:t>
      </w:r>
    </w:p>
    <w:p w14:paraId="46D61988"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Application to Dementia Care Practice</w:t>
      </w:r>
    </w:p>
    <w:p w14:paraId="1E9E6022"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Strengths of the Theory</w:t>
      </w:r>
    </w:p>
    <w:p w14:paraId="3CDAB724"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Limitations of the Theory</w:t>
      </w:r>
    </w:p>
    <w:p w14:paraId="2DB0C229"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Challenges and Strategies</w:t>
      </w:r>
    </w:p>
    <w:p w14:paraId="71156FD0" w14:textId="77777777" w:rsidR="00201F7B" w:rsidRPr="00201F7B" w:rsidRDefault="00201F7B" w:rsidP="00201F7B">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b/>
          <w:bCs/>
          <w:kern w:val="0"/>
          <w:sz w:val="22"/>
          <w:szCs w:val="22"/>
          <w:lang w:eastAsia="en-GB"/>
          <w14:ligatures w14:val="none"/>
        </w:rPr>
        <w:t>Social Learning Theory (Bandura)</w:t>
      </w:r>
    </w:p>
    <w:p w14:paraId="5E6F855B"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Explanation of the Theory</w:t>
      </w:r>
    </w:p>
    <w:p w14:paraId="775BEB91"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Application to Dementia Care Practice</w:t>
      </w:r>
    </w:p>
    <w:p w14:paraId="1C690F04"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Strengths of the Theory</w:t>
      </w:r>
    </w:p>
    <w:p w14:paraId="0571D151"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Limitations of the Theory</w:t>
      </w:r>
    </w:p>
    <w:p w14:paraId="7A77C120" w14:textId="77777777" w:rsidR="00201F7B" w:rsidRPr="00201F7B" w:rsidRDefault="00201F7B" w:rsidP="00201F7B">
      <w:pPr>
        <w:numPr>
          <w:ilvl w:val="1"/>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kern w:val="0"/>
          <w:sz w:val="22"/>
          <w:szCs w:val="22"/>
          <w:lang w:eastAsia="en-GB"/>
          <w14:ligatures w14:val="none"/>
        </w:rPr>
        <w:t>Challenges and Strategies</w:t>
      </w:r>
    </w:p>
    <w:p w14:paraId="5F38EB60" w14:textId="77777777" w:rsidR="00201F7B" w:rsidRPr="00201F7B" w:rsidRDefault="00201F7B" w:rsidP="00201F7B">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b/>
          <w:bCs/>
          <w:kern w:val="0"/>
          <w:sz w:val="22"/>
          <w:szCs w:val="22"/>
          <w:lang w:eastAsia="en-GB"/>
          <w14:ligatures w14:val="none"/>
        </w:rPr>
        <w:t>Conclusion</w:t>
      </w:r>
    </w:p>
    <w:p w14:paraId="25AA9A5E" w14:textId="77777777" w:rsidR="00201F7B" w:rsidRPr="00201F7B" w:rsidRDefault="00201F7B" w:rsidP="00201F7B">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201F7B">
        <w:rPr>
          <w:rFonts w:ascii="Arial" w:eastAsia="Times New Roman" w:hAnsi="Arial" w:cs="Arial"/>
          <w:b/>
          <w:bCs/>
          <w:kern w:val="0"/>
          <w:sz w:val="22"/>
          <w:szCs w:val="22"/>
          <w:lang w:eastAsia="en-GB"/>
          <w14:ligatures w14:val="none"/>
        </w:rPr>
        <w:t>Reference List</w:t>
      </w:r>
    </w:p>
    <w:p w14:paraId="4BA3314C" w14:textId="77777777" w:rsidR="00201F7B" w:rsidRPr="00201F7B" w:rsidRDefault="00201F7B" w:rsidP="00201F7B">
      <w:pPr>
        <w:spacing w:line="360" w:lineRule="auto"/>
        <w:rPr>
          <w:rFonts w:ascii="Arial" w:hAnsi="Arial" w:cs="Arial"/>
          <w:b/>
          <w:bCs/>
          <w:sz w:val="22"/>
          <w:szCs w:val="22"/>
        </w:rPr>
      </w:pPr>
    </w:p>
    <w:p w14:paraId="774066DB" w14:textId="77777777" w:rsidR="00201F7B" w:rsidRPr="00201F7B" w:rsidRDefault="00201F7B" w:rsidP="00201F7B">
      <w:pPr>
        <w:spacing w:line="360" w:lineRule="auto"/>
        <w:rPr>
          <w:rFonts w:ascii="Arial" w:hAnsi="Arial" w:cs="Arial"/>
          <w:b/>
          <w:bCs/>
          <w:sz w:val="22"/>
          <w:szCs w:val="22"/>
        </w:rPr>
      </w:pPr>
    </w:p>
    <w:p w14:paraId="521F48F3" w14:textId="77777777" w:rsidR="00201F7B" w:rsidRPr="00201F7B" w:rsidRDefault="00201F7B" w:rsidP="00201F7B">
      <w:pPr>
        <w:spacing w:line="360" w:lineRule="auto"/>
        <w:rPr>
          <w:rFonts w:ascii="Arial" w:hAnsi="Arial" w:cs="Arial"/>
          <w:b/>
          <w:bCs/>
          <w:sz w:val="22"/>
          <w:szCs w:val="22"/>
        </w:rPr>
      </w:pPr>
    </w:p>
    <w:p w14:paraId="35963925" w14:textId="77777777" w:rsidR="00201F7B" w:rsidRPr="00201F7B" w:rsidRDefault="00201F7B" w:rsidP="00201F7B">
      <w:pPr>
        <w:spacing w:line="360" w:lineRule="auto"/>
        <w:rPr>
          <w:rFonts w:ascii="Arial" w:hAnsi="Arial" w:cs="Arial"/>
          <w:b/>
          <w:bCs/>
          <w:sz w:val="22"/>
          <w:szCs w:val="22"/>
        </w:rPr>
      </w:pPr>
    </w:p>
    <w:p w14:paraId="2E84058D" w14:textId="77777777" w:rsidR="00201F7B" w:rsidRPr="00201F7B" w:rsidRDefault="00201F7B" w:rsidP="00201F7B">
      <w:pPr>
        <w:spacing w:line="360" w:lineRule="auto"/>
        <w:rPr>
          <w:rFonts w:ascii="Arial" w:hAnsi="Arial" w:cs="Arial"/>
          <w:b/>
          <w:bCs/>
          <w:sz w:val="22"/>
          <w:szCs w:val="22"/>
        </w:rPr>
      </w:pPr>
    </w:p>
    <w:p w14:paraId="3AA90BFC" w14:textId="77777777" w:rsidR="00201F7B" w:rsidRPr="00201F7B" w:rsidRDefault="00201F7B" w:rsidP="00201F7B">
      <w:pPr>
        <w:spacing w:line="360" w:lineRule="auto"/>
        <w:rPr>
          <w:rFonts w:ascii="Arial" w:hAnsi="Arial" w:cs="Arial"/>
          <w:b/>
          <w:bCs/>
          <w:sz w:val="22"/>
          <w:szCs w:val="22"/>
        </w:rPr>
      </w:pPr>
    </w:p>
    <w:p w14:paraId="0F40E3AD" w14:textId="77777777" w:rsidR="00201F7B" w:rsidRPr="00201F7B" w:rsidRDefault="00201F7B" w:rsidP="00201F7B">
      <w:pPr>
        <w:spacing w:line="360" w:lineRule="auto"/>
        <w:rPr>
          <w:rFonts w:ascii="Arial" w:hAnsi="Arial" w:cs="Arial"/>
          <w:b/>
          <w:bCs/>
          <w:sz w:val="22"/>
          <w:szCs w:val="22"/>
        </w:rPr>
      </w:pPr>
    </w:p>
    <w:p w14:paraId="7430DF64" w14:textId="77777777" w:rsidR="00201F7B" w:rsidRPr="00201F7B" w:rsidRDefault="00201F7B" w:rsidP="00201F7B">
      <w:pPr>
        <w:spacing w:line="360" w:lineRule="auto"/>
        <w:rPr>
          <w:rFonts w:ascii="Arial" w:hAnsi="Arial" w:cs="Arial"/>
          <w:b/>
          <w:bCs/>
          <w:sz w:val="22"/>
          <w:szCs w:val="22"/>
        </w:rPr>
      </w:pPr>
    </w:p>
    <w:p w14:paraId="4A7104D7" w14:textId="77777777" w:rsidR="00201F7B" w:rsidRPr="00201F7B" w:rsidRDefault="00201F7B" w:rsidP="00201F7B">
      <w:pPr>
        <w:spacing w:line="360" w:lineRule="auto"/>
        <w:rPr>
          <w:rFonts w:ascii="Arial" w:hAnsi="Arial" w:cs="Arial"/>
          <w:b/>
          <w:bCs/>
          <w:sz w:val="22"/>
          <w:szCs w:val="22"/>
        </w:rPr>
      </w:pPr>
    </w:p>
    <w:p w14:paraId="583AEB2E" w14:textId="77777777" w:rsidR="00201F7B" w:rsidRPr="00201F7B" w:rsidRDefault="00201F7B" w:rsidP="00201F7B">
      <w:pPr>
        <w:spacing w:line="360" w:lineRule="auto"/>
        <w:rPr>
          <w:rFonts w:ascii="Arial" w:hAnsi="Arial" w:cs="Arial"/>
          <w:b/>
          <w:bCs/>
          <w:sz w:val="22"/>
          <w:szCs w:val="22"/>
        </w:rPr>
      </w:pPr>
    </w:p>
    <w:p w14:paraId="7D5CD832" w14:textId="77777777" w:rsidR="00201F7B" w:rsidRPr="00201F7B" w:rsidRDefault="00201F7B" w:rsidP="00201F7B">
      <w:pPr>
        <w:spacing w:line="360" w:lineRule="auto"/>
        <w:rPr>
          <w:rFonts w:ascii="Arial" w:hAnsi="Arial" w:cs="Arial"/>
          <w:b/>
          <w:bCs/>
          <w:sz w:val="22"/>
          <w:szCs w:val="22"/>
        </w:rPr>
      </w:pPr>
    </w:p>
    <w:p w14:paraId="6305B352" w14:textId="77777777" w:rsidR="00201F7B" w:rsidRPr="00201F7B" w:rsidRDefault="00201F7B" w:rsidP="00201F7B">
      <w:pPr>
        <w:spacing w:line="360" w:lineRule="auto"/>
        <w:rPr>
          <w:rFonts w:ascii="Arial" w:hAnsi="Arial" w:cs="Arial"/>
          <w:b/>
          <w:bCs/>
          <w:sz w:val="22"/>
          <w:szCs w:val="22"/>
        </w:rPr>
      </w:pPr>
    </w:p>
    <w:p w14:paraId="166D7095" w14:textId="77777777" w:rsidR="00201F7B" w:rsidRPr="00201F7B" w:rsidRDefault="00201F7B" w:rsidP="00201F7B">
      <w:pPr>
        <w:spacing w:line="360" w:lineRule="auto"/>
        <w:rPr>
          <w:rFonts w:ascii="Arial" w:hAnsi="Arial" w:cs="Arial"/>
          <w:b/>
          <w:bCs/>
          <w:sz w:val="22"/>
          <w:szCs w:val="22"/>
        </w:rPr>
      </w:pPr>
    </w:p>
    <w:p w14:paraId="4A8E3429" w14:textId="153E69CC"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lastRenderedPageBreak/>
        <w:t>Psychological Perspectives in Dementia Care: Continuity Theory and Social Learning Theory</w:t>
      </w:r>
    </w:p>
    <w:p w14:paraId="4C73E3DB"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Introduction</w:t>
      </w:r>
    </w:p>
    <w:p w14:paraId="14F93608"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Psychological theories offer valuable insight into how older adults understand ageing, respond to change and behave within health and social care environments. These perspectives are particularly important in dementia care, where cognitive decline, memory loss and emotional changes can significantly affect an individual’s experience of daily life. This report focuses on a nursing home for adults aged 65 and over, many of whom live with moderate to advanced dementia alongside age-related physical frailty. Staff in this setting aim to promote dignity, independence, emotional wellbeing and meaningful engagement, despite the progressive nature of dementia.</w:t>
      </w:r>
    </w:p>
    <w:p w14:paraId="379A92D8"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To support this, practitioners can draw upon psychological theories that explain how older adults maintain identity, learn behaviours and adapt to their environment. This report examines Continuity Theory of Ageing (Atchley, 1989) and Social Learning Theory (Bandura, 1977), explaining their principles and analysing how each can be applied within dementia care. Strengths, limitations, challenges and practical strategies are explored to ensure a balanced and professional evaluation. By understanding these theories, staff can deliver more compassionate, person-centred and psychologically informed care, aligned with dementia best-practice guidance (NICE, 2022; Kitwood, 1997).</w:t>
      </w:r>
    </w:p>
    <w:p w14:paraId="40003C50" w14:textId="6D73DCF6" w:rsidR="00201F7B" w:rsidRPr="00201F7B" w:rsidRDefault="00201F7B" w:rsidP="00201F7B">
      <w:pPr>
        <w:spacing w:line="360" w:lineRule="auto"/>
        <w:rPr>
          <w:rFonts w:ascii="Arial" w:hAnsi="Arial" w:cs="Arial"/>
          <w:sz w:val="22"/>
          <w:szCs w:val="22"/>
        </w:rPr>
      </w:pPr>
    </w:p>
    <w:p w14:paraId="6416ACB7"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1. Continuity Theory of Ageing</w:t>
      </w:r>
    </w:p>
    <w:p w14:paraId="54ECD8A6"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Explanation of the Theory</w:t>
      </w:r>
    </w:p>
    <w:p w14:paraId="1D402EED"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Continuity Theory argues that older adults experience the greatest wellbeing when they are able to maintain consistency in habits, roles, values and relationships throughout their lives (Atchley, 1989). According to this perspective, identity is built gradually over time, and individuals actively try to preserve familiar patterns even during significant life transitions such as retirement, bereavement or relocation to a care home.</w:t>
      </w:r>
    </w:p>
    <w:p w14:paraId="4254ECAD"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The theory includes two forms of continuity:</w:t>
      </w:r>
    </w:p>
    <w:p w14:paraId="4F0873A0" w14:textId="77777777" w:rsidR="00201F7B" w:rsidRPr="00201F7B" w:rsidRDefault="00201F7B" w:rsidP="00201F7B">
      <w:pPr>
        <w:numPr>
          <w:ilvl w:val="0"/>
          <w:numId w:val="6"/>
        </w:numPr>
        <w:spacing w:line="360" w:lineRule="auto"/>
        <w:rPr>
          <w:rFonts w:ascii="Arial" w:hAnsi="Arial" w:cs="Arial"/>
          <w:sz w:val="22"/>
          <w:szCs w:val="22"/>
        </w:rPr>
      </w:pPr>
      <w:r w:rsidRPr="00201F7B">
        <w:rPr>
          <w:rFonts w:ascii="Arial" w:hAnsi="Arial" w:cs="Arial"/>
          <w:b/>
          <w:bCs/>
          <w:sz w:val="22"/>
          <w:szCs w:val="22"/>
        </w:rPr>
        <w:t>Internal continuity</w:t>
      </w:r>
      <w:r w:rsidRPr="00201F7B">
        <w:rPr>
          <w:rFonts w:ascii="Arial" w:hAnsi="Arial" w:cs="Arial"/>
          <w:sz w:val="22"/>
          <w:szCs w:val="22"/>
        </w:rPr>
        <w:t xml:space="preserve"> – personal identity, emotions, beliefs, personality traits.</w:t>
      </w:r>
    </w:p>
    <w:p w14:paraId="1248A59B" w14:textId="77777777" w:rsidR="00201F7B" w:rsidRPr="00201F7B" w:rsidRDefault="00201F7B" w:rsidP="00201F7B">
      <w:pPr>
        <w:numPr>
          <w:ilvl w:val="0"/>
          <w:numId w:val="6"/>
        </w:numPr>
        <w:spacing w:line="360" w:lineRule="auto"/>
        <w:rPr>
          <w:rFonts w:ascii="Arial" w:hAnsi="Arial" w:cs="Arial"/>
          <w:sz w:val="22"/>
          <w:szCs w:val="22"/>
        </w:rPr>
      </w:pPr>
      <w:r w:rsidRPr="00201F7B">
        <w:rPr>
          <w:rFonts w:ascii="Arial" w:hAnsi="Arial" w:cs="Arial"/>
          <w:b/>
          <w:bCs/>
          <w:sz w:val="22"/>
          <w:szCs w:val="22"/>
        </w:rPr>
        <w:t>External continuity</w:t>
      </w:r>
      <w:r w:rsidRPr="00201F7B">
        <w:rPr>
          <w:rFonts w:ascii="Arial" w:hAnsi="Arial" w:cs="Arial"/>
          <w:sz w:val="22"/>
          <w:szCs w:val="22"/>
        </w:rPr>
        <w:t xml:space="preserve"> – social relationships, daily routines, activities, environment.</w:t>
      </w:r>
    </w:p>
    <w:p w14:paraId="0805F50B"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As people age, these continuities help provide stability and a sense of self (Wadensten, 2006). However, dementia can disrupt both internal and external continuity due to memory </w:t>
      </w:r>
      <w:r w:rsidRPr="00201F7B">
        <w:rPr>
          <w:rFonts w:ascii="Arial" w:hAnsi="Arial" w:cs="Arial"/>
          <w:sz w:val="22"/>
          <w:szCs w:val="22"/>
        </w:rPr>
        <w:lastRenderedPageBreak/>
        <w:t>loss, sensory decline and changes in judgement. This makes the theory especially relevant for practitioners supporting people whose identity and routines are becoming fragmented.</w:t>
      </w:r>
    </w:p>
    <w:p w14:paraId="67965048"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Application to Dementia Care Practice</w:t>
      </w:r>
    </w:p>
    <w:p w14:paraId="0C92B738"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1. Life story work and identity support</w:t>
      </w:r>
    </w:p>
    <w:p w14:paraId="738BA9BF"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Understanding a resident’s past lifestyle, family background and personal history helps staff tailor care in ways that maintain internal continuity. Tools such as </w:t>
      </w:r>
      <w:r w:rsidRPr="00201F7B">
        <w:rPr>
          <w:rFonts w:ascii="Arial" w:hAnsi="Arial" w:cs="Arial"/>
          <w:i/>
          <w:iCs/>
          <w:sz w:val="22"/>
          <w:szCs w:val="22"/>
        </w:rPr>
        <w:t>“This Is Me”</w:t>
      </w:r>
      <w:r w:rsidRPr="00201F7B">
        <w:rPr>
          <w:rFonts w:ascii="Arial" w:hAnsi="Arial" w:cs="Arial"/>
          <w:sz w:val="22"/>
          <w:szCs w:val="22"/>
        </w:rPr>
        <w:t xml:space="preserve"> encourage personalised communication and reduce distress caused by unfamiliar approaches (Alzheimer’s Society, 2023).</w:t>
      </w:r>
    </w:p>
    <w:p w14:paraId="4FFBEC63"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2. Familiar routines to promote comfort</w:t>
      </w:r>
    </w:p>
    <w:p w14:paraId="0EA8704E"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Continuity Theory suggests that maintaining lifelong habits reduces anxiety. For example, a resident who has always started the day with tea and a newspaper may feel calmer if this routine is preserved. Research shows that routine-based care reduces agitation in dementia settings by providing predictability (Surr and Gates, 2020).</w:t>
      </w:r>
    </w:p>
    <w:p w14:paraId="6EE907BF"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3. Environment and sensory continuity</w:t>
      </w:r>
    </w:p>
    <w:p w14:paraId="7CDB190D"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Familiar music, scents, photographs or objects help activate long-term memory pathways, which are often preserved longer than short-term memory in dementia (Werezak &amp; Stewart, 2009). This helps residents feel grounded and emotionally secure.</w:t>
      </w:r>
    </w:p>
    <w:p w14:paraId="7C5D12DC"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4. Social continuity</w:t>
      </w:r>
    </w:p>
    <w:p w14:paraId="19A98DF7"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Encouraging involvement in religious groups, cultural practices or social activities the individual valued earlier in life maintains social identity and prevents isolation—an important factor in wellbeing (NICE, 2022).</w:t>
      </w:r>
    </w:p>
    <w:p w14:paraId="18B802F1"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Strengths of the Theory</w:t>
      </w:r>
    </w:p>
    <w:p w14:paraId="66559298" w14:textId="77777777" w:rsidR="00201F7B" w:rsidRPr="00201F7B" w:rsidRDefault="00201F7B" w:rsidP="00201F7B">
      <w:pPr>
        <w:numPr>
          <w:ilvl w:val="0"/>
          <w:numId w:val="7"/>
        </w:numPr>
        <w:spacing w:line="360" w:lineRule="auto"/>
        <w:rPr>
          <w:rFonts w:ascii="Arial" w:hAnsi="Arial" w:cs="Arial"/>
          <w:sz w:val="22"/>
          <w:szCs w:val="22"/>
        </w:rPr>
      </w:pPr>
      <w:r w:rsidRPr="00201F7B">
        <w:rPr>
          <w:rFonts w:ascii="Arial" w:hAnsi="Arial" w:cs="Arial"/>
          <w:b/>
          <w:bCs/>
          <w:sz w:val="22"/>
          <w:szCs w:val="22"/>
        </w:rPr>
        <w:t>Highly compatible with person-centred dementia care</w:t>
      </w:r>
      <w:r w:rsidRPr="00201F7B">
        <w:rPr>
          <w:rFonts w:ascii="Arial" w:hAnsi="Arial" w:cs="Arial"/>
          <w:sz w:val="22"/>
          <w:szCs w:val="22"/>
        </w:rPr>
        <w:t>, which prioritises preserving identity and individuality (Kitwood, 1997).</w:t>
      </w:r>
    </w:p>
    <w:p w14:paraId="7BE5B026" w14:textId="77777777" w:rsidR="00201F7B" w:rsidRPr="00201F7B" w:rsidRDefault="00201F7B" w:rsidP="00201F7B">
      <w:pPr>
        <w:numPr>
          <w:ilvl w:val="0"/>
          <w:numId w:val="7"/>
        </w:numPr>
        <w:spacing w:line="360" w:lineRule="auto"/>
        <w:rPr>
          <w:rFonts w:ascii="Arial" w:hAnsi="Arial" w:cs="Arial"/>
          <w:sz w:val="22"/>
          <w:szCs w:val="22"/>
        </w:rPr>
      </w:pPr>
      <w:r w:rsidRPr="00201F7B">
        <w:rPr>
          <w:rFonts w:ascii="Arial" w:hAnsi="Arial" w:cs="Arial"/>
          <w:sz w:val="22"/>
          <w:szCs w:val="22"/>
        </w:rPr>
        <w:t xml:space="preserve">Helps staff understand </w:t>
      </w:r>
      <w:r w:rsidRPr="00201F7B">
        <w:rPr>
          <w:rFonts w:ascii="Arial" w:hAnsi="Arial" w:cs="Arial"/>
          <w:i/>
          <w:iCs/>
          <w:sz w:val="22"/>
          <w:szCs w:val="22"/>
        </w:rPr>
        <w:t>why</w:t>
      </w:r>
      <w:r w:rsidRPr="00201F7B">
        <w:rPr>
          <w:rFonts w:ascii="Arial" w:hAnsi="Arial" w:cs="Arial"/>
          <w:sz w:val="22"/>
          <w:szCs w:val="22"/>
        </w:rPr>
        <w:t xml:space="preserve"> sudden changes in routine may trigger distress, aggression or confusion.</w:t>
      </w:r>
    </w:p>
    <w:p w14:paraId="35A3A754" w14:textId="77777777" w:rsidR="00201F7B" w:rsidRPr="00201F7B" w:rsidRDefault="00201F7B" w:rsidP="00201F7B">
      <w:pPr>
        <w:numPr>
          <w:ilvl w:val="0"/>
          <w:numId w:val="7"/>
        </w:numPr>
        <w:spacing w:line="360" w:lineRule="auto"/>
        <w:rPr>
          <w:rFonts w:ascii="Arial" w:hAnsi="Arial" w:cs="Arial"/>
          <w:sz w:val="22"/>
          <w:szCs w:val="22"/>
        </w:rPr>
      </w:pPr>
      <w:r w:rsidRPr="00201F7B">
        <w:rPr>
          <w:rFonts w:ascii="Arial" w:hAnsi="Arial" w:cs="Arial"/>
          <w:sz w:val="22"/>
          <w:szCs w:val="22"/>
        </w:rPr>
        <w:t>Offers practical, achievable strategies even in busy care environments, such as using personal objects or predictable routines.</w:t>
      </w:r>
    </w:p>
    <w:p w14:paraId="62570F5D" w14:textId="77777777" w:rsidR="00201F7B" w:rsidRPr="00201F7B" w:rsidRDefault="00201F7B" w:rsidP="00201F7B">
      <w:pPr>
        <w:numPr>
          <w:ilvl w:val="0"/>
          <w:numId w:val="7"/>
        </w:numPr>
        <w:spacing w:line="360" w:lineRule="auto"/>
        <w:rPr>
          <w:rFonts w:ascii="Arial" w:hAnsi="Arial" w:cs="Arial"/>
          <w:sz w:val="22"/>
          <w:szCs w:val="22"/>
        </w:rPr>
      </w:pPr>
      <w:r w:rsidRPr="00201F7B">
        <w:rPr>
          <w:rFonts w:ascii="Arial" w:hAnsi="Arial" w:cs="Arial"/>
          <w:sz w:val="22"/>
          <w:szCs w:val="22"/>
        </w:rPr>
        <w:t>Supported by research linking familiar routines to reduced behavioural symptoms (Surr &amp; Gates, 2020).</w:t>
      </w:r>
    </w:p>
    <w:p w14:paraId="40F5586C"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lastRenderedPageBreak/>
        <w:t>Limitations of the Theory</w:t>
      </w:r>
    </w:p>
    <w:p w14:paraId="1F4E07D2" w14:textId="77777777" w:rsidR="00201F7B" w:rsidRPr="00201F7B" w:rsidRDefault="00201F7B" w:rsidP="00201F7B">
      <w:pPr>
        <w:numPr>
          <w:ilvl w:val="0"/>
          <w:numId w:val="8"/>
        </w:numPr>
        <w:spacing w:line="360" w:lineRule="auto"/>
        <w:rPr>
          <w:rFonts w:ascii="Arial" w:hAnsi="Arial" w:cs="Arial"/>
          <w:sz w:val="22"/>
          <w:szCs w:val="22"/>
        </w:rPr>
      </w:pPr>
      <w:r w:rsidRPr="00201F7B">
        <w:rPr>
          <w:rFonts w:ascii="Arial" w:hAnsi="Arial" w:cs="Arial"/>
          <w:sz w:val="22"/>
          <w:szCs w:val="22"/>
        </w:rPr>
        <w:t>Dementia may make it impossible to maintain some lifelong habits due to cognitive or physical decline (Brooker &amp; Latham, 2020).</w:t>
      </w:r>
    </w:p>
    <w:p w14:paraId="0F8EBBF0" w14:textId="77777777" w:rsidR="00201F7B" w:rsidRPr="00201F7B" w:rsidRDefault="00201F7B" w:rsidP="00201F7B">
      <w:pPr>
        <w:numPr>
          <w:ilvl w:val="0"/>
          <w:numId w:val="8"/>
        </w:numPr>
        <w:spacing w:line="360" w:lineRule="auto"/>
        <w:rPr>
          <w:rFonts w:ascii="Arial" w:hAnsi="Arial" w:cs="Arial"/>
          <w:sz w:val="22"/>
          <w:szCs w:val="22"/>
        </w:rPr>
      </w:pPr>
      <w:r w:rsidRPr="00201F7B">
        <w:rPr>
          <w:rFonts w:ascii="Arial" w:hAnsi="Arial" w:cs="Arial"/>
          <w:sz w:val="22"/>
          <w:szCs w:val="22"/>
        </w:rPr>
        <w:t>Past experiences may not always be positive; continuity of harmful or traumatic routines is inappropriate.</w:t>
      </w:r>
    </w:p>
    <w:p w14:paraId="71CCA5F3" w14:textId="77777777" w:rsidR="00201F7B" w:rsidRPr="00201F7B" w:rsidRDefault="00201F7B" w:rsidP="00201F7B">
      <w:pPr>
        <w:numPr>
          <w:ilvl w:val="0"/>
          <w:numId w:val="8"/>
        </w:numPr>
        <w:spacing w:line="360" w:lineRule="auto"/>
        <w:rPr>
          <w:rFonts w:ascii="Arial" w:hAnsi="Arial" w:cs="Arial"/>
          <w:sz w:val="22"/>
          <w:szCs w:val="22"/>
        </w:rPr>
      </w:pPr>
      <w:r w:rsidRPr="00201F7B">
        <w:rPr>
          <w:rFonts w:ascii="Arial" w:hAnsi="Arial" w:cs="Arial"/>
          <w:sz w:val="22"/>
          <w:szCs w:val="22"/>
        </w:rPr>
        <w:t>Staff time pressures may limit opportunities for personalised continuity-based activities.</w:t>
      </w:r>
    </w:p>
    <w:p w14:paraId="53074B38" w14:textId="77777777" w:rsidR="00201F7B" w:rsidRPr="00201F7B" w:rsidRDefault="00201F7B" w:rsidP="00201F7B">
      <w:pPr>
        <w:numPr>
          <w:ilvl w:val="0"/>
          <w:numId w:val="8"/>
        </w:numPr>
        <w:spacing w:line="360" w:lineRule="auto"/>
        <w:rPr>
          <w:rFonts w:ascii="Arial" w:hAnsi="Arial" w:cs="Arial"/>
          <w:sz w:val="22"/>
          <w:szCs w:val="22"/>
        </w:rPr>
      </w:pPr>
      <w:r w:rsidRPr="00201F7B">
        <w:rPr>
          <w:rFonts w:ascii="Arial" w:hAnsi="Arial" w:cs="Arial"/>
          <w:sz w:val="22"/>
          <w:szCs w:val="22"/>
        </w:rPr>
        <w:t>Residents with advanced dementia may not recognise familiar routines consistently, limiting the effectiveness of the approach.</w:t>
      </w:r>
    </w:p>
    <w:p w14:paraId="59DD8B91"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Challenges and Strategies for Implementation</w:t>
      </w:r>
    </w:p>
    <w:p w14:paraId="23402CEB"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 1: Inconsistent staffing</w:t>
      </w:r>
    </w:p>
    <w:p w14:paraId="7007F4C8"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Rotating staff may struggle to maintain personalised routines.</w:t>
      </w:r>
      <w:r w:rsidRPr="00201F7B">
        <w:rPr>
          <w:rFonts w:ascii="Arial" w:hAnsi="Arial" w:cs="Arial"/>
          <w:sz w:val="22"/>
          <w:szCs w:val="22"/>
        </w:rPr>
        <w:br/>
      </w:r>
      <w:r w:rsidRPr="00201F7B">
        <w:rPr>
          <w:rFonts w:ascii="Arial" w:hAnsi="Arial" w:cs="Arial"/>
          <w:b/>
          <w:bCs/>
          <w:sz w:val="22"/>
          <w:szCs w:val="22"/>
        </w:rPr>
        <w:t>Strategy:</w:t>
      </w:r>
      <w:r w:rsidRPr="00201F7B">
        <w:rPr>
          <w:rFonts w:ascii="Arial" w:hAnsi="Arial" w:cs="Arial"/>
          <w:sz w:val="22"/>
          <w:szCs w:val="22"/>
        </w:rPr>
        <w:t xml:space="preserve"> Use clear care plans and life-story documentation accessible to all staff.</w:t>
      </w:r>
    </w:p>
    <w:p w14:paraId="7C468C72"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 2: Limited time for individualised activities</w:t>
      </w:r>
    </w:p>
    <w:p w14:paraId="3986F1EB"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High workload may restrict reminiscence or personalised engagement.</w:t>
      </w:r>
      <w:r w:rsidRPr="00201F7B">
        <w:rPr>
          <w:rFonts w:ascii="Arial" w:hAnsi="Arial" w:cs="Arial"/>
          <w:sz w:val="22"/>
          <w:szCs w:val="22"/>
        </w:rPr>
        <w:br/>
      </w:r>
      <w:r w:rsidRPr="00201F7B">
        <w:rPr>
          <w:rFonts w:ascii="Arial" w:hAnsi="Arial" w:cs="Arial"/>
          <w:b/>
          <w:bCs/>
          <w:sz w:val="22"/>
          <w:szCs w:val="22"/>
        </w:rPr>
        <w:t>Strategy:</w:t>
      </w:r>
      <w:r w:rsidRPr="00201F7B">
        <w:rPr>
          <w:rFonts w:ascii="Arial" w:hAnsi="Arial" w:cs="Arial"/>
          <w:sz w:val="22"/>
          <w:szCs w:val="22"/>
        </w:rPr>
        <w:t xml:space="preserve"> Integrate continuity into essential care tasks (e.g., preferred communication style during personal care).</w:t>
      </w:r>
    </w:p>
    <w:p w14:paraId="08FB8BA2"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 3: Family disagreements about the resident’s past</w:t>
      </w:r>
    </w:p>
    <w:p w14:paraId="35286F5D"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Different relatives may report conflicting information.</w:t>
      </w:r>
      <w:r w:rsidRPr="00201F7B">
        <w:rPr>
          <w:rFonts w:ascii="Arial" w:hAnsi="Arial" w:cs="Arial"/>
          <w:sz w:val="22"/>
          <w:szCs w:val="22"/>
        </w:rPr>
        <w:br/>
      </w:r>
      <w:r w:rsidRPr="00201F7B">
        <w:rPr>
          <w:rFonts w:ascii="Arial" w:hAnsi="Arial" w:cs="Arial"/>
          <w:b/>
          <w:bCs/>
          <w:sz w:val="22"/>
          <w:szCs w:val="22"/>
        </w:rPr>
        <w:t>Strategy:</w:t>
      </w:r>
      <w:r w:rsidRPr="00201F7B">
        <w:rPr>
          <w:rFonts w:ascii="Arial" w:hAnsi="Arial" w:cs="Arial"/>
          <w:sz w:val="22"/>
          <w:szCs w:val="22"/>
        </w:rPr>
        <w:t xml:space="preserve"> Hold family meetings to agree on core preferences and values that should guide care.</w:t>
      </w:r>
    </w:p>
    <w:p w14:paraId="3E798917"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2. Social Learning Theory (Bandura)</w:t>
      </w:r>
    </w:p>
    <w:p w14:paraId="578D1DC8"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Explanation of the Theory</w:t>
      </w:r>
    </w:p>
    <w:p w14:paraId="5BBC671C"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Social Learning Theory (SLT), proposed by Bandura (1977), suggests that people learn behaviours through observing, imitating and modelling the actions of others. Unlike behavioural theories that focus only on reinforcement, SLT recognises the interaction between cognitive processing, social environment and observational learning. Bandura identifies four essential stages:</w:t>
      </w:r>
    </w:p>
    <w:p w14:paraId="65CC74C3" w14:textId="77777777" w:rsidR="00201F7B" w:rsidRPr="00201F7B" w:rsidRDefault="00201F7B" w:rsidP="00201F7B">
      <w:pPr>
        <w:numPr>
          <w:ilvl w:val="0"/>
          <w:numId w:val="9"/>
        </w:numPr>
        <w:spacing w:line="360" w:lineRule="auto"/>
        <w:rPr>
          <w:rFonts w:ascii="Arial" w:hAnsi="Arial" w:cs="Arial"/>
          <w:sz w:val="22"/>
          <w:szCs w:val="22"/>
        </w:rPr>
      </w:pPr>
      <w:r w:rsidRPr="00201F7B">
        <w:rPr>
          <w:rFonts w:ascii="Arial" w:hAnsi="Arial" w:cs="Arial"/>
          <w:b/>
          <w:bCs/>
          <w:sz w:val="22"/>
          <w:szCs w:val="22"/>
        </w:rPr>
        <w:t>Attention</w:t>
      </w:r>
      <w:r w:rsidRPr="00201F7B">
        <w:rPr>
          <w:rFonts w:ascii="Arial" w:hAnsi="Arial" w:cs="Arial"/>
          <w:sz w:val="22"/>
          <w:szCs w:val="22"/>
        </w:rPr>
        <w:t xml:space="preserve"> – the individual notices a behaviour.</w:t>
      </w:r>
    </w:p>
    <w:p w14:paraId="6FA843A4" w14:textId="77777777" w:rsidR="00201F7B" w:rsidRPr="00201F7B" w:rsidRDefault="00201F7B" w:rsidP="00201F7B">
      <w:pPr>
        <w:numPr>
          <w:ilvl w:val="0"/>
          <w:numId w:val="9"/>
        </w:numPr>
        <w:spacing w:line="360" w:lineRule="auto"/>
        <w:rPr>
          <w:rFonts w:ascii="Arial" w:hAnsi="Arial" w:cs="Arial"/>
          <w:sz w:val="22"/>
          <w:szCs w:val="22"/>
        </w:rPr>
      </w:pPr>
      <w:r w:rsidRPr="00201F7B">
        <w:rPr>
          <w:rFonts w:ascii="Arial" w:hAnsi="Arial" w:cs="Arial"/>
          <w:b/>
          <w:bCs/>
          <w:sz w:val="22"/>
          <w:szCs w:val="22"/>
        </w:rPr>
        <w:t>Retention</w:t>
      </w:r>
      <w:r w:rsidRPr="00201F7B">
        <w:rPr>
          <w:rFonts w:ascii="Arial" w:hAnsi="Arial" w:cs="Arial"/>
          <w:sz w:val="22"/>
          <w:szCs w:val="22"/>
        </w:rPr>
        <w:t xml:space="preserve"> – the behaviour is remembered.</w:t>
      </w:r>
    </w:p>
    <w:p w14:paraId="2537CC83" w14:textId="77777777" w:rsidR="00201F7B" w:rsidRPr="00201F7B" w:rsidRDefault="00201F7B" w:rsidP="00201F7B">
      <w:pPr>
        <w:numPr>
          <w:ilvl w:val="0"/>
          <w:numId w:val="9"/>
        </w:numPr>
        <w:spacing w:line="360" w:lineRule="auto"/>
        <w:rPr>
          <w:rFonts w:ascii="Arial" w:hAnsi="Arial" w:cs="Arial"/>
          <w:sz w:val="22"/>
          <w:szCs w:val="22"/>
        </w:rPr>
      </w:pPr>
      <w:r w:rsidRPr="00201F7B">
        <w:rPr>
          <w:rFonts w:ascii="Arial" w:hAnsi="Arial" w:cs="Arial"/>
          <w:b/>
          <w:bCs/>
          <w:sz w:val="22"/>
          <w:szCs w:val="22"/>
        </w:rPr>
        <w:lastRenderedPageBreak/>
        <w:t>Reproduction</w:t>
      </w:r>
      <w:r w:rsidRPr="00201F7B">
        <w:rPr>
          <w:rFonts w:ascii="Arial" w:hAnsi="Arial" w:cs="Arial"/>
          <w:sz w:val="22"/>
          <w:szCs w:val="22"/>
        </w:rPr>
        <w:t xml:space="preserve"> – the individual attempts to replicate the behaviour.</w:t>
      </w:r>
    </w:p>
    <w:p w14:paraId="68AD80A6" w14:textId="77777777" w:rsidR="00201F7B" w:rsidRPr="00201F7B" w:rsidRDefault="00201F7B" w:rsidP="00201F7B">
      <w:pPr>
        <w:numPr>
          <w:ilvl w:val="0"/>
          <w:numId w:val="9"/>
        </w:numPr>
        <w:spacing w:line="360" w:lineRule="auto"/>
        <w:rPr>
          <w:rFonts w:ascii="Arial" w:hAnsi="Arial" w:cs="Arial"/>
          <w:sz w:val="22"/>
          <w:szCs w:val="22"/>
        </w:rPr>
      </w:pPr>
      <w:r w:rsidRPr="00201F7B">
        <w:rPr>
          <w:rFonts w:ascii="Arial" w:hAnsi="Arial" w:cs="Arial"/>
          <w:b/>
          <w:bCs/>
          <w:sz w:val="22"/>
          <w:szCs w:val="22"/>
        </w:rPr>
        <w:t>Motivation</w:t>
      </w:r>
      <w:r w:rsidRPr="00201F7B">
        <w:rPr>
          <w:rFonts w:ascii="Arial" w:hAnsi="Arial" w:cs="Arial"/>
          <w:sz w:val="22"/>
          <w:szCs w:val="22"/>
        </w:rPr>
        <w:t xml:space="preserve"> – the individual chooses whether to imitate the behaviour, influenced by consequences.</w:t>
      </w:r>
    </w:p>
    <w:p w14:paraId="632D4FF2"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Although originally explored in child development, SLT is widely applied in adult and older-adult health contexts, especially where learning is shaped by social environments, routines and emotional cues (McLeod, 2016). This makes SLT highly relevant for dementia care, where residents frequently respond to staff behaviour, tone and modelling, even when verbal reasoning may be impaired.</w:t>
      </w:r>
    </w:p>
    <w:p w14:paraId="5C60E97A"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Application to Dementia Care Practice</w:t>
      </w:r>
    </w:p>
    <w:p w14:paraId="0CE9E31C"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1. Staff behaviour directly influences residents</w:t>
      </w:r>
    </w:p>
    <w:p w14:paraId="03BA7155"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Residents with dementia often mirror the emotions and behaviours of the people around them. Calm, patient staff responses can reduce anxiety and aggression, while rushed or stressed interactions can unintentionally escalate distress (Brooker &amp; Latham, 2020). SLT helps staff understand that </w:t>
      </w:r>
      <w:r w:rsidRPr="00201F7B">
        <w:rPr>
          <w:rFonts w:ascii="Arial" w:hAnsi="Arial" w:cs="Arial"/>
          <w:i/>
          <w:iCs/>
          <w:sz w:val="22"/>
          <w:szCs w:val="22"/>
        </w:rPr>
        <w:t>their behaviour becomes a model</w:t>
      </w:r>
      <w:r w:rsidRPr="00201F7B">
        <w:rPr>
          <w:rFonts w:ascii="Arial" w:hAnsi="Arial" w:cs="Arial"/>
          <w:sz w:val="22"/>
          <w:szCs w:val="22"/>
        </w:rPr>
        <w:t xml:space="preserve"> for residents.</w:t>
      </w:r>
    </w:p>
    <w:p w14:paraId="229A7A49"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2. Social contagion in communal areas</w:t>
      </w:r>
    </w:p>
    <w:p w14:paraId="1B520309"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In nursing home lounges, residents may observe and imitate other residents’ behaviours. For example, if one resident becomes anxious or wanders, nearby individuals may follow. Staff can use this understanding to organise the environment, reduce triggers and provide positive modelling (NICE, 2022).</w:t>
      </w:r>
    </w:p>
    <w:p w14:paraId="344B32CF"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3. Use of modelling for daily tasks</w:t>
      </w:r>
    </w:p>
    <w:p w14:paraId="43E8EE10"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Procedural memory often remains intact longer than episodic memory in dementia. Demonstrating activities—such as brushing hair, washing hands or using cutlery—helps residents retain independence (Werezak &amp; Stewart, 2009). SLT supports the importance of showing, not just telling.</w:t>
      </w:r>
    </w:p>
    <w:p w14:paraId="5A01C4DC"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4. Reinforcement in group activities</w:t>
      </w:r>
    </w:p>
    <w:p w14:paraId="10EA1F17"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Seeing peers enjoy music groups, gentle exercise or reminiscence sessions motivates residents to join in, even if they cannot fully articulate why. Positive social experiences encourage engagement and reduce isolation (Surr &amp; Gates, 2020).</w:t>
      </w:r>
    </w:p>
    <w:p w14:paraId="00B76FCE"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Strengths of SLT in Dementia Care</w:t>
      </w:r>
    </w:p>
    <w:p w14:paraId="1848D907" w14:textId="77777777" w:rsidR="00201F7B" w:rsidRPr="00201F7B" w:rsidRDefault="00201F7B" w:rsidP="00201F7B">
      <w:pPr>
        <w:numPr>
          <w:ilvl w:val="0"/>
          <w:numId w:val="10"/>
        </w:numPr>
        <w:spacing w:line="360" w:lineRule="auto"/>
        <w:rPr>
          <w:rFonts w:ascii="Arial" w:hAnsi="Arial" w:cs="Arial"/>
          <w:sz w:val="22"/>
          <w:szCs w:val="22"/>
        </w:rPr>
      </w:pPr>
      <w:r w:rsidRPr="00201F7B">
        <w:rPr>
          <w:rFonts w:ascii="Arial" w:hAnsi="Arial" w:cs="Arial"/>
          <w:sz w:val="22"/>
          <w:szCs w:val="22"/>
        </w:rPr>
        <w:t>Demonstrates the crucial influence of staff behaviour, supporting compassionate care approaches.</w:t>
      </w:r>
    </w:p>
    <w:p w14:paraId="3DBA94F2" w14:textId="77777777" w:rsidR="00201F7B" w:rsidRPr="00201F7B" w:rsidRDefault="00201F7B" w:rsidP="00201F7B">
      <w:pPr>
        <w:numPr>
          <w:ilvl w:val="0"/>
          <w:numId w:val="10"/>
        </w:numPr>
        <w:spacing w:line="360" w:lineRule="auto"/>
        <w:rPr>
          <w:rFonts w:ascii="Arial" w:hAnsi="Arial" w:cs="Arial"/>
          <w:sz w:val="22"/>
          <w:szCs w:val="22"/>
        </w:rPr>
      </w:pPr>
      <w:r w:rsidRPr="00201F7B">
        <w:rPr>
          <w:rFonts w:ascii="Arial" w:hAnsi="Arial" w:cs="Arial"/>
          <w:sz w:val="22"/>
          <w:szCs w:val="22"/>
        </w:rPr>
        <w:t>Explains why predictable routines and calm communication reduce behavioural symptoms (NICE, 2022).</w:t>
      </w:r>
    </w:p>
    <w:p w14:paraId="39F0DE1F" w14:textId="77777777" w:rsidR="00201F7B" w:rsidRPr="00201F7B" w:rsidRDefault="00201F7B" w:rsidP="00201F7B">
      <w:pPr>
        <w:numPr>
          <w:ilvl w:val="0"/>
          <w:numId w:val="10"/>
        </w:numPr>
        <w:spacing w:line="360" w:lineRule="auto"/>
        <w:rPr>
          <w:rFonts w:ascii="Arial" w:hAnsi="Arial" w:cs="Arial"/>
          <w:sz w:val="22"/>
          <w:szCs w:val="22"/>
        </w:rPr>
      </w:pPr>
      <w:r w:rsidRPr="00201F7B">
        <w:rPr>
          <w:rFonts w:ascii="Arial" w:hAnsi="Arial" w:cs="Arial"/>
          <w:sz w:val="22"/>
          <w:szCs w:val="22"/>
        </w:rPr>
        <w:t>Helps staff understand the environmental causes of distress, rather than blaming the individual.</w:t>
      </w:r>
    </w:p>
    <w:p w14:paraId="68861118" w14:textId="77777777" w:rsidR="00201F7B" w:rsidRPr="00201F7B" w:rsidRDefault="00201F7B" w:rsidP="00201F7B">
      <w:pPr>
        <w:numPr>
          <w:ilvl w:val="0"/>
          <w:numId w:val="10"/>
        </w:numPr>
        <w:spacing w:line="360" w:lineRule="auto"/>
        <w:rPr>
          <w:rFonts w:ascii="Arial" w:hAnsi="Arial" w:cs="Arial"/>
          <w:sz w:val="22"/>
          <w:szCs w:val="22"/>
        </w:rPr>
      </w:pPr>
      <w:r w:rsidRPr="00201F7B">
        <w:rPr>
          <w:rFonts w:ascii="Arial" w:hAnsi="Arial" w:cs="Arial"/>
          <w:sz w:val="22"/>
          <w:szCs w:val="22"/>
        </w:rPr>
        <w:t>Supports practical strategies for enabling independence through demonstration and positive reinforcement.</w:t>
      </w:r>
    </w:p>
    <w:p w14:paraId="7A4AAAA5"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Limitations of the Theory</w:t>
      </w:r>
    </w:p>
    <w:p w14:paraId="1D816F7C" w14:textId="77777777" w:rsidR="00201F7B" w:rsidRPr="00201F7B" w:rsidRDefault="00201F7B" w:rsidP="00201F7B">
      <w:pPr>
        <w:numPr>
          <w:ilvl w:val="0"/>
          <w:numId w:val="11"/>
        </w:numPr>
        <w:spacing w:line="360" w:lineRule="auto"/>
        <w:rPr>
          <w:rFonts w:ascii="Arial" w:hAnsi="Arial" w:cs="Arial"/>
          <w:sz w:val="22"/>
          <w:szCs w:val="22"/>
        </w:rPr>
      </w:pPr>
      <w:r w:rsidRPr="00201F7B">
        <w:rPr>
          <w:rFonts w:ascii="Arial" w:hAnsi="Arial" w:cs="Arial"/>
          <w:sz w:val="22"/>
          <w:szCs w:val="22"/>
        </w:rPr>
        <w:t>SLT assumes some level of cognitive processing; advanced dementia may limit attention or retention (Brooker &amp; Latham, 2020).</w:t>
      </w:r>
    </w:p>
    <w:p w14:paraId="099E9F1F" w14:textId="77777777" w:rsidR="00201F7B" w:rsidRPr="00201F7B" w:rsidRDefault="00201F7B" w:rsidP="00201F7B">
      <w:pPr>
        <w:numPr>
          <w:ilvl w:val="0"/>
          <w:numId w:val="11"/>
        </w:numPr>
        <w:spacing w:line="360" w:lineRule="auto"/>
        <w:rPr>
          <w:rFonts w:ascii="Arial" w:hAnsi="Arial" w:cs="Arial"/>
          <w:sz w:val="22"/>
          <w:szCs w:val="22"/>
        </w:rPr>
      </w:pPr>
      <w:r w:rsidRPr="00201F7B">
        <w:rPr>
          <w:rFonts w:ascii="Arial" w:hAnsi="Arial" w:cs="Arial"/>
          <w:sz w:val="22"/>
          <w:szCs w:val="22"/>
        </w:rPr>
        <w:t>Not all behaviours in dementia are learned—many result from neurological changes or unmet needs (Kitwood, 1997).</w:t>
      </w:r>
    </w:p>
    <w:p w14:paraId="254B2F25" w14:textId="77777777" w:rsidR="00201F7B" w:rsidRPr="00201F7B" w:rsidRDefault="00201F7B" w:rsidP="00201F7B">
      <w:pPr>
        <w:numPr>
          <w:ilvl w:val="0"/>
          <w:numId w:val="11"/>
        </w:numPr>
        <w:spacing w:line="360" w:lineRule="auto"/>
        <w:rPr>
          <w:rFonts w:ascii="Arial" w:hAnsi="Arial" w:cs="Arial"/>
          <w:sz w:val="22"/>
          <w:szCs w:val="22"/>
        </w:rPr>
      </w:pPr>
      <w:r w:rsidRPr="00201F7B">
        <w:rPr>
          <w:rFonts w:ascii="Arial" w:hAnsi="Arial" w:cs="Arial"/>
          <w:sz w:val="22"/>
          <w:szCs w:val="22"/>
        </w:rPr>
        <w:t>Overemphasises environmental influence and may underplay internal factors such as sensory loss or confusion.</w:t>
      </w:r>
    </w:p>
    <w:p w14:paraId="505C71D6" w14:textId="77777777" w:rsidR="00201F7B" w:rsidRPr="00201F7B" w:rsidRDefault="00201F7B" w:rsidP="00201F7B">
      <w:pPr>
        <w:numPr>
          <w:ilvl w:val="0"/>
          <w:numId w:val="11"/>
        </w:numPr>
        <w:spacing w:line="360" w:lineRule="auto"/>
        <w:rPr>
          <w:rFonts w:ascii="Arial" w:hAnsi="Arial" w:cs="Arial"/>
          <w:sz w:val="22"/>
          <w:szCs w:val="22"/>
        </w:rPr>
      </w:pPr>
      <w:r w:rsidRPr="00201F7B">
        <w:rPr>
          <w:rFonts w:ascii="Arial" w:hAnsi="Arial" w:cs="Arial"/>
          <w:sz w:val="22"/>
          <w:szCs w:val="22"/>
        </w:rPr>
        <w:t>Modelling alone may not work when residents experience hallucinations, delusions or severe disorientation.</w:t>
      </w:r>
    </w:p>
    <w:p w14:paraId="0587FEF4"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Challenges and Strategies in Applying SLT</w:t>
      </w:r>
    </w:p>
    <w:p w14:paraId="4D4C92CF"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 1: Staff under pressure may model stress</w:t>
      </w:r>
    </w:p>
    <w:p w14:paraId="0DA8E392"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In busy shifts, staff might speak quickly or appear frustrated, unintentionally causing residents to mirror anxiety.</w:t>
      </w:r>
      <w:r w:rsidRPr="00201F7B">
        <w:rPr>
          <w:rFonts w:ascii="Arial" w:hAnsi="Arial" w:cs="Arial"/>
          <w:sz w:val="22"/>
          <w:szCs w:val="22"/>
        </w:rPr>
        <w:br/>
      </w:r>
      <w:r w:rsidRPr="00201F7B">
        <w:rPr>
          <w:rFonts w:ascii="Arial" w:hAnsi="Arial" w:cs="Arial"/>
          <w:b/>
          <w:bCs/>
          <w:sz w:val="22"/>
          <w:szCs w:val="22"/>
        </w:rPr>
        <w:t>Strategy:</w:t>
      </w:r>
      <w:r w:rsidRPr="00201F7B">
        <w:rPr>
          <w:rFonts w:ascii="Arial" w:hAnsi="Arial" w:cs="Arial"/>
          <w:sz w:val="22"/>
          <w:szCs w:val="22"/>
        </w:rPr>
        <w:t xml:space="preserve"> Provide training in emotional regulation, trauma-informed care and reflective practice.</w:t>
      </w:r>
    </w:p>
    <w:p w14:paraId="232F1FBF"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 2: Negative behaviours spreading between residents</w:t>
      </w:r>
    </w:p>
    <w:p w14:paraId="61E1B5B5"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Shared environments can lead to imitation of agitation, calling out or wandering.</w:t>
      </w:r>
      <w:r w:rsidRPr="00201F7B">
        <w:rPr>
          <w:rFonts w:ascii="Arial" w:hAnsi="Arial" w:cs="Arial"/>
          <w:sz w:val="22"/>
          <w:szCs w:val="22"/>
        </w:rPr>
        <w:br/>
      </w:r>
      <w:r w:rsidRPr="00201F7B">
        <w:rPr>
          <w:rFonts w:ascii="Arial" w:hAnsi="Arial" w:cs="Arial"/>
          <w:b/>
          <w:bCs/>
          <w:sz w:val="22"/>
          <w:szCs w:val="22"/>
        </w:rPr>
        <w:t>Strategy:</w:t>
      </w:r>
      <w:r w:rsidRPr="00201F7B">
        <w:rPr>
          <w:rFonts w:ascii="Arial" w:hAnsi="Arial" w:cs="Arial"/>
          <w:sz w:val="22"/>
          <w:szCs w:val="22"/>
        </w:rPr>
        <w:t xml:space="preserve"> Create smaller, calmer spaces and supervise communal areas to redirect behaviour early.</w:t>
      </w:r>
    </w:p>
    <w:p w14:paraId="2B04B9FF"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Challenge 3: Inconsistent staff responses</w:t>
      </w:r>
    </w:p>
    <w:p w14:paraId="6F602BEC"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When different staff react differently to the same behaviour, residents become confused, reducing the effectiveness of modelling.</w:t>
      </w:r>
      <w:r w:rsidRPr="00201F7B">
        <w:rPr>
          <w:rFonts w:ascii="Arial" w:hAnsi="Arial" w:cs="Arial"/>
          <w:sz w:val="22"/>
          <w:szCs w:val="22"/>
        </w:rPr>
        <w:br/>
      </w:r>
      <w:r w:rsidRPr="00201F7B">
        <w:rPr>
          <w:rFonts w:ascii="Arial" w:hAnsi="Arial" w:cs="Arial"/>
          <w:b/>
          <w:bCs/>
          <w:sz w:val="22"/>
          <w:szCs w:val="22"/>
        </w:rPr>
        <w:t>Strategy:</w:t>
      </w:r>
      <w:r w:rsidRPr="00201F7B">
        <w:rPr>
          <w:rFonts w:ascii="Arial" w:hAnsi="Arial" w:cs="Arial"/>
          <w:sz w:val="22"/>
          <w:szCs w:val="22"/>
        </w:rPr>
        <w:t xml:space="preserve"> Implement whole-team behaviour support plans and regular communication briefings.</w:t>
      </w:r>
    </w:p>
    <w:p w14:paraId="5781F717" w14:textId="40E57EF3" w:rsidR="00201F7B" w:rsidRPr="00201F7B" w:rsidRDefault="00201F7B" w:rsidP="00201F7B">
      <w:pPr>
        <w:spacing w:line="360" w:lineRule="auto"/>
        <w:rPr>
          <w:rFonts w:ascii="Arial" w:hAnsi="Arial" w:cs="Arial"/>
          <w:sz w:val="22"/>
          <w:szCs w:val="22"/>
        </w:rPr>
      </w:pPr>
    </w:p>
    <w:p w14:paraId="2FF11F06" w14:textId="77777777"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Conclusion</w:t>
      </w:r>
    </w:p>
    <w:p w14:paraId="503FF1B6"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Both Continuity Theory and Social Learning Theory provide meaningful insights for improving dementia care in nursing home settings. Continuity Theory highlights the importance of maintaining familiar routines, personal identity and emotional security. By preserving aspects of a resident’s life story, staff can reduce anxiety and create a sense of stability despite cognitive decline. Social Learning Theory, on the other hand, demonstrates the powerful influence of environmental cues and role modelling. Staff behaviour, tone and interactions become templates that residents often follow, especially when verbal reasoning is affected.</w:t>
      </w:r>
    </w:p>
    <w:p w14:paraId="4028A65D"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Each theory has strengths and limitations, but together they contribute to a holistic, psychologically informed approach. Continuity Theory supports identity, meaning and personal history, while Social Learning Theory supports behaviour, emotional regulation and engagement. When applied thoughtfully, these theories help practitioners deliver compassionate, evidence-based, person-centred dementia care, fully aligned with NICE (2022) and contemporary best practice. This understanding strengthens professional competence, enhances resident wellbeing and ensures care homes provide supportive environments where older adults can live with dignity, purpose and emotional comfort.</w:t>
      </w:r>
    </w:p>
    <w:p w14:paraId="7283100E" w14:textId="3F440C5D" w:rsidR="00201F7B" w:rsidRDefault="00201F7B" w:rsidP="00201F7B">
      <w:pPr>
        <w:spacing w:line="360" w:lineRule="auto"/>
        <w:rPr>
          <w:rFonts w:ascii="Arial" w:hAnsi="Arial" w:cs="Arial"/>
          <w:sz w:val="22"/>
          <w:szCs w:val="22"/>
        </w:rPr>
      </w:pPr>
    </w:p>
    <w:p w14:paraId="4C5B0D26" w14:textId="77777777" w:rsidR="00201F7B" w:rsidRDefault="00201F7B" w:rsidP="00201F7B">
      <w:pPr>
        <w:spacing w:line="360" w:lineRule="auto"/>
        <w:rPr>
          <w:rFonts w:ascii="Arial" w:hAnsi="Arial" w:cs="Arial"/>
          <w:sz w:val="22"/>
          <w:szCs w:val="22"/>
        </w:rPr>
      </w:pPr>
    </w:p>
    <w:p w14:paraId="108BE043" w14:textId="77777777" w:rsidR="00201F7B" w:rsidRDefault="00201F7B" w:rsidP="00201F7B">
      <w:pPr>
        <w:spacing w:line="360" w:lineRule="auto"/>
        <w:rPr>
          <w:rFonts w:ascii="Arial" w:hAnsi="Arial" w:cs="Arial"/>
          <w:sz w:val="22"/>
          <w:szCs w:val="22"/>
        </w:rPr>
      </w:pPr>
    </w:p>
    <w:p w14:paraId="37B4E9CF" w14:textId="77777777" w:rsidR="00201F7B" w:rsidRDefault="00201F7B" w:rsidP="00201F7B">
      <w:pPr>
        <w:spacing w:line="360" w:lineRule="auto"/>
        <w:rPr>
          <w:rFonts w:ascii="Arial" w:hAnsi="Arial" w:cs="Arial"/>
          <w:sz w:val="22"/>
          <w:szCs w:val="22"/>
        </w:rPr>
      </w:pPr>
    </w:p>
    <w:p w14:paraId="21AF5F3A" w14:textId="77777777" w:rsidR="00201F7B" w:rsidRDefault="00201F7B" w:rsidP="00201F7B">
      <w:pPr>
        <w:spacing w:line="360" w:lineRule="auto"/>
        <w:rPr>
          <w:rFonts w:ascii="Arial" w:hAnsi="Arial" w:cs="Arial"/>
          <w:sz w:val="22"/>
          <w:szCs w:val="22"/>
        </w:rPr>
      </w:pPr>
    </w:p>
    <w:p w14:paraId="70FA5953" w14:textId="77777777" w:rsidR="00201F7B" w:rsidRDefault="00201F7B" w:rsidP="00201F7B">
      <w:pPr>
        <w:spacing w:line="360" w:lineRule="auto"/>
        <w:rPr>
          <w:rFonts w:ascii="Arial" w:hAnsi="Arial" w:cs="Arial"/>
          <w:sz w:val="22"/>
          <w:szCs w:val="22"/>
        </w:rPr>
      </w:pPr>
    </w:p>
    <w:p w14:paraId="2551D304" w14:textId="77777777" w:rsidR="00201F7B" w:rsidRDefault="00201F7B" w:rsidP="00201F7B">
      <w:pPr>
        <w:spacing w:line="360" w:lineRule="auto"/>
        <w:rPr>
          <w:rFonts w:ascii="Arial" w:hAnsi="Arial" w:cs="Arial"/>
          <w:sz w:val="22"/>
          <w:szCs w:val="22"/>
        </w:rPr>
      </w:pPr>
    </w:p>
    <w:p w14:paraId="1029AB66" w14:textId="77777777" w:rsidR="00201F7B" w:rsidRDefault="00201F7B" w:rsidP="00201F7B">
      <w:pPr>
        <w:spacing w:line="360" w:lineRule="auto"/>
        <w:rPr>
          <w:rFonts w:ascii="Arial" w:hAnsi="Arial" w:cs="Arial"/>
          <w:sz w:val="22"/>
          <w:szCs w:val="22"/>
        </w:rPr>
      </w:pPr>
    </w:p>
    <w:p w14:paraId="22E0F6A5" w14:textId="77777777" w:rsidR="00201F7B" w:rsidRDefault="00201F7B" w:rsidP="00201F7B">
      <w:pPr>
        <w:spacing w:line="360" w:lineRule="auto"/>
        <w:rPr>
          <w:rFonts w:ascii="Arial" w:hAnsi="Arial" w:cs="Arial"/>
          <w:sz w:val="22"/>
          <w:szCs w:val="22"/>
        </w:rPr>
      </w:pPr>
    </w:p>
    <w:p w14:paraId="08873505" w14:textId="77777777" w:rsidR="00201F7B" w:rsidRDefault="00201F7B" w:rsidP="00201F7B">
      <w:pPr>
        <w:spacing w:line="360" w:lineRule="auto"/>
        <w:rPr>
          <w:rFonts w:ascii="Arial" w:hAnsi="Arial" w:cs="Arial"/>
          <w:sz w:val="22"/>
          <w:szCs w:val="22"/>
        </w:rPr>
      </w:pPr>
    </w:p>
    <w:p w14:paraId="1B4DB32C" w14:textId="77777777" w:rsidR="00201F7B" w:rsidRDefault="00201F7B" w:rsidP="00201F7B">
      <w:pPr>
        <w:spacing w:line="360" w:lineRule="auto"/>
        <w:rPr>
          <w:rFonts w:ascii="Arial" w:hAnsi="Arial" w:cs="Arial"/>
          <w:sz w:val="22"/>
          <w:szCs w:val="22"/>
        </w:rPr>
      </w:pPr>
    </w:p>
    <w:p w14:paraId="2B4B296F" w14:textId="77777777" w:rsidR="00201F7B" w:rsidRPr="00201F7B" w:rsidRDefault="00201F7B" w:rsidP="00201F7B">
      <w:pPr>
        <w:spacing w:line="360" w:lineRule="auto"/>
        <w:rPr>
          <w:rFonts w:ascii="Arial" w:hAnsi="Arial" w:cs="Arial"/>
          <w:sz w:val="22"/>
          <w:szCs w:val="22"/>
        </w:rPr>
      </w:pPr>
    </w:p>
    <w:p w14:paraId="290BD3DC" w14:textId="64883BD0" w:rsidR="00201F7B" w:rsidRPr="00201F7B" w:rsidRDefault="00201F7B" w:rsidP="00201F7B">
      <w:pPr>
        <w:spacing w:line="360" w:lineRule="auto"/>
        <w:rPr>
          <w:rFonts w:ascii="Arial" w:hAnsi="Arial" w:cs="Arial"/>
          <w:b/>
          <w:bCs/>
          <w:sz w:val="22"/>
          <w:szCs w:val="22"/>
        </w:rPr>
      </w:pPr>
      <w:r w:rsidRPr="00201F7B">
        <w:rPr>
          <w:rFonts w:ascii="Arial" w:hAnsi="Arial" w:cs="Arial"/>
          <w:b/>
          <w:bCs/>
          <w:sz w:val="22"/>
          <w:szCs w:val="22"/>
        </w:rPr>
        <w:t xml:space="preserve">Reference List </w:t>
      </w:r>
    </w:p>
    <w:p w14:paraId="45CB729E" w14:textId="0F7E2200"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Alzheimer’s Society (2023) </w:t>
      </w:r>
      <w:r w:rsidRPr="00201F7B">
        <w:rPr>
          <w:rFonts w:ascii="Arial" w:hAnsi="Arial" w:cs="Arial"/>
          <w:i/>
          <w:iCs/>
          <w:sz w:val="22"/>
          <w:szCs w:val="22"/>
        </w:rPr>
        <w:t>This Is Me: Supporting personalised dementia care</w:t>
      </w:r>
      <w:r w:rsidRPr="00201F7B">
        <w:rPr>
          <w:rFonts w:ascii="Arial" w:hAnsi="Arial" w:cs="Arial"/>
          <w:sz w:val="22"/>
          <w:szCs w:val="22"/>
        </w:rPr>
        <w:t xml:space="preserve">. Available at: </w:t>
      </w:r>
      <w:hyperlink r:id="rId5" w:tgtFrame="_new" w:history="1">
        <w:r w:rsidRPr="00201F7B">
          <w:rPr>
            <w:rStyle w:val="Hyperlink"/>
            <w:rFonts w:ascii="Arial" w:hAnsi="Arial" w:cs="Arial"/>
            <w:sz w:val="22"/>
            <w:szCs w:val="22"/>
          </w:rPr>
          <w:t>https://www.alzheimers.org.uk</w:t>
        </w:r>
      </w:hyperlink>
      <w:r w:rsidRPr="00201F7B">
        <w:rPr>
          <w:rFonts w:ascii="Arial" w:hAnsi="Arial" w:cs="Arial"/>
          <w:sz w:val="22"/>
          <w:szCs w:val="22"/>
        </w:rPr>
        <w:t xml:space="preserve"> (Accessed: </w:t>
      </w:r>
      <w:r>
        <w:rPr>
          <w:rFonts w:ascii="Arial" w:hAnsi="Arial" w:cs="Arial"/>
          <w:sz w:val="22"/>
          <w:szCs w:val="22"/>
        </w:rPr>
        <w:t>7</w:t>
      </w:r>
      <w:r w:rsidRPr="00201F7B">
        <w:rPr>
          <w:rFonts w:ascii="Arial" w:hAnsi="Arial" w:cs="Arial"/>
          <w:sz w:val="22"/>
          <w:szCs w:val="22"/>
        </w:rPr>
        <w:t xml:space="preserve"> December 2025).</w:t>
      </w:r>
    </w:p>
    <w:p w14:paraId="28F8ED1E"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Atchley, R. (1989) ‘A continuity theory of normal ageing’, </w:t>
      </w:r>
      <w:r w:rsidRPr="00201F7B">
        <w:rPr>
          <w:rFonts w:ascii="Arial" w:hAnsi="Arial" w:cs="Arial"/>
          <w:i/>
          <w:iCs/>
          <w:sz w:val="22"/>
          <w:szCs w:val="22"/>
        </w:rPr>
        <w:t>The Gerontologist</w:t>
      </w:r>
      <w:r w:rsidRPr="00201F7B">
        <w:rPr>
          <w:rFonts w:ascii="Arial" w:hAnsi="Arial" w:cs="Arial"/>
          <w:sz w:val="22"/>
          <w:szCs w:val="22"/>
        </w:rPr>
        <w:t>, 29(2), pp. 183–190.</w:t>
      </w:r>
    </w:p>
    <w:p w14:paraId="70AD69F1"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Bandura, A. (1977) </w:t>
      </w:r>
      <w:r w:rsidRPr="00201F7B">
        <w:rPr>
          <w:rFonts w:ascii="Arial" w:hAnsi="Arial" w:cs="Arial"/>
          <w:i/>
          <w:iCs/>
          <w:sz w:val="22"/>
          <w:szCs w:val="22"/>
        </w:rPr>
        <w:t>Social Learning Theory</w:t>
      </w:r>
      <w:r w:rsidRPr="00201F7B">
        <w:rPr>
          <w:rFonts w:ascii="Arial" w:hAnsi="Arial" w:cs="Arial"/>
          <w:sz w:val="22"/>
          <w:szCs w:val="22"/>
        </w:rPr>
        <w:t>. New Jersey: Prentice Hall.</w:t>
      </w:r>
    </w:p>
    <w:p w14:paraId="47C63EC8"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Brooker, D. and Latham, I. (2020) </w:t>
      </w:r>
      <w:r w:rsidRPr="00201F7B">
        <w:rPr>
          <w:rFonts w:ascii="Arial" w:hAnsi="Arial" w:cs="Arial"/>
          <w:i/>
          <w:iCs/>
          <w:sz w:val="22"/>
          <w:szCs w:val="22"/>
        </w:rPr>
        <w:t>Person-Centred Dementia Care: Making Services Better</w:t>
      </w:r>
      <w:r w:rsidRPr="00201F7B">
        <w:rPr>
          <w:rFonts w:ascii="Arial" w:hAnsi="Arial" w:cs="Arial"/>
          <w:sz w:val="22"/>
          <w:szCs w:val="22"/>
        </w:rPr>
        <w:t>. 3rd edn. London: Jessica Kingsley Publishers.</w:t>
      </w:r>
    </w:p>
    <w:p w14:paraId="1B635ECB"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Kitwood, T. (1997) </w:t>
      </w:r>
      <w:r w:rsidRPr="00201F7B">
        <w:rPr>
          <w:rFonts w:ascii="Arial" w:hAnsi="Arial" w:cs="Arial"/>
          <w:i/>
          <w:iCs/>
          <w:sz w:val="22"/>
          <w:szCs w:val="22"/>
        </w:rPr>
        <w:t>Dementia Reconsidered: The Person Comes First</w:t>
      </w:r>
      <w:r w:rsidRPr="00201F7B">
        <w:rPr>
          <w:rFonts w:ascii="Arial" w:hAnsi="Arial" w:cs="Arial"/>
          <w:sz w:val="22"/>
          <w:szCs w:val="22"/>
        </w:rPr>
        <w:t>. Buckingham: Open University Press.</w:t>
      </w:r>
    </w:p>
    <w:p w14:paraId="4E3846F2" w14:textId="06B01D50"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McLeod, S. (2016) ‘Bandura – Social Learning Theory’, </w:t>
      </w:r>
      <w:r w:rsidRPr="00201F7B">
        <w:rPr>
          <w:rFonts w:ascii="Arial" w:hAnsi="Arial" w:cs="Arial"/>
          <w:i/>
          <w:iCs/>
          <w:sz w:val="22"/>
          <w:szCs w:val="22"/>
        </w:rPr>
        <w:t>Simply Psychology</w:t>
      </w:r>
      <w:r w:rsidRPr="00201F7B">
        <w:rPr>
          <w:rFonts w:ascii="Arial" w:hAnsi="Arial" w:cs="Arial"/>
          <w:sz w:val="22"/>
          <w:szCs w:val="22"/>
        </w:rPr>
        <w:t xml:space="preserve">. Available at: </w:t>
      </w:r>
      <w:hyperlink r:id="rId6" w:tgtFrame="_new" w:history="1">
        <w:r w:rsidRPr="00201F7B">
          <w:rPr>
            <w:rStyle w:val="Hyperlink"/>
            <w:rFonts w:ascii="Arial" w:hAnsi="Arial" w:cs="Arial"/>
            <w:sz w:val="22"/>
            <w:szCs w:val="22"/>
          </w:rPr>
          <w:t>https://www.simplypsychology.org</w:t>
        </w:r>
      </w:hyperlink>
      <w:r w:rsidRPr="00201F7B">
        <w:rPr>
          <w:rFonts w:ascii="Arial" w:hAnsi="Arial" w:cs="Arial"/>
          <w:sz w:val="22"/>
          <w:szCs w:val="22"/>
        </w:rPr>
        <w:t xml:space="preserve"> (Accessed: </w:t>
      </w:r>
      <w:r>
        <w:rPr>
          <w:rFonts w:ascii="Arial" w:hAnsi="Arial" w:cs="Arial"/>
          <w:sz w:val="22"/>
          <w:szCs w:val="22"/>
        </w:rPr>
        <w:t>8</w:t>
      </w:r>
      <w:r w:rsidRPr="00201F7B">
        <w:rPr>
          <w:rFonts w:ascii="Arial" w:hAnsi="Arial" w:cs="Arial"/>
          <w:sz w:val="22"/>
          <w:szCs w:val="22"/>
        </w:rPr>
        <w:t xml:space="preserve"> December 2025).</w:t>
      </w:r>
    </w:p>
    <w:p w14:paraId="60068A67"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National Institute for Health and Care Excellence (NICE) (2022) </w:t>
      </w:r>
      <w:r w:rsidRPr="00201F7B">
        <w:rPr>
          <w:rFonts w:ascii="Arial" w:hAnsi="Arial" w:cs="Arial"/>
          <w:i/>
          <w:iCs/>
          <w:sz w:val="22"/>
          <w:szCs w:val="22"/>
        </w:rPr>
        <w:t>Dementia: assessment, management and support</w:t>
      </w:r>
      <w:r w:rsidRPr="00201F7B">
        <w:rPr>
          <w:rFonts w:ascii="Arial" w:hAnsi="Arial" w:cs="Arial"/>
          <w:sz w:val="22"/>
          <w:szCs w:val="22"/>
        </w:rPr>
        <w:t xml:space="preserve">. Available at: </w:t>
      </w:r>
      <w:hyperlink r:id="rId7" w:tgtFrame="_new" w:history="1">
        <w:r w:rsidRPr="00201F7B">
          <w:rPr>
            <w:rStyle w:val="Hyperlink"/>
            <w:rFonts w:ascii="Arial" w:hAnsi="Arial" w:cs="Arial"/>
            <w:sz w:val="22"/>
            <w:szCs w:val="22"/>
          </w:rPr>
          <w:t>https://www.nice.org.uk</w:t>
        </w:r>
      </w:hyperlink>
      <w:r w:rsidRPr="00201F7B">
        <w:rPr>
          <w:rFonts w:ascii="Arial" w:hAnsi="Arial" w:cs="Arial"/>
          <w:sz w:val="22"/>
          <w:szCs w:val="22"/>
        </w:rPr>
        <w:t xml:space="preserve"> (Accessed: 10 December 2025).</w:t>
      </w:r>
    </w:p>
    <w:p w14:paraId="75F87F1C"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Surr, C. and Gates, C. (2020) ‘Person-centred approaches to dementia care’, </w:t>
      </w:r>
      <w:r w:rsidRPr="00201F7B">
        <w:rPr>
          <w:rFonts w:ascii="Arial" w:hAnsi="Arial" w:cs="Arial"/>
          <w:i/>
          <w:iCs/>
          <w:sz w:val="22"/>
          <w:szCs w:val="22"/>
        </w:rPr>
        <w:t>Nursing Older People</w:t>
      </w:r>
      <w:r w:rsidRPr="00201F7B">
        <w:rPr>
          <w:rFonts w:ascii="Arial" w:hAnsi="Arial" w:cs="Arial"/>
          <w:sz w:val="22"/>
          <w:szCs w:val="22"/>
        </w:rPr>
        <w:t>, 32(3), pp. 18–24.</w:t>
      </w:r>
    </w:p>
    <w:p w14:paraId="59315260"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Wadensten, B. (2006) ‘An analysis of what the term “continuity” means in nursing practice’, </w:t>
      </w:r>
      <w:r w:rsidRPr="00201F7B">
        <w:rPr>
          <w:rFonts w:ascii="Arial" w:hAnsi="Arial" w:cs="Arial"/>
          <w:i/>
          <w:iCs/>
          <w:sz w:val="22"/>
          <w:szCs w:val="22"/>
        </w:rPr>
        <w:t>Journal of Clinical Nursing</w:t>
      </w:r>
      <w:r w:rsidRPr="00201F7B">
        <w:rPr>
          <w:rFonts w:ascii="Arial" w:hAnsi="Arial" w:cs="Arial"/>
          <w:sz w:val="22"/>
          <w:szCs w:val="22"/>
        </w:rPr>
        <w:t>, 15(4), pp. 451–459.</w:t>
      </w:r>
    </w:p>
    <w:p w14:paraId="54321ACB" w14:textId="77777777" w:rsidR="00201F7B" w:rsidRPr="00201F7B" w:rsidRDefault="00201F7B" w:rsidP="00201F7B">
      <w:pPr>
        <w:spacing w:line="360" w:lineRule="auto"/>
        <w:rPr>
          <w:rFonts w:ascii="Arial" w:hAnsi="Arial" w:cs="Arial"/>
          <w:sz w:val="22"/>
          <w:szCs w:val="22"/>
        </w:rPr>
      </w:pPr>
      <w:r w:rsidRPr="00201F7B">
        <w:rPr>
          <w:rFonts w:ascii="Arial" w:hAnsi="Arial" w:cs="Arial"/>
          <w:sz w:val="22"/>
          <w:szCs w:val="22"/>
        </w:rPr>
        <w:t xml:space="preserve">Werezak, L. and Stewart, N. (2009) ‘Learning to “go with the flow”: Understanding early dementia’, </w:t>
      </w:r>
      <w:r w:rsidRPr="00201F7B">
        <w:rPr>
          <w:rFonts w:ascii="Arial" w:hAnsi="Arial" w:cs="Arial"/>
          <w:i/>
          <w:iCs/>
          <w:sz w:val="22"/>
          <w:szCs w:val="22"/>
        </w:rPr>
        <w:t>Journal of Clinical Nursing</w:t>
      </w:r>
      <w:r w:rsidRPr="00201F7B">
        <w:rPr>
          <w:rFonts w:ascii="Arial" w:hAnsi="Arial" w:cs="Arial"/>
          <w:sz w:val="22"/>
          <w:szCs w:val="22"/>
        </w:rPr>
        <w:t>, 18(2), pp. 178–187.</w:t>
      </w:r>
    </w:p>
    <w:p w14:paraId="725ABD51" w14:textId="77777777" w:rsidR="00784100" w:rsidRPr="00201F7B" w:rsidRDefault="00784100">
      <w:pPr>
        <w:rPr>
          <w:rFonts w:ascii="Arial" w:hAnsi="Arial" w:cs="Arial"/>
          <w:sz w:val="22"/>
          <w:szCs w:val="22"/>
        </w:rPr>
      </w:pPr>
    </w:p>
    <w:sectPr w:rsidR="00784100" w:rsidRPr="00201F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5256E"/>
    <w:multiLevelType w:val="multilevel"/>
    <w:tmpl w:val="3494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43F63"/>
    <w:multiLevelType w:val="multilevel"/>
    <w:tmpl w:val="DC12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C260F"/>
    <w:multiLevelType w:val="multilevel"/>
    <w:tmpl w:val="A9B4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805CB"/>
    <w:multiLevelType w:val="multilevel"/>
    <w:tmpl w:val="D6200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7D5850"/>
    <w:multiLevelType w:val="multilevel"/>
    <w:tmpl w:val="9C50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E00AD0"/>
    <w:multiLevelType w:val="multilevel"/>
    <w:tmpl w:val="F704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F0954"/>
    <w:multiLevelType w:val="multilevel"/>
    <w:tmpl w:val="0112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974C3E"/>
    <w:multiLevelType w:val="multilevel"/>
    <w:tmpl w:val="6AD2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B852F4"/>
    <w:multiLevelType w:val="multilevel"/>
    <w:tmpl w:val="42A41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147AB6"/>
    <w:multiLevelType w:val="multilevel"/>
    <w:tmpl w:val="EB58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E215A1"/>
    <w:multiLevelType w:val="multilevel"/>
    <w:tmpl w:val="CC62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871EA6"/>
    <w:multiLevelType w:val="multilevel"/>
    <w:tmpl w:val="DAA2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2012617">
    <w:abstractNumId w:val="0"/>
  </w:num>
  <w:num w:numId="2" w16cid:durableId="589235809">
    <w:abstractNumId w:val="1"/>
  </w:num>
  <w:num w:numId="3" w16cid:durableId="1172136241">
    <w:abstractNumId w:val="9"/>
  </w:num>
  <w:num w:numId="4" w16cid:durableId="1587034862">
    <w:abstractNumId w:val="7"/>
  </w:num>
  <w:num w:numId="5" w16cid:durableId="1644457106">
    <w:abstractNumId w:val="10"/>
  </w:num>
  <w:num w:numId="6" w16cid:durableId="1708942350">
    <w:abstractNumId w:val="4"/>
  </w:num>
  <w:num w:numId="7" w16cid:durableId="890768739">
    <w:abstractNumId w:val="6"/>
  </w:num>
  <w:num w:numId="8" w16cid:durableId="1862432495">
    <w:abstractNumId w:val="5"/>
  </w:num>
  <w:num w:numId="9" w16cid:durableId="1729718229">
    <w:abstractNumId w:val="3"/>
  </w:num>
  <w:num w:numId="10" w16cid:durableId="916550239">
    <w:abstractNumId w:val="2"/>
  </w:num>
  <w:num w:numId="11" w16cid:durableId="2043897201">
    <w:abstractNumId w:val="11"/>
  </w:num>
  <w:num w:numId="12" w16cid:durableId="20714157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7B"/>
    <w:rsid w:val="000A3059"/>
    <w:rsid w:val="001E3548"/>
    <w:rsid w:val="00201F7B"/>
    <w:rsid w:val="002163BD"/>
    <w:rsid w:val="004451DE"/>
    <w:rsid w:val="00784100"/>
    <w:rsid w:val="00C2721A"/>
    <w:rsid w:val="00EA0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328BC"/>
  <w15:chartTrackingRefBased/>
  <w15:docId w15:val="{E1119903-BB88-43A2-BA4E-6206E8B19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1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1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1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1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1F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F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F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F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1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1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1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1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1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F7B"/>
    <w:rPr>
      <w:rFonts w:eastAsiaTheme="majorEastAsia" w:cstheme="majorBidi"/>
      <w:color w:val="272727" w:themeColor="text1" w:themeTint="D8"/>
    </w:rPr>
  </w:style>
  <w:style w:type="paragraph" w:styleId="Title">
    <w:name w:val="Title"/>
    <w:basedOn w:val="Normal"/>
    <w:next w:val="Normal"/>
    <w:link w:val="TitleChar"/>
    <w:uiPriority w:val="10"/>
    <w:qFormat/>
    <w:rsid w:val="00201F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F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F7B"/>
    <w:pPr>
      <w:spacing w:before="160"/>
      <w:jc w:val="center"/>
    </w:pPr>
    <w:rPr>
      <w:i/>
      <w:iCs/>
      <w:color w:val="404040" w:themeColor="text1" w:themeTint="BF"/>
    </w:rPr>
  </w:style>
  <w:style w:type="character" w:customStyle="1" w:styleId="QuoteChar">
    <w:name w:val="Quote Char"/>
    <w:basedOn w:val="DefaultParagraphFont"/>
    <w:link w:val="Quote"/>
    <w:uiPriority w:val="29"/>
    <w:rsid w:val="00201F7B"/>
    <w:rPr>
      <w:i/>
      <w:iCs/>
      <w:color w:val="404040" w:themeColor="text1" w:themeTint="BF"/>
    </w:rPr>
  </w:style>
  <w:style w:type="paragraph" w:styleId="ListParagraph">
    <w:name w:val="List Paragraph"/>
    <w:basedOn w:val="Normal"/>
    <w:uiPriority w:val="34"/>
    <w:qFormat/>
    <w:rsid w:val="00201F7B"/>
    <w:pPr>
      <w:ind w:left="720"/>
      <w:contextualSpacing/>
    </w:pPr>
  </w:style>
  <w:style w:type="character" w:styleId="IntenseEmphasis">
    <w:name w:val="Intense Emphasis"/>
    <w:basedOn w:val="DefaultParagraphFont"/>
    <w:uiPriority w:val="21"/>
    <w:qFormat/>
    <w:rsid w:val="00201F7B"/>
    <w:rPr>
      <w:i/>
      <w:iCs/>
      <w:color w:val="0F4761" w:themeColor="accent1" w:themeShade="BF"/>
    </w:rPr>
  </w:style>
  <w:style w:type="paragraph" w:styleId="IntenseQuote">
    <w:name w:val="Intense Quote"/>
    <w:basedOn w:val="Normal"/>
    <w:next w:val="Normal"/>
    <w:link w:val="IntenseQuoteChar"/>
    <w:uiPriority w:val="30"/>
    <w:qFormat/>
    <w:rsid w:val="00201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F7B"/>
    <w:rPr>
      <w:i/>
      <w:iCs/>
      <w:color w:val="0F4761" w:themeColor="accent1" w:themeShade="BF"/>
    </w:rPr>
  </w:style>
  <w:style w:type="character" w:styleId="IntenseReference">
    <w:name w:val="Intense Reference"/>
    <w:basedOn w:val="DefaultParagraphFont"/>
    <w:uiPriority w:val="32"/>
    <w:qFormat/>
    <w:rsid w:val="00201F7B"/>
    <w:rPr>
      <w:b/>
      <w:bCs/>
      <w:smallCaps/>
      <w:color w:val="0F4761" w:themeColor="accent1" w:themeShade="BF"/>
      <w:spacing w:val="5"/>
    </w:rPr>
  </w:style>
  <w:style w:type="character" w:styleId="Hyperlink">
    <w:name w:val="Hyperlink"/>
    <w:basedOn w:val="DefaultParagraphFont"/>
    <w:uiPriority w:val="99"/>
    <w:unhideWhenUsed/>
    <w:rsid w:val="00201F7B"/>
    <w:rPr>
      <w:color w:val="467886" w:themeColor="hyperlink"/>
      <w:u w:val="single"/>
    </w:rPr>
  </w:style>
  <w:style w:type="character" w:styleId="UnresolvedMention">
    <w:name w:val="Unresolved Mention"/>
    <w:basedOn w:val="DefaultParagraphFont"/>
    <w:uiPriority w:val="99"/>
    <w:semiHidden/>
    <w:unhideWhenUsed/>
    <w:rsid w:val="00201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ic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 TargetMode="External"/><Relationship Id="rId5" Type="http://schemas.openxmlformats.org/officeDocument/2006/relationships/hyperlink" Target="https://www.alzheimers.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1965</Words>
  <Characters>11206</Characters>
  <Application>Microsoft Office Word</Application>
  <DocSecurity>0</DocSecurity>
  <Lines>93</Lines>
  <Paragraphs>26</Paragraphs>
  <ScaleCrop>false</ScaleCrop>
  <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John Ben Chapman (2424587)</cp:lastModifiedBy>
  <cp:revision>2</cp:revision>
  <dcterms:created xsi:type="dcterms:W3CDTF">2025-12-11T09:05:00Z</dcterms:created>
  <dcterms:modified xsi:type="dcterms:W3CDTF">2025-12-11T09:05:00Z</dcterms:modified>
</cp:coreProperties>
</file>