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1F2E" w:rsidRPr="005258A6" w:rsidRDefault="005258A6" w:rsidP="00A551C6">
      <w:pPr>
        <w:jc w:val="center"/>
        <w:rPr>
          <w:rFonts w:ascii="Tahoma" w:hAnsi="Tahoma" w:cs="Tahoma"/>
          <w:b/>
        </w:rPr>
      </w:pPr>
      <w:r>
        <w:rPr>
          <w:rFonts w:ascii="Tahoma" w:hAnsi="Tahoma" w:cs="Tahoma"/>
          <w:b/>
          <w:u w:val="single"/>
        </w:rPr>
        <w:t>5</w:t>
      </w:r>
    </w:p>
    <w:p w:rsidR="001B69C8" w:rsidRDefault="001B69C8" w:rsidP="00B945EA">
      <w:pPr>
        <w:jc w:val="both"/>
        <w:rPr>
          <w:rFonts w:ascii="Tahoma" w:hAnsi="Tahoma" w:cs="Tahoma"/>
          <w:b/>
          <w:u w:val="single"/>
        </w:rPr>
      </w:pPr>
    </w:p>
    <w:p w:rsidR="001B69C8" w:rsidRDefault="001B69C8" w:rsidP="00B945EA">
      <w:pPr>
        <w:jc w:val="both"/>
        <w:rPr>
          <w:rFonts w:ascii="Tahoma" w:hAnsi="Tahoma" w:cs="Tahoma"/>
          <w:b/>
          <w:u w:val="single"/>
        </w:rPr>
      </w:pPr>
    </w:p>
    <w:p w:rsidR="00A822C8" w:rsidRDefault="00A822C8" w:rsidP="00B945EA">
      <w:pPr>
        <w:jc w:val="both"/>
        <w:rPr>
          <w:rFonts w:ascii="Tahoma" w:hAnsi="Tahoma" w:cs="Tahoma"/>
          <w:b/>
          <w:u w:val="single"/>
        </w:rPr>
      </w:pPr>
    </w:p>
    <w:p w:rsidR="00A822C8" w:rsidRDefault="00A822C8" w:rsidP="00B945EA">
      <w:pPr>
        <w:jc w:val="both"/>
        <w:rPr>
          <w:rFonts w:ascii="Tahoma" w:hAnsi="Tahoma" w:cs="Tahoma"/>
          <w:b/>
          <w:u w:val="single"/>
        </w:rPr>
      </w:pPr>
    </w:p>
    <w:p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p>
    <w:p w:rsidR="00C50AE7" w:rsidRPr="003C3341" w:rsidRDefault="00C50AE7" w:rsidP="00B945EA">
      <w:pPr>
        <w:jc w:val="both"/>
        <w:rPr>
          <w:rFonts w:ascii="Tahoma" w:hAnsi="Tahoma" w:cs="Tahoma"/>
          <w:b/>
          <w:u w:val="single"/>
        </w:rPr>
      </w:pPr>
    </w:p>
    <w:p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617CF">
        <w:rPr>
          <w:rFonts w:ascii="Tahoma" w:hAnsi="Tahoma" w:cs="Tahoma"/>
        </w:rPr>
        <w:t>You may choose from the following topics:</w:t>
      </w:r>
    </w:p>
    <w:p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rsidR="00B945EA" w:rsidRDefault="00B945EA" w:rsidP="00B945EA">
      <w:pPr>
        <w:jc w:val="both"/>
        <w:rPr>
          <w:rFonts w:ascii="Tahoma" w:hAnsi="Tahoma" w:cs="Tahoma"/>
        </w:rPr>
      </w:pPr>
    </w:p>
    <w:p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 xml:space="preserve">new </w:t>
      </w:r>
      <w:r w:rsidR="002D07ED">
        <w:rPr>
          <w:rFonts w:ascii="Tahoma" w:hAnsi="Tahoma" w:cs="Tahoma"/>
          <w:b/>
          <w:bCs/>
        </w:rPr>
        <w:t>skills/knowledge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4248"/>
        <w:gridCol w:w="6934"/>
      </w:tblGrid>
      <w:tr w:rsidR="00B21F2E" w:rsidRPr="003C3341" w:rsidTr="00FF0936">
        <w:tc>
          <w:tcPr>
            <w:tcW w:w="4248" w:type="dxa"/>
            <w:shd w:val="clear" w:color="auto" w:fill="8DB3E2" w:themeFill="text2" w:themeFillTint="66"/>
          </w:tcPr>
          <w:p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FF0936">
              <w:rPr>
                <w:rFonts w:ascii="Tahoma" w:hAnsi="Tahoma" w:cs="Tahoma"/>
                <w:b/>
                <w:sz w:val="20"/>
                <w:szCs w:val="20"/>
              </w:rPr>
              <w:t xml:space="preserve"> </w:t>
            </w:r>
            <w:r w:rsidR="00A909DA">
              <w:rPr>
                <w:rFonts w:ascii="Tahoma" w:hAnsi="Tahoma" w:cs="Tahoma"/>
                <w:b/>
                <w:sz w:val="22"/>
                <w:szCs w:val="22"/>
              </w:rPr>
              <w:t xml:space="preserve">Habibur Rahman </w:t>
            </w:r>
          </w:p>
          <w:p w:rsidR="001B69C8" w:rsidRPr="003C3341" w:rsidRDefault="001B69C8">
            <w:pPr>
              <w:rPr>
                <w:rFonts w:ascii="Tahoma" w:hAnsi="Tahoma" w:cs="Tahoma"/>
                <w:b/>
                <w:sz w:val="20"/>
                <w:szCs w:val="20"/>
              </w:rPr>
            </w:pPr>
          </w:p>
          <w:p w:rsidR="00B21F2E" w:rsidRPr="003C3341" w:rsidRDefault="001B69C8">
            <w:pPr>
              <w:rPr>
                <w:rFonts w:ascii="Tahoma" w:hAnsi="Tahoma" w:cs="Tahoma"/>
                <w:b/>
                <w:sz w:val="20"/>
                <w:szCs w:val="20"/>
              </w:rPr>
            </w:pPr>
            <w:r>
              <w:rPr>
                <w:rFonts w:ascii="Tahoma" w:hAnsi="Tahoma" w:cs="Tahoma"/>
                <w:b/>
                <w:sz w:val="20"/>
                <w:szCs w:val="20"/>
              </w:rPr>
              <w:t>Student Number:</w:t>
            </w:r>
            <w:r w:rsidR="00A909DA">
              <w:rPr>
                <w:rFonts w:ascii="Tahoma" w:hAnsi="Tahoma" w:cs="Tahoma"/>
                <w:b/>
                <w:sz w:val="20"/>
                <w:szCs w:val="20"/>
              </w:rPr>
              <w:t xml:space="preserve"> 2121943</w:t>
            </w:r>
          </w:p>
          <w:p w:rsidR="00B21F2E" w:rsidRPr="003C3341" w:rsidRDefault="00B21F2E">
            <w:pPr>
              <w:rPr>
                <w:rFonts w:ascii="Tahoma" w:hAnsi="Tahoma" w:cs="Tahoma"/>
                <w:b/>
                <w:sz w:val="20"/>
                <w:szCs w:val="20"/>
              </w:rPr>
            </w:pPr>
          </w:p>
        </w:tc>
        <w:tc>
          <w:tcPr>
            <w:tcW w:w="6934" w:type="dxa"/>
            <w:shd w:val="clear" w:color="auto" w:fill="8DB3E2" w:themeFill="text2" w:themeFillTint="66"/>
          </w:tcPr>
          <w:p w:rsidR="00B21F2E" w:rsidRDefault="001B69C8">
            <w:pPr>
              <w:rPr>
                <w:rFonts w:ascii="Tahoma" w:hAnsi="Tahoma" w:cs="Tahoma"/>
                <w:b/>
                <w:sz w:val="20"/>
                <w:szCs w:val="20"/>
              </w:rPr>
            </w:pPr>
            <w:r>
              <w:rPr>
                <w:rFonts w:ascii="Tahoma" w:hAnsi="Tahoma" w:cs="Tahoma"/>
                <w:b/>
                <w:sz w:val="20"/>
                <w:szCs w:val="20"/>
              </w:rPr>
              <w:t>Module:</w:t>
            </w:r>
            <w:r w:rsidR="00A909DA">
              <w:rPr>
                <w:rFonts w:ascii="Tahoma" w:hAnsi="Tahoma" w:cs="Tahoma"/>
                <w:b/>
                <w:sz w:val="20"/>
                <w:szCs w:val="20"/>
              </w:rPr>
              <w:t xml:space="preserve"> Food</w:t>
            </w:r>
            <w:r w:rsidR="004E5376">
              <w:rPr>
                <w:rFonts w:ascii="Tahoma" w:hAnsi="Tahoma" w:cs="Tahoma"/>
                <w:b/>
                <w:sz w:val="20"/>
                <w:szCs w:val="20"/>
              </w:rPr>
              <w:t xml:space="preserve"> and</w:t>
            </w:r>
            <w:r w:rsidR="00A909DA">
              <w:rPr>
                <w:rFonts w:ascii="Tahoma" w:hAnsi="Tahoma" w:cs="Tahoma"/>
                <w:b/>
                <w:sz w:val="20"/>
                <w:szCs w:val="20"/>
              </w:rPr>
              <w:t xml:space="preserve"> Beverage Operations </w:t>
            </w:r>
          </w:p>
          <w:p w:rsidR="00B21F2E" w:rsidRDefault="00B21F2E" w:rsidP="00B21F2E">
            <w:pPr>
              <w:rPr>
                <w:rFonts w:ascii="Tahoma" w:hAnsi="Tahoma" w:cs="Tahoma"/>
                <w:b/>
                <w:sz w:val="20"/>
                <w:szCs w:val="20"/>
              </w:rPr>
            </w:pPr>
          </w:p>
          <w:p w:rsidR="001B69C8" w:rsidRPr="003C3341" w:rsidRDefault="001B69C8" w:rsidP="00B21F2E">
            <w:pPr>
              <w:rPr>
                <w:rFonts w:ascii="Tahoma" w:hAnsi="Tahoma" w:cs="Tahoma"/>
                <w:b/>
                <w:sz w:val="20"/>
                <w:szCs w:val="20"/>
              </w:rPr>
            </w:pPr>
            <w:r>
              <w:rPr>
                <w:rFonts w:ascii="Tahoma" w:hAnsi="Tahoma" w:cs="Tahoma"/>
                <w:b/>
                <w:sz w:val="20"/>
                <w:szCs w:val="20"/>
              </w:rPr>
              <w:t>Lecturer:</w:t>
            </w:r>
            <w:r w:rsidR="004E5376">
              <w:rPr>
                <w:rFonts w:ascii="Tahoma" w:hAnsi="Tahoma" w:cs="Tahoma"/>
                <w:b/>
                <w:sz w:val="20"/>
                <w:szCs w:val="20"/>
              </w:rPr>
              <w:t xml:space="preserve"> Lola Villard</w:t>
            </w:r>
          </w:p>
        </w:tc>
      </w:tr>
    </w:tbl>
    <w:p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10946"/>
        <w:gridCol w:w="236"/>
      </w:tblGrid>
      <w:tr w:rsidR="00B21F2E" w:rsidRPr="00FF0936" w:rsidTr="00FF0936">
        <w:tc>
          <w:tcPr>
            <w:tcW w:w="10946" w:type="dxa"/>
            <w:shd w:val="clear" w:color="auto" w:fill="FBD4B4" w:themeFill="accent6" w:themeFillTint="66"/>
          </w:tcPr>
          <w:p w:rsidR="00B21F2E" w:rsidRPr="00FF0936" w:rsidRDefault="008F0D83" w:rsidP="00FF0936">
            <w:pPr>
              <w:spacing w:line="360" w:lineRule="auto"/>
              <w:jc w:val="both"/>
              <w:rPr>
                <w:b/>
                <w:szCs w:val="20"/>
              </w:rPr>
            </w:pPr>
            <w:r w:rsidRPr="00FF0936">
              <w:rPr>
                <w:b/>
                <w:szCs w:val="20"/>
              </w:rPr>
              <w:t>Topic of choice:</w:t>
            </w:r>
            <w:r w:rsidR="00FF0936">
              <w:rPr>
                <w:b/>
                <w:szCs w:val="20"/>
              </w:rPr>
              <w:t xml:space="preserve"> “</w:t>
            </w:r>
            <w:r w:rsidR="00FF0936">
              <w:rPr>
                <w:szCs w:val="20"/>
              </w:rPr>
              <w:t>Allergy</w:t>
            </w:r>
            <w:r w:rsidR="006421C3" w:rsidRPr="00FF0936">
              <w:rPr>
                <w:szCs w:val="20"/>
              </w:rPr>
              <w:t xml:space="preserve"> Intolerances and </w:t>
            </w:r>
            <w:r w:rsidR="00FF0936">
              <w:rPr>
                <w:szCs w:val="20"/>
              </w:rPr>
              <w:t xml:space="preserve">its impact within an industry”.  </w:t>
            </w:r>
          </w:p>
        </w:tc>
        <w:tc>
          <w:tcPr>
            <w:tcW w:w="236" w:type="dxa"/>
            <w:shd w:val="clear" w:color="auto" w:fill="FBD4B4" w:themeFill="accent6" w:themeFillTint="66"/>
          </w:tcPr>
          <w:p w:rsidR="00B21F2E" w:rsidRPr="00FF0936" w:rsidRDefault="00B21F2E" w:rsidP="00FF0936">
            <w:pPr>
              <w:spacing w:line="360" w:lineRule="auto"/>
              <w:rPr>
                <w:b/>
                <w:szCs w:val="20"/>
              </w:rPr>
            </w:pPr>
          </w:p>
          <w:p w:rsidR="00B21F2E" w:rsidRPr="00FF0936" w:rsidRDefault="00B21F2E" w:rsidP="00FF0936">
            <w:pPr>
              <w:spacing w:line="360" w:lineRule="auto"/>
              <w:jc w:val="center"/>
              <w:rPr>
                <w:b/>
                <w:szCs w:val="20"/>
              </w:rPr>
            </w:pPr>
          </w:p>
          <w:p w:rsidR="00B21F2E" w:rsidRPr="00FF0936" w:rsidRDefault="00B21F2E" w:rsidP="00FF0936">
            <w:pPr>
              <w:spacing w:line="360" w:lineRule="auto"/>
              <w:jc w:val="center"/>
              <w:rPr>
                <w:b/>
                <w:szCs w:val="20"/>
              </w:rPr>
            </w:pPr>
          </w:p>
        </w:tc>
      </w:tr>
      <w:tr w:rsidR="00B945EA" w:rsidRPr="00FF0936" w:rsidTr="00A91FD6">
        <w:trPr>
          <w:trHeight w:val="2494"/>
        </w:trPr>
        <w:tc>
          <w:tcPr>
            <w:tcW w:w="11182" w:type="dxa"/>
            <w:gridSpan w:val="2"/>
          </w:tcPr>
          <w:p w:rsidR="00B945EA" w:rsidRPr="00FF0936" w:rsidRDefault="00B945EA" w:rsidP="00FF0936">
            <w:pPr>
              <w:spacing w:line="360" w:lineRule="auto"/>
              <w:jc w:val="both"/>
              <w:rPr>
                <w:szCs w:val="20"/>
              </w:rPr>
            </w:pPr>
          </w:p>
          <w:p w:rsidR="006421C3" w:rsidRPr="00FF0936" w:rsidRDefault="006421C3" w:rsidP="00FF0936">
            <w:pPr>
              <w:spacing w:line="360" w:lineRule="auto"/>
              <w:jc w:val="both"/>
              <w:rPr>
                <w:szCs w:val="20"/>
              </w:rPr>
            </w:pPr>
            <w:r w:rsidRPr="00FF0936">
              <w:rPr>
                <w:szCs w:val="20"/>
              </w:rPr>
              <w:t>Allergies are a condition in which the body suffers from an immunological reaction that is harmful as a result of being exposed to a material to which it has become hypersensitive, most commonly a specific meal, pollen, fur, or dust.</w:t>
            </w:r>
            <w:r w:rsidR="0069390D" w:rsidRPr="00FF0936">
              <w:rPr>
                <w:szCs w:val="20"/>
              </w:rPr>
              <w:t xml:space="preserve">It is the responsibility of the food sector to ensure that consumers' reasonable expectations of food safety are satisfied. Allergic responses to food are a major public health concern. When it comes to protecting sensitive customers against such responses, the business is faced with significant difficulty.In recent years, an alarming number of food products have been recalled because they included allergens that were not stated on the labels. The journal will illustrate </w:t>
            </w:r>
            <w:r w:rsidR="007031FB" w:rsidRPr="00FF0936">
              <w:rPr>
                <w:szCs w:val="20"/>
              </w:rPr>
              <w:t xml:space="preserve">a </w:t>
            </w:r>
            <w:r w:rsidR="0069390D" w:rsidRPr="00FF0936">
              <w:rPr>
                <w:szCs w:val="20"/>
              </w:rPr>
              <w:t xml:space="preserve">personal understanding </w:t>
            </w:r>
            <w:r w:rsidR="007031FB" w:rsidRPr="00FF0936">
              <w:rPr>
                <w:szCs w:val="20"/>
              </w:rPr>
              <w:t>of</w:t>
            </w:r>
            <w:r w:rsidR="0069390D" w:rsidRPr="00FF0936">
              <w:rPr>
                <w:szCs w:val="20"/>
              </w:rPr>
              <w:t xml:space="preserve"> allergies and intolerance</w:t>
            </w:r>
            <w:r w:rsidR="007031FB" w:rsidRPr="00FF0936">
              <w:rPr>
                <w:szCs w:val="20"/>
              </w:rPr>
              <w:t>s in the food and tourism industry.</w:t>
            </w:r>
          </w:p>
          <w:p w:rsidR="00DC2392" w:rsidRPr="00FF0936" w:rsidRDefault="0069390D" w:rsidP="00FF0936">
            <w:pPr>
              <w:spacing w:line="360" w:lineRule="auto"/>
              <w:jc w:val="both"/>
              <w:rPr>
                <w:szCs w:val="20"/>
              </w:rPr>
            </w:pPr>
            <w:r w:rsidRPr="00FF0936">
              <w:rPr>
                <w:szCs w:val="20"/>
              </w:rPr>
              <w:t>The chosen topic has enabled me to understand the vast impact</w:t>
            </w:r>
            <w:r w:rsidR="007031FB" w:rsidRPr="00FF0936">
              <w:rPr>
                <w:szCs w:val="20"/>
              </w:rPr>
              <w:t xml:space="preserve"> allergies can have on the tourism industry and specifically the food industry. The allergic reaction is mainly caused by certain conditions that belong to a person naturally or due to being in contact with a triggering environment</w:t>
            </w:r>
            <w:r w:rsidR="003C7042" w:rsidRPr="00FF0936">
              <w:rPr>
                <w:szCs w:val="20"/>
              </w:rPr>
              <w:t xml:space="preserve"> (Peter&amp; Olson, 2017)</w:t>
            </w:r>
            <w:r w:rsidR="007031FB" w:rsidRPr="00FF0936">
              <w:rPr>
                <w:szCs w:val="20"/>
              </w:rPr>
              <w:t>. In response to allergies and intolerance</w:t>
            </w:r>
            <w:r w:rsidR="00DC2392" w:rsidRPr="00FF0936">
              <w:rPr>
                <w:szCs w:val="20"/>
              </w:rPr>
              <w:t>s</w:t>
            </w:r>
            <w:r w:rsidR="007031FB" w:rsidRPr="00FF0936">
              <w:rPr>
                <w:szCs w:val="20"/>
              </w:rPr>
              <w:t xml:space="preserve">, the food industry has made considerable investments in allergy control over this </w:t>
            </w:r>
            <w:r w:rsidR="00DC2392" w:rsidRPr="00FF0936">
              <w:rPr>
                <w:szCs w:val="20"/>
              </w:rPr>
              <w:t>period</w:t>
            </w:r>
            <w:r w:rsidR="007031FB" w:rsidRPr="00FF0936">
              <w:rPr>
                <w:szCs w:val="20"/>
              </w:rPr>
              <w:t>.</w:t>
            </w:r>
            <w:r w:rsidR="00DC2392" w:rsidRPr="00FF0936">
              <w:rPr>
                <w:szCs w:val="20"/>
              </w:rPr>
              <w:t>The learning experience included many skills like research skills, summarising skills, deductive thinking skills etc. Among all the skills learning about allergies, Coeliac diseases and different intolerances will create more realistic addressing of such situations.</w:t>
            </w:r>
          </w:p>
          <w:p w:rsidR="00F51904" w:rsidRPr="00FF0936" w:rsidRDefault="00092114" w:rsidP="00FF0936">
            <w:pPr>
              <w:spacing w:line="360" w:lineRule="auto"/>
              <w:jc w:val="both"/>
              <w:rPr>
                <w:szCs w:val="20"/>
              </w:rPr>
            </w:pPr>
            <w:r w:rsidRPr="00FF0936">
              <w:rPr>
                <w:szCs w:val="20"/>
              </w:rPr>
              <w:t>Research about food allergy shows that at least 1 in every 50 children in the UK has a nut allergy</w:t>
            </w:r>
            <w:r w:rsidR="00FF0936">
              <w:rPr>
                <w:szCs w:val="20"/>
              </w:rPr>
              <w:t xml:space="preserve"> </w:t>
            </w:r>
            <w:r w:rsidR="00C76D2D" w:rsidRPr="00FF0936">
              <w:rPr>
                <w:szCs w:val="20"/>
              </w:rPr>
              <w:t>(Food Standards Agency, 2022)</w:t>
            </w:r>
            <w:r w:rsidRPr="00FF0936">
              <w:rPr>
                <w:szCs w:val="20"/>
              </w:rPr>
              <w:t xml:space="preserve">. Coeliac disease is also widespread among adults in the UK. The </w:t>
            </w:r>
            <w:r w:rsidR="00E461A7" w:rsidRPr="00FF0936">
              <w:rPr>
                <w:szCs w:val="20"/>
              </w:rPr>
              <w:t>breadth of allergies and intolerance of food and food ingredients make it clear that to serve people food the proper guidelines and food health concerns need to be tackled by the businesses</w:t>
            </w:r>
            <w:r w:rsidR="003C7042" w:rsidRPr="00FF0936">
              <w:rPr>
                <w:szCs w:val="20"/>
              </w:rPr>
              <w:t xml:space="preserve"> (Muraro</w:t>
            </w:r>
            <w:r w:rsidR="00FF0936">
              <w:rPr>
                <w:szCs w:val="20"/>
              </w:rPr>
              <w:t xml:space="preserve"> et al, 2019</w:t>
            </w:r>
            <w:r w:rsidR="003C7042" w:rsidRPr="00FF0936">
              <w:rPr>
                <w:szCs w:val="20"/>
              </w:rPr>
              <w:t>)</w:t>
            </w:r>
            <w:r w:rsidR="00E461A7" w:rsidRPr="00FF0936">
              <w:rPr>
                <w:szCs w:val="20"/>
              </w:rPr>
              <w:t xml:space="preserve">. </w:t>
            </w:r>
            <w:r w:rsidR="00DC2392" w:rsidRPr="00FF0936">
              <w:rPr>
                <w:szCs w:val="20"/>
              </w:rPr>
              <w:t xml:space="preserve">The </w:t>
            </w:r>
            <w:r w:rsidR="00EA048E" w:rsidRPr="00FF0936">
              <w:rPr>
                <w:szCs w:val="20"/>
              </w:rPr>
              <w:t xml:space="preserve">knowledge gained from the lecture will secure a lifelong learning impact on me. After completing the graduation, the knowledge will benefit me in any job, especially a tourism industry job. The learning from the module also required me to practice my researching and summarising skills. In addition to skills, the knowledge </w:t>
            </w:r>
            <w:r w:rsidRPr="00FF0936">
              <w:rPr>
                <w:szCs w:val="20"/>
              </w:rPr>
              <w:t>helps spread</w:t>
            </w:r>
            <w:r w:rsidR="00EA048E" w:rsidRPr="00FF0936">
              <w:rPr>
                <w:szCs w:val="20"/>
              </w:rPr>
              <w:t xml:space="preserve"> the appropriate knowledge among others</w:t>
            </w:r>
            <w:r w:rsidRPr="00FF0936">
              <w:rPr>
                <w:szCs w:val="20"/>
              </w:rPr>
              <w:t>.B</w:t>
            </w:r>
            <w:r w:rsidR="00EA048E" w:rsidRPr="00FF0936">
              <w:rPr>
                <w:szCs w:val="20"/>
              </w:rPr>
              <w:t xml:space="preserve">ecause most people who come from many different educational backgrounds are not knowledgeable </w:t>
            </w:r>
            <w:r w:rsidRPr="00FF0936">
              <w:rPr>
                <w:szCs w:val="20"/>
              </w:rPr>
              <w:t xml:space="preserve">about this topic. </w:t>
            </w:r>
            <w:r w:rsidR="002C7101" w:rsidRPr="00FF0936">
              <w:rPr>
                <w:szCs w:val="20"/>
              </w:rPr>
              <w:t>Producing and advertisingHFSS food in the United Kingdom is strictly regulated by the Food Standards Agency (FSA). In addition to the HFSS foods, the allergen triggering food ingredients usage is also barred by the authoritative bodies</w:t>
            </w:r>
            <w:r w:rsidR="00A604D5" w:rsidRPr="00FF0936">
              <w:rPr>
                <w:szCs w:val="20"/>
              </w:rPr>
              <w:t xml:space="preserve"> (</w:t>
            </w:r>
            <w:r w:rsidR="00FF0936">
              <w:rPr>
                <w:szCs w:val="20"/>
              </w:rPr>
              <w:t>Asa</w:t>
            </w:r>
            <w:r w:rsidR="00A604D5" w:rsidRPr="00FF0936">
              <w:rPr>
                <w:szCs w:val="20"/>
              </w:rPr>
              <w:t>, 2022)</w:t>
            </w:r>
            <w:r w:rsidR="002C7101" w:rsidRPr="00FF0936">
              <w:rPr>
                <w:szCs w:val="20"/>
              </w:rPr>
              <w:t>. There are rules in the UK that prohibit reduced-price offers on items including soft drinks, alcohol, hamburgers and fries because they contain excessive levels of fat, sugar and salt (HFSS).</w:t>
            </w:r>
          </w:p>
          <w:p w:rsidR="00375882" w:rsidRPr="00FF0936" w:rsidRDefault="00D71ABA" w:rsidP="00FF0936">
            <w:pPr>
              <w:spacing w:line="360" w:lineRule="auto"/>
              <w:jc w:val="both"/>
              <w:rPr>
                <w:szCs w:val="20"/>
              </w:rPr>
            </w:pPr>
            <w:r w:rsidRPr="00FF0936">
              <w:rPr>
                <w:szCs w:val="20"/>
              </w:rPr>
              <w:t xml:space="preserve">Testing for food allergies and finding effective treatments for them are at the </w:t>
            </w:r>
            <w:r w:rsidR="00741D94" w:rsidRPr="00FF0936">
              <w:rPr>
                <w:szCs w:val="20"/>
              </w:rPr>
              <w:t>lead</w:t>
            </w:r>
            <w:r w:rsidRPr="00FF0936">
              <w:rPr>
                <w:szCs w:val="20"/>
              </w:rPr>
              <w:t xml:space="preserve"> of contemporary food allergy </w:t>
            </w:r>
            <w:r w:rsidR="00741D94" w:rsidRPr="00FF0936">
              <w:rPr>
                <w:szCs w:val="20"/>
              </w:rPr>
              <w:t>advice</w:t>
            </w:r>
            <w:r w:rsidRPr="00FF0936">
              <w:rPr>
                <w:szCs w:val="20"/>
              </w:rPr>
              <w:t>.</w:t>
            </w:r>
            <w:r w:rsidR="00741D94" w:rsidRPr="00FF0936">
              <w:rPr>
                <w:szCs w:val="20"/>
              </w:rPr>
              <w:t>The Food Standards Agency's duty is defined by the "Food Standards Act 1999," which was passed in 1999. The "Food Standards Act 1999" serves as a benchmark for the product's quality</w:t>
            </w:r>
            <w:r w:rsidR="00A604D5" w:rsidRPr="00FF0936">
              <w:rPr>
                <w:szCs w:val="20"/>
              </w:rPr>
              <w:t xml:space="preserve"> (Food Standards Agency, 2022)</w:t>
            </w:r>
            <w:r w:rsidR="00741D94" w:rsidRPr="00FF0936">
              <w:rPr>
                <w:szCs w:val="20"/>
              </w:rPr>
              <w:t>."Food Information Regulation, 2014" permits local authorities to enforce the legislation on producers</w:t>
            </w:r>
            <w:r w:rsidR="00A604D5" w:rsidRPr="00FF0936">
              <w:rPr>
                <w:szCs w:val="20"/>
              </w:rPr>
              <w:t xml:space="preserve"> (</w:t>
            </w:r>
            <w:r w:rsidR="00FF0936">
              <w:rPr>
                <w:szCs w:val="20"/>
              </w:rPr>
              <w:t>Asa</w:t>
            </w:r>
            <w:r w:rsidR="00A604D5" w:rsidRPr="00FF0936">
              <w:rPr>
                <w:szCs w:val="20"/>
              </w:rPr>
              <w:t>, 2022)</w:t>
            </w:r>
            <w:r w:rsidR="00741D94" w:rsidRPr="00FF0936">
              <w:rPr>
                <w:szCs w:val="20"/>
              </w:rPr>
              <w:t>. Consumers have a legal right to know what they're putting in their bodies</w:t>
            </w:r>
            <w:r w:rsidR="00A604D5" w:rsidRPr="00FF0936">
              <w:rPr>
                <w:szCs w:val="20"/>
              </w:rPr>
              <w:t xml:space="preserve"> (Peter&amp; Olson, 2017)</w:t>
            </w:r>
            <w:r w:rsidR="00741D94" w:rsidRPr="00FF0936">
              <w:rPr>
                <w:szCs w:val="20"/>
              </w:rPr>
              <w:t>.</w:t>
            </w:r>
            <w:r w:rsidRPr="00FF0936">
              <w:rPr>
                <w:szCs w:val="20"/>
              </w:rPr>
              <w:t xml:space="preserve"> They have not addressed the growing body of research on risk analysis and diagnostic methods used to quantify dose-response relationships in connection to food allergy exposures, which have become more common in recent years</w:t>
            </w:r>
            <w:r w:rsidR="00A604D5" w:rsidRPr="00FF0936">
              <w:rPr>
                <w:szCs w:val="20"/>
              </w:rPr>
              <w:t xml:space="preserve"> (Turnbull et al</w:t>
            </w:r>
            <w:r w:rsidR="00FF0936">
              <w:rPr>
                <w:szCs w:val="20"/>
              </w:rPr>
              <w:t>, 2019</w:t>
            </w:r>
            <w:r w:rsidR="00A604D5" w:rsidRPr="00FF0936">
              <w:rPr>
                <w:szCs w:val="20"/>
              </w:rPr>
              <w:t>)</w:t>
            </w:r>
            <w:r w:rsidRPr="00FF0936">
              <w:rPr>
                <w:szCs w:val="20"/>
              </w:rPr>
              <w:t>.</w:t>
            </w:r>
            <w:r w:rsidR="00FD11D8" w:rsidRPr="00FF0936">
              <w:rPr>
                <w:szCs w:val="20"/>
              </w:rPr>
              <w:t xml:space="preserve"> An understanding among the food and beverage producers about allergen effect on public health might enable food producers to produce, serve</w:t>
            </w:r>
            <w:r w:rsidR="00D66D30" w:rsidRPr="00FF0936">
              <w:rPr>
                <w:szCs w:val="20"/>
              </w:rPr>
              <w:t xml:space="preserve"> the food</w:t>
            </w:r>
            <w:r w:rsidR="00FD11D8" w:rsidRPr="00FF0936">
              <w:rPr>
                <w:szCs w:val="20"/>
              </w:rPr>
              <w:t xml:space="preserve"> and promote the guidelines</w:t>
            </w:r>
            <w:r w:rsidR="00D66D30" w:rsidRPr="00FF0936">
              <w:rPr>
                <w:szCs w:val="20"/>
              </w:rPr>
              <w:t>.</w:t>
            </w:r>
          </w:p>
          <w:p w:rsidR="00375882" w:rsidRPr="00FF0936" w:rsidRDefault="00C73D43" w:rsidP="00FF0936">
            <w:pPr>
              <w:spacing w:line="360" w:lineRule="auto"/>
              <w:jc w:val="both"/>
              <w:rPr>
                <w:szCs w:val="20"/>
              </w:rPr>
            </w:pPr>
            <w:r w:rsidRPr="00FF0936">
              <w:rPr>
                <w:szCs w:val="20"/>
              </w:rPr>
              <w:t>In the UK, allergic responses that occur when food is consumed outside the house are the major cause of food allergen mortality</w:t>
            </w:r>
            <w:r w:rsidR="00A604D5" w:rsidRPr="00FF0936">
              <w:rPr>
                <w:szCs w:val="20"/>
              </w:rPr>
              <w:t xml:space="preserve"> (Food Standards Agency, 2022)</w:t>
            </w:r>
            <w:r w:rsidRPr="00FF0936">
              <w:rPr>
                <w:szCs w:val="20"/>
              </w:rPr>
              <w:t>.</w:t>
            </w:r>
            <w:r w:rsidR="00B24500">
              <w:rPr>
                <w:szCs w:val="20"/>
              </w:rPr>
              <w:t xml:space="preserve"> </w:t>
            </w:r>
            <w:r w:rsidR="00741D94" w:rsidRPr="00FF0936">
              <w:rPr>
                <w:szCs w:val="20"/>
              </w:rPr>
              <w:t xml:space="preserve">The government and government assigned bodies have the authority to </w:t>
            </w:r>
            <w:r w:rsidR="00A92EC6" w:rsidRPr="00FF0936">
              <w:rPr>
                <w:szCs w:val="20"/>
              </w:rPr>
              <w:t>determine the future of</w:t>
            </w:r>
            <w:r w:rsidR="00741D94" w:rsidRPr="00FF0936">
              <w:rPr>
                <w:szCs w:val="20"/>
              </w:rPr>
              <w:t xml:space="preserve"> a food </w:t>
            </w:r>
            <w:r w:rsidR="00A92EC6" w:rsidRPr="00FF0936">
              <w:rPr>
                <w:szCs w:val="20"/>
              </w:rPr>
              <w:t xml:space="preserve">business organisation. Any violation of the stated rules and guidelines that might act as a trigger </w:t>
            </w:r>
            <w:r w:rsidRPr="00FF0936">
              <w:rPr>
                <w:szCs w:val="20"/>
              </w:rPr>
              <w:t>for</w:t>
            </w:r>
            <w:r w:rsidR="00A92EC6" w:rsidRPr="00FF0936">
              <w:rPr>
                <w:szCs w:val="20"/>
              </w:rPr>
              <w:t xml:space="preserve"> public health hazards would be closed or banned by the authority. So, the sustainability of a food business is highly dependent on the proper balancing of food and safety guidelines. The guidelines restrict allergy prevalent foods like milk, eggs, peanuts etc.</w:t>
            </w:r>
            <w:r w:rsidRPr="00FF0936">
              <w:rPr>
                <w:szCs w:val="20"/>
              </w:rPr>
              <w:t xml:space="preserve"> Knowing the food and allergen hazard will help me to handle critical situations in the food-service industry and other tourism jobs. </w:t>
            </w:r>
          </w:p>
          <w:p w:rsidR="0048411C" w:rsidRPr="00FF0936" w:rsidRDefault="0048411C" w:rsidP="00FF0936">
            <w:pPr>
              <w:spacing w:line="360" w:lineRule="auto"/>
              <w:jc w:val="both"/>
              <w:rPr>
                <w:szCs w:val="20"/>
              </w:rPr>
            </w:pPr>
            <w:r w:rsidRPr="00FF0936">
              <w:rPr>
                <w:szCs w:val="20"/>
              </w:rPr>
              <w:t xml:space="preserve">The adverse impact of food allergies and different intolerances cannot be reduced in a short period because of the lack of knowledge and proper facility. The law gives the consumers the right </w:t>
            </w:r>
            <w:r w:rsidR="00FD11D8" w:rsidRPr="00FF0936">
              <w:rPr>
                <w:szCs w:val="20"/>
              </w:rPr>
              <w:t>knowledge</w:t>
            </w:r>
            <w:r w:rsidRPr="00FF0936">
              <w:rPr>
                <w:szCs w:val="20"/>
              </w:rPr>
              <w:t xml:space="preserve"> and </w:t>
            </w:r>
            <w:r w:rsidR="00FD11D8" w:rsidRPr="00FF0936">
              <w:rPr>
                <w:szCs w:val="20"/>
              </w:rPr>
              <w:t>opposing the usage of particular ingredients in the food. T</w:t>
            </w:r>
            <w:r w:rsidRPr="00FF0936">
              <w:rPr>
                <w:szCs w:val="20"/>
              </w:rPr>
              <w:t>he declaration of food ingredients and the effects of the allergens should be provided to the consumers before serving. Necessary steps to mitigate the allergen effects and an emergency response facility are needed to be developed.</w:t>
            </w:r>
          </w:p>
          <w:p w:rsidR="00375882" w:rsidRPr="00FF0936" w:rsidRDefault="00375882" w:rsidP="00FF0936">
            <w:pPr>
              <w:spacing w:line="360" w:lineRule="auto"/>
              <w:jc w:val="both"/>
              <w:rPr>
                <w:szCs w:val="20"/>
              </w:rPr>
            </w:pPr>
          </w:p>
          <w:p w:rsidR="006421C3" w:rsidRPr="00FF0936" w:rsidRDefault="006421C3" w:rsidP="00FF0936">
            <w:pPr>
              <w:spacing w:line="360" w:lineRule="auto"/>
              <w:jc w:val="both"/>
              <w:rPr>
                <w:szCs w:val="20"/>
              </w:rPr>
            </w:pPr>
          </w:p>
          <w:p w:rsidR="006421C3" w:rsidRPr="00FF0936" w:rsidRDefault="006421C3" w:rsidP="00FF0936">
            <w:pPr>
              <w:spacing w:line="360" w:lineRule="auto"/>
              <w:jc w:val="both"/>
              <w:rPr>
                <w:szCs w:val="20"/>
              </w:rPr>
            </w:pPr>
          </w:p>
          <w:p w:rsidR="006421C3" w:rsidRPr="00FF0936" w:rsidRDefault="006421C3" w:rsidP="00FF0936">
            <w:pPr>
              <w:spacing w:line="360" w:lineRule="auto"/>
              <w:jc w:val="both"/>
              <w:rPr>
                <w:szCs w:val="20"/>
              </w:rPr>
            </w:pPr>
          </w:p>
          <w:p w:rsidR="006421C3" w:rsidRPr="00FF0936" w:rsidRDefault="006421C3" w:rsidP="00FF0936">
            <w:pPr>
              <w:spacing w:line="360" w:lineRule="auto"/>
              <w:jc w:val="both"/>
              <w:rPr>
                <w:szCs w:val="20"/>
              </w:rPr>
            </w:pPr>
          </w:p>
          <w:p w:rsidR="00375882" w:rsidRPr="00FF0936" w:rsidRDefault="00375882" w:rsidP="00FF0936">
            <w:pPr>
              <w:spacing w:line="360" w:lineRule="auto"/>
              <w:jc w:val="both"/>
              <w:rPr>
                <w:szCs w:val="20"/>
              </w:rPr>
            </w:pPr>
          </w:p>
          <w:p w:rsidR="0020140A" w:rsidRPr="00FF0936" w:rsidRDefault="0020140A" w:rsidP="00FF0936">
            <w:pPr>
              <w:spacing w:line="360" w:lineRule="auto"/>
              <w:jc w:val="both"/>
              <w:rPr>
                <w:szCs w:val="20"/>
              </w:rPr>
            </w:pPr>
          </w:p>
        </w:tc>
      </w:tr>
    </w:tbl>
    <w:p w:rsidR="00B00678" w:rsidRPr="00FF0936" w:rsidRDefault="00B00678" w:rsidP="00FF0936">
      <w:pPr>
        <w:spacing w:line="360" w:lineRule="auto"/>
        <w:rPr>
          <w:b/>
          <w:sz w:val="32"/>
        </w:rPr>
      </w:pPr>
    </w:p>
    <w:tbl>
      <w:tblPr>
        <w:tblStyle w:val="TableGrid"/>
        <w:tblW w:w="0" w:type="auto"/>
        <w:tblLook w:val="01E0" w:firstRow="1" w:lastRow="1" w:firstColumn="1" w:lastColumn="1" w:noHBand="0" w:noVBand="0"/>
      </w:tblPr>
      <w:tblGrid>
        <w:gridCol w:w="10910"/>
        <w:gridCol w:w="272"/>
      </w:tblGrid>
      <w:tr w:rsidR="0020140A" w:rsidRPr="00FF0936" w:rsidTr="00375882">
        <w:tc>
          <w:tcPr>
            <w:tcW w:w="10910" w:type="dxa"/>
            <w:shd w:val="clear" w:color="auto" w:fill="FBD4B4" w:themeFill="accent6" w:themeFillTint="66"/>
          </w:tcPr>
          <w:p w:rsidR="00375882" w:rsidRPr="00FF0936" w:rsidRDefault="00375882" w:rsidP="00FF0936">
            <w:pPr>
              <w:spacing w:line="360" w:lineRule="auto"/>
              <w:rPr>
                <w:b/>
                <w:szCs w:val="20"/>
              </w:rPr>
            </w:pPr>
            <w:r w:rsidRPr="00FF0936">
              <w:rPr>
                <w:b/>
                <w:szCs w:val="20"/>
              </w:rPr>
              <w:t xml:space="preserve">REFERENCE LIST </w:t>
            </w:r>
            <w:r w:rsidR="00A138AA" w:rsidRPr="00FF0936">
              <w:rPr>
                <w:b/>
                <w:szCs w:val="20"/>
              </w:rPr>
              <w:t>(not included in word count)</w:t>
            </w:r>
          </w:p>
        </w:tc>
        <w:tc>
          <w:tcPr>
            <w:tcW w:w="272" w:type="dxa"/>
            <w:shd w:val="clear" w:color="auto" w:fill="FBD4B4" w:themeFill="accent6" w:themeFillTint="66"/>
          </w:tcPr>
          <w:p w:rsidR="00375882" w:rsidRPr="00FF0936" w:rsidRDefault="00375882" w:rsidP="00FF0936">
            <w:pPr>
              <w:spacing w:line="360" w:lineRule="auto"/>
              <w:jc w:val="center"/>
              <w:rPr>
                <w:b/>
                <w:szCs w:val="20"/>
              </w:rPr>
            </w:pPr>
          </w:p>
          <w:p w:rsidR="00375882" w:rsidRPr="00FF0936" w:rsidRDefault="00375882" w:rsidP="00FF0936">
            <w:pPr>
              <w:spacing w:line="360" w:lineRule="auto"/>
              <w:jc w:val="center"/>
              <w:rPr>
                <w:b/>
                <w:szCs w:val="20"/>
              </w:rPr>
            </w:pPr>
          </w:p>
        </w:tc>
      </w:tr>
      <w:tr w:rsidR="0020140A" w:rsidRPr="00FF0936" w:rsidTr="007F6692">
        <w:trPr>
          <w:trHeight w:val="2494"/>
        </w:trPr>
        <w:tc>
          <w:tcPr>
            <w:tcW w:w="11182" w:type="dxa"/>
            <w:gridSpan w:val="2"/>
          </w:tcPr>
          <w:p w:rsidR="00375882" w:rsidRPr="00FF0936" w:rsidRDefault="00375882" w:rsidP="00FF0936">
            <w:pPr>
              <w:spacing w:line="360" w:lineRule="auto"/>
              <w:rPr>
                <w:szCs w:val="20"/>
              </w:rPr>
            </w:pPr>
          </w:p>
          <w:p w:rsidR="00A604D5" w:rsidRPr="00FF0936" w:rsidRDefault="00A604D5" w:rsidP="00FF0936">
            <w:pPr>
              <w:pStyle w:val="ListParagraph"/>
              <w:numPr>
                <w:ilvl w:val="0"/>
                <w:numId w:val="29"/>
              </w:numPr>
              <w:spacing w:line="360" w:lineRule="auto"/>
              <w:jc w:val="both"/>
              <w:rPr>
                <w:szCs w:val="20"/>
              </w:rPr>
            </w:pPr>
            <w:r w:rsidRPr="00FF0936">
              <w:rPr>
                <w:szCs w:val="20"/>
              </w:rPr>
              <w:t xml:space="preserve">Asa.org.uk, </w:t>
            </w:r>
            <w:r w:rsidR="00FF0936">
              <w:rPr>
                <w:szCs w:val="20"/>
              </w:rPr>
              <w:t>(</w:t>
            </w:r>
            <w:r w:rsidRPr="00FF0936">
              <w:rPr>
                <w:szCs w:val="20"/>
              </w:rPr>
              <w:t>2022</w:t>
            </w:r>
            <w:r w:rsidR="00FF0936">
              <w:rPr>
                <w:szCs w:val="20"/>
              </w:rPr>
              <w:t>)</w:t>
            </w:r>
            <w:r w:rsidRPr="00FF0936">
              <w:rPr>
                <w:szCs w:val="20"/>
              </w:rPr>
              <w:t>. Food: HFSS Overview. [online]. Asa.org.uk. In Press. Available at: </w:t>
            </w:r>
            <w:hyperlink r:id="rId7" w:history="1">
              <w:r w:rsidR="009126FF" w:rsidRPr="00166C54">
                <w:rPr>
                  <w:rStyle w:val="Hyperlink"/>
                  <w:szCs w:val="20"/>
                </w:rPr>
                <w:t>https://www.asa.org.uk/advice-online/food-hfss-overview.html</w:t>
              </w:r>
            </w:hyperlink>
            <w:r w:rsidR="009126FF">
              <w:rPr>
                <w:szCs w:val="20"/>
              </w:rPr>
              <w:t xml:space="preserve">. [Access on </w:t>
            </w:r>
            <w:r w:rsidRPr="00FF0936">
              <w:rPr>
                <w:szCs w:val="20"/>
              </w:rPr>
              <w:t> </w:t>
            </w:r>
            <w:r w:rsidR="00FF0936">
              <w:rPr>
                <w:szCs w:val="20"/>
              </w:rPr>
              <w:t>29 may 2022</w:t>
            </w:r>
            <w:r w:rsidR="009126FF">
              <w:rPr>
                <w:szCs w:val="20"/>
              </w:rPr>
              <w:t>]</w:t>
            </w:r>
          </w:p>
          <w:p w:rsidR="009126FF" w:rsidRPr="009126FF" w:rsidRDefault="00A604D5" w:rsidP="00FF0936">
            <w:pPr>
              <w:pStyle w:val="ListParagraph"/>
              <w:numPr>
                <w:ilvl w:val="0"/>
                <w:numId w:val="29"/>
              </w:numPr>
              <w:spacing w:line="360" w:lineRule="auto"/>
              <w:rPr>
                <w:szCs w:val="20"/>
              </w:rPr>
            </w:pPr>
            <w:r w:rsidRPr="00FF0936">
              <w:rPr>
                <w:szCs w:val="20"/>
              </w:rPr>
              <w:t xml:space="preserve">Food Standards Agency, </w:t>
            </w:r>
            <w:r w:rsidR="00FF0936">
              <w:rPr>
                <w:szCs w:val="20"/>
              </w:rPr>
              <w:t>(</w:t>
            </w:r>
            <w:r w:rsidRPr="00FF0936">
              <w:rPr>
                <w:szCs w:val="20"/>
              </w:rPr>
              <w:t>2022</w:t>
            </w:r>
            <w:r w:rsidR="00FF0936">
              <w:rPr>
                <w:szCs w:val="20"/>
              </w:rPr>
              <w:t>)</w:t>
            </w:r>
            <w:r w:rsidRPr="00FF0936">
              <w:rPr>
                <w:szCs w:val="20"/>
              </w:rPr>
              <w:t xml:space="preserve">. Allergen guidance for food businesses. [online] Food Standards Agency. Available at: </w:t>
            </w:r>
            <w:r w:rsidR="009126FF">
              <w:rPr>
                <w:szCs w:val="20"/>
              </w:rPr>
              <w:fldChar w:fldCharType="begin"/>
            </w:r>
            <w:r w:rsidR="009126FF">
              <w:rPr>
                <w:szCs w:val="20"/>
              </w:rPr>
              <w:instrText xml:space="preserve"> HYPERLINK "</w:instrText>
            </w:r>
            <w:r w:rsidR="009126FF" w:rsidRPr="009126FF">
              <w:rPr>
                <w:szCs w:val="20"/>
              </w:rPr>
              <w:instrText>https://www.food.gov.uk/business-guidance/allergen-guidance-for-food-businesses.</w:instrText>
            </w:r>
          </w:p>
          <w:p w:rsidR="009126FF" w:rsidRPr="00166C54" w:rsidRDefault="009126FF" w:rsidP="00FF0936">
            <w:pPr>
              <w:pStyle w:val="ListParagraph"/>
              <w:numPr>
                <w:ilvl w:val="0"/>
                <w:numId w:val="29"/>
              </w:numPr>
              <w:spacing w:line="360" w:lineRule="auto"/>
              <w:rPr>
                <w:rStyle w:val="Hyperlink"/>
                <w:szCs w:val="20"/>
              </w:rPr>
            </w:pPr>
            <w:r w:rsidRPr="009126FF">
              <w:rPr>
                <w:szCs w:val="20"/>
              </w:rPr>
              <w:instrText>[Access on  29 may 2022</w:instrText>
            </w:r>
            <w:r>
              <w:rPr>
                <w:szCs w:val="20"/>
              </w:rPr>
              <w:instrText xml:space="preserve">" </w:instrText>
            </w:r>
            <w:r>
              <w:rPr>
                <w:szCs w:val="20"/>
              </w:rPr>
              <w:fldChar w:fldCharType="separate"/>
            </w:r>
            <w:r w:rsidRPr="00166C54">
              <w:rPr>
                <w:rStyle w:val="Hyperlink"/>
                <w:szCs w:val="20"/>
              </w:rPr>
              <w:t>https://www.food.gov.uk/business-guidance/allergen-guidance-for-food-businesses.</w:t>
            </w:r>
          </w:p>
          <w:p w:rsidR="00A604D5" w:rsidRPr="00FF0936" w:rsidRDefault="009126FF" w:rsidP="009126FF">
            <w:pPr>
              <w:pStyle w:val="ListParagraph"/>
              <w:spacing w:line="360" w:lineRule="auto"/>
              <w:rPr>
                <w:szCs w:val="20"/>
              </w:rPr>
            </w:pPr>
            <w:r w:rsidRPr="00166C54">
              <w:rPr>
                <w:rStyle w:val="Hyperlink"/>
                <w:szCs w:val="20"/>
              </w:rPr>
              <w:t>[Access on  29 may 2022</w:t>
            </w:r>
            <w:r>
              <w:rPr>
                <w:szCs w:val="20"/>
              </w:rPr>
              <w:fldChar w:fldCharType="end"/>
            </w:r>
            <w:r w:rsidR="00FF0936">
              <w:rPr>
                <w:szCs w:val="20"/>
              </w:rPr>
              <w:t xml:space="preserve">. </w:t>
            </w:r>
            <w:r>
              <w:rPr>
                <w:szCs w:val="20"/>
              </w:rPr>
              <w:t>]</w:t>
            </w:r>
          </w:p>
          <w:p w:rsidR="00A604D5" w:rsidRPr="00FF0936" w:rsidRDefault="00A604D5" w:rsidP="00FF0936">
            <w:pPr>
              <w:pStyle w:val="ListParagraph"/>
              <w:numPr>
                <w:ilvl w:val="0"/>
                <w:numId w:val="29"/>
              </w:numPr>
              <w:spacing w:line="360" w:lineRule="auto"/>
              <w:jc w:val="both"/>
              <w:rPr>
                <w:szCs w:val="20"/>
              </w:rPr>
            </w:pPr>
            <w:bookmarkStart w:id="0" w:name="_Hlk103728527"/>
            <w:r w:rsidRPr="00FF0936">
              <w:rPr>
                <w:szCs w:val="20"/>
              </w:rPr>
              <w:t xml:space="preserve">Food Standards Agency, </w:t>
            </w:r>
            <w:r w:rsidR="00FF0936">
              <w:rPr>
                <w:szCs w:val="20"/>
              </w:rPr>
              <w:t>(</w:t>
            </w:r>
            <w:r w:rsidRPr="00FF0936">
              <w:rPr>
                <w:szCs w:val="20"/>
              </w:rPr>
              <w:t>2022</w:t>
            </w:r>
            <w:r w:rsidR="00FF0936">
              <w:rPr>
                <w:szCs w:val="20"/>
              </w:rPr>
              <w:t>)</w:t>
            </w:r>
            <w:r w:rsidRPr="00FF0936">
              <w:rPr>
                <w:szCs w:val="20"/>
              </w:rPr>
              <w:t>. Key Regulations. [online]. Food Standards Agency. In Press. Available at: </w:t>
            </w:r>
            <w:hyperlink r:id="rId8" w:history="1">
              <w:r w:rsidR="009126FF" w:rsidRPr="00166C54">
                <w:rPr>
                  <w:rStyle w:val="Hyperlink"/>
                  <w:szCs w:val="20"/>
                </w:rPr>
                <w:t>https://www.food.gov.uk/about-us/key-regulations</w:t>
              </w:r>
            </w:hyperlink>
            <w:r w:rsidR="009126FF">
              <w:rPr>
                <w:szCs w:val="20"/>
              </w:rPr>
              <w:t xml:space="preserve">.  [Access on </w:t>
            </w:r>
            <w:r w:rsidRPr="00FF0936">
              <w:rPr>
                <w:szCs w:val="20"/>
              </w:rPr>
              <w:t> </w:t>
            </w:r>
            <w:r w:rsidR="00FF0936">
              <w:rPr>
                <w:szCs w:val="20"/>
              </w:rPr>
              <w:t>29 may 2022</w:t>
            </w:r>
            <w:r w:rsidR="009126FF">
              <w:rPr>
                <w:szCs w:val="20"/>
              </w:rPr>
              <w:t>]</w:t>
            </w:r>
          </w:p>
          <w:p w:rsidR="00A604D5" w:rsidRPr="00FF0936" w:rsidRDefault="00A604D5" w:rsidP="00FF0936">
            <w:pPr>
              <w:pStyle w:val="ListParagraph"/>
              <w:numPr>
                <w:ilvl w:val="0"/>
                <w:numId w:val="29"/>
              </w:numPr>
              <w:spacing w:line="360" w:lineRule="auto"/>
              <w:rPr>
                <w:szCs w:val="20"/>
              </w:rPr>
            </w:pPr>
            <w:r w:rsidRPr="00FF0936">
              <w:rPr>
                <w:szCs w:val="20"/>
              </w:rPr>
              <w:t xml:space="preserve">Muraro, A., Werfel, T., Hoffmann‐Sommergruber, K., Roberts, G., Beyer, K., Bindslev‐Jensen, C., Cardona, V., Dubois, A., Dutoit, G., Eigenmann, P. and Fernandez Rivas, M., </w:t>
            </w:r>
            <w:r w:rsidR="00FF0936">
              <w:rPr>
                <w:szCs w:val="20"/>
              </w:rPr>
              <w:t>(2019)</w:t>
            </w:r>
            <w:r w:rsidRPr="00FF0936">
              <w:rPr>
                <w:szCs w:val="20"/>
              </w:rPr>
              <w:t>. EAACI food allergy and anaphylaxis guidelines: diagnosis and management of food allergy. Allergy, 69(8), pp.1008-1025.</w:t>
            </w:r>
          </w:p>
          <w:p w:rsidR="00A604D5" w:rsidRPr="00FF0936" w:rsidRDefault="00A604D5" w:rsidP="00FF0936">
            <w:pPr>
              <w:pStyle w:val="ListParagraph"/>
              <w:numPr>
                <w:ilvl w:val="0"/>
                <w:numId w:val="29"/>
              </w:numPr>
              <w:spacing w:line="360" w:lineRule="auto"/>
              <w:jc w:val="both"/>
              <w:rPr>
                <w:szCs w:val="20"/>
              </w:rPr>
            </w:pPr>
            <w:r w:rsidRPr="00FF0936">
              <w:rPr>
                <w:szCs w:val="20"/>
              </w:rPr>
              <w:t xml:space="preserve">Peter, J. and Olson, J., </w:t>
            </w:r>
            <w:r w:rsidR="00FF0936">
              <w:rPr>
                <w:szCs w:val="20"/>
              </w:rPr>
              <w:t>(</w:t>
            </w:r>
            <w:r w:rsidRPr="00FF0936">
              <w:rPr>
                <w:szCs w:val="20"/>
              </w:rPr>
              <w:t>2017</w:t>
            </w:r>
            <w:r w:rsidR="00FF0936">
              <w:rPr>
                <w:szCs w:val="20"/>
              </w:rPr>
              <w:t>)</w:t>
            </w:r>
            <w:r w:rsidRPr="00FF0936">
              <w:rPr>
                <w:szCs w:val="20"/>
              </w:rPr>
              <w:t>. Consumer behaviour. New York: McGraw-Hill Higher Education</w:t>
            </w:r>
          </w:p>
          <w:p w:rsidR="00A604D5" w:rsidRPr="00FF0936" w:rsidRDefault="00A604D5" w:rsidP="00FF0936">
            <w:pPr>
              <w:pStyle w:val="ListParagraph"/>
              <w:numPr>
                <w:ilvl w:val="0"/>
                <w:numId w:val="29"/>
              </w:numPr>
              <w:spacing w:line="360" w:lineRule="auto"/>
              <w:jc w:val="both"/>
              <w:rPr>
                <w:sz w:val="32"/>
              </w:rPr>
            </w:pPr>
            <w:r w:rsidRPr="00FF0936">
              <w:rPr>
                <w:szCs w:val="20"/>
              </w:rPr>
              <w:t xml:space="preserve">Turnbull, J.L., Adams, H.N. and Gorard, D.A., </w:t>
            </w:r>
            <w:r w:rsidR="00FF0936">
              <w:rPr>
                <w:szCs w:val="20"/>
              </w:rPr>
              <w:t>(2019)</w:t>
            </w:r>
            <w:r w:rsidRPr="00FF0936">
              <w:rPr>
                <w:szCs w:val="20"/>
              </w:rPr>
              <w:t>. The diagnosis and management of food allergy and food intolerances. Alimentary pharmacology &amp; therapeutics, 41(1), pp.3-25.</w:t>
            </w:r>
            <w:bookmarkEnd w:id="0"/>
          </w:p>
          <w:p w:rsidR="00375882" w:rsidRPr="00FF0936" w:rsidRDefault="00375882" w:rsidP="00FF0936">
            <w:pPr>
              <w:spacing w:line="360" w:lineRule="auto"/>
              <w:jc w:val="both"/>
              <w:rPr>
                <w:sz w:val="32"/>
              </w:rPr>
            </w:pPr>
          </w:p>
          <w:p w:rsidR="00375882" w:rsidRPr="00FF0936" w:rsidRDefault="00375882" w:rsidP="00FF0936">
            <w:pPr>
              <w:spacing w:line="360" w:lineRule="auto"/>
              <w:jc w:val="both"/>
              <w:rPr>
                <w:sz w:val="32"/>
              </w:rPr>
            </w:pPr>
          </w:p>
          <w:p w:rsidR="00375882" w:rsidRPr="00FF0936" w:rsidRDefault="00375882" w:rsidP="00FF0936">
            <w:pPr>
              <w:spacing w:line="360" w:lineRule="auto"/>
              <w:jc w:val="both"/>
              <w:rPr>
                <w:sz w:val="32"/>
              </w:rPr>
            </w:pPr>
          </w:p>
          <w:p w:rsidR="00375882" w:rsidRPr="00FF0936" w:rsidRDefault="00375882" w:rsidP="00FF0936">
            <w:pPr>
              <w:spacing w:line="360" w:lineRule="auto"/>
              <w:jc w:val="both"/>
              <w:rPr>
                <w:sz w:val="32"/>
              </w:rPr>
            </w:pPr>
          </w:p>
          <w:p w:rsidR="00375882" w:rsidRPr="00FF0936" w:rsidRDefault="00375882" w:rsidP="00FF0936">
            <w:pPr>
              <w:spacing w:line="360" w:lineRule="auto"/>
              <w:jc w:val="both"/>
              <w:rPr>
                <w:sz w:val="32"/>
              </w:rPr>
            </w:pPr>
          </w:p>
          <w:p w:rsidR="00375882" w:rsidRPr="00FF0936" w:rsidRDefault="00375882" w:rsidP="00FF0936">
            <w:pPr>
              <w:spacing w:line="360" w:lineRule="auto"/>
              <w:jc w:val="both"/>
              <w:rPr>
                <w:sz w:val="32"/>
              </w:rPr>
            </w:pPr>
          </w:p>
          <w:p w:rsidR="00375882" w:rsidRPr="00FF0936" w:rsidRDefault="00375882" w:rsidP="00FF0936">
            <w:pPr>
              <w:spacing w:line="360" w:lineRule="auto"/>
              <w:jc w:val="both"/>
              <w:rPr>
                <w:sz w:val="32"/>
              </w:rPr>
            </w:pPr>
          </w:p>
          <w:p w:rsidR="00375882" w:rsidRPr="00FF0936" w:rsidRDefault="00375882" w:rsidP="00FF0936">
            <w:pPr>
              <w:spacing w:line="360" w:lineRule="auto"/>
              <w:jc w:val="both"/>
              <w:rPr>
                <w:szCs w:val="20"/>
              </w:rPr>
            </w:pPr>
          </w:p>
        </w:tc>
      </w:tr>
    </w:tbl>
    <w:p w:rsidR="00B00678" w:rsidRDefault="00B00678" w:rsidP="0020140A">
      <w:pPr>
        <w:rPr>
          <w:rFonts w:ascii="Tahoma" w:hAnsi="Tahoma" w:cs="Tahoma"/>
          <w:b/>
        </w:rPr>
      </w:pPr>
    </w:p>
    <w:sectPr w:rsidR="00B00678"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B0B1D" w:rsidRDefault="00AB0B1D">
      <w:r>
        <w:separator/>
      </w:r>
    </w:p>
  </w:endnote>
  <w:endnote w:type="continuationSeparator" w:id="0">
    <w:p w:rsidR="00AB0B1D" w:rsidRDefault="00AB0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MT">
    <w:altName w:val="Cambria"/>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rsidR="00B44B68" w:rsidRDefault="00F3753B">
        <w:pPr>
          <w:pStyle w:val="Footer"/>
          <w:jc w:val="right"/>
        </w:pPr>
        <w:r>
          <w:fldChar w:fldCharType="begin"/>
        </w:r>
        <w:r w:rsidR="00B44B68">
          <w:instrText xml:space="preserve"> PAGE   \* MERGEFORMAT </w:instrText>
        </w:r>
        <w:r>
          <w:fldChar w:fldCharType="separate"/>
        </w:r>
        <w:r w:rsidR="009126FF">
          <w:rPr>
            <w:noProof/>
          </w:rPr>
          <w:t>3</w:t>
        </w:r>
        <w:r>
          <w:rPr>
            <w:noProof/>
          </w:rPr>
          <w:fldChar w:fldCharType="end"/>
        </w:r>
      </w:p>
    </w:sdtContent>
  </w:sdt>
  <w:p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B0B1D" w:rsidRDefault="00AB0B1D">
      <w:r>
        <w:separator/>
      </w:r>
    </w:p>
  </w:footnote>
  <w:footnote w:type="continuationSeparator" w:id="0">
    <w:p w:rsidR="00AB0B1D" w:rsidRDefault="00AB0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D0273D"/>
    <w:multiLevelType w:val="hybridMultilevel"/>
    <w:tmpl w:val="1164A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50669959">
    <w:abstractNumId w:val="13"/>
  </w:num>
  <w:num w:numId="2" w16cid:durableId="475802068">
    <w:abstractNumId w:val="4"/>
  </w:num>
  <w:num w:numId="3" w16cid:durableId="862594881">
    <w:abstractNumId w:val="28"/>
  </w:num>
  <w:num w:numId="4" w16cid:durableId="248082615">
    <w:abstractNumId w:val="5"/>
  </w:num>
  <w:num w:numId="5" w16cid:durableId="710763741">
    <w:abstractNumId w:val="24"/>
  </w:num>
  <w:num w:numId="6" w16cid:durableId="965818008">
    <w:abstractNumId w:val="6"/>
  </w:num>
  <w:num w:numId="7" w16cid:durableId="1808622678">
    <w:abstractNumId w:val="0"/>
  </w:num>
  <w:num w:numId="8" w16cid:durableId="1551645689">
    <w:abstractNumId w:val="27"/>
  </w:num>
  <w:num w:numId="9" w16cid:durableId="2089188298">
    <w:abstractNumId w:val="16"/>
  </w:num>
  <w:num w:numId="10" w16cid:durableId="1480994246">
    <w:abstractNumId w:val="19"/>
  </w:num>
  <w:num w:numId="11" w16cid:durableId="951978037">
    <w:abstractNumId w:val="3"/>
  </w:num>
  <w:num w:numId="12" w16cid:durableId="2137750123">
    <w:abstractNumId w:val="14"/>
  </w:num>
  <w:num w:numId="13" w16cid:durableId="1861354075">
    <w:abstractNumId w:val="2"/>
  </w:num>
  <w:num w:numId="14" w16cid:durableId="254678801">
    <w:abstractNumId w:val="10"/>
  </w:num>
  <w:num w:numId="15" w16cid:durableId="1950892765">
    <w:abstractNumId w:val="18"/>
  </w:num>
  <w:num w:numId="16" w16cid:durableId="1937395831">
    <w:abstractNumId w:val="20"/>
  </w:num>
  <w:num w:numId="17" w16cid:durableId="1373773574">
    <w:abstractNumId w:val="1"/>
  </w:num>
  <w:num w:numId="18" w16cid:durableId="182474267">
    <w:abstractNumId w:val="26"/>
  </w:num>
  <w:num w:numId="19" w16cid:durableId="1194925507">
    <w:abstractNumId w:val="9"/>
  </w:num>
  <w:num w:numId="20" w16cid:durableId="1829788498">
    <w:abstractNumId w:val="21"/>
  </w:num>
  <w:num w:numId="21" w16cid:durableId="1915970869">
    <w:abstractNumId w:val="12"/>
  </w:num>
  <w:num w:numId="22" w16cid:durableId="505437812">
    <w:abstractNumId w:val="17"/>
  </w:num>
  <w:num w:numId="23" w16cid:durableId="1189833231">
    <w:abstractNumId w:val="25"/>
  </w:num>
  <w:num w:numId="24" w16cid:durableId="874120171">
    <w:abstractNumId w:val="11"/>
  </w:num>
  <w:num w:numId="25" w16cid:durableId="92215701">
    <w:abstractNumId w:val="23"/>
  </w:num>
  <w:num w:numId="26" w16cid:durableId="713429699">
    <w:abstractNumId w:val="7"/>
  </w:num>
  <w:num w:numId="27" w16cid:durableId="1654405006">
    <w:abstractNumId w:val="22"/>
  </w:num>
  <w:num w:numId="28" w16cid:durableId="901519481">
    <w:abstractNumId w:val="15"/>
  </w:num>
  <w:num w:numId="29" w16cid:durableId="9963036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92114"/>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140A"/>
    <w:rsid w:val="00202878"/>
    <w:rsid w:val="002314D4"/>
    <w:rsid w:val="002430D4"/>
    <w:rsid w:val="00244B89"/>
    <w:rsid w:val="00244F84"/>
    <w:rsid w:val="002659F5"/>
    <w:rsid w:val="00283BE2"/>
    <w:rsid w:val="00294842"/>
    <w:rsid w:val="002A63C2"/>
    <w:rsid w:val="002C1CBD"/>
    <w:rsid w:val="002C7101"/>
    <w:rsid w:val="002D07ED"/>
    <w:rsid w:val="002E127C"/>
    <w:rsid w:val="002F7DD0"/>
    <w:rsid w:val="00301AD0"/>
    <w:rsid w:val="003036C9"/>
    <w:rsid w:val="0032684A"/>
    <w:rsid w:val="00332099"/>
    <w:rsid w:val="00340C62"/>
    <w:rsid w:val="003478CE"/>
    <w:rsid w:val="00350D32"/>
    <w:rsid w:val="003605B1"/>
    <w:rsid w:val="003617CF"/>
    <w:rsid w:val="00364940"/>
    <w:rsid w:val="00365786"/>
    <w:rsid w:val="00366D9C"/>
    <w:rsid w:val="00375882"/>
    <w:rsid w:val="00382DB9"/>
    <w:rsid w:val="00396412"/>
    <w:rsid w:val="003C3341"/>
    <w:rsid w:val="003C7042"/>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02B6"/>
    <w:rsid w:val="004639B7"/>
    <w:rsid w:val="00474A29"/>
    <w:rsid w:val="0048411C"/>
    <w:rsid w:val="00486E62"/>
    <w:rsid w:val="004B113B"/>
    <w:rsid w:val="004C08E2"/>
    <w:rsid w:val="004C7E23"/>
    <w:rsid w:val="004E5376"/>
    <w:rsid w:val="004F5AEE"/>
    <w:rsid w:val="005036DE"/>
    <w:rsid w:val="00517154"/>
    <w:rsid w:val="00522B05"/>
    <w:rsid w:val="005258A6"/>
    <w:rsid w:val="00542C5B"/>
    <w:rsid w:val="00552EED"/>
    <w:rsid w:val="00566333"/>
    <w:rsid w:val="005C6352"/>
    <w:rsid w:val="005D0DDE"/>
    <w:rsid w:val="005D5D0B"/>
    <w:rsid w:val="0062012D"/>
    <w:rsid w:val="006421C3"/>
    <w:rsid w:val="00643CB9"/>
    <w:rsid w:val="006450B3"/>
    <w:rsid w:val="0066732A"/>
    <w:rsid w:val="00677D1F"/>
    <w:rsid w:val="0069390D"/>
    <w:rsid w:val="00697481"/>
    <w:rsid w:val="006A4F97"/>
    <w:rsid w:val="006B6B6A"/>
    <w:rsid w:val="006C4640"/>
    <w:rsid w:val="006F4FB6"/>
    <w:rsid w:val="006F501B"/>
    <w:rsid w:val="00702077"/>
    <w:rsid w:val="007031FB"/>
    <w:rsid w:val="00725F0E"/>
    <w:rsid w:val="00734189"/>
    <w:rsid w:val="00735BB1"/>
    <w:rsid w:val="00741D94"/>
    <w:rsid w:val="00744482"/>
    <w:rsid w:val="007451E8"/>
    <w:rsid w:val="00760279"/>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26FF"/>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04D5"/>
    <w:rsid w:val="00A656E2"/>
    <w:rsid w:val="00A65C1D"/>
    <w:rsid w:val="00A77C7A"/>
    <w:rsid w:val="00A822C8"/>
    <w:rsid w:val="00A8432F"/>
    <w:rsid w:val="00A90107"/>
    <w:rsid w:val="00A909DA"/>
    <w:rsid w:val="00A92EC6"/>
    <w:rsid w:val="00AA11D8"/>
    <w:rsid w:val="00AA1309"/>
    <w:rsid w:val="00AA1380"/>
    <w:rsid w:val="00AB0B1D"/>
    <w:rsid w:val="00AC67EF"/>
    <w:rsid w:val="00AD310F"/>
    <w:rsid w:val="00AE467F"/>
    <w:rsid w:val="00AE799D"/>
    <w:rsid w:val="00B00678"/>
    <w:rsid w:val="00B03469"/>
    <w:rsid w:val="00B10EAB"/>
    <w:rsid w:val="00B11E4B"/>
    <w:rsid w:val="00B21F2E"/>
    <w:rsid w:val="00B24500"/>
    <w:rsid w:val="00B266A5"/>
    <w:rsid w:val="00B44B68"/>
    <w:rsid w:val="00B60FDF"/>
    <w:rsid w:val="00B61256"/>
    <w:rsid w:val="00B73A1C"/>
    <w:rsid w:val="00B945EA"/>
    <w:rsid w:val="00B949BC"/>
    <w:rsid w:val="00BA53CD"/>
    <w:rsid w:val="00BB5FB3"/>
    <w:rsid w:val="00BC4D17"/>
    <w:rsid w:val="00BC7F1B"/>
    <w:rsid w:val="00BE1645"/>
    <w:rsid w:val="00BE2584"/>
    <w:rsid w:val="00C10069"/>
    <w:rsid w:val="00C21568"/>
    <w:rsid w:val="00C34D09"/>
    <w:rsid w:val="00C35AEF"/>
    <w:rsid w:val="00C414B0"/>
    <w:rsid w:val="00C421F0"/>
    <w:rsid w:val="00C44B74"/>
    <w:rsid w:val="00C50AE7"/>
    <w:rsid w:val="00C6009E"/>
    <w:rsid w:val="00C72708"/>
    <w:rsid w:val="00C73D43"/>
    <w:rsid w:val="00C76757"/>
    <w:rsid w:val="00C76D2D"/>
    <w:rsid w:val="00C85B9B"/>
    <w:rsid w:val="00CA1BF5"/>
    <w:rsid w:val="00CB67B6"/>
    <w:rsid w:val="00CC3464"/>
    <w:rsid w:val="00CC557E"/>
    <w:rsid w:val="00CC63E6"/>
    <w:rsid w:val="00CC6DCB"/>
    <w:rsid w:val="00CD008D"/>
    <w:rsid w:val="00CD40C2"/>
    <w:rsid w:val="00CD461B"/>
    <w:rsid w:val="00D1657F"/>
    <w:rsid w:val="00D66D30"/>
    <w:rsid w:val="00D71ABA"/>
    <w:rsid w:val="00D80D6E"/>
    <w:rsid w:val="00D833FD"/>
    <w:rsid w:val="00D95816"/>
    <w:rsid w:val="00DA09FA"/>
    <w:rsid w:val="00DA306B"/>
    <w:rsid w:val="00DC2392"/>
    <w:rsid w:val="00DD00CB"/>
    <w:rsid w:val="00DE6434"/>
    <w:rsid w:val="00E00580"/>
    <w:rsid w:val="00E26639"/>
    <w:rsid w:val="00E30C3C"/>
    <w:rsid w:val="00E42568"/>
    <w:rsid w:val="00E461A7"/>
    <w:rsid w:val="00E672A4"/>
    <w:rsid w:val="00EA048E"/>
    <w:rsid w:val="00EB1AD3"/>
    <w:rsid w:val="00EB4BAF"/>
    <w:rsid w:val="00EC294D"/>
    <w:rsid w:val="00ED52B6"/>
    <w:rsid w:val="00EF41E3"/>
    <w:rsid w:val="00F007E2"/>
    <w:rsid w:val="00F118EC"/>
    <w:rsid w:val="00F34E01"/>
    <w:rsid w:val="00F3753B"/>
    <w:rsid w:val="00F37A71"/>
    <w:rsid w:val="00F43CED"/>
    <w:rsid w:val="00F51904"/>
    <w:rsid w:val="00F537E9"/>
    <w:rsid w:val="00F720CF"/>
    <w:rsid w:val="00FB2CA9"/>
    <w:rsid w:val="00FB3B29"/>
    <w:rsid w:val="00FC7773"/>
    <w:rsid w:val="00FD0ECE"/>
    <w:rsid w:val="00FD11D8"/>
    <w:rsid w:val="00FE2B7D"/>
    <w:rsid w:val="00FE2C83"/>
    <w:rsid w:val="00FF0936"/>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2678F92"/>
  <w15:docId w15:val="{3CBDA28C-8607-834A-8E09-4C333EC0A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FF0936"/>
    <w:rPr>
      <w:color w:val="0000FF" w:themeColor="hyperlink"/>
      <w:u w:val="single"/>
    </w:rPr>
  </w:style>
  <w:style w:type="character" w:styleId="FollowedHyperlink">
    <w:name w:val="FollowedHyperlink"/>
    <w:basedOn w:val="DefaultParagraphFont"/>
    <w:semiHidden/>
    <w:unhideWhenUsed/>
    <w:rsid w:val="00FF0936"/>
    <w:rPr>
      <w:color w:val="800080" w:themeColor="followedHyperlink"/>
      <w:u w:val="single"/>
    </w:rPr>
  </w:style>
  <w:style w:type="character" w:styleId="UnresolvedMention">
    <w:name w:val="Unresolved Mention"/>
    <w:basedOn w:val="DefaultParagraphFont"/>
    <w:uiPriority w:val="99"/>
    <w:semiHidden/>
    <w:unhideWhenUsed/>
    <w:rsid w:val="00A90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77177108">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0193524">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about-us/key-regulations" TargetMode="External" /><Relationship Id="rId3" Type="http://schemas.openxmlformats.org/officeDocument/2006/relationships/settings" Target="settings.xml" /><Relationship Id="rId7" Type="http://schemas.openxmlformats.org/officeDocument/2006/relationships/hyperlink" Target="https://www.asa.org.uk/advice-online/food-hfss-overview.html"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1065</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Habibur Rahman</cp:lastModifiedBy>
  <cp:revision>2</cp:revision>
  <cp:lastPrinted>2020-09-28T20:53:00Z</cp:lastPrinted>
  <dcterms:created xsi:type="dcterms:W3CDTF">2022-05-29T08:45:00Z</dcterms:created>
  <dcterms:modified xsi:type="dcterms:W3CDTF">2022-05-29T08:45:00Z</dcterms:modified>
</cp:coreProperties>
</file>