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524FD" w14:textId="77777777" w:rsidR="00D665B1" w:rsidRPr="00D665B1" w:rsidRDefault="00D665B1" w:rsidP="00D665B1">
      <w:pPr>
        <w:spacing w:line="276" w:lineRule="auto"/>
        <w:jc w:val="center"/>
        <w:rPr>
          <w:b/>
        </w:rPr>
      </w:pPr>
      <w:r w:rsidRPr="00D665B1">
        <w:rPr>
          <w:b/>
        </w:rPr>
        <w:t>BMPL 4002</w:t>
      </w:r>
    </w:p>
    <w:p w14:paraId="37F8C132" w14:textId="77777777" w:rsidR="00D665B1" w:rsidRPr="00D665B1" w:rsidRDefault="00D665B1" w:rsidP="00D665B1">
      <w:pPr>
        <w:spacing w:line="276" w:lineRule="auto"/>
        <w:jc w:val="center"/>
        <w:rPr>
          <w:b/>
        </w:rPr>
      </w:pPr>
      <w:r w:rsidRPr="00D665B1">
        <w:rPr>
          <w:b/>
        </w:rPr>
        <w:t>Preparing for Professional Police Practice</w:t>
      </w:r>
    </w:p>
    <w:p w14:paraId="5D187959" w14:textId="7600718A" w:rsidR="00D665B1" w:rsidRDefault="00D665B1" w:rsidP="00D665B1">
      <w:pPr>
        <w:spacing w:line="276" w:lineRule="auto"/>
        <w:jc w:val="center"/>
        <w:rPr>
          <w:b/>
        </w:rPr>
      </w:pPr>
      <w:r w:rsidRPr="00D665B1">
        <w:rPr>
          <w:b/>
        </w:rPr>
        <w:t>QUESTION 3</w:t>
      </w:r>
      <w:r w:rsidR="00A05422">
        <w:rPr>
          <w:b/>
        </w:rPr>
        <w:t xml:space="preserve">     </w:t>
      </w:r>
    </w:p>
    <w:p w14:paraId="300984A3" w14:textId="77777777" w:rsidR="00BC0F6A" w:rsidRDefault="00BC0F6A" w:rsidP="00D665B1">
      <w:pPr>
        <w:spacing w:line="276" w:lineRule="auto"/>
        <w:jc w:val="center"/>
        <w:rPr>
          <w:b/>
        </w:rPr>
      </w:pPr>
    </w:p>
    <w:p w14:paraId="37E87297" w14:textId="77777777" w:rsidR="00BC0F6A" w:rsidRDefault="00BC0F6A" w:rsidP="00D665B1">
      <w:pPr>
        <w:spacing w:line="276" w:lineRule="auto"/>
        <w:jc w:val="center"/>
        <w:rPr>
          <w:b/>
        </w:rPr>
      </w:pPr>
    </w:p>
    <w:p w14:paraId="489EEBAF" w14:textId="77777777" w:rsidR="00BC0F6A" w:rsidRDefault="00BC0F6A" w:rsidP="00D665B1">
      <w:pPr>
        <w:spacing w:line="276" w:lineRule="auto"/>
        <w:jc w:val="center"/>
        <w:rPr>
          <w:b/>
        </w:rPr>
      </w:pPr>
    </w:p>
    <w:p w14:paraId="72AB1B13" w14:textId="77777777" w:rsidR="00BC0F6A" w:rsidRDefault="00BC0F6A" w:rsidP="00D665B1">
      <w:pPr>
        <w:spacing w:line="276" w:lineRule="auto"/>
        <w:jc w:val="center"/>
        <w:rPr>
          <w:b/>
        </w:rPr>
      </w:pPr>
    </w:p>
    <w:p w14:paraId="46EBCC9D" w14:textId="77777777" w:rsidR="00BC0F6A" w:rsidRDefault="00BC0F6A" w:rsidP="00D665B1">
      <w:pPr>
        <w:spacing w:line="276" w:lineRule="auto"/>
        <w:jc w:val="center"/>
        <w:rPr>
          <w:b/>
        </w:rPr>
      </w:pPr>
    </w:p>
    <w:p w14:paraId="542868C8" w14:textId="77777777" w:rsidR="00BC0F6A" w:rsidRDefault="00BC0F6A" w:rsidP="00D665B1">
      <w:pPr>
        <w:spacing w:line="276" w:lineRule="auto"/>
        <w:jc w:val="center"/>
        <w:rPr>
          <w:b/>
        </w:rPr>
      </w:pPr>
    </w:p>
    <w:p w14:paraId="577553A0" w14:textId="77777777" w:rsidR="00BC0F6A" w:rsidRDefault="00BC0F6A" w:rsidP="00D665B1">
      <w:pPr>
        <w:spacing w:line="276" w:lineRule="auto"/>
        <w:jc w:val="center"/>
        <w:rPr>
          <w:b/>
        </w:rPr>
      </w:pPr>
    </w:p>
    <w:p w14:paraId="24B70E00" w14:textId="77777777" w:rsidR="00BC0F6A" w:rsidRDefault="00BC0F6A" w:rsidP="00D665B1">
      <w:pPr>
        <w:spacing w:line="276" w:lineRule="auto"/>
        <w:jc w:val="center"/>
        <w:rPr>
          <w:b/>
        </w:rPr>
      </w:pPr>
    </w:p>
    <w:p w14:paraId="3F0D2015" w14:textId="77777777" w:rsidR="00BC0F6A" w:rsidRDefault="00BC0F6A" w:rsidP="00D665B1">
      <w:pPr>
        <w:spacing w:line="276" w:lineRule="auto"/>
        <w:jc w:val="center"/>
        <w:rPr>
          <w:b/>
        </w:rPr>
      </w:pPr>
    </w:p>
    <w:p w14:paraId="63855B71" w14:textId="77777777" w:rsidR="00BC0F6A" w:rsidRDefault="00BC0F6A" w:rsidP="00D665B1">
      <w:pPr>
        <w:spacing w:line="276" w:lineRule="auto"/>
        <w:jc w:val="center"/>
        <w:rPr>
          <w:b/>
        </w:rPr>
      </w:pPr>
    </w:p>
    <w:p w14:paraId="61936975" w14:textId="77777777" w:rsidR="00BC0F6A" w:rsidRDefault="00BC0F6A" w:rsidP="00D665B1">
      <w:pPr>
        <w:spacing w:line="276" w:lineRule="auto"/>
        <w:jc w:val="center"/>
        <w:rPr>
          <w:b/>
        </w:rPr>
      </w:pPr>
    </w:p>
    <w:p w14:paraId="443C1B3D" w14:textId="77777777" w:rsidR="00BC0F6A" w:rsidRDefault="00BC0F6A" w:rsidP="00D665B1">
      <w:pPr>
        <w:spacing w:line="276" w:lineRule="auto"/>
        <w:jc w:val="center"/>
        <w:rPr>
          <w:b/>
        </w:rPr>
      </w:pPr>
    </w:p>
    <w:p w14:paraId="4D994DC6" w14:textId="77777777" w:rsidR="00BC0F6A" w:rsidRDefault="00BC0F6A" w:rsidP="00D665B1">
      <w:pPr>
        <w:spacing w:line="276" w:lineRule="auto"/>
        <w:jc w:val="center"/>
        <w:rPr>
          <w:b/>
        </w:rPr>
      </w:pPr>
    </w:p>
    <w:p w14:paraId="5AD2B7BC" w14:textId="77777777" w:rsidR="00BC0F6A" w:rsidRDefault="00BC0F6A" w:rsidP="00D665B1">
      <w:pPr>
        <w:spacing w:line="276" w:lineRule="auto"/>
        <w:jc w:val="center"/>
        <w:rPr>
          <w:b/>
        </w:rPr>
      </w:pPr>
    </w:p>
    <w:p w14:paraId="7878783F" w14:textId="77777777" w:rsidR="00BC0F6A" w:rsidRDefault="00BC0F6A" w:rsidP="00D665B1">
      <w:pPr>
        <w:spacing w:line="276" w:lineRule="auto"/>
        <w:jc w:val="center"/>
        <w:rPr>
          <w:b/>
        </w:rPr>
      </w:pPr>
    </w:p>
    <w:p w14:paraId="563CC853" w14:textId="77777777" w:rsidR="00BC0F6A" w:rsidRDefault="00BC0F6A" w:rsidP="00D665B1">
      <w:pPr>
        <w:spacing w:line="276" w:lineRule="auto"/>
        <w:jc w:val="center"/>
        <w:rPr>
          <w:b/>
        </w:rPr>
      </w:pPr>
    </w:p>
    <w:p w14:paraId="049EAC29" w14:textId="77777777" w:rsidR="00BC0F6A" w:rsidRDefault="00BC0F6A" w:rsidP="00D665B1">
      <w:pPr>
        <w:spacing w:line="276" w:lineRule="auto"/>
        <w:jc w:val="center"/>
        <w:rPr>
          <w:b/>
        </w:rPr>
      </w:pPr>
    </w:p>
    <w:p w14:paraId="107EE235" w14:textId="2A995ADA" w:rsidR="00BC0F6A" w:rsidRDefault="00ED680E" w:rsidP="008E7E7D">
      <w:pPr>
        <w:spacing w:line="276" w:lineRule="auto"/>
        <w:rPr>
          <w:b/>
        </w:rPr>
      </w:pPr>
      <w:r>
        <w:rPr>
          <w:b/>
        </w:rPr>
        <w:t xml:space="preserve">                                                                                                               </w:t>
      </w:r>
      <w:r w:rsidR="00280594">
        <w:rPr>
          <w:b/>
        </w:rPr>
        <w:t xml:space="preserve">Galina Zasheva - </w:t>
      </w:r>
      <w:r w:rsidR="00733B68">
        <w:rPr>
          <w:b/>
        </w:rPr>
        <w:t>2227456</w:t>
      </w:r>
    </w:p>
    <w:p w14:paraId="3E8DE863" w14:textId="77777777" w:rsidR="00A05422" w:rsidRDefault="00A05422" w:rsidP="00D665B1">
      <w:pPr>
        <w:spacing w:line="276" w:lineRule="auto"/>
        <w:jc w:val="center"/>
        <w:rPr>
          <w:b/>
        </w:rPr>
      </w:pPr>
    </w:p>
    <w:p w14:paraId="08E1D748" w14:textId="77777777" w:rsidR="00A05422" w:rsidRDefault="00A05422" w:rsidP="00D665B1">
      <w:pPr>
        <w:spacing w:line="276" w:lineRule="auto"/>
        <w:jc w:val="center"/>
        <w:rPr>
          <w:b/>
        </w:rPr>
      </w:pPr>
    </w:p>
    <w:p w14:paraId="0BEC802D" w14:textId="77777777" w:rsidR="00A05422" w:rsidRDefault="00A05422" w:rsidP="00D665B1">
      <w:pPr>
        <w:spacing w:line="276" w:lineRule="auto"/>
        <w:jc w:val="center"/>
        <w:rPr>
          <w:b/>
        </w:rPr>
      </w:pPr>
    </w:p>
    <w:p w14:paraId="4B1EDE3B" w14:textId="77777777" w:rsidR="00A05422" w:rsidRDefault="00A05422" w:rsidP="00D665B1">
      <w:pPr>
        <w:spacing w:line="276" w:lineRule="auto"/>
        <w:jc w:val="center"/>
        <w:rPr>
          <w:b/>
        </w:rPr>
      </w:pPr>
    </w:p>
    <w:p w14:paraId="0FE29B4E" w14:textId="77777777" w:rsidR="00A05422" w:rsidRDefault="00A05422" w:rsidP="00D665B1">
      <w:pPr>
        <w:spacing w:line="276" w:lineRule="auto"/>
        <w:jc w:val="center"/>
        <w:rPr>
          <w:b/>
        </w:rPr>
      </w:pPr>
    </w:p>
    <w:p w14:paraId="7DACD4DE" w14:textId="77777777" w:rsidR="00A05422" w:rsidRDefault="00A05422" w:rsidP="00D665B1">
      <w:pPr>
        <w:spacing w:line="276" w:lineRule="auto"/>
        <w:jc w:val="center"/>
        <w:rPr>
          <w:b/>
        </w:rPr>
      </w:pPr>
    </w:p>
    <w:p w14:paraId="48C3B688" w14:textId="0E5BCAEC" w:rsidR="00A05422" w:rsidRDefault="00A05422" w:rsidP="00D665B1">
      <w:pPr>
        <w:spacing w:line="276" w:lineRule="auto"/>
        <w:jc w:val="center"/>
        <w:rPr>
          <w:b/>
        </w:rPr>
      </w:pPr>
      <w:r>
        <w:rPr>
          <w:b/>
        </w:rPr>
        <w:t xml:space="preserve">    </w:t>
      </w:r>
    </w:p>
    <w:p w14:paraId="5E4D4FE6" w14:textId="77777777" w:rsidR="00A05422" w:rsidRDefault="00A05422" w:rsidP="00D665B1">
      <w:pPr>
        <w:spacing w:line="276" w:lineRule="auto"/>
        <w:jc w:val="center"/>
        <w:rPr>
          <w:b/>
        </w:rPr>
      </w:pPr>
    </w:p>
    <w:p w14:paraId="142F7C23" w14:textId="77777777" w:rsidR="00A05422" w:rsidRDefault="00A05422" w:rsidP="00D665B1">
      <w:pPr>
        <w:spacing w:line="276" w:lineRule="auto"/>
        <w:jc w:val="center"/>
        <w:rPr>
          <w:b/>
        </w:rPr>
      </w:pPr>
    </w:p>
    <w:p w14:paraId="07C95EEC" w14:textId="77777777" w:rsidR="00A05422" w:rsidRDefault="00A05422" w:rsidP="00D665B1">
      <w:pPr>
        <w:spacing w:line="276" w:lineRule="auto"/>
        <w:jc w:val="center"/>
        <w:rPr>
          <w:b/>
        </w:rPr>
      </w:pPr>
    </w:p>
    <w:p w14:paraId="08F65442" w14:textId="77777777" w:rsidR="00A05422" w:rsidRDefault="00A05422" w:rsidP="00D665B1">
      <w:pPr>
        <w:spacing w:line="276" w:lineRule="auto"/>
        <w:jc w:val="center"/>
        <w:rPr>
          <w:b/>
        </w:rPr>
      </w:pPr>
    </w:p>
    <w:p w14:paraId="5C4058CC" w14:textId="1659C81D" w:rsidR="00A05422" w:rsidRDefault="00335551" w:rsidP="00D665B1">
      <w:pPr>
        <w:spacing w:line="276" w:lineRule="auto"/>
        <w:jc w:val="center"/>
        <w:rPr>
          <w:b/>
        </w:rPr>
      </w:pPr>
      <w:r>
        <w:rPr>
          <w:b/>
        </w:rPr>
        <w:t xml:space="preserve">                      </w:t>
      </w:r>
    </w:p>
    <w:p w14:paraId="6AE930CB" w14:textId="079E14CA" w:rsidR="00BC0F6A" w:rsidRDefault="00BC0F6A" w:rsidP="00BC0F6A">
      <w:pPr>
        <w:spacing w:line="276" w:lineRule="auto"/>
        <w:jc w:val="left"/>
      </w:pPr>
    </w:p>
    <w:sdt>
      <w:sdtPr>
        <w:rPr>
          <w:b/>
          <w:bCs/>
        </w:rPr>
        <w:id w:val="1251627078"/>
        <w:docPartObj>
          <w:docPartGallery w:val="Table of Contents"/>
          <w:docPartUnique/>
        </w:docPartObj>
      </w:sdtPr>
      <w:sdtEndPr>
        <w:rPr>
          <w:b w:val="0"/>
          <w:bCs w:val="0"/>
          <w:noProof/>
        </w:rPr>
      </w:sdtEndPr>
      <w:sdtContent>
        <w:p w14:paraId="491D2551" w14:textId="3EFD9BA9" w:rsidR="00D665B1" w:rsidRPr="00BC0F6A" w:rsidRDefault="00D665B1" w:rsidP="00BC0F6A">
          <w:pPr>
            <w:spacing w:line="276" w:lineRule="auto"/>
            <w:jc w:val="left"/>
          </w:pPr>
          <w:r w:rsidRPr="00D665B1">
            <w:rPr>
              <w:rFonts w:cs="Times New Roman"/>
            </w:rPr>
            <w:t>Contents</w:t>
          </w:r>
        </w:p>
        <w:p w14:paraId="7E2D7860" w14:textId="77777777" w:rsidR="005A3125" w:rsidRDefault="00D665B1" w:rsidP="005A3125">
          <w:pPr>
            <w:pStyle w:val="TOC2"/>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0858634" w:history="1">
            <w:r w:rsidR="005A3125" w:rsidRPr="00F44FDD">
              <w:rPr>
                <w:rStyle w:val="Hyperlink"/>
                <w:noProof/>
              </w:rPr>
              <w:t>Introduction</w:t>
            </w:r>
            <w:r w:rsidR="005A3125">
              <w:rPr>
                <w:noProof/>
                <w:webHidden/>
              </w:rPr>
              <w:tab/>
            </w:r>
            <w:r w:rsidR="005A3125">
              <w:rPr>
                <w:noProof/>
                <w:webHidden/>
              </w:rPr>
              <w:fldChar w:fldCharType="begin"/>
            </w:r>
            <w:r w:rsidR="005A3125">
              <w:rPr>
                <w:noProof/>
                <w:webHidden/>
              </w:rPr>
              <w:instrText xml:space="preserve"> PAGEREF _Toc150858634 \h </w:instrText>
            </w:r>
            <w:r w:rsidR="005A3125">
              <w:rPr>
                <w:noProof/>
                <w:webHidden/>
              </w:rPr>
            </w:r>
            <w:r w:rsidR="005A3125">
              <w:rPr>
                <w:noProof/>
                <w:webHidden/>
              </w:rPr>
              <w:fldChar w:fldCharType="separate"/>
            </w:r>
            <w:r w:rsidR="005A3125">
              <w:rPr>
                <w:noProof/>
                <w:webHidden/>
              </w:rPr>
              <w:t>3</w:t>
            </w:r>
            <w:r w:rsidR="005A3125">
              <w:rPr>
                <w:noProof/>
                <w:webHidden/>
              </w:rPr>
              <w:fldChar w:fldCharType="end"/>
            </w:r>
          </w:hyperlink>
        </w:p>
        <w:p w14:paraId="317006EB" w14:textId="77777777" w:rsidR="005A3125" w:rsidRDefault="00000000" w:rsidP="005A3125">
          <w:pPr>
            <w:pStyle w:val="TOC2"/>
            <w:rPr>
              <w:rFonts w:asciiTheme="minorHAnsi" w:eastAsiaTheme="minorEastAsia" w:hAnsiTheme="minorHAnsi"/>
              <w:noProof/>
              <w:sz w:val="22"/>
              <w:lang w:val="en-US"/>
            </w:rPr>
          </w:pPr>
          <w:hyperlink w:anchor="_Toc150858635" w:history="1">
            <w:r w:rsidR="005A3125" w:rsidRPr="00F44FDD">
              <w:rPr>
                <w:rStyle w:val="Hyperlink"/>
                <w:noProof/>
              </w:rPr>
              <w:t>Impact of Fairness and Integrity of the Community</w:t>
            </w:r>
            <w:r w:rsidR="005A3125">
              <w:rPr>
                <w:noProof/>
                <w:webHidden/>
              </w:rPr>
              <w:tab/>
            </w:r>
            <w:r w:rsidR="005A3125">
              <w:rPr>
                <w:noProof/>
                <w:webHidden/>
              </w:rPr>
              <w:fldChar w:fldCharType="begin"/>
            </w:r>
            <w:r w:rsidR="005A3125">
              <w:rPr>
                <w:noProof/>
                <w:webHidden/>
              </w:rPr>
              <w:instrText xml:space="preserve"> PAGEREF _Toc150858635 \h </w:instrText>
            </w:r>
            <w:r w:rsidR="005A3125">
              <w:rPr>
                <w:noProof/>
                <w:webHidden/>
              </w:rPr>
            </w:r>
            <w:r w:rsidR="005A3125">
              <w:rPr>
                <w:noProof/>
                <w:webHidden/>
              </w:rPr>
              <w:fldChar w:fldCharType="separate"/>
            </w:r>
            <w:r w:rsidR="005A3125">
              <w:rPr>
                <w:noProof/>
                <w:webHidden/>
              </w:rPr>
              <w:t>4</w:t>
            </w:r>
            <w:r w:rsidR="005A3125">
              <w:rPr>
                <w:noProof/>
                <w:webHidden/>
              </w:rPr>
              <w:fldChar w:fldCharType="end"/>
            </w:r>
          </w:hyperlink>
        </w:p>
        <w:p w14:paraId="31C62B95" w14:textId="77777777" w:rsidR="005A3125" w:rsidRDefault="00000000" w:rsidP="005A3125">
          <w:pPr>
            <w:pStyle w:val="TOC2"/>
            <w:rPr>
              <w:rFonts w:asciiTheme="minorHAnsi" w:eastAsiaTheme="minorEastAsia" w:hAnsiTheme="minorHAnsi"/>
              <w:noProof/>
              <w:sz w:val="22"/>
              <w:lang w:val="en-US"/>
            </w:rPr>
          </w:pPr>
          <w:hyperlink w:anchor="_Toc150858636" w:history="1">
            <w:r w:rsidR="005A3125" w:rsidRPr="00F44FDD">
              <w:rPr>
                <w:rStyle w:val="Hyperlink"/>
                <w:noProof/>
              </w:rPr>
              <w:t>The PACE Act 1984</w:t>
            </w:r>
            <w:r w:rsidR="005A3125">
              <w:rPr>
                <w:noProof/>
                <w:webHidden/>
              </w:rPr>
              <w:tab/>
            </w:r>
            <w:r w:rsidR="005A3125">
              <w:rPr>
                <w:noProof/>
                <w:webHidden/>
              </w:rPr>
              <w:fldChar w:fldCharType="begin"/>
            </w:r>
            <w:r w:rsidR="005A3125">
              <w:rPr>
                <w:noProof/>
                <w:webHidden/>
              </w:rPr>
              <w:instrText xml:space="preserve"> PAGEREF _Toc150858636 \h </w:instrText>
            </w:r>
            <w:r w:rsidR="005A3125">
              <w:rPr>
                <w:noProof/>
                <w:webHidden/>
              </w:rPr>
            </w:r>
            <w:r w:rsidR="005A3125">
              <w:rPr>
                <w:noProof/>
                <w:webHidden/>
              </w:rPr>
              <w:fldChar w:fldCharType="separate"/>
            </w:r>
            <w:r w:rsidR="005A3125">
              <w:rPr>
                <w:noProof/>
                <w:webHidden/>
              </w:rPr>
              <w:t>4</w:t>
            </w:r>
            <w:r w:rsidR="005A3125">
              <w:rPr>
                <w:noProof/>
                <w:webHidden/>
              </w:rPr>
              <w:fldChar w:fldCharType="end"/>
            </w:r>
          </w:hyperlink>
        </w:p>
        <w:p w14:paraId="1A82AE2D" w14:textId="77777777" w:rsidR="005A3125" w:rsidRDefault="00000000" w:rsidP="005A3125">
          <w:pPr>
            <w:pStyle w:val="TOC2"/>
            <w:rPr>
              <w:rFonts w:asciiTheme="minorHAnsi" w:eastAsiaTheme="minorEastAsia" w:hAnsiTheme="minorHAnsi"/>
              <w:noProof/>
              <w:sz w:val="22"/>
              <w:lang w:val="en-US"/>
            </w:rPr>
          </w:pPr>
          <w:hyperlink w:anchor="_Toc150858637" w:history="1">
            <w:r w:rsidR="005A3125" w:rsidRPr="00F44FDD">
              <w:rPr>
                <w:rStyle w:val="Hyperlink"/>
                <w:noProof/>
              </w:rPr>
              <w:t>Human Rights Act 1998</w:t>
            </w:r>
            <w:r w:rsidR="005A3125">
              <w:rPr>
                <w:noProof/>
                <w:webHidden/>
              </w:rPr>
              <w:tab/>
            </w:r>
            <w:r w:rsidR="005A3125">
              <w:rPr>
                <w:noProof/>
                <w:webHidden/>
              </w:rPr>
              <w:fldChar w:fldCharType="begin"/>
            </w:r>
            <w:r w:rsidR="005A3125">
              <w:rPr>
                <w:noProof/>
                <w:webHidden/>
              </w:rPr>
              <w:instrText xml:space="preserve"> PAGEREF _Toc150858637 \h </w:instrText>
            </w:r>
            <w:r w:rsidR="005A3125">
              <w:rPr>
                <w:noProof/>
                <w:webHidden/>
              </w:rPr>
            </w:r>
            <w:r w:rsidR="005A3125">
              <w:rPr>
                <w:noProof/>
                <w:webHidden/>
              </w:rPr>
              <w:fldChar w:fldCharType="separate"/>
            </w:r>
            <w:r w:rsidR="005A3125">
              <w:rPr>
                <w:noProof/>
                <w:webHidden/>
              </w:rPr>
              <w:t>5</w:t>
            </w:r>
            <w:r w:rsidR="005A3125">
              <w:rPr>
                <w:noProof/>
                <w:webHidden/>
              </w:rPr>
              <w:fldChar w:fldCharType="end"/>
            </w:r>
          </w:hyperlink>
        </w:p>
        <w:p w14:paraId="2260ACEC" w14:textId="77777777" w:rsidR="005A3125" w:rsidRDefault="00000000" w:rsidP="005A3125">
          <w:pPr>
            <w:pStyle w:val="TOC2"/>
            <w:rPr>
              <w:rFonts w:asciiTheme="minorHAnsi" w:eastAsiaTheme="minorEastAsia" w:hAnsiTheme="minorHAnsi"/>
              <w:noProof/>
              <w:sz w:val="22"/>
              <w:lang w:val="en-US"/>
            </w:rPr>
          </w:pPr>
          <w:hyperlink w:anchor="_Toc150858638" w:history="1">
            <w:r w:rsidR="005A3125" w:rsidRPr="00F44FDD">
              <w:rPr>
                <w:rStyle w:val="Hyperlink"/>
                <w:noProof/>
              </w:rPr>
              <w:t>Independent Office for Police Conduct (IOPC)</w:t>
            </w:r>
            <w:r w:rsidR="005A3125">
              <w:rPr>
                <w:noProof/>
                <w:webHidden/>
              </w:rPr>
              <w:tab/>
            </w:r>
            <w:r w:rsidR="005A3125">
              <w:rPr>
                <w:noProof/>
                <w:webHidden/>
              </w:rPr>
              <w:fldChar w:fldCharType="begin"/>
            </w:r>
            <w:r w:rsidR="005A3125">
              <w:rPr>
                <w:noProof/>
                <w:webHidden/>
              </w:rPr>
              <w:instrText xml:space="preserve"> PAGEREF _Toc150858638 \h </w:instrText>
            </w:r>
            <w:r w:rsidR="005A3125">
              <w:rPr>
                <w:noProof/>
                <w:webHidden/>
              </w:rPr>
            </w:r>
            <w:r w:rsidR="005A3125">
              <w:rPr>
                <w:noProof/>
                <w:webHidden/>
              </w:rPr>
              <w:fldChar w:fldCharType="separate"/>
            </w:r>
            <w:r w:rsidR="005A3125">
              <w:rPr>
                <w:noProof/>
                <w:webHidden/>
              </w:rPr>
              <w:t>6</w:t>
            </w:r>
            <w:r w:rsidR="005A3125">
              <w:rPr>
                <w:noProof/>
                <w:webHidden/>
              </w:rPr>
              <w:fldChar w:fldCharType="end"/>
            </w:r>
          </w:hyperlink>
        </w:p>
        <w:p w14:paraId="71D69287" w14:textId="77777777" w:rsidR="005A3125" w:rsidRDefault="00000000" w:rsidP="005A3125">
          <w:pPr>
            <w:pStyle w:val="TOC2"/>
            <w:rPr>
              <w:rFonts w:asciiTheme="minorHAnsi" w:eastAsiaTheme="minorEastAsia" w:hAnsiTheme="minorHAnsi"/>
              <w:noProof/>
              <w:sz w:val="22"/>
              <w:lang w:val="en-US"/>
            </w:rPr>
          </w:pPr>
          <w:hyperlink w:anchor="_Toc150858639" w:history="1">
            <w:r w:rsidR="005A3125" w:rsidRPr="00F44FDD">
              <w:rPr>
                <w:rStyle w:val="Hyperlink"/>
                <w:noProof/>
              </w:rPr>
              <w:t>Conclusion</w:t>
            </w:r>
            <w:r w:rsidR="005A3125">
              <w:rPr>
                <w:noProof/>
                <w:webHidden/>
              </w:rPr>
              <w:tab/>
            </w:r>
            <w:r w:rsidR="005A3125">
              <w:rPr>
                <w:noProof/>
                <w:webHidden/>
              </w:rPr>
              <w:fldChar w:fldCharType="begin"/>
            </w:r>
            <w:r w:rsidR="005A3125">
              <w:rPr>
                <w:noProof/>
                <w:webHidden/>
              </w:rPr>
              <w:instrText xml:space="preserve"> PAGEREF _Toc150858639 \h </w:instrText>
            </w:r>
            <w:r w:rsidR="005A3125">
              <w:rPr>
                <w:noProof/>
                <w:webHidden/>
              </w:rPr>
            </w:r>
            <w:r w:rsidR="005A3125">
              <w:rPr>
                <w:noProof/>
                <w:webHidden/>
              </w:rPr>
              <w:fldChar w:fldCharType="separate"/>
            </w:r>
            <w:r w:rsidR="005A3125">
              <w:rPr>
                <w:noProof/>
                <w:webHidden/>
              </w:rPr>
              <w:t>8</w:t>
            </w:r>
            <w:r w:rsidR="005A3125">
              <w:rPr>
                <w:noProof/>
                <w:webHidden/>
              </w:rPr>
              <w:fldChar w:fldCharType="end"/>
            </w:r>
          </w:hyperlink>
        </w:p>
        <w:p w14:paraId="4FC0391B" w14:textId="77777777" w:rsidR="005A3125" w:rsidRDefault="00000000" w:rsidP="005A3125">
          <w:pPr>
            <w:pStyle w:val="TOC2"/>
            <w:rPr>
              <w:rFonts w:asciiTheme="minorHAnsi" w:eastAsiaTheme="minorEastAsia" w:hAnsiTheme="minorHAnsi"/>
              <w:noProof/>
              <w:sz w:val="22"/>
              <w:lang w:val="en-US"/>
            </w:rPr>
          </w:pPr>
          <w:hyperlink w:anchor="_Toc150858640" w:history="1">
            <w:r w:rsidR="005A3125" w:rsidRPr="00F44FDD">
              <w:rPr>
                <w:rStyle w:val="Hyperlink"/>
                <w:noProof/>
              </w:rPr>
              <w:t>References</w:t>
            </w:r>
            <w:r w:rsidR="005A3125">
              <w:rPr>
                <w:noProof/>
                <w:webHidden/>
              </w:rPr>
              <w:tab/>
            </w:r>
            <w:r w:rsidR="005A3125">
              <w:rPr>
                <w:noProof/>
                <w:webHidden/>
              </w:rPr>
              <w:fldChar w:fldCharType="begin"/>
            </w:r>
            <w:r w:rsidR="005A3125">
              <w:rPr>
                <w:noProof/>
                <w:webHidden/>
              </w:rPr>
              <w:instrText xml:space="preserve"> PAGEREF _Toc150858640 \h </w:instrText>
            </w:r>
            <w:r w:rsidR="005A3125">
              <w:rPr>
                <w:noProof/>
                <w:webHidden/>
              </w:rPr>
            </w:r>
            <w:r w:rsidR="005A3125">
              <w:rPr>
                <w:noProof/>
                <w:webHidden/>
              </w:rPr>
              <w:fldChar w:fldCharType="separate"/>
            </w:r>
            <w:r w:rsidR="005A3125">
              <w:rPr>
                <w:noProof/>
                <w:webHidden/>
              </w:rPr>
              <w:t>9</w:t>
            </w:r>
            <w:r w:rsidR="005A3125">
              <w:rPr>
                <w:noProof/>
                <w:webHidden/>
              </w:rPr>
              <w:fldChar w:fldCharType="end"/>
            </w:r>
          </w:hyperlink>
        </w:p>
        <w:p w14:paraId="1C5BA896" w14:textId="77777777" w:rsidR="00D665B1" w:rsidRDefault="00D665B1">
          <w:r>
            <w:rPr>
              <w:b/>
              <w:bCs/>
              <w:noProof/>
            </w:rPr>
            <w:fldChar w:fldCharType="end"/>
          </w:r>
        </w:p>
      </w:sdtContent>
    </w:sdt>
    <w:p w14:paraId="035F4BED" w14:textId="77777777" w:rsidR="004A527F" w:rsidRDefault="004A527F" w:rsidP="00D665B1">
      <w:r>
        <w:br w:type="page"/>
      </w:r>
    </w:p>
    <w:p w14:paraId="79F076DF" w14:textId="77777777" w:rsidR="00D665B1" w:rsidRDefault="00D665B1" w:rsidP="00D665B1">
      <w:pPr>
        <w:pStyle w:val="Heading2"/>
      </w:pPr>
      <w:bookmarkStart w:id="0" w:name="_Toc150858634"/>
      <w:r>
        <w:lastRenderedPageBreak/>
        <w:t>Introduction</w:t>
      </w:r>
      <w:bookmarkEnd w:id="0"/>
    </w:p>
    <w:p w14:paraId="190D368F" w14:textId="77777777" w:rsidR="00D665B1" w:rsidRDefault="00D665B1" w:rsidP="00D665B1">
      <w:r w:rsidRPr="00D665B1">
        <w:t xml:space="preserve">Being trustworthy and ethical behaviour in law enforcement are cornerstones of the confidence and tolerance necessary for a peaceful and equitable society. Policing is a public service built on the principle of equal protection under the law for people of all backgrounds and beliefs. The police represent law and order in a complex community with a wide range of cultural norms and values. </w:t>
      </w:r>
      <w:r w:rsidR="0038089C" w:rsidRPr="0038089C">
        <w:t xml:space="preserve">In a nation as diverse and complex as </w:t>
      </w:r>
      <w:r w:rsidR="0038089C">
        <w:t>the United Kingdom</w:t>
      </w:r>
      <w:r w:rsidR="0038089C" w:rsidRPr="0038089C">
        <w:t>, having police officers</w:t>
      </w:r>
      <w:r w:rsidR="0038089C">
        <w:t xml:space="preserve"> with integrity, honesty and ethical values</w:t>
      </w:r>
      <w:r w:rsidR="0038089C" w:rsidRPr="0038089C">
        <w:t xml:space="preserve"> is </w:t>
      </w:r>
      <w:r w:rsidR="0038089C">
        <w:t>very</w:t>
      </w:r>
      <w:r w:rsidR="0038089C" w:rsidRPr="0038089C">
        <w:t xml:space="preserve"> </w:t>
      </w:r>
      <w:r w:rsidR="0038089C">
        <w:t>significant</w:t>
      </w:r>
      <w:r w:rsidR="00526E18">
        <w:t xml:space="preserve"> (Bailey, 2015)</w:t>
      </w:r>
      <w:r w:rsidR="0038089C" w:rsidRPr="0038089C">
        <w:t>. Promoting social cohesiveness and inclusion requires respecting and accepting diverse values and ideas.</w:t>
      </w:r>
    </w:p>
    <w:p w14:paraId="2AF2D4DB" w14:textId="77777777" w:rsidR="00D665B1" w:rsidRDefault="00D665B1" w:rsidP="00D665B1"/>
    <w:p w14:paraId="40DCA548" w14:textId="77777777" w:rsidR="00D665B1" w:rsidRDefault="00D665B1" w:rsidP="00D665B1"/>
    <w:p w14:paraId="6BBD9F2F" w14:textId="77777777" w:rsidR="00D665B1" w:rsidRDefault="00D665B1" w:rsidP="00D665B1">
      <w:r>
        <w:br w:type="page"/>
      </w:r>
    </w:p>
    <w:p w14:paraId="6490BAB8" w14:textId="77777777" w:rsidR="007B4B6A" w:rsidRDefault="007B4B6A" w:rsidP="00435A0D">
      <w:pPr>
        <w:pStyle w:val="Heading2"/>
      </w:pPr>
      <w:bookmarkStart w:id="1" w:name="_Toc150858635"/>
      <w:r>
        <w:lastRenderedPageBreak/>
        <w:t>Impact of Fairness and Integrity of the Community</w:t>
      </w:r>
      <w:bookmarkEnd w:id="1"/>
    </w:p>
    <w:p w14:paraId="1F580D39" w14:textId="77777777" w:rsidR="007B4B6A" w:rsidRPr="007B4B6A" w:rsidRDefault="007B4B6A" w:rsidP="007B4B6A">
      <w:r w:rsidRPr="007B4B6A">
        <w:t>Ensuring an equitable and harmonious community depends critically on the police force's ability to apply its powers and processes fairly and honestly</w:t>
      </w:r>
      <w:r w:rsidR="00526E18">
        <w:t xml:space="preserve"> (Jackson and Bradford, 2009)</w:t>
      </w:r>
      <w:r w:rsidRPr="007B4B6A">
        <w:t>. The mission of the police is to protect and serve the people by maintaining the law and preventing crime. When police authority is exercised fairly, it inspires a feeling of fairness and helps build trust between the community and the police. Treating people fairly means not discriminating on the basis of their race, religion, or sexual orientation</w:t>
      </w:r>
      <w:r w:rsidR="00526E18">
        <w:t xml:space="preserve"> (Colbran, 2018)</w:t>
      </w:r>
      <w:r w:rsidRPr="007B4B6A">
        <w:t>. This dedication to equal treatment is particularly vital in diverse societies where many beliefs and ethics coexist. The police, as agents of the law, have a responsibility to understand and appreciate these varying points of view so as not to alienate any section of society. Integrity in police processes is also crucial since it promotes openness, responsibility, and morality. The community can have faith in the police if they are held to the highest standards of honesty. Integrity in the employment of police authority is especially important in communities with a wide range of faiths, cultures, and ethical perspectives</w:t>
      </w:r>
      <w:r w:rsidR="00526E18">
        <w:t xml:space="preserve"> (Dalton et al., 2013)</w:t>
      </w:r>
      <w:r w:rsidRPr="007B4B6A">
        <w:t>. Officers who operate with integrity show a dedication to universal ethical norms that might bring people together rather than drive them farther apart. Establishing the most stringent requirements of honesty is especially important in places where confidence in law enforcement may be low. Consistent application of ethical standards helps police build trust with the public and establishes a reputation for being fair and committed to protecting people of all backgrounds and beliefs.</w:t>
      </w:r>
    </w:p>
    <w:p w14:paraId="0FFFF829" w14:textId="77777777" w:rsidR="001D0E87" w:rsidRPr="00E9010F" w:rsidRDefault="00435A0D" w:rsidP="00435A0D">
      <w:pPr>
        <w:pStyle w:val="Heading2"/>
      </w:pPr>
      <w:bookmarkStart w:id="2" w:name="_Toc150858636"/>
      <w:r w:rsidRPr="00E9010F">
        <w:t xml:space="preserve">The </w:t>
      </w:r>
      <w:r w:rsidR="004A527F" w:rsidRPr="00E9010F">
        <w:t>PACE</w:t>
      </w:r>
      <w:r w:rsidRPr="00E9010F">
        <w:t xml:space="preserve"> Act 1984</w:t>
      </w:r>
      <w:bookmarkEnd w:id="2"/>
    </w:p>
    <w:p w14:paraId="69DFF610" w14:textId="77777777" w:rsidR="00E9010F" w:rsidRDefault="00CF4F6B" w:rsidP="00E9010F">
      <w:r w:rsidRPr="00E9010F">
        <w:t>The primary objective of the Police and Criminal Evidence Act of 1984 was to strike a balance between the investigative powers of the police and the protectio</w:t>
      </w:r>
      <w:r w:rsidR="00E9010F" w:rsidRPr="00E9010F">
        <w:t>n of individual privacy rights</w:t>
      </w:r>
      <w:r w:rsidR="00526E18">
        <w:t xml:space="preserve"> (Sanja Kutnjak Ivković and Haberfeld, 2019)</w:t>
      </w:r>
      <w:r w:rsidR="00E9010F" w:rsidRPr="00E9010F">
        <w:t>.</w:t>
      </w:r>
      <w:r w:rsidR="00E9010F">
        <w:t xml:space="preserve"> The government has police power when it has the authority to make and enforce rules for the general good and the security of its population. Every police officer has the ethical and legal obligation to prevent crime and safeguard the rights of all citizens. As a result, there has to be a middle ground between police authority and civilian rights. The fundamental goal of this law was to strike a balance between police authorities and individual liberties</w:t>
      </w:r>
      <w:r w:rsidR="00526E18">
        <w:t xml:space="preserve"> (Macvean, Spindler and Solf, 2013)</w:t>
      </w:r>
      <w:r w:rsidR="00E9010F">
        <w:t xml:space="preserve">. Additionally, this legislation contributes to the consolidation of all police functions under a single set of guidelines. This statute outlines the range of police powers as well as how they can utilize these authorities lawfully. Therefore, it </w:t>
      </w:r>
      <w:r w:rsidR="00E9010F">
        <w:lastRenderedPageBreak/>
        <w:t>is crucial for all police departments to have a thorough understanding of their authority and the rights of the individuals they serve. Most essential, police must use their authority in a legitimate, impartial, and non-discriminatory manner</w:t>
      </w:r>
      <w:r w:rsidR="00526E18">
        <w:t xml:space="preserve"> </w:t>
      </w:r>
      <w:r w:rsidR="00E9010F">
        <w:t>. Officers also have the responsibility of protecting citizens' privacy in accordance with regulations like the General Data Protection Regulation (GDPR).</w:t>
      </w:r>
    </w:p>
    <w:p w14:paraId="4FEFB45B" w14:textId="77777777" w:rsidR="00E9010F" w:rsidRDefault="00E9010F" w:rsidP="00E9010F">
      <w:r>
        <w:t>Since the passage of the Police Act in 1964, policing in the United Kingdom has been under intense scrutiny. Police misconduct has kept this issue in the public eye for many years</w:t>
      </w:r>
      <w:r w:rsidR="00526E18">
        <w:t xml:space="preserve"> (Sanja Kutnjak Ivković and Haberfeld, 2015)</w:t>
      </w:r>
      <w:r>
        <w:t>. In light of this urgent need for reform, the administration has already implemented many steps, with more on the way. The public police have been there since the early 19th century, but with the rise of additional agencies for investigation and enforcement, they are no longer solely responsible for maintaining law and order. Although the public police in the UK will continue to receive the bulk of attention, it is important to keep an eye on the accountability of these other policing institutions as well</w:t>
      </w:r>
      <w:r w:rsidR="00526E18">
        <w:t xml:space="preserve"> (Miller et al., 2020)</w:t>
      </w:r>
      <w:r>
        <w:t>. Maintaining an attitude of openness to criticism, welcoming examination, and being extremely accessible to the ideas of the public is perhaps the most successful strategy that all police organizations can take while under pressure. The community-based police force that emerges from this difficult process will be better equipped to earn and keep the public's trust and cooperation.</w:t>
      </w:r>
    </w:p>
    <w:p w14:paraId="39E6DA28" w14:textId="77777777" w:rsidR="004A527F" w:rsidRDefault="00CF4F6B" w:rsidP="00D665B1">
      <w:r>
        <w:t>The regulations governing the admissibility of police evidence are delineated in the PACE. The need of conducting lawful investigations is emphasized by the potential exclusion of unlawfully obtained evidence or evidence obtained in violation of the PACE from judicial proceedings. The establishment of the IOPC was implemented in accordance with the PACE with the aim of enhancing the pre-existing framework of autonomous oversight</w:t>
      </w:r>
      <w:r w:rsidR="00526E18">
        <w:t xml:space="preserve"> (Macvean, Spindler and Solf, 2013)</w:t>
      </w:r>
      <w:r>
        <w:t xml:space="preserve">. </w:t>
      </w:r>
      <w:r w:rsidR="00435A0D">
        <w:t>By looking into charges of wrongdoing by law enforcement, the Independent Office for Police Conduct (IOPC) helps ensure that the public can have faith in their police force.</w:t>
      </w:r>
    </w:p>
    <w:p w14:paraId="684BF4DD" w14:textId="77777777" w:rsidR="00D665B1" w:rsidRDefault="00D665B1" w:rsidP="00435A0D">
      <w:pPr>
        <w:pStyle w:val="Heading2"/>
      </w:pPr>
      <w:bookmarkStart w:id="3" w:name="_Toc150858637"/>
      <w:r>
        <w:t>Human Rights Act 1998</w:t>
      </w:r>
      <w:bookmarkEnd w:id="3"/>
    </w:p>
    <w:p w14:paraId="44FDB54D" w14:textId="77777777" w:rsidR="00D665B1" w:rsidRDefault="00CF4F6B" w:rsidP="00D665B1">
      <w:r w:rsidRPr="00CF4F6B">
        <w:t>In t</w:t>
      </w:r>
      <w:r w:rsidR="00435A0D" w:rsidRPr="00CF4F6B">
        <w:t>he Human Rights Act of 1998</w:t>
      </w:r>
      <w:r w:rsidRPr="00CF4F6B">
        <w:t>,</w:t>
      </w:r>
      <w:r w:rsidR="00435A0D" w:rsidRPr="00CF4F6B">
        <w:t xml:space="preserve"> </w:t>
      </w:r>
      <w:r>
        <w:t>f</w:t>
      </w:r>
      <w:r w:rsidR="00435A0D">
        <w:t>reedom and safety are guaranteed under Article 5. It specifies when an individual's freedom may be restricted by measures like arrest and imprisonment. Such restrictions must be justified, limited, and appropriate in accordance with the Human Rights Act</w:t>
      </w:r>
      <w:r w:rsidR="00526E18">
        <w:t xml:space="preserve"> (Jackson and Bradford, 2009)</w:t>
      </w:r>
      <w:r w:rsidR="00435A0D">
        <w:t xml:space="preserve">. The entitlement to a free and impartial trial is guaranteed under </w:t>
      </w:r>
      <w:r w:rsidR="00435A0D">
        <w:lastRenderedPageBreak/>
        <w:t>Article 6. The right to a fair and impartial hearing, the right to retain legal counsel, and the right to question evidence presented against a person are all essential in the framework of law enforcement investigations. Torture and other forms of cruel or humiliating treatment are prohibited under Article 3. The Human Rights Act forbids police from using such tactics, underscoring the need of treating people in police custody with dignity and respect</w:t>
      </w:r>
      <w:r w:rsidR="00526E18">
        <w:t xml:space="preserve"> (Dalton et al., 2013)</w:t>
      </w:r>
      <w:r w:rsidR="00435A0D">
        <w:t xml:space="preserve">. Governmental officials, including the police, have affirmative responsibilities under the Human Rights Act to comply with ECHR protections. This necessitates preventative steps to guarantee the safeguarding of human rights during police operations. If a person believes their human rights have been infringed at the hands of the police, for example, they may file a lawsuit under </w:t>
      </w:r>
      <w:r>
        <w:t>Article</w:t>
      </w:r>
      <w:r w:rsidR="00435A0D">
        <w:t xml:space="preserve"> 7 of the Human Rights Act. Having recourse to the law in these situations strengthens responsibility and equity.</w:t>
      </w:r>
    </w:p>
    <w:p w14:paraId="54211DD8" w14:textId="77777777" w:rsidR="00D665B1" w:rsidRDefault="00435A0D" w:rsidP="00435A0D">
      <w:pPr>
        <w:pStyle w:val="Heading2"/>
      </w:pPr>
      <w:bookmarkStart w:id="4" w:name="_Toc150858638"/>
      <w:r>
        <w:t>I</w:t>
      </w:r>
      <w:r w:rsidRPr="00435A0D">
        <w:t>ndependent Office for Police Conduct (IOPC)</w:t>
      </w:r>
      <w:bookmarkEnd w:id="4"/>
    </w:p>
    <w:p w14:paraId="1582BD44" w14:textId="77777777" w:rsidR="00435A0D" w:rsidRDefault="00435A0D" w:rsidP="00435A0D">
      <w:r>
        <w:t xml:space="preserve">The Independent Office for Police Conduct (IOPC) is an impartial organisation that investigates claims of police wrongdoing. It plays a critical part in ensuring that law enforcement agencies are trustworthy, open, and accountable to the public. According to Section 10 of the Police Reform Act of 2002, the IOPC must do its duties without bias or favour. It looks into claims of police corruption and misconduct. </w:t>
      </w:r>
      <w:r w:rsidR="00CE2814" w:rsidRPr="00CE2814">
        <w:t>Questionable police practices include the excessive use of force and abuse of authority</w:t>
      </w:r>
      <w:r w:rsidR="00526E18">
        <w:t xml:space="preserve"> (Colbran, 2018)</w:t>
      </w:r>
      <w:r w:rsidR="00CE2814" w:rsidRPr="00CE2814">
        <w:t>. The IOPC is required under Section 12 of the Police Reform Act of 2002 to conduct an independent investigation into the matter. It looks at serious incidents like police shootings of civilians. This includes situations in which police use deadly force, such as shootings, chases, and deaths in police custody.</w:t>
      </w:r>
      <w:r w:rsidR="00CE2814">
        <w:t xml:space="preserve"> </w:t>
      </w:r>
      <w:r w:rsidR="00CE2814" w:rsidRPr="00CE2814">
        <w:t>To encourage openness and responsibilities, it looks into citizen complaints against law enforcement and publishes reports detailing its findings</w:t>
      </w:r>
      <w:r w:rsidR="00526E18">
        <w:t xml:space="preserve"> (Miller et al., 2020)</w:t>
      </w:r>
      <w:r w:rsidR="00CE2814" w:rsidRPr="00CE2814">
        <w:t xml:space="preserve">. Section 25 of the Police Reform Act of 2002 mandates </w:t>
      </w:r>
      <w:r w:rsidR="00CE2814">
        <w:t>providing</w:t>
      </w:r>
      <w:r w:rsidR="00CE2814" w:rsidRPr="00CE2814">
        <w:t xml:space="preserve"> the public with information regarding its operations and inquiries.</w:t>
      </w:r>
      <w:r>
        <w:t xml:space="preserve"> According to Section 38 of the Police Reform Act of 2002, the IOPC is required to generate and publish learning reports as part of its duty in encouraging learning and improvement</w:t>
      </w:r>
      <w:r w:rsidR="00526E18">
        <w:t xml:space="preserve"> (Bailey, 2015)</w:t>
      </w:r>
      <w:r>
        <w:t xml:space="preserve">. The IOPC's remit extends beyond investigating specific incidents to include policing practises as a whole. It may be used to spot patterns, underlying problems, and opportunities for reform in law enforcement. Section 23 of the Police Reform Act 2002 highlights the IOPC's supervision </w:t>
      </w:r>
      <w:r>
        <w:lastRenderedPageBreak/>
        <w:t>function by authorising the IOPC to evaluate the efficacy and efficiency of police complaints processing.</w:t>
      </w:r>
    </w:p>
    <w:p w14:paraId="53A38C5B" w14:textId="77777777" w:rsidR="00435A0D" w:rsidRDefault="00435A0D" w:rsidP="00435A0D"/>
    <w:p w14:paraId="444C50CE" w14:textId="77777777" w:rsidR="00435A0D" w:rsidRDefault="00435A0D" w:rsidP="00435A0D"/>
    <w:p w14:paraId="3EC4CF32" w14:textId="77777777" w:rsidR="00D665B1" w:rsidRDefault="00D665B1" w:rsidP="00D665B1"/>
    <w:p w14:paraId="1F4D7B45" w14:textId="77777777" w:rsidR="00D665B1" w:rsidRDefault="00D665B1">
      <w:pPr>
        <w:spacing w:line="276" w:lineRule="auto"/>
        <w:jc w:val="left"/>
      </w:pPr>
      <w:r>
        <w:br w:type="page"/>
      </w:r>
    </w:p>
    <w:p w14:paraId="7A7ED231" w14:textId="77777777" w:rsidR="00D665B1" w:rsidRDefault="00D665B1" w:rsidP="00D665B1">
      <w:pPr>
        <w:pStyle w:val="Heading2"/>
      </w:pPr>
      <w:bookmarkStart w:id="5" w:name="_Toc150858639"/>
      <w:r>
        <w:lastRenderedPageBreak/>
        <w:t>Conclusion</w:t>
      </w:r>
      <w:bookmarkEnd w:id="5"/>
    </w:p>
    <w:p w14:paraId="6E52909E" w14:textId="77777777" w:rsidR="00D665B1" w:rsidRDefault="00435A0D" w:rsidP="00D665B1">
      <w:r w:rsidRPr="00435A0D">
        <w:t>In a diverse and inclusive society, the value of honest law enforcement officials cannot be overstated. Respecting and appreciating differing values and views is crucial for creating social cohesion and inclusion. To ensure that people of all racial, ethnic, religious, and socioeconomic backgrounds feel safe and secure within the law, a police force must be characterised by honesty and integrity. Maintaining adherence to these values helps in combating prejudice and discrimination and fosters a culture of justice and equality. When law enforcement acts with unrestrained truthfulness, it sends a clear message that the law is applied fairly and consistently, regardless of personal circumstances. This dedication helps build a society where people of different backgrounds and ideas may coexist peacefully and where the rule of law is a uniting factor rather than a point of contention.</w:t>
      </w:r>
    </w:p>
    <w:p w14:paraId="7082F01C" w14:textId="77777777" w:rsidR="00526E18" w:rsidRDefault="00526E18" w:rsidP="00D665B1">
      <w:r>
        <w:br/>
      </w:r>
    </w:p>
    <w:p w14:paraId="6A4265F8" w14:textId="77777777" w:rsidR="00526E18" w:rsidRDefault="00526E18">
      <w:pPr>
        <w:spacing w:line="276" w:lineRule="auto"/>
        <w:jc w:val="left"/>
      </w:pPr>
      <w:r>
        <w:br w:type="page"/>
      </w:r>
    </w:p>
    <w:p w14:paraId="104EC86B" w14:textId="77777777" w:rsidR="00526E18" w:rsidRPr="00526E18" w:rsidRDefault="00526E18" w:rsidP="00526E18">
      <w:pPr>
        <w:pStyle w:val="Heading2"/>
      </w:pPr>
      <w:bookmarkStart w:id="6" w:name="_Toc150858640"/>
      <w:r w:rsidRPr="00526E18">
        <w:lastRenderedPageBreak/>
        <w:t>References</w:t>
      </w:r>
      <w:bookmarkEnd w:id="6"/>
    </w:p>
    <w:p w14:paraId="396B64DF" w14:textId="77777777" w:rsidR="00526E18" w:rsidRDefault="00526E18" w:rsidP="00526E18">
      <w:pPr>
        <w:pStyle w:val="NormalWeb"/>
        <w:spacing w:before="0" w:beforeAutospacing="0" w:after="240" w:afterAutospacing="0" w:line="360" w:lineRule="auto"/>
      </w:pPr>
      <w:r>
        <w:t xml:space="preserve">Bailey, V. (2015). </w:t>
      </w:r>
      <w:r>
        <w:rPr>
          <w:i/>
          <w:iCs/>
        </w:rPr>
        <w:t>Policing and Punishment in Nineteenth Century Britain</w:t>
      </w:r>
      <w:r>
        <w:t>. Routledge.</w:t>
      </w:r>
    </w:p>
    <w:p w14:paraId="68099B19" w14:textId="77777777" w:rsidR="00526E18" w:rsidRDefault="00526E18" w:rsidP="00526E18">
      <w:pPr>
        <w:pStyle w:val="NormalWeb"/>
        <w:spacing w:before="0" w:beforeAutospacing="0" w:after="240" w:afterAutospacing="0" w:line="360" w:lineRule="auto"/>
      </w:pPr>
      <w:r>
        <w:t xml:space="preserve">Colbran, M.P. (2018). Policing, social media and the new media landscape: can the police and the traditional media ever successfully bypass each other? </w:t>
      </w:r>
      <w:r>
        <w:rPr>
          <w:i/>
          <w:iCs/>
        </w:rPr>
        <w:t>Policing and Society</w:t>
      </w:r>
      <w:r>
        <w:t>, 30(3), pp.1–15. doi:https://doi.org/10.1080/10439463.2018.1532426.</w:t>
      </w:r>
    </w:p>
    <w:p w14:paraId="538FF0FD" w14:textId="77777777" w:rsidR="00526E18" w:rsidRDefault="00526E18" w:rsidP="00526E18">
      <w:pPr>
        <w:pStyle w:val="NormalWeb"/>
        <w:spacing w:before="0" w:beforeAutospacing="0" w:after="240" w:afterAutospacing="0" w:line="360" w:lineRule="auto"/>
      </w:pPr>
      <w:r>
        <w:t xml:space="preserve">Dalton, G., Gawrylowicz, J., Memon, A., Milne, R., Horry, R. and Wright, D.B. (2013). Public Perceptions of Identification Procedures in the United Kingdom. </w:t>
      </w:r>
      <w:r>
        <w:rPr>
          <w:i/>
          <w:iCs/>
        </w:rPr>
        <w:t>Policing</w:t>
      </w:r>
      <w:r>
        <w:t>, 8(1), pp.35–42. doi:https://doi.org/10.1093/police/pat029.</w:t>
      </w:r>
    </w:p>
    <w:p w14:paraId="541CEAC2" w14:textId="77777777" w:rsidR="00526E18" w:rsidRDefault="00526E18" w:rsidP="00526E18">
      <w:pPr>
        <w:pStyle w:val="NormalWeb"/>
        <w:spacing w:before="0" w:beforeAutospacing="0" w:after="240" w:afterAutospacing="0" w:line="360" w:lineRule="auto"/>
      </w:pPr>
      <w:r>
        <w:t xml:space="preserve">Jackson, J. and Bradford, B. (2009). Crime, policing and social order: on the expressive nature of public confidence in policing. </w:t>
      </w:r>
      <w:r>
        <w:rPr>
          <w:i/>
          <w:iCs/>
        </w:rPr>
        <w:t>The British Journal of Sociology</w:t>
      </w:r>
      <w:r>
        <w:t>, 60(3), pp.493–521. doi:https://doi.org/10.1111/j.1468-4446.2009.01253.x.</w:t>
      </w:r>
    </w:p>
    <w:p w14:paraId="7466EDF0" w14:textId="77777777" w:rsidR="00526E18" w:rsidRDefault="00526E18" w:rsidP="00526E18">
      <w:pPr>
        <w:pStyle w:val="NormalWeb"/>
        <w:spacing w:before="0" w:beforeAutospacing="0" w:after="240" w:afterAutospacing="0" w:line="360" w:lineRule="auto"/>
      </w:pPr>
      <w:r>
        <w:t xml:space="preserve">Macvean, A., Spindler, P. and Solf, C. (2013). </w:t>
      </w:r>
      <w:r>
        <w:rPr>
          <w:i/>
          <w:iCs/>
        </w:rPr>
        <w:t>Handbook of policing, ethics and professional standards</w:t>
      </w:r>
      <w:r>
        <w:t>. London: Routledge.</w:t>
      </w:r>
    </w:p>
    <w:p w14:paraId="2BC30BBF" w14:textId="77777777" w:rsidR="00526E18" w:rsidRDefault="00526E18" w:rsidP="00526E18">
      <w:pPr>
        <w:pStyle w:val="NormalWeb"/>
        <w:spacing w:before="0" w:beforeAutospacing="0" w:after="240" w:afterAutospacing="0" w:line="360" w:lineRule="auto"/>
      </w:pPr>
      <w:r>
        <w:t xml:space="preserve">Miller, J., Quinton, P., Alexandrou, B. and Packham, D. (2020). Can police training reduce ethnic/racial disparities in stop and search? Evidence from a multisite UK trial. </w:t>
      </w:r>
      <w:r>
        <w:rPr>
          <w:i/>
          <w:iCs/>
        </w:rPr>
        <w:t>Criminology &amp; Public Policy</w:t>
      </w:r>
      <w:r>
        <w:t>, 19(4). doi:https://doi.org/10.1111/1745-9133.12524.</w:t>
      </w:r>
    </w:p>
    <w:p w14:paraId="74A66617" w14:textId="77777777" w:rsidR="00526E18" w:rsidRDefault="00526E18" w:rsidP="00526E18">
      <w:pPr>
        <w:pStyle w:val="NormalWeb"/>
        <w:spacing w:before="0" w:beforeAutospacing="0" w:after="240" w:afterAutospacing="0" w:line="360" w:lineRule="auto"/>
      </w:pPr>
      <w:r>
        <w:t xml:space="preserve">Sanja Kutnjak Ivković and Haberfeld, M.R. (2015). </w:t>
      </w:r>
      <w:r>
        <w:rPr>
          <w:i/>
          <w:iCs/>
        </w:rPr>
        <w:t>Measuring Police Integrity Across the World : Studies from Established Democracies and Countries in Transition</w:t>
      </w:r>
      <w:r>
        <w:t>. New York, Ny: Springer New York.</w:t>
      </w:r>
    </w:p>
    <w:p w14:paraId="2EA77A0A" w14:textId="77777777" w:rsidR="00526E18" w:rsidRDefault="00526E18" w:rsidP="00526E18">
      <w:pPr>
        <w:pStyle w:val="NormalWeb"/>
        <w:spacing w:before="0" w:beforeAutospacing="0" w:after="240" w:afterAutospacing="0" w:line="360" w:lineRule="auto"/>
      </w:pPr>
      <w:r>
        <w:t xml:space="preserve">Sanja Kutnjak Ivković and Haberfeld, M.R. (2019). </w:t>
      </w:r>
      <w:r>
        <w:rPr>
          <w:i/>
          <w:iCs/>
        </w:rPr>
        <w:t>Exploring Police Integrity : Novel Approaches to Police Integrity Theory and Methodology</w:t>
      </w:r>
      <w:r>
        <w:t>. Cham: Springer International Publishing.</w:t>
      </w:r>
    </w:p>
    <w:p w14:paraId="6A01AADF" w14:textId="77777777" w:rsidR="00526E18" w:rsidRDefault="00526E18" w:rsidP="00D665B1"/>
    <w:sectPr w:rsidR="00526E1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94242" w14:textId="77777777" w:rsidR="00830FAB" w:rsidRDefault="00830FAB" w:rsidP="00D665B1">
      <w:pPr>
        <w:spacing w:after="0" w:line="240" w:lineRule="auto"/>
      </w:pPr>
      <w:r>
        <w:separator/>
      </w:r>
    </w:p>
  </w:endnote>
  <w:endnote w:type="continuationSeparator" w:id="0">
    <w:p w14:paraId="36F2AE1E" w14:textId="77777777" w:rsidR="00830FAB" w:rsidRDefault="00830FAB" w:rsidP="00D66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3E328" w14:textId="77777777" w:rsidR="0006204C" w:rsidRDefault="000620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707858"/>
      <w:docPartObj>
        <w:docPartGallery w:val="Page Numbers (Bottom of Page)"/>
        <w:docPartUnique/>
      </w:docPartObj>
    </w:sdtPr>
    <w:sdtEndPr>
      <w:rPr>
        <w:noProof/>
      </w:rPr>
    </w:sdtEndPr>
    <w:sdtContent>
      <w:p w14:paraId="43CF6E30" w14:textId="77777777" w:rsidR="00D665B1" w:rsidRDefault="00D665B1">
        <w:pPr>
          <w:pStyle w:val="Footer"/>
          <w:jc w:val="right"/>
        </w:pPr>
        <w:r>
          <w:fldChar w:fldCharType="begin"/>
        </w:r>
        <w:r>
          <w:instrText xml:space="preserve"> PAGE   \* MERGEFORMAT </w:instrText>
        </w:r>
        <w:r>
          <w:fldChar w:fldCharType="separate"/>
        </w:r>
        <w:r w:rsidR="005A3125">
          <w:rPr>
            <w:noProof/>
          </w:rPr>
          <w:t>2</w:t>
        </w:r>
        <w:r>
          <w:rPr>
            <w:noProof/>
          </w:rPr>
          <w:fldChar w:fldCharType="end"/>
        </w:r>
      </w:p>
    </w:sdtContent>
  </w:sdt>
  <w:p w14:paraId="07C30F84" w14:textId="77777777" w:rsidR="00D665B1" w:rsidRDefault="00D665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BC2C5" w14:textId="77777777" w:rsidR="0006204C" w:rsidRDefault="00062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0C92E" w14:textId="77777777" w:rsidR="00830FAB" w:rsidRDefault="00830FAB" w:rsidP="00D665B1">
      <w:pPr>
        <w:spacing w:after="0" w:line="240" w:lineRule="auto"/>
      </w:pPr>
      <w:r>
        <w:separator/>
      </w:r>
    </w:p>
  </w:footnote>
  <w:footnote w:type="continuationSeparator" w:id="0">
    <w:p w14:paraId="1B806A7D" w14:textId="77777777" w:rsidR="00830FAB" w:rsidRDefault="00830FAB" w:rsidP="00D665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382F5" w14:textId="77777777" w:rsidR="0006204C" w:rsidRDefault="000620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0934D" w14:textId="77777777" w:rsidR="0006204C" w:rsidRDefault="000620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D8FD9" w14:textId="77777777" w:rsidR="0006204C" w:rsidRDefault="0006204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1344"/>
    <w:rsid w:val="0006204C"/>
    <w:rsid w:val="000D7F85"/>
    <w:rsid w:val="0019632B"/>
    <w:rsid w:val="001D0E87"/>
    <w:rsid w:val="00226FE7"/>
    <w:rsid w:val="00280594"/>
    <w:rsid w:val="002D74BC"/>
    <w:rsid w:val="00335551"/>
    <w:rsid w:val="0038089C"/>
    <w:rsid w:val="00411344"/>
    <w:rsid w:val="00435A0D"/>
    <w:rsid w:val="004A527F"/>
    <w:rsid w:val="00526E18"/>
    <w:rsid w:val="005A3125"/>
    <w:rsid w:val="006D46B0"/>
    <w:rsid w:val="00701F0E"/>
    <w:rsid w:val="0071638B"/>
    <w:rsid w:val="00733B68"/>
    <w:rsid w:val="007A2918"/>
    <w:rsid w:val="007B4B6A"/>
    <w:rsid w:val="00830FAB"/>
    <w:rsid w:val="008E7E7D"/>
    <w:rsid w:val="00A05422"/>
    <w:rsid w:val="00A83F50"/>
    <w:rsid w:val="00BC0F6A"/>
    <w:rsid w:val="00CC02C1"/>
    <w:rsid w:val="00CE2814"/>
    <w:rsid w:val="00CF4F6B"/>
    <w:rsid w:val="00D665B1"/>
    <w:rsid w:val="00E9010F"/>
    <w:rsid w:val="00ED680E"/>
    <w:rsid w:val="00FD355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640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4BC"/>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83F50"/>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1F0E"/>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autoRedefine/>
    <w:uiPriority w:val="9"/>
    <w:unhideWhenUsed/>
    <w:qFormat/>
    <w:rsid w:val="006D46B0"/>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1F0E"/>
    <w:rPr>
      <w:rFonts w:ascii="Times New Roman" w:eastAsiaTheme="majorEastAsia" w:hAnsi="Times New Roman" w:cstheme="majorBidi"/>
      <w:b/>
      <w:bCs/>
      <w:color w:val="4F81BD" w:themeColor="accent1"/>
      <w:sz w:val="28"/>
      <w:szCs w:val="26"/>
      <w:lang w:val="en-GB"/>
    </w:rPr>
  </w:style>
  <w:style w:type="character" w:customStyle="1" w:styleId="Heading3Char">
    <w:name w:val="Heading 3 Char"/>
    <w:basedOn w:val="DefaultParagraphFont"/>
    <w:link w:val="Heading3"/>
    <w:uiPriority w:val="9"/>
    <w:rsid w:val="006D46B0"/>
    <w:rPr>
      <w:rFonts w:ascii="Times New Roman" w:eastAsiaTheme="majorEastAsia" w:hAnsi="Times New Roman" w:cstheme="majorBidi"/>
      <w:b/>
      <w:bCs/>
      <w:color w:val="4F81BD" w:themeColor="accent1"/>
      <w:sz w:val="24"/>
      <w:lang w:val="en-GB"/>
    </w:rPr>
  </w:style>
  <w:style w:type="character" w:customStyle="1" w:styleId="Heading1Char">
    <w:name w:val="Heading 1 Char"/>
    <w:basedOn w:val="DefaultParagraphFont"/>
    <w:link w:val="Heading1"/>
    <w:uiPriority w:val="9"/>
    <w:rsid w:val="00A83F50"/>
    <w:rPr>
      <w:rFonts w:ascii="Times New Roman" w:eastAsiaTheme="majorEastAsia" w:hAnsi="Times New Roman" w:cstheme="majorBidi"/>
      <w:b/>
      <w:bCs/>
      <w:color w:val="365F91" w:themeColor="accent1" w:themeShade="BF"/>
      <w:sz w:val="28"/>
      <w:szCs w:val="28"/>
      <w:lang w:val="en-GB"/>
    </w:rPr>
  </w:style>
  <w:style w:type="paragraph" w:styleId="Header">
    <w:name w:val="header"/>
    <w:basedOn w:val="Normal"/>
    <w:link w:val="HeaderChar"/>
    <w:uiPriority w:val="99"/>
    <w:unhideWhenUsed/>
    <w:rsid w:val="00D665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65B1"/>
    <w:rPr>
      <w:rFonts w:ascii="Times New Roman" w:hAnsi="Times New Roman"/>
      <w:sz w:val="24"/>
      <w:lang w:val="en-GB"/>
    </w:rPr>
  </w:style>
  <w:style w:type="paragraph" w:styleId="Footer">
    <w:name w:val="footer"/>
    <w:basedOn w:val="Normal"/>
    <w:link w:val="FooterChar"/>
    <w:uiPriority w:val="99"/>
    <w:unhideWhenUsed/>
    <w:rsid w:val="00D665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65B1"/>
    <w:rPr>
      <w:rFonts w:ascii="Times New Roman" w:hAnsi="Times New Roman"/>
      <w:sz w:val="24"/>
      <w:lang w:val="en-GB"/>
    </w:rPr>
  </w:style>
  <w:style w:type="paragraph" w:styleId="TOCHeading">
    <w:name w:val="TOC Heading"/>
    <w:basedOn w:val="Heading1"/>
    <w:next w:val="Normal"/>
    <w:uiPriority w:val="39"/>
    <w:semiHidden/>
    <w:unhideWhenUsed/>
    <w:qFormat/>
    <w:rsid w:val="00D665B1"/>
    <w:pPr>
      <w:spacing w:line="276" w:lineRule="auto"/>
      <w:jc w:val="left"/>
      <w:outlineLvl w:val="9"/>
    </w:pPr>
    <w:rPr>
      <w:rFonts w:asciiTheme="majorHAnsi" w:hAnsiTheme="majorHAnsi"/>
      <w:lang w:val="en-US" w:eastAsia="ja-JP"/>
    </w:rPr>
  </w:style>
  <w:style w:type="paragraph" w:styleId="TOC2">
    <w:name w:val="toc 2"/>
    <w:basedOn w:val="Normal"/>
    <w:next w:val="Normal"/>
    <w:autoRedefine/>
    <w:uiPriority w:val="39"/>
    <w:unhideWhenUsed/>
    <w:rsid w:val="005A3125"/>
    <w:pPr>
      <w:tabs>
        <w:tab w:val="right" w:leader="dot" w:pos="9350"/>
      </w:tabs>
      <w:spacing w:after="100"/>
    </w:pPr>
  </w:style>
  <w:style w:type="character" w:styleId="Hyperlink">
    <w:name w:val="Hyperlink"/>
    <w:basedOn w:val="DefaultParagraphFont"/>
    <w:uiPriority w:val="99"/>
    <w:unhideWhenUsed/>
    <w:rsid w:val="00D665B1"/>
    <w:rPr>
      <w:color w:val="0000FF" w:themeColor="hyperlink"/>
      <w:u w:val="single"/>
    </w:rPr>
  </w:style>
  <w:style w:type="paragraph" w:styleId="BalloonText">
    <w:name w:val="Balloon Text"/>
    <w:basedOn w:val="Normal"/>
    <w:link w:val="BalloonTextChar"/>
    <w:uiPriority w:val="99"/>
    <w:semiHidden/>
    <w:unhideWhenUsed/>
    <w:rsid w:val="00D665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5B1"/>
    <w:rPr>
      <w:rFonts w:ascii="Tahoma" w:hAnsi="Tahoma" w:cs="Tahoma"/>
      <w:sz w:val="16"/>
      <w:szCs w:val="16"/>
      <w:lang w:val="en-GB"/>
    </w:rPr>
  </w:style>
  <w:style w:type="paragraph" w:styleId="NormalWeb">
    <w:name w:val="Normal (Web)"/>
    <w:basedOn w:val="Normal"/>
    <w:uiPriority w:val="99"/>
    <w:semiHidden/>
    <w:unhideWhenUsed/>
    <w:rsid w:val="00526E18"/>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715670">
      <w:bodyDiv w:val="1"/>
      <w:marLeft w:val="0"/>
      <w:marRight w:val="0"/>
      <w:marTop w:val="0"/>
      <w:marBottom w:val="0"/>
      <w:divBdr>
        <w:top w:val="none" w:sz="0" w:space="0" w:color="auto"/>
        <w:left w:val="none" w:sz="0" w:space="0" w:color="auto"/>
        <w:bottom w:val="none" w:sz="0" w:space="0" w:color="auto"/>
        <w:right w:val="none" w:sz="0" w:space="0" w:color="auto"/>
      </w:divBdr>
      <w:divsChild>
        <w:div w:id="1780568775">
          <w:marLeft w:val="0"/>
          <w:marRight w:val="0"/>
          <w:marTop w:val="0"/>
          <w:marBottom w:val="0"/>
          <w:divBdr>
            <w:top w:val="none" w:sz="0" w:space="0" w:color="auto"/>
            <w:left w:val="none" w:sz="0" w:space="0" w:color="auto"/>
            <w:bottom w:val="none" w:sz="0" w:space="0" w:color="auto"/>
            <w:right w:val="none" w:sz="0" w:space="0" w:color="auto"/>
          </w:divBdr>
        </w:div>
      </w:divsChild>
    </w:div>
    <w:div w:id="1842695031">
      <w:bodyDiv w:val="1"/>
      <w:marLeft w:val="0"/>
      <w:marRight w:val="0"/>
      <w:marTop w:val="0"/>
      <w:marBottom w:val="0"/>
      <w:divBdr>
        <w:top w:val="none" w:sz="0" w:space="0" w:color="auto"/>
        <w:left w:val="none" w:sz="0" w:space="0" w:color="auto"/>
        <w:bottom w:val="none" w:sz="0" w:space="0" w:color="auto"/>
        <w:right w:val="none" w:sz="0" w:space="0" w:color="auto"/>
      </w:divBdr>
      <w:divsChild>
        <w:div w:id="523590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B702C1-BB97-4479-BA7C-E9AA7CBED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1808</Words>
  <Characters>10309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12093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2023-11-16T09:29:00Z</dcterms:created>
  <dcterms:modified xsi:type="dcterms:W3CDTF">2023-11-16T17:13:00Z</dcterms:modified>
  <cp:category/>
</cp:coreProperties>
</file>