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8B26D3" w14:textId="6076D3C6" w:rsidR="00C77BF3" w:rsidRPr="00B031A0" w:rsidRDefault="00471BB0">
      <w:pPr>
        <w:spacing w:after="158"/>
        <w:ind w:left="49"/>
        <w:jc w:val="center"/>
        <w:rPr>
          <w:rFonts w:ascii="Arial" w:hAnsi="Arial" w:cs="Arial"/>
          <w:color w:val="000000" w:themeColor="text1"/>
        </w:rPr>
      </w:pPr>
      <w:r w:rsidRPr="00B031A0">
        <w:rPr>
          <w:rFonts w:ascii="Arial" w:hAnsi="Arial" w:cs="Arial"/>
          <w:noProof/>
          <w:color w:val="000000" w:themeColor="text1"/>
        </w:rPr>
        <w:drawing>
          <wp:inline distT="0" distB="0" distL="0" distR="0" wp14:anchorId="49A72A25" wp14:editId="5DE6C003">
            <wp:extent cx="2541600" cy="1043940"/>
            <wp:effectExtent l="0" t="0" r="0" b="3810"/>
            <wp:docPr id="114148258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568940" cy="1055169"/>
                    </a:xfrm>
                    <a:prstGeom prst="rect">
                      <a:avLst/>
                    </a:prstGeom>
                    <a:ln/>
                  </pic:spPr>
                </pic:pic>
              </a:graphicData>
            </a:graphic>
          </wp:inline>
        </w:drawing>
      </w:r>
      <w:r w:rsidR="00115699" w:rsidRPr="00B031A0">
        <w:rPr>
          <w:rFonts w:ascii="Arial" w:hAnsi="Arial" w:cs="Arial"/>
          <w:color w:val="000000" w:themeColor="text1"/>
        </w:rPr>
        <w:t xml:space="preserve"> </w:t>
      </w:r>
    </w:p>
    <w:p w14:paraId="375D3269" w14:textId="77777777" w:rsidR="00C77BF3" w:rsidRPr="00B031A0" w:rsidRDefault="00115699">
      <w:pPr>
        <w:ind w:left="49"/>
        <w:jc w:val="center"/>
        <w:rPr>
          <w:rFonts w:ascii="Arial" w:hAnsi="Arial" w:cs="Arial"/>
          <w:color w:val="000000" w:themeColor="text1"/>
        </w:rPr>
      </w:pPr>
      <w:r w:rsidRPr="00B031A0">
        <w:rPr>
          <w:rFonts w:ascii="Arial" w:hAnsi="Arial" w:cs="Arial"/>
          <w:color w:val="000000" w:themeColor="text1"/>
        </w:rPr>
        <w:t xml:space="preserve"> </w:t>
      </w:r>
    </w:p>
    <w:p w14:paraId="0D63C41C" w14:textId="600C4F47" w:rsidR="00C77BF3" w:rsidRPr="00B031A0" w:rsidRDefault="00115699">
      <w:pPr>
        <w:spacing w:after="158"/>
        <w:ind w:left="49"/>
        <w:jc w:val="center"/>
        <w:rPr>
          <w:rFonts w:ascii="Arial" w:hAnsi="Arial" w:cs="Arial"/>
          <w:color w:val="000000" w:themeColor="text1"/>
        </w:rPr>
      </w:pPr>
      <w:r w:rsidRPr="00B031A0">
        <w:rPr>
          <w:rFonts w:ascii="Arial" w:hAnsi="Arial" w:cs="Arial"/>
          <w:color w:val="000000" w:themeColor="text1"/>
        </w:rPr>
        <w:t xml:space="preserve"> </w:t>
      </w:r>
    </w:p>
    <w:p w14:paraId="4767111B" w14:textId="77777777" w:rsidR="00C77BF3" w:rsidRPr="00B031A0" w:rsidRDefault="00115699">
      <w:pPr>
        <w:ind w:left="49"/>
        <w:jc w:val="center"/>
        <w:rPr>
          <w:rFonts w:ascii="Arial" w:hAnsi="Arial" w:cs="Arial"/>
          <w:color w:val="000000" w:themeColor="text1"/>
        </w:rPr>
      </w:pPr>
      <w:r w:rsidRPr="00B031A0">
        <w:rPr>
          <w:rFonts w:ascii="Arial" w:hAnsi="Arial" w:cs="Arial"/>
          <w:color w:val="000000" w:themeColor="text1"/>
        </w:rPr>
        <w:t xml:space="preserve"> </w:t>
      </w:r>
    </w:p>
    <w:p w14:paraId="580815B8" w14:textId="77777777" w:rsidR="00C77BF3" w:rsidRPr="00B031A0" w:rsidRDefault="00115699">
      <w:pPr>
        <w:spacing w:after="287"/>
        <w:ind w:left="49"/>
        <w:jc w:val="center"/>
        <w:rPr>
          <w:rFonts w:ascii="Arial" w:hAnsi="Arial" w:cs="Arial"/>
          <w:color w:val="000000" w:themeColor="text1"/>
        </w:rPr>
      </w:pPr>
      <w:r w:rsidRPr="00B031A0">
        <w:rPr>
          <w:rFonts w:ascii="Arial" w:hAnsi="Arial" w:cs="Arial"/>
          <w:color w:val="000000" w:themeColor="text1"/>
        </w:rPr>
        <w:t xml:space="preserve"> </w:t>
      </w:r>
    </w:p>
    <w:p w14:paraId="493616AD" w14:textId="459216D7" w:rsidR="00C77BF3" w:rsidRPr="002324FE" w:rsidRDefault="00115699">
      <w:pPr>
        <w:spacing w:after="157"/>
        <w:ind w:left="89"/>
        <w:jc w:val="center"/>
        <w:rPr>
          <w:rFonts w:ascii="Arial" w:hAnsi="Arial" w:cs="Arial"/>
          <w:color w:val="000000" w:themeColor="text1"/>
          <w:sz w:val="28"/>
          <w:szCs w:val="28"/>
        </w:rPr>
      </w:pPr>
      <w:r w:rsidRPr="002324FE">
        <w:rPr>
          <w:rFonts w:ascii="Arial" w:hAnsi="Arial" w:cs="Arial"/>
          <w:color w:val="000000" w:themeColor="text1"/>
          <w:sz w:val="28"/>
          <w:szCs w:val="28"/>
        </w:rPr>
        <w:t xml:space="preserve"> Impact of nurses’ hand hygiene compliance on </w:t>
      </w:r>
      <w:r w:rsidR="00B031A0" w:rsidRPr="002324FE">
        <w:rPr>
          <w:rFonts w:ascii="Arial" w:hAnsi="Arial" w:cs="Arial"/>
          <w:color w:val="000000" w:themeColor="text1"/>
          <w:sz w:val="28"/>
          <w:szCs w:val="28"/>
        </w:rPr>
        <w:t>healthcare-associated</w:t>
      </w:r>
      <w:r w:rsidRPr="002324FE">
        <w:rPr>
          <w:rFonts w:ascii="Arial" w:hAnsi="Arial" w:cs="Arial"/>
          <w:color w:val="000000" w:themeColor="text1"/>
          <w:sz w:val="28"/>
          <w:szCs w:val="28"/>
        </w:rPr>
        <w:t xml:space="preserve"> infections in UK hospitals: A systematic review</w:t>
      </w:r>
    </w:p>
    <w:p w14:paraId="3B10B4BA" w14:textId="77777777" w:rsidR="00C77BF3" w:rsidRPr="00B031A0" w:rsidRDefault="00115699">
      <w:pPr>
        <w:spacing w:after="42"/>
        <w:ind w:left="89"/>
        <w:jc w:val="center"/>
        <w:rPr>
          <w:rFonts w:ascii="Arial" w:hAnsi="Arial" w:cs="Arial"/>
          <w:color w:val="000000" w:themeColor="text1"/>
          <w:sz w:val="28"/>
          <w:szCs w:val="28"/>
        </w:rPr>
      </w:pPr>
      <w:r w:rsidRPr="00B031A0">
        <w:rPr>
          <w:rFonts w:ascii="Arial" w:hAnsi="Arial" w:cs="Arial"/>
          <w:color w:val="000000" w:themeColor="text1"/>
          <w:sz w:val="28"/>
          <w:szCs w:val="28"/>
        </w:rPr>
        <w:t xml:space="preserve"> </w:t>
      </w:r>
    </w:p>
    <w:p w14:paraId="0AF22129" w14:textId="77777777" w:rsidR="00C77BF3" w:rsidRPr="00B031A0" w:rsidRDefault="00115699">
      <w:pPr>
        <w:spacing w:after="157"/>
        <w:ind w:left="2367" w:right="2358"/>
        <w:jc w:val="center"/>
        <w:rPr>
          <w:rFonts w:ascii="Arial" w:hAnsi="Arial" w:cs="Arial"/>
          <w:color w:val="000000" w:themeColor="text1"/>
          <w:sz w:val="28"/>
          <w:szCs w:val="28"/>
        </w:rPr>
      </w:pPr>
      <w:r w:rsidRPr="00B031A0">
        <w:rPr>
          <w:rFonts w:ascii="Arial" w:hAnsi="Arial" w:cs="Arial"/>
          <w:color w:val="000000" w:themeColor="text1"/>
          <w:sz w:val="28"/>
          <w:szCs w:val="28"/>
        </w:rPr>
        <w:t xml:space="preserve">by </w:t>
      </w:r>
    </w:p>
    <w:p w14:paraId="05EED05B" w14:textId="77777777" w:rsidR="00C77BF3" w:rsidRPr="00B031A0" w:rsidRDefault="00115699">
      <w:pPr>
        <w:spacing w:after="158"/>
        <w:ind w:left="59"/>
        <w:jc w:val="center"/>
        <w:rPr>
          <w:rFonts w:ascii="Arial" w:hAnsi="Arial" w:cs="Arial"/>
          <w:color w:val="000000" w:themeColor="text1"/>
          <w:sz w:val="28"/>
          <w:szCs w:val="28"/>
        </w:rPr>
      </w:pPr>
      <w:r w:rsidRPr="00B031A0">
        <w:rPr>
          <w:rFonts w:ascii="Arial" w:hAnsi="Arial" w:cs="Arial"/>
          <w:color w:val="000000" w:themeColor="text1"/>
          <w:sz w:val="28"/>
          <w:szCs w:val="28"/>
        </w:rPr>
        <w:t xml:space="preserve"> </w:t>
      </w:r>
    </w:p>
    <w:p w14:paraId="35BBD7D9" w14:textId="75947B62" w:rsidR="00C77BF3" w:rsidRPr="00B031A0" w:rsidRDefault="00115699">
      <w:pPr>
        <w:spacing w:after="157"/>
        <w:ind w:left="2367" w:right="2359"/>
        <w:jc w:val="center"/>
        <w:rPr>
          <w:rFonts w:ascii="Arial" w:hAnsi="Arial" w:cs="Arial"/>
          <w:color w:val="000000" w:themeColor="text1"/>
          <w:sz w:val="28"/>
          <w:szCs w:val="28"/>
        </w:rPr>
      </w:pPr>
      <w:r w:rsidRPr="00B031A0">
        <w:rPr>
          <w:rFonts w:ascii="Arial" w:hAnsi="Arial" w:cs="Arial"/>
          <w:color w:val="000000" w:themeColor="text1"/>
          <w:sz w:val="28"/>
          <w:szCs w:val="28"/>
        </w:rPr>
        <w:t xml:space="preserve">Shruti Patel  </w:t>
      </w:r>
    </w:p>
    <w:p w14:paraId="025480CB" w14:textId="77777777" w:rsidR="00C77BF3" w:rsidRPr="00B031A0" w:rsidRDefault="00115699">
      <w:pPr>
        <w:spacing w:after="158"/>
        <w:ind w:left="59"/>
        <w:jc w:val="center"/>
        <w:rPr>
          <w:rFonts w:ascii="Arial" w:hAnsi="Arial" w:cs="Arial"/>
          <w:color w:val="000000" w:themeColor="text1"/>
          <w:sz w:val="28"/>
          <w:szCs w:val="28"/>
        </w:rPr>
      </w:pPr>
      <w:r w:rsidRPr="00B031A0">
        <w:rPr>
          <w:rFonts w:ascii="Arial" w:hAnsi="Arial" w:cs="Arial"/>
          <w:color w:val="000000" w:themeColor="text1"/>
          <w:sz w:val="28"/>
          <w:szCs w:val="28"/>
        </w:rPr>
        <w:t xml:space="preserve"> </w:t>
      </w:r>
    </w:p>
    <w:p w14:paraId="7EDDA0DE" w14:textId="2E9F277F" w:rsidR="00C77BF3" w:rsidRDefault="00115699">
      <w:pPr>
        <w:spacing w:after="156"/>
        <w:ind w:left="59"/>
        <w:jc w:val="center"/>
        <w:rPr>
          <w:rFonts w:ascii="Arial" w:hAnsi="Arial" w:cs="Arial"/>
          <w:color w:val="000000" w:themeColor="text1"/>
          <w:sz w:val="28"/>
          <w:szCs w:val="28"/>
        </w:rPr>
      </w:pPr>
      <w:r w:rsidRPr="00B031A0">
        <w:rPr>
          <w:rFonts w:ascii="Arial" w:hAnsi="Arial" w:cs="Arial"/>
          <w:color w:val="000000" w:themeColor="text1"/>
          <w:sz w:val="28"/>
          <w:szCs w:val="28"/>
        </w:rPr>
        <w:t xml:space="preserve">A Dissertation submitted in partial fulfilment of the requirements for the degree of </w:t>
      </w:r>
      <w:r w:rsidR="00B031A0">
        <w:rPr>
          <w:rFonts w:ascii="Arial" w:hAnsi="Arial" w:cs="Arial"/>
          <w:color w:val="000000" w:themeColor="text1"/>
          <w:sz w:val="28"/>
          <w:szCs w:val="28"/>
        </w:rPr>
        <w:t>Master</w:t>
      </w:r>
      <w:r w:rsidRPr="00B031A0">
        <w:rPr>
          <w:rFonts w:ascii="Arial" w:hAnsi="Arial" w:cs="Arial"/>
          <w:color w:val="000000" w:themeColor="text1"/>
          <w:sz w:val="28"/>
          <w:szCs w:val="28"/>
        </w:rPr>
        <w:t xml:space="preserve"> of Science in Public Health and Social Care in Practice</w:t>
      </w:r>
    </w:p>
    <w:p w14:paraId="59A23C39" w14:textId="77777777" w:rsidR="00B031A0" w:rsidRDefault="00B031A0">
      <w:pPr>
        <w:spacing w:after="156"/>
        <w:ind w:left="59"/>
        <w:jc w:val="center"/>
        <w:rPr>
          <w:rFonts w:ascii="Arial" w:hAnsi="Arial" w:cs="Arial"/>
          <w:color w:val="000000" w:themeColor="text1"/>
          <w:sz w:val="28"/>
          <w:szCs w:val="28"/>
        </w:rPr>
      </w:pPr>
    </w:p>
    <w:p w14:paraId="0A779082" w14:textId="77777777" w:rsidR="00B031A0" w:rsidRPr="00B031A0" w:rsidRDefault="00B031A0">
      <w:pPr>
        <w:spacing w:after="156"/>
        <w:ind w:left="59"/>
        <w:jc w:val="center"/>
        <w:rPr>
          <w:rFonts w:ascii="Arial" w:hAnsi="Arial" w:cs="Arial"/>
          <w:color w:val="000000" w:themeColor="text1"/>
          <w:sz w:val="28"/>
          <w:szCs w:val="28"/>
        </w:rPr>
      </w:pPr>
    </w:p>
    <w:p w14:paraId="17715C8A" w14:textId="77777777" w:rsidR="00C77BF3" w:rsidRPr="00B031A0" w:rsidRDefault="00115699">
      <w:pPr>
        <w:spacing w:after="169"/>
        <w:jc w:val="center"/>
        <w:rPr>
          <w:rFonts w:ascii="Arial" w:hAnsi="Arial" w:cs="Arial"/>
          <w:b/>
          <w:bCs/>
          <w:color w:val="000000" w:themeColor="text1"/>
          <w:sz w:val="28"/>
          <w:szCs w:val="28"/>
        </w:rPr>
      </w:pPr>
      <w:r w:rsidRPr="00B031A0">
        <w:rPr>
          <w:rFonts w:ascii="Arial" w:hAnsi="Arial" w:cs="Arial"/>
          <w:b/>
          <w:bCs/>
          <w:color w:val="000000" w:themeColor="text1"/>
          <w:sz w:val="28"/>
          <w:szCs w:val="28"/>
        </w:rPr>
        <w:t>The Institute of Inner-City Learning</w:t>
      </w:r>
    </w:p>
    <w:p w14:paraId="72F7D64C" w14:textId="77777777" w:rsidR="00C77BF3" w:rsidRPr="00B031A0" w:rsidRDefault="00115699">
      <w:pPr>
        <w:spacing w:after="169"/>
        <w:jc w:val="center"/>
        <w:rPr>
          <w:rFonts w:ascii="Arial" w:hAnsi="Arial" w:cs="Arial"/>
          <w:b/>
          <w:bCs/>
          <w:color w:val="000000" w:themeColor="text1"/>
          <w:sz w:val="28"/>
          <w:szCs w:val="28"/>
        </w:rPr>
      </w:pPr>
      <w:r w:rsidRPr="00B031A0">
        <w:rPr>
          <w:rFonts w:ascii="Arial" w:hAnsi="Arial" w:cs="Arial"/>
          <w:b/>
          <w:bCs/>
          <w:color w:val="000000" w:themeColor="text1"/>
          <w:sz w:val="28"/>
          <w:szCs w:val="28"/>
        </w:rPr>
        <w:t>University of Wales Trinity Saint David – London Campus</w:t>
      </w:r>
    </w:p>
    <w:p w14:paraId="28E51C58" w14:textId="77777777" w:rsidR="00C77BF3" w:rsidRPr="00B031A0" w:rsidRDefault="00C77BF3">
      <w:pPr>
        <w:spacing w:after="157"/>
        <w:ind w:left="2367" w:right="2357"/>
        <w:jc w:val="center"/>
        <w:rPr>
          <w:rFonts w:ascii="Arial" w:hAnsi="Arial" w:cs="Arial"/>
          <w:b/>
          <w:bCs/>
          <w:color w:val="000000" w:themeColor="text1"/>
          <w:sz w:val="28"/>
          <w:szCs w:val="28"/>
        </w:rPr>
      </w:pPr>
    </w:p>
    <w:p w14:paraId="73D436E8" w14:textId="27EF7EA1" w:rsidR="00C77BF3" w:rsidRPr="00B031A0" w:rsidRDefault="00C77BF3">
      <w:pPr>
        <w:rPr>
          <w:rFonts w:ascii="Arial" w:hAnsi="Arial" w:cs="Arial"/>
          <w:b/>
          <w:bCs/>
          <w:color w:val="000000" w:themeColor="text1"/>
          <w:sz w:val="28"/>
          <w:szCs w:val="28"/>
        </w:rPr>
      </w:pPr>
    </w:p>
    <w:p w14:paraId="2F4B59CB" w14:textId="77777777" w:rsidR="00C77BF3" w:rsidRPr="00B031A0" w:rsidRDefault="00115699">
      <w:pPr>
        <w:keepNext/>
        <w:keepLines/>
        <w:pBdr>
          <w:top w:val="none" w:sz="0" w:space="0" w:color="000000"/>
          <w:left w:val="none" w:sz="0" w:space="0" w:color="000000"/>
          <w:bottom w:val="none" w:sz="0" w:space="0" w:color="000000"/>
          <w:right w:val="none" w:sz="0" w:space="0" w:color="000000"/>
          <w:between w:val="none" w:sz="0" w:space="0" w:color="000000"/>
        </w:pBdr>
        <w:spacing w:before="240" w:after="0" w:line="259" w:lineRule="auto"/>
        <w:jc w:val="center"/>
        <w:rPr>
          <w:rFonts w:ascii="Arial" w:hAnsi="Arial" w:cs="Arial"/>
          <w:b/>
          <w:bCs/>
          <w:color w:val="000000" w:themeColor="text1"/>
          <w:sz w:val="28"/>
          <w:szCs w:val="28"/>
        </w:rPr>
      </w:pPr>
      <w:r w:rsidRPr="00B031A0">
        <w:rPr>
          <w:rFonts w:ascii="Arial" w:hAnsi="Arial" w:cs="Arial"/>
          <w:b/>
          <w:bCs/>
          <w:color w:val="000000" w:themeColor="text1"/>
          <w:sz w:val="28"/>
          <w:szCs w:val="28"/>
        </w:rPr>
        <w:lastRenderedPageBreak/>
        <w:t>Table of Contents</w:t>
      </w:r>
    </w:p>
    <w:sdt>
      <w:sdtPr>
        <w:rPr>
          <w:rFonts w:ascii="Arial" w:hAnsi="Arial" w:cs="Arial"/>
          <w:color w:val="000000" w:themeColor="text1"/>
        </w:rPr>
        <w:id w:val="982914602"/>
        <w:docPartObj>
          <w:docPartGallery w:val="Table of Contents"/>
          <w:docPartUnique/>
        </w:docPartObj>
      </w:sdtPr>
      <w:sdtContent>
        <w:p w14:paraId="513459FB" w14:textId="36C9C413" w:rsidR="00FE3F99" w:rsidRDefault="001156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r w:rsidRPr="00B031A0">
            <w:rPr>
              <w:rFonts w:ascii="Arial" w:hAnsi="Arial" w:cs="Arial"/>
              <w:color w:val="000000" w:themeColor="text1"/>
            </w:rPr>
            <w:fldChar w:fldCharType="begin"/>
          </w:r>
          <w:r w:rsidRPr="00B031A0">
            <w:rPr>
              <w:rFonts w:ascii="Arial" w:hAnsi="Arial" w:cs="Arial"/>
              <w:color w:val="000000" w:themeColor="text1"/>
            </w:rPr>
            <w:instrText xml:space="preserve"> TOC \h \u \z \t "Heading 1,1,Heading 2,2,Heading 3,3,"</w:instrText>
          </w:r>
          <w:r w:rsidRPr="00B031A0">
            <w:rPr>
              <w:rFonts w:ascii="Arial" w:hAnsi="Arial" w:cs="Arial"/>
              <w:color w:val="000000" w:themeColor="text1"/>
            </w:rPr>
            <w:fldChar w:fldCharType="separate"/>
          </w:r>
          <w:hyperlink w:anchor="_Toc240208780" w:history="1">
            <w:r w:rsidR="00FE3F99" w:rsidRPr="00422E16">
              <w:rPr>
                <w:rStyle w:val="Hyperlink"/>
                <w:noProof/>
              </w:rPr>
              <w:t>Chapter 1: Introduction</w:t>
            </w:r>
            <w:r w:rsidR="00FE3F99">
              <w:rPr>
                <w:noProof/>
                <w:webHidden/>
              </w:rPr>
              <w:tab/>
            </w:r>
            <w:r w:rsidR="00FE3F99">
              <w:rPr>
                <w:rStyle w:val="Hyperlink"/>
                <w:noProof/>
              </w:rPr>
              <w:fldChar w:fldCharType="begin"/>
            </w:r>
            <w:r w:rsidR="00FE3F99">
              <w:rPr>
                <w:noProof/>
                <w:webHidden/>
              </w:rPr>
              <w:instrText xml:space="preserve"> PAGEREF _Toc240208780 \h </w:instrText>
            </w:r>
            <w:r w:rsidR="00FE3F99">
              <w:rPr>
                <w:rStyle w:val="Hyperlink"/>
                <w:noProof/>
              </w:rPr>
            </w:r>
            <w:r w:rsidR="00FE3F99">
              <w:rPr>
                <w:rStyle w:val="Hyperlink"/>
                <w:noProof/>
              </w:rPr>
              <w:fldChar w:fldCharType="separate"/>
            </w:r>
            <w:r w:rsidR="00FE3F99">
              <w:rPr>
                <w:noProof/>
                <w:webHidden/>
              </w:rPr>
              <w:t>6</w:t>
            </w:r>
            <w:r w:rsidR="00FE3F99">
              <w:rPr>
                <w:rStyle w:val="Hyperlink"/>
                <w:noProof/>
              </w:rPr>
              <w:fldChar w:fldCharType="end"/>
            </w:r>
          </w:hyperlink>
        </w:p>
        <w:p w14:paraId="606CE2CD" w14:textId="7AB85512"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781" w:history="1">
            <w:r w:rsidRPr="00422E16">
              <w:rPr>
                <w:rStyle w:val="Hyperlink"/>
                <w:noProof/>
              </w:rPr>
              <w:t xml:space="preserve">1.1 </w:t>
            </w:r>
            <w:r w:rsidRPr="00422E16">
              <w:rPr>
                <w:rStyle w:val="Hyperlink"/>
                <w:rFonts w:ascii="Tahoma" w:eastAsia="Tahoma" w:hAnsi="Tahoma" w:cs="Tahoma"/>
                <w:noProof/>
              </w:rPr>
              <w:t>﻿﻿﻿</w:t>
            </w:r>
            <w:r w:rsidRPr="00422E16">
              <w:rPr>
                <w:rStyle w:val="Hyperlink"/>
                <w:noProof/>
              </w:rPr>
              <w:t>Introduction</w:t>
            </w:r>
            <w:r>
              <w:rPr>
                <w:noProof/>
                <w:webHidden/>
              </w:rPr>
              <w:tab/>
            </w:r>
            <w:r>
              <w:rPr>
                <w:rStyle w:val="Hyperlink"/>
                <w:noProof/>
              </w:rPr>
              <w:fldChar w:fldCharType="begin"/>
            </w:r>
            <w:r>
              <w:rPr>
                <w:noProof/>
                <w:webHidden/>
              </w:rPr>
              <w:instrText xml:space="preserve"> PAGEREF _Toc240208781 \h </w:instrText>
            </w:r>
            <w:r>
              <w:rPr>
                <w:rStyle w:val="Hyperlink"/>
                <w:noProof/>
              </w:rPr>
            </w:r>
            <w:r>
              <w:rPr>
                <w:rStyle w:val="Hyperlink"/>
                <w:noProof/>
              </w:rPr>
              <w:fldChar w:fldCharType="separate"/>
            </w:r>
            <w:r>
              <w:rPr>
                <w:noProof/>
                <w:webHidden/>
              </w:rPr>
              <w:t>6</w:t>
            </w:r>
            <w:r>
              <w:rPr>
                <w:rStyle w:val="Hyperlink"/>
                <w:noProof/>
              </w:rPr>
              <w:fldChar w:fldCharType="end"/>
            </w:r>
          </w:hyperlink>
        </w:p>
        <w:p w14:paraId="4C45AC89" w14:textId="20ADB2CF"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782" w:history="1">
            <w:r w:rsidRPr="00422E16">
              <w:rPr>
                <w:rStyle w:val="Hyperlink"/>
                <w:noProof/>
              </w:rPr>
              <w:t>1.2 Background and Context</w:t>
            </w:r>
            <w:r>
              <w:rPr>
                <w:noProof/>
                <w:webHidden/>
              </w:rPr>
              <w:tab/>
            </w:r>
            <w:r>
              <w:rPr>
                <w:rStyle w:val="Hyperlink"/>
                <w:noProof/>
              </w:rPr>
              <w:fldChar w:fldCharType="begin"/>
            </w:r>
            <w:r>
              <w:rPr>
                <w:noProof/>
                <w:webHidden/>
              </w:rPr>
              <w:instrText xml:space="preserve"> PAGEREF _Toc240208782 \h </w:instrText>
            </w:r>
            <w:r>
              <w:rPr>
                <w:rStyle w:val="Hyperlink"/>
                <w:noProof/>
              </w:rPr>
            </w:r>
            <w:r>
              <w:rPr>
                <w:rStyle w:val="Hyperlink"/>
                <w:noProof/>
              </w:rPr>
              <w:fldChar w:fldCharType="separate"/>
            </w:r>
            <w:r>
              <w:rPr>
                <w:noProof/>
                <w:webHidden/>
              </w:rPr>
              <w:t>6</w:t>
            </w:r>
            <w:r>
              <w:rPr>
                <w:rStyle w:val="Hyperlink"/>
                <w:noProof/>
              </w:rPr>
              <w:fldChar w:fldCharType="end"/>
            </w:r>
          </w:hyperlink>
        </w:p>
        <w:p w14:paraId="27F8EA59" w14:textId="2A4E7695"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783" w:history="1">
            <w:r w:rsidRPr="00422E16">
              <w:rPr>
                <w:rStyle w:val="Hyperlink"/>
                <w:noProof/>
              </w:rPr>
              <w:t>1.3 Statement of the Problem</w:t>
            </w:r>
            <w:r>
              <w:rPr>
                <w:noProof/>
                <w:webHidden/>
              </w:rPr>
              <w:tab/>
            </w:r>
            <w:r>
              <w:rPr>
                <w:rStyle w:val="Hyperlink"/>
                <w:noProof/>
              </w:rPr>
              <w:fldChar w:fldCharType="begin"/>
            </w:r>
            <w:r>
              <w:rPr>
                <w:noProof/>
                <w:webHidden/>
              </w:rPr>
              <w:instrText xml:space="preserve"> PAGEREF _Toc240208783 \h </w:instrText>
            </w:r>
            <w:r>
              <w:rPr>
                <w:rStyle w:val="Hyperlink"/>
                <w:noProof/>
              </w:rPr>
            </w:r>
            <w:r>
              <w:rPr>
                <w:rStyle w:val="Hyperlink"/>
                <w:noProof/>
              </w:rPr>
              <w:fldChar w:fldCharType="separate"/>
            </w:r>
            <w:r>
              <w:rPr>
                <w:noProof/>
                <w:webHidden/>
              </w:rPr>
              <w:t>7</w:t>
            </w:r>
            <w:r>
              <w:rPr>
                <w:rStyle w:val="Hyperlink"/>
                <w:noProof/>
              </w:rPr>
              <w:fldChar w:fldCharType="end"/>
            </w:r>
          </w:hyperlink>
        </w:p>
        <w:p w14:paraId="1343255D" w14:textId="5ACB0405"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784" w:history="1">
            <w:r w:rsidRPr="00422E16">
              <w:rPr>
                <w:rStyle w:val="Hyperlink"/>
                <w:noProof/>
              </w:rPr>
              <w:t>1.4 Research Rationale</w:t>
            </w:r>
            <w:r>
              <w:rPr>
                <w:noProof/>
                <w:webHidden/>
              </w:rPr>
              <w:tab/>
            </w:r>
            <w:r>
              <w:rPr>
                <w:rStyle w:val="Hyperlink"/>
                <w:noProof/>
              </w:rPr>
              <w:fldChar w:fldCharType="begin"/>
            </w:r>
            <w:r>
              <w:rPr>
                <w:noProof/>
                <w:webHidden/>
              </w:rPr>
              <w:instrText xml:space="preserve"> PAGEREF _Toc240208784 \h </w:instrText>
            </w:r>
            <w:r>
              <w:rPr>
                <w:rStyle w:val="Hyperlink"/>
                <w:noProof/>
              </w:rPr>
            </w:r>
            <w:r>
              <w:rPr>
                <w:rStyle w:val="Hyperlink"/>
                <w:noProof/>
              </w:rPr>
              <w:fldChar w:fldCharType="separate"/>
            </w:r>
            <w:r>
              <w:rPr>
                <w:noProof/>
                <w:webHidden/>
              </w:rPr>
              <w:t>7</w:t>
            </w:r>
            <w:r>
              <w:rPr>
                <w:rStyle w:val="Hyperlink"/>
                <w:noProof/>
              </w:rPr>
              <w:fldChar w:fldCharType="end"/>
            </w:r>
          </w:hyperlink>
        </w:p>
        <w:p w14:paraId="11FD09C6" w14:textId="1C9F46C4"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785" w:history="1">
            <w:r w:rsidRPr="00422E16">
              <w:rPr>
                <w:rStyle w:val="Hyperlink"/>
                <w:noProof/>
              </w:rPr>
              <w:t>1.5 Research Questions</w:t>
            </w:r>
            <w:r>
              <w:rPr>
                <w:noProof/>
                <w:webHidden/>
              </w:rPr>
              <w:tab/>
            </w:r>
            <w:r>
              <w:rPr>
                <w:rStyle w:val="Hyperlink"/>
                <w:noProof/>
              </w:rPr>
              <w:fldChar w:fldCharType="begin"/>
            </w:r>
            <w:r>
              <w:rPr>
                <w:noProof/>
                <w:webHidden/>
              </w:rPr>
              <w:instrText xml:space="preserve"> PAGEREF _Toc240208785 \h </w:instrText>
            </w:r>
            <w:r>
              <w:rPr>
                <w:rStyle w:val="Hyperlink"/>
                <w:noProof/>
              </w:rPr>
            </w:r>
            <w:r>
              <w:rPr>
                <w:rStyle w:val="Hyperlink"/>
                <w:noProof/>
              </w:rPr>
              <w:fldChar w:fldCharType="separate"/>
            </w:r>
            <w:r>
              <w:rPr>
                <w:noProof/>
                <w:webHidden/>
              </w:rPr>
              <w:t>8</w:t>
            </w:r>
            <w:r>
              <w:rPr>
                <w:rStyle w:val="Hyperlink"/>
                <w:noProof/>
              </w:rPr>
              <w:fldChar w:fldCharType="end"/>
            </w:r>
          </w:hyperlink>
        </w:p>
        <w:p w14:paraId="336CB21E" w14:textId="015BCA73"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786" w:history="1">
            <w:r w:rsidRPr="00422E16">
              <w:rPr>
                <w:rStyle w:val="Hyperlink"/>
                <w:noProof/>
              </w:rPr>
              <w:t>1.6 Research Aim</w:t>
            </w:r>
            <w:r>
              <w:rPr>
                <w:noProof/>
                <w:webHidden/>
              </w:rPr>
              <w:tab/>
            </w:r>
            <w:r>
              <w:rPr>
                <w:rStyle w:val="Hyperlink"/>
                <w:noProof/>
              </w:rPr>
              <w:fldChar w:fldCharType="begin"/>
            </w:r>
            <w:r>
              <w:rPr>
                <w:noProof/>
                <w:webHidden/>
              </w:rPr>
              <w:instrText xml:space="preserve"> PAGEREF _Toc240208786 \h </w:instrText>
            </w:r>
            <w:r>
              <w:rPr>
                <w:rStyle w:val="Hyperlink"/>
                <w:noProof/>
              </w:rPr>
            </w:r>
            <w:r>
              <w:rPr>
                <w:rStyle w:val="Hyperlink"/>
                <w:noProof/>
              </w:rPr>
              <w:fldChar w:fldCharType="separate"/>
            </w:r>
            <w:r>
              <w:rPr>
                <w:noProof/>
                <w:webHidden/>
              </w:rPr>
              <w:t>8</w:t>
            </w:r>
            <w:r>
              <w:rPr>
                <w:rStyle w:val="Hyperlink"/>
                <w:noProof/>
              </w:rPr>
              <w:fldChar w:fldCharType="end"/>
            </w:r>
          </w:hyperlink>
        </w:p>
        <w:p w14:paraId="6BFA03C9" w14:textId="6F623647"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787" w:history="1">
            <w:r w:rsidRPr="00422E16">
              <w:rPr>
                <w:rStyle w:val="Hyperlink"/>
                <w:noProof/>
              </w:rPr>
              <w:t>1.7 Research Objectives</w:t>
            </w:r>
            <w:r>
              <w:rPr>
                <w:noProof/>
                <w:webHidden/>
              </w:rPr>
              <w:tab/>
            </w:r>
            <w:r>
              <w:rPr>
                <w:rStyle w:val="Hyperlink"/>
                <w:noProof/>
              </w:rPr>
              <w:fldChar w:fldCharType="begin"/>
            </w:r>
            <w:r>
              <w:rPr>
                <w:noProof/>
                <w:webHidden/>
              </w:rPr>
              <w:instrText xml:space="preserve"> PAGEREF _Toc240208787 \h </w:instrText>
            </w:r>
            <w:r>
              <w:rPr>
                <w:rStyle w:val="Hyperlink"/>
                <w:noProof/>
              </w:rPr>
            </w:r>
            <w:r>
              <w:rPr>
                <w:rStyle w:val="Hyperlink"/>
                <w:noProof/>
              </w:rPr>
              <w:fldChar w:fldCharType="separate"/>
            </w:r>
            <w:r>
              <w:rPr>
                <w:noProof/>
                <w:webHidden/>
              </w:rPr>
              <w:t>9</w:t>
            </w:r>
            <w:r>
              <w:rPr>
                <w:rStyle w:val="Hyperlink"/>
                <w:noProof/>
              </w:rPr>
              <w:fldChar w:fldCharType="end"/>
            </w:r>
          </w:hyperlink>
        </w:p>
        <w:p w14:paraId="71701C85" w14:textId="34436D67"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788" w:history="1">
            <w:r w:rsidRPr="00422E16">
              <w:rPr>
                <w:rStyle w:val="Hyperlink"/>
                <w:noProof/>
              </w:rPr>
              <w:t>1.8 Research Significance</w:t>
            </w:r>
            <w:r>
              <w:rPr>
                <w:noProof/>
                <w:webHidden/>
              </w:rPr>
              <w:tab/>
            </w:r>
            <w:r>
              <w:rPr>
                <w:rStyle w:val="Hyperlink"/>
                <w:noProof/>
              </w:rPr>
              <w:fldChar w:fldCharType="begin"/>
            </w:r>
            <w:r>
              <w:rPr>
                <w:noProof/>
                <w:webHidden/>
              </w:rPr>
              <w:instrText xml:space="preserve"> PAGEREF _Toc240208788 \h </w:instrText>
            </w:r>
            <w:r>
              <w:rPr>
                <w:rStyle w:val="Hyperlink"/>
                <w:noProof/>
              </w:rPr>
            </w:r>
            <w:r>
              <w:rPr>
                <w:rStyle w:val="Hyperlink"/>
                <w:noProof/>
              </w:rPr>
              <w:fldChar w:fldCharType="separate"/>
            </w:r>
            <w:r>
              <w:rPr>
                <w:noProof/>
                <w:webHidden/>
              </w:rPr>
              <w:t>9</w:t>
            </w:r>
            <w:r>
              <w:rPr>
                <w:rStyle w:val="Hyperlink"/>
                <w:noProof/>
              </w:rPr>
              <w:fldChar w:fldCharType="end"/>
            </w:r>
          </w:hyperlink>
        </w:p>
        <w:p w14:paraId="750306BC" w14:textId="49A2BAE6"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789" w:history="1">
            <w:r w:rsidRPr="00422E16">
              <w:rPr>
                <w:rStyle w:val="Hyperlink"/>
                <w:noProof/>
              </w:rPr>
              <w:t>1.9 Summary</w:t>
            </w:r>
            <w:r>
              <w:rPr>
                <w:noProof/>
                <w:webHidden/>
              </w:rPr>
              <w:tab/>
            </w:r>
            <w:r>
              <w:rPr>
                <w:rStyle w:val="Hyperlink"/>
                <w:noProof/>
              </w:rPr>
              <w:fldChar w:fldCharType="begin"/>
            </w:r>
            <w:r>
              <w:rPr>
                <w:noProof/>
                <w:webHidden/>
              </w:rPr>
              <w:instrText xml:space="preserve"> PAGEREF _Toc240208789 \h </w:instrText>
            </w:r>
            <w:r>
              <w:rPr>
                <w:rStyle w:val="Hyperlink"/>
                <w:noProof/>
              </w:rPr>
            </w:r>
            <w:r>
              <w:rPr>
                <w:rStyle w:val="Hyperlink"/>
                <w:noProof/>
              </w:rPr>
              <w:fldChar w:fldCharType="separate"/>
            </w:r>
            <w:r>
              <w:rPr>
                <w:noProof/>
                <w:webHidden/>
              </w:rPr>
              <w:t>10</w:t>
            </w:r>
            <w:r>
              <w:rPr>
                <w:rStyle w:val="Hyperlink"/>
                <w:noProof/>
              </w:rPr>
              <w:fldChar w:fldCharType="end"/>
            </w:r>
          </w:hyperlink>
        </w:p>
        <w:p w14:paraId="10265435" w14:textId="3D53F540"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790" w:history="1">
            <w:r w:rsidRPr="00422E16">
              <w:rPr>
                <w:rStyle w:val="Hyperlink"/>
                <w:noProof/>
              </w:rPr>
              <w:t>Chapter 2: Literature review/theoretical framework</w:t>
            </w:r>
            <w:r>
              <w:rPr>
                <w:noProof/>
                <w:webHidden/>
              </w:rPr>
              <w:tab/>
            </w:r>
            <w:r>
              <w:rPr>
                <w:rStyle w:val="Hyperlink"/>
                <w:noProof/>
              </w:rPr>
              <w:fldChar w:fldCharType="begin"/>
            </w:r>
            <w:r>
              <w:rPr>
                <w:noProof/>
                <w:webHidden/>
              </w:rPr>
              <w:instrText xml:space="preserve"> PAGEREF _Toc240208790 \h </w:instrText>
            </w:r>
            <w:r>
              <w:rPr>
                <w:rStyle w:val="Hyperlink"/>
                <w:noProof/>
              </w:rPr>
            </w:r>
            <w:r>
              <w:rPr>
                <w:rStyle w:val="Hyperlink"/>
                <w:noProof/>
              </w:rPr>
              <w:fldChar w:fldCharType="separate"/>
            </w:r>
            <w:r>
              <w:rPr>
                <w:noProof/>
                <w:webHidden/>
              </w:rPr>
              <w:t>11</w:t>
            </w:r>
            <w:r>
              <w:rPr>
                <w:rStyle w:val="Hyperlink"/>
                <w:noProof/>
              </w:rPr>
              <w:fldChar w:fldCharType="end"/>
            </w:r>
          </w:hyperlink>
        </w:p>
        <w:p w14:paraId="29793D1D" w14:textId="32993E40"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791" w:history="1">
            <w:r w:rsidRPr="00422E16">
              <w:rPr>
                <w:rStyle w:val="Hyperlink"/>
                <w:noProof/>
              </w:rPr>
              <w:t>2.1 Introduction</w:t>
            </w:r>
            <w:r>
              <w:rPr>
                <w:noProof/>
                <w:webHidden/>
              </w:rPr>
              <w:tab/>
            </w:r>
            <w:r>
              <w:rPr>
                <w:rStyle w:val="Hyperlink"/>
                <w:noProof/>
              </w:rPr>
              <w:fldChar w:fldCharType="begin"/>
            </w:r>
            <w:r>
              <w:rPr>
                <w:noProof/>
                <w:webHidden/>
              </w:rPr>
              <w:instrText xml:space="preserve"> PAGEREF _Toc240208791 \h </w:instrText>
            </w:r>
            <w:r>
              <w:rPr>
                <w:rStyle w:val="Hyperlink"/>
                <w:noProof/>
              </w:rPr>
            </w:r>
            <w:r>
              <w:rPr>
                <w:rStyle w:val="Hyperlink"/>
                <w:noProof/>
              </w:rPr>
              <w:fldChar w:fldCharType="separate"/>
            </w:r>
            <w:r>
              <w:rPr>
                <w:noProof/>
                <w:webHidden/>
              </w:rPr>
              <w:t>11</w:t>
            </w:r>
            <w:r>
              <w:rPr>
                <w:rStyle w:val="Hyperlink"/>
                <w:noProof/>
              </w:rPr>
              <w:fldChar w:fldCharType="end"/>
            </w:r>
          </w:hyperlink>
        </w:p>
        <w:p w14:paraId="2B2A3C6E" w14:textId="645A52F1"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792" w:history="1">
            <w:r w:rsidRPr="00422E16">
              <w:rPr>
                <w:rStyle w:val="Hyperlink"/>
                <w:noProof/>
              </w:rPr>
              <w:t>2.2 Literature Search Strategy</w:t>
            </w:r>
            <w:r>
              <w:rPr>
                <w:noProof/>
                <w:webHidden/>
              </w:rPr>
              <w:tab/>
            </w:r>
            <w:r>
              <w:rPr>
                <w:rStyle w:val="Hyperlink"/>
                <w:noProof/>
              </w:rPr>
              <w:fldChar w:fldCharType="begin"/>
            </w:r>
            <w:r>
              <w:rPr>
                <w:noProof/>
                <w:webHidden/>
              </w:rPr>
              <w:instrText xml:space="preserve"> PAGEREF _Toc240208792 \h </w:instrText>
            </w:r>
            <w:r>
              <w:rPr>
                <w:rStyle w:val="Hyperlink"/>
                <w:noProof/>
              </w:rPr>
            </w:r>
            <w:r>
              <w:rPr>
                <w:rStyle w:val="Hyperlink"/>
                <w:noProof/>
              </w:rPr>
              <w:fldChar w:fldCharType="separate"/>
            </w:r>
            <w:r>
              <w:rPr>
                <w:noProof/>
                <w:webHidden/>
              </w:rPr>
              <w:t>11</w:t>
            </w:r>
            <w:r>
              <w:rPr>
                <w:rStyle w:val="Hyperlink"/>
                <w:noProof/>
              </w:rPr>
              <w:fldChar w:fldCharType="end"/>
            </w:r>
          </w:hyperlink>
        </w:p>
        <w:p w14:paraId="0E5D18F6" w14:textId="6B11C7D2"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793" w:history="1">
            <w:r w:rsidRPr="00422E16">
              <w:rPr>
                <w:rStyle w:val="Hyperlink"/>
                <w:noProof/>
              </w:rPr>
              <w:t>2.3 Literature Review</w:t>
            </w:r>
            <w:r>
              <w:rPr>
                <w:noProof/>
                <w:webHidden/>
              </w:rPr>
              <w:tab/>
            </w:r>
            <w:r>
              <w:rPr>
                <w:rStyle w:val="Hyperlink"/>
                <w:noProof/>
              </w:rPr>
              <w:fldChar w:fldCharType="begin"/>
            </w:r>
            <w:r>
              <w:rPr>
                <w:noProof/>
                <w:webHidden/>
              </w:rPr>
              <w:instrText xml:space="preserve"> PAGEREF _Toc240208793 \h </w:instrText>
            </w:r>
            <w:r>
              <w:rPr>
                <w:rStyle w:val="Hyperlink"/>
                <w:noProof/>
              </w:rPr>
            </w:r>
            <w:r>
              <w:rPr>
                <w:rStyle w:val="Hyperlink"/>
                <w:noProof/>
              </w:rPr>
              <w:fldChar w:fldCharType="separate"/>
            </w:r>
            <w:r>
              <w:rPr>
                <w:noProof/>
                <w:webHidden/>
              </w:rPr>
              <w:t>12</w:t>
            </w:r>
            <w:r>
              <w:rPr>
                <w:rStyle w:val="Hyperlink"/>
                <w:noProof/>
              </w:rPr>
              <w:fldChar w:fldCharType="end"/>
            </w:r>
          </w:hyperlink>
        </w:p>
        <w:p w14:paraId="24935668" w14:textId="3CAA1986" w:rsidR="00FE3F99" w:rsidRDefault="00FE3F99">
          <w:pPr>
            <w:pStyle w:val="TOC2"/>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794" w:history="1">
            <w:r w:rsidRPr="00422E16">
              <w:rPr>
                <w:rStyle w:val="Hyperlink"/>
                <w:noProof/>
              </w:rPr>
              <w:t>2.3.1 Most common healthcare-associated infections in UK hospitals</w:t>
            </w:r>
            <w:r>
              <w:rPr>
                <w:noProof/>
                <w:webHidden/>
              </w:rPr>
              <w:tab/>
            </w:r>
            <w:r>
              <w:rPr>
                <w:rStyle w:val="Hyperlink"/>
                <w:noProof/>
              </w:rPr>
              <w:fldChar w:fldCharType="begin"/>
            </w:r>
            <w:r>
              <w:rPr>
                <w:noProof/>
                <w:webHidden/>
              </w:rPr>
              <w:instrText xml:space="preserve"> PAGEREF _Toc240208794 \h </w:instrText>
            </w:r>
            <w:r>
              <w:rPr>
                <w:rStyle w:val="Hyperlink"/>
                <w:noProof/>
              </w:rPr>
            </w:r>
            <w:r>
              <w:rPr>
                <w:rStyle w:val="Hyperlink"/>
                <w:noProof/>
              </w:rPr>
              <w:fldChar w:fldCharType="separate"/>
            </w:r>
            <w:r>
              <w:rPr>
                <w:noProof/>
                <w:webHidden/>
              </w:rPr>
              <w:t>12</w:t>
            </w:r>
            <w:r>
              <w:rPr>
                <w:rStyle w:val="Hyperlink"/>
                <w:noProof/>
              </w:rPr>
              <w:fldChar w:fldCharType="end"/>
            </w:r>
          </w:hyperlink>
        </w:p>
        <w:p w14:paraId="4366A0BC" w14:textId="344E8F6F" w:rsidR="00FE3F99" w:rsidRDefault="00FE3F99">
          <w:pPr>
            <w:pStyle w:val="TOC2"/>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795" w:history="1">
            <w:r w:rsidRPr="00422E16">
              <w:rPr>
                <w:rStyle w:val="Hyperlink"/>
                <w:noProof/>
              </w:rPr>
              <w:t>2.3.2 Factors influencing hand hygiene compliance among healthcare workers</w:t>
            </w:r>
            <w:r>
              <w:rPr>
                <w:noProof/>
                <w:webHidden/>
              </w:rPr>
              <w:tab/>
            </w:r>
            <w:r>
              <w:rPr>
                <w:rStyle w:val="Hyperlink"/>
                <w:noProof/>
              </w:rPr>
              <w:fldChar w:fldCharType="begin"/>
            </w:r>
            <w:r>
              <w:rPr>
                <w:noProof/>
                <w:webHidden/>
              </w:rPr>
              <w:instrText xml:space="preserve"> PAGEREF _Toc240208795 \h </w:instrText>
            </w:r>
            <w:r>
              <w:rPr>
                <w:rStyle w:val="Hyperlink"/>
                <w:noProof/>
              </w:rPr>
            </w:r>
            <w:r>
              <w:rPr>
                <w:rStyle w:val="Hyperlink"/>
                <w:noProof/>
              </w:rPr>
              <w:fldChar w:fldCharType="separate"/>
            </w:r>
            <w:r>
              <w:rPr>
                <w:noProof/>
                <w:webHidden/>
              </w:rPr>
              <w:t>14</w:t>
            </w:r>
            <w:r>
              <w:rPr>
                <w:rStyle w:val="Hyperlink"/>
                <w:noProof/>
              </w:rPr>
              <w:fldChar w:fldCharType="end"/>
            </w:r>
          </w:hyperlink>
        </w:p>
        <w:p w14:paraId="533114AD" w14:textId="135EFEE1" w:rsidR="00FE3F99" w:rsidRDefault="00FE3F99">
          <w:pPr>
            <w:pStyle w:val="TOC2"/>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796" w:history="1">
            <w:r w:rsidRPr="00422E16">
              <w:rPr>
                <w:rStyle w:val="Hyperlink"/>
                <w:noProof/>
              </w:rPr>
              <w:t>2.3.3 Effectiveness of hand hygiene interventions in reducing infection rates</w:t>
            </w:r>
            <w:r>
              <w:rPr>
                <w:noProof/>
                <w:webHidden/>
              </w:rPr>
              <w:tab/>
            </w:r>
            <w:r>
              <w:rPr>
                <w:rStyle w:val="Hyperlink"/>
                <w:noProof/>
              </w:rPr>
              <w:fldChar w:fldCharType="begin"/>
            </w:r>
            <w:r>
              <w:rPr>
                <w:noProof/>
                <w:webHidden/>
              </w:rPr>
              <w:instrText xml:space="preserve"> PAGEREF _Toc240208796 \h </w:instrText>
            </w:r>
            <w:r>
              <w:rPr>
                <w:rStyle w:val="Hyperlink"/>
                <w:noProof/>
              </w:rPr>
            </w:r>
            <w:r>
              <w:rPr>
                <w:rStyle w:val="Hyperlink"/>
                <w:noProof/>
              </w:rPr>
              <w:fldChar w:fldCharType="separate"/>
            </w:r>
            <w:r>
              <w:rPr>
                <w:noProof/>
                <w:webHidden/>
              </w:rPr>
              <w:t>18</w:t>
            </w:r>
            <w:r>
              <w:rPr>
                <w:rStyle w:val="Hyperlink"/>
                <w:noProof/>
              </w:rPr>
              <w:fldChar w:fldCharType="end"/>
            </w:r>
          </w:hyperlink>
        </w:p>
        <w:p w14:paraId="1CF31C86" w14:textId="37D57DD1"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797" w:history="1">
            <w:r w:rsidRPr="00422E16">
              <w:rPr>
                <w:rStyle w:val="Hyperlink"/>
                <w:noProof/>
              </w:rPr>
              <w:t>2.4 Gaps in Literature</w:t>
            </w:r>
            <w:r>
              <w:rPr>
                <w:noProof/>
                <w:webHidden/>
              </w:rPr>
              <w:tab/>
            </w:r>
            <w:r>
              <w:rPr>
                <w:rStyle w:val="Hyperlink"/>
                <w:noProof/>
              </w:rPr>
              <w:fldChar w:fldCharType="begin"/>
            </w:r>
            <w:r>
              <w:rPr>
                <w:noProof/>
                <w:webHidden/>
              </w:rPr>
              <w:instrText xml:space="preserve"> PAGEREF _Toc240208797 \h </w:instrText>
            </w:r>
            <w:r>
              <w:rPr>
                <w:rStyle w:val="Hyperlink"/>
                <w:noProof/>
              </w:rPr>
            </w:r>
            <w:r>
              <w:rPr>
                <w:rStyle w:val="Hyperlink"/>
                <w:noProof/>
              </w:rPr>
              <w:fldChar w:fldCharType="separate"/>
            </w:r>
            <w:r>
              <w:rPr>
                <w:noProof/>
                <w:webHidden/>
              </w:rPr>
              <w:t>21</w:t>
            </w:r>
            <w:r>
              <w:rPr>
                <w:rStyle w:val="Hyperlink"/>
                <w:noProof/>
              </w:rPr>
              <w:fldChar w:fldCharType="end"/>
            </w:r>
          </w:hyperlink>
        </w:p>
        <w:p w14:paraId="3599F4D5" w14:textId="3F3DD7DA"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798" w:history="1">
            <w:r w:rsidRPr="00422E16">
              <w:rPr>
                <w:rStyle w:val="Hyperlink"/>
                <w:noProof/>
              </w:rPr>
              <w:t>2.5 Theoretical Framework</w:t>
            </w:r>
            <w:r>
              <w:rPr>
                <w:noProof/>
                <w:webHidden/>
              </w:rPr>
              <w:tab/>
            </w:r>
            <w:r>
              <w:rPr>
                <w:rStyle w:val="Hyperlink"/>
                <w:noProof/>
              </w:rPr>
              <w:fldChar w:fldCharType="begin"/>
            </w:r>
            <w:r>
              <w:rPr>
                <w:noProof/>
                <w:webHidden/>
              </w:rPr>
              <w:instrText xml:space="preserve"> PAGEREF _Toc240208798 \h </w:instrText>
            </w:r>
            <w:r>
              <w:rPr>
                <w:rStyle w:val="Hyperlink"/>
                <w:noProof/>
              </w:rPr>
            </w:r>
            <w:r>
              <w:rPr>
                <w:rStyle w:val="Hyperlink"/>
                <w:noProof/>
              </w:rPr>
              <w:fldChar w:fldCharType="separate"/>
            </w:r>
            <w:r>
              <w:rPr>
                <w:noProof/>
                <w:webHidden/>
              </w:rPr>
              <w:t>23</w:t>
            </w:r>
            <w:r>
              <w:rPr>
                <w:rStyle w:val="Hyperlink"/>
                <w:noProof/>
              </w:rPr>
              <w:fldChar w:fldCharType="end"/>
            </w:r>
          </w:hyperlink>
        </w:p>
        <w:p w14:paraId="6E525309" w14:textId="71820EC3" w:rsidR="00FE3F99" w:rsidRDefault="00FE3F99">
          <w:pPr>
            <w:pStyle w:val="TOC2"/>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799" w:history="1">
            <w:r w:rsidRPr="00422E16">
              <w:rPr>
                <w:rStyle w:val="Hyperlink"/>
                <w:noProof/>
              </w:rPr>
              <w:t>2.5.1 Health Belief Model (HBM)</w:t>
            </w:r>
            <w:r>
              <w:rPr>
                <w:noProof/>
                <w:webHidden/>
              </w:rPr>
              <w:tab/>
            </w:r>
            <w:r>
              <w:rPr>
                <w:rStyle w:val="Hyperlink"/>
                <w:noProof/>
              </w:rPr>
              <w:fldChar w:fldCharType="begin"/>
            </w:r>
            <w:r>
              <w:rPr>
                <w:noProof/>
                <w:webHidden/>
              </w:rPr>
              <w:instrText xml:space="preserve"> PAGEREF _Toc240208799 \h </w:instrText>
            </w:r>
            <w:r>
              <w:rPr>
                <w:rStyle w:val="Hyperlink"/>
                <w:noProof/>
              </w:rPr>
            </w:r>
            <w:r>
              <w:rPr>
                <w:rStyle w:val="Hyperlink"/>
                <w:noProof/>
              </w:rPr>
              <w:fldChar w:fldCharType="separate"/>
            </w:r>
            <w:r>
              <w:rPr>
                <w:noProof/>
                <w:webHidden/>
              </w:rPr>
              <w:t>23</w:t>
            </w:r>
            <w:r>
              <w:rPr>
                <w:rStyle w:val="Hyperlink"/>
                <w:noProof/>
              </w:rPr>
              <w:fldChar w:fldCharType="end"/>
            </w:r>
          </w:hyperlink>
        </w:p>
        <w:p w14:paraId="6748814B" w14:textId="51D59B9C" w:rsidR="00FE3F99" w:rsidRDefault="00FE3F99">
          <w:pPr>
            <w:pStyle w:val="TOC2"/>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00" w:history="1">
            <w:r w:rsidRPr="00422E16">
              <w:rPr>
                <w:rStyle w:val="Hyperlink"/>
                <w:noProof/>
              </w:rPr>
              <w:t>2.5.2 Theory of Planned Behaviour (TPB)</w:t>
            </w:r>
            <w:r>
              <w:rPr>
                <w:noProof/>
                <w:webHidden/>
              </w:rPr>
              <w:tab/>
            </w:r>
            <w:r>
              <w:rPr>
                <w:rStyle w:val="Hyperlink"/>
                <w:noProof/>
              </w:rPr>
              <w:fldChar w:fldCharType="begin"/>
            </w:r>
            <w:r>
              <w:rPr>
                <w:noProof/>
                <w:webHidden/>
              </w:rPr>
              <w:instrText xml:space="preserve"> PAGEREF _Toc240208800 \h </w:instrText>
            </w:r>
            <w:r>
              <w:rPr>
                <w:rStyle w:val="Hyperlink"/>
                <w:noProof/>
              </w:rPr>
            </w:r>
            <w:r>
              <w:rPr>
                <w:rStyle w:val="Hyperlink"/>
                <w:noProof/>
              </w:rPr>
              <w:fldChar w:fldCharType="separate"/>
            </w:r>
            <w:r>
              <w:rPr>
                <w:noProof/>
                <w:webHidden/>
              </w:rPr>
              <w:t>25</w:t>
            </w:r>
            <w:r>
              <w:rPr>
                <w:rStyle w:val="Hyperlink"/>
                <w:noProof/>
              </w:rPr>
              <w:fldChar w:fldCharType="end"/>
            </w:r>
          </w:hyperlink>
        </w:p>
        <w:p w14:paraId="6395125B" w14:textId="71645440" w:rsidR="00FE3F99" w:rsidRDefault="00FE3F99">
          <w:pPr>
            <w:pStyle w:val="TOC2"/>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01" w:history="1">
            <w:r w:rsidRPr="00422E16">
              <w:rPr>
                <w:rStyle w:val="Hyperlink"/>
                <w:noProof/>
              </w:rPr>
              <w:t>2.5.3 Systems Engineering Initiative for Patient Safety (SEIPS) Model</w:t>
            </w:r>
            <w:r>
              <w:rPr>
                <w:noProof/>
                <w:webHidden/>
              </w:rPr>
              <w:tab/>
            </w:r>
            <w:r>
              <w:rPr>
                <w:rStyle w:val="Hyperlink"/>
                <w:noProof/>
              </w:rPr>
              <w:fldChar w:fldCharType="begin"/>
            </w:r>
            <w:r>
              <w:rPr>
                <w:noProof/>
                <w:webHidden/>
              </w:rPr>
              <w:instrText xml:space="preserve"> PAGEREF _Toc240208801 \h </w:instrText>
            </w:r>
            <w:r>
              <w:rPr>
                <w:rStyle w:val="Hyperlink"/>
                <w:noProof/>
              </w:rPr>
            </w:r>
            <w:r>
              <w:rPr>
                <w:rStyle w:val="Hyperlink"/>
                <w:noProof/>
              </w:rPr>
              <w:fldChar w:fldCharType="separate"/>
            </w:r>
            <w:r>
              <w:rPr>
                <w:noProof/>
                <w:webHidden/>
              </w:rPr>
              <w:t>26</w:t>
            </w:r>
            <w:r>
              <w:rPr>
                <w:rStyle w:val="Hyperlink"/>
                <w:noProof/>
              </w:rPr>
              <w:fldChar w:fldCharType="end"/>
            </w:r>
          </w:hyperlink>
        </w:p>
        <w:p w14:paraId="68EE0D6A" w14:textId="108FF973"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02" w:history="1">
            <w:r w:rsidRPr="00422E16">
              <w:rPr>
                <w:rStyle w:val="Hyperlink"/>
                <w:noProof/>
              </w:rPr>
              <w:t>2.6 Summary</w:t>
            </w:r>
            <w:r>
              <w:rPr>
                <w:noProof/>
                <w:webHidden/>
              </w:rPr>
              <w:tab/>
            </w:r>
            <w:r>
              <w:rPr>
                <w:rStyle w:val="Hyperlink"/>
                <w:noProof/>
              </w:rPr>
              <w:fldChar w:fldCharType="begin"/>
            </w:r>
            <w:r>
              <w:rPr>
                <w:noProof/>
                <w:webHidden/>
              </w:rPr>
              <w:instrText xml:space="preserve"> PAGEREF _Toc240208802 \h </w:instrText>
            </w:r>
            <w:r>
              <w:rPr>
                <w:rStyle w:val="Hyperlink"/>
                <w:noProof/>
              </w:rPr>
            </w:r>
            <w:r>
              <w:rPr>
                <w:rStyle w:val="Hyperlink"/>
                <w:noProof/>
              </w:rPr>
              <w:fldChar w:fldCharType="separate"/>
            </w:r>
            <w:r>
              <w:rPr>
                <w:noProof/>
                <w:webHidden/>
              </w:rPr>
              <w:t>27</w:t>
            </w:r>
            <w:r>
              <w:rPr>
                <w:rStyle w:val="Hyperlink"/>
                <w:noProof/>
              </w:rPr>
              <w:fldChar w:fldCharType="end"/>
            </w:r>
          </w:hyperlink>
        </w:p>
        <w:p w14:paraId="0F858BFA" w14:textId="78169161"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03" w:history="1">
            <w:r w:rsidRPr="00422E16">
              <w:rPr>
                <w:rStyle w:val="Hyperlink"/>
                <w:noProof/>
              </w:rPr>
              <w:t>Chapter 3: Methods And Methodology</w:t>
            </w:r>
            <w:r>
              <w:rPr>
                <w:noProof/>
                <w:webHidden/>
              </w:rPr>
              <w:tab/>
            </w:r>
            <w:r>
              <w:rPr>
                <w:rStyle w:val="Hyperlink"/>
                <w:noProof/>
              </w:rPr>
              <w:fldChar w:fldCharType="begin"/>
            </w:r>
            <w:r>
              <w:rPr>
                <w:noProof/>
                <w:webHidden/>
              </w:rPr>
              <w:instrText xml:space="preserve"> PAGEREF _Toc240208803 \h </w:instrText>
            </w:r>
            <w:r>
              <w:rPr>
                <w:rStyle w:val="Hyperlink"/>
                <w:noProof/>
              </w:rPr>
            </w:r>
            <w:r>
              <w:rPr>
                <w:rStyle w:val="Hyperlink"/>
                <w:noProof/>
              </w:rPr>
              <w:fldChar w:fldCharType="separate"/>
            </w:r>
            <w:r>
              <w:rPr>
                <w:noProof/>
                <w:webHidden/>
              </w:rPr>
              <w:t>28</w:t>
            </w:r>
            <w:r>
              <w:rPr>
                <w:rStyle w:val="Hyperlink"/>
                <w:noProof/>
              </w:rPr>
              <w:fldChar w:fldCharType="end"/>
            </w:r>
          </w:hyperlink>
        </w:p>
        <w:p w14:paraId="1157C1F3" w14:textId="2A7EB2B7"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04" w:history="1">
            <w:r w:rsidRPr="00422E16">
              <w:rPr>
                <w:rStyle w:val="Hyperlink"/>
                <w:noProof/>
              </w:rPr>
              <w:t>3.1 Introduction</w:t>
            </w:r>
            <w:r>
              <w:rPr>
                <w:noProof/>
                <w:webHidden/>
              </w:rPr>
              <w:tab/>
            </w:r>
            <w:r>
              <w:rPr>
                <w:rStyle w:val="Hyperlink"/>
                <w:noProof/>
              </w:rPr>
              <w:fldChar w:fldCharType="begin"/>
            </w:r>
            <w:r>
              <w:rPr>
                <w:noProof/>
                <w:webHidden/>
              </w:rPr>
              <w:instrText xml:space="preserve"> PAGEREF _Toc240208804 \h </w:instrText>
            </w:r>
            <w:r>
              <w:rPr>
                <w:rStyle w:val="Hyperlink"/>
                <w:noProof/>
              </w:rPr>
            </w:r>
            <w:r>
              <w:rPr>
                <w:rStyle w:val="Hyperlink"/>
                <w:noProof/>
              </w:rPr>
              <w:fldChar w:fldCharType="separate"/>
            </w:r>
            <w:r>
              <w:rPr>
                <w:noProof/>
                <w:webHidden/>
              </w:rPr>
              <w:t>28</w:t>
            </w:r>
            <w:r>
              <w:rPr>
                <w:rStyle w:val="Hyperlink"/>
                <w:noProof/>
              </w:rPr>
              <w:fldChar w:fldCharType="end"/>
            </w:r>
          </w:hyperlink>
        </w:p>
        <w:p w14:paraId="6EB84FBB" w14:textId="265BBE79"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05" w:history="1">
            <w:r w:rsidRPr="00422E16">
              <w:rPr>
                <w:rStyle w:val="Hyperlink"/>
                <w:noProof/>
              </w:rPr>
              <w:t>3.2 Research Philosophy</w:t>
            </w:r>
            <w:r>
              <w:rPr>
                <w:noProof/>
                <w:webHidden/>
              </w:rPr>
              <w:tab/>
            </w:r>
            <w:r>
              <w:rPr>
                <w:rStyle w:val="Hyperlink"/>
                <w:noProof/>
              </w:rPr>
              <w:fldChar w:fldCharType="begin"/>
            </w:r>
            <w:r>
              <w:rPr>
                <w:noProof/>
                <w:webHidden/>
              </w:rPr>
              <w:instrText xml:space="preserve"> PAGEREF _Toc240208805 \h </w:instrText>
            </w:r>
            <w:r>
              <w:rPr>
                <w:rStyle w:val="Hyperlink"/>
                <w:noProof/>
              </w:rPr>
            </w:r>
            <w:r>
              <w:rPr>
                <w:rStyle w:val="Hyperlink"/>
                <w:noProof/>
              </w:rPr>
              <w:fldChar w:fldCharType="separate"/>
            </w:r>
            <w:r>
              <w:rPr>
                <w:noProof/>
                <w:webHidden/>
              </w:rPr>
              <w:t>28</w:t>
            </w:r>
            <w:r>
              <w:rPr>
                <w:rStyle w:val="Hyperlink"/>
                <w:noProof/>
              </w:rPr>
              <w:fldChar w:fldCharType="end"/>
            </w:r>
          </w:hyperlink>
        </w:p>
        <w:p w14:paraId="2FD7AB93" w14:textId="28B7EF66"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06" w:history="1">
            <w:r w:rsidRPr="00422E16">
              <w:rPr>
                <w:rStyle w:val="Hyperlink"/>
                <w:noProof/>
              </w:rPr>
              <w:t>3.3 Ethical Considerations</w:t>
            </w:r>
            <w:r>
              <w:rPr>
                <w:noProof/>
                <w:webHidden/>
              </w:rPr>
              <w:tab/>
            </w:r>
            <w:r>
              <w:rPr>
                <w:rStyle w:val="Hyperlink"/>
                <w:noProof/>
              </w:rPr>
              <w:fldChar w:fldCharType="begin"/>
            </w:r>
            <w:r>
              <w:rPr>
                <w:noProof/>
                <w:webHidden/>
              </w:rPr>
              <w:instrText xml:space="preserve"> PAGEREF _Toc240208806 \h </w:instrText>
            </w:r>
            <w:r>
              <w:rPr>
                <w:rStyle w:val="Hyperlink"/>
                <w:noProof/>
              </w:rPr>
            </w:r>
            <w:r>
              <w:rPr>
                <w:rStyle w:val="Hyperlink"/>
                <w:noProof/>
              </w:rPr>
              <w:fldChar w:fldCharType="separate"/>
            </w:r>
            <w:r>
              <w:rPr>
                <w:noProof/>
                <w:webHidden/>
              </w:rPr>
              <w:t>28</w:t>
            </w:r>
            <w:r>
              <w:rPr>
                <w:rStyle w:val="Hyperlink"/>
                <w:noProof/>
              </w:rPr>
              <w:fldChar w:fldCharType="end"/>
            </w:r>
          </w:hyperlink>
        </w:p>
        <w:p w14:paraId="7FDDFCF1" w14:textId="314C3DAC"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07" w:history="1">
            <w:r w:rsidRPr="00422E16">
              <w:rPr>
                <w:rStyle w:val="Hyperlink"/>
                <w:noProof/>
              </w:rPr>
              <w:t>3.4 Research Approach</w:t>
            </w:r>
            <w:r>
              <w:rPr>
                <w:noProof/>
                <w:webHidden/>
              </w:rPr>
              <w:tab/>
            </w:r>
            <w:r>
              <w:rPr>
                <w:rStyle w:val="Hyperlink"/>
                <w:noProof/>
              </w:rPr>
              <w:fldChar w:fldCharType="begin"/>
            </w:r>
            <w:r>
              <w:rPr>
                <w:noProof/>
                <w:webHidden/>
              </w:rPr>
              <w:instrText xml:space="preserve"> PAGEREF _Toc240208807 \h </w:instrText>
            </w:r>
            <w:r>
              <w:rPr>
                <w:rStyle w:val="Hyperlink"/>
                <w:noProof/>
              </w:rPr>
            </w:r>
            <w:r>
              <w:rPr>
                <w:rStyle w:val="Hyperlink"/>
                <w:noProof/>
              </w:rPr>
              <w:fldChar w:fldCharType="separate"/>
            </w:r>
            <w:r>
              <w:rPr>
                <w:noProof/>
                <w:webHidden/>
              </w:rPr>
              <w:t>29</w:t>
            </w:r>
            <w:r>
              <w:rPr>
                <w:rStyle w:val="Hyperlink"/>
                <w:noProof/>
              </w:rPr>
              <w:fldChar w:fldCharType="end"/>
            </w:r>
          </w:hyperlink>
        </w:p>
        <w:p w14:paraId="023DA1E4" w14:textId="34CEE670"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08" w:history="1">
            <w:r w:rsidRPr="00422E16">
              <w:rPr>
                <w:rStyle w:val="Hyperlink"/>
                <w:noProof/>
              </w:rPr>
              <w:t>3.5 Research Strategy</w:t>
            </w:r>
            <w:r>
              <w:rPr>
                <w:noProof/>
                <w:webHidden/>
              </w:rPr>
              <w:tab/>
            </w:r>
            <w:r>
              <w:rPr>
                <w:rStyle w:val="Hyperlink"/>
                <w:noProof/>
              </w:rPr>
              <w:fldChar w:fldCharType="begin"/>
            </w:r>
            <w:r>
              <w:rPr>
                <w:noProof/>
                <w:webHidden/>
              </w:rPr>
              <w:instrText xml:space="preserve"> PAGEREF _Toc240208808 \h </w:instrText>
            </w:r>
            <w:r>
              <w:rPr>
                <w:rStyle w:val="Hyperlink"/>
                <w:noProof/>
              </w:rPr>
            </w:r>
            <w:r>
              <w:rPr>
                <w:rStyle w:val="Hyperlink"/>
                <w:noProof/>
              </w:rPr>
              <w:fldChar w:fldCharType="separate"/>
            </w:r>
            <w:r>
              <w:rPr>
                <w:noProof/>
                <w:webHidden/>
              </w:rPr>
              <w:t>29</w:t>
            </w:r>
            <w:r>
              <w:rPr>
                <w:rStyle w:val="Hyperlink"/>
                <w:noProof/>
              </w:rPr>
              <w:fldChar w:fldCharType="end"/>
            </w:r>
          </w:hyperlink>
        </w:p>
        <w:p w14:paraId="11785084" w14:textId="2945F2D5"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09" w:history="1">
            <w:r w:rsidRPr="00422E16">
              <w:rPr>
                <w:rStyle w:val="Hyperlink"/>
                <w:noProof/>
              </w:rPr>
              <w:t>3.6 Study Design</w:t>
            </w:r>
            <w:r>
              <w:rPr>
                <w:noProof/>
                <w:webHidden/>
              </w:rPr>
              <w:tab/>
            </w:r>
            <w:r>
              <w:rPr>
                <w:rStyle w:val="Hyperlink"/>
                <w:noProof/>
              </w:rPr>
              <w:fldChar w:fldCharType="begin"/>
            </w:r>
            <w:r>
              <w:rPr>
                <w:noProof/>
                <w:webHidden/>
              </w:rPr>
              <w:instrText xml:space="preserve"> PAGEREF _Toc240208809 \h </w:instrText>
            </w:r>
            <w:r>
              <w:rPr>
                <w:rStyle w:val="Hyperlink"/>
                <w:noProof/>
              </w:rPr>
            </w:r>
            <w:r>
              <w:rPr>
                <w:rStyle w:val="Hyperlink"/>
                <w:noProof/>
              </w:rPr>
              <w:fldChar w:fldCharType="separate"/>
            </w:r>
            <w:r>
              <w:rPr>
                <w:noProof/>
                <w:webHidden/>
              </w:rPr>
              <w:t>30</w:t>
            </w:r>
            <w:r>
              <w:rPr>
                <w:rStyle w:val="Hyperlink"/>
                <w:noProof/>
              </w:rPr>
              <w:fldChar w:fldCharType="end"/>
            </w:r>
          </w:hyperlink>
        </w:p>
        <w:p w14:paraId="4FB5A3A2" w14:textId="357A1F11"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10" w:history="1">
            <w:r w:rsidRPr="00422E16">
              <w:rPr>
                <w:rStyle w:val="Hyperlink"/>
                <w:noProof/>
              </w:rPr>
              <w:t>3.7 Method of Data Collection</w:t>
            </w:r>
            <w:r>
              <w:rPr>
                <w:noProof/>
                <w:webHidden/>
              </w:rPr>
              <w:tab/>
            </w:r>
            <w:r>
              <w:rPr>
                <w:rStyle w:val="Hyperlink"/>
                <w:noProof/>
              </w:rPr>
              <w:fldChar w:fldCharType="begin"/>
            </w:r>
            <w:r>
              <w:rPr>
                <w:noProof/>
                <w:webHidden/>
              </w:rPr>
              <w:instrText xml:space="preserve"> PAGEREF _Toc240208810 \h </w:instrText>
            </w:r>
            <w:r>
              <w:rPr>
                <w:rStyle w:val="Hyperlink"/>
                <w:noProof/>
              </w:rPr>
            </w:r>
            <w:r>
              <w:rPr>
                <w:rStyle w:val="Hyperlink"/>
                <w:noProof/>
              </w:rPr>
              <w:fldChar w:fldCharType="separate"/>
            </w:r>
            <w:r>
              <w:rPr>
                <w:noProof/>
                <w:webHidden/>
              </w:rPr>
              <w:t>30</w:t>
            </w:r>
            <w:r>
              <w:rPr>
                <w:rStyle w:val="Hyperlink"/>
                <w:noProof/>
              </w:rPr>
              <w:fldChar w:fldCharType="end"/>
            </w:r>
          </w:hyperlink>
        </w:p>
        <w:p w14:paraId="065359DE" w14:textId="7DEB2301" w:rsidR="00FE3F99" w:rsidRDefault="00FE3F99">
          <w:pPr>
            <w:pStyle w:val="TOC2"/>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11" w:history="1">
            <w:r w:rsidRPr="00422E16">
              <w:rPr>
                <w:rStyle w:val="Hyperlink"/>
                <w:noProof/>
              </w:rPr>
              <w:t>3.7.1 Search Strategy</w:t>
            </w:r>
            <w:r>
              <w:rPr>
                <w:noProof/>
                <w:webHidden/>
              </w:rPr>
              <w:tab/>
            </w:r>
            <w:r>
              <w:rPr>
                <w:rStyle w:val="Hyperlink"/>
                <w:noProof/>
              </w:rPr>
              <w:fldChar w:fldCharType="begin"/>
            </w:r>
            <w:r>
              <w:rPr>
                <w:noProof/>
                <w:webHidden/>
              </w:rPr>
              <w:instrText xml:space="preserve"> PAGEREF _Toc240208811 \h </w:instrText>
            </w:r>
            <w:r>
              <w:rPr>
                <w:rStyle w:val="Hyperlink"/>
                <w:noProof/>
              </w:rPr>
            </w:r>
            <w:r>
              <w:rPr>
                <w:rStyle w:val="Hyperlink"/>
                <w:noProof/>
              </w:rPr>
              <w:fldChar w:fldCharType="separate"/>
            </w:r>
            <w:r>
              <w:rPr>
                <w:noProof/>
                <w:webHidden/>
              </w:rPr>
              <w:t>30</w:t>
            </w:r>
            <w:r>
              <w:rPr>
                <w:rStyle w:val="Hyperlink"/>
                <w:noProof/>
              </w:rPr>
              <w:fldChar w:fldCharType="end"/>
            </w:r>
          </w:hyperlink>
        </w:p>
        <w:p w14:paraId="46AB4F39" w14:textId="741FEB25"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12" w:history="1">
            <w:r w:rsidRPr="00422E16">
              <w:rPr>
                <w:rStyle w:val="Hyperlink"/>
                <w:noProof/>
              </w:rPr>
              <w:t>3.8 Framing the Research Question (PICO)</w:t>
            </w:r>
            <w:r>
              <w:rPr>
                <w:noProof/>
                <w:webHidden/>
              </w:rPr>
              <w:tab/>
            </w:r>
            <w:r>
              <w:rPr>
                <w:rStyle w:val="Hyperlink"/>
                <w:noProof/>
              </w:rPr>
              <w:fldChar w:fldCharType="begin"/>
            </w:r>
            <w:r>
              <w:rPr>
                <w:noProof/>
                <w:webHidden/>
              </w:rPr>
              <w:instrText xml:space="preserve"> PAGEREF _Toc240208812 \h </w:instrText>
            </w:r>
            <w:r>
              <w:rPr>
                <w:rStyle w:val="Hyperlink"/>
                <w:noProof/>
              </w:rPr>
            </w:r>
            <w:r>
              <w:rPr>
                <w:rStyle w:val="Hyperlink"/>
                <w:noProof/>
              </w:rPr>
              <w:fldChar w:fldCharType="separate"/>
            </w:r>
            <w:r>
              <w:rPr>
                <w:noProof/>
                <w:webHidden/>
              </w:rPr>
              <w:t>31</w:t>
            </w:r>
            <w:r>
              <w:rPr>
                <w:rStyle w:val="Hyperlink"/>
                <w:noProof/>
              </w:rPr>
              <w:fldChar w:fldCharType="end"/>
            </w:r>
          </w:hyperlink>
        </w:p>
        <w:p w14:paraId="350B12AD" w14:textId="45519F68"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13" w:history="1">
            <w:r w:rsidRPr="00422E16">
              <w:rPr>
                <w:rStyle w:val="Hyperlink"/>
                <w:noProof/>
              </w:rPr>
              <w:t>3.9 Database Research Procedure</w:t>
            </w:r>
            <w:r>
              <w:rPr>
                <w:noProof/>
                <w:webHidden/>
              </w:rPr>
              <w:tab/>
            </w:r>
            <w:r>
              <w:rPr>
                <w:rStyle w:val="Hyperlink"/>
                <w:noProof/>
              </w:rPr>
              <w:fldChar w:fldCharType="begin"/>
            </w:r>
            <w:r>
              <w:rPr>
                <w:noProof/>
                <w:webHidden/>
              </w:rPr>
              <w:instrText xml:space="preserve"> PAGEREF _Toc240208813 \h </w:instrText>
            </w:r>
            <w:r>
              <w:rPr>
                <w:rStyle w:val="Hyperlink"/>
                <w:noProof/>
              </w:rPr>
            </w:r>
            <w:r>
              <w:rPr>
                <w:rStyle w:val="Hyperlink"/>
                <w:noProof/>
              </w:rPr>
              <w:fldChar w:fldCharType="separate"/>
            </w:r>
            <w:r>
              <w:rPr>
                <w:noProof/>
                <w:webHidden/>
              </w:rPr>
              <w:t>32</w:t>
            </w:r>
            <w:r>
              <w:rPr>
                <w:rStyle w:val="Hyperlink"/>
                <w:noProof/>
              </w:rPr>
              <w:fldChar w:fldCharType="end"/>
            </w:r>
          </w:hyperlink>
        </w:p>
        <w:p w14:paraId="04D84FF1" w14:textId="7FE1531C"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14" w:history="1">
            <w:r w:rsidRPr="00422E16">
              <w:rPr>
                <w:rStyle w:val="Hyperlink"/>
                <w:noProof/>
              </w:rPr>
              <w:t>3.10 Hand Search</w:t>
            </w:r>
            <w:r>
              <w:rPr>
                <w:noProof/>
                <w:webHidden/>
              </w:rPr>
              <w:tab/>
            </w:r>
            <w:r>
              <w:rPr>
                <w:rStyle w:val="Hyperlink"/>
                <w:noProof/>
              </w:rPr>
              <w:fldChar w:fldCharType="begin"/>
            </w:r>
            <w:r>
              <w:rPr>
                <w:noProof/>
                <w:webHidden/>
              </w:rPr>
              <w:instrText xml:space="preserve"> PAGEREF _Toc240208814 \h </w:instrText>
            </w:r>
            <w:r>
              <w:rPr>
                <w:rStyle w:val="Hyperlink"/>
                <w:noProof/>
              </w:rPr>
            </w:r>
            <w:r>
              <w:rPr>
                <w:rStyle w:val="Hyperlink"/>
                <w:noProof/>
              </w:rPr>
              <w:fldChar w:fldCharType="separate"/>
            </w:r>
            <w:r>
              <w:rPr>
                <w:noProof/>
                <w:webHidden/>
              </w:rPr>
              <w:t>32</w:t>
            </w:r>
            <w:r>
              <w:rPr>
                <w:rStyle w:val="Hyperlink"/>
                <w:noProof/>
              </w:rPr>
              <w:fldChar w:fldCharType="end"/>
            </w:r>
          </w:hyperlink>
        </w:p>
        <w:p w14:paraId="797F82E6" w14:textId="29E10D1D"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15" w:history="1">
            <w:r w:rsidRPr="00422E16">
              <w:rPr>
                <w:rStyle w:val="Hyperlink"/>
                <w:noProof/>
              </w:rPr>
              <w:t>3.11 Grey Literature</w:t>
            </w:r>
            <w:r>
              <w:rPr>
                <w:noProof/>
                <w:webHidden/>
              </w:rPr>
              <w:tab/>
            </w:r>
            <w:r>
              <w:rPr>
                <w:rStyle w:val="Hyperlink"/>
                <w:noProof/>
              </w:rPr>
              <w:fldChar w:fldCharType="begin"/>
            </w:r>
            <w:r>
              <w:rPr>
                <w:noProof/>
                <w:webHidden/>
              </w:rPr>
              <w:instrText xml:space="preserve"> PAGEREF _Toc240208815 \h </w:instrText>
            </w:r>
            <w:r>
              <w:rPr>
                <w:rStyle w:val="Hyperlink"/>
                <w:noProof/>
              </w:rPr>
            </w:r>
            <w:r>
              <w:rPr>
                <w:rStyle w:val="Hyperlink"/>
                <w:noProof/>
              </w:rPr>
              <w:fldChar w:fldCharType="separate"/>
            </w:r>
            <w:r>
              <w:rPr>
                <w:noProof/>
                <w:webHidden/>
              </w:rPr>
              <w:t>33</w:t>
            </w:r>
            <w:r>
              <w:rPr>
                <w:rStyle w:val="Hyperlink"/>
                <w:noProof/>
              </w:rPr>
              <w:fldChar w:fldCharType="end"/>
            </w:r>
          </w:hyperlink>
        </w:p>
        <w:p w14:paraId="2BCDB428" w14:textId="365DE9B8"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16" w:history="1">
            <w:r w:rsidRPr="00422E16">
              <w:rPr>
                <w:rStyle w:val="Hyperlink"/>
                <w:noProof/>
              </w:rPr>
              <w:t>3.12 Inclusion and Exclusion</w:t>
            </w:r>
            <w:r>
              <w:rPr>
                <w:noProof/>
                <w:webHidden/>
              </w:rPr>
              <w:tab/>
            </w:r>
            <w:r>
              <w:rPr>
                <w:rStyle w:val="Hyperlink"/>
                <w:noProof/>
              </w:rPr>
              <w:fldChar w:fldCharType="begin"/>
            </w:r>
            <w:r>
              <w:rPr>
                <w:noProof/>
                <w:webHidden/>
              </w:rPr>
              <w:instrText xml:space="preserve"> PAGEREF _Toc240208816 \h </w:instrText>
            </w:r>
            <w:r>
              <w:rPr>
                <w:rStyle w:val="Hyperlink"/>
                <w:noProof/>
              </w:rPr>
            </w:r>
            <w:r>
              <w:rPr>
                <w:rStyle w:val="Hyperlink"/>
                <w:noProof/>
              </w:rPr>
              <w:fldChar w:fldCharType="separate"/>
            </w:r>
            <w:r>
              <w:rPr>
                <w:noProof/>
                <w:webHidden/>
              </w:rPr>
              <w:t>33</w:t>
            </w:r>
            <w:r>
              <w:rPr>
                <w:rStyle w:val="Hyperlink"/>
                <w:noProof/>
              </w:rPr>
              <w:fldChar w:fldCharType="end"/>
            </w:r>
          </w:hyperlink>
        </w:p>
        <w:p w14:paraId="0D852D17" w14:textId="528E500B"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17" w:history="1">
            <w:r w:rsidRPr="00422E16">
              <w:rPr>
                <w:rStyle w:val="Hyperlink"/>
                <w:noProof/>
              </w:rPr>
              <w:t>3.13 Study Selection</w:t>
            </w:r>
            <w:r>
              <w:rPr>
                <w:noProof/>
                <w:webHidden/>
              </w:rPr>
              <w:tab/>
            </w:r>
            <w:r>
              <w:rPr>
                <w:rStyle w:val="Hyperlink"/>
                <w:noProof/>
              </w:rPr>
              <w:fldChar w:fldCharType="begin"/>
            </w:r>
            <w:r>
              <w:rPr>
                <w:noProof/>
                <w:webHidden/>
              </w:rPr>
              <w:instrText xml:space="preserve"> PAGEREF _Toc240208817 \h </w:instrText>
            </w:r>
            <w:r>
              <w:rPr>
                <w:rStyle w:val="Hyperlink"/>
                <w:noProof/>
              </w:rPr>
            </w:r>
            <w:r>
              <w:rPr>
                <w:rStyle w:val="Hyperlink"/>
                <w:noProof/>
              </w:rPr>
              <w:fldChar w:fldCharType="separate"/>
            </w:r>
            <w:r>
              <w:rPr>
                <w:noProof/>
                <w:webHidden/>
              </w:rPr>
              <w:t>35</w:t>
            </w:r>
            <w:r>
              <w:rPr>
                <w:rStyle w:val="Hyperlink"/>
                <w:noProof/>
              </w:rPr>
              <w:fldChar w:fldCharType="end"/>
            </w:r>
          </w:hyperlink>
        </w:p>
        <w:p w14:paraId="491F7491" w14:textId="27ADA6B6"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18" w:history="1">
            <w:r w:rsidRPr="00422E16">
              <w:rPr>
                <w:rStyle w:val="Hyperlink"/>
                <w:noProof/>
              </w:rPr>
              <w:t>PRISMA chart</w:t>
            </w:r>
            <w:r>
              <w:rPr>
                <w:noProof/>
                <w:webHidden/>
              </w:rPr>
              <w:tab/>
            </w:r>
            <w:r>
              <w:rPr>
                <w:rStyle w:val="Hyperlink"/>
                <w:noProof/>
              </w:rPr>
              <w:fldChar w:fldCharType="begin"/>
            </w:r>
            <w:r>
              <w:rPr>
                <w:noProof/>
                <w:webHidden/>
              </w:rPr>
              <w:instrText xml:space="preserve"> PAGEREF _Toc240208818 \h </w:instrText>
            </w:r>
            <w:r>
              <w:rPr>
                <w:rStyle w:val="Hyperlink"/>
                <w:noProof/>
              </w:rPr>
            </w:r>
            <w:r>
              <w:rPr>
                <w:rStyle w:val="Hyperlink"/>
                <w:noProof/>
              </w:rPr>
              <w:fldChar w:fldCharType="separate"/>
            </w:r>
            <w:r>
              <w:rPr>
                <w:noProof/>
                <w:webHidden/>
              </w:rPr>
              <w:t>35</w:t>
            </w:r>
            <w:r>
              <w:rPr>
                <w:rStyle w:val="Hyperlink"/>
                <w:noProof/>
              </w:rPr>
              <w:fldChar w:fldCharType="end"/>
            </w:r>
          </w:hyperlink>
        </w:p>
        <w:p w14:paraId="56C7B4C4" w14:textId="1F86C13C"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19" w:history="1">
            <w:r w:rsidRPr="00422E16">
              <w:rPr>
                <w:rStyle w:val="Hyperlink"/>
                <w:noProof/>
                <w:lang w:val="en-US"/>
              </w:rPr>
              <w:t>3.14 Quality Assessment</w:t>
            </w:r>
            <w:r>
              <w:rPr>
                <w:noProof/>
                <w:webHidden/>
              </w:rPr>
              <w:tab/>
            </w:r>
            <w:r>
              <w:rPr>
                <w:rStyle w:val="Hyperlink"/>
                <w:noProof/>
              </w:rPr>
              <w:fldChar w:fldCharType="begin"/>
            </w:r>
            <w:r>
              <w:rPr>
                <w:noProof/>
                <w:webHidden/>
              </w:rPr>
              <w:instrText xml:space="preserve"> PAGEREF _Toc240208819 \h </w:instrText>
            </w:r>
            <w:r>
              <w:rPr>
                <w:rStyle w:val="Hyperlink"/>
                <w:noProof/>
              </w:rPr>
            </w:r>
            <w:r>
              <w:rPr>
                <w:rStyle w:val="Hyperlink"/>
                <w:noProof/>
              </w:rPr>
              <w:fldChar w:fldCharType="separate"/>
            </w:r>
            <w:r>
              <w:rPr>
                <w:noProof/>
                <w:webHidden/>
              </w:rPr>
              <w:t>36</w:t>
            </w:r>
            <w:r>
              <w:rPr>
                <w:rStyle w:val="Hyperlink"/>
                <w:noProof/>
              </w:rPr>
              <w:fldChar w:fldCharType="end"/>
            </w:r>
          </w:hyperlink>
        </w:p>
        <w:p w14:paraId="466EB817" w14:textId="67AE57E8"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20" w:history="1">
            <w:r w:rsidRPr="00422E16">
              <w:rPr>
                <w:rStyle w:val="Hyperlink"/>
                <w:noProof/>
                <w:lang w:val="en-US"/>
              </w:rPr>
              <w:t>3.15 Data Extraction</w:t>
            </w:r>
            <w:r>
              <w:rPr>
                <w:noProof/>
                <w:webHidden/>
              </w:rPr>
              <w:tab/>
            </w:r>
            <w:r>
              <w:rPr>
                <w:rStyle w:val="Hyperlink"/>
                <w:noProof/>
              </w:rPr>
              <w:fldChar w:fldCharType="begin"/>
            </w:r>
            <w:r>
              <w:rPr>
                <w:noProof/>
                <w:webHidden/>
              </w:rPr>
              <w:instrText xml:space="preserve"> PAGEREF _Toc240208820 \h </w:instrText>
            </w:r>
            <w:r>
              <w:rPr>
                <w:rStyle w:val="Hyperlink"/>
                <w:noProof/>
              </w:rPr>
            </w:r>
            <w:r>
              <w:rPr>
                <w:rStyle w:val="Hyperlink"/>
                <w:noProof/>
              </w:rPr>
              <w:fldChar w:fldCharType="separate"/>
            </w:r>
            <w:r>
              <w:rPr>
                <w:noProof/>
                <w:webHidden/>
              </w:rPr>
              <w:t>38</w:t>
            </w:r>
            <w:r>
              <w:rPr>
                <w:rStyle w:val="Hyperlink"/>
                <w:noProof/>
              </w:rPr>
              <w:fldChar w:fldCharType="end"/>
            </w:r>
          </w:hyperlink>
        </w:p>
        <w:p w14:paraId="209931FC" w14:textId="19DCE7A7"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21" w:history="1">
            <w:r w:rsidRPr="00422E16">
              <w:rPr>
                <w:rStyle w:val="Hyperlink"/>
                <w:noProof/>
              </w:rPr>
              <w:t>3.16 Summary</w:t>
            </w:r>
            <w:r>
              <w:rPr>
                <w:noProof/>
                <w:webHidden/>
              </w:rPr>
              <w:tab/>
            </w:r>
            <w:r>
              <w:rPr>
                <w:rStyle w:val="Hyperlink"/>
                <w:noProof/>
              </w:rPr>
              <w:fldChar w:fldCharType="begin"/>
            </w:r>
            <w:r>
              <w:rPr>
                <w:noProof/>
                <w:webHidden/>
              </w:rPr>
              <w:instrText xml:space="preserve"> PAGEREF _Toc240208821 \h </w:instrText>
            </w:r>
            <w:r>
              <w:rPr>
                <w:rStyle w:val="Hyperlink"/>
                <w:noProof/>
              </w:rPr>
            </w:r>
            <w:r>
              <w:rPr>
                <w:rStyle w:val="Hyperlink"/>
                <w:noProof/>
              </w:rPr>
              <w:fldChar w:fldCharType="separate"/>
            </w:r>
            <w:r>
              <w:rPr>
                <w:noProof/>
                <w:webHidden/>
              </w:rPr>
              <w:t>42</w:t>
            </w:r>
            <w:r>
              <w:rPr>
                <w:rStyle w:val="Hyperlink"/>
                <w:noProof/>
              </w:rPr>
              <w:fldChar w:fldCharType="end"/>
            </w:r>
          </w:hyperlink>
        </w:p>
        <w:p w14:paraId="301F4C0B" w14:textId="50EBFC44"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22" w:history="1">
            <w:r w:rsidRPr="00422E16">
              <w:rPr>
                <w:rStyle w:val="Hyperlink"/>
                <w:noProof/>
                <w:lang w:val="en-US"/>
              </w:rPr>
              <w:t>Chapter 4: Results</w:t>
            </w:r>
            <w:r>
              <w:rPr>
                <w:noProof/>
                <w:webHidden/>
              </w:rPr>
              <w:tab/>
            </w:r>
            <w:r>
              <w:rPr>
                <w:rStyle w:val="Hyperlink"/>
                <w:noProof/>
              </w:rPr>
              <w:fldChar w:fldCharType="begin"/>
            </w:r>
            <w:r>
              <w:rPr>
                <w:noProof/>
                <w:webHidden/>
              </w:rPr>
              <w:instrText xml:space="preserve"> PAGEREF _Toc240208822 \h </w:instrText>
            </w:r>
            <w:r>
              <w:rPr>
                <w:rStyle w:val="Hyperlink"/>
                <w:noProof/>
              </w:rPr>
            </w:r>
            <w:r>
              <w:rPr>
                <w:rStyle w:val="Hyperlink"/>
                <w:noProof/>
              </w:rPr>
              <w:fldChar w:fldCharType="separate"/>
            </w:r>
            <w:r>
              <w:rPr>
                <w:noProof/>
                <w:webHidden/>
              </w:rPr>
              <w:t>43</w:t>
            </w:r>
            <w:r>
              <w:rPr>
                <w:rStyle w:val="Hyperlink"/>
                <w:noProof/>
              </w:rPr>
              <w:fldChar w:fldCharType="end"/>
            </w:r>
          </w:hyperlink>
        </w:p>
        <w:p w14:paraId="3BB4FE04" w14:textId="2542994E"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23" w:history="1">
            <w:r w:rsidRPr="00422E16">
              <w:rPr>
                <w:rStyle w:val="Hyperlink"/>
                <w:noProof/>
                <w:lang w:val="en-US"/>
              </w:rPr>
              <w:t>4.1 Introduction</w:t>
            </w:r>
            <w:r>
              <w:rPr>
                <w:noProof/>
                <w:webHidden/>
              </w:rPr>
              <w:tab/>
            </w:r>
            <w:r>
              <w:rPr>
                <w:rStyle w:val="Hyperlink"/>
                <w:noProof/>
              </w:rPr>
              <w:fldChar w:fldCharType="begin"/>
            </w:r>
            <w:r>
              <w:rPr>
                <w:noProof/>
                <w:webHidden/>
              </w:rPr>
              <w:instrText xml:space="preserve"> PAGEREF _Toc240208823 \h </w:instrText>
            </w:r>
            <w:r>
              <w:rPr>
                <w:rStyle w:val="Hyperlink"/>
                <w:noProof/>
              </w:rPr>
            </w:r>
            <w:r>
              <w:rPr>
                <w:rStyle w:val="Hyperlink"/>
                <w:noProof/>
              </w:rPr>
              <w:fldChar w:fldCharType="separate"/>
            </w:r>
            <w:r>
              <w:rPr>
                <w:noProof/>
                <w:webHidden/>
              </w:rPr>
              <w:t>43</w:t>
            </w:r>
            <w:r>
              <w:rPr>
                <w:rStyle w:val="Hyperlink"/>
                <w:noProof/>
              </w:rPr>
              <w:fldChar w:fldCharType="end"/>
            </w:r>
          </w:hyperlink>
        </w:p>
        <w:p w14:paraId="2981A5E3" w14:textId="2A851559"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24" w:history="1">
            <w:r w:rsidRPr="00422E16">
              <w:rPr>
                <w:rStyle w:val="Hyperlink"/>
                <w:noProof/>
                <w:lang w:val="en-US"/>
              </w:rPr>
              <w:t>4.3 PRISMA Flow of Study Selection</w:t>
            </w:r>
            <w:r>
              <w:rPr>
                <w:noProof/>
                <w:webHidden/>
              </w:rPr>
              <w:tab/>
            </w:r>
            <w:r>
              <w:rPr>
                <w:rStyle w:val="Hyperlink"/>
                <w:noProof/>
              </w:rPr>
              <w:fldChar w:fldCharType="begin"/>
            </w:r>
            <w:r>
              <w:rPr>
                <w:noProof/>
                <w:webHidden/>
              </w:rPr>
              <w:instrText xml:space="preserve"> PAGEREF _Toc240208824 \h </w:instrText>
            </w:r>
            <w:r>
              <w:rPr>
                <w:rStyle w:val="Hyperlink"/>
                <w:noProof/>
              </w:rPr>
            </w:r>
            <w:r>
              <w:rPr>
                <w:rStyle w:val="Hyperlink"/>
                <w:noProof/>
              </w:rPr>
              <w:fldChar w:fldCharType="separate"/>
            </w:r>
            <w:r>
              <w:rPr>
                <w:noProof/>
                <w:webHidden/>
              </w:rPr>
              <w:t>43</w:t>
            </w:r>
            <w:r>
              <w:rPr>
                <w:rStyle w:val="Hyperlink"/>
                <w:noProof/>
              </w:rPr>
              <w:fldChar w:fldCharType="end"/>
            </w:r>
          </w:hyperlink>
        </w:p>
        <w:p w14:paraId="6DC5C569" w14:textId="24425BD5"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25" w:history="1">
            <w:r w:rsidRPr="00422E16">
              <w:rPr>
                <w:rStyle w:val="Hyperlink"/>
                <w:noProof/>
                <w:lang w:val="en-US"/>
              </w:rPr>
              <w:t>4.2 Thematic Analysis</w:t>
            </w:r>
            <w:r>
              <w:rPr>
                <w:noProof/>
                <w:webHidden/>
              </w:rPr>
              <w:tab/>
            </w:r>
            <w:r>
              <w:rPr>
                <w:rStyle w:val="Hyperlink"/>
                <w:noProof/>
              </w:rPr>
              <w:fldChar w:fldCharType="begin"/>
            </w:r>
            <w:r>
              <w:rPr>
                <w:noProof/>
                <w:webHidden/>
              </w:rPr>
              <w:instrText xml:space="preserve"> PAGEREF _Toc240208825 \h </w:instrText>
            </w:r>
            <w:r>
              <w:rPr>
                <w:rStyle w:val="Hyperlink"/>
                <w:noProof/>
              </w:rPr>
            </w:r>
            <w:r>
              <w:rPr>
                <w:rStyle w:val="Hyperlink"/>
                <w:noProof/>
              </w:rPr>
              <w:fldChar w:fldCharType="separate"/>
            </w:r>
            <w:r>
              <w:rPr>
                <w:noProof/>
                <w:webHidden/>
              </w:rPr>
              <w:t>43</w:t>
            </w:r>
            <w:r>
              <w:rPr>
                <w:rStyle w:val="Hyperlink"/>
                <w:noProof/>
              </w:rPr>
              <w:fldChar w:fldCharType="end"/>
            </w:r>
          </w:hyperlink>
        </w:p>
        <w:p w14:paraId="57334614" w14:textId="75C32959" w:rsidR="00FE3F99" w:rsidRDefault="00FE3F99">
          <w:pPr>
            <w:pStyle w:val="TOC2"/>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26" w:history="1">
            <w:r w:rsidRPr="00422E16">
              <w:rPr>
                <w:rStyle w:val="Hyperlink"/>
                <w:noProof/>
                <w:lang w:val="en-US"/>
              </w:rPr>
              <w:t>Theme 1: Factors Influencing Hand Hygiene Compliance</w:t>
            </w:r>
            <w:r>
              <w:rPr>
                <w:noProof/>
                <w:webHidden/>
              </w:rPr>
              <w:tab/>
            </w:r>
            <w:r>
              <w:rPr>
                <w:rStyle w:val="Hyperlink"/>
                <w:noProof/>
              </w:rPr>
              <w:fldChar w:fldCharType="begin"/>
            </w:r>
            <w:r>
              <w:rPr>
                <w:noProof/>
                <w:webHidden/>
              </w:rPr>
              <w:instrText xml:space="preserve"> PAGEREF _Toc240208826 \h </w:instrText>
            </w:r>
            <w:r>
              <w:rPr>
                <w:rStyle w:val="Hyperlink"/>
                <w:noProof/>
              </w:rPr>
            </w:r>
            <w:r>
              <w:rPr>
                <w:rStyle w:val="Hyperlink"/>
                <w:noProof/>
              </w:rPr>
              <w:fldChar w:fldCharType="separate"/>
            </w:r>
            <w:r>
              <w:rPr>
                <w:noProof/>
                <w:webHidden/>
              </w:rPr>
              <w:t>44</w:t>
            </w:r>
            <w:r>
              <w:rPr>
                <w:rStyle w:val="Hyperlink"/>
                <w:noProof/>
              </w:rPr>
              <w:fldChar w:fldCharType="end"/>
            </w:r>
          </w:hyperlink>
        </w:p>
        <w:p w14:paraId="65144DB2" w14:textId="7AF7768E" w:rsidR="00FE3F99" w:rsidRDefault="00FE3F99">
          <w:pPr>
            <w:pStyle w:val="TOC2"/>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27" w:history="1">
            <w:r w:rsidRPr="00422E16">
              <w:rPr>
                <w:rStyle w:val="Hyperlink"/>
                <w:noProof/>
                <w:lang w:val="en-US"/>
              </w:rPr>
              <w:t>Theme 2: Barriers and Facilitators to Hand Hygiene Compliance</w:t>
            </w:r>
            <w:r>
              <w:rPr>
                <w:noProof/>
                <w:webHidden/>
              </w:rPr>
              <w:tab/>
            </w:r>
            <w:r>
              <w:rPr>
                <w:rStyle w:val="Hyperlink"/>
                <w:noProof/>
              </w:rPr>
              <w:fldChar w:fldCharType="begin"/>
            </w:r>
            <w:r>
              <w:rPr>
                <w:noProof/>
                <w:webHidden/>
              </w:rPr>
              <w:instrText xml:space="preserve"> PAGEREF _Toc240208827 \h </w:instrText>
            </w:r>
            <w:r>
              <w:rPr>
                <w:rStyle w:val="Hyperlink"/>
                <w:noProof/>
              </w:rPr>
            </w:r>
            <w:r>
              <w:rPr>
                <w:rStyle w:val="Hyperlink"/>
                <w:noProof/>
              </w:rPr>
              <w:fldChar w:fldCharType="separate"/>
            </w:r>
            <w:r>
              <w:rPr>
                <w:noProof/>
                <w:webHidden/>
              </w:rPr>
              <w:t>45</w:t>
            </w:r>
            <w:r>
              <w:rPr>
                <w:rStyle w:val="Hyperlink"/>
                <w:noProof/>
              </w:rPr>
              <w:fldChar w:fldCharType="end"/>
            </w:r>
          </w:hyperlink>
        </w:p>
        <w:p w14:paraId="56F59D19" w14:textId="52314F21" w:rsidR="00FE3F99" w:rsidRDefault="00FE3F99">
          <w:pPr>
            <w:pStyle w:val="TOC2"/>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28" w:history="1">
            <w:r w:rsidRPr="00422E16">
              <w:rPr>
                <w:rStyle w:val="Hyperlink"/>
                <w:noProof/>
                <w:lang w:val="en-US"/>
              </w:rPr>
              <w:t>Theme 3: Effectiveness of Hand Hygiene Interventions and Monitoring</w:t>
            </w:r>
            <w:r>
              <w:rPr>
                <w:noProof/>
                <w:webHidden/>
              </w:rPr>
              <w:tab/>
            </w:r>
            <w:r>
              <w:rPr>
                <w:rStyle w:val="Hyperlink"/>
                <w:noProof/>
              </w:rPr>
              <w:fldChar w:fldCharType="begin"/>
            </w:r>
            <w:r>
              <w:rPr>
                <w:noProof/>
                <w:webHidden/>
              </w:rPr>
              <w:instrText xml:space="preserve"> PAGEREF _Toc240208828 \h </w:instrText>
            </w:r>
            <w:r>
              <w:rPr>
                <w:rStyle w:val="Hyperlink"/>
                <w:noProof/>
              </w:rPr>
            </w:r>
            <w:r>
              <w:rPr>
                <w:rStyle w:val="Hyperlink"/>
                <w:noProof/>
              </w:rPr>
              <w:fldChar w:fldCharType="separate"/>
            </w:r>
            <w:r>
              <w:rPr>
                <w:noProof/>
                <w:webHidden/>
              </w:rPr>
              <w:t>46</w:t>
            </w:r>
            <w:r>
              <w:rPr>
                <w:rStyle w:val="Hyperlink"/>
                <w:noProof/>
              </w:rPr>
              <w:fldChar w:fldCharType="end"/>
            </w:r>
          </w:hyperlink>
        </w:p>
        <w:p w14:paraId="2798B674" w14:textId="79C0664B" w:rsidR="00FE3F99" w:rsidRDefault="00FE3F99">
          <w:pPr>
            <w:pStyle w:val="TOC2"/>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29" w:history="1">
            <w:r w:rsidRPr="00422E16">
              <w:rPr>
                <w:rStyle w:val="Hyperlink"/>
                <w:noProof/>
                <w:lang w:val="en-US"/>
              </w:rPr>
              <w:t>Theme 4: Hand Hygiene, HCAI Prevention and Patient Safety</w:t>
            </w:r>
            <w:r>
              <w:rPr>
                <w:noProof/>
                <w:webHidden/>
              </w:rPr>
              <w:tab/>
            </w:r>
            <w:r>
              <w:rPr>
                <w:rStyle w:val="Hyperlink"/>
                <w:noProof/>
              </w:rPr>
              <w:fldChar w:fldCharType="begin"/>
            </w:r>
            <w:r>
              <w:rPr>
                <w:noProof/>
                <w:webHidden/>
              </w:rPr>
              <w:instrText xml:space="preserve"> PAGEREF _Toc240208829 \h </w:instrText>
            </w:r>
            <w:r>
              <w:rPr>
                <w:rStyle w:val="Hyperlink"/>
                <w:noProof/>
              </w:rPr>
            </w:r>
            <w:r>
              <w:rPr>
                <w:rStyle w:val="Hyperlink"/>
                <w:noProof/>
              </w:rPr>
              <w:fldChar w:fldCharType="separate"/>
            </w:r>
            <w:r>
              <w:rPr>
                <w:noProof/>
                <w:webHidden/>
              </w:rPr>
              <w:t>47</w:t>
            </w:r>
            <w:r>
              <w:rPr>
                <w:rStyle w:val="Hyperlink"/>
                <w:noProof/>
              </w:rPr>
              <w:fldChar w:fldCharType="end"/>
            </w:r>
          </w:hyperlink>
        </w:p>
        <w:p w14:paraId="289C48F9" w14:textId="499D496C"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30" w:history="1">
            <w:r w:rsidRPr="00422E16">
              <w:rPr>
                <w:rStyle w:val="Hyperlink"/>
                <w:noProof/>
                <w:lang w:val="en-US"/>
              </w:rPr>
              <w:t>4.4 Homogeneity and Heterogeneity Between Studies</w:t>
            </w:r>
            <w:r>
              <w:rPr>
                <w:noProof/>
                <w:webHidden/>
              </w:rPr>
              <w:tab/>
            </w:r>
            <w:r>
              <w:rPr>
                <w:rStyle w:val="Hyperlink"/>
                <w:noProof/>
              </w:rPr>
              <w:fldChar w:fldCharType="begin"/>
            </w:r>
            <w:r>
              <w:rPr>
                <w:noProof/>
                <w:webHidden/>
              </w:rPr>
              <w:instrText xml:space="preserve"> PAGEREF _Toc240208830 \h </w:instrText>
            </w:r>
            <w:r>
              <w:rPr>
                <w:rStyle w:val="Hyperlink"/>
                <w:noProof/>
              </w:rPr>
            </w:r>
            <w:r>
              <w:rPr>
                <w:rStyle w:val="Hyperlink"/>
                <w:noProof/>
              </w:rPr>
              <w:fldChar w:fldCharType="separate"/>
            </w:r>
            <w:r>
              <w:rPr>
                <w:noProof/>
                <w:webHidden/>
              </w:rPr>
              <w:t>48</w:t>
            </w:r>
            <w:r>
              <w:rPr>
                <w:rStyle w:val="Hyperlink"/>
                <w:noProof/>
              </w:rPr>
              <w:fldChar w:fldCharType="end"/>
            </w:r>
          </w:hyperlink>
        </w:p>
        <w:p w14:paraId="0EA84137" w14:textId="23FC7B9B"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31" w:history="1">
            <w:r w:rsidRPr="00422E16">
              <w:rPr>
                <w:rStyle w:val="Hyperlink"/>
                <w:noProof/>
                <w:lang w:val="en-US"/>
              </w:rPr>
              <w:t>4.5 Summary</w:t>
            </w:r>
            <w:r>
              <w:rPr>
                <w:noProof/>
                <w:webHidden/>
              </w:rPr>
              <w:tab/>
            </w:r>
            <w:r>
              <w:rPr>
                <w:rStyle w:val="Hyperlink"/>
                <w:noProof/>
              </w:rPr>
              <w:fldChar w:fldCharType="begin"/>
            </w:r>
            <w:r>
              <w:rPr>
                <w:noProof/>
                <w:webHidden/>
              </w:rPr>
              <w:instrText xml:space="preserve"> PAGEREF _Toc240208831 \h </w:instrText>
            </w:r>
            <w:r>
              <w:rPr>
                <w:rStyle w:val="Hyperlink"/>
                <w:noProof/>
              </w:rPr>
            </w:r>
            <w:r>
              <w:rPr>
                <w:rStyle w:val="Hyperlink"/>
                <w:noProof/>
              </w:rPr>
              <w:fldChar w:fldCharType="separate"/>
            </w:r>
            <w:r>
              <w:rPr>
                <w:noProof/>
                <w:webHidden/>
              </w:rPr>
              <w:t>48</w:t>
            </w:r>
            <w:r>
              <w:rPr>
                <w:rStyle w:val="Hyperlink"/>
                <w:noProof/>
              </w:rPr>
              <w:fldChar w:fldCharType="end"/>
            </w:r>
          </w:hyperlink>
        </w:p>
        <w:p w14:paraId="67DA9CC4" w14:textId="3BF85F98"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32" w:history="1">
            <w:r w:rsidRPr="00422E16">
              <w:rPr>
                <w:rStyle w:val="Hyperlink"/>
                <w:noProof/>
                <w:lang w:val="en-US"/>
              </w:rPr>
              <w:t>Chapter 5: Discussion</w:t>
            </w:r>
            <w:r>
              <w:rPr>
                <w:noProof/>
                <w:webHidden/>
              </w:rPr>
              <w:tab/>
            </w:r>
            <w:r>
              <w:rPr>
                <w:rStyle w:val="Hyperlink"/>
                <w:noProof/>
              </w:rPr>
              <w:fldChar w:fldCharType="begin"/>
            </w:r>
            <w:r>
              <w:rPr>
                <w:noProof/>
                <w:webHidden/>
              </w:rPr>
              <w:instrText xml:space="preserve"> PAGEREF _Toc240208832 \h </w:instrText>
            </w:r>
            <w:r>
              <w:rPr>
                <w:rStyle w:val="Hyperlink"/>
                <w:noProof/>
              </w:rPr>
            </w:r>
            <w:r>
              <w:rPr>
                <w:rStyle w:val="Hyperlink"/>
                <w:noProof/>
              </w:rPr>
              <w:fldChar w:fldCharType="separate"/>
            </w:r>
            <w:r>
              <w:rPr>
                <w:noProof/>
                <w:webHidden/>
              </w:rPr>
              <w:t>49</w:t>
            </w:r>
            <w:r>
              <w:rPr>
                <w:rStyle w:val="Hyperlink"/>
                <w:noProof/>
              </w:rPr>
              <w:fldChar w:fldCharType="end"/>
            </w:r>
          </w:hyperlink>
        </w:p>
        <w:p w14:paraId="48BCF779" w14:textId="1500D127"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33" w:history="1">
            <w:r w:rsidRPr="00422E16">
              <w:rPr>
                <w:rStyle w:val="Hyperlink"/>
                <w:noProof/>
                <w:lang w:val="en-US"/>
              </w:rPr>
              <w:t>5.1 Introduction</w:t>
            </w:r>
            <w:r>
              <w:rPr>
                <w:noProof/>
                <w:webHidden/>
              </w:rPr>
              <w:tab/>
            </w:r>
            <w:r>
              <w:rPr>
                <w:rStyle w:val="Hyperlink"/>
                <w:noProof/>
              </w:rPr>
              <w:fldChar w:fldCharType="begin"/>
            </w:r>
            <w:r>
              <w:rPr>
                <w:noProof/>
                <w:webHidden/>
              </w:rPr>
              <w:instrText xml:space="preserve"> PAGEREF _Toc240208833 \h </w:instrText>
            </w:r>
            <w:r>
              <w:rPr>
                <w:rStyle w:val="Hyperlink"/>
                <w:noProof/>
              </w:rPr>
            </w:r>
            <w:r>
              <w:rPr>
                <w:rStyle w:val="Hyperlink"/>
                <w:noProof/>
              </w:rPr>
              <w:fldChar w:fldCharType="separate"/>
            </w:r>
            <w:r>
              <w:rPr>
                <w:noProof/>
                <w:webHidden/>
              </w:rPr>
              <w:t>49</w:t>
            </w:r>
            <w:r>
              <w:rPr>
                <w:rStyle w:val="Hyperlink"/>
                <w:noProof/>
              </w:rPr>
              <w:fldChar w:fldCharType="end"/>
            </w:r>
          </w:hyperlink>
        </w:p>
        <w:p w14:paraId="146EC8DB" w14:textId="38558509"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34" w:history="1">
            <w:r w:rsidRPr="00422E16">
              <w:rPr>
                <w:rStyle w:val="Hyperlink"/>
                <w:noProof/>
                <w:lang w:val="en-US"/>
              </w:rPr>
              <w:t>5.2 Discussion of Result</w:t>
            </w:r>
            <w:r>
              <w:rPr>
                <w:noProof/>
                <w:webHidden/>
              </w:rPr>
              <w:tab/>
            </w:r>
            <w:r>
              <w:rPr>
                <w:rStyle w:val="Hyperlink"/>
                <w:noProof/>
              </w:rPr>
              <w:fldChar w:fldCharType="begin"/>
            </w:r>
            <w:r>
              <w:rPr>
                <w:noProof/>
                <w:webHidden/>
              </w:rPr>
              <w:instrText xml:space="preserve"> PAGEREF _Toc240208834 \h </w:instrText>
            </w:r>
            <w:r>
              <w:rPr>
                <w:rStyle w:val="Hyperlink"/>
                <w:noProof/>
              </w:rPr>
            </w:r>
            <w:r>
              <w:rPr>
                <w:rStyle w:val="Hyperlink"/>
                <w:noProof/>
              </w:rPr>
              <w:fldChar w:fldCharType="separate"/>
            </w:r>
            <w:r>
              <w:rPr>
                <w:noProof/>
                <w:webHidden/>
              </w:rPr>
              <w:t>49</w:t>
            </w:r>
            <w:r>
              <w:rPr>
                <w:rStyle w:val="Hyperlink"/>
                <w:noProof/>
              </w:rPr>
              <w:fldChar w:fldCharType="end"/>
            </w:r>
          </w:hyperlink>
        </w:p>
        <w:p w14:paraId="791C429C" w14:textId="251C0C98"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35" w:history="1">
            <w:r w:rsidRPr="00422E16">
              <w:rPr>
                <w:rStyle w:val="Hyperlink"/>
                <w:noProof/>
                <w:lang w:val="en-US"/>
              </w:rPr>
              <w:t>5.3 Implications and Future Research Needs</w:t>
            </w:r>
            <w:r>
              <w:rPr>
                <w:noProof/>
                <w:webHidden/>
              </w:rPr>
              <w:tab/>
            </w:r>
            <w:r>
              <w:rPr>
                <w:rStyle w:val="Hyperlink"/>
                <w:noProof/>
              </w:rPr>
              <w:fldChar w:fldCharType="begin"/>
            </w:r>
            <w:r>
              <w:rPr>
                <w:noProof/>
                <w:webHidden/>
              </w:rPr>
              <w:instrText xml:space="preserve"> PAGEREF _Toc240208835 \h </w:instrText>
            </w:r>
            <w:r>
              <w:rPr>
                <w:rStyle w:val="Hyperlink"/>
                <w:noProof/>
              </w:rPr>
            </w:r>
            <w:r>
              <w:rPr>
                <w:rStyle w:val="Hyperlink"/>
                <w:noProof/>
              </w:rPr>
              <w:fldChar w:fldCharType="separate"/>
            </w:r>
            <w:r>
              <w:rPr>
                <w:noProof/>
                <w:webHidden/>
              </w:rPr>
              <w:t>53</w:t>
            </w:r>
            <w:r>
              <w:rPr>
                <w:rStyle w:val="Hyperlink"/>
                <w:noProof/>
              </w:rPr>
              <w:fldChar w:fldCharType="end"/>
            </w:r>
          </w:hyperlink>
        </w:p>
        <w:p w14:paraId="4C345EB2" w14:textId="0AB9F1CB"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36" w:history="1">
            <w:r w:rsidRPr="00422E16">
              <w:rPr>
                <w:rStyle w:val="Hyperlink"/>
                <w:noProof/>
                <w:lang w:val="en-US"/>
              </w:rPr>
              <w:t>5.4 Strength of study</w:t>
            </w:r>
            <w:r>
              <w:rPr>
                <w:noProof/>
                <w:webHidden/>
              </w:rPr>
              <w:tab/>
            </w:r>
            <w:r>
              <w:rPr>
                <w:rStyle w:val="Hyperlink"/>
                <w:noProof/>
              </w:rPr>
              <w:fldChar w:fldCharType="begin"/>
            </w:r>
            <w:r>
              <w:rPr>
                <w:noProof/>
                <w:webHidden/>
              </w:rPr>
              <w:instrText xml:space="preserve"> PAGEREF _Toc240208836 \h </w:instrText>
            </w:r>
            <w:r>
              <w:rPr>
                <w:rStyle w:val="Hyperlink"/>
                <w:noProof/>
              </w:rPr>
            </w:r>
            <w:r>
              <w:rPr>
                <w:rStyle w:val="Hyperlink"/>
                <w:noProof/>
              </w:rPr>
              <w:fldChar w:fldCharType="separate"/>
            </w:r>
            <w:r>
              <w:rPr>
                <w:noProof/>
                <w:webHidden/>
              </w:rPr>
              <w:t>54</w:t>
            </w:r>
            <w:r>
              <w:rPr>
                <w:rStyle w:val="Hyperlink"/>
                <w:noProof/>
              </w:rPr>
              <w:fldChar w:fldCharType="end"/>
            </w:r>
          </w:hyperlink>
        </w:p>
        <w:p w14:paraId="1021AE9B" w14:textId="603C8FC9"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37" w:history="1">
            <w:r w:rsidRPr="00422E16">
              <w:rPr>
                <w:rStyle w:val="Hyperlink"/>
                <w:noProof/>
                <w:lang w:val="en-US"/>
              </w:rPr>
              <w:t>5.5 Limitations or Bias of research</w:t>
            </w:r>
            <w:r>
              <w:rPr>
                <w:noProof/>
                <w:webHidden/>
              </w:rPr>
              <w:tab/>
            </w:r>
            <w:r>
              <w:rPr>
                <w:rStyle w:val="Hyperlink"/>
                <w:noProof/>
              </w:rPr>
              <w:fldChar w:fldCharType="begin"/>
            </w:r>
            <w:r>
              <w:rPr>
                <w:noProof/>
                <w:webHidden/>
              </w:rPr>
              <w:instrText xml:space="preserve"> PAGEREF _Toc240208837 \h </w:instrText>
            </w:r>
            <w:r>
              <w:rPr>
                <w:rStyle w:val="Hyperlink"/>
                <w:noProof/>
              </w:rPr>
            </w:r>
            <w:r>
              <w:rPr>
                <w:rStyle w:val="Hyperlink"/>
                <w:noProof/>
              </w:rPr>
              <w:fldChar w:fldCharType="separate"/>
            </w:r>
            <w:r>
              <w:rPr>
                <w:noProof/>
                <w:webHidden/>
              </w:rPr>
              <w:t>54</w:t>
            </w:r>
            <w:r>
              <w:rPr>
                <w:rStyle w:val="Hyperlink"/>
                <w:noProof/>
              </w:rPr>
              <w:fldChar w:fldCharType="end"/>
            </w:r>
          </w:hyperlink>
        </w:p>
        <w:p w14:paraId="77341EE9" w14:textId="53346C03"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38" w:history="1">
            <w:r w:rsidRPr="00422E16">
              <w:rPr>
                <w:rStyle w:val="Hyperlink"/>
                <w:noProof/>
                <w:lang w:val="en-US"/>
              </w:rPr>
              <w:t>5.6 Conclusion</w:t>
            </w:r>
            <w:r>
              <w:rPr>
                <w:noProof/>
                <w:webHidden/>
              </w:rPr>
              <w:tab/>
            </w:r>
            <w:r>
              <w:rPr>
                <w:rStyle w:val="Hyperlink"/>
                <w:noProof/>
              </w:rPr>
              <w:fldChar w:fldCharType="begin"/>
            </w:r>
            <w:r>
              <w:rPr>
                <w:noProof/>
                <w:webHidden/>
              </w:rPr>
              <w:instrText xml:space="preserve"> PAGEREF _Toc240208838 \h </w:instrText>
            </w:r>
            <w:r>
              <w:rPr>
                <w:rStyle w:val="Hyperlink"/>
                <w:noProof/>
              </w:rPr>
            </w:r>
            <w:r>
              <w:rPr>
                <w:rStyle w:val="Hyperlink"/>
                <w:noProof/>
              </w:rPr>
              <w:fldChar w:fldCharType="separate"/>
            </w:r>
            <w:r>
              <w:rPr>
                <w:noProof/>
                <w:webHidden/>
              </w:rPr>
              <w:t>54</w:t>
            </w:r>
            <w:r>
              <w:rPr>
                <w:rStyle w:val="Hyperlink"/>
                <w:noProof/>
              </w:rPr>
              <w:fldChar w:fldCharType="end"/>
            </w:r>
          </w:hyperlink>
        </w:p>
        <w:p w14:paraId="2592D019" w14:textId="059EF3B6" w:rsidR="00FE3F99" w:rsidRDefault="00FE3F99">
          <w:pPr>
            <w:pStyle w:val="TOC1"/>
            <w:tabs>
              <w:tab w:val="right" w:leader="dot" w:pos="9016"/>
            </w:tabs>
            <w:rPr>
              <w:rFonts w:asciiTheme="minorHAnsi" w:eastAsiaTheme="minorEastAsia" w:hAnsiTheme="minorHAnsi" w:cstheme="minorBidi"/>
              <w:noProof/>
              <w:kern w:val="2"/>
              <w:lang w:val="en-US" w:eastAsia="en-US" w:bidi="gu-IN"/>
              <w14:ligatures w14:val="standardContextual"/>
            </w:rPr>
          </w:pPr>
          <w:hyperlink w:anchor="_Toc240208839" w:history="1">
            <w:r w:rsidRPr="00422E16">
              <w:rPr>
                <w:rStyle w:val="Hyperlink"/>
                <w:noProof/>
              </w:rPr>
              <w:t>References</w:t>
            </w:r>
            <w:r>
              <w:rPr>
                <w:noProof/>
                <w:webHidden/>
              </w:rPr>
              <w:tab/>
            </w:r>
            <w:r>
              <w:rPr>
                <w:rStyle w:val="Hyperlink"/>
                <w:noProof/>
              </w:rPr>
              <w:fldChar w:fldCharType="begin"/>
            </w:r>
            <w:r>
              <w:rPr>
                <w:noProof/>
                <w:webHidden/>
              </w:rPr>
              <w:instrText xml:space="preserve"> PAGEREF _Toc240208839 \h </w:instrText>
            </w:r>
            <w:r>
              <w:rPr>
                <w:rStyle w:val="Hyperlink"/>
                <w:noProof/>
              </w:rPr>
            </w:r>
            <w:r>
              <w:rPr>
                <w:rStyle w:val="Hyperlink"/>
                <w:noProof/>
              </w:rPr>
              <w:fldChar w:fldCharType="separate"/>
            </w:r>
            <w:r>
              <w:rPr>
                <w:noProof/>
                <w:webHidden/>
              </w:rPr>
              <w:t>57</w:t>
            </w:r>
            <w:r>
              <w:rPr>
                <w:rStyle w:val="Hyperlink"/>
                <w:noProof/>
              </w:rPr>
              <w:fldChar w:fldCharType="end"/>
            </w:r>
          </w:hyperlink>
        </w:p>
        <w:p w14:paraId="59E2BDC5" w14:textId="0C4627E0" w:rsidR="00C77BF3" w:rsidRPr="00B031A0" w:rsidRDefault="00115699">
          <w:pPr>
            <w:rPr>
              <w:rFonts w:ascii="Arial" w:hAnsi="Arial" w:cs="Arial"/>
              <w:color w:val="000000" w:themeColor="text1"/>
            </w:rPr>
          </w:pPr>
          <w:r w:rsidRPr="00B031A0">
            <w:rPr>
              <w:rFonts w:ascii="Arial" w:hAnsi="Arial" w:cs="Arial"/>
              <w:color w:val="000000" w:themeColor="text1"/>
            </w:rPr>
            <w:fldChar w:fldCharType="end"/>
          </w:r>
        </w:p>
      </w:sdtContent>
    </w:sdt>
    <w:p w14:paraId="6A972121" w14:textId="77777777" w:rsidR="00C77BF3" w:rsidRDefault="00C77BF3">
      <w:pPr>
        <w:rPr>
          <w:rFonts w:ascii="Arial" w:hAnsi="Arial" w:cs="Arial"/>
          <w:color w:val="000000" w:themeColor="text1"/>
        </w:rPr>
      </w:pPr>
    </w:p>
    <w:p w14:paraId="13E40EB8" w14:textId="77777777" w:rsidR="00BC6769" w:rsidRDefault="00BC6769">
      <w:pPr>
        <w:rPr>
          <w:rFonts w:ascii="Arial" w:hAnsi="Arial" w:cs="Arial"/>
          <w:color w:val="000000" w:themeColor="text1"/>
        </w:rPr>
      </w:pPr>
    </w:p>
    <w:p w14:paraId="1C27D451" w14:textId="77777777" w:rsidR="002324FE" w:rsidRDefault="002324FE">
      <w:pPr>
        <w:rPr>
          <w:rFonts w:ascii="Arial" w:hAnsi="Arial" w:cs="Arial"/>
          <w:color w:val="000000" w:themeColor="text1"/>
        </w:rPr>
      </w:pPr>
    </w:p>
    <w:p w14:paraId="589AAF29" w14:textId="77777777" w:rsidR="002324FE" w:rsidRDefault="002324FE">
      <w:pPr>
        <w:rPr>
          <w:rFonts w:ascii="Arial" w:hAnsi="Arial" w:cs="Arial"/>
          <w:color w:val="000000" w:themeColor="text1"/>
        </w:rPr>
      </w:pPr>
    </w:p>
    <w:p w14:paraId="17A07406" w14:textId="77777777" w:rsidR="002324FE" w:rsidRDefault="002324FE">
      <w:pPr>
        <w:rPr>
          <w:rFonts w:ascii="Arial" w:hAnsi="Arial" w:cs="Arial"/>
          <w:color w:val="000000" w:themeColor="text1"/>
        </w:rPr>
      </w:pPr>
    </w:p>
    <w:p w14:paraId="05570615" w14:textId="77777777" w:rsidR="002324FE" w:rsidRDefault="002324FE">
      <w:pPr>
        <w:rPr>
          <w:rFonts w:ascii="Arial" w:hAnsi="Arial" w:cs="Arial"/>
          <w:color w:val="000000" w:themeColor="text1"/>
        </w:rPr>
      </w:pPr>
    </w:p>
    <w:p w14:paraId="3520B019" w14:textId="77777777" w:rsidR="002324FE" w:rsidRDefault="002324FE">
      <w:pPr>
        <w:rPr>
          <w:rFonts w:ascii="Arial" w:hAnsi="Arial" w:cs="Arial"/>
          <w:color w:val="000000" w:themeColor="text1"/>
        </w:rPr>
      </w:pPr>
    </w:p>
    <w:p w14:paraId="0F16DAC6" w14:textId="77777777" w:rsidR="002324FE" w:rsidRDefault="002324FE">
      <w:pPr>
        <w:rPr>
          <w:rFonts w:ascii="Arial" w:hAnsi="Arial" w:cs="Arial"/>
          <w:color w:val="000000" w:themeColor="text1"/>
        </w:rPr>
      </w:pPr>
    </w:p>
    <w:p w14:paraId="203C22F1" w14:textId="77777777" w:rsidR="002324FE" w:rsidRDefault="002324FE">
      <w:pPr>
        <w:rPr>
          <w:rFonts w:ascii="Arial" w:hAnsi="Arial" w:cs="Arial"/>
          <w:color w:val="000000" w:themeColor="text1"/>
        </w:rPr>
      </w:pPr>
    </w:p>
    <w:p w14:paraId="4D42FBAA" w14:textId="77777777" w:rsidR="002324FE" w:rsidRDefault="002324FE">
      <w:pPr>
        <w:rPr>
          <w:rFonts w:ascii="Arial" w:hAnsi="Arial" w:cs="Arial"/>
          <w:color w:val="000000" w:themeColor="text1"/>
        </w:rPr>
      </w:pPr>
    </w:p>
    <w:p w14:paraId="088D4D2C" w14:textId="77777777" w:rsidR="002324FE" w:rsidRDefault="002324FE">
      <w:pPr>
        <w:rPr>
          <w:rFonts w:ascii="Arial" w:hAnsi="Arial" w:cs="Arial"/>
          <w:color w:val="000000" w:themeColor="text1"/>
        </w:rPr>
      </w:pPr>
    </w:p>
    <w:p w14:paraId="4D1B115D" w14:textId="77777777" w:rsidR="002324FE" w:rsidRDefault="002324FE">
      <w:pPr>
        <w:rPr>
          <w:rFonts w:ascii="Arial" w:hAnsi="Arial" w:cs="Arial"/>
          <w:color w:val="000000" w:themeColor="text1"/>
        </w:rPr>
      </w:pPr>
    </w:p>
    <w:p w14:paraId="212FF90F" w14:textId="77777777" w:rsidR="002324FE" w:rsidRDefault="002324FE">
      <w:pPr>
        <w:rPr>
          <w:rFonts w:ascii="Arial" w:hAnsi="Arial" w:cs="Arial"/>
          <w:color w:val="000000" w:themeColor="text1"/>
        </w:rPr>
      </w:pPr>
    </w:p>
    <w:p w14:paraId="6BDB14CC" w14:textId="77777777" w:rsidR="002324FE" w:rsidRDefault="002324FE">
      <w:pPr>
        <w:rPr>
          <w:rFonts w:ascii="Arial" w:hAnsi="Arial" w:cs="Arial"/>
          <w:color w:val="000000" w:themeColor="text1"/>
        </w:rPr>
      </w:pPr>
    </w:p>
    <w:p w14:paraId="474BF03F" w14:textId="77777777" w:rsidR="002324FE" w:rsidRDefault="002324FE">
      <w:pPr>
        <w:rPr>
          <w:rFonts w:ascii="Arial" w:hAnsi="Arial" w:cs="Arial"/>
          <w:color w:val="000000" w:themeColor="text1"/>
        </w:rPr>
      </w:pPr>
    </w:p>
    <w:p w14:paraId="59C57D7E" w14:textId="77777777" w:rsidR="002324FE" w:rsidRDefault="002324FE">
      <w:pPr>
        <w:rPr>
          <w:rFonts w:ascii="Arial" w:hAnsi="Arial" w:cs="Arial"/>
          <w:color w:val="000000" w:themeColor="text1"/>
        </w:rPr>
      </w:pPr>
    </w:p>
    <w:p w14:paraId="3C575812" w14:textId="77777777" w:rsidR="002324FE" w:rsidRDefault="002324FE">
      <w:pPr>
        <w:rPr>
          <w:rFonts w:ascii="Arial" w:hAnsi="Arial" w:cs="Arial"/>
          <w:color w:val="000000" w:themeColor="text1"/>
        </w:rPr>
      </w:pPr>
    </w:p>
    <w:p w14:paraId="62413EEC" w14:textId="20DA55FB" w:rsidR="00BC6769" w:rsidRPr="0023299E" w:rsidRDefault="00BC6769" w:rsidP="0023299E">
      <w:pPr>
        <w:jc w:val="center"/>
        <w:rPr>
          <w:rFonts w:ascii="Arial" w:hAnsi="Arial" w:cs="Arial"/>
          <w:b/>
          <w:bCs/>
          <w:color w:val="000000" w:themeColor="text1"/>
        </w:rPr>
      </w:pPr>
      <w:r w:rsidRPr="0023299E">
        <w:rPr>
          <w:rFonts w:ascii="Arial" w:hAnsi="Arial" w:cs="Arial"/>
          <w:b/>
          <w:bCs/>
          <w:color w:val="000000" w:themeColor="text1"/>
        </w:rPr>
        <w:lastRenderedPageBreak/>
        <w:t>ABSTRACT</w:t>
      </w:r>
    </w:p>
    <w:p w14:paraId="0C79E4BC" w14:textId="6EA3BFF8" w:rsidR="00BC6769" w:rsidRPr="00BC6769" w:rsidRDefault="00BC6769" w:rsidP="00BC6769">
      <w:pPr>
        <w:rPr>
          <w:rFonts w:ascii="Arial" w:hAnsi="Arial" w:cs="Arial"/>
          <w:color w:val="000000" w:themeColor="text1"/>
          <w:lang w:val="en-US"/>
        </w:rPr>
      </w:pPr>
      <w:r w:rsidRPr="00BC6769">
        <w:rPr>
          <w:rFonts w:ascii="Arial" w:hAnsi="Arial" w:cs="Arial"/>
          <w:color w:val="000000" w:themeColor="text1"/>
          <w:lang w:val="en-US"/>
        </w:rPr>
        <w:t xml:space="preserve">Healthcare-associated infections (HCAIs) remain an </w:t>
      </w:r>
      <w:r w:rsidR="0023299E" w:rsidRPr="00BC6769">
        <w:rPr>
          <w:rFonts w:ascii="Arial" w:hAnsi="Arial" w:cs="Arial"/>
          <w:color w:val="000000" w:themeColor="text1"/>
          <w:lang w:val="en-US"/>
        </w:rPr>
        <w:t>important</w:t>
      </w:r>
      <w:r w:rsidRPr="00BC6769">
        <w:rPr>
          <w:rFonts w:ascii="Arial" w:hAnsi="Arial" w:cs="Arial"/>
          <w:color w:val="000000" w:themeColor="text1"/>
          <w:lang w:val="en-US"/>
        </w:rPr>
        <w:t xml:space="preserve"> concern in UK hospitals, and effective hand hygiene is a key component of infection prevention. This systematic review examined how hand hygiene compliance among healthcare workers influences HCAI prevention in UK hospitals. The objectives were to identify important HCAIs, examine factors influencing hand hygiene compliance, evaluate the effectiveness of hand hygiene interventions, and develop recommendations for improving compliance among nurses.</w:t>
      </w:r>
    </w:p>
    <w:p w14:paraId="3B48C6BB" w14:textId="61C15F08" w:rsidR="00BC6769" w:rsidRPr="00BC6769" w:rsidRDefault="00BC6769" w:rsidP="00BC6769">
      <w:pPr>
        <w:rPr>
          <w:rFonts w:ascii="Arial" w:hAnsi="Arial" w:cs="Arial"/>
          <w:color w:val="000000" w:themeColor="text1"/>
          <w:lang w:val="en-US"/>
        </w:rPr>
      </w:pPr>
      <w:r w:rsidRPr="00BC6769">
        <w:rPr>
          <w:rFonts w:ascii="Arial" w:hAnsi="Arial" w:cs="Arial"/>
          <w:color w:val="000000" w:themeColor="text1"/>
          <w:lang w:val="en-US"/>
        </w:rPr>
        <w:t xml:space="preserve">A systematic review design was used. </w:t>
      </w:r>
      <w:r w:rsidR="0023299E">
        <w:rPr>
          <w:rFonts w:ascii="Arial" w:hAnsi="Arial" w:cs="Arial"/>
          <w:color w:val="000000" w:themeColor="text1"/>
          <w:lang w:val="en-US"/>
        </w:rPr>
        <w:t>A search</w:t>
      </w:r>
      <w:r w:rsidR="0023299E" w:rsidRPr="00BC6769">
        <w:rPr>
          <w:rFonts w:ascii="Arial" w:hAnsi="Arial" w:cs="Arial"/>
          <w:color w:val="000000" w:themeColor="text1"/>
          <w:lang w:val="en-US"/>
        </w:rPr>
        <w:t xml:space="preserve"> was</w:t>
      </w:r>
      <w:r w:rsidRPr="00BC6769">
        <w:rPr>
          <w:rFonts w:ascii="Arial" w:hAnsi="Arial" w:cs="Arial"/>
          <w:color w:val="000000" w:themeColor="text1"/>
          <w:lang w:val="en-US"/>
        </w:rPr>
        <w:t xml:space="preserve"> conducted in PubMed, Scopus and Google Scholar for peer-reviewed primary studies published between 2016 and 2026. Studies were selected using predefined inclusion and exclusion criteria, and the screening process was documented using PRISMA. Twelve studies were included and critically appraised using appropriate quality-assessment approaches. The findings were </w:t>
      </w:r>
      <w:proofErr w:type="spellStart"/>
      <w:r w:rsidRPr="00BC6769">
        <w:rPr>
          <w:rFonts w:ascii="Arial" w:hAnsi="Arial" w:cs="Arial"/>
          <w:color w:val="000000" w:themeColor="text1"/>
          <w:lang w:val="en-US"/>
        </w:rPr>
        <w:t>synthesised</w:t>
      </w:r>
      <w:proofErr w:type="spellEnd"/>
      <w:r w:rsidRPr="00BC6769">
        <w:rPr>
          <w:rFonts w:ascii="Arial" w:hAnsi="Arial" w:cs="Arial"/>
          <w:color w:val="000000" w:themeColor="text1"/>
          <w:lang w:val="en-US"/>
        </w:rPr>
        <w:t xml:space="preserve"> thematically. Four themes were identified: factors influencing compliance; barriers and facilitators; effectiveness of interventions and monitoring; and implications for HCAI prevention and patient safety.</w:t>
      </w:r>
    </w:p>
    <w:p w14:paraId="71FCC3E1" w14:textId="77777777" w:rsidR="00BC6769" w:rsidRPr="00BC6769" w:rsidRDefault="00BC6769" w:rsidP="00BC6769">
      <w:pPr>
        <w:rPr>
          <w:rFonts w:ascii="Arial" w:hAnsi="Arial" w:cs="Arial"/>
          <w:color w:val="000000" w:themeColor="text1"/>
          <w:lang w:val="en-US"/>
        </w:rPr>
      </w:pPr>
      <w:r w:rsidRPr="00BC6769">
        <w:rPr>
          <w:rFonts w:ascii="Arial" w:hAnsi="Arial" w:cs="Arial"/>
          <w:color w:val="000000" w:themeColor="text1"/>
          <w:lang w:val="en-US"/>
        </w:rPr>
        <w:t xml:space="preserve">The findings showed that workload, time pressure, clinical emergencies, accessibility, staff wellbeing and </w:t>
      </w:r>
      <w:proofErr w:type="spellStart"/>
      <w:r w:rsidRPr="00BC6769">
        <w:rPr>
          <w:rFonts w:ascii="Arial" w:hAnsi="Arial" w:cs="Arial"/>
          <w:color w:val="000000" w:themeColor="text1"/>
          <w:lang w:val="en-US"/>
        </w:rPr>
        <w:t>organisational</w:t>
      </w:r>
      <w:proofErr w:type="spellEnd"/>
      <w:r w:rsidRPr="00BC6769">
        <w:rPr>
          <w:rFonts w:ascii="Arial" w:hAnsi="Arial" w:cs="Arial"/>
          <w:color w:val="000000" w:themeColor="text1"/>
          <w:lang w:val="en-US"/>
        </w:rPr>
        <w:t xml:space="preserve"> factors influenced compliance. Education, </w:t>
      </w:r>
      <w:proofErr w:type="spellStart"/>
      <w:r w:rsidRPr="00BC6769">
        <w:rPr>
          <w:rFonts w:ascii="Arial" w:hAnsi="Arial" w:cs="Arial"/>
          <w:color w:val="000000" w:themeColor="text1"/>
          <w:lang w:val="en-US"/>
        </w:rPr>
        <w:t>behavioural</w:t>
      </w:r>
      <w:proofErr w:type="spellEnd"/>
      <w:r w:rsidRPr="00BC6769">
        <w:rPr>
          <w:rFonts w:ascii="Arial" w:hAnsi="Arial" w:cs="Arial"/>
          <w:color w:val="000000" w:themeColor="text1"/>
          <w:lang w:val="en-US"/>
        </w:rPr>
        <w:t xml:space="preserve"> interventions, monitoring, feedback, reminders and staff engagement generally improved hand hygiene compliance. However, most studies measured compliance rather than directly measuring HCAI outcomes. The review concludes that hand hygiene compliance is an essential component of HCAI prevention, but the exact causal effect on infection incidence remains uncertain. Future UK research should use larger multi-</w:t>
      </w:r>
      <w:proofErr w:type="spellStart"/>
      <w:r w:rsidRPr="00BC6769">
        <w:rPr>
          <w:rFonts w:ascii="Arial" w:hAnsi="Arial" w:cs="Arial"/>
          <w:color w:val="000000" w:themeColor="text1"/>
          <w:lang w:val="en-US"/>
        </w:rPr>
        <w:t>centre</w:t>
      </w:r>
      <w:proofErr w:type="spellEnd"/>
      <w:r w:rsidRPr="00BC6769">
        <w:rPr>
          <w:rFonts w:ascii="Arial" w:hAnsi="Arial" w:cs="Arial"/>
          <w:color w:val="000000" w:themeColor="text1"/>
          <w:lang w:val="en-US"/>
        </w:rPr>
        <w:t xml:space="preserve"> studies, longer follow-up and objective compliance measures linked directly with HCAI surveillance.</w:t>
      </w:r>
    </w:p>
    <w:p w14:paraId="60323BBF" w14:textId="77777777" w:rsidR="00BC6769" w:rsidRPr="00BC6769" w:rsidRDefault="00BC6769">
      <w:pPr>
        <w:rPr>
          <w:rFonts w:ascii="Arial" w:hAnsi="Arial" w:cs="Arial"/>
          <w:color w:val="000000" w:themeColor="text1"/>
          <w:lang w:val="en-US"/>
        </w:rPr>
      </w:pPr>
    </w:p>
    <w:p w14:paraId="42DEE4C7" w14:textId="77777777" w:rsidR="00C77BF3" w:rsidRPr="00B031A0" w:rsidRDefault="00115699">
      <w:pPr>
        <w:rPr>
          <w:rFonts w:ascii="Arial" w:hAnsi="Arial" w:cs="Arial"/>
          <w:b/>
          <w:bCs/>
          <w:color w:val="000000" w:themeColor="text1"/>
        </w:rPr>
      </w:pPr>
      <w:r w:rsidRPr="00B031A0">
        <w:rPr>
          <w:rFonts w:ascii="Arial" w:hAnsi="Arial" w:cs="Arial"/>
          <w:color w:val="000000" w:themeColor="text1"/>
        </w:rPr>
        <w:br w:type="page"/>
      </w:r>
    </w:p>
    <w:p w14:paraId="7BFB6E72" w14:textId="77777777" w:rsidR="00C77BF3" w:rsidRPr="00B031A0" w:rsidRDefault="00115699" w:rsidP="00B031A0">
      <w:pPr>
        <w:pStyle w:val="Heading1"/>
        <w:rPr>
          <w:color w:val="000000" w:themeColor="text1"/>
        </w:rPr>
      </w:pPr>
      <w:bookmarkStart w:id="0" w:name="_Toc240208780"/>
      <w:r w:rsidRPr="00B031A0">
        <w:rPr>
          <w:color w:val="000000" w:themeColor="text1"/>
        </w:rPr>
        <w:lastRenderedPageBreak/>
        <w:t>Chapter 1: Introduction</w:t>
      </w:r>
      <w:bookmarkEnd w:id="0"/>
      <w:r w:rsidRPr="00B031A0">
        <w:rPr>
          <w:color w:val="000000" w:themeColor="text1"/>
        </w:rPr>
        <w:t xml:space="preserve"> </w:t>
      </w:r>
    </w:p>
    <w:p w14:paraId="77C9088B" w14:textId="2C2B27BF" w:rsidR="00C77BF3" w:rsidRPr="00B031A0" w:rsidRDefault="00115699" w:rsidP="007F5072">
      <w:pPr>
        <w:pStyle w:val="Heading1"/>
        <w:jc w:val="both"/>
      </w:pPr>
      <w:bookmarkStart w:id="1" w:name="_Toc240208781"/>
      <w:r w:rsidRPr="00B031A0">
        <w:t>1</w:t>
      </w:r>
      <w:r w:rsidRPr="007F5072">
        <w:rPr>
          <w:rStyle w:val="Heading1Char"/>
        </w:rPr>
        <w:t>.</w:t>
      </w:r>
      <w:r w:rsidRPr="00B031A0">
        <w:t xml:space="preserve">1 </w:t>
      </w:r>
      <w:r w:rsidRPr="00B031A0">
        <w:rPr>
          <w:rFonts w:ascii="Tahoma" w:eastAsia="Tahoma" w:hAnsi="Tahoma" w:cs="Tahoma"/>
        </w:rPr>
        <w:t>﻿﻿﻿</w:t>
      </w:r>
      <w:r w:rsidRPr="00B031A0">
        <w:t>Introduction</w:t>
      </w:r>
      <w:bookmarkEnd w:id="1"/>
      <w:r w:rsidRPr="00B031A0">
        <w:t xml:space="preserve"> </w:t>
      </w:r>
    </w:p>
    <w:p w14:paraId="7659A385" w14:textId="1F6F8250" w:rsidR="00C77BF3" w:rsidRPr="00B031A0" w:rsidRDefault="00115699">
      <w:pPr>
        <w:rPr>
          <w:rFonts w:ascii="Arial" w:hAnsi="Arial" w:cs="Arial"/>
          <w:color w:val="000000" w:themeColor="text1"/>
        </w:rPr>
      </w:pPr>
      <w:r w:rsidRPr="00B031A0">
        <w:rPr>
          <w:rFonts w:ascii="Arial" w:hAnsi="Arial" w:cs="Arial"/>
          <w:color w:val="000000" w:themeColor="text1"/>
        </w:rPr>
        <w:t xml:space="preserve">Healthcare-associated infections (HAIs) continue to be a major problem in the UK, particularly in relation to patient safety within a hospital setting (Stewart </w:t>
      </w:r>
      <w:r w:rsidR="00776C49" w:rsidRPr="00B031A0">
        <w:rPr>
          <w:rFonts w:ascii="Arial" w:hAnsi="Arial" w:cs="Arial"/>
          <w:color w:val="000000" w:themeColor="text1"/>
        </w:rPr>
        <w:t>et al</w:t>
      </w:r>
      <w:r w:rsidRPr="00B031A0">
        <w:rPr>
          <w:rFonts w:ascii="Arial" w:hAnsi="Arial" w:cs="Arial"/>
          <w:color w:val="000000" w:themeColor="text1"/>
        </w:rPr>
        <w:t xml:space="preserve">., 2021). This chapter focuses on hand hygiene compliance, one key to the prevention of </w:t>
      </w:r>
      <w:proofErr w:type="gramStart"/>
      <w:r w:rsidRPr="00B031A0">
        <w:rPr>
          <w:rFonts w:ascii="Arial" w:hAnsi="Arial" w:cs="Arial"/>
          <w:color w:val="000000" w:themeColor="text1"/>
        </w:rPr>
        <w:t>Healthcare</w:t>
      </w:r>
      <w:proofErr w:type="gramEnd"/>
      <w:r w:rsidRPr="00B031A0">
        <w:rPr>
          <w:rFonts w:ascii="Arial" w:hAnsi="Arial" w:cs="Arial"/>
          <w:color w:val="000000" w:themeColor="text1"/>
        </w:rPr>
        <w:t>-associated infections (HAIs), among nurses. This section provides background information on the problem of infections, the research problem, the rationale, the aim, the objectives, and the research questions</w:t>
      </w:r>
      <w:r w:rsidR="00B031A0">
        <w:rPr>
          <w:rFonts w:ascii="Arial" w:hAnsi="Arial" w:cs="Arial"/>
          <w:color w:val="000000" w:themeColor="text1"/>
        </w:rPr>
        <w:t xml:space="preserve"> </w:t>
      </w:r>
      <w:r w:rsidRPr="00B031A0">
        <w:rPr>
          <w:rFonts w:ascii="Arial" w:hAnsi="Arial" w:cs="Arial"/>
          <w:color w:val="000000" w:themeColor="text1"/>
        </w:rPr>
        <w:t xml:space="preserve">(Harb </w:t>
      </w:r>
      <w:r w:rsidR="00776C49" w:rsidRPr="00B031A0">
        <w:rPr>
          <w:rFonts w:ascii="Arial" w:hAnsi="Arial" w:cs="Arial"/>
          <w:color w:val="000000" w:themeColor="text1"/>
        </w:rPr>
        <w:t>et al</w:t>
      </w:r>
      <w:r w:rsidRPr="00B031A0">
        <w:rPr>
          <w:rFonts w:ascii="Arial" w:hAnsi="Arial" w:cs="Arial"/>
          <w:color w:val="000000" w:themeColor="text1"/>
        </w:rPr>
        <w:t>.</w:t>
      </w:r>
      <w:r w:rsidR="00B031A0">
        <w:rPr>
          <w:rFonts w:ascii="Arial" w:hAnsi="Arial" w:cs="Arial"/>
          <w:color w:val="000000" w:themeColor="text1"/>
        </w:rPr>
        <w:t>,</w:t>
      </w:r>
      <w:r w:rsidRPr="00B031A0">
        <w:rPr>
          <w:rFonts w:ascii="Arial" w:hAnsi="Arial" w:cs="Arial"/>
          <w:color w:val="000000" w:themeColor="text1"/>
        </w:rPr>
        <w:t xml:space="preserve"> 2025). The chapter ends by exploring the significance of this systematic review in the context of the evidence that is identified on hand hygiene practices and their impact on reducing rates of infection in a healthcare environment in the UK.</w:t>
      </w:r>
    </w:p>
    <w:p w14:paraId="67E31C3A" w14:textId="77777777" w:rsidR="00C77BF3" w:rsidRPr="00B031A0" w:rsidRDefault="00115699" w:rsidP="007F5072">
      <w:pPr>
        <w:pStyle w:val="Heading1"/>
        <w:jc w:val="both"/>
      </w:pPr>
      <w:bookmarkStart w:id="2" w:name="_Toc240208782"/>
      <w:r w:rsidRPr="00B031A0">
        <w:t>1.2 Background and Context</w:t>
      </w:r>
      <w:bookmarkEnd w:id="2"/>
      <w:r w:rsidRPr="00B031A0">
        <w:t> </w:t>
      </w:r>
    </w:p>
    <w:p w14:paraId="0EBEC11A" w14:textId="22A385C1" w:rsidR="00C77BF3" w:rsidRPr="00B031A0" w:rsidRDefault="00115699">
      <w:pPr>
        <w:rPr>
          <w:rFonts w:ascii="Arial" w:hAnsi="Arial" w:cs="Arial"/>
          <w:color w:val="000000" w:themeColor="text1"/>
        </w:rPr>
      </w:pPr>
      <w:r w:rsidRPr="00B031A0">
        <w:rPr>
          <w:rFonts w:ascii="Arial" w:hAnsi="Arial" w:cs="Arial"/>
          <w:color w:val="000000" w:themeColor="text1"/>
        </w:rPr>
        <w:t xml:space="preserve">Healthcare-associated infections (HAIs) remain a significant problem in the safe care of patients in UK hospitals (Stewart </w:t>
      </w:r>
      <w:r w:rsidR="00776C49" w:rsidRPr="00B031A0">
        <w:rPr>
          <w:rFonts w:ascii="Arial" w:hAnsi="Arial" w:cs="Arial"/>
          <w:color w:val="000000" w:themeColor="text1"/>
        </w:rPr>
        <w:t>et al</w:t>
      </w:r>
      <w:r w:rsidRPr="00B031A0">
        <w:rPr>
          <w:rFonts w:ascii="Arial" w:hAnsi="Arial" w:cs="Arial"/>
          <w:color w:val="000000" w:themeColor="text1"/>
        </w:rPr>
        <w:t>., 2021). The UK Health Security Agency's (202</w:t>
      </w:r>
      <w:r w:rsidR="009222DD">
        <w:rPr>
          <w:rFonts w:ascii="Arial" w:hAnsi="Arial" w:cs="Arial"/>
          <w:color w:val="000000" w:themeColor="text1"/>
        </w:rPr>
        <w:t>5</w:t>
      </w:r>
      <w:r w:rsidRPr="00B031A0">
        <w:rPr>
          <w:rFonts w:ascii="Arial" w:hAnsi="Arial" w:cs="Arial"/>
          <w:color w:val="000000" w:themeColor="text1"/>
        </w:rPr>
        <w:t xml:space="preserve">) Point Prevalence Survey 2023 indicates a prevalence of 7.6% of </w:t>
      </w:r>
      <w:r w:rsidR="00D40ADB" w:rsidRPr="00B031A0">
        <w:rPr>
          <w:rFonts w:ascii="Arial" w:hAnsi="Arial" w:cs="Arial"/>
          <w:color w:val="000000" w:themeColor="text1"/>
        </w:rPr>
        <w:t>healthcare</w:t>
      </w:r>
      <w:r w:rsidRPr="00B031A0">
        <w:rPr>
          <w:rFonts w:ascii="Arial" w:hAnsi="Arial" w:cs="Arial"/>
          <w:color w:val="000000" w:themeColor="text1"/>
        </w:rPr>
        <w:t xml:space="preserve">-associated infections (HAIs)among all hospital inpatients in England, compared to 6.6% in 2016. A total of thousands of preventable cases </w:t>
      </w:r>
      <w:r w:rsidR="0023299E" w:rsidRPr="00B031A0">
        <w:rPr>
          <w:rFonts w:ascii="Arial" w:hAnsi="Arial" w:cs="Arial"/>
          <w:color w:val="000000" w:themeColor="text1"/>
        </w:rPr>
        <w:t>is</w:t>
      </w:r>
      <w:r w:rsidRPr="00B031A0">
        <w:rPr>
          <w:rFonts w:ascii="Arial" w:hAnsi="Arial" w:cs="Arial"/>
          <w:color w:val="000000" w:themeColor="text1"/>
        </w:rPr>
        <w:t xml:space="preserve"> added to hospital </w:t>
      </w:r>
      <w:r w:rsidR="00B031A0">
        <w:rPr>
          <w:rFonts w:ascii="Arial" w:hAnsi="Arial" w:cs="Arial"/>
          <w:color w:val="000000" w:themeColor="text1"/>
        </w:rPr>
        <w:t>services</w:t>
      </w:r>
      <w:r w:rsidRPr="00B031A0">
        <w:rPr>
          <w:rFonts w:ascii="Arial" w:hAnsi="Arial" w:cs="Arial"/>
          <w:color w:val="000000" w:themeColor="text1"/>
        </w:rPr>
        <w:t xml:space="preserve"> each year, leading to longer hospital stays, higher mortality, greater antimicrobial resistance, and </w:t>
      </w:r>
      <w:r w:rsidR="00B031A0">
        <w:rPr>
          <w:rFonts w:ascii="Arial" w:hAnsi="Arial" w:cs="Arial"/>
          <w:color w:val="000000" w:themeColor="text1"/>
        </w:rPr>
        <w:t>high</w:t>
      </w:r>
      <w:r w:rsidRPr="00B031A0">
        <w:rPr>
          <w:rFonts w:ascii="Arial" w:hAnsi="Arial" w:cs="Arial"/>
          <w:color w:val="000000" w:themeColor="text1"/>
        </w:rPr>
        <w:t xml:space="preserve"> costs to the NHS (UKHSA, 2023).</w:t>
      </w:r>
    </w:p>
    <w:p w14:paraId="4702C8BA" w14:textId="1957C72F" w:rsidR="00C77BF3" w:rsidRPr="00B031A0" w:rsidRDefault="00115699">
      <w:pPr>
        <w:rPr>
          <w:rFonts w:ascii="Arial" w:hAnsi="Arial" w:cs="Arial"/>
          <w:color w:val="000000" w:themeColor="text1"/>
        </w:rPr>
      </w:pPr>
      <w:r w:rsidRPr="00B031A0">
        <w:rPr>
          <w:rFonts w:ascii="Arial" w:hAnsi="Arial" w:cs="Arial"/>
          <w:color w:val="000000" w:themeColor="text1"/>
        </w:rPr>
        <w:t>Nurses, who are the largest group of healthcare professionals with frequent patient contact, have a pivotal role in preventing infection</w:t>
      </w:r>
      <w:r w:rsidR="00B031A0">
        <w:rPr>
          <w:rFonts w:ascii="Arial" w:hAnsi="Arial" w:cs="Arial"/>
          <w:color w:val="000000" w:themeColor="text1"/>
        </w:rPr>
        <w:t>,</w:t>
      </w:r>
      <w:r w:rsidRPr="00B031A0">
        <w:rPr>
          <w:rFonts w:ascii="Arial" w:hAnsi="Arial" w:cs="Arial"/>
          <w:color w:val="000000" w:themeColor="text1"/>
        </w:rPr>
        <w:t xml:space="preserve"> as per the ideas mentioned by Arshad </w:t>
      </w:r>
      <w:r w:rsidR="00776C49" w:rsidRPr="00B031A0">
        <w:rPr>
          <w:rFonts w:ascii="Arial" w:hAnsi="Arial" w:cs="Arial"/>
          <w:color w:val="000000" w:themeColor="text1"/>
        </w:rPr>
        <w:t>et al</w:t>
      </w:r>
      <w:r w:rsidRPr="00B031A0">
        <w:rPr>
          <w:rFonts w:ascii="Arial" w:hAnsi="Arial" w:cs="Arial"/>
          <w:color w:val="000000" w:themeColor="text1"/>
        </w:rPr>
        <w:t xml:space="preserve">. (2026). Hand hygiene (HH) is the most important and easily implemented intervention that can decrease </w:t>
      </w:r>
      <w:r w:rsidR="00B031A0">
        <w:rPr>
          <w:rFonts w:ascii="Arial" w:hAnsi="Arial" w:cs="Arial"/>
          <w:color w:val="000000" w:themeColor="text1"/>
        </w:rPr>
        <w:t>Healthcare-Associated</w:t>
      </w:r>
      <w:r w:rsidRPr="00B031A0">
        <w:rPr>
          <w:rFonts w:ascii="Arial" w:hAnsi="Arial" w:cs="Arial"/>
          <w:color w:val="000000" w:themeColor="text1"/>
        </w:rPr>
        <w:t xml:space="preserve"> Infections (HAIs). However, uptake is often far short of the desired level of 100% compliance as set by WHO (UKHSA, 2023). Average levels of compliance with </w:t>
      </w:r>
      <w:r w:rsidR="007C25F7">
        <w:rPr>
          <w:rFonts w:ascii="Arial" w:hAnsi="Arial" w:cs="Arial"/>
          <w:color w:val="000000" w:themeColor="text1"/>
        </w:rPr>
        <w:t>hand hygiene</w:t>
      </w:r>
      <w:r w:rsidRPr="00B031A0">
        <w:rPr>
          <w:rFonts w:ascii="Arial" w:hAnsi="Arial" w:cs="Arial"/>
          <w:color w:val="000000" w:themeColor="text1"/>
        </w:rPr>
        <w:t xml:space="preserve"> (HH) among health care workers are often between 40 and 60%, and nurses tend to have slightly higher compliance than physicians, but there are still significant gaps (Bredin </w:t>
      </w:r>
      <w:r w:rsidR="00776C49" w:rsidRPr="00B031A0">
        <w:rPr>
          <w:rFonts w:ascii="Arial" w:hAnsi="Arial" w:cs="Arial"/>
          <w:color w:val="000000" w:themeColor="text1"/>
        </w:rPr>
        <w:t>et al</w:t>
      </w:r>
      <w:r w:rsidRPr="00B031A0">
        <w:rPr>
          <w:rFonts w:ascii="Arial" w:hAnsi="Arial" w:cs="Arial"/>
          <w:color w:val="000000" w:themeColor="text1"/>
        </w:rPr>
        <w:t>., 2022).</w:t>
      </w:r>
    </w:p>
    <w:p w14:paraId="50DB6FF2" w14:textId="7E84BB82" w:rsidR="00C77BF3" w:rsidRPr="00B031A0" w:rsidRDefault="00115699">
      <w:pPr>
        <w:rPr>
          <w:rFonts w:ascii="Arial" w:hAnsi="Arial" w:cs="Arial"/>
          <w:color w:val="000000" w:themeColor="text1"/>
        </w:rPr>
      </w:pPr>
      <w:r w:rsidRPr="00B031A0">
        <w:rPr>
          <w:rFonts w:ascii="Arial" w:hAnsi="Arial" w:cs="Arial"/>
          <w:color w:val="000000" w:themeColor="text1"/>
        </w:rPr>
        <w:t xml:space="preserve">A systematic review by </w:t>
      </w:r>
      <w:proofErr w:type="spellStart"/>
      <w:r w:rsidRPr="00B031A0">
        <w:rPr>
          <w:rFonts w:ascii="Arial" w:hAnsi="Arial" w:cs="Arial"/>
          <w:color w:val="000000" w:themeColor="text1"/>
        </w:rPr>
        <w:t>Mouajou</w:t>
      </w:r>
      <w:proofErr w:type="spellEnd"/>
      <w:r w:rsidRPr="00B031A0">
        <w:rPr>
          <w:rFonts w:ascii="Arial" w:hAnsi="Arial" w:cs="Arial"/>
          <w:color w:val="000000" w:themeColor="text1"/>
        </w:rPr>
        <w:t xml:space="preserve"> </w:t>
      </w:r>
      <w:r w:rsidR="00776C49" w:rsidRPr="00B031A0">
        <w:rPr>
          <w:rFonts w:ascii="Arial" w:hAnsi="Arial" w:cs="Arial"/>
          <w:color w:val="000000" w:themeColor="text1"/>
        </w:rPr>
        <w:t>et al</w:t>
      </w:r>
      <w:r w:rsidRPr="00B031A0">
        <w:rPr>
          <w:rFonts w:ascii="Arial" w:hAnsi="Arial" w:cs="Arial"/>
          <w:color w:val="000000" w:themeColor="text1"/>
        </w:rPr>
        <w:t xml:space="preserve">. (2022) reviewed the relationship between HH compliance and </w:t>
      </w:r>
      <w:r w:rsidR="007C25F7">
        <w:rPr>
          <w:rFonts w:ascii="Arial" w:hAnsi="Arial" w:cs="Arial"/>
          <w:color w:val="000000" w:themeColor="text1"/>
        </w:rPr>
        <w:t>healthcare-associated infection</w:t>
      </w:r>
      <w:r w:rsidRPr="00B031A0">
        <w:rPr>
          <w:rFonts w:ascii="Arial" w:hAnsi="Arial" w:cs="Arial"/>
          <w:color w:val="000000" w:themeColor="text1"/>
        </w:rPr>
        <w:t xml:space="preserve"> incidence and showed that good compliance always relates to a decrease in infection rates in healthcare settings. In </w:t>
      </w:r>
      <w:r w:rsidRPr="00B031A0">
        <w:rPr>
          <w:rFonts w:ascii="Arial" w:hAnsi="Arial" w:cs="Arial"/>
          <w:color w:val="000000" w:themeColor="text1"/>
        </w:rPr>
        <w:lastRenderedPageBreak/>
        <w:t xml:space="preserve">turn, Bredin </w:t>
      </w:r>
      <w:r w:rsidR="00776C49" w:rsidRPr="00B031A0">
        <w:rPr>
          <w:rFonts w:ascii="Arial" w:hAnsi="Arial" w:cs="Arial"/>
          <w:color w:val="000000" w:themeColor="text1"/>
        </w:rPr>
        <w:t>et al</w:t>
      </w:r>
      <w:r w:rsidRPr="00B031A0">
        <w:rPr>
          <w:rFonts w:ascii="Arial" w:hAnsi="Arial" w:cs="Arial"/>
          <w:color w:val="000000" w:themeColor="text1"/>
        </w:rPr>
        <w:t>. (2022) pooled the results of direct observation data and reported that the compliance rates were still 52 for nurses and 45 for physicians.</w:t>
      </w:r>
    </w:p>
    <w:p w14:paraId="0D6271BB" w14:textId="68543C9D" w:rsidR="00C77BF3" w:rsidRPr="00B031A0" w:rsidRDefault="00115699">
      <w:pPr>
        <w:rPr>
          <w:rFonts w:ascii="Arial" w:hAnsi="Arial" w:cs="Arial"/>
          <w:color w:val="000000" w:themeColor="text1"/>
        </w:rPr>
      </w:pPr>
      <w:r w:rsidRPr="00B031A0">
        <w:rPr>
          <w:rFonts w:ascii="Arial" w:hAnsi="Arial" w:cs="Arial"/>
          <w:color w:val="000000" w:themeColor="text1"/>
        </w:rPr>
        <w:t xml:space="preserve">The COVID-19 pandemic </w:t>
      </w:r>
      <w:r w:rsidR="0023299E" w:rsidRPr="00B031A0">
        <w:rPr>
          <w:rFonts w:ascii="Arial" w:hAnsi="Arial" w:cs="Arial"/>
          <w:color w:val="000000" w:themeColor="text1"/>
        </w:rPr>
        <w:t>had</w:t>
      </w:r>
      <w:r w:rsidRPr="00B031A0">
        <w:rPr>
          <w:rFonts w:ascii="Arial" w:hAnsi="Arial" w:cs="Arial"/>
          <w:color w:val="000000" w:themeColor="text1"/>
        </w:rPr>
        <w:t xml:space="preserve"> compounded problems, such as the difficulty of sustaining the initial improvements in Hand hygiene (HH) practices (Ali, Mekonen and </w:t>
      </w:r>
      <w:proofErr w:type="spellStart"/>
      <w:r w:rsidRPr="00B031A0">
        <w:rPr>
          <w:rFonts w:ascii="Arial" w:hAnsi="Arial" w:cs="Arial"/>
          <w:color w:val="000000" w:themeColor="text1"/>
        </w:rPr>
        <w:t>Tesfahun</w:t>
      </w:r>
      <w:proofErr w:type="spellEnd"/>
      <w:r w:rsidRPr="00B031A0">
        <w:rPr>
          <w:rFonts w:ascii="Arial" w:hAnsi="Arial" w:cs="Arial"/>
          <w:color w:val="000000" w:themeColor="text1"/>
        </w:rPr>
        <w:t xml:space="preserve">, 2023), as well as excess workload, lack of resources, and issues with </w:t>
      </w:r>
      <w:r w:rsidR="00B031A0" w:rsidRPr="00B031A0">
        <w:rPr>
          <w:rFonts w:ascii="Arial" w:hAnsi="Arial" w:cs="Arial"/>
          <w:color w:val="000000" w:themeColor="text1"/>
        </w:rPr>
        <w:t>organisation</w:t>
      </w:r>
      <w:r w:rsidRPr="00B031A0">
        <w:rPr>
          <w:rFonts w:ascii="Arial" w:hAnsi="Arial" w:cs="Arial"/>
          <w:color w:val="000000" w:themeColor="text1"/>
        </w:rPr>
        <w:t xml:space="preserve">. There are some disparities between policy and practice in the UK, for example, policy guidelines in intensive care units, despite the unit being a high-risk setting with national guidelines from </w:t>
      </w:r>
      <w:r w:rsidR="00B031A0" w:rsidRPr="00B031A0">
        <w:rPr>
          <w:rFonts w:ascii="Arial" w:hAnsi="Arial" w:cs="Arial"/>
          <w:color w:val="000000" w:themeColor="text1"/>
        </w:rPr>
        <w:t xml:space="preserve">the </w:t>
      </w:r>
      <w:r w:rsidRPr="00B031A0">
        <w:rPr>
          <w:rFonts w:ascii="Arial" w:hAnsi="Arial" w:cs="Arial"/>
          <w:color w:val="000000" w:themeColor="text1"/>
        </w:rPr>
        <w:t xml:space="preserve">National Institute for Health and Care Excellence (NICE) and </w:t>
      </w:r>
      <w:r w:rsidR="00B031A0" w:rsidRPr="00B031A0">
        <w:rPr>
          <w:rFonts w:ascii="Arial" w:hAnsi="Arial" w:cs="Arial"/>
          <w:color w:val="000000" w:themeColor="text1"/>
        </w:rPr>
        <w:t xml:space="preserve">the </w:t>
      </w:r>
      <w:r w:rsidRPr="00B031A0">
        <w:rPr>
          <w:rFonts w:ascii="Arial" w:hAnsi="Arial" w:cs="Arial"/>
          <w:color w:val="000000" w:themeColor="text1"/>
        </w:rPr>
        <w:t>National Health Service (NHS) England (</w:t>
      </w:r>
      <w:proofErr w:type="spellStart"/>
      <w:r w:rsidRPr="00B031A0">
        <w:rPr>
          <w:rFonts w:ascii="Arial" w:hAnsi="Arial" w:cs="Arial"/>
          <w:color w:val="000000" w:themeColor="text1"/>
        </w:rPr>
        <w:t>Mouajou</w:t>
      </w:r>
      <w:proofErr w:type="spellEnd"/>
      <w:r w:rsidRPr="00B031A0">
        <w:rPr>
          <w:rFonts w:ascii="Arial" w:hAnsi="Arial" w:cs="Arial"/>
          <w:color w:val="000000" w:themeColor="text1"/>
        </w:rPr>
        <w:t xml:space="preserve"> </w:t>
      </w:r>
      <w:r w:rsidR="00776C49" w:rsidRPr="00B031A0">
        <w:rPr>
          <w:rFonts w:ascii="Arial" w:hAnsi="Arial" w:cs="Arial"/>
          <w:color w:val="000000" w:themeColor="text1"/>
        </w:rPr>
        <w:t>et al</w:t>
      </w:r>
      <w:r w:rsidRPr="00B031A0">
        <w:rPr>
          <w:rFonts w:ascii="Arial" w:hAnsi="Arial" w:cs="Arial"/>
          <w:color w:val="000000" w:themeColor="text1"/>
        </w:rPr>
        <w:t>., 2022).</w:t>
      </w:r>
    </w:p>
    <w:p w14:paraId="14B1CC1B" w14:textId="02A6350C" w:rsidR="00C77BF3" w:rsidRPr="00B031A0" w:rsidRDefault="00115699">
      <w:pPr>
        <w:rPr>
          <w:rFonts w:ascii="Arial" w:hAnsi="Arial" w:cs="Arial"/>
          <w:color w:val="000000" w:themeColor="text1"/>
        </w:rPr>
      </w:pPr>
      <w:r w:rsidRPr="00B031A0">
        <w:rPr>
          <w:rFonts w:ascii="Arial" w:hAnsi="Arial" w:cs="Arial"/>
          <w:color w:val="000000" w:themeColor="text1"/>
        </w:rPr>
        <w:t xml:space="preserve">This systematic review is thus opportune. It draws together relevant evidence from the UK and uses it to develop an understanding of the links between nurses' HH compliance and </w:t>
      </w:r>
      <w:r w:rsidR="00B031A0" w:rsidRPr="00B031A0">
        <w:rPr>
          <w:rFonts w:ascii="Arial" w:hAnsi="Arial" w:cs="Arial"/>
          <w:color w:val="000000" w:themeColor="text1"/>
        </w:rPr>
        <w:t>healthcare-associated infection</w:t>
      </w:r>
      <w:r w:rsidRPr="00B031A0">
        <w:rPr>
          <w:rFonts w:ascii="Arial" w:hAnsi="Arial" w:cs="Arial"/>
          <w:color w:val="000000" w:themeColor="text1"/>
        </w:rPr>
        <w:t xml:space="preserve"> rates, the barriers and facilitators, and how to address these issues</w:t>
      </w:r>
      <w:r w:rsidR="0023299E">
        <w:rPr>
          <w:rFonts w:ascii="Arial" w:hAnsi="Arial" w:cs="Arial"/>
          <w:color w:val="000000" w:themeColor="text1"/>
        </w:rPr>
        <w:t xml:space="preserve"> </w:t>
      </w:r>
      <w:r w:rsidRPr="00B031A0">
        <w:rPr>
          <w:rFonts w:ascii="Arial" w:hAnsi="Arial" w:cs="Arial"/>
          <w:color w:val="000000" w:themeColor="text1"/>
        </w:rPr>
        <w:t xml:space="preserve">(Bredin </w:t>
      </w:r>
      <w:r w:rsidR="00776C49" w:rsidRPr="00B031A0">
        <w:rPr>
          <w:rFonts w:ascii="Arial" w:hAnsi="Arial" w:cs="Arial"/>
          <w:color w:val="000000" w:themeColor="text1"/>
        </w:rPr>
        <w:t>et al</w:t>
      </w:r>
      <w:r w:rsidRPr="00B031A0">
        <w:rPr>
          <w:rFonts w:ascii="Arial" w:hAnsi="Arial" w:cs="Arial"/>
          <w:color w:val="000000" w:themeColor="text1"/>
        </w:rPr>
        <w:t>., 2022). The primary goal of the study is to shed light on these concerns, fostering improved patient safety, healthcare cost savings, and infection mitigation strategies for hospitals in the United Kingdom.</w:t>
      </w:r>
    </w:p>
    <w:p w14:paraId="03EFF1FE" w14:textId="77777777" w:rsidR="00C77BF3" w:rsidRPr="00B031A0" w:rsidRDefault="00115699" w:rsidP="007F5072">
      <w:pPr>
        <w:pStyle w:val="Heading1"/>
        <w:jc w:val="both"/>
      </w:pPr>
      <w:bookmarkStart w:id="3" w:name="_Toc240208783"/>
      <w:r w:rsidRPr="00B031A0">
        <w:t>1.3 Statement of the Problem</w:t>
      </w:r>
      <w:bookmarkEnd w:id="3"/>
      <w:r w:rsidRPr="00B031A0">
        <w:t xml:space="preserve"> </w:t>
      </w:r>
    </w:p>
    <w:p w14:paraId="27234A02" w14:textId="0FFAC2A7" w:rsidR="00C77BF3" w:rsidRPr="00B031A0" w:rsidRDefault="00115699">
      <w:pPr>
        <w:rPr>
          <w:rFonts w:ascii="Arial" w:hAnsi="Arial" w:cs="Arial"/>
          <w:color w:val="000000" w:themeColor="text1"/>
        </w:rPr>
      </w:pPr>
      <w:r w:rsidRPr="00B031A0">
        <w:rPr>
          <w:rFonts w:ascii="Arial" w:hAnsi="Arial" w:cs="Arial"/>
          <w:color w:val="000000" w:themeColor="text1"/>
        </w:rPr>
        <w:t xml:space="preserve">Despite the guidelines being in place to reduce the prevalence of healthcare-associated infections (HAIs), these remain a concern in hospitals in the UK, with 7.6% of all inpatients in the UK stating </w:t>
      </w:r>
      <w:r w:rsidR="004553F0" w:rsidRPr="00B031A0">
        <w:rPr>
          <w:rFonts w:ascii="Arial" w:hAnsi="Arial" w:cs="Arial"/>
          <w:color w:val="000000" w:themeColor="text1"/>
        </w:rPr>
        <w:t>a</w:t>
      </w:r>
      <w:r w:rsidRPr="00B031A0">
        <w:rPr>
          <w:rFonts w:ascii="Arial" w:hAnsi="Arial" w:cs="Arial"/>
          <w:color w:val="000000" w:themeColor="text1"/>
        </w:rPr>
        <w:t xml:space="preserve"> Healthcare-associated infections (HAIs) (UK Health Security Agency, 202</w:t>
      </w:r>
      <w:r w:rsidR="009222DD">
        <w:rPr>
          <w:rFonts w:ascii="Arial" w:hAnsi="Arial" w:cs="Arial"/>
          <w:color w:val="000000" w:themeColor="text1"/>
        </w:rPr>
        <w:t>5</w:t>
      </w:r>
      <w:r w:rsidRPr="00B031A0">
        <w:rPr>
          <w:rFonts w:ascii="Arial" w:hAnsi="Arial" w:cs="Arial"/>
          <w:color w:val="000000" w:themeColor="text1"/>
        </w:rPr>
        <w:t xml:space="preserve">). Hand hygiene (HH) compliance by nurses is one of the most critical aspects of infection prevention and control (IPC), and the degree of compliance is often below the “100%” target, typically between 40% and 60% (Bredin </w:t>
      </w:r>
      <w:r w:rsidR="00776C49" w:rsidRPr="00B031A0">
        <w:rPr>
          <w:rFonts w:ascii="Arial" w:hAnsi="Arial" w:cs="Arial"/>
          <w:color w:val="000000" w:themeColor="text1"/>
        </w:rPr>
        <w:t>et al</w:t>
      </w:r>
      <w:r w:rsidRPr="00B031A0">
        <w:rPr>
          <w:rFonts w:ascii="Arial" w:hAnsi="Arial" w:cs="Arial"/>
          <w:color w:val="000000" w:themeColor="text1"/>
        </w:rPr>
        <w:t>., 2022). This gap gives rise to high morbidity rates among patients, longer hospital stays, and high NHS costs. Similarly, issues around workload, limited resources, and, crucially, issues of compliance show that it is important to systematically look at how hand hygiene activity by nurses might relate to rates of Healthcare-associated infections (HAIs)</w:t>
      </w:r>
      <w:r w:rsidR="004553F0">
        <w:rPr>
          <w:rFonts w:ascii="Arial" w:hAnsi="Arial" w:cs="Arial"/>
          <w:color w:val="000000" w:themeColor="text1"/>
        </w:rPr>
        <w:t xml:space="preserve"> </w:t>
      </w:r>
      <w:r w:rsidRPr="00B031A0">
        <w:rPr>
          <w:rFonts w:ascii="Arial" w:hAnsi="Arial" w:cs="Arial"/>
          <w:color w:val="000000" w:themeColor="text1"/>
        </w:rPr>
        <w:t>across the UK (</w:t>
      </w:r>
      <w:proofErr w:type="spellStart"/>
      <w:r w:rsidRPr="00B031A0">
        <w:rPr>
          <w:rFonts w:ascii="Arial" w:hAnsi="Arial" w:cs="Arial"/>
          <w:color w:val="000000" w:themeColor="text1"/>
        </w:rPr>
        <w:t>Bajunaid</w:t>
      </w:r>
      <w:proofErr w:type="spellEnd"/>
      <w:r w:rsidRPr="00B031A0">
        <w:rPr>
          <w:rFonts w:ascii="Arial" w:hAnsi="Arial" w:cs="Arial"/>
          <w:color w:val="000000" w:themeColor="text1"/>
        </w:rPr>
        <w:t xml:space="preserve"> </w:t>
      </w:r>
      <w:r w:rsidR="00776C49" w:rsidRPr="00B031A0">
        <w:rPr>
          <w:rFonts w:ascii="Arial" w:hAnsi="Arial" w:cs="Arial"/>
          <w:color w:val="000000" w:themeColor="text1"/>
        </w:rPr>
        <w:t>et al</w:t>
      </w:r>
      <w:r w:rsidRPr="00B031A0">
        <w:rPr>
          <w:rFonts w:ascii="Arial" w:hAnsi="Arial" w:cs="Arial"/>
          <w:color w:val="000000" w:themeColor="text1"/>
        </w:rPr>
        <w:t>., 2024).</w:t>
      </w:r>
    </w:p>
    <w:p w14:paraId="0FDAF310" w14:textId="77777777" w:rsidR="00C77BF3" w:rsidRPr="00B031A0" w:rsidRDefault="00115699" w:rsidP="007F5072">
      <w:pPr>
        <w:pStyle w:val="Heading1"/>
        <w:jc w:val="both"/>
      </w:pPr>
      <w:bookmarkStart w:id="4" w:name="_Toc240208784"/>
      <w:r w:rsidRPr="00B031A0">
        <w:t>1.4 Research Rationale</w:t>
      </w:r>
      <w:bookmarkEnd w:id="4"/>
      <w:r w:rsidRPr="00B031A0">
        <w:t xml:space="preserve"> </w:t>
      </w:r>
    </w:p>
    <w:p w14:paraId="5DAB7976" w14:textId="056F3B14" w:rsidR="00C77BF3" w:rsidRPr="00B031A0" w:rsidRDefault="00115699">
      <w:pPr>
        <w:rPr>
          <w:rFonts w:ascii="Arial" w:hAnsi="Arial" w:cs="Arial"/>
          <w:color w:val="000000" w:themeColor="text1"/>
        </w:rPr>
      </w:pPr>
      <w:r w:rsidRPr="00B031A0">
        <w:rPr>
          <w:rFonts w:ascii="Arial" w:hAnsi="Arial" w:cs="Arial"/>
          <w:color w:val="000000" w:themeColor="text1"/>
        </w:rPr>
        <w:t xml:space="preserve">Healthcare-associated infections (HAIs) are a major, and preventable, burden in the UK healthcare system. Healthcare-associated infections (HAIs)currently account for </w:t>
      </w:r>
      <w:r w:rsidRPr="00B031A0">
        <w:rPr>
          <w:rFonts w:ascii="Arial" w:hAnsi="Arial" w:cs="Arial"/>
          <w:color w:val="000000" w:themeColor="text1"/>
        </w:rPr>
        <w:lastRenderedPageBreak/>
        <w:t>7.6% of hospital inpatients in England and can cause death, long hospital stays, acquisition of antimicrobial resistance, and a high NHS cost (UK Health Security Agency, 202</w:t>
      </w:r>
      <w:r w:rsidR="00AF1219">
        <w:rPr>
          <w:rFonts w:ascii="Arial" w:hAnsi="Arial" w:cs="Arial"/>
          <w:color w:val="000000" w:themeColor="text1"/>
        </w:rPr>
        <w:t>5</w:t>
      </w:r>
      <w:r w:rsidRPr="00B031A0">
        <w:rPr>
          <w:rFonts w:ascii="Arial" w:hAnsi="Arial" w:cs="Arial"/>
          <w:color w:val="000000" w:themeColor="text1"/>
        </w:rPr>
        <w:t xml:space="preserve">). Nurses' work is important in infection prevention, and their numbers are higher than in any single profession that works with patients. </w:t>
      </w:r>
      <w:r w:rsidR="007C25F7">
        <w:rPr>
          <w:rFonts w:ascii="Arial" w:hAnsi="Arial" w:cs="Arial"/>
          <w:color w:val="000000" w:themeColor="text1"/>
        </w:rPr>
        <w:t>Among</w:t>
      </w:r>
      <w:r w:rsidRPr="00B031A0">
        <w:rPr>
          <w:rFonts w:ascii="Arial" w:hAnsi="Arial" w:cs="Arial"/>
          <w:color w:val="000000" w:themeColor="text1"/>
        </w:rPr>
        <w:t xml:space="preserve"> them, rates of hand hygiene compliance are suboptimal (40-60%) (Bredin </w:t>
      </w:r>
      <w:r w:rsidR="00776C49" w:rsidRPr="00B031A0">
        <w:rPr>
          <w:rFonts w:ascii="Arial" w:hAnsi="Arial" w:cs="Arial"/>
          <w:color w:val="000000" w:themeColor="text1"/>
        </w:rPr>
        <w:t>et al</w:t>
      </w:r>
      <w:r w:rsidRPr="00B031A0">
        <w:rPr>
          <w:rFonts w:ascii="Arial" w:hAnsi="Arial" w:cs="Arial"/>
          <w:color w:val="000000" w:themeColor="text1"/>
        </w:rPr>
        <w:t xml:space="preserve">., 2022; </w:t>
      </w:r>
      <w:proofErr w:type="spellStart"/>
      <w:r w:rsidRPr="00B031A0">
        <w:rPr>
          <w:rFonts w:ascii="Arial" w:hAnsi="Arial" w:cs="Arial"/>
          <w:color w:val="000000" w:themeColor="text1"/>
        </w:rPr>
        <w:t>Mouajou</w:t>
      </w:r>
      <w:proofErr w:type="spellEnd"/>
      <w:r w:rsidRPr="00B031A0">
        <w:rPr>
          <w:rFonts w:ascii="Arial" w:hAnsi="Arial" w:cs="Arial"/>
          <w:color w:val="000000" w:themeColor="text1"/>
        </w:rPr>
        <w:t xml:space="preserve"> </w:t>
      </w:r>
      <w:r w:rsidR="00776C49" w:rsidRPr="00B031A0">
        <w:rPr>
          <w:rFonts w:ascii="Arial" w:hAnsi="Arial" w:cs="Arial"/>
          <w:color w:val="000000" w:themeColor="text1"/>
        </w:rPr>
        <w:t>et al</w:t>
      </w:r>
      <w:r w:rsidRPr="00B031A0">
        <w:rPr>
          <w:rFonts w:ascii="Arial" w:hAnsi="Arial" w:cs="Arial"/>
          <w:color w:val="000000" w:themeColor="text1"/>
        </w:rPr>
        <w:t>., 2022).</w:t>
      </w:r>
    </w:p>
    <w:p w14:paraId="165F9D1B" w14:textId="0F16058B" w:rsidR="00C77BF3" w:rsidRPr="00B031A0" w:rsidRDefault="004553F0">
      <w:pPr>
        <w:rPr>
          <w:rFonts w:ascii="Arial" w:hAnsi="Arial" w:cs="Arial"/>
          <w:color w:val="000000" w:themeColor="text1"/>
        </w:rPr>
      </w:pPr>
      <w:r w:rsidRPr="00B031A0">
        <w:rPr>
          <w:rFonts w:ascii="Arial" w:hAnsi="Arial" w:cs="Arial"/>
          <w:color w:val="000000" w:themeColor="text1"/>
        </w:rPr>
        <w:t>So,</w:t>
      </w:r>
      <w:r w:rsidR="00115699" w:rsidRPr="00B031A0">
        <w:rPr>
          <w:rFonts w:ascii="Arial" w:hAnsi="Arial" w:cs="Arial"/>
          <w:color w:val="000000" w:themeColor="text1"/>
        </w:rPr>
        <w:t xml:space="preserve"> it is worth recalling that there is still a gap between policy and practice at the national level and, hence, the need for this systematic review. Despite the strong World Health Organisation</w:t>
      </w:r>
      <w:r>
        <w:rPr>
          <w:rFonts w:ascii="Arial" w:hAnsi="Arial" w:cs="Arial"/>
          <w:color w:val="000000" w:themeColor="text1"/>
        </w:rPr>
        <w:t xml:space="preserve"> </w:t>
      </w:r>
      <w:r w:rsidR="00115699" w:rsidRPr="00B031A0">
        <w:rPr>
          <w:rFonts w:ascii="Arial" w:hAnsi="Arial" w:cs="Arial"/>
          <w:color w:val="000000" w:themeColor="text1"/>
        </w:rPr>
        <w:t>(WHO) and National Institute for Health and Care Excellence (NICE) principles on the importance of hand hygiene, compliance remains low, especially on high-risk wards such as ICUs (UK Health Security Agency, 202</w:t>
      </w:r>
      <w:r w:rsidR="00AF1219">
        <w:rPr>
          <w:rFonts w:ascii="Arial" w:hAnsi="Arial" w:cs="Arial"/>
          <w:color w:val="000000" w:themeColor="text1"/>
        </w:rPr>
        <w:t>5</w:t>
      </w:r>
      <w:r w:rsidR="00115699" w:rsidRPr="00B031A0">
        <w:rPr>
          <w:rFonts w:ascii="Arial" w:hAnsi="Arial" w:cs="Arial"/>
          <w:color w:val="000000" w:themeColor="text1"/>
        </w:rPr>
        <w:t xml:space="preserve">). In the short term, the COVID-19 pandemic </w:t>
      </w:r>
      <w:r w:rsidR="00B031A0" w:rsidRPr="00B031A0">
        <w:rPr>
          <w:rFonts w:ascii="Arial" w:hAnsi="Arial" w:cs="Arial"/>
          <w:color w:val="000000" w:themeColor="text1"/>
        </w:rPr>
        <w:t>increased</w:t>
      </w:r>
      <w:r w:rsidR="00115699" w:rsidRPr="00B031A0">
        <w:rPr>
          <w:rFonts w:ascii="Arial" w:hAnsi="Arial" w:cs="Arial"/>
          <w:color w:val="000000" w:themeColor="text1"/>
        </w:rPr>
        <w:t xml:space="preserve"> compliance; however, compliance levels were not maintained with the increase in workload, lack of input, and people's fatigue (Ali, Mekonen and </w:t>
      </w:r>
      <w:proofErr w:type="spellStart"/>
      <w:r w:rsidR="00115699" w:rsidRPr="00B031A0">
        <w:rPr>
          <w:rFonts w:ascii="Arial" w:hAnsi="Arial" w:cs="Arial"/>
          <w:color w:val="000000" w:themeColor="text1"/>
        </w:rPr>
        <w:t>Tesfahun</w:t>
      </w:r>
      <w:proofErr w:type="spellEnd"/>
      <w:r w:rsidR="00115699" w:rsidRPr="00B031A0">
        <w:rPr>
          <w:rFonts w:ascii="Arial" w:hAnsi="Arial" w:cs="Arial"/>
          <w:color w:val="000000" w:themeColor="text1"/>
        </w:rPr>
        <w:t>, 2023).</w:t>
      </w:r>
    </w:p>
    <w:p w14:paraId="6D1AC43C" w14:textId="4653AF65" w:rsidR="00C77BF3" w:rsidRPr="00B031A0" w:rsidRDefault="00115699">
      <w:pPr>
        <w:rPr>
          <w:rFonts w:ascii="Arial" w:hAnsi="Arial" w:cs="Arial"/>
          <w:color w:val="000000" w:themeColor="text1"/>
        </w:rPr>
      </w:pPr>
      <w:r w:rsidRPr="00B031A0">
        <w:rPr>
          <w:rFonts w:ascii="Arial" w:hAnsi="Arial" w:cs="Arial"/>
          <w:color w:val="000000" w:themeColor="text1"/>
        </w:rPr>
        <w:t xml:space="preserve">This study is opportune given its narrow scope of just UK hospitals, where there is limited evidence </w:t>
      </w:r>
      <w:r w:rsidR="00B031A0" w:rsidRPr="00B031A0">
        <w:rPr>
          <w:rFonts w:ascii="Arial" w:hAnsi="Arial" w:cs="Arial"/>
          <w:color w:val="000000" w:themeColor="text1"/>
        </w:rPr>
        <w:t>synthesising</w:t>
      </w:r>
      <w:r w:rsidRPr="00B031A0">
        <w:rPr>
          <w:rFonts w:ascii="Arial" w:hAnsi="Arial" w:cs="Arial"/>
          <w:color w:val="000000" w:themeColor="text1"/>
        </w:rPr>
        <w:t xml:space="preserve"> the direct link between nurse hand hygiene compliance and rates of </w:t>
      </w:r>
      <w:r w:rsidR="004553F0" w:rsidRPr="00B031A0">
        <w:rPr>
          <w:rFonts w:ascii="Arial" w:hAnsi="Arial" w:cs="Arial"/>
          <w:color w:val="000000" w:themeColor="text1"/>
        </w:rPr>
        <w:t>healthcare</w:t>
      </w:r>
      <w:r w:rsidRPr="00B031A0">
        <w:rPr>
          <w:rFonts w:ascii="Arial" w:hAnsi="Arial" w:cs="Arial"/>
          <w:color w:val="000000" w:themeColor="text1"/>
        </w:rPr>
        <w:t xml:space="preserve">-associated infections (HAIs) (Besnier </w:t>
      </w:r>
      <w:r w:rsidR="00776C49" w:rsidRPr="00B031A0">
        <w:rPr>
          <w:rFonts w:ascii="Arial" w:hAnsi="Arial" w:cs="Arial"/>
          <w:color w:val="000000" w:themeColor="text1"/>
        </w:rPr>
        <w:t>et al</w:t>
      </w:r>
      <w:r w:rsidRPr="00B031A0">
        <w:rPr>
          <w:rFonts w:ascii="Arial" w:hAnsi="Arial" w:cs="Arial"/>
          <w:color w:val="000000" w:themeColor="text1"/>
        </w:rPr>
        <w:t xml:space="preserve">., 2026). This review will try to </w:t>
      </w:r>
      <w:r w:rsidR="00B031A0" w:rsidRPr="00B031A0">
        <w:rPr>
          <w:rFonts w:ascii="Arial" w:hAnsi="Arial" w:cs="Arial"/>
          <w:color w:val="000000" w:themeColor="text1"/>
        </w:rPr>
        <w:t>summarise</w:t>
      </w:r>
      <w:r w:rsidRPr="00B031A0">
        <w:rPr>
          <w:rFonts w:ascii="Arial" w:hAnsi="Arial" w:cs="Arial"/>
          <w:color w:val="000000" w:themeColor="text1"/>
        </w:rPr>
        <w:t xml:space="preserve"> some of the main inhibitors and enablers to compliance and evaluate the effectiveness of main interventions to support compliance while providing insight into the available literature. This evidence is used to help develop strategies and interventions to enhance patient safety, save in health care expenditure, and enable National Health Service (NHS) work on antimicrobial resistance (Ali </w:t>
      </w:r>
      <w:r w:rsidR="00776C49" w:rsidRPr="00B031A0">
        <w:rPr>
          <w:rFonts w:ascii="Arial" w:hAnsi="Arial" w:cs="Arial"/>
          <w:color w:val="000000" w:themeColor="text1"/>
        </w:rPr>
        <w:t>et al</w:t>
      </w:r>
      <w:r w:rsidRPr="00B031A0">
        <w:rPr>
          <w:rFonts w:ascii="Arial" w:hAnsi="Arial" w:cs="Arial"/>
          <w:color w:val="000000" w:themeColor="text1"/>
        </w:rPr>
        <w:t xml:space="preserve">., 2023). </w:t>
      </w:r>
    </w:p>
    <w:p w14:paraId="36E7312D" w14:textId="77777777" w:rsidR="00C77BF3" w:rsidRPr="00B031A0" w:rsidRDefault="00115699" w:rsidP="007F5072">
      <w:pPr>
        <w:pStyle w:val="Heading1"/>
        <w:jc w:val="both"/>
      </w:pPr>
      <w:bookmarkStart w:id="5" w:name="_Toc240208785"/>
      <w:r w:rsidRPr="00B031A0">
        <w:t>1.5 Research Questions</w:t>
      </w:r>
      <w:bookmarkEnd w:id="5"/>
    </w:p>
    <w:p w14:paraId="5E565D18" w14:textId="77777777" w:rsidR="00C77BF3" w:rsidRPr="00B031A0" w:rsidRDefault="00115699">
      <w:pPr>
        <w:rPr>
          <w:rFonts w:ascii="Arial" w:hAnsi="Arial" w:cs="Arial"/>
          <w:color w:val="000000" w:themeColor="text1"/>
        </w:rPr>
      </w:pPr>
      <w:r w:rsidRPr="00B031A0">
        <w:rPr>
          <w:rFonts w:ascii="Arial" w:hAnsi="Arial" w:cs="Arial"/>
          <w:color w:val="000000" w:themeColor="text1"/>
        </w:rPr>
        <w:t>How does hand hygiene compliance among healthcare workers influence the incidence of healthcare-associated infections in UK Hospitals?</w:t>
      </w:r>
    </w:p>
    <w:p w14:paraId="323E4214" w14:textId="77777777" w:rsidR="00C77BF3" w:rsidRPr="00B031A0" w:rsidRDefault="00115699" w:rsidP="007F5072">
      <w:pPr>
        <w:pStyle w:val="Heading1"/>
        <w:jc w:val="both"/>
      </w:pPr>
      <w:bookmarkStart w:id="6" w:name="_Toc240208786"/>
      <w:r w:rsidRPr="00B031A0">
        <w:t>1.6 Research Aim</w:t>
      </w:r>
      <w:bookmarkEnd w:id="6"/>
    </w:p>
    <w:p w14:paraId="1979C35F" w14:textId="137C924E" w:rsidR="00C77BF3" w:rsidRPr="00B031A0" w:rsidRDefault="00115699">
      <w:pPr>
        <w:rPr>
          <w:rFonts w:ascii="Arial" w:hAnsi="Arial" w:cs="Arial"/>
          <w:color w:val="000000" w:themeColor="text1"/>
        </w:rPr>
      </w:pPr>
      <w:r w:rsidRPr="00B031A0">
        <w:rPr>
          <w:rFonts w:ascii="Arial" w:hAnsi="Arial" w:cs="Arial"/>
          <w:color w:val="000000" w:themeColor="text1"/>
        </w:rPr>
        <w:t>This systematic review seeks to explore the existing evidence on the influence of nurses' hand hygiene compliance on reducing Healthcare-associated infections (HAIs)</w:t>
      </w:r>
      <w:r w:rsidR="004553F0">
        <w:rPr>
          <w:rFonts w:ascii="Arial" w:hAnsi="Arial" w:cs="Arial"/>
          <w:color w:val="000000" w:themeColor="text1"/>
        </w:rPr>
        <w:t xml:space="preserve"> </w:t>
      </w:r>
      <w:r w:rsidRPr="00B031A0">
        <w:rPr>
          <w:rFonts w:ascii="Arial" w:hAnsi="Arial" w:cs="Arial"/>
          <w:color w:val="000000" w:themeColor="text1"/>
        </w:rPr>
        <w:t xml:space="preserve">within UK hospitals, to define the key barriers to compliance, and to </w:t>
      </w:r>
      <w:r w:rsidR="007F5072">
        <w:rPr>
          <w:rFonts w:ascii="Arial" w:hAnsi="Arial" w:cs="Arial"/>
          <w:color w:val="000000" w:themeColor="text1"/>
        </w:rPr>
        <w:t>analyse</w:t>
      </w:r>
      <w:r w:rsidRPr="00B031A0">
        <w:rPr>
          <w:rFonts w:ascii="Arial" w:hAnsi="Arial" w:cs="Arial"/>
          <w:color w:val="000000" w:themeColor="text1"/>
        </w:rPr>
        <w:t xml:space="preserve"> the effectiveness of compliance interventions.</w:t>
      </w:r>
    </w:p>
    <w:p w14:paraId="6F48DFA3" w14:textId="77777777" w:rsidR="00C77BF3" w:rsidRPr="00B031A0" w:rsidRDefault="00115699" w:rsidP="007F5072">
      <w:pPr>
        <w:pStyle w:val="Heading1"/>
        <w:jc w:val="both"/>
      </w:pPr>
      <w:bookmarkStart w:id="7" w:name="_Toc240208787"/>
      <w:r w:rsidRPr="00B031A0">
        <w:lastRenderedPageBreak/>
        <w:t>1.7 Research Objectives</w:t>
      </w:r>
      <w:bookmarkEnd w:id="7"/>
      <w:r w:rsidRPr="00B031A0">
        <w:t xml:space="preserve"> </w:t>
      </w:r>
    </w:p>
    <w:p w14:paraId="59B85F08" w14:textId="77777777" w:rsidR="00C77BF3" w:rsidRPr="00B031A0" w:rsidRDefault="00115699" w:rsidP="007F5072">
      <w:pPr>
        <w:numPr>
          <w:ilvl w:val="0"/>
          <w:numId w:val="1"/>
        </w:numPr>
        <w:spacing w:after="0"/>
        <w:rPr>
          <w:rFonts w:ascii="Arial" w:hAnsi="Arial" w:cs="Arial"/>
          <w:color w:val="000000" w:themeColor="text1"/>
        </w:rPr>
      </w:pPr>
      <w:r w:rsidRPr="00B031A0">
        <w:rPr>
          <w:rFonts w:ascii="Arial" w:hAnsi="Arial" w:cs="Arial"/>
          <w:color w:val="000000" w:themeColor="text1"/>
        </w:rPr>
        <w:t>To identify the most common healthcare-associated infections in UK hospitals.</w:t>
      </w:r>
    </w:p>
    <w:p w14:paraId="1122A8A0" w14:textId="77777777" w:rsidR="00C77BF3" w:rsidRPr="00B031A0" w:rsidRDefault="00115699" w:rsidP="007F5072">
      <w:pPr>
        <w:numPr>
          <w:ilvl w:val="0"/>
          <w:numId w:val="1"/>
        </w:numPr>
        <w:spacing w:after="0"/>
        <w:rPr>
          <w:rFonts w:ascii="Arial" w:hAnsi="Arial" w:cs="Arial"/>
          <w:color w:val="000000" w:themeColor="text1"/>
        </w:rPr>
      </w:pPr>
      <w:r w:rsidRPr="00B031A0">
        <w:rPr>
          <w:rFonts w:ascii="Arial" w:hAnsi="Arial" w:cs="Arial"/>
          <w:color w:val="000000" w:themeColor="text1"/>
        </w:rPr>
        <w:t>To examine factors influencing hand hygiene compliance among healthcare workers.</w:t>
      </w:r>
    </w:p>
    <w:p w14:paraId="79ABB91F" w14:textId="77777777" w:rsidR="00C77BF3" w:rsidRPr="00B031A0" w:rsidRDefault="00115699" w:rsidP="007F5072">
      <w:pPr>
        <w:numPr>
          <w:ilvl w:val="0"/>
          <w:numId w:val="1"/>
        </w:numPr>
        <w:rPr>
          <w:rFonts w:ascii="Arial" w:hAnsi="Arial" w:cs="Arial"/>
          <w:color w:val="000000" w:themeColor="text1"/>
        </w:rPr>
      </w:pPr>
      <w:r w:rsidRPr="00B031A0">
        <w:rPr>
          <w:rFonts w:ascii="Arial" w:hAnsi="Arial" w:cs="Arial"/>
          <w:color w:val="000000" w:themeColor="text1"/>
        </w:rPr>
        <w:t>To evaluate the effectiveness of hand hygiene interventions in reducing infection rates.</w:t>
      </w:r>
    </w:p>
    <w:p w14:paraId="4BE9C08A" w14:textId="77777777" w:rsidR="00C77BF3" w:rsidRPr="00B031A0" w:rsidRDefault="00115699" w:rsidP="007F5072">
      <w:pPr>
        <w:numPr>
          <w:ilvl w:val="0"/>
          <w:numId w:val="1"/>
        </w:numPr>
        <w:rPr>
          <w:rFonts w:ascii="Arial" w:hAnsi="Arial" w:cs="Arial"/>
          <w:color w:val="000000" w:themeColor="text1"/>
        </w:rPr>
      </w:pPr>
      <w:r w:rsidRPr="00B031A0">
        <w:rPr>
          <w:rFonts w:ascii="Arial" w:hAnsi="Arial" w:cs="Arial"/>
          <w:color w:val="000000" w:themeColor="text1"/>
        </w:rPr>
        <w:t xml:space="preserve">To suggest recommendations for enhancing hand hygiene observance of nurses in UK hospitals. </w:t>
      </w:r>
    </w:p>
    <w:p w14:paraId="618C45B9" w14:textId="77777777" w:rsidR="00C77BF3" w:rsidRPr="00B031A0" w:rsidRDefault="00115699" w:rsidP="007F5072">
      <w:pPr>
        <w:pStyle w:val="Heading1"/>
        <w:jc w:val="both"/>
      </w:pPr>
      <w:bookmarkStart w:id="8" w:name="_Toc240208788"/>
      <w:r w:rsidRPr="00B031A0">
        <w:t>1.8 Research Significance</w:t>
      </w:r>
      <w:bookmarkEnd w:id="8"/>
    </w:p>
    <w:p w14:paraId="5D5BB102" w14:textId="4FD72538" w:rsidR="00C77BF3" w:rsidRPr="00B031A0" w:rsidRDefault="00115699">
      <w:pPr>
        <w:rPr>
          <w:rFonts w:ascii="Arial" w:hAnsi="Arial" w:cs="Arial"/>
          <w:color w:val="000000" w:themeColor="text1"/>
        </w:rPr>
      </w:pPr>
      <w:r w:rsidRPr="00B031A0">
        <w:rPr>
          <w:rFonts w:ascii="Arial" w:hAnsi="Arial" w:cs="Arial"/>
          <w:color w:val="000000" w:themeColor="text1"/>
        </w:rPr>
        <w:t xml:space="preserve">The findings of this systematic review are of potential great importance for patient safety, clinical practice, health services policy, and economic sustainability in the United Kingdom's National Health </w:t>
      </w:r>
      <w:r w:rsidR="00B031A0" w:rsidRPr="00B031A0">
        <w:rPr>
          <w:rFonts w:ascii="Arial" w:hAnsi="Arial" w:cs="Arial"/>
          <w:color w:val="000000" w:themeColor="text1"/>
        </w:rPr>
        <w:t>Service</w:t>
      </w:r>
      <w:r w:rsidRPr="00B031A0">
        <w:rPr>
          <w:rFonts w:ascii="Arial" w:hAnsi="Arial" w:cs="Arial"/>
          <w:color w:val="000000" w:themeColor="text1"/>
        </w:rPr>
        <w:t xml:space="preserve"> (NHS) (Ali </w:t>
      </w:r>
      <w:r w:rsidR="00776C49" w:rsidRPr="00B031A0">
        <w:rPr>
          <w:rFonts w:ascii="Arial" w:hAnsi="Arial" w:cs="Arial"/>
          <w:color w:val="000000" w:themeColor="text1"/>
        </w:rPr>
        <w:t>et al</w:t>
      </w:r>
      <w:r w:rsidRPr="00B031A0">
        <w:rPr>
          <w:rFonts w:ascii="Arial" w:hAnsi="Arial" w:cs="Arial"/>
          <w:color w:val="000000" w:themeColor="text1"/>
        </w:rPr>
        <w:t xml:space="preserve">., 2023). The study focuses on a pressing issue of preventable harm in healthcare facilities: healthcare-associated infections (HAIs) and how compliance with hand hygiene among nurses influences these infections. In England, hospital inpatients have been estimated to have a 7.6% prevalence of </w:t>
      </w:r>
      <w:proofErr w:type="gramStart"/>
      <w:r w:rsidRPr="00B031A0">
        <w:rPr>
          <w:rFonts w:ascii="Arial" w:hAnsi="Arial" w:cs="Arial"/>
          <w:color w:val="000000" w:themeColor="text1"/>
        </w:rPr>
        <w:t>Healthcare</w:t>
      </w:r>
      <w:proofErr w:type="gramEnd"/>
      <w:r w:rsidRPr="00B031A0">
        <w:rPr>
          <w:rFonts w:ascii="Arial" w:hAnsi="Arial" w:cs="Arial"/>
          <w:color w:val="000000" w:themeColor="text1"/>
        </w:rPr>
        <w:t>-associated infections (HAIs) (UK Health Security Agency, 202</w:t>
      </w:r>
      <w:r w:rsidR="00AF1219">
        <w:rPr>
          <w:rFonts w:ascii="Arial" w:hAnsi="Arial" w:cs="Arial"/>
          <w:color w:val="000000" w:themeColor="text1"/>
        </w:rPr>
        <w:t>5</w:t>
      </w:r>
      <w:r w:rsidRPr="00B031A0">
        <w:rPr>
          <w:rFonts w:ascii="Arial" w:hAnsi="Arial" w:cs="Arial"/>
          <w:color w:val="000000" w:themeColor="text1"/>
        </w:rPr>
        <w:t>), and an improvement in hand hygiene practice could significantly decrease the morbidity, mortality, and length of inpatient stay.</w:t>
      </w:r>
    </w:p>
    <w:p w14:paraId="21A27BA9" w14:textId="355B42B8" w:rsidR="00C77BF3" w:rsidRPr="00B031A0" w:rsidRDefault="00115699">
      <w:pPr>
        <w:rPr>
          <w:rFonts w:ascii="Arial" w:hAnsi="Arial" w:cs="Arial"/>
          <w:color w:val="000000" w:themeColor="text1"/>
        </w:rPr>
      </w:pPr>
      <w:r w:rsidRPr="00B031A0">
        <w:rPr>
          <w:rFonts w:ascii="Arial" w:hAnsi="Arial" w:cs="Arial"/>
          <w:color w:val="000000" w:themeColor="text1"/>
        </w:rPr>
        <w:t xml:space="preserve">This review has valuable findings for nursing practice. Nurses are the number one healthcare workers with the most continuous contact with patients (UKHSA, 2023). As evidence of hand hygiene compliance improves, so </w:t>
      </w:r>
      <w:r w:rsidR="007F5072">
        <w:rPr>
          <w:rFonts w:ascii="Arial" w:hAnsi="Arial" w:cs="Arial"/>
          <w:color w:val="000000" w:themeColor="text1"/>
        </w:rPr>
        <w:t>does</w:t>
      </w:r>
      <w:r w:rsidRPr="00B031A0">
        <w:rPr>
          <w:rFonts w:ascii="Arial" w:hAnsi="Arial" w:cs="Arial"/>
          <w:color w:val="000000" w:themeColor="text1"/>
        </w:rPr>
        <w:t xml:space="preserve"> nurses' ability to provide targeted strategies to overcome common challenges like time pressures and resource constraints (Bredin </w:t>
      </w:r>
      <w:r w:rsidR="00776C49" w:rsidRPr="00B031A0">
        <w:rPr>
          <w:rFonts w:ascii="Arial" w:hAnsi="Arial" w:cs="Arial"/>
          <w:color w:val="000000" w:themeColor="text1"/>
        </w:rPr>
        <w:t>et al</w:t>
      </w:r>
      <w:r w:rsidRPr="00B031A0">
        <w:rPr>
          <w:rFonts w:ascii="Arial" w:hAnsi="Arial" w:cs="Arial"/>
          <w:color w:val="000000" w:themeColor="text1"/>
        </w:rPr>
        <w:t xml:space="preserve">., 2022). Better compliance can help develop a more secure clinical environment and boost the quality of care (Religioni </w:t>
      </w:r>
      <w:r w:rsidR="00776C49" w:rsidRPr="00B031A0">
        <w:rPr>
          <w:rFonts w:ascii="Arial" w:hAnsi="Arial" w:cs="Arial"/>
          <w:color w:val="000000" w:themeColor="text1"/>
        </w:rPr>
        <w:t>et al</w:t>
      </w:r>
      <w:r w:rsidRPr="00B031A0">
        <w:rPr>
          <w:rFonts w:ascii="Arial" w:hAnsi="Arial" w:cs="Arial"/>
          <w:color w:val="000000" w:themeColor="text1"/>
        </w:rPr>
        <w:t>., 2025).</w:t>
      </w:r>
    </w:p>
    <w:p w14:paraId="716EC561" w14:textId="5C6CAF21" w:rsidR="00C77BF3" w:rsidRPr="00B031A0" w:rsidRDefault="00115699">
      <w:pPr>
        <w:rPr>
          <w:rFonts w:ascii="Arial" w:hAnsi="Arial" w:cs="Arial"/>
          <w:color w:val="000000" w:themeColor="text1"/>
        </w:rPr>
      </w:pPr>
      <w:r w:rsidRPr="00B031A0">
        <w:rPr>
          <w:rFonts w:ascii="Arial" w:hAnsi="Arial" w:cs="Arial"/>
          <w:color w:val="000000" w:themeColor="text1"/>
        </w:rPr>
        <w:t xml:space="preserve">This study has a wider impact on healthcare as it adds to the knowledge base of infection prevention and control. Although systematic review literature has consistently demonstrated an association between hand hygiene and decreased rates of </w:t>
      </w:r>
      <w:proofErr w:type="gramStart"/>
      <w:r w:rsidRPr="00B031A0">
        <w:rPr>
          <w:rFonts w:ascii="Arial" w:hAnsi="Arial" w:cs="Arial"/>
          <w:color w:val="000000" w:themeColor="text1"/>
        </w:rPr>
        <w:t>Healthcare</w:t>
      </w:r>
      <w:proofErr w:type="gramEnd"/>
      <w:r w:rsidRPr="00B031A0">
        <w:rPr>
          <w:rFonts w:ascii="Arial" w:hAnsi="Arial" w:cs="Arial"/>
          <w:color w:val="000000" w:themeColor="text1"/>
        </w:rPr>
        <w:t>-associated infections (HAIs) (</w:t>
      </w:r>
      <w:proofErr w:type="spellStart"/>
      <w:r w:rsidRPr="00B031A0">
        <w:rPr>
          <w:rFonts w:ascii="Arial" w:hAnsi="Arial" w:cs="Arial"/>
          <w:color w:val="000000" w:themeColor="text1"/>
        </w:rPr>
        <w:t>Mouajou</w:t>
      </w:r>
      <w:proofErr w:type="spellEnd"/>
      <w:r w:rsidRPr="00B031A0">
        <w:rPr>
          <w:rFonts w:ascii="Arial" w:hAnsi="Arial" w:cs="Arial"/>
          <w:color w:val="000000" w:themeColor="text1"/>
        </w:rPr>
        <w:t xml:space="preserve"> </w:t>
      </w:r>
      <w:r w:rsidR="00776C49" w:rsidRPr="00B031A0">
        <w:rPr>
          <w:rFonts w:ascii="Arial" w:hAnsi="Arial" w:cs="Arial"/>
          <w:color w:val="000000" w:themeColor="text1"/>
        </w:rPr>
        <w:t>et al</w:t>
      </w:r>
      <w:r w:rsidRPr="00B031A0">
        <w:rPr>
          <w:rFonts w:ascii="Arial" w:hAnsi="Arial" w:cs="Arial"/>
          <w:color w:val="000000" w:themeColor="text1"/>
        </w:rPr>
        <w:t>., 2022), the UK-specific systematic reviews on the topic relating to nursing practice are still limited.</w:t>
      </w:r>
    </w:p>
    <w:p w14:paraId="419702EA" w14:textId="2CBA21CB" w:rsidR="00C77BF3" w:rsidRPr="00B031A0" w:rsidRDefault="00115699">
      <w:pPr>
        <w:rPr>
          <w:rFonts w:ascii="Arial" w:hAnsi="Arial" w:cs="Arial"/>
          <w:color w:val="000000" w:themeColor="text1"/>
        </w:rPr>
      </w:pPr>
      <w:r w:rsidRPr="00B031A0">
        <w:rPr>
          <w:rFonts w:ascii="Arial" w:hAnsi="Arial" w:cs="Arial"/>
          <w:color w:val="000000" w:themeColor="text1"/>
        </w:rPr>
        <w:lastRenderedPageBreak/>
        <w:t xml:space="preserve">This issue has economic ramifications. Extended admissions, extra treatments, and managing antimicrobial resistance all bring a significant economic burden to the National Health Service (NHS) and are a source of </w:t>
      </w:r>
      <w:proofErr w:type="gramStart"/>
      <w:r w:rsidRPr="00B031A0">
        <w:rPr>
          <w:rFonts w:ascii="Arial" w:hAnsi="Arial" w:cs="Arial"/>
          <w:color w:val="000000" w:themeColor="text1"/>
        </w:rPr>
        <w:t>Healthcare</w:t>
      </w:r>
      <w:proofErr w:type="gramEnd"/>
      <w:r w:rsidRPr="00B031A0">
        <w:rPr>
          <w:rFonts w:ascii="Arial" w:hAnsi="Arial" w:cs="Arial"/>
          <w:color w:val="000000" w:themeColor="text1"/>
        </w:rPr>
        <w:t>-associated infections (HAIs)</w:t>
      </w:r>
      <w:r w:rsidR="004553F0">
        <w:rPr>
          <w:rFonts w:ascii="Arial" w:hAnsi="Arial" w:cs="Arial"/>
          <w:color w:val="000000" w:themeColor="text1"/>
        </w:rPr>
        <w:t xml:space="preserve"> </w:t>
      </w:r>
      <w:r w:rsidR="005328C8">
        <w:rPr>
          <w:rFonts w:ascii="Arial" w:hAnsi="Arial" w:cs="Arial"/>
          <w:color w:val="000000" w:themeColor="text1"/>
        </w:rPr>
        <w:t>(</w:t>
      </w:r>
      <w:r w:rsidR="004553F0" w:rsidRPr="00B031A0">
        <w:rPr>
          <w:rFonts w:ascii="Arial" w:hAnsi="Arial" w:cs="Arial"/>
          <w:color w:val="000000" w:themeColor="text1"/>
        </w:rPr>
        <w:t>Kutter et al., 2018)</w:t>
      </w:r>
      <w:r w:rsidRPr="00B031A0">
        <w:rPr>
          <w:rFonts w:ascii="Arial" w:hAnsi="Arial" w:cs="Arial"/>
          <w:color w:val="000000" w:themeColor="text1"/>
        </w:rPr>
        <w:t xml:space="preserve">. This review can help deliver cost-saving strategies and the better allocation of resources when identifying effective interventions. In addition, </w:t>
      </w:r>
      <w:r w:rsidR="007C25F7">
        <w:rPr>
          <w:rFonts w:ascii="Arial" w:hAnsi="Arial" w:cs="Arial"/>
          <w:color w:val="000000" w:themeColor="text1"/>
        </w:rPr>
        <w:t>given</w:t>
      </w:r>
      <w:r w:rsidRPr="00B031A0">
        <w:rPr>
          <w:rFonts w:ascii="Arial" w:hAnsi="Arial" w:cs="Arial"/>
          <w:color w:val="000000" w:themeColor="text1"/>
        </w:rPr>
        <w:t xml:space="preserve"> the time of this study in </w:t>
      </w:r>
      <w:r w:rsidR="007C25F7">
        <w:rPr>
          <w:rFonts w:ascii="Arial" w:hAnsi="Arial" w:cs="Arial"/>
          <w:color w:val="000000" w:themeColor="text1"/>
        </w:rPr>
        <w:t xml:space="preserve">the </w:t>
      </w:r>
      <w:r w:rsidRPr="00B031A0">
        <w:rPr>
          <w:rFonts w:ascii="Arial" w:hAnsi="Arial" w:cs="Arial"/>
          <w:color w:val="000000" w:themeColor="text1"/>
        </w:rPr>
        <w:t xml:space="preserve">COVID era, hygiene behaviours were hard to sustain (Ali </w:t>
      </w:r>
      <w:r w:rsidR="00776C49" w:rsidRPr="00B031A0">
        <w:rPr>
          <w:rFonts w:ascii="Arial" w:hAnsi="Arial" w:cs="Arial"/>
          <w:color w:val="000000" w:themeColor="text1"/>
        </w:rPr>
        <w:t>et al</w:t>
      </w:r>
      <w:r w:rsidRPr="00B031A0">
        <w:rPr>
          <w:rFonts w:ascii="Arial" w:hAnsi="Arial" w:cs="Arial"/>
          <w:color w:val="000000" w:themeColor="text1"/>
        </w:rPr>
        <w:t xml:space="preserve">., 2023), and this study will </w:t>
      </w:r>
      <w:r w:rsidR="007C25F7">
        <w:rPr>
          <w:rFonts w:ascii="Arial" w:hAnsi="Arial" w:cs="Arial"/>
          <w:color w:val="000000" w:themeColor="text1"/>
        </w:rPr>
        <w:t>provide</w:t>
      </w:r>
      <w:r w:rsidRPr="00B031A0">
        <w:rPr>
          <w:rFonts w:ascii="Arial" w:hAnsi="Arial" w:cs="Arial"/>
          <w:color w:val="000000" w:themeColor="text1"/>
        </w:rPr>
        <w:t xml:space="preserve"> current evidence to support the national guidelines and training</w:t>
      </w:r>
      <w:r w:rsidR="004553F0">
        <w:rPr>
          <w:rFonts w:ascii="Arial" w:hAnsi="Arial" w:cs="Arial"/>
          <w:color w:val="000000" w:themeColor="text1"/>
        </w:rPr>
        <w:t xml:space="preserve"> </w:t>
      </w:r>
      <w:r w:rsidR="004553F0" w:rsidRPr="00B031A0">
        <w:rPr>
          <w:rFonts w:ascii="Arial" w:hAnsi="Arial" w:cs="Arial"/>
          <w:color w:val="000000" w:themeColor="text1"/>
        </w:rPr>
        <w:t>Kutter et al., 2018)</w:t>
      </w:r>
      <w:r w:rsidRPr="00B031A0">
        <w:rPr>
          <w:rFonts w:ascii="Arial" w:hAnsi="Arial" w:cs="Arial"/>
          <w:color w:val="000000" w:themeColor="text1"/>
        </w:rPr>
        <w:t>.</w:t>
      </w:r>
    </w:p>
    <w:p w14:paraId="59579B68" w14:textId="11045563" w:rsidR="00C77BF3" w:rsidRPr="00B031A0" w:rsidRDefault="00115699">
      <w:pPr>
        <w:rPr>
          <w:rFonts w:ascii="Arial" w:hAnsi="Arial" w:cs="Arial"/>
          <w:color w:val="000000" w:themeColor="text1"/>
        </w:rPr>
      </w:pPr>
      <w:r w:rsidRPr="00B031A0">
        <w:rPr>
          <w:rFonts w:ascii="Arial" w:hAnsi="Arial" w:cs="Arial"/>
          <w:color w:val="000000" w:themeColor="text1"/>
        </w:rPr>
        <w:t xml:space="preserve">Theoretically, it contributes to the understanding of the complex interplay between individual </w:t>
      </w:r>
      <w:r w:rsidR="007F5072">
        <w:rPr>
          <w:rFonts w:ascii="Arial" w:hAnsi="Arial" w:cs="Arial"/>
          <w:color w:val="000000" w:themeColor="text1"/>
        </w:rPr>
        <w:t>behaviour</w:t>
      </w:r>
      <w:r w:rsidRPr="00B031A0">
        <w:rPr>
          <w:rFonts w:ascii="Arial" w:hAnsi="Arial" w:cs="Arial"/>
          <w:color w:val="000000" w:themeColor="text1"/>
        </w:rPr>
        <w:t xml:space="preserve">, </w:t>
      </w:r>
      <w:r w:rsidR="007F5072">
        <w:rPr>
          <w:rFonts w:ascii="Arial" w:hAnsi="Arial" w:cs="Arial"/>
          <w:color w:val="000000" w:themeColor="text1"/>
        </w:rPr>
        <w:t>organisational</w:t>
      </w:r>
      <w:r w:rsidRPr="00B031A0">
        <w:rPr>
          <w:rFonts w:ascii="Arial" w:hAnsi="Arial" w:cs="Arial"/>
          <w:color w:val="000000" w:themeColor="text1"/>
        </w:rPr>
        <w:t xml:space="preserve"> factors, and patient outcomes in infection control</w:t>
      </w:r>
      <w:r w:rsidR="004553F0">
        <w:rPr>
          <w:rFonts w:ascii="Arial" w:hAnsi="Arial" w:cs="Arial"/>
          <w:color w:val="000000" w:themeColor="text1"/>
        </w:rPr>
        <w:t xml:space="preserve"> </w:t>
      </w:r>
      <w:r w:rsidR="004553F0" w:rsidRPr="00B031A0">
        <w:rPr>
          <w:rFonts w:ascii="Arial" w:hAnsi="Arial" w:cs="Arial"/>
          <w:color w:val="000000" w:themeColor="text1"/>
        </w:rPr>
        <w:t>(Ali et al., 2023)</w:t>
      </w:r>
      <w:r w:rsidRPr="00B031A0">
        <w:rPr>
          <w:rFonts w:ascii="Arial" w:hAnsi="Arial" w:cs="Arial"/>
          <w:color w:val="000000" w:themeColor="text1"/>
        </w:rPr>
        <w:t xml:space="preserve">. Results </w:t>
      </w:r>
      <w:r w:rsidR="007F5072">
        <w:rPr>
          <w:rFonts w:ascii="Arial" w:hAnsi="Arial" w:cs="Arial"/>
          <w:color w:val="000000" w:themeColor="text1"/>
        </w:rPr>
        <w:t>guide</w:t>
      </w:r>
      <w:r w:rsidRPr="00B031A0">
        <w:rPr>
          <w:rFonts w:ascii="Arial" w:hAnsi="Arial" w:cs="Arial"/>
          <w:color w:val="000000" w:themeColor="text1"/>
        </w:rPr>
        <w:t xml:space="preserve"> policymakers and hospital managers in the development of health systems that create more effective compliance monitoring systems, educational interventions, and supportive workplace cultures (Kutter </w:t>
      </w:r>
      <w:r w:rsidR="00776C49" w:rsidRPr="00B031A0">
        <w:rPr>
          <w:rFonts w:ascii="Arial" w:hAnsi="Arial" w:cs="Arial"/>
          <w:color w:val="000000" w:themeColor="text1"/>
        </w:rPr>
        <w:t>et al</w:t>
      </w:r>
      <w:r w:rsidRPr="00B031A0">
        <w:rPr>
          <w:rFonts w:ascii="Arial" w:hAnsi="Arial" w:cs="Arial"/>
          <w:color w:val="000000" w:themeColor="text1"/>
        </w:rPr>
        <w:t xml:space="preserve">., 2018). In conclusion, the findings of this research could have the potential to touch healthcare delivery in UK hospitals in the areas of safer, higher-quality, and more sustainable healthcare delivery, benefiting patients, healthcare professionals, and society at large (Religioni </w:t>
      </w:r>
      <w:r w:rsidR="00776C49" w:rsidRPr="00B031A0">
        <w:rPr>
          <w:rFonts w:ascii="Arial" w:hAnsi="Arial" w:cs="Arial"/>
          <w:color w:val="000000" w:themeColor="text1"/>
        </w:rPr>
        <w:t>et al</w:t>
      </w:r>
      <w:r w:rsidRPr="00B031A0">
        <w:rPr>
          <w:rFonts w:ascii="Arial" w:hAnsi="Arial" w:cs="Arial"/>
          <w:color w:val="000000" w:themeColor="text1"/>
        </w:rPr>
        <w:t>., 2025).</w:t>
      </w:r>
    </w:p>
    <w:p w14:paraId="10F1BACD" w14:textId="7BAF3937" w:rsidR="00C77BF3" w:rsidRPr="00B031A0" w:rsidRDefault="00115699" w:rsidP="007F5072">
      <w:pPr>
        <w:pStyle w:val="Heading1"/>
        <w:jc w:val="both"/>
      </w:pPr>
      <w:bookmarkStart w:id="9" w:name="_Toc240208789"/>
      <w:r w:rsidRPr="00B031A0">
        <w:t>1.9 Summary</w:t>
      </w:r>
      <w:bookmarkEnd w:id="9"/>
      <w:r w:rsidRPr="00B031A0">
        <w:t xml:space="preserve"> </w:t>
      </w:r>
    </w:p>
    <w:p w14:paraId="24981208" w14:textId="45E0D865" w:rsidR="00C77BF3" w:rsidRPr="00B031A0" w:rsidRDefault="00115699">
      <w:pPr>
        <w:rPr>
          <w:rFonts w:ascii="Arial" w:hAnsi="Arial" w:cs="Arial"/>
          <w:color w:val="000000" w:themeColor="text1"/>
        </w:rPr>
      </w:pPr>
      <w:r w:rsidRPr="00B031A0">
        <w:rPr>
          <w:rFonts w:ascii="Arial" w:hAnsi="Arial" w:cs="Arial"/>
          <w:color w:val="000000" w:themeColor="text1"/>
        </w:rPr>
        <w:t xml:space="preserve">The chapter has provided insight into the important matter of healthcare-associated infections (HAIs) occurring in hospitals throughout the UK and the central role that hand hygiene compliance plays in preventing infections. It has presented the problem statement of the research, the reasons for doing this systematic review, the aim, the objectives, and the research questions of this systematic review. Persistent compliance issues have been </w:t>
      </w:r>
      <w:r w:rsidR="007C25F7">
        <w:rPr>
          <w:rFonts w:ascii="Arial" w:hAnsi="Arial" w:cs="Arial"/>
          <w:color w:val="000000" w:themeColor="text1"/>
        </w:rPr>
        <w:t>emphasised</w:t>
      </w:r>
      <w:r w:rsidRPr="00B031A0">
        <w:rPr>
          <w:rFonts w:ascii="Arial" w:hAnsi="Arial" w:cs="Arial"/>
          <w:color w:val="000000" w:themeColor="text1"/>
        </w:rPr>
        <w:t xml:space="preserve"> in the context of patient safety, </w:t>
      </w:r>
      <w:r w:rsidR="007C25F7">
        <w:rPr>
          <w:rFonts w:ascii="Arial" w:hAnsi="Arial" w:cs="Arial"/>
          <w:color w:val="000000" w:themeColor="text1"/>
        </w:rPr>
        <w:t xml:space="preserve">the </w:t>
      </w:r>
      <w:r w:rsidRPr="00B031A0">
        <w:rPr>
          <w:rFonts w:ascii="Arial" w:hAnsi="Arial" w:cs="Arial"/>
          <w:color w:val="000000" w:themeColor="text1"/>
        </w:rPr>
        <w:t>cost of the National Health Service (NHS), and quality of care. The chapter provides a robust background to the later literature study, methodology, and evidence-based research for this important public health concern</w:t>
      </w:r>
      <w:r w:rsidR="00B052D6">
        <w:rPr>
          <w:rFonts w:ascii="Arial" w:hAnsi="Arial" w:cs="Arial"/>
          <w:color w:val="000000" w:themeColor="text1"/>
        </w:rPr>
        <w:t>.</w:t>
      </w:r>
    </w:p>
    <w:p w14:paraId="78F88249" w14:textId="77777777" w:rsidR="00C77BF3" w:rsidRPr="00B031A0" w:rsidRDefault="00C77BF3">
      <w:pPr>
        <w:rPr>
          <w:rFonts w:ascii="Arial" w:hAnsi="Arial" w:cs="Arial"/>
          <w:color w:val="000000" w:themeColor="text1"/>
        </w:rPr>
      </w:pPr>
    </w:p>
    <w:p w14:paraId="70AB325D" w14:textId="77777777" w:rsidR="00C77BF3" w:rsidRPr="00B031A0" w:rsidRDefault="00C77BF3">
      <w:pPr>
        <w:rPr>
          <w:rFonts w:ascii="Arial" w:hAnsi="Arial" w:cs="Arial"/>
          <w:color w:val="000000" w:themeColor="text1"/>
        </w:rPr>
      </w:pPr>
    </w:p>
    <w:p w14:paraId="39F57E8C" w14:textId="5F9E4DBE" w:rsidR="00C77BF3" w:rsidRPr="00B031A0" w:rsidRDefault="00C77BF3">
      <w:pPr>
        <w:rPr>
          <w:rFonts w:ascii="Arial" w:hAnsi="Arial" w:cs="Arial"/>
          <w:b/>
          <w:bCs/>
          <w:color w:val="000000" w:themeColor="text1"/>
        </w:rPr>
      </w:pPr>
    </w:p>
    <w:p w14:paraId="1A04862C" w14:textId="77777777" w:rsidR="00C77BF3" w:rsidRPr="00B031A0" w:rsidRDefault="00115699" w:rsidP="007C25F7">
      <w:pPr>
        <w:pStyle w:val="Heading1"/>
      </w:pPr>
      <w:bookmarkStart w:id="10" w:name="_Toc240208790"/>
      <w:r w:rsidRPr="00B031A0">
        <w:lastRenderedPageBreak/>
        <w:t>Chapter 2: Literature review/theoretical framework</w:t>
      </w:r>
      <w:bookmarkEnd w:id="10"/>
      <w:r w:rsidRPr="00B031A0">
        <w:t xml:space="preserve"> </w:t>
      </w:r>
    </w:p>
    <w:p w14:paraId="3A9BFA23" w14:textId="77777777" w:rsidR="00C77BF3" w:rsidRPr="00B031A0" w:rsidRDefault="00115699" w:rsidP="007C25F7">
      <w:pPr>
        <w:pStyle w:val="Heading1"/>
        <w:spacing w:before="240" w:line="240" w:lineRule="auto"/>
        <w:jc w:val="both"/>
      </w:pPr>
      <w:bookmarkStart w:id="11" w:name="_Toc240208791"/>
      <w:r w:rsidRPr="00B031A0">
        <w:t>2.1 Introduction</w:t>
      </w:r>
      <w:bookmarkEnd w:id="11"/>
      <w:r w:rsidRPr="00B031A0">
        <w:t xml:space="preserve"> </w:t>
      </w:r>
    </w:p>
    <w:p w14:paraId="0CD7D461" w14:textId="1A20DE64" w:rsidR="00C77BF3" w:rsidRPr="00B031A0" w:rsidRDefault="00115699">
      <w:pPr>
        <w:rPr>
          <w:rFonts w:ascii="Arial" w:hAnsi="Arial" w:cs="Arial"/>
          <w:color w:val="000000" w:themeColor="text1"/>
        </w:rPr>
      </w:pPr>
      <w:r w:rsidRPr="00B031A0">
        <w:rPr>
          <w:rFonts w:ascii="Arial" w:hAnsi="Arial" w:cs="Arial"/>
          <w:color w:val="000000" w:themeColor="text1"/>
        </w:rPr>
        <w:t xml:space="preserve">The chapter will be a critique of the existing literature on the impact of hand hygiene compliance of nursing staff on healthcare-associated infections (HCAIs) in UK hospitals. It will concentrate on the most common healthcare-associated infections (HCAIs), why healthcare workers have not adopted hand hygiene, and how various interventions addressing hand hygiene can be effective in preventing infections. The chapter shall also highlight the gap areas in the existing literature that are critical and introduce relevant theories and models to create a conceptual framework of the systematic review. </w:t>
      </w:r>
    </w:p>
    <w:p w14:paraId="4EFB418A" w14:textId="77777777" w:rsidR="00C77BF3" w:rsidRPr="00B031A0" w:rsidRDefault="00115699" w:rsidP="007C25F7">
      <w:pPr>
        <w:pStyle w:val="Heading1"/>
        <w:jc w:val="both"/>
      </w:pPr>
      <w:bookmarkStart w:id="12" w:name="_Toc240208792"/>
      <w:r w:rsidRPr="00B031A0">
        <w:t>2.2 Literature Search Strategy</w:t>
      </w:r>
      <w:bookmarkEnd w:id="12"/>
      <w:r w:rsidRPr="00B031A0">
        <w:t xml:space="preserve"> </w:t>
      </w:r>
    </w:p>
    <w:p w14:paraId="180E1CBC" w14:textId="4191D8DC" w:rsidR="00C77BF3" w:rsidRPr="00B031A0" w:rsidRDefault="00115699">
      <w:pPr>
        <w:rPr>
          <w:rFonts w:ascii="Arial" w:hAnsi="Arial" w:cs="Arial"/>
          <w:color w:val="000000" w:themeColor="text1"/>
        </w:rPr>
      </w:pPr>
      <w:r w:rsidRPr="00B031A0">
        <w:rPr>
          <w:rFonts w:ascii="Arial" w:hAnsi="Arial" w:cs="Arial"/>
          <w:color w:val="000000" w:themeColor="text1"/>
        </w:rPr>
        <w:t xml:space="preserve">The scanning of the literature was conducted to establish crucial concepts, theoretical perspectives, and existing evidence </w:t>
      </w:r>
      <w:r w:rsidR="0000352A" w:rsidRPr="00B031A0">
        <w:rPr>
          <w:rFonts w:ascii="Arial" w:hAnsi="Arial" w:cs="Arial"/>
          <w:color w:val="000000" w:themeColor="text1"/>
        </w:rPr>
        <w:t>in</w:t>
      </w:r>
      <w:r w:rsidRPr="00B031A0">
        <w:rPr>
          <w:rFonts w:ascii="Arial" w:hAnsi="Arial" w:cs="Arial"/>
          <w:color w:val="000000" w:themeColor="text1"/>
        </w:rPr>
        <w:t xml:space="preserve"> hand hygiene compliance by nurses and healthcare-associated infections (HAIs) in hospitals within the UK. The scoping search also had the purpose of giving an overview of the field of research and creating a context upon which the study is going to take place, unlike the systematic review search (Kutter </w:t>
      </w:r>
      <w:r w:rsidR="00776C49" w:rsidRPr="00B031A0">
        <w:rPr>
          <w:rFonts w:ascii="Arial" w:hAnsi="Arial" w:cs="Arial"/>
          <w:color w:val="000000" w:themeColor="text1"/>
        </w:rPr>
        <w:t>et al</w:t>
      </w:r>
      <w:r w:rsidRPr="00B031A0">
        <w:rPr>
          <w:rFonts w:ascii="Arial" w:hAnsi="Arial" w:cs="Arial"/>
          <w:color w:val="000000" w:themeColor="text1"/>
        </w:rPr>
        <w:t xml:space="preserve">., 2018). The searches in electronic databases were performed in PubMed, CINAHL, Scopus and Google Scholar due to the inclusion of high-quality literature in healthcare, nursing and prevention of infection in their indexes. The primary search terms </w:t>
      </w:r>
      <w:proofErr w:type="gramStart"/>
      <w:r w:rsidRPr="00B031A0">
        <w:rPr>
          <w:rFonts w:ascii="Arial" w:hAnsi="Arial" w:cs="Arial"/>
          <w:color w:val="000000" w:themeColor="text1"/>
        </w:rPr>
        <w:t>were:</w:t>
      </w:r>
      <w:proofErr w:type="gramEnd"/>
      <w:r w:rsidRPr="00B031A0">
        <w:rPr>
          <w:rFonts w:ascii="Arial" w:hAnsi="Arial" w:cs="Arial"/>
          <w:color w:val="000000" w:themeColor="text1"/>
        </w:rPr>
        <w:t xml:space="preserve"> hand hygiene compliance, nurses, healthcare-associated infections, hospital-acquired infections, infection prevention, patient safety, United Kingdom, National Health Service (NHS) hospitals and hand hygiene interventions (Religioni </w:t>
      </w:r>
      <w:r w:rsidR="00776C49" w:rsidRPr="00B031A0">
        <w:rPr>
          <w:rFonts w:ascii="Arial" w:hAnsi="Arial" w:cs="Arial"/>
          <w:color w:val="000000" w:themeColor="text1"/>
        </w:rPr>
        <w:t>et al</w:t>
      </w:r>
      <w:r w:rsidRPr="00B031A0">
        <w:rPr>
          <w:rFonts w:ascii="Arial" w:hAnsi="Arial" w:cs="Arial"/>
          <w:color w:val="000000" w:themeColor="text1"/>
        </w:rPr>
        <w:t>., 2025). To narrow the search to retrieve the relevant publications, Boolean operators like AND, OR and NOT were employed to narrow down the search.</w:t>
      </w:r>
    </w:p>
    <w:p w14:paraId="7071045A" w14:textId="2C5A6A41" w:rsidR="00C77BF3" w:rsidRPr="00B031A0" w:rsidRDefault="00115699">
      <w:pPr>
        <w:rPr>
          <w:rFonts w:ascii="Arial" w:hAnsi="Arial" w:cs="Arial"/>
          <w:color w:val="000000" w:themeColor="text1"/>
        </w:rPr>
      </w:pPr>
      <w:r w:rsidRPr="00B031A0">
        <w:rPr>
          <w:rFonts w:ascii="Arial" w:hAnsi="Arial" w:cs="Arial"/>
          <w:color w:val="000000" w:themeColor="text1"/>
        </w:rPr>
        <w:t xml:space="preserve">Care was taken so that emphasis was paid to systematic reviews, meta-analyses, clinical guidelines and empirical studies that have been published in peer-reviewed journals. The World Health Organisation (WHO) and National Health Service (NHS)England also provided guidance on hand hygiene, which was consulted to find out about the hand hygiene standards and infection control according to the international standard. The chosen scoping literature served to detect common themes, existing evidence, theoretical insights and contradictions in the available </w:t>
      </w:r>
      <w:r w:rsidRPr="00B031A0">
        <w:rPr>
          <w:rFonts w:ascii="Arial" w:hAnsi="Arial" w:cs="Arial"/>
          <w:color w:val="000000" w:themeColor="text1"/>
        </w:rPr>
        <w:lastRenderedPageBreak/>
        <w:t xml:space="preserve">literature (Besnier </w:t>
      </w:r>
      <w:r w:rsidR="00776C49" w:rsidRPr="00B031A0">
        <w:rPr>
          <w:rFonts w:ascii="Arial" w:hAnsi="Arial" w:cs="Arial"/>
          <w:color w:val="000000" w:themeColor="text1"/>
        </w:rPr>
        <w:t>et al</w:t>
      </w:r>
      <w:r w:rsidRPr="00B031A0">
        <w:rPr>
          <w:rFonts w:ascii="Arial" w:hAnsi="Arial" w:cs="Arial"/>
          <w:color w:val="000000" w:themeColor="text1"/>
        </w:rPr>
        <w:t xml:space="preserve">., 2026). Furthermore, it informed the literature review by considering key factors that influenced the adherence of nurses to hand hygiene and its relationship with the reduction of healthcare-associated infections in UK hospitals. </w:t>
      </w:r>
    </w:p>
    <w:p w14:paraId="3AC0E968" w14:textId="77777777" w:rsidR="00C77BF3" w:rsidRPr="00B031A0" w:rsidRDefault="00115699" w:rsidP="007C25F7">
      <w:pPr>
        <w:pStyle w:val="Heading1"/>
        <w:jc w:val="both"/>
      </w:pPr>
      <w:bookmarkStart w:id="13" w:name="_Toc240208793"/>
      <w:r w:rsidRPr="00B031A0">
        <w:t>2.3 Literature Review</w:t>
      </w:r>
      <w:bookmarkEnd w:id="13"/>
      <w:r w:rsidRPr="00B031A0">
        <w:t xml:space="preserve"> </w:t>
      </w:r>
    </w:p>
    <w:p w14:paraId="15C7063D" w14:textId="77777777" w:rsidR="00C77BF3" w:rsidRPr="00B031A0" w:rsidRDefault="00115699" w:rsidP="007C25F7">
      <w:pPr>
        <w:pStyle w:val="Heading2"/>
      </w:pPr>
      <w:bookmarkStart w:id="14" w:name="_Toc240208794"/>
      <w:r w:rsidRPr="00B031A0">
        <w:t>2.3.1 Most common healthcare-associated infections in UK hospitals</w:t>
      </w:r>
      <w:bookmarkEnd w:id="14"/>
    </w:p>
    <w:p w14:paraId="0F470244" w14:textId="133941D2" w:rsidR="00C77BF3" w:rsidRPr="00B031A0" w:rsidRDefault="00115699">
      <w:pPr>
        <w:rPr>
          <w:rFonts w:ascii="Arial" w:hAnsi="Arial" w:cs="Arial"/>
          <w:color w:val="000000" w:themeColor="text1"/>
        </w:rPr>
      </w:pPr>
      <w:r w:rsidRPr="00B031A0">
        <w:rPr>
          <w:rFonts w:ascii="Arial" w:hAnsi="Arial" w:cs="Arial"/>
          <w:color w:val="000000" w:themeColor="text1"/>
        </w:rPr>
        <w:t xml:space="preserve">Healthcare-associated infections (HCAIs) remain a </w:t>
      </w:r>
      <w:r w:rsidR="007C25F7">
        <w:rPr>
          <w:rFonts w:ascii="Arial" w:hAnsi="Arial" w:cs="Arial"/>
          <w:color w:val="000000" w:themeColor="text1"/>
        </w:rPr>
        <w:t>major</w:t>
      </w:r>
      <w:r w:rsidRPr="00B031A0">
        <w:rPr>
          <w:rFonts w:ascii="Arial" w:hAnsi="Arial" w:cs="Arial"/>
          <w:color w:val="000000" w:themeColor="text1"/>
        </w:rPr>
        <w:t xml:space="preserve"> patient-safety problem within UK hospitals. Poor hand hygiene is not the only cause; </w:t>
      </w:r>
      <w:r w:rsidR="007C25F7">
        <w:rPr>
          <w:rFonts w:ascii="Arial" w:hAnsi="Arial" w:cs="Arial"/>
          <w:color w:val="000000" w:themeColor="text1"/>
        </w:rPr>
        <w:t>infections</w:t>
      </w:r>
      <w:r w:rsidRPr="00B031A0">
        <w:rPr>
          <w:rFonts w:ascii="Arial" w:hAnsi="Arial" w:cs="Arial"/>
          <w:color w:val="000000" w:themeColor="text1"/>
        </w:rPr>
        <w:t xml:space="preserve"> can </w:t>
      </w:r>
      <w:r w:rsidR="007C25F7">
        <w:rPr>
          <w:rFonts w:ascii="Arial" w:hAnsi="Arial" w:cs="Arial"/>
          <w:color w:val="000000" w:themeColor="text1"/>
        </w:rPr>
        <w:t xml:space="preserve">also </w:t>
      </w:r>
      <w:r w:rsidRPr="00B031A0">
        <w:rPr>
          <w:rFonts w:ascii="Arial" w:hAnsi="Arial" w:cs="Arial"/>
          <w:color w:val="000000" w:themeColor="text1"/>
        </w:rPr>
        <w:t xml:space="preserve">be caused by poor hand hygiene (National Health Service England, 2023). However, as nurses often work with different patients, equipment and clinical conditions, their compliance is extremely important in breaking the connections of pathogen spread. The main HCAIs differ in their cause, symptoms and other reactions to hand-hygiene activities (Ghafouri, Kermani and </w:t>
      </w:r>
      <w:proofErr w:type="spellStart"/>
      <w:r w:rsidRPr="00B031A0">
        <w:rPr>
          <w:rFonts w:ascii="Arial" w:hAnsi="Arial" w:cs="Arial"/>
          <w:color w:val="000000" w:themeColor="text1"/>
        </w:rPr>
        <w:t>Namaghi</w:t>
      </w:r>
      <w:proofErr w:type="spellEnd"/>
      <w:r w:rsidRPr="00B031A0">
        <w:rPr>
          <w:rFonts w:ascii="Arial" w:hAnsi="Arial" w:cs="Arial"/>
          <w:color w:val="000000" w:themeColor="text1"/>
        </w:rPr>
        <w:t xml:space="preserve">, 2026). </w:t>
      </w:r>
    </w:p>
    <w:p w14:paraId="322EB5B5" w14:textId="77777777" w:rsidR="00C77BF3" w:rsidRPr="00B031A0" w:rsidRDefault="00115699">
      <w:pPr>
        <w:rPr>
          <w:rFonts w:ascii="Arial" w:hAnsi="Arial" w:cs="Arial"/>
          <w:b/>
          <w:bCs/>
          <w:color w:val="000000" w:themeColor="text1"/>
        </w:rPr>
      </w:pPr>
      <w:r w:rsidRPr="00B031A0">
        <w:rPr>
          <w:rFonts w:ascii="Arial" w:hAnsi="Arial" w:cs="Arial"/>
          <w:b/>
          <w:bCs/>
          <w:color w:val="000000" w:themeColor="text1"/>
        </w:rPr>
        <w:t>Urinary Tract Infections</w:t>
      </w:r>
    </w:p>
    <w:p w14:paraId="44FDB3C6" w14:textId="67999591" w:rsidR="00C77BF3" w:rsidRPr="00B031A0" w:rsidRDefault="00115699">
      <w:pPr>
        <w:rPr>
          <w:rFonts w:ascii="Arial" w:hAnsi="Arial" w:cs="Arial"/>
          <w:color w:val="000000" w:themeColor="text1"/>
        </w:rPr>
      </w:pPr>
      <w:r w:rsidRPr="00B031A0">
        <w:rPr>
          <w:rFonts w:ascii="Arial" w:hAnsi="Arial" w:cs="Arial"/>
          <w:color w:val="000000" w:themeColor="text1"/>
        </w:rPr>
        <w:t xml:space="preserve">Gad and </w:t>
      </w:r>
      <w:proofErr w:type="spellStart"/>
      <w:r w:rsidRPr="00B031A0">
        <w:rPr>
          <w:rFonts w:ascii="Arial" w:hAnsi="Arial" w:cs="Arial"/>
          <w:color w:val="000000" w:themeColor="text1"/>
        </w:rPr>
        <w:t>AbdelAziz</w:t>
      </w:r>
      <w:proofErr w:type="spellEnd"/>
      <w:r w:rsidRPr="00B031A0">
        <w:rPr>
          <w:rFonts w:ascii="Arial" w:hAnsi="Arial" w:cs="Arial"/>
          <w:color w:val="000000" w:themeColor="text1"/>
        </w:rPr>
        <w:t xml:space="preserve"> (2021) point out in their systematic review summarising the current strategies and interventions in reducing urinary tract infections associated with urinary catheters, use and the need for re-catheterisation that urinary tract infections are the most commonly reported Healthcare-associated infections (HCAIs)are urinary tract infection and, in particular, catheter-associated urinary tract infections. They are usually formed in cases where the urinary catheters give access to microorganisms in the bladder. Compared with those that lead to surgical site</w:t>
      </w:r>
      <w:r w:rsidR="007C25F7">
        <w:rPr>
          <w:rFonts w:ascii="Arial" w:hAnsi="Arial" w:cs="Arial"/>
          <w:color w:val="000000" w:themeColor="text1"/>
        </w:rPr>
        <w:t xml:space="preserve"> infections</w:t>
      </w:r>
      <w:r w:rsidRPr="00B031A0">
        <w:rPr>
          <w:rFonts w:ascii="Arial" w:hAnsi="Arial" w:cs="Arial"/>
          <w:color w:val="000000" w:themeColor="text1"/>
        </w:rPr>
        <w:t xml:space="preserve">, catheter-associated infections are directly linked to the prolonged </w:t>
      </w:r>
      <w:r w:rsidR="007C25F7">
        <w:rPr>
          <w:rFonts w:ascii="Arial" w:hAnsi="Arial" w:cs="Arial"/>
          <w:color w:val="000000" w:themeColor="text1"/>
        </w:rPr>
        <w:t>use</w:t>
      </w:r>
      <w:r w:rsidRPr="00B031A0">
        <w:rPr>
          <w:rFonts w:ascii="Arial" w:hAnsi="Arial" w:cs="Arial"/>
          <w:color w:val="000000" w:themeColor="text1"/>
        </w:rPr>
        <w:t xml:space="preserve"> of the devices and the mismanagement of the catheters rather than </w:t>
      </w:r>
      <w:r w:rsidR="0000352A" w:rsidRPr="00B031A0">
        <w:rPr>
          <w:rFonts w:ascii="Arial" w:hAnsi="Arial" w:cs="Arial"/>
          <w:color w:val="000000" w:themeColor="text1"/>
        </w:rPr>
        <w:t>because of</w:t>
      </w:r>
      <w:r w:rsidRPr="00B031A0">
        <w:rPr>
          <w:rFonts w:ascii="Arial" w:hAnsi="Arial" w:cs="Arial"/>
          <w:color w:val="000000" w:themeColor="text1"/>
        </w:rPr>
        <w:t xml:space="preserve"> the contamination of the environment in the isolation (Skok </w:t>
      </w:r>
      <w:r w:rsidR="00776C49" w:rsidRPr="00B031A0">
        <w:rPr>
          <w:rFonts w:ascii="Arial" w:hAnsi="Arial" w:cs="Arial"/>
          <w:color w:val="000000" w:themeColor="text1"/>
        </w:rPr>
        <w:t>et al</w:t>
      </w:r>
      <w:r w:rsidRPr="00B031A0">
        <w:rPr>
          <w:rFonts w:ascii="Arial" w:hAnsi="Arial" w:cs="Arial"/>
          <w:color w:val="000000" w:themeColor="text1"/>
        </w:rPr>
        <w:t xml:space="preserve">., 2025). However, hand hygiene is still crucial </w:t>
      </w:r>
      <w:r w:rsidR="007C25F7">
        <w:rPr>
          <w:rFonts w:ascii="Arial" w:hAnsi="Arial" w:cs="Arial"/>
          <w:color w:val="000000" w:themeColor="text1"/>
        </w:rPr>
        <w:t>for</w:t>
      </w:r>
      <w:r w:rsidRPr="00B031A0">
        <w:rPr>
          <w:rFonts w:ascii="Arial" w:hAnsi="Arial" w:cs="Arial"/>
          <w:color w:val="000000" w:themeColor="text1"/>
        </w:rPr>
        <w:t xml:space="preserve"> nurses prior to inserting a catheter, handling a drainage bag, and for personal care (Chang </w:t>
      </w:r>
      <w:r w:rsidR="00776C49" w:rsidRPr="00B031A0">
        <w:rPr>
          <w:rFonts w:ascii="Arial" w:hAnsi="Arial" w:cs="Arial"/>
          <w:color w:val="000000" w:themeColor="text1"/>
        </w:rPr>
        <w:t>et al</w:t>
      </w:r>
      <w:r w:rsidRPr="00B031A0">
        <w:rPr>
          <w:rFonts w:ascii="Arial" w:hAnsi="Arial" w:cs="Arial"/>
          <w:color w:val="000000" w:themeColor="text1"/>
        </w:rPr>
        <w:t xml:space="preserve">., 2022). In </w:t>
      </w:r>
      <w:r w:rsidR="007C25F7">
        <w:rPr>
          <w:rFonts w:ascii="Arial" w:hAnsi="Arial" w:cs="Arial"/>
          <w:color w:val="000000" w:themeColor="text1"/>
        </w:rPr>
        <w:t>this</w:t>
      </w:r>
      <w:r w:rsidRPr="00B031A0">
        <w:rPr>
          <w:rFonts w:ascii="Arial" w:hAnsi="Arial" w:cs="Arial"/>
          <w:color w:val="000000" w:themeColor="text1"/>
        </w:rPr>
        <w:t xml:space="preserve"> way, Li </w:t>
      </w:r>
      <w:r w:rsidR="00776C49" w:rsidRPr="00B031A0">
        <w:rPr>
          <w:rFonts w:ascii="Arial" w:hAnsi="Arial" w:cs="Arial"/>
          <w:color w:val="000000" w:themeColor="text1"/>
        </w:rPr>
        <w:t>et al</w:t>
      </w:r>
      <w:r w:rsidRPr="00B031A0">
        <w:rPr>
          <w:rFonts w:ascii="Arial" w:hAnsi="Arial" w:cs="Arial"/>
          <w:color w:val="000000" w:themeColor="text1"/>
        </w:rPr>
        <w:t>. (2025), in their systematic review aimed at evaluating the effectiveness of various interventions in reducing catheter-associated urinary tract infections (CAUTI) incidence in healthcare settings, claimed that invasive devices pose a great risk of infection</w:t>
      </w:r>
      <w:r w:rsidR="007C25F7">
        <w:rPr>
          <w:rFonts w:ascii="Arial" w:hAnsi="Arial" w:cs="Arial"/>
          <w:color w:val="000000" w:themeColor="text1"/>
        </w:rPr>
        <w:t>;</w:t>
      </w:r>
      <w:r w:rsidRPr="00B031A0">
        <w:rPr>
          <w:rFonts w:ascii="Arial" w:hAnsi="Arial" w:cs="Arial"/>
          <w:color w:val="000000" w:themeColor="text1"/>
        </w:rPr>
        <w:t xml:space="preserve"> this means that </w:t>
      </w:r>
      <w:r w:rsidR="007C25F7">
        <w:rPr>
          <w:rFonts w:ascii="Arial" w:hAnsi="Arial" w:cs="Arial"/>
          <w:color w:val="000000" w:themeColor="text1"/>
        </w:rPr>
        <w:t>appropriate</w:t>
      </w:r>
      <w:r w:rsidRPr="00B031A0">
        <w:rPr>
          <w:rFonts w:ascii="Arial" w:hAnsi="Arial" w:cs="Arial"/>
          <w:color w:val="000000" w:themeColor="text1"/>
        </w:rPr>
        <w:t xml:space="preserve"> hand hygiene should be performed in addition to the procedure of catheter removal and aseptic insertion. Thus, the impact of hand hygiene alone might be overestimated by attributing decreases in urinary infections to it. </w:t>
      </w:r>
    </w:p>
    <w:p w14:paraId="53E696A9" w14:textId="77777777" w:rsidR="00C77BF3" w:rsidRPr="00B031A0" w:rsidRDefault="00115699">
      <w:pPr>
        <w:rPr>
          <w:rFonts w:ascii="Arial" w:hAnsi="Arial" w:cs="Arial"/>
          <w:b/>
          <w:bCs/>
          <w:color w:val="000000" w:themeColor="text1"/>
        </w:rPr>
      </w:pPr>
      <w:r w:rsidRPr="00B031A0">
        <w:rPr>
          <w:rFonts w:ascii="Arial" w:hAnsi="Arial" w:cs="Arial"/>
          <w:b/>
          <w:bCs/>
          <w:color w:val="000000" w:themeColor="text1"/>
        </w:rPr>
        <w:lastRenderedPageBreak/>
        <w:t>Surgical-Site Infections</w:t>
      </w:r>
    </w:p>
    <w:p w14:paraId="502EA22B" w14:textId="11307187" w:rsidR="00C77BF3" w:rsidRPr="00B031A0" w:rsidRDefault="00115699">
      <w:pPr>
        <w:rPr>
          <w:rFonts w:ascii="Arial" w:hAnsi="Arial" w:cs="Arial"/>
          <w:color w:val="000000" w:themeColor="text1"/>
        </w:rPr>
      </w:pPr>
      <w:r w:rsidRPr="00B031A0">
        <w:rPr>
          <w:rFonts w:ascii="Arial" w:hAnsi="Arial" w:cs="Arial"/>
          <w:color w:val="000000" w:themeColor="text1"/>
        </w:rPr>
        <w:t xml:space="preserve">In a comprehensive review of the epidemiology, classification, risk factors, microbiological aspects, treatment modalities, and prevention strategies for surgical-site infections, it was found by Rezaei </w:t>
      </w:r>
      <w:r w:rsidR="00776C49" w:rsidRPr="00B031A0">
        <w:rPr>
          <w:rFonts w:ascii="Arial" w:hAnsi="Arial" w:cs="Arial"/>
          <w:color w:val="000000" w:themeColor="text1"/>
        </w:rPr>
        <w:t>et al</w:t>
      </w:r>
      <w:r w:rsidRPr="00B031A0">
        <w:rPr>
          <w:rFonts w:ascii="Arial" w:hAnsi="Arial" w:cs="Arial"/>
          <w:color w:val="000000" w:themeColor="text1"/>
        </w:rPr>
        <w:t xml:space="preserve">. (2025) that Surgical-site infections develop after surgical operations and they could be superficial, deep, or organ-specific. Their progression compared to urinary infections is based on several factors, including the method of surgery, wound management, prophylactic use of antibiotics, morbidities in the patient and the sterility of the theatres (Ayo-Farai </w:t>
      </w:r>
      <w:r w:rsidR="00776C49" w:rsidRPr="00B031A0">
        <w:rPr>
          <w:rFonts w:ascii="Arial" w:hAnsi="Arial" w:cs="Arial"/>
          <w:color w:val="000000" w:themeColor="text1"/>
        </w:rPr>
        <w:t>et al</w:t>
      </w:r>
      <w:r w:rsidRPr="00B031A0">
        <w:rPr>
          <w:rFonts w:ascii="Arial" w:hAnsi="Arial" w:cs="Arial"/>
          <w:color w:val="000000" w:themeColor="text1"/>
        </w:rPr>
        <w:t xml:space="preserve">., 2024). As per the UK Health Security Agency (2025), Surveillance of surgical-site infections in National Health Service (NHS) hospitals by </w:t>
      </w:r>
      <w:r w:rsidR="007C25F7">
        <w:rPr>
          <w:rFonts w:ascii="Arial" w:hAnsi="Arial" w:cs="Arial"/>
          <w:color w:val="000000" w:themeColor="text1"/>
        </w:rPr>
        <w:t xml:space="preserve">the </w:t>
      </w:r>
      <w:r w:rsidRPr="00B031A0">
        <w:rPr>
          <w:rFonts w:ascii="Arial" w:hAnsi="Arial" w:cs="Arial"/>
          <w:color w:val="000000" w:themeColor="text1"/>
        </w:rPr>
        <w:t xml:space="preserve">United Kingdom Health Security Agency (UKHSA) remains specific, proving them to be of ongoing clinical interest. </w:t>
      </w:r>
      <w:r w:rsidR="0000352A" w:rsidRPr="00B031A0">
        <w:rPr>
          <w:rFonts w:ascii="Arial" w:hAnsi="Arial" w:cs="Arial"/>
          <w:color w:val="000000" w:themeColor="text1"/>
        </w:rPr>
        <w:t>Attention</w:t>
      </w:r>
      <w:r w:rsidRPr="00B031A0">
        <w:rPr>
          <w:rFonts w:ascii="Arial" w:hAnsi="Arial" w:cs="Arial"/>
          <w:color w:val="000000" w:themeColor="text1"/>
        </w:rPr>
        <w:t xml:space="preserve"> should be paid to hand hygiene, particularly when nurses need to change dressings or address surgical drains. Its impacts, however, may not be so direct as compared to infections that are transmitted mainly through contact</w:t>
      </w:r>
      <w:r w:rsidR="0000352A">
        <w:rPr>
          <w:rFonts w:ascii="Arial" w:hAnsi="Arial" w:cs="Arial"/>
          <w:color w:val="000000" w:themeColor="text1"/>
        </w:rPr>
        <w:t xml:space="preserve"> (</w:t>
      </w:r>
      <w:r w:rsidR="0000352A" w:rsidRPr="00B031A0">
        <w:rPr>
          <w:rFonts w:ascii="Arial" w:hAnsi="Arial" w:cs="Arial"/>
          <w:color w:val="000000" w:themeColor="text1"/>
        </w:rPr>
        <w:t xml:space="preserve">Rezaei </w:t>
      </w:r>
      <w:r w:rsidR="0000352A">
        <w:rPr>
          <w:rFonts w:ascii="Arial" w:hAnsi="Arial" w:cs="Arial"/>
          <w:color w:val="000000" w:themeColor="text1"/>
        </w:rPr>
        <w:t>et al</w:t>
      </w:r>
      <w:r w:rsidR="00087938">
        <w:rPr>
          <w:rFonts w:ascii="Arial" w:hAnsi="Arial" w:cs="Arial"/>
          <w:color w:val="000000" w:themeColor="text1"/>
        </w:rPr>
        <w:t>.</w:t>
      </w:r>
      <w:r w:rsidR="0000352A">
        <w:rPr>
          <w:rFonts w:ascii="Arial" w:hAnsi="Arial" w:cs="Arial"/>
          <w:color w:val="000000" w:themeColor="text1"/>
        </w:rPr>
        <w:t>, 2025)</w:t>
      </w:r>
      <w:r w:rsidRPr="00B031A0">
        <w:rPr>
          <w:rFonts w:ascii="Arial" w:hAnsi="Arial" w:cs="Arial"/>
          <w:color w:val="000000" w:themeColor="text1"/>
        </w:rPr>
        <w:t xml:space="preserve">. Therefore, hand hygiene should be employed as part of sterile work, necessary antimicrobial prophylaxis and postoperative monitoring of the wound, but not as a standalone intervention to enhance its effectiveness (Ali </w:t>
      </w:r>
      <w:r w:rsidR="00776C49" w:rsidRPr="00B031A0">
        <w:rPr>
          <w:rFonts w:ascii="Arial" w:hAnsi="Arial" w:cs="Arial"/>
          <w:color w:val="000000" w:themeColor="text1"/>
        </w:rPr>
        <w:t>et al</w:t>
      </w:r>
      <w:r w:rsidRPr="00B031A0">
        <w:rPr>
          <w:rFonts w:ascii="Arial" w:hAnsi="Arial" w:cs="Arial"/>
          <w:color w:val="000000" w:themeColor="text1"/>
        </w:rPr>
        <w:t>., 2023).</w:t>
      </w:r>
      <w:r w:rsidRPr="00B031A0">
        <w:rPr>
          <w:rFonts w:ascii="Arial" w:hAnsi="Arial" w:cs="Arial"/>
          <w:b/>
          <w:bCs/>
          <w:color w:val="000000" w:themeColor="text1"/>
        </w:rPr>
        <w:t xml:space="preserve"> </w:t>
      </w:r>
    </w:p>
    <w:p w14:paraId="28101E1E" w14:textId="77777777" w:rsidR="00C77BF3" w:rsidRPr="00B031A0" w:rsidRDefault="00115699">
      <w:pPr>
        <w:rPr>
          <w:rFonts w:ascii="Arial" w:hAnsi="Arial" w:cs="Arial"/>
          <w:color w:val="000000" w:themeColor="text1"/>
        </w:rPr>
      </w:pPr>
      <w:r w:rsidRPr="00B031A0">
        <w:rPr>
          <w:rFonts w:ascii="Arial" w:hAnsi="Arial" w:cs="Arial"/>
          <w:b/>
          <w:bCs/>
          <w:color w:val="000000" w:themeColor="text1"/>
        </w:rPr>
        <w:t>Bloodstream Infections</w:t>
      </w:r>
    </w:p>
    <w:p w14:paraId="0D603E37" w14:textId="117F4B76" w:rsidR="00C77BF3" w:rsidRPr="00B031A0" w:rsidRDefault="00115699">
      <w:pPr>
        <w:rPr>
          <w:rFonts w:ascii="Arial" w:hAnsi="Arial" w:cs="Arial"/>
          <w:color w:val="000000" w:themeColor="text1"/>
        </w:rPr>
      </w:pPr>
      <w:r w:rsidRPr="00B031A0">
        <w:rPr>
          <w:rFonts w:ascii="Arial" w:hAnsi="Arial" w:cs="Arial"/>
          <w:color w:val="000000" w:themeColor="text1"/>
        </w:rPr>
        <w:t xml:space="preserve">Bloodstream infections are those which are a result </w:t>
      </w:r>
      <w:r w:rsidR="007C25F7">
        <w:rPr>
          <w:rFonts w:ascii="Arial" w:hAnsi="Arial" w:cs="Arial"/>
          <w:color w:val="000000" w:themeColor="text1"/>
        </w:rPr>
        <w:t>from</w:t>
      </w:r>
      <w:r w:rsidRPr="00B031A0">
        <w:rPr>
          <w:rFonts w:ascii="Arial" w:hAnsi="Arial" w:cs="Arial"/>
          <w:color w:val="000000" w:themeColor="text1"/>
        </w:rPr>
        <w:t xml:space="preserve"> Escherichia coli, Methicillin-Susceptible Staphylococcus aureus (MSSA), Methicillin-Resistant Staphylococcus aureus (MRSA) and other Gram-negative bacteria (Golli </w:t>
      </w:r>
      <w:r w:rsidR="00776C49" w:rsidRPr="00B031A0">
        <w:rPr>
          <w:rFonts w:ascii="Arial" w:hAnsi="Arial" w:cs="Arial"/>
          <w:color w:val="000000" w:themeColor="text1"/>
        </w:rPr>
        <w:t>et al</w:t>
      </w:r>
      <w:r w:rsidRPr="00B031A0">
        <w:rPr>
          <w:rFonts w:ascii="Arial" w:hAnsi="Arial" w:cs="Arial"/>
          <w:color w:val="000000" w:themeColor="text1"/>
        </w:rPr>
        <w:t xml:space="preserve">., 2022). Bacteraemia can yield more severe consequences compared to superficial infections since the microorganisms are introduced into circulation and can bring about sepsis (Kumar </w:t>
      </w:r>
      <w:r w:rsidR="00776C49" w:rsidRPr="00B031A0">
        <w:rPr>
          <w:rFonts w:ascii="Arial" w:hAnsi="Arial" w:cs="Arial"/>
          <w:color w:val="000000" w:themeColor="text1"/>
        </w:rPr>
        <w:t>et al</w:t>
      </w:r>
      <w:r w:rsidRPr="00B031A0">
        <w:rPr>
          <w:rFonts w:ascii="Arial" w:hAnsi="Arial" w:cs="Arial"/>
          <w:color w:val="000000" w:themeColor="text1"/>
        </w:rPr>
        <w:t xml:space="preserve">., 2026). In an article </w:t>
      </w:r>
      <w:r w:rsidR="007C25F7">
        <w:rPr>
          <w:rFonts w:ascii="Arial" w:hAnsi="Arial" w:cs="Arial"/>
          <w:color w:val="000000" w:themeColor="text1"/>
        </w:rPr>
        <w:t>determining</w:t>
      </w:r>
      <w:r w:rsidRPr="00B031A0">
        <w:rPr>
          <w:rFonts w:ascii="Arial" w:hAnsi="Arial" w:cs="Arial"/>
          <w:color w:val="000000" w:themeColor="text1"/>
        </w:rPr>
        <w:t xml:space="preserve"> the underlying risk factors associated with E. coli bacteraemia, </w:t>
      </w:r>
      <w:proofErr w:type="spellStart"/>
      <w:r w:rsidRPr="00B031A0">
        <w:rPr>
          <w:rFonts w:ascii="Arial" w:hAnsi="Arial" w:cs="Arial"/>
          <w:color w:val="000000" w:themeColor="text1"/>
        </w:rPr>
        <w:t>Nsonwu</w:t>
      </w:r>
      <w:proofErr w:type="spellEnd"/>
      <w:r w:rsidRPr="00B031A0">
        <w:rPr>
          <w:rFonts w:ascii="Arial" w:hAnsi="Arial" w:cs="Arial"/>
          <w:color w:val="000000" w:themeColor="text1"/>
        </w:rPr>
        <w:t xml:space="preserve"> </w:t>
      </w:r>
      <w:r w:rsidR="00776C49" w:rsidRPr="00B031A0">
        <w:rPr>
          <w:rFonts w:ascii="Arial" w:hAnsi="Arial" w:cs="Arial"/>
          <w:color w:val="000000" w:themeColor="text1"/>
        </w:rPr>
        <w:t>et al</w:t>
      </w:r>
      <w:r w:rsidRPr="00B031A0">
        <w:rPr>
          <w:rFonts w:ascii="Arial" w:hAnsi="Arial" w:cs="Arial"/>
          <w:color w:val="000000" w:themeColor="text1"/>
        </w:rPr>
        <w:t xml:space="preserve">. (2025) assert that </w:t>
      </w:r>
      <w:r w:rsidR="007C25F7">
        <w:rPr>
          <w:rFonts w:ascii="Arial" w:hAnsi="Arial" w:cs="Arial"/>
          <w:color w:val="000000" w:themeColor="text1"/>
        </w:rPr>
        <w:t>in</w:t>
      </w:r>
      <w:r w:rsidRPr="00B031A0">
        <w:rPr>
          <w:rFonts w:ascii="Arial" w:hAnsi="Arial" w:cs="Arial"/>
          <w:color w:val="000000" w:themeColor="text1"/>
        </w:rPr>
        <w:t xml:space="preserve"> the UK, surveillance demonstrates that the incidence of E. coli bacteraemia is much greater than Methicillin-Resistant Staphylococcus aureus (MRSA) bacteraemia, and a great deal of resistant bloodstream </w:t>
      </w:r>
      <w:r w:rsidR="007C25F7">
        <w:rPr>
          <w:rFonts w:ascii="Arial" w:hAnsi="Arial" w:cs="Arial"/>
          <w:color w:val="000000" w:themeColor="text1"/>
        </w:rPr>
        <w:t>infections</w:t>
      </w:r>
      <w:r w:rsidRPr="00B031A0">
        <w:rPr>
          <w:rFonts w:ascii="Arial" w:hAnsi="Arial" w:cs="Arial"/>
          <w:color w:val="000000" w:themeColor="text1"/>
        </w:rPr>
        <w:t xml:space="preserve"> is due to E. coli, which also has its origin in the urine. According to Haque </w:t>
      </w:r>
      <w:r w:rsidR="00776C49" w:rsidRPr="00B031A0">
        <w:rPr>
          <w:rFonts w:ascii="Arial" w:hAnsi="Arial" w:cs="Arial"/>
          <w:color w:val="000000" w:themeColor="text1"/>
        </w:rPr>
        <w:t>et al</w:t>
      </w:r>
      <w:r w:rsidRPr="00B031A0">
        <w:rPr>
          <w:rFonts w:ascii="Arial" w:hAnsi="Arial" w:cs="Arial"/>
          <w:color w:val="000000" w:themeColor="text1"/>
        </w:rPr>
        <w:t xml:space="preserve">. (2020), these are so-called central-line-associated bloodstream infections, which can occur </w:t>
      </w:r>
      <w:r w:rsidR="00087938" w:rsidRPr="00B031A0">
        <w:rPr>
          <w:rFonts w:ascii="Arial" w:hAnsi="Arial" w:cs="Arial"/>
          <w:color w:val="000000" w:themeColor="text1"/>
        </w:rPr>
        <w:t>because of</w:t>
      </w:r>
      <w:r w:rsidRPr="00B031A0">
        <w:rPr>
          <w:rFonts w:ascii="Arial" w:hAnsi="Arial" w:cs="Arial"/>
          <w:color w:val="000000" w:themeColor="text1"/>
        </w:rPr>
        <w:t xml:space="preserve"> contaminated hands during line insertion, dressing change or administration of medication. However, other bacteraemia may be a community infection or of microbial origin in a patient (Ghafouri, Kermani and </w:t>
      </w:r>
      <w:proofErr w:type="spellStart"/>
      <w:r w:rsidRPr="00B031A0">
        <w:rPr>
          <w:rFonts w:ascii="Arial" w:hAnsi="Arial" w:cs="Arial"/>
          <w:color w:val="000000" w:themeColor="text1"/>
        </w:rPr>
        <w:lastRenderedPageBreak/>
        <w:t>Namaghi</w:t>
      </w:r>
      <w:proofErr w:type="spellEnd"/>
      <w:r w:rsidRPr="00B031A0">
        <w:rPr>
          <w:rFonts w:ascii="Arial" w:hAnsi="Arial" w:cs="Arial"/>
          <w:color w:val="000000" w:themeColor="text1"/>
        </w:rPr>
        <w:t xml:space="preserve">, 2026). Therefore, the surveillance data on the national level cannot necessarily indicate poor hand hygiene in the hospital. Nurse adherence is also highly critical to prevent preventable hospital-acquired events, but device-care bundles, skin antisepsis, and linen removal in real-time are also needed (Sanvitti, </w:t>
      </w:r>
      <w:proofErr w:type="spellStart"/>
      <w:r w:rsidRPr="00B031A0">
        <w:rPr>
          <w:rFonts w:ascii="Arial" w:hAnsi="Arial" w:cs="Arial"/>
          <w:color w:val="000000" w:themeColor="text1"/>
        </w:rPr>
        <w:t>Kanapeckas</w:t>
      </w:r>
      <w:proofErr w:type="spellEnd"/>
      <w:r w:rsidRPr="00B031A0">
        <w:rPr>
          <w:rFonts w:ascii="Arial" w:hAnsi="Arial" w:cs="Arial"/>
          <w:color w:val="000000" w:themeColor="text1"/>
        </w:rPr>
        <w:t xml:space="preserve"> and Bilotta, 2026). </w:t>
      </w:r>
    </w:p>
    <w:p w14:paraId="403F8B3D" w14:textId="77777777" w:rsidR="00C77BF3" w:rsidRPr="00B031A0" w:rsidRDefault="00115699">
      <w:pPr>
        <w:rPr>
          <w:rFonts w:ascii="Arial" w:hAnsi="Arial" w:cs="Arial"/>
          <w:b/>
          <w:bCs/>
          <w:color w:val="000000" w:themeColor="text1"/>
        </w:rPr>
      </w:pPr>
      <w:r w:rsidRPr="00B031A0">
        <w:rPr>
          <w:rFonts w:ascii="Arial" w:hAnsi="Arial" w:cs="Arial"/>
          <w:b/>
          <w:bCs/>
          <w:color w:val="000000" w:themeColor="text1"/>
        </w:rPr>
        <w:t>Respiratory Infections and Hospital-Acquired Pneumonia</w:t>
      </w:r>
    </w:p>
    <w:p w14:paraId="60CD7308" w14:textId="3545D5F8" w:rsidR="00C77BF3" w:rsidRPr="00B031A0" w:rsidRDefault="00115699">
      <w:pPr>
        <w:rPr>
          <w:rFonts w:ascii="Arial" w:hAnsi="Arial" w:cs="Arial"/>
          <w:color w:val="000000" w:themeColor="text1"/>
        </w:rPr>
      </w:pPr>
      <w:r w:rsidRPr="00B031A0">
        <w:rPr>
          <w:rFonts w:ascii="Arial" w:hAnsi="Arial" w:cs="Arial"/>
          <w:color w:val="000000" w:themeColor="text1"/>
        </w:rPr>
        <w:t xml:space="preserve">Hospital-acquired pneumonia and ventilator-associated pneumonia are serious infections that afflict the critically ill, older and bedridden patients, as explained by Miron </w:t>
      </w:r>
      <w:r w:rsidR="00776C49" w:rsidRPr="00B031A0">
        <w:rPr>
          <w:rFonts w:ascii="Arial" w:hAnsi="Arial" w:cs="Arial"/>
          <w:color w:val="000000" w:themeColor="text1"/>
        </w:rPr>
        <w:t>et al</w:t>
      </w:r>
      <w:r w:rsidRPr="00B031A0">
        <w:rPr>
          <w:rFonts w:ascii="Arial" w:hAnsi="Arial" w:cs="Arial"/>
          <w:color w:val="000000" w:themeColor="text1"/>
        </w:rPr>
        <w:t xml:space="preserve">. (2024) in their literature review. </w:t>
      </w:r>
      <w:r w:rsidR="007C25F7">
        <w:rPr>
          <w:rFonts w:ascii="Arial" w:hAnsi="Arial" w:cs="Arial"/>
          <w:color w:val="000000" w:themeColor="text1"/>
        </w:rPr>
        <w:t>Respiratory</w:t>
      </w:r>
      <w:r w:rsidRPr="00B031A0">
        <w:rPr>
          <w:rFonts w:ascii="Arial" w:hAnsi="Arial" w:cs="Arial"/>
          <w:color w:val="000000" w:themeColor="text1"/>
        </w:rPr>
        <w:t xml:space="preserve"> wound infections can be spread through droplets, equipment contamination, aspiration and lack of control over the airways</w:t>
      </w:r>
      <w:r w:rsidR="007C25F7">
        <w:rPr>
          <w:rFonts w:ascii="Arial" w:hAnsi="Arial" w:cs="Arial"/>
          <w:color w:val="000000" w:themeColor="text1"/>
        </w:rPr>
        <w:t>,</w:t>
      </w:r>
      <w:r w:rsidRPr="00B031A0">
        <w:rPr>
          <w:rFonts w:ascii="Arial" w:hAnsi="Arial" w:cs="Arial"/>
          <w:color w:val="000000" w:themeColor="text1"/>
        </w:rPr>
        <w:t xml:space="preserve"> in comparison to contact-related infections (Kutter </w:t>
      </w:r>
      <w:r w:rsidR="00776C49" w:rsidRPr="00B031A0">
        <w:rPr>
          <w:rFonts w:ascii="Arial" w:hAnsi="Arial" w:cs="Arial"/>
          <w:color w:val="000000" w:themeColor="text1"/>
        </w:rPr>
        <w:t>et al</w:t>
      </w:r>
      <w:r w:rsidRPr="00B031A0">
        <w:rPr>
          <w:rFonts w:ascii="Arial" w:hAnsi="Arial" w:cs="Arial"/>
          <w:color w:val="000000" w:themeColor="text1"/>
        </w:rPr>
        <w:t xml:space="preserve">., 2018). When giving oral care, suctioning patients or operating ventilator equipment, the contaminated hands of nurses can </w:t>
      </w:r>
      <w:r w:rsidR="00BB7F17">
        <w:rPr>
          <w:rFonts w:ascii="Arial" w:hAnsi="Arial" w:cs="Arial"/>
          <w:color w:val="000000" w:themeColor="text1"/>
        </w:rPr>
        <w:t>transmit</w:t>
      </w:r>
      <w:r w:rsidRPr="00B031A0">
        <w:rPr>
          <w:rFonts w:ascii="Arial" w:hAnsi="Arial" w:cs="Arial"/>
          <w:color w:val="000000" w:themeColor="text1"/>
        </w:rPr>
        <w:t xml:space="preserve"> organisms (Kumar </w:t>
      </w:r>
      <w:r w:rsidR="00776C49" w:rsidRPr="00B031A0">
        <w:rPr>
          <w:rFonts w:ascii="Arial" w:hAnsi="Arial" w:cs="Arial"/>
          <w:color w:val="000000" w:themeColor="text1"/>
        </w:rPr>
        <w:t>et al</w:t>
      </w:r>
      <w:r w:rsidRPr="00B031A0">
        <w:rPr>
          <w:rFonts w:ascii="Arial" w:hAnsi="Arial" w:cs="Arial"/>
          <w:color w:val="000000" w:themeColor="text1"/>
        </w:rPr>
        <w:t>., 2023). It is also possible to suggest that pneumonia may result in a particularly high length of stay in a hospital in comparison with several other Healthcare-Associated Infections (HCAIs). Nonetheless, hand hygiene is not a sufficient measure to deal with aspiration, poor position or long-term mechanical ventilation.</w:t>
      </w:r>
      <w:r w:rsidR="00BB7F17">
        <w:rPr>
          <w:rFonts w:ascii="Arial" w:hAnsi="Arial" w:cs="Arial"/>
          <w:color w:val="000000" w:themeColor="text1"/>
        </w:rPr>
        <w:t xml:space="preserve"> </w:t>
      </w:r>
      <w:r w:rsidR="00BB7F17" w:rsidRPr="00B031A0">
        <w:rPr>
          <w:rFonts w:ascii="Arial" w:hAnsi="Arial" w:cs="Arial"/>
          <w:color w:val="000000" w:themeColor="text1"/>
        </w:rPr>
        <w:t>(Kutter et al., 2018)</w:t>
      </w:r>
      <w:r w:rsidR="008C491C">
        <w:rPr>
          <w:rFonts w:ascii="Arial" w:hAnsi="Arial" w:cs="Arial"/>
          <w:color w:val="000000" w:themeColor="text1"/>
        </w:rPr>
        <w:t>.</w:t>
      </w:r>
      <w:r w:rsidRPr="00B031A0">
        <w:rPr>
          <w:rFonts w:ascii="Arial" w:hAnsi="Arial" w:cs="Arial"/>
          <w:color w:val="000000" w:themeColor="text1"/>
        </w:rPr>
        <w:t xml:space="preserve"> This is what determines the distinction between pneumonia and infections where </w:t>
      </w:r>
      <w:r w:rsidR="008C491C">
        <w:rPr>
          <w:rFonts w:ascii="Arial" w:hAnsi="Arial" w:cs="Arial"/>
          <w:color w:val="000000" w:themeColor="text1"/>
        </w:rPr>
        <w:t>direct hand-to-hand</w:t>
      </w:r>
      <w:r w:rsidRPr="00B031A0">
        <w:rPr>
          <w:rFonts w:ascii="Arial" w:hAnsi="Arial" w:cs="Arial"/>
          <w:color w:val="000000" w:themeColor="text1"/>
        </w:rPr>
        <w:t xml:space="preserve"> transmission is more predominant. Prevention thus involves coordinated oral care, respiratory care, equipment decontamination and care of ventilators (Martelli </w:t>
      </w:r>
      <w:r w:rsidR="00776C49" w:rsidRPr="00B031A0">
        <w:rPr>
          <w:rFonts w:ascii="Arial" w:hAnsi="Arial" w:cs="Arial"/>
          <w:color w:val="000000" w:themeColor="text1"/>
        </w:rPr>
        <w:t>et al</w:t>
      </w:r>
      <w:r w:rsidRPr="00B031A0">
        <w:rPr>
          <w:rFonts w:ascii="Arial" w:hAnsi="Arial" w:cs="Arial"/>
          <w:color w:val="000000" w:themeColor="text1"/>
        </w:rPr>
        <w:t xml:space="preserve">., 2026). </w:t>
      </w:r>
    </w:p>
    <w:p w14:paraId="44C2EBDF" w14:textId="77777777" w:rsidR="00C77BF3" w:rsidRPr="00B031A0" w:rsidRDefault="00115699" w:rsidP="007C25F7">
      <w:pPr>
        <w:pStyle w:val="Heading2"/>
      </w:pPr>
      <w:bookmarkStart w:id="15" w:name="_Toc240208795"/>
      <w:r w:rsidRPr="00B031A0">
        <w:t>2.3.2 Factors influencing hand hygiene compliance among healthcare workers</w:t>
      </w:r>
      <w:bookmarkEnd w:id="15"/>
    </w:p>
    <w:p w14:paraId="04DFAE6B" w14:textId="34C34CB6" w:rsidR="00C77BF3" w:rsidRPr="00B031A0" w:rsidRDefault="00115699">
      <w:pPr>
        <w:rPr>
          <w:rFonts w:ascii="Arial" w:hAnsi="Arial" w:cs="Arial"/>
          <w:color w:val="000000" w:themeColor="text1"/>
        </w:rPr>
      </w:pPr>
      <w:r w:rsidRPr="00B031A0">
        <w:rPr>
          <w:rFonts w:ascii="Arial" w:hAnsi="Arial" w:cs="Arial"/>
          <w:color w:val="000000" w:themeColor="text1"/>
        </w:rPr>
        <w:t xml:space="preserve">A variety of organisational, behavioural and environmental variables can also contribute to the hand hygiene compliance of healthcare workers rather than the knowledge of the individuals (Zheng </w:t>
      </w:r>
      <w:r w:rsidR="00776C49" w:rsidRPr="00B031A0">
        <w:rPr>
          <w:rFonts w:ascii="Arial" w:hAnsi="Arial" w:cs="Arial"/>
          <w:color w:val="000000" w:themeColor="text1"/>
        </w:rPr>
        <w:t>et al</w:t>
      </w:r>
      <w:r w:rsidRPr="00B031A0">
        <w:rPr>
          <w:rFonts w:ascii="Arial" w:hAnsi="Arial" w:cs="Arial"/>
          <w:color w:val="000000" w:themeColor="text1"/>
        </w:rPr>
        <w:t xml:space="preserve">., 2022). </w:t>
      </w:r>
    </w:p>
    <w:p w14:paraId="143301A3" w14:textId="77777777" w:rsidR="00C77BF3" w:rsidRPr="00B031A0" w:rsidRDefault="00115699">
      <w:pPr>
        <w:jc w:val="center"/>
        <w:rPr>
          <w:rFonts w:ascii="Arial" w:hAnsi="Arial" w:cs="Arial"/>
          <w:color w:val="000000" w:themeColor="text1"/>
        </w:rPr>
      </w:pPr>
      <w:r w:rsidRPr="00B031A0">
        <w:rPr>
          <w:rFonts w:ascii="Arial" w:hAnsi="Arial" w:cs="Arial"/>
          <w:noProof/>
          <w:color w:val="000000" w:themeColor="text1"/>
        </w:rPr>
        <w:lastRenderedPageBreak/>
        <w:drawing>
          <wp:inline distT="114300" distB="114300" distL="114300" distR="114300" wp14:anchorId="2D04BC9D" wp14:editId="29C49AD1">
            <wp:extent cx="4000500" cy="2971800"/>
            <wp:effectExtent l="0" t="0" r="0" b="0"/>
            <wp:docPr id="114148258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4000500" cy="2971800"/>
                    </a:xfrm>
                    <a:prstGeom prst="rect">
                      <a:avLst/>
                    </a:prstGeom>
                    <a:ln/>
                  </pic:spPr>
                </pic:pic>
              </a:graphicData>
            </a:graphic>
          </wp:inline>
        </w:drawing>
      </w:r>
    </w:p>
    <w:p w14:paraId="03D277A0" w14:textId="77777777" w:rsidR="00C77BF3" w:rsidRPr="00B031A0" w:rsidRDefault="00115699">
      <w:pPr>
        <w:jc w:val="center"/>
        <w:rPr>
          <w:rFonts w:ascii="Arial" w:hAnsi="Arial" w:cs="Arial"/>
          <w:b/>
          <w:bCs/>
          <w:color w:val="000000" w:themeColor="text1"/>
        </w:rPr>
      </w:pPr>
      <w:r w:rsidRPr="00B031A0">
        <w:rPr>
          <w:rFonts w:ascii="Arial" w:hAnsi="Arial" w:cs="Arial"/>
          <w:b/>
          <w:bCs/>
          <w:color w:val="000000" w:themeColor="text1"/>
        </w:rPr>
        <w:t>Figure 2.1: 5 Moments of Hand Hygiene</w:t>
      </w:r>
    </w:p>
    <w:p w14:paraId="3C43EB73" w14:textId="005E49FB" w:rsidR="00C77BF3" w:rsidRPr="00B031A0" w:rsidRDefault="00115699">
      <w:pPr>
        <w:jc w:val="center"/>
        <w:rPr>
          <w:rFonts w:ascii="Arial" w:hAnsi="Arial" w:cs="Arial"/>
          <w:color w:val="000000" w:themeColor="text1"/>
        </w:rPr>
      </w:pPr>
      <w:r w:rsidRPr="00B031A0">
        <w:rPr>
          <w:rFonts w:ascii="Arial" w:hAnsi="Arial" w:cs="Arial"/>
          <w:color w:val="000000" w:themeColor="text1"/>
        </w:rPr>
        <w:t xml:space="preserve">(Source: Loftus </w:t>
      </w:r>
      <w:r w:rsidR="00776C49" w:rsidRPr="00B031A0">
        <w:rPr>
          <w:rFonts w:ascii="Arial" w:hAnsi="Arial" w:cs="Arial"/>
          <w:color w:val="000000" w:themeColor="text1"/>
        </w:rPr>
        <w:t>et al</w:t>
      </w:r>
      <w:r w:rsidRPr="00B031A0">
        <w:rPr>
          <w:rFonts w:ascii="Arial" w:hAnsi="Arial" w:cs="Arial"/>
          <w:color w:val="000000" w:themeColor="text1"/>
        </w:rPr>
        <w:t>., 2019)</w:t>
      </w:r>
    </w:p>
    <w:p w14:paraId="14AC68B5" w14:textId="48CCF501" w:rsidR="00C77BF3" w:rsidRPr="00B031A0" w:rsidRDefault="007C25F7">
      <w:pPr>
        <w:rPr>
          <w:rFonts w:ascii="Arial" w:hAnsi="Arial" w:cs="Arial"/>
          <w:color w:val="000000" w:themeColor="text1"/>
        </w:rPr>
      </w:pPr>
      <w:r>
        <w:rPr>
          <w:rFonts w:ascii="Arial" w:hAnsi="Arial" w:cs="Arial"/>
          <w:color w:val="000000" w:themeColor="text1"/>
        </w:rPr>
        <w:t>Compliance</w:t>
      </w:r>
      <w:r w:rsidR="00115699" w:rsidRPr="00B031A0">
        <w:rPr>
          <w:rFonts w:ascii="Arial" w:hAnsi="Arial" w:cs="Arial"/>
          <w:color w:val="000000" w:themeColor="text1"/>
        </w:rPr>
        <w:t xml:space="preserve"> with </w:t>
      </w:r>
      <w:r>
        <w:rPr>
          <w:rFonts w:ascii="Arial" w:hAnsi="Arial" w:cs="Arial"/>
          <w:color w:val="000000" w:themeColor="text1"/>
        </w:rPr>
        <w:t>the</w:t>
      </w:r>
      <w:r w:rsidR="00115699" w:rsidRPr="00B031A0">
        <w:rPr>
          <w:rFonts w:ascii="Arial" w:hAnsi="Arial" w:cs="Arial"/>
          <w:color w:val="000000" w:themeColor="text1"/>
        </w:rPr>
        <w:t xml:space="preserve"> Five Moments </w:t>
      </w:r>
      <w:r>
        <w:rPr>
          <w:rFonts w:ascii="Arial" w:hAnsi="Arial" w:cs="Arial"/>
          <w:color w:val="000000" w:themeColor="text1"/>
        </w:rPr>
        <w:t xml:space="preserve">of Hand Hygiene </w:t>
      </w:r>
      <w:r w:rsidR="00115699" w:rsidRPr="00B031A0">
        <w:rPr>
          <w:rFonts w:ascii="Arial" w:hAnsi="Arial" w:cs="Arial"/>
          <w:color w:val="000000" w:themeColor="text1"/>
        </w:rPr>
        <w:t xml:space="preserve">offered by the World Health Organisation (WHO) is not universal in every healthcare facility, </w:t>
      </w:r>
      <w:r>
        <w:rPr>
          <w:rFonts w:ascii="Arial" w:hAnsi="Arial" w:cs="Arial"/>
          <w:color w:val="000000" w:themeColor="text1"/>
        </w:rPr>
        <w:t>Bale et al. (2021) point out</w:t>
      </w:r>
      <w:r w:rsidR="00115699" w:rsidRPr="00B031A0">
        <w:rPr>
          <w:rFonts w:ascii="Arial" w:hAnsi="Arial" w:cs="Arial"/>
          <w:color w:val="000000" w:themeColor="text1"/>
        </w:rPr>
        <w:t xml:space="preserve"> in their Cross-sectional observation of healthcare professionals, even though the assumption is that nurses strive to follow the given rules regarding hand hygiene. World Health Organisation (2022) states that compliance with hand hygiene in healthcare facilities is still as low as 59.6% in the whole world, which proves that compliance </w:t>
      </w:r>
      <w:r w:rsidRPr="00B031A0">
        <w:rPr>
          <w:rFonts w:ascii="Arial" w:hAnsi="Arial" w:cs="Arial"/>
          <w:color w:val="000000" w:themeColor="text1"/>
        </w:rPr>
        <w:t>remains</w:t>
      </w:r>
      <w:r w:rsidR="00115699" w:rsidRPr="00B031A0">
        <w:rPr>
          <w:rFonts w:ascii="Arial" w:hAnsi="Arial" w:cs="Arial"/>
          <w:color w:val="000000" w:themeColor="text1"/>
        </w:rPr>
        <w:t xml:space="preserve"> one of the critical issues </w:t>
      </w:r>
      <w:r w:rsidRPr="00B031A0">
        <w:rPr>
          <w:rFonts w:ascii="Arial" w:hAnsi="Arial" w:cs="Arial"/>
          <w:color w:val="000000" w:themeColor="text1"/>
        </w:rPr>
        <w:t>despite</w:t>
      </w:r>
      <w:r w:rsidR="00115699" w:rsidRPr="00B031A0">
        <w:rPr>
          <w:rFonts w:ascii="Arial" w:hAnsi="Arial" w:cs="Arial"/>
          <w:color w:val="000000" w:themeColor="text1"/>
        </w:rPr>
        <w:t xml:space="preserve"> well-established rules. In addition, Sandu </w:t>
      </w:r>
      <w:r w:rsidR="00776C49" w:rsidRPr="00B031A0">
        <w:rPr>
          <w:rFonts w:ascii="Arial" w:hAnsi="Arial" w:cs="Arial"/>
          <w:color w:val="000000" w:themeColor="text1"/>
        </w:rPr>
        <w:t>et al</w:t>
      </w:r>
      <w:r w:rsidR="00115699" w:rsidRPr="00B031A0">
        <w:rPr>
          <w:rFonts w:ascii="Arial" w:hAnsi="Arial" w:cs="Arial"/>
          <w:color w:val="000000" w:themeColor="text1"/>
        </w:rPr>
        <w:t xml:space="preserve">. (2025) stated that high-income countries are not well compliant, with approximately 7% of patients </w:t>
      </w:r>
      <w:r>
        <w:rPr>
          <w:rFonts w:ascii="Arial" w:hAnsi="Arial" w:cs="Arial"/>
          <w:color w:val="000000" w:themeColor="text1"/>
        </w:rPr>
        <w:t>developing</w:t>
      </w:r>
      <w:r w:rsidR="00115699" w:rsidRPr="00B031A0">
        <w:rPr>
          <w:rFonts w:ascii="Arial" w:hAnsi="Arial" w:cs="Arial"/>
          <w:color w:val="000000" w:themeColor="text1"/>
        </w:rPr>
        <w:t xml:space="preserve"> at least one healthcare-associated infection </w:t>
      </w:r>
      <w:r w:rsidRPr="00B031A0">
        <w:rPr>
          <w:rFonts w:ascii="Arial" w:hAnsi="Arial" w:cs="Arial"/>
          <w:color w:val="000000" w:themeColor="text1"/>
        </w:rPr>
        <w:t>during</w:t>
      </w:r>
      <w:r w:rsidR="00115699" w:rsidRPr="00B031A0">
        <w:rPr>
          <w:rFonts w:ascii="Arial" w:hAnsi="Arial" w:cs="Arial"/>
          <w:color w:val="000000" w:themeColor="text1"/>
        </w:rPr>
        <w:t xml:space="preserve"> hospitalisation, which justifies the importance of an increased level of compliance. </w:t>
      </w:r>
    </w:p>
    <w:p w14:paraId="353997A2" w14:textId="77777777" w:rsidR="00C77BF3" w:rsidRPr="00B031A0" w:rsidRDefault="00115699">
      <w:pPr>
        <w:rPr>
          <w:rFonts w:ascii="Arial" w:hAnsi="Arial" w:cs="Arial"/>
          <w:color w:val="000000" w:themeColor="text1"/>
        </w:rPr>
      </w:pPr>
      <w:r w:rsidRPr="00B031A0">
        <w:rPr>
          <w:rFonts w:ascii="Arial" w:hAnsi="Arial" w:cs="Arial"/>
          <w:b/>
          <w:bCs/>
          <w:color w:val="000000" w:themeColor="text1"/>
        </w:rPr>
        <w:t>Knowledge, Education and Professional Competence</w:t>
      </w:r>
    </w:p>
    <w:p w14:paraId="7D7AFE4F" w14:textId="352CCF5B" w:rsidR="00C77BF3" w:rsidRPr="00B031A0" w:rsidRDefault="00115699">
      <w:pPr>
        <w:rPr>
          <w:rFonts w:ascii="Arial" w:hAnsi="Arial" w:cs="Arial"/>
          <w:color w:val="000000" w:themeColor="text1"/>
        </w:rPr>
      </w:pPr>
      <w:r w:rsidRPr="00B031A0">
        <w:rPr>
          <w:rFonts w:ascii="Arial" w:hAnsi="Arial" w:cs="Arial"/>
          <w:color w:val="000000" w:themeColor="text1"/>
        </w:rPr>
        <w:t xml:space="preserve">Knowledge and education are effective determinants of hand hygiene compliance (Chakma </w:t>
      </w:r>
      <w:r w:rsidR="00776C49" w:rsidRPr="00B031A0">
        <w:rPr>
          <w:rFonts w:ascii="Arial" w:hAnsi="Arial" w:cs="Arial"/>
          <w:color w:val="000000" w:themeColor="text1"/>
        </w:rPr>
        <w:t>et al</w:t>
      </w:r>
      <w:r w:rsidRPr="00B031A0">
        <w:rPr>
          <w:rFonts w:ascii="Arial" w:hAnsi="Arial" w:cs="Arial"/>
          <w:color w:val="000000" w:themeColor="text1"/>
        </w:rPr>
        <w:t xml:space="preserve">., 2024). While discussing the body of available literature regarding healthcare workers' knowledge of infection prevention and control, Alhumaid </w:t>
      </w:r>
      <w:r w:rsidR="00776C49" w:rsidRPr="00B031A0">
        <w:rPr>
          <w:rFonts w:ascii="Arial" w:hAnsi="Arial" w:cs="Arial"/>
          <w:color w:val="000000" w:themeColor="text1"/>
        </w:rPr>
        <w:t>et al</w:t>
      </w:r>
      <w:r w:rsidRPr="00B031A0">
        <w:rPr>
          <w:rFonts w:ascii="Arial" w:hAnsi="Arial" w:cs="Arial"/>
          <w:color w:val="000000" w:themeColor="text1"/>
        </w:rPr>
        <w:t xml:space="preserve">. (2021) contend that some of this research asserts that healthcare workers are better informed about how the pathogen can be transmitted and the consequences of not observing when the threat of infection exists in healthcare workers who undergo </w:t>
      </w:r>
      <w:r w:rsidRPr="00B031A0">
        <w:rPr>
          <w:rFonts w:ascii="Arial" w:hAnsi="Arial" w:cs="Arial"/>
          <w:color w:val="000000" w:themeColor="text1"/>
        </w:rPr>
        <w:lastRenderedPageBreak/>
        <w:t xml:space="preserve">regular training about infection protection. Interventions in education lead to the awareness of healthcare providers regarding the correct hand hygiene techniques and the World Health </w:t>
      </w:r>
      <w:r w:rsidR="007C25F7">
        <w:rPr>
          <w:rFonts w:ascii="Arial" w:hAnsi="Arial" w:cs="Arial"/>
          <w:color w:val="000000" w:themeColor="text1"/>
        </w:rPr>
        <w:t>Organisation's</w:t>
      </w:r>
      <w:r w:rsidRPr="00B031A0">
        <w:rPr>
          <w:rFonts w:ascii="Arial" w:hAnsi="Arial" w:cs="Arial"/>
          <w:color w:val="000000" w:themeColor="text1"/>
        </w:rPr>
        <w:t xml:space="preserve"> (WHO) Five Moments of Hand Hygiene</w:t>
      </w:r>
      <w:r w:rsidR="007C25F7">
        <w:rPr>
          <w:rFonts w:ascii="Arial" w:hAnsi="Arial" w:cs="Arial"/>
          <w:color w:val="000000" w:themeColor="text1"/>
        </w:rPr>
        <w:t>,</w:t>
      </w:r>
      <w:r w:rsidRPr="00B031A0">
        <w:rPr>
          <w:rFonts w:ascii="Arial" w:hAnsi="Arial" w:cs="Arial"/>
          <w:color w:val="000000" w:themeColor="text1"/>
        </w:rPr>
        <w:t xml:space="preserve"> which serves to enhance infection prevention and control (Batra </w:t>
      </w:r>
      <w:r w:rsidR="00776C49" w:rsidRPr="00B031A0">
        <w:rPr>
          <w:rFonts w:ascii="Arial" w:hAnsi="Arial" w:cs="Arial"/>
          <w:color w:val="000000" w:themeColor="text1"/>
        </w:rPr>
        <w:t>et al</w:t>
      </w:r>
      <w:r w:rsidRPr="00B031A0">
        <w:rPr>
          <w:rFonts w:ascii="Arial" w:hAnsi="Arial" w:cs="Arial"/>
          <w:color w:val="000000" w:themeColor="text1"/>
        </w:rPr>
        <w:t xml:space="preserve">., 2025). The literature states that education is not sufficient for achieving change </w:t>
      </w:r>
      <w:r w:rsidR="007C25F7">
        <w:rPr>
          <w:rFonts w:ascii="Arial" w:hAnsi="Arial" w:cs="Arial"/>
          <w:color w:val="000000" w:themeColor="text1"/>
        </w:rPr>
        <w:t>in behaviour</w:t>
      </w:r>
      <w:r w:rsidRPr="00B031A0">
        <w:rPr>
          <w:rFonts w:ascii="Arial" w:hAnsi="Arial" w:cs="Arial"/>
          <w:color w:val="000000" w:themeColor="text1"/>
        </w:rPr>
        <w:t>. Two authors, Yue and Pan (2025)</w:t>
      </w:r>
      <w:r w:rsidR="007C25F7">
        <w:rPr>
          <w:rFonts w:ascii="Arial" w:hAnsi="Arial" w:cs="Arial"/>
          <w:color w:val="000000" w:themeColor="text1"/>
        </w:rPr>
        <w:t>,</w:t>
      </w:r>
      <w:r w:rsidRPr="00B031A0">
        <w:rPr>
          <w:rFonts w:ascii="Arial" w:hAnsi="Arial" w:cs="Arial"/>
          <w:color w:val="000000" w:themeColor="text1"/>
        </w:rPr>
        <w:t xml:space="preserve"> argue that while training can improve the outlook in terms of hand hygiene, successful long-term compliance is reliant on </w:t>
      </w:r>
      <w:r w:rsidR="007C25F7">
        <w:rPr>
          <w:rFonts w:ascii="Arial" w:hAnsi="Arial" w:cs="Arial"/>
          <w:color w:val="000000" w:themeColor="text1"/>
        </w:rPr>
        <w:t>an organisational</w:t>
      </w:r>
      <w:r w:rsidRPr="00B031A0">
        <w:rPr>
          <w:rFonts w:ascii="Arial" w:hAnsi="Arial" w:cs="Arial"/>
          <w:color w:val="000000" w:themeColor="text1"/>
        </w:rPr>
        <w:t xml:space="preserve"> basis. </w:t>
      </w:r>
      <w:proofErr w:type="spellStart"/>
      <w:r w:rsidRPr="00B031A0">
        <w:rPr>
          <w:rFonts w:ascii="Arial" w:hAnsi="Arial" w:cs="Arial"/>
          <w:color w:val="000000" w:themeColor="text1"/>
        </w:rPr>
        <w:t>Alfaisal</w:t>
      </w:r>
      <w:proofErr w:type="spellEnd"/>
      <w:r w:rsidRPr="00B031A0">
        <w:rPr>
          <w:rFonts w:ascii="Arial" w:hAnsi="Arial" w:cs="Arial"/>
          <w:color w:val="000000" w:themeColor="text1"/>
        </w:rPr>
        <w:t xml:space="preserve"> </w:t>
      </w:r>
      <w:r w:rsidR="00776C49" w:rsidRPr="00B031A0">
        <w:rPr>
          <w:rFonts w:ascii="Arial" w:hAnsi="Arial" w:cs="Arial"/>
          <w:color w:val="000000" w:themeColor="text1"/>
        </w:rPr>
        <w:t>et al</w:t>
      </w:r>
      <w:r w:rsidRPr="00B031A0">
        <w:rPr>
          <w:rFonts w:ascii="Arial" w:hAnsi="Arial" w:cs="Arial"/>
          <w:color w:val="000000" w:themeColor="text1"/>
        </w:rPr>
        <w:t xml:space="preserve">. (2024) reveal that healthcare workers </w:t>
      </w:r>
      <w:r w:rsidR="008C491C" w:rsidRPr="00B031A0">
        <w:rPr>
          <w:rFonts w:ascii="Arial" w:hAnsi="Arial" w:cs="Arial"/>
          <w:color w:val="000000" w:themeColor="text1"/>
        </w:rPr>
        <w:t>cannot</w:t>
      </w:r>
      <w:r w:rsidRPr="00B031A0">
        <w:rPr>
          <w:rFonts w:ascii="Arial" w:hAnsi="Arial" w:cs="Arial"/>
          <w:color w:val="000000" w:themeColor="text1"/>
        </w:rPr>
        <w:t xml:space="preserve"> move from theoretical knowledge to its application due to pressure of undergraduate workload, limited time and different priorities. Entry-level nursing practitioners usually possess recent knowledge of infection control, although probably lacking the necessary experience and confidence to adhere to </w:t>
      </w:r>
      <w:r w:rsidR="007C25F7">
        <w:rPr>
          <w:rFonts w:ascii="Arial" w:hAnsi="Arial" w:cs="Arial"/>
          <w:color w:val="000000" w:themeColor="text1"/>
        </w:rPr>
        <w:t>handwashing</w:t>
      </w:r>
      <w:r w:rsidRPr="00B031A0">
        <w:rPr>
          <w:rFonts w:ascii="Arial" w:hAnsi="Arial" w:cs="Arial"/>
          <w:color w:val="000000" w:themeColor="text1"/>
        </w:rPr>
        <w:t xml:space="preserve"> protocols in stressful clinical conditions (Batra </w:t>
      </w:r>
      <w:r w:rsidR="00776C49" w:rsidRPr="00B031A0">
        <w:rPr>
          <w:rFonts w:ascii="Arial" w:hAnsi="Arial" w:cs="Arial"/>
          <w:color w:val="000000" w:themeColor="text1"/>
        </w:rPr>
        <w:t>et al</w:t>
      </w:r>
      <w:r w:rsidRPr="00B031A0">
        <w:rPr>
          <w:rFonts w:ascii="Arial" w:hAnsi="Arial" w:cs="Arial"/>
          <w:color w:val="000000" w:themeColor="text1"/>
        </w:rPr>
        <w:t xml:space="preserve">., 2025). Adherence to hand hygiene procedures is influenced by cognitive skills, </w:t>
      </w:r>
      <w:r w:rsidR="007C25F7">
        <w:rPr>
          <w:rFonts w:ascii="Arial" w:hAnsi="Arial" w:cs="Arial"/>
          <w:color w:val="000000" w:themeColor="text1"/>
        </w:rPr>
        <w:t>organisational</w:t>
      </w:r>
      <w:r w:rsidRPr="00B031A0">
        <w:rPr>
          <w:rFonts w:ascii="Arial" w:hAnsi="Arial" w:cs="Arial"/>
          <w:color w:val="000000" w:themeColor="text1"/>
        </w:rPr>
        <w:t xml:space="preserve"> culture, support of management, feedback from superiors, and continuous reinforcement of </w:t>
      </w:r>
      <w:r w:rsidR="007C25F7">
        <w:rPr>
          <w:rFonts w:ascii="Arial" w:hAnsi="Arial" w:cs="Arial"/>
          <w:color w:val="000000" w:themeColor="text1"/>
        </w:rPr>
        <w:t>behaviour</w:t>
      </w:r>
      <w:r w:rsidRPr="00B031A0">
        <w:rPr>
          <w:rFonts w:ascii="Arial" w:hAnsi="Arial" w:cs="Arial"/>
          <w:color w:val="000000" w:themeColor="text1"/>
        </w:rPr>
        <w:t xml:space="preserve"> (Hammerschmidt and Manser, 2019). Such conclusions demonstrate that educational programs must be combined with the </w:t>
      </w:r>
      <w:r w:rsidR="007C25F7">
        <w:rPr>
          <w:rFonts w:ascii="Arial" w:hAnsi="Arial" w:cs="Arial"/>
          <w:color w:val="000000" w:themeColor="text1"/>
        </w:rPr>
        <w:t>organisational</w:t>
      </w:r>
      <w:r w:rsidRPr="00B031A0">
        <w:rPr>
          <w:rFonts w:ascii="Arial" w:hAnsi="Arial" w:cs="Arial"/>
          <w:color w:val="000000" w:themeColor="text1"/>
        </w:rPr>
        <w:t xml:space="preserve"> approach if improvements in hand hygiene compliance are to be </w:t>
      </w:r>
      <w:r w:rsidR="007C25F7">
        <w:rPr>
          <w:rFonts w:ascii="Arial" w:hAnsi="Arial" w:cs="Arial"/>
          <w:color w:val="000000" w:themeColor="text1"/>
        </w:rPr>
        <w:t>achieved</w:t>
      </w:r>
      <w:r w:rsidRPr="00B031A0">
        <w:rPr>
          <w:rFonts w:ascii="Arial" w:hAnsi="Arial" w:cs="Arial"/>
          <w:color w:val="000000" w:themeColor="text1"/>
        </w:rPr>
        <w:t>.</w:t>
      </w:r>
    </w:p>
    <w:p w14:paraId="727B2272" w14:textId="77777777" w:rsidR="00C77BF3" w:rsidRPr="00B031A0" w:rsidRDefault="00115699">
      <w:pPr>
        <w:rPr>
          <w:rFonts w:ascii="Arial" w:hAnsi="Arial" w:cs="Arial"/>
          <w:b/>
          <w:bCs/>
          <w:color w:val="000000" w:themeColor="text1"/>
        </w:rPr>
      </w:pPr>
      <w:r w:rsidRPr="00B031A0">
        <w:rPr>
          <w:rFonts w:ascii="Arial" w:hAnsi="Arial" w:cs="Arial"/>
          <w:b/>
          <w:bCs/>
          <w:color w:val="000000" w:themeColor="text1"/>
        </w:rPr>
        <w:t xml:space="preserve">Workload, Time Pressure and Staffing Levels </w:t>
      </w:r>
    </w:p>
    <w:p w14:paraId="78E55217" w14:textId="593D8FC8" w:rsidR="00C77BF3" w:rsidRPr="00B031A0" w:rsidRDefault="00115699">
      <w:pPr>
        <w:rPr>
          <w:rFonts w:ascii="Arial" w:hAnsi="Arial" w:cs="Arial"/>
          <w:color w:val="000000" w:themeColor="text1"/>
        </w:rPr>
      </w:pPr>
      <w:r w:rsidRPr="00B031A0">
        <w:rPr>
          <w:rFonts w:ascii="Arial" w:hAnsi="Arial" w:cs="Arial"/>
          <w:color w:val="000000" w:themeColor="text1"/>
        </w:rPr>
        <w:t xml:space="preserve">Workload has been the most widely reported impediment to compliance </w:t>
      </w:r>
      <w:r w:rsidR="00F74F31">
        <w:rPr>
          <w:rFonts w:ascii="Arial" w:hAnsi="Arial" w:cs="Arial"/>
          <w:color w:val="000000" w:themeColor="text1"/>
        </w:rPr>
        <w:t>with</w:t>
      </w:r>
      <w:r w:rsidRPr="00B031A0">
        <w:rPr>
          <w:rFonts w:ascii="Arial" w:hAnsi="Arial" w:cs="Arial"/>
          <w:color w:val="000000" w:themeColor="text1"/>
        </w:rPr>
        <w:t xml:space="preserve"> hand hygiene (</w:t>
      </w:r>
      <w:proofErr w:type="spellStart"/>
      <w:r w:rsidRPr="00B031A0">
        <w:rPr>
          <w:rFonts w:ascii="Arial" w:hAnsi="Arial" w:cs="Arial"/>
          <w:color w:val="000000" w:themeColor="text1"/>
        </w:rPr>
        <w:t>Ahmadipour</w:t>
      </w:r>
      <w:proofErr w:type="spellEnd"/>
      <w:r w:rsidRPr="00B031A0">
        <w:rPr>
          <w:rFonts w:ascii="Arial" w:hAnsi="Arial" w:cs="Arial"/>
          <w:color w:val="000000" w:themeColor="text1"/>
        </w:rPr>
        <w:t xml:space="preserve"> </w:t>
      </w:r>
      <w:r w:rsidR="00776C49" w:rsidRPr="00B031A0">
        <w:rPr>
          <w:rFonts w:ascii="Arial" w:hAnsi="Arial" w:cs="Arial"/>
          <w:color w:val="000000" w:themeColor="text1"/>
        </w:rPr>
        <w:t>et al</w:t>
      </w:r>
      <w:r w:rsidRPr="00B031A0">
        <w:rPr>
          <w:rFonts w:ascii="Arial" w:hAnsi="Arial" w:cs="Arial"/>
          <w:color w:val="000000" w:themeColor="text1"/>
        </w:rPr>
        <w:t xml:space="preserve">., 2022). </w:t>
      </w:r>
      <w:r w:rsidR="007C25F7">
        <w:rPr>
          <w:rFonts w:ascii="Arial" w:hAnsi="Arial" w:cs="Arial"/>
          <w:color w:val="000000" w:themeColor="text1"/>
        </w:rPr>
        <w:t>High</w:t>
      </w:r>
      <w:r w:rsidRPr="00B031A0">
        <w:rPr>
          <w:rFonts w:ascii="Arial" w:hAnsi="Arial" w:cs="Arial"/>
          <w:color w:val="000000" w:themeColor="text1"/>
        </w:rPr>
        <w:t xml:space="preserve"> patient-to-nurse ratios, emergency cases and growing service demands tend to decrease the time to </w:t>
      </w:r>
      <w:r w:rsidR="007C25F7">
        <w:rPr>
          <w:rFonts w:ascii="Arial" w:hAnsi="Arial" w:cs="Arial"/>
          <w:color w:val="000000" w:themeColor="text1"/>
        </w:rPr>
        <w:t>perform</w:t>
      </w:r>
      <w:r w:rsidRPr="00B031A0">
        <w:rPr>
          <w:rFonts w:ascii="Arial" w:hAnsi="Arial" w:cs="Arial"/>
          <w:color w:val="000000" w:themeColor="text1"/>
        </w:rPr>
        <w:t xml:space="preserve"> hand hygiene prior to and after each contact with a patient. Other researchers, such as Harb </w:t>
      </w:r>
      <w:r w:rsidR="00776C49" w:rsidRPr="00B031A0">
        <w:rPr>
          <w:rFonts w:ascii="Arial" w:hAnsi="Arial" w:cs="Arial"/>
          <w:color w:val="000000" w:themeColor="text1"/>
        </w:rPr>
        <w:t>et al</w:t>
      </w:r>
      <w:r w:rsidRPr="00B031A0">
        <w:rPr>
          <w:rFonts w:ascii="Arial" w:hAnsi="Arial" w:cs="Arial"/>
          <w:color w:val="000000" w:themeColor="text1"/>
        </w:rPr>
        <w:t xml:space="preserve">. (2025), also argue that time limitation is inevitably going to lower the compliance rate, as nurses are more concentrated on </w:t>
      </w:r>
      <w:r w:rsidR="007C25F7">
        <w:rPr>
          <w:rFonts w:ascii="Arial" w:hAnsi="Arial" w:cs="Arial"/>
          <w:color w:val="000000" w:themeColor="text1"/>
        </w:rPr>
        <w:t>immediate</w:t>
      </w:r>
      <w:r w:rsidRPr="00B031A0">
        <w:rPr>
          <w:rFonts w:ascii="Arial" w:hAnsi="Arial" w:cs="Arial"/>
          <w:color w:val="000000" w:themeColor="text1"/>
        </w:rPr>
        <w:t xml:space="preserve"> clinical treatment rather than on infection prevention as a practice. Yi </w:t>
      </w:r>
      <w:r w:rsidR="00776C49" w:rsidRPr="00B031A0">
        <w:rPr>
          <w:rFonts w:ascii="Arial" w:hAnsi="Arial" w:cs="Arial"/>
          <w:color w:val="000000" w:themeColor="text1"/>
        </w:rPr>
        <w:t>et al</w:t>
      </w:r>
      <w:r w:rsidRPr="00B031A0">
        <w:rPr>
          <w:rFonts w:ascii="Arial" w:hAnsi="Arial" w:cs="Arial"/>
          <w:color w:val="000000" w:themeColor="text1"/>
        </w:rPr>
        <w:t>. (2026), in contrast, believe that hand hygiene is a very short process and</w:t>
      </w:r>
      <w:r w:rsidR="007C25F7">
        <w:rPr>
          <w:rFonts w:ascii="Arial" w:hAnsi="Arial" w:cs="Arial"/>
          <w:color w:val="000000" w:themeColor="text1"/>
        </w:rPr>
        <w:t>,</w:t>
      </w:r>
      <w:r w:rsidRPr="00B031A0">
        <w:rPr>
          <w:rFonts w:ascii="Arial" w:hAnsi="Arial" w:cs="Arial"/>
          <w:color w:val="000000" w:themeColor="text1"/>
        </w:rPr>
        <w:t xml:space="preserve"> therefore, behavioural prioritisation, rather than time limitations, </w:t>
      </w:r>
      <w:r w:rsidR="007C25F7">
        <w:rPr>
          <w:rFonts w:ascii="Arial" w:hAnsi="Arial" w:cs="Arial"/>
          <w:color w:val="000000" w:themeColor="text1"/>
        </w:rPr>
        <w:t>is the issue</w:t>
      </w:r>
      <w:r w:rsidRPr="00B031A0">
        <w:rPr>
          <w:rFonts w:ascii="Arial" w:hAnsi="Arial" w:cs="Arial"/>
          <w:color w:val="000000" w:themeColor="text1"/>
        </w:rPr>
        <w:t xml:space="preserve">. This </w:t>
      </w:r>
      <w:r w:rsidR="007C25F7">
        <w:rPr>
          <w:rFonts w:ascii="Arial" w:hAnsi="Arial" w:cs="Arial"/>
          <w:color w:val="000000" w:themeColor="text1"/>
        </w:rPr>
        <w:t>opposing counterargument</w:t>
      </w:r>
      <w:r w:rsidRPr="00B031A0">
        <w:rPr>
          <w:rFonts w:ascii="Arial" w:hAnsi="Arial" w:cs="Arial"/>
          <w:color w:val="000000" w:themeColor="text1"/>
        </w:rPr>
        <w:t xml:space="preserve"> suggests </w:t>
      </w:r>
      <w:r w:rsidR="007C25F7">
        <w:rPr>
          <w:rFonts w:ascii="Arial" w:hAnsi="Arial" w:cs="Arial"/>
          <w:color w:val="000000" w:themeColor="text1"/>
        </w:rPr>
        <w:t xml:space="preserve">that </w:t>
      </w:r>
      <w:r w:rsidRPr="00B031A0">
        <w:rPr>
          <w:rFonts w:ascii="Arial" w:hAnsi="Arial" w:cs="Arial"/>
          <w:color w:val="000000" w:themeColor="text1"/>
        </w:rPr>
        <w:t xml:space="preserve">the culture within a given organisation can impact compliance </w:t>
      </w:r>
      <w:r w:rsidR="007C25F7">
        <w:rPr>
          <w:rFonts w:ascii="Arial" w:hAnsi="Arial" w:cs="Arial"/>
          <w:color w:val="000000" w:themeColor="text1"/>
        </w:rPr>
        <w:t xml:space="preserve">more </w:t>
      </w:r>
      <w:r w:rsidRPr="00B031A0">
        <w:rPr>
          <w:rFonts w:ascii="Arial" w:hAnsi="Arial" w:cs="Arial"/>
          <w:color w:val="000000" w:themeColor="text1"/>
        </w:rPr>
        <w:t xml:space="preserve">than workload. Nonetheless, a lack of adequate staff and overcrowding of National Health Service (NHS) hospitals have been proven to </w:t>
      </w:r>
      <w:r w:rsidR="007C25F7">
        <w:rPr>
          <w:rFonts w:ascii="Arial" w:hAnsi="Arial" w:cs="Arial"/>
          <w:color w:val="000000" w:themeColor="text1"/>
        </w:rPr>
        <w:t>exacerbate</w:t>
      </w:r>
      <w:r w:rsidRPr="00B031A0">
        <w:rPr>
          <w:rFonts w:ascii="Arial" w:hAnsi="Arial" w:cs="Arial"/>
          <w:color w:val="000000" w:themeColor="text1"/>
        </w:rPr>
        <w:t xml:space="preserve"> workflow disruptions and, consequently, increase the difficulty in sticking to it regularly (Sartini </w:t>
      </w:r>
      <w:r w:rsidR="00776C49" w:rsidRPr="00B031A0">
        <w:rPr>
          <w:rFonts w:ascii="Arial" w:hAnsi="Arial" w:cs="Arial"/>
          <w:color w:val="000000" w:themeColor="text1"/>
        </w:rPr>
        <w:t>et al</w:t>
      </w:r>
      <w:r w:rsidRPr="00B031A0">
        <w:rPr>
          <w:rFonts w:ascii="Arial" w:hAnsi="Arial" w:cs="Arial"/>
          <w:color w:val="000000" w:themeColor="text1"/>
        </w:rPr>
        <w:t xml:space="preserve">., 2022). Therefore, Clancy </w:t>
      </w:r>
      <w:r w:rsidR="00776C49" w:rsidRPr="00B031A0">
        <w:rPr>
          <w:rFonts w:ascii="Arial" w:hAnsi="Arial" w:cs="Arial"/>
          <w:color w:val="000000" w:themeColor="text1"/>
        </w:rPr>
        <w:t>et al</w:t>
      </w:r>
      <w:r w:rsidRPr="00B031A0">
        <w:rPr>
          <w:rFonts w:ascii="Arial" w:hAnsi="Arial" w:cs="Arial"/>
          <w:color w:val="000000" w:themeColor="text1"/>
        </w:rPr>
        <w:t xml:space="preserve">. (2021), in their comprehensive systematic review providing an up-to-date compilation of </w:t>
      </w:r>
      <w:r w:rsidRPr="00B031A0">
        <w:rPr>
          <w:rFonts w:ascii="Arial" w:hAnsi="Arial" w:cs="Arial"/>
          <w:color w:val="000000" w:themeColor="text1"/>
        </w:rPr>
        <w:lastRenderedPageBreak/>
        <w:t xml:space="preserve">clinical trials, reported between 2014 and 2020, assessing hand hygiene interventions </w:t>
      </w:r>
      <w:r w:rsidR="007C25F7">
        <w:rPr>
          <w:rFonts w:ascii="Arial" w:hAnsi="Arial" w:cs="Arial"/>
          <w:color w:val="000000" w:themeColor="text1"/>
        </w:rPr>
        <w:t>to</w:t>
      </w:r>
      <w:r w:rsidRPr="00B031A0">
        <w:rPr>
          <w:rFonts w:ascii="Arial" w:hAnsi="Arial" w:cs="Arial"/>
          <w:color w:val="000000" w:themeColor="text1"/>
        </w:rPr>
        <w:t xml:space="preserve"> inform healthcare leaders and practitioners regarding approaches to reduce healthcare-associated infections using hand hygiene, argue that enhancing staffing levels might not guarantee compliance without the healthcare organisations employing a different strategy of enhancing accountability, leadership support and patient safety culture</w:t>
      </w:r>
      <w:r w:rsidR="008C491C">
        <w:rPr>
          <w:rFonts w:ascii="Arial" w:hAnsi="Arial" w:cs="Arial"/>
          <w:color w:val="000000" w:themeColor="text1"/>
        </w:rPr>
        <w:t xml:space="preserve"> </w:t>
      </w:r>
      <w:r w:rsidR="008C491C" w:rsidRPr="00B031A0">
        <w:rPr>
          <w:rFonts w:ascii="Arial" w:hAnsi="Arial" w:cs="Arial"/>
          <w:color w:val="000000" w:themeColor="text1"/>
        </w:rPr>
        <w:t>(Sartini et al., 2022)</w:t>
      </w:r>
      <w:r w:rsidRPr="00B031A0">
        <w:rPr>
          <w:rFonts w:ascii="Arial" w:hAnsi="Arial" w:cs="Arial"/>
          <w:color w:val="000000" w:themeColor="text1"/>
        </w:rPr>
        <w:t>.</w:t>
      </w:r>
      <w:r w:rsidRPr="00B031A0">
        <w:rPr>
          <w:rFonts w:ascii="Arial" w:hAnsi="Arial" w:cs="Arial"/>
          <w:b/>
          <w:bCs/>
          <w:color w:val="000000" w:themeColor="text1"/>
        </w:rPr>
        <w:t xml:space="preserve"> </w:t>
      </w:r>
    </w:p>
    <w:p w14:paraId="108B451A" w14:textId="77777777" w:rsidR="00C77BF3" w:rsidRPr="00B031A0" w:rsidRDefault="00115699">
      <w:pPr>
        <w:rPr>
          <w:rFonts w:ascii="Arial" w:hAnsi="Arial" w:cs="Arial"/>
          <w:b/>
          <w:bCs/>
          <w:color w:val="000000" w:themeColor="text1"/>
        </w:rPr>
      </w:pPr>
      <w:r w:rsidRPr="00B031A0">
        <w:rPr>
          <w:rFonts w:ascii="Arial" w:hAnsi="Arial" w:cs="Arial"/>
          <w:b/>
          <w:bCs/>
          <w:color w:val="000000" w:themeColor="text1"/>
        </w:rPr>
        <w:t>Organisational Culture and Leadership Support</w:t>
      </w:r>
    </w:p>
    <w:p w14:paraId="49E6BCF4" w14:textId="4CB1C48D" w:rsidR="00C77BF3" w:rsidRPr="00B031A0" w:rsidRDefault="00115699">
      <w:pPr>
        <w:rPr>
          <w:rFonts w:ascii="Arial" w:hAnsi="Arial" w:cs="Arial"/>
          <w:color w:val="000000" w:themeColor="text1"/>
        </w:rPr>
      </w:pPr>
      <w:r w:rsidRPr="00B031A0">
        <w:rPr>
          <w:rFonts w:ascii="Arial" w:hAnsi="Arial" w:cs="Arial"/>
          <w:color w:val="000000" w:themeColor="text1"/>
        </w:rPr>
        <w:t xml:space="preserve">Access to hand hygiene aids like alcohol-based hand rubs, soap, sinks, </w:t>
      </w:r>
      <w:r w:rsidR="007C25F7">
        <w:rPr>
          <w:rFonts w:ascii="Arial" w:hAnsi="Arial" w:cs="Arial"/>
          <w:color w:val="000000" w:themeColor="text1"/>
        </w:rPr>
        <w:t>disposable</w:t>
      </w:r>
      <w:r w:rsidRPr="00B031A0">
        <w:rPr>
          <w:rFonts w:ascii="Arial" w:hAnsi="Arial" w:cs="Arial"/>
          <w:color w:val="000000" w:themeColor="text1"/>
        </w:rPr>
        <w:t xml:space="preserve"> towels, and </w:t>
      </w:r>
      <w:r w:rsidR="007C25F7">
        <w:rPr>
          <w:rFonts w:ascii="Arial" w:hAnsi="Arial" w:cs="Arial"/>
          <w:color w:val="000000" w:themeColor="text1"/>
        </w:rPr>
        <w:t>PPE</w:t>
      </w:r>
      <w:r w:rsidRPr="00B031A0">
        <w:rPr>
          <w:rFonts w:ascii="Arial" w:hAnsi="Arial" w:cs="Arial"/>
          <w:color w:val="000000" w:themeColor="text1"/>
        </w:rPr>
        <w:t xml:space="preserve"> is regarded as a prerequisite for enhancing adherence to infection prevention protocols (Batra </w:t>
      </w:r>
      <w:r w:rsidR="00776C49" w:rsidRPr="00B031A0">
        <w:rPr>
          <w:rFonts w:ascii="Arial" w:hAnsi="Arial" w:cs="Arial"/>
          <w:color w:val="000000" w:themeColor="text1"/>
        </w:rPr>
        <w:t>et al</w:t>
      </w:r>
      <w:r w:rsidRPr="00B031A0">
        <w:rPr>
          <w:rFonts w:ascii="Arial" w:hAnsi="Arial" w:cs="Arial"/>
          <w:color w:val="000000" w:themeColor="text1"/>
        </w:rPr>
        <w:t xml:space="preserve">., 2025). Evidence continually demonstrates that healthcare professionals tend to practice hand hygiene in the workplace when these resources are available (Yue and Pan, 2025). The correlation between </w:t>
      </w:r>
      <w:r w:rsidR="007C25F7">
        <w:rPr>
          <w:rFonts w:ascii="Arial" w:hAnsi="Arial" w:cs="Arial"/>
          <w:color w:val="000000" w:themeColor="text1"/>
        </w:rPr>
        <w:t>resource</w:t>
      </w:r>
      <w:r w:rsidRPr="00B031A0">
        <w:rPr>
          <w:rFonts w:ascii="Arial" w:hAnsi="Arial" w:cs="Arial"/>
          <w:color w:val="000000" w:themeColor="text1"/>
        </w:rPr>
        <w:t xml:space="preserve"> availability and adherence is more complicated than the simple act of </w:t>
      </w:r>
      <w:r w:rsidR="007C25F7">
        <w:rPr>
          <w:rFonts w:ascii="Arial" w:hAnsi="Arial" w:cs="Arial"/>
          <w:color w:val="000000" w:themeColor="text1"/>
        </w:rPr>
        <w:t>providing</w:t>
      </w:r>
      <w:r w:rsidRPr="00B031A0">
        <w:rPr>
          <w:rFonts w:ascii="Arial" w:hAnsi="Arial" w:cs="Arial"/>
          <w:color w:val="000000" w:themeColor="text1"/>
        </w:rPr>
        <w:t xml:space="preserve"> the required materials. According to Worku and Melaku (2025), lack of access to hand hygiene resources means the standard would be lowered, while the mere existence of these facilities does not guarantee the necessary level of </w:t>
      </w:r>
      <w:r w:rsidR="007C25F7">
        <w:rPr>
          <w:rFonts w:ascii="Arial" w:hAnsi="Arial" w:cs="Arial"/>
          <w:color w:val="000000" w:themeColor="text1"/>
        </w:rPr>
        <w:t>behaviour change</w:t>
      </w:r>
      <w:r w:rsidRPr="00B031A0">
        <w:rPr>
          <w:rFonts w:ascii="Arial" w:hAnsi="Arial" w:cs="Arial"/>
          <w:color w:val="000000" w:themeColor="text1"/>
        </w:rPr>
        <w:t xml:space="preserve">. The same conclusion has been made by </w:t>
      </w:r>
      <w:proofErr w:type="spellStart"/>
      <w:r w:rsidRPr="00B031A0">
        <w:rPr>
          <w:rFonts w:ascii="Arial" w:hAnsi="Arial" w:cs="Arial"/>
          <w:color w:val="000000" w:themeColor="text1"/>
        </w:rPr>
        <w:t>Ystaas</w:t>
      </w:r>
      <w:proofErr w:type="spellEnd"/>
      <w:r w:rsidRPr="00B031A0">
        <w:rPr>
          <w:rFonts w:ascii="Arial" w:hAnsi="Arial" w:cs="Arial"/>
          <w:color w:val="000000" w:themeColor="text1"/>
        </w:rPr>
        <w:t xml:space="preserve"> </w:t>
      </w:r>
      <w:r w:rsidR="00776C49" w:rsidRPr="00B031A0">
        <w:rPr>
          <w:rFonts w:ascii="Arial" w:hAnsi="Arial" w:cs="Arial"/>
          <w:color w:val="000000" w:themeColor="text1"/>
        </w:rPr>
        <w:t>et al</w:t>
      </w:r>
      <w:r w:rsidRPr="00B031A0">
        <w:rPr>
          <w:rFonts w:ascii="Arial" w:hAnsi="Arial" w:cs="Arial"/>
          <w:color w:val="000000" w:themeColor="text1"/>
        </w:rPr>
        <w:t>. (2023), whose research indicated that leadership, guidance, and culture prove to have a stronger influence on compliance than availability of resources. In the circumstances of high-pressure medical performance, healthcare workers may miss hand hygiene moments even in the presence of all required facilities because of job commitments, interruptions, and competing priorities (</w:t>
      </w:r>
      <w:proofErr w:type="spellStart"/>
      <w:r w:rsidR="00B1135D" w:rsidRPr="00B031A0">
        <w:rPr>
          <w:rFonts w:ascii="Arial" w:hAnsi="Arial" w:cs="Arial"/>
          <w:color w:val="000000" w:themeColor="text1"/>
        </w:rPr>
        <w:t>Ystaas</w:t>
      </w:r>
      <w:proofErr w:type="spellEnd"/>
      <w:r w:rsidR="00B1135D" w:rsidRPr="00B031A0">
        <w:rPr>
          <w:rFonts w:ascii="Arial" w:hAnsi="Arial" w:cs="Arial"/>
          <w:color w:val="000000" w:themeColor="text1"/>
        </w:rPr>
        <w:t xml:space="preserve"> </w:t>
      </w:r>
      <w:r w:rsidR="00B1135D">
        <w:rPr>
          <w:rFonts w:ascii="Arial" w:hAnsi="Arial" w:cs="Arial"/>
          <w:color w:val="000000" w:themeColor="text1"/>
        </w:rPr>
        <w:t>et al</w:t>
      </w:r>
      <w:r w:rsidRPr="00B031A0">
        <w:rPr>
          <w:rFonts w:ascii="Arial" w:hAnsi="Arial" w:cs="Arial"/>
          <w:color w:val="000000" w:themeColor="text1"/>
        </w:rPr>
        <w:t>, 202</w:t>
      </w:r>
      <w:r w:rsidR="00B1135D">
        <w:rPr>
          <w:rFonts w:ascii="Arial" w:hAnsi="Arial" w:cs="Arial"/>
          <w:color w:val="000000" w:themeColor="text1"/>
        </w:rPr>
        <w:t>3</w:t>
      </w:r>
      <w:r w:rsidRPr="00B031A0">
        <w:rPr>
          <w:rFonts w:ascii="Arial" w:hAnsi="Arial" w:cs="Arial"/>
          <w:color w:val="000000" w:themeColor="text1"/>
        </w:rPr>
        <w:t xml:space="preserve">). </w:t>
      </w:r>
    </w:p>
    <w:p w14:paraId="33EBB38F" w14:textId="77777777" w:rsidR="00C77BF3" w:rsidRPr="00B031A0" w:rsidRDefault="00115699">
      <w:pPr>
        <w:rPr>
          <w:rFonts w:ascii="Arial" w:hAnsi="Arial" w:cs="Arial"/>
          <w:b/>
          <w:bCs/>
          <w:color w:val="000000" w:themeColor="text1"/>
        </w:rPr>
      </w:pPr>
      <w:r w:rsidRPr="00B031A0">
        <w:rPr>
          <w:rFonts w:ascii="Arial" w:hAnsi="Arial" w:cs="Arial"/>
          <w:b/>
          <w:bCs/>
          <w:color w:val="000000" w:themeColor="text1"/>
        </w:rPr>
        <w:t>Availability of Resources and Clinical Environment</w:t>
      </w:r>
    </w:p>
    <w:p w14:paraId="74544365" w14:textId="79BE4764" w:rsidR="00C77BF3" w:rsidRPr="00B031A0" w:rsidRDefault="00115699">
      <w:pPr>
        <w:rPr>
          <w:rFonts w:ascii="Arial" w:hAnsi="Arial" w:cs="Arial"/>
          <w:color w:val="000000" w:themeColor="text1"/>
        </w:rPr>
      </w:pPr>
      <w:r w:rsidRPr="00B031A0">
        <w:rPr>
          <w:rFonts w:ascii="Arial" w:hAnsi="Arial" w:cs="Arial"/>
          <w:color w:val="000000" w:themeColor="text1"/>
        </w:rPr>
        <w:t xml:space="preserve">The availability of alcohol-based hand rub, running sinks, soap dispensers and hand-drying stations should be ready to encourage the medical staff to perform hand hygiene more </w:t>
      </w:r>
      <w:r w:rsidR="007C25F7">
        <w:rPr>
          <w:rFonts w:ascii="Arial" w:hAnsi="Arial" w:cs="Arial"/>
          <w:color w:val="000000" w:themeColor="text1"/>
        </w:rPr>
        <w:t>consistently</w:t>
      </w:r>
      <w:r w:rsidRPr="00B031A0">
        <w:rPr>
          <w:rFonts w:ascii="Arial" w:hAnsi="Arial" w:cs="Arial"/>
          <w:color w:val="000000" w:themeColor="text1"/>
        </w:rPr>
        <w:t xml:space="preserve"> (Sartini </w:t>
      </w:r>
      <w:r w:rsidR="00776C49" w:rsidRPr="00B031A0">
        <w:rPr>
          <w:rFonts w:ascii="Arial" w:hAnsi="Arial" w:cs="Arial"/>
          <w:color w:val="000000" w:themeColor="text1"/>
        </w:rPr>
        <w:t>et al</w:t>
      </w:r>
      <w:r w:rsidRPr="00B031A0">
        <w:rPr>
          <w:rFonts w:ascii="Arial" w:hAnsi="Arial" w:cs="Arial"/>
          <w:color w:val="000000" w:themeColor="text1"/>
        </w:rPr>
        <w:t xml:space="preserve">., 2022). Long-distance walking is also of great importance, especially </w:t>
      </w:r>
      <w:r w:rsidR="007C25F7">
        <w:rPr>
          <w:rFonts w:ascii="Arial" w:hAnsi="Arial" w:cs="Arial"/>
          <w:color w:val="000000" w:themeColor="text1"/>
        </w:rPr>
        <w:t>when</w:t>
      </w:r>
      <w:r w:rsidRPr="00B031A0">
        <w:rPr>
          <w:rFonts w:ascii="Arial" w:hAnsi="Arial" w:cs="Arial"/>
          <w:color w:val="000000" w:themeColor="text1"/>
        </w:rPr>
        <w:t xml:space="preserve"> the environment is under consideration, and it discourages hand cleansing, often due to ill-positioned equipment. </w:t>
      </w:r>
      <w:r w:rsidR="007C25F7">
        <w:rPr>
          <w:rFonts w:ascii="Arial" w:hAnsi="Arial" w:cs="Arial"/>
          <w:color w:val="000000" w:themeColor="text1"/>
        </w:rPr>
        <w:t>Other</w:t>
      </w:r>
      <w:r w:rsidRPr="00B031A0">
        <w:rPr>
          <w:rFonts w:ascii="Arial" w:hAnsi="Arial" w:cs="Arial"/>
          <w:color w:val="000000" w:themeColor="text1"/>
        </w:rPr>
        <w:t xml:space="preserve"> researchers view the infrastructure as being enhanced, which, in effect, has a huge impact on compliance as it </w:t>
      </w:r>
      <w:r w:rsidR="007C25F7">
        <w:rPr>
          <w:rFonts w:ascii="Arial" w:hAnsi="Arial" w:cs="Arial"/>
          <w:color w:val="000000" w:themeColor="text1"/>
        </w:rPr>
        <w:t>removes</w:t>
      </w:r>
      <w:r w:rsidRPr="00B031A0">
        <w:rPr>
          <w:rFonts w:ascii="Arial" w:hAnsi="Arial" w:cs="Arial"/>
          <w:color w:val="000000" w:themeColor="text1"/>
        </w:rPr>
        <w:t xml:space="preserve"> practical impediments</w:t>
      </w:r>
      <w:r w:rsidR="008C491C">
        <w:rPr>
          <w:rFonts w:ascii="Arial" w:hAnsi="Arial" w:cs="Arial"/>
          <w:color w:val="000000" w:themeColor="text1"/>
        </w:rPr>
        <w:t xml:space="preserve"> </w:t>
      </w:r>
      <w:r w:rsidR="008C491C" w:rsidRPr="00B031A0">
        <w:rPr>
          <w:rFonts w:ascii="Arial" w:hAnsi="Arial" w:cs="Arial"/>
          <w:color w:val="000000" w:themeColor="text1"/>
        </w:rPr>
        <w:t>(Sartini et al., 2022)</w:t>
      </w:r>
      <w:r w:rsidRPr="00B031A0">
        <w:rPr>
          <w:rFonts w:ascii="Arial" w:hAnsi="Arial" w:cs="Arial"/>
          <w:color w:val="000000" w:themeColor="text1"/>
        </w:rPr>
        <w:t xml:space="preserve">. On the other hand, Worku and Melaku (2025), from an interview of twenty-four healthcare professionals, argue that the availability of resources will not be of value when </w:t>
      </w:r>
      <w:r w:rsidRPr="00B031A0">
        <w:rPr>
          <w:rFonts w:ascii="Arial" w:hAnsi="Arial" w:cs="Arial"/>
          <w:color w:val="000000" w:themeColor="text1"/>
        </w:rPr>
        <w:lastRenderedPageBreak/>
        <w:t>healthcare personnel are not motivated or do not identify suitable hand hygiene opportunities. Thus, environmental interventions need to be supplementary to behavioural interventions and not substitutes</w:t>
      </w:r>
      <w:r w:rsidR="009100D2">
        <w:rPr>
          <w:rFonts w:ascii="Arial" w:hAnsi="Arial" w:cs="Arial"/>
          <w:color w:val="000000" w:themeColor="text1"/>
        </w:rPr>
        <w:t xml:space="preserve"> </w:t>
      </w:r>
      <w:r w:rsidR="009100D2" w:rsidRPr="00B031A0">
        <w:rPr>
          <w:rFonts w:ascii="Arial" w:hAnsi="Arial" w:cs="Arial"/>
          <w:color w:val="000000" w:themeColor="text1"/>
        </w:rPr>
        <w:t>(Sartini et al., 2022)</w:t>
      </w:r>
      <w:r w:rsidRPr="00B031A0">
        <w:rPr>
          <w:rFonts w:ascii="Arial" w:hAnsi="Arial" w:cs="Arial"/>
          <w:color w:val="000000" w:themeColor="text1"/>
        </w:rPr>
        <w:t xml:space="preserve">. Latest behavioural research has also indicated that co-design of clinical environments and staff has proved to be more effective in improving hand hygiene behaviour than education campaigns (Blair </w:t>
      </w:r>
      <w:r w:rsidR="00776C49" w:rsidRPr="00B031A0">
        <w:rPr>
          <w:rFonts w:ascii="Arial" w:hAnsi="Arial" w:cs="Arial"/>
          <w:color w:val="000000" w:themeColor="text1"/>
        </w:rPr>
        <w:t>et al</w:t>
      </w:r>
      <w:r w:rsidRPr="00B031A0">
        <w:rPr>
          <w:rFonts w:ascii="Arial" w:hAnsi="Arial" w:cs="Arial"/>
          <w:color w:val="000000" w:themeColor="text1"/>
        </w:rPr>
        <w:t>., 2024).</w:t>
      </w:r>
      <w:r w:rsidRPr="00B031A0">
        <w:rPr>
          <w:rFonts w:ascii="Arial" w:hAnsi="Arial" w:cs="Arial"/>
          <w:b/>
          <w:bCs/>
          <w:color w:val="000000" w:themeColor="text1"/>
        </w:rPr>
        <w:t xml:space="preserve"> </w:t>
      </w:r>
    </w:p>
    <w:p w14:paraId="5FAA80B6" w14:textId="77777777" w:rsidR="00C77BF3" w:rsidRPr="00B031A0" w:rsidRDefault="00115699">
      <w:pPr>
        <w:rPr>
          <w:rFonts w:ascii="Arial" w:hAnsi="Arial" w:cs="Arial"/>
          <w:b/>
          <w:bCs/>
          <w:color w:val="000000" w:themeColor="text1"/>
        </w:rPr>
      </w:pPr>
      <w:r w:rsidRPr="00B031A0">
        <w:rPr>
          <w:rFonts w:ascii="Arial" w:hAnsi="Arial" w:cs="Arial"/>
          <w:b/>
          <w:bCs/>
          <w:color w:val="000000" w:themeColor="text1"/>
        </w:rPr>
        <w:t>Behavioural Attitudes, Perceptions and Social Influence</w:t>
      </w:r>
    </w:p>
    <w:p w14:paraId="2B18AC3F" w14:textId="1030BE75" w:rsidR="00C77BF3" w:rsidRPr="00B031A0" w:rsidRDefault="00115699">
      <w:pPr>
        <w:rPr>
          <w:rFonts w:ascii="Arial" w:hAnsi="Arial" w:cs="Arial"/>
          <w:color w:val="000000" w:themeColor="text1"/>
        </w:rPr>
      </w:pPr>
      <w:r w:rsidRPr="00B031A0">
        <w:rPr>
          <w:rFonts w:ascii="Arial" w:hAnsi="Arial" w:cs="Arial"/>
          <w:color w:val="000000" w:themeColor="text1"/>
        </w:rPr>
        <w:t xml:space="preserve">Behavioural and psychological factors are yet another big contributor to compliance. Afework and Tamene (2025), in a review including twenty-eight studies that were conducted in different regions of the world representing six of the continents, posit that healthcare workers often have their own perception of risk according to their prior clinical experiences, which affects the rate at which they reliably engage in hand hygiene. Some people perceive alcohol-based hand rub as an answer to all situations, and some unrealistically consider the risks of contamination as high during seemingly low-risk interactions with the patient (Batra </w:t>
      </w:r>
      <w:r w:rsidR="00776C49" w:rsidRPr="00B031A0">
        <w:rPr>
          <w:rFonts w:ascii="Arial" w:hAnsi="Arial" w:cs="Arial"/>
          <w:color w:val="000000" w:themeColor="text1"/>
        </w:rPr>
        <w:t>et al</w:t>
      </w:r>
      <w:r w:rsidRPr="00B031A0">
        <w:rPr>
          <w:rFonts w:ascii="Arial" w:hAnsi="Arial" w:cs="Arial"/>
          <w:color w:val="000000" w:themeColor="text1"/>
        </w:rPr>
        <w:t xml:space="preserve">., 2025). Another factor that affects behaviour is social influence, as obedience </w:t>
      </w:r>
      <w:r w:rsidR="00FB7391" w:rsidRPr="00B031A0">
        <w:rPr>
          <w:rFonts w:ascii="Arial" w:hAnsi="Arial" w:cs="Arial"/>
          <w:color w:val="000000" w:themeColor="text1"/>
        </w:rPr>
        <w:t>tends to</w:t>
      </w:r>
      <w:r w:rsidRPr="00B031A0">
        <w:rPr>
          <w:rFonts w:ascii="Arial" w:hAnsi="Arial" w:cs="Arial"/>
          <w:color w:val="000000" w:themeColor="text1"/>
        </w:rPr>
        <w:t xml:space="preserve"> mimic the behaviours of senior colleagues and the multidisciplinary team (</w:t>
      </w:r>
      <w:proofErr w:type="spellStart"/>
      <w:r w:rsidRPr="00B031A0">
        <w:rPr>
          <w:rFonts w:ascii="Arial" w:hAnsi="Arial" w:cs="Arial"/>
          <w:color w:val="000000" w:themeColor="text1"/>
        </w:rPr>
        <w:t>Violato</w:t>
      </w:r>
      <w:proofErr w:type="spellEnd"/>
      <w:r w:rsidRPr="00B031A0">
        <w:rPr>
          <w:rFonts w:ascii="Arial" w:hAnsi="Arial" w:cs="Arial"/>
          <w:color w:val="000000" w:themeColor="text1"/>
        </w:rPr>
        <w:t xml:space="preserve"> </w:t>
      </w:r>
      <w:r w:rsidR="00776C49" w:rsidRPr="00B031A0">
        <w:rPr>
          <w:rFonts w:ascii="Arial" w:hAnsi="Arial" w:cs="Arial"/>
          <w:color w:val="000000" w:themeColor="text1"/>
        </w:rPr>
        <w:t>et al</w:t>
      </w:r>
      <w:r w:rsidRPr="00B031A0">
        <w:rPr>
          <w:rFonts w:ascii="Arial" w:hAnsi="Arial" w:cs="Arial"/>
          <w:color w:val="000000" w:themeColor="text1"/>
        </w:rPr>
        <w:t>., 2021). Adherence to behavioural views, which are taken by some scholars, is very dependent on peer influence, role modelling and workplace norms</w:t>
      </w:r>
      <w:r w:rsidR="00E274F6">
        <w:rPr>
          <w:rFonts w:ascii="Arial" w:hAnsi="Arial" w:cs="Arial"/>
          <w:color w:val="000000" w:themeColor="text1"/>
        </w:rPr>
        <w:t xml:space="preserve"> </w:t>
      </w:r>
      <w:r w:rsidRPr="00B031A0">
        <w:rPr>
          <w:rFonts w:ascii="Arial" w:hAnsi="Arial" w:cs="Arial"/>
          <w:color w:val="000000" w:themeColor="text1"/>
        </w:rPr>
        <w:t xml:space="preserve">(Ayo-Farai </w:t>
      </w:r>
      <w:r w:rsidR="00776C49" w:rsidRPr="00B031A0">
        <w:rPr>
          <w:rFonts w:ascii="Arial" w:hAnsi="Arial" w:cs="Arial"/>
          <w:color w:val="000000" w:themeColor="text1"/>
        </w:rPr>
        <w:t>et al</w:t>
      </w:r>
      <w:r w:rsidRPr="00B031A0">
        <w:rPr>
          <w:rFonts w:ascii="Arial" w:hAnsi="Arial" w:cs="Arial"/>
          <w:color w:val="000000" w:themeColor="text1"/>
        </w:rPr>
        <w:t xml:space="preserve">., 2024). In contrast, Smith </w:t>
      </w:r>
      <w:r w:rsidR="00776C49" w:rsidRPr="00B031A0">
        <w:rPr>
          <w:rFonts w:ascii="Arial" w:hAnsi="Arial" w:cs="Arial"/>
          <w:color w:val="000000" w:themeColor="text1"/>
        </w:rPr>
        <w:t>et al</w:t>
      </w:r>
      <w:r w:rsidRPr="00B031A0">
        <w:rPr>
          <w:rFonts w:ascii="Arial" w:hAnsi="Arial" w:cs="Arial"/>
          <w:color w:val="000000" w:themeColor="text1"/>
        </w:rPr>
        <w:t>. (2023) argue that the emphasis on personal professional responsibility, regardless of the surrounding behaviour, is advocated by infection control experts. As evidenced during this discussion, personal attitudes and institutional policies are not the only factors that can be used to explain hand hygiene compliance</w:t>
      </w:r>
      <w:r w:rsidR="00FB7391">
        <w:rPr>
          <w:rFonts w:ascii="Arial" w:hAnsi="Arial" w:cs="Arial"/>
          <w:color w:val="000000" w:themeColor="text1"/>
        </w:rPr>
        <w:t xml:space="preserve"> </w:t>
      </w:r>
      <w:r w:rsidR="00FB7391" w:rsidRPr="00B031A0">
        <w:rPr>
          <w:rFonts w:ascii="Arial" w:hAnsi="Arial" w:cs="Arial"/>
          <w:color w:val="000000" w:themeColor="text1"/>
        </w:rPr>
        <w:t>(</w:t>
      </w:r>
      <w:proofErr w:type="spellStart"/>
      <w:r w:rsidR="00FB7391" w:rsidRPr="00B031A0">
        <w:rPr>
          <w:rFonts w:ascii="Arial" w:hAnsi="Arial" w:cs="Arial"/>
          <w:color w:val="000000" w:themeColor="text1"/>
        </w:rPr>
        <w:t>Violato</w:t>
      </w:r>
      <w:proofErr w:type="spellEnd"/>
      <w:r w:rsidR="00FB7391" w:rsidRPr="00B031A0">
        <w:rPr>
          <w:rFonts w:ascii="Arial" w:hAnsi="Arial" w:cs="Arial"/>
          <w:color w:val="000000" w:themeColor="text1"/>
        </w:rPr>
        <w:t xml:space="preserve"> et al., 2021)</w:t>
      </w:r>
      <w:r w:rsidRPr="00B031A0">
        <w:rPr>
          <w:rFonts w:ascii="Arial" w:hAnsi="Arial" w:cs="Arial"/>
          <w:color w:val="000000" w:themeColor="text1"/>
        </w:rPr>
        <w:t xml:space="preserve">. Rather, we need behavioural change interventions that not only focus on the motivation of </w:t>
      </w:r>
      <w:r w:rsidR="007C25F7" w:rsidRPr="00B031A0">
        <w:rPr>
          <w:rFonts w:ascii="Arial" w:hAnsi="Arial" w:cs="Arial"/>
          <w:color w:val="000000" w:themeColor="text1"/>
        </w:rPr>
        <w:t>individuals but</w:t>
      </w:r>
      <w:r w:rsidRPr="00B031A0">
        <w:rPr>
          <w:rFonts w:ascii="Arial" w:hAnsi="Arial" w:cs="Arial"/>
          <w:color w:val="000000" w:themeColor="text1"/>
        </w:rPr>
        <w:t xml:space="preserve"> also facilitate supporting positive organisational practices through routinely reinforcing team norms, providing feedback, and organisational commitment to patient safety</w:t>
      </w:r>
      <w:r w:rsidR="00FB7391">
        <w:rPr>
          <w:rFonts w:ascii="Arial" w:hAnsi="Arial" w:cs="Arial"/>
          <w:color w:val="000000" w:themeColor="text1"/>
        </w:rPr>
        <w:t xml:space="preserve"> </w:t>
      </w:r>
      <w:r w:rsidR="00FB7391" w:rsidRPr="00B031A0">
        <w:rPr>
          <w:rFonts w:ascii="Arial" w:hAnsi="Arial" w:cs="Arial"/>
          <w:color w:val="000000" w:themeColor="text1"/>
        </w:rPr>
        <w:t>(Batra et al., 2025)</w:t>
      </w:r>
      <w:r w:rsidRPr="00B031A0">
        <w:rPr>
          <w:rFonts w:ascii="Arial" w:hAnsi="Arial" w:cs="Arial"/>
          <w:color w:val="000000" w:themeColor="text1"/>
        </w:rPr>
        <w:t xml:space="preserve">.  </w:t>
      </w:r>
    </w:p>
    <w:p w14:paraId="6C94B677" w14:textId="77777777" w:rsidR="00C77BF3" w:rsidRPr="00B031A0" w:rsidRDefault="00115699" w:rsidP="007C25F7">
      <w:pPr>
        <w:pStyle w:val="Heading2"/>
      </w:pPr>
      <w:bookmarkStart w:id="16" w:name="_Toc240208796"/>
      <w:r w:rsidRPr="00B031A0">
        <w:t>2.3.3 Effectiveness of hand hygiene interventions in reducing infection rates</w:t>
      </w:r>
      <w:bookmarkEnd w:id="16"/>
    </w:p>
    <w:p w14:paraId="2028DB4F" w14:textId="21F08432" w:rsidR="00C77BF3" w:rsidRPr="00B031A0" w:rsidRDefault="00115699">
      <w:pPr>
        <w:rPr>
          <w:rFonts w:ascii="Arial" w:hAnsi="Arial" w:cs="Arial"/>
          <w:color w:val="000000" w:themeColor="text1"/>
        </w:rPr>
      </w:pPr>
      <w:r w:rsidRPr="00B031A0">
        <w:rPr>
          <w:rFonts w:ascii="Arial" w:hAnsi="Arial" w:cs="Arial"/>
          <w:color w:val="000000" w:themeColor="text1"/>
        </w:rPr>
        <w:t xml:space="preserve">Hand hygiene intervention has also been widely suggested as a vital form of intervention in the reduction of healthcare-associated infections (HCAIs), but the effectiveness or use of the intervention is dependent on the format of the intervention, the quality of use, and clinical situations (Pruna </w:t>
      </w:r>
      <w:r w:rsidR="00776C49" w:rsidRPr="00B031A0">
        <w:rPr>
          <w:rFonts w:ascii="Arial" w:hAnsi="Arial" w:cs="Arial"/>
          <w:color w:val="000000" w:themeColor="text1"/>
        </w:rPr>
        <w:t>et al</w:t>
      </w:r>
      <w:r w:rsidRPr="00B031A0">
        <w:rPr>
          <w:rFonts w:ascii="Arial" w:hAnsi="Arial" w:cs="Arial"/>
          <w:color w:val="000000" w:themeColor="text1"/>
        </w:rPr>
        <w:t xml:space="preserve">., 2026). The evidence widely </w:t>
      </w:r>
      <w:r w:rsidR="007C25F7">
        <w:rPr>
          <w:rFonts w:ascii="Arial" w:hAnsi="Arial" w:cs="Arial"/>
          <w:color w:val="000000" w:themeColor="text1"/>
        </w:rPr>
        <w:lastRenderedPageBreak/>
        <w:t>suggests</w:t>
      </w:r>
      <w:r w:rsidRPr="00B031A0">
        <w:rPr>
          <w:rFonts w:ascii="Arial" w:hAnsi="Arial" w:cs="Arial"/>
          <w:color w:val="000000" w:themeColor="text1"/>
        </w:rPr>
        <w:t xml:space="preserve"> that </w:t>
      </w:r>
      <w:r w:rsidR="007C25F7">
        <w:rPr>
          <w:rFonts w:ascii="Arial" w:hAnsi="Arial" w:cs="Arial"/>
          <w:color w:val="000000" w:themeColor="text1"/>
        </w:rPr>
        <w:t>multi-component,</w:t>
      </w:r>
      <w:r w:rsidRPr="00B031A0">
        <w:rPr>
          <w:rFonts w:ascii="Arial" w:hAnsi="Arial" w:cs="Arial"/>
          <w:color w:val="000000" w:themeColor="text1"/>
        </w:rPr>
        <w:t xml:space="preserve"> but </w:t>
      </w:r>
      <w:r w:rsidR="007C25F7">
        <w:rPr>
          <w:rFonts w:ascii="Arial" w:hAnsi="Arial" w:cs="Arial"/>
          <w:color w:val="000000" w:themeColor="text1"/>
        </w:rPr>
        <w:t>not</w:t>
      </w:r>
      <w:r w:rsidRPr="00B031A0">
        <w:rPr>
          <w:rFonts w:ascii="Arial" w:hAnsi="Arial" w:cs="Arial"/>
          <w:color w:val="000000" w:themeColor="text1"/>
        </w:rPr>
        <w:t xml:space="preserve"> single</w:t>
      </w:r>
      <w:r w:rsidR="007C25F7">
        <w:rPr>
          <w:rFonts w:ascii="Arial" w:hAnsi="Arial" w:cs="Arial"/>
          <w:color w:val="000000" w:themeColor="text1"/>
        </w:rPr>
        <w:t>,</w:t>
      </w:r>
      <w:r w:rsidRPr="00B031A0">
        <w:rPr>
          <w:rFonts w:ascii="Arial" w:hAnsi="Arial" w:cs="Arial"/>
          <w:color w:val="000000" w:themeColor="text1"/>
        </w:rPr>
        <w:t xml:space="preserve"> interventions are most likely to be effective and that a good response in terms of compliance will not necessarily lead to the same level of reduction </w:t>
      </w:r>
      <w:r w:rsidR="007C25F7">
        <w:rPr>
          <w:rFonts w:ascii="Arial" w:hAnsi="Arial" w:cs="Arial"/>
          <w:color w:val="000000" w:themeColor="text1"/>
        </w:rPr>
        <w:t>in</w:t>
      </w:r>
      <w:r w:rsidRPr="00B031A0">
        <w:rPr>
          <w:rFonts w:ascii="Arial" w:hAnsi="Arial" w:cs="Arial"/>
          <w:color w:val="000000" w:themeColor="text1"/>
        </w:rPr>
        <w:t xml:space="preserve"> infection rates (</w:t>
      </w:r>
      <w:proofErr w:type="spellStart"/>
      <w:r w:rsidRPr="00B031A0">
        <w:rPr>
          <w:rFonts w:ascii="Arial" w:hAnsi="Arial" w:cs="Arial"/>
          <w:color w:val="000000" w:themeColor="text1"/>
        </w:rPr>
        <w:t>Ssekamatte</w:t>
      </w:r>
      <w:proofErr w:type="spellEnd"/>
      <w:r w:rsidRPr="00B031A0">
        <w:rPr>
          <w:rFonts w:ascii="Arial" w:hAnsi="Arial" w:cs="Arial"/>
          <w:color w:val="000000" w:themeColor="text1"/>
        </w:rPr>
        <w:t xml:space="preserve"> </w:t>
      </w:r>
      <w:r w:rsidR="00776C49" w:rsidRPr="00B031A0">
        <w:rPr>
          <w:rFonts w:ascii="Arial" w:hAnsi="Arial" w:cs="Arial"/>
          <w:color w:val="000000" w:themeColor="text1"/>
        </w:rPr>
        <w:t>et al</w:t>
      </w:r>
      <w:r w:rsidRPr="00B031A0">
        <w:rPr>
          <w:rFonts w:ascii="Arial" w:hAnsi="Arial" w:cs="Arial"/>
          <w:color w:val="000000" w:themeColor="text1"/>
        </w:rPr>
        <w:t xml:space="preserve">., 2024). </w:t>
      </w:r>
    </w:p>
    <w:p w14:paraId="5A7224B6" w14:textId="77777777" w:rsidR="00C77BF3" w:rsidRPr="00B031A0" w:rsidRDefault="00115699">
      <w:pPr>
        <w:rPr>
          <w:rFonts w:ascii="Arial" w:hAnsi="Arial" w:cs="Arial"/>
          <w:b/>
          <w:bCs/>
          <w:color w:val="000000" w:themeColor="text1"/>
        </w:rPr>
      </w:pPr>
      <w:r w:rsidRPr="00B031A0">
        <w:rPr>
          <w:rFonts w:ascii="Arial" w:hAnsi="Arial" w:cs="Arial"/>
          <w:b/>
          <w:bCs/>
          <w:color w:val="000000" w:themeColor="text1"/>
        </w:rPr>
        <w:t>Education and Practical Skills Training</w:t>
      </w:r>
    </w:p>
    <w:p w14:paraId="67F7511A" w14:textId="064FB0E7" w:rsidR="00C77BF3" w:rsidRPr="00B031A0" w:rsidRDefault="00115699">
      <w:pPr>
        <w:rPr>
          <w:rFonts w:ascii="Arial" w:hAnsi="Arial" w:cs="Arial"/>
          <w:color w:val="000000" w:themeColor="text1"/>
        </w:rPr>
      </w:pPr>
      <w:r w:rsidRPr="00B031A0">
        <w:rPr>
          <w:rFonts w:ascii="Arial" w:hAnsi="Arial" w:cs="Arial"/>
          <w:color w:val="000000" w:themeColor="text1"/>
        </w:rPr>
        <w:t>Education will be used in sensitising the healthcare workers about the routes of transmission, when to wash their hands and how to do so (</w:t>
      </w:r>
      <w:proofErr w:type="spellStart"/>
      <w:r w:rsidRPr="00B031A0">
        <w:rPr>
          <w:rFonts w:ascii="Arial" w:hAnsi="Arial" w:cs="Arial"/>
          <w:color w:val="000000" w:themeColor="text1"/>
        </w:rPr>
        <w:t>Ssekamatte</w:t>
      </w:r>
      <w:proofErr w:type="spellEnd"/>
      <w:r w:rsidRPr="00B031A0">
        <w:rPr>
          <w:rFonts w:ascii="Arial" w:hAnsi="Arial" w:cs="Arial"/>
          <w:color w:val="000000" w:themeColor="text1"/>
        </w:rPr>
        <w:t xml:space="preserve"> </w:t>
      </w:r>
      <w:r w:rsidR="00776C49" w:rsidRPr="00B031A0">
        <w:rPr>
          <w:rFonts w:ascii="Arial" w:hAnsi="Arial" w:cs="Arial"/>
          <w:color w:val="000000" w:themeColor="text1"/>
        </w:rPr>
        <w:t>et al</w:t>
      </w:r>
      <w:r w:rsidRPr="00B031A0">
        <w:rPr>
          <w:rFonts w:ascii="Arial" w:hAnsi="Arial" w:cs="Arial"/>
          <w:color w:val="000000" w:themeColor="text1"/>
        </w:rPr>
        <w:t xml:space="preserve">., 2024). Simulation and competency assessment are more effective when it is compared to interactive demonstrations because the knowledge is converted into practice. Nonetheless, the results of the analysis performed by Clancy </w:t>
      </w:r>
      <w:r w:rsidR="00776C49" w:rsidRPr="00B031A0">
        <w:rPr>
          <w:rFonts w:ascii="Arial" w:hAnsi="Arial" w:cs="Arial"/>
          <w:color w:val="000000" w:themeColor="text1"/>
        </w:rPr>
        <w:t>et al</w:t>
      </w:r>
      <w:r w:rsidRPr="00B031A0">
        <w:rPr>
          <w:rFonts w:ascii="Arial" w:hAnsi="Arial" w:cs="Arial"/>
          <w:color w:val="000000" w:themeColor="text1"/>
        </w:rPr>
        <w:t>. (2021) demonstrated that various intervention trials have different outcomes on the spot and, as a result, the educational programmes often resulted in instant compliance rates and did not indicate whether the level of these improvements will be maintained or the Healthcare-Associated Infections (HCAIs) level will decline</w:t>
      </w:r>
      <w:r w:rsidR="00D948E0">
        <w:rPr>
          <w:rFonts w:ascii="Arial" w:hAnsi="Arial" w:cs="Arial"/>
          <w:color w:val="000000" w:themeColor="text1"/>
        </w:rPr>
        <w:t xml:space="preserve"> (</w:t>
      </w:r>
      <w:r w:rsidR="00D948E0" w:rsidRPr="00B031A0">
        <w:rPr>
          <w:rFonts w:ascii="Arial" w:hAnsi="Arial" w:cs="Arial"/>
          <w:color w:val="000000" w:themeColor="text1"/>
        </w:rPr>
        <w:t xml:space="preserve">Knudsen </w:t>
      </w:r>
      <w:r w:rsidR="00D948E0" w:rsidRPr="00B031A0">
        <w:rPr>
          <w:rFonts w:ascii="Arial" w:hAnsi="Arial" w:cs="Arial"/>
          <w:i/>
          <w:iCs/>
          <w:color w:val="000000" w:themeColor="text1"/>
        </w:rPr>
        <w:t>et al.</w:t>
      </w:r>
      <w:r w:rsidR="00D948E0">
        <w:rPr>
          <w:rFonts w:ascii="Arial" w:hAnsi="Arial" w:cs="Arial"/>
          <w:i/>
          <w:iCs/>
          <w:color w:val="000000" w:themeColor="text1"/>
        </w:rPr>
        <w:t>,</w:t>
      </w:r>
      <w:r w:rsidR="00D948E0" w:rsidRPr="00B031A0">
        <w:rPr>
          <w:rFonts w:ascii="Arial" w:hAnsi="Arial" w:cs="Arial"/>
          <w:i/>
          <w:iCs/>
          <w:color w:val="000000" w:themeColor="text1"/>
        </w:rPr>
        <w:t xml:space="preserve"> </w:t>
      </w:r>
      <w:r w:rsidR="00D948E0" w:rsidRPr="00B031A0">
        <w:rPr>
          <w:rFonts w:ascii="Arial" w:hAnsi="Arial" w:cs="Arial"/>
          <w:color w:val="000000" w:themeColor="text1"/>
        </w:rPr>
        <w:t>2023)</w:t>
      </w:r>
      <w:r w:rsidRPr="00B031A0">
        <w:rPr>
          <w:rFonts w:ascii="Arial" w:hAnsi="Arial" w:cs="Arial"/>
          <w:color w:val="000000" w:themeColor="text1"/>
        </w:rPr>
        <w:t xml:space="preserve">. Comparison of repeated training, which is part of clinical practice, will be more likely to influence behaviour than training once a year. However, the outcomes of infection can still not </w:t>
      </w:r>
      <w:r w:rsidR="00F74F31">
        <w:rPr>
          <w:rFonts w:ascii="Arial" w:hAnsi="Arial" w:cs="Arial"/>
          <w:color w:val="000000" w:themeColor="text1"/>
        </w:rPr>
        <w:t>change</w:t>
      </w:r>
      <w:r w:rsidRPr="00B031A0">
        <w:rPr>
          <w:rFonts w:ascii="Arial" w:hAnsi="Arial" w:cs="Arial"/>
          <w:color w:val="000000" w:themeColor="text1"/>
        </w:rPr>
        <w:t xml:space="preserve"> in such cases where education is not </w:t>
      </w:r>
      <w:r w:rsidR="00F74F31">
        <w:rPr>
          <w:rFonts w:ascii="Arial" w:hAnsi="Arial" w:cs="Arial"/>
          <w:color w:val="000000" w:themeColor="text1"/>
        </w:rPr>
        <w:t>accompanied by</w:t>
      </w:r>
      <w:r w:rsidRPr="00B031A0">
        <w:rPr>
          <w:rFonts w:ascii="Arial" w:hAnsi="Arial" w:cs="Arial"/>
          <w:color w:val="000000" w:themeColor="text1"/>
        </w:rPr>
        <w:t xml:space="preserve"> adequate provisions, supervision and organisational enforcement (Mensah </w:t>
      </w:r>
      <w:r w:rsidR="00776C49" w:rsidRPr="00B031A0">
        <w:rPr>
          <w:rFonts w:ascii="Arial" w:hAnsi="Arial" w:cs="Arial"/>
          <w:i/>
          <w:iCs/>
          <w:color w:val="000000" w:themeColor="text1"/>
        </w:rPr>
        <w:t>et al</w:t>
      </w:r>
      <w:r w:rsidRPr="00B031A0">
        <w:rPr>
          <w:rFonts w:ascii="Arial" w:hAnsi="Arial" w:cs="Arial"/>
          <w:i/>
          <w:iCs/>
          <w:color w:val="000000" w:themeColor="text1"/>
        </w:rPr>
        <w:t>.,</w:t>
      </w:r>
      <w:r w:rsidRPr="00B031A0">
        <w:rPr>
          <w:rFonts w:ascii="Arial" w:hAnsi="Arial" w:cs="Arial"/>
          <w:color w:val="000000" w:themeColor="text1"/>
        </w:rPr>
        <w:t xml:space="preserve"> 2022). Training, however, is not a </w:t>
      </w:r>
      <w:r w:rsidR="00F74F31">
        <w:rPr>
          <w:rFonts w:ascii="Arial" w:hAnsi="Arial" w:cs="Arial"/>
          <w:color w:val="000000" w:themeColor="text1"/>
        </w:rPr>
        <w:t>panacea</w:t>
      </w:r>
      <w:r w:rsidRPr="00B031A0">
        <w:rPr>
          <w:rFonts w:ascii="Arial" w:hAnsi="Arial" w:cs="Arial"/>
          <w:color w:val="000000" w:themeColor="text1"/>
        </w:rPr>
        <w:t xml:space="preserve"> of its own as an infection-control solution, as the success/failure of the training will be ascertained by whether the knowledge is carried through to the point of care (Knudsen </w:t>
      </w:r>
      <w:r w:rsidR="00776C49" w:rsidRPr="00B031A0">
        <w:rPr>
          <w:rFonts w:ascii="Arial" w:hAnsi="Arial" w:cs="Arial"/>
          <w:i/>
          <w:iCs/>
          <w:color w:val="000000" w:themeColor="text1"/>
        </w:rPr>
        <w:t>et al</w:t>
      </w:r>
      <w:r w:rsidRPr="00B031A0">
        <w:rPr>
          <w:rFonts w:ascii="Arial" w:hAnsi="Arial" w:cs="Arial"/>
          <w:i/>
          <w:iCs/>
          <w:color w:val="000000" w:themeColor="text1"/>
        </w:rPr>
        <w:t>.</w:t>
      </w:r>
      <w:r w:rsidR="00F74F31">
        <w:rPr>
          <w:rFonts w:ascii="Arial" w:hAnsi="Arial" w:cs="Arial"/>
          <w:i/>
          <w:iCs/>
          <w:color w:val="000000" w:themeColor="text1"/>
        </w:rPr>
        <w:t>,</w:t>
      </w:r>
      <w:r w:rsidRPr="00B031A0">
        <w:rPr>
          <w:rFonts w:ascii="Arial" w:hAnsi="Arial" w:cs="Arial"/>
          <w:i/>
          <w:iCs/>
          <w:color w:val="000000" w:themeColor="text1"/>
        </w:rPr>
        <w:t xml:space="preserve"> </w:t>
      </w:r>
      <w:r w:rsidRPr="00B031A0">
        <w:rPr>
          <w:rFonts w:ascii="Arial" w:hAnsi="Arial" w:cs="Arial"/>
          <w:color w:val="000000" w:themeColor="text1"/>
        </w:rPr>
        <w:t>2023).</w:t>
      </w:r>
      <w:r w:rsidRPr="00B031A0">
        <w:rPr>
          <w:rFonts w:ascii="Arial" w:hAnsi="Arial" w:cs="Arial"/>
          <w:b/>
          <w:bCs/>
          <w:color w:val="000000" w:themeColor="text1"/>
        </w:rPr>
        <w:t xml:space="preserve"> </w:t>
      </w:r>
    </w:p>
    <w:p w14:paraId="15EF3D5F" w14:textId="77777777" w:rsidR="00C77BF3" w:rsidRPr="00B031A0" w:rsidRDefault="00115699">
      <w:pPr>
        <w:rPr>
          <w:rFonts w:ascii="Arial" w:hAnsi="Arial" w:cs="Arial"/>
          <w:b/>
          <w:bCs/>
          <w:color w:val="000000" w:themeColor="text1"/>
        </w:rPr>
      </w:pPr>
      <w:r w:rsidRPr="00B031A0">
        <w:rPr>
          <w:rFonts w:ascii="Arial" w:hAnsi="Arial" w:cs="Arial"/>
          <w:b/>
          <w:bCs/>
          <w:color w:val="000000" w:themeColor="text1"/>
        </w:rPr>
        <w:t>Audit, Observation and Performance Feedback</w:t>
      </w:r>
    </w:p>
    <w:p w14:paraId="161220B5" w14:textId="5F567E92" w:rsidR="00C77BF3" w:rsidRPr="00B031A0" w:rsidRDefault="00115699">
      <w:pPr>
        <w:rPr>
          <w:rFonts w:ascii="Arial" w:hAnsi="Arial" w:cs="Arial"/>
          <w:color w:val="000000" w:themeColor="text1"/>
        </w:rPr>
      </w:pPr>
      <w:r w:rsidRPr="00B031A0">
        <w:rPr>
          <w:rFonts w:ascii="Arial" w:hAnsi="Arial" w:cs="Arial"/>
          <w:color w:val="000000" w:themeColor="text1"/>
        </w:rPr>
        <w:t>Audit and feedback interventions can empower infection-control teams with learning about missed opportunities and the ability to provide outcomes towards or individuals (</w:t>
      </w:r>
      <w:proofErr w:type="spellStart"/>
      <w:r w:rsidRPr="00B031A0">
        <w:rPr>
          <w:rFonts w:ascii="Arial" w:hAnsi="Arial" w:cs="Arial"/>
          <w:color w:val="000000" w:themeColor="text1"/>
        </w:rPr>
        <w:t>Aalalhareth</w:t>
      </w:r>
      <w:proofErr w:type="spellEnd"/>
      <w:r w:rsidRPr="00B031A0">
        <w:rPr>
          <w:rFonts w:ascii="Arial" w:hAnsi="Arial" w:cs="Arial"/>
          <w:color w:val="000000" w:themeColor="text1"/>
        </w:rPr>
        <w:t xml:space="preserve"> and Abdullah, 2024). Feedback has a greater behavioural focus compared to education since healthcare workers do not get general orders but evidence regarding their actual performance (Mensah </w:t>
      </w:r>
      <w:r w:rsidR="00776C49" w:rsidRPr="00B031A0">
        <w:rPr>
          <w:rFonts w:ascii="Arial" w:hAnsi="Arial" w:cs="Arial"/>
          <w:i/>
          <w:iCs/>
          <w:color w:val="000000" w:themeColor="text1"/>
        </w:rPr>
        <w:t>et al</w:t>
      </w:r>
      <w:r w:rsidRPr="00B031A0">
        <w:rPr>
          <w:rFonts w:ascii="Arial" w:hAnsi="Arial" w:cs="Arial"/>
          <w:i/>
          <w:iCs/>
          <w:color w:val="000000" w:themeColor="text1"/>
        </w:rPr>
        <w:t>.,</w:t>
      </w:r>
      <w:r w:rsidRPr="00B031A0">
        <w:rPr>
          <w:rFonts w:ascii="Arial" w:hAnsi="Arial" w:cs="Arial"/>
          <w:color w:val="000000" w:themeColor="text1"/>
        </w:rPr>
        <w:t xml:space="preserve"> 2022). Comparison and accounting via electronic dashboards and periodic reports at the level of the ward can promote improvement. However, the Hawthorne effect may take place through direct observation</w:t>
      </w:r>
      <w:r w:rsidR="00F74F31">
        <w:rPr>
          <w:rFonts w:ascii="Arial" w:hAnsi="Arial" w:cs="Arial"/>
          <w:color w:val="000000" w:themeColor="text1"/>
        </w:rPr>
        <w:t>;</w:t>
      </w:r>
      <w:r w:rsidRPr="00B031A0">
        <w:rPr>
          <w:rFonts w:ascii="Arial" w:hAnsi="Arial" w:cs="Arial"/>
          <w:color w:val="000000" w:themeColor="text1"/>
        </w:rPr>
        <w:t xml:space="preserve"> temporarily, the staff will perform better because it is presumed that they are being observed (Berkhout </w:t>
      </w:r>
      <w:r w:rsidR="00776C49" w:rsidRPr="00B031A0">
        <w:rPr>
          <w:rFonts w:ascii="Arial" w:hAnsi="Arial" w:cs="Arial"/>
          <w:i/>
          <w:iCs/>
          <w:color w:val="000000" w:themeColor="text1"/>
        </w:rPr>
        <w:t>et al</w:t>
      </w:r>
      <w:r w:rsidRPr="00B031A0">
        <w:rPr>
          <w:rFonts w:ascii="Arial" w:hAnsi="Arial" w:cs="Arial"/>
          <w:i/>
          <w:iCs/>
          <w:color w:val="000000" w:themeColor="text1"/>
        </w:rPr>
        <w:t>.,</w:t>
      </w:r>
      <w:r w:rsidRPr="00B031A0">
        <w:rPr>
          <w:rFonts w:ascii="Arial" w:hAnsi="Arial" w:cs="Arial"/>
          <w:color w:val="000000" w:themeColor="text1"/>
        </w:rPr>
        <w:t xml:space="preserve"> 2022). Furthermore, a </w:t>
      </w:r>
      <w:r w:rsidR="00F74F31">
        <w:rPr>
          <w:rFonts w:ascii="Arial" w:hAnsi="Arial" w:cs="Arial"/>
          <w:color w:val="000000" w:themeColor="text1"/>
        </w:rPr>
        <w:t>higher</w:t>
      </w:r>
      <w:r w:rsidRPr="00B031A0">
        <w:rPr>
          <w:rFonts w:ascii="Arial" w:hAnsi="Arial" w:cs="Arial"/>
          <w:color w:val="000000" w:themeColor="text1"/>
        </w:rPr>
        <w:t xml:space="preserve"> percentage of compliance does not always mean lower infection rates because it might be caused by the possibility of varying definitions of surveillance, complexity of </w:t>
      </w:r>
      <w:r w:rsidR="00F74F31">
        <w:rPr>
          <w:rFonts w:ascii="Arial" w:hAnsi="Arial" w:cs="Arial"/>
          <w:color w:val="000000" w:themeColor="text1"/>
        </w:rPr>
        <w:t>patients,</w:t>
      </w:r>
      <w:r w:rsidRPr="00B031A0">
        <w:rPr>
          <w:rFonts w:ascii="Arial" w:hAnsi="Arial" w:cs="Arial"/>
          <w:color w:val="000000" w:themeColor="text1"/>
        </w:rPr>
        <w:t xml:space="preserve"> and co-</w:t>
      </w:r>
      <w:r w:rsidRPr="00B031A0">
        <w:rPr>
          <w:rFonts w:ascii="Arial" w:hAnsi="Arial" w:cs="Arial"/>
          <w:color w:val="000000" w:themeColor="text1"/>
        </w:rPr>
        <w:lastRenderedPageBreak/>
        <w:t xml:space="preserve">occurring infection-intervention plans. In a review of 35 studies, </w:t>
      </w:r>
      <w:proofErr w:type="spellStart"/>
      <w:r w:rsidRPr="00B031A0">
        <w:rPr>
          <w:rFonts w:ascii="Arial" w:hAnsi="Arial" w:cs="Arial"/>
          <w:color w:val="000000" w:themeColor="text1"/>
        </w:rPr>
        <w:t>Mouajou</w:t>
      </w:r>
      <w:proofErr w:type="spellEnd"/>
      <w:r w:rsidRPr="00B031A0">
        <w:rPr>
          <w:rFonts w:ascii="Arial" w:hAnsi="Arial" w:cs="Arial"/>
          <w:color w:val="000000" w:themeColor="text1"/>
        </w:rPr>
        <w:t xml:space="preserve"> </w:t>
      </w:r>
      <w:r w:rsidR="00776C49" w:rsidRPr="00B031A0">
        <w:rPr>
          <w:rFonts w:ascii="Arial" w:hAnsi="Arial" w:cs="Arial"/>
          <w:i/>
          <w:iCs/>
          <w:color w:val="000000" w:themeColor="text1"/>
        </w:rPr>
        <w:t>et al</w:t>
      </w:r>
      <w:r w:rsidRPr="00B031A0">
        <w:rPr>
          <w:rFonts w:ascii="Arial" w:hAnsi="Arial" w:cs="Arial"/>
          <w:i/>
          <w:iCs/>
          <w:color w:val="000000" w:themeColor="text1"/>
        </w:rPr>
        <w:t>.</w:t>
      </w:r>
      <w:r w:rsidRPr="00B031A0">
        <w:rPr>
          <w:rFonts w:ascii="Arial" w:hAnsi="Arial" w:cs="Arial"/>
          <w:color w:val="000000" w:themeColor="text1"/>
        </w:rPr>
        <w:t xml:space="preserve"> (2022) found that most of the compliance levels were between 60 and 70, and the </w:t>
      </w:r>
      <w:r w:rsidR="00F74F31">
        <w:rPr>
          <w:rFonts w:ascii="Arial" w:hAnsi="Arial" w:cs="Arial"/>
          <w:color w:val="000000" w:themeColor="text1"/>
        </w:rPr>
        <w:t>incidence of Healthcare-Associated Infections (HCAIs)</w:t>
      </w:r>
      <w:r w:rsidRPr="00B031A0">
        <w:rPr>
          <w:rFonts w:ascii="Arial" w:hAnsi="Arial" w:cs="Arial"/>
          <w:color w:val="000000" w:themeColor="text1"/>
        </w:rPr>
        <w:t xml:space="preserve"> appeared to be lower at about </w:t>
      </w:r>
      <w:r w:rsidR="00340394">
        <w:rPr>
          <w:rFonts w:ascii="Arial" w:hAnsi="Arial" w:cs="Arial"/>
          <w:color w:val="000000" w:themeColor="text1"/>
        </w:rPr>
        <w:t>60% compliance</w:t>
      </w:r>
      <w:r w:rsidRPr="00B031A0">
        <w:rPr>
          <w:rFonts w:ascii="Arial" w:hAnsi="Arial" w:cs="Arial"/>
          <w:color w:val="000000" w:themeColor="text1"/>
        </w:rPr>
        <w:t xml:space="preserve">. The authors, however, </w:t>
      </w:r>
      <w:r w:rsidR="00340394" w:rsidRPr="00B031A0">
        <w:rPr>
          <w:rFonts w:ascii="Arial" w:hAnsi="Arial" w:cs="Arial"/>
          <w:color w:val="000000" w:themeColor="text1"/>
        </w:rPr>
        <w:t>could not</w:t>
      </w:r>
      <w:r w:rsidRPr="00B031A0">
        <w:rPr>
          <w:rFonts w:ascii="Arial" w:hAnsi="Arial" w:cs="Arial"/>
          <w:color w:val="000000" w:themeColor="text1"/>
        </w:rPr>
        <w:t xml:space="preserve"> build an internationally </w:t>
      </w:r>
      <w:r w:rsidR="00F74F31">
        <w:rPr>
          <w:rFonts w:ascii="Arial" w:hAnsi="Arial" w:cs="Arial"/>
          <w:color w:val="000000" w:themeColor="text1"/>
        </w:rPr>
        <w:t>optimal</w:t>
      </w:r>
      <w:r w:rsidRPr="00B031A0">
        <w:rPr>
          <w:rFonts w:ascii="Arial" w:hAnsi="Arial" w:cs="Arial"/>
          <w:color w:val="000000" w:themeColor="text1"/>
        </w:rPr>
        <w:t xml:space="preserve"> threshold, demonstrating that the correlation given is not linear but rather significant (</w:t>
      </w:r>
      <w:proofErr w:type="spellStart"/>
      <w:r w:rsidRPr="00B031A0">
        <w:rPr>
          <w:rFonts w:ascii="Arial" w:hAnsi="Arial" w:cs="Arial"/>
          <w:color w:val="000000" w:themeColor="text1"/>
        </w:rPr>
        <w:t>Aalalhareth</w:t>
      </w:r>
      <w:proofErr w:type="spellEnd"/>
      <w:r w:rsidRPr="00B031A0">
        <w:rPr>
          <w:rFonts w:ascii="Arial" w:hAnsi="Arial" w:cs="Arial"/>
          <w:color w:val="000000" w:themeColor="text1"/>
        </w:rPr>
        <w:t xml:space="preserve"> and Abdullah, 2024). </w:t>
      </w:r>
    </w:p>
    <w:p w14:paraId="507D8643" w14:textId="77777777" w:rsidR="00C77BF3" w:rsidRPr="00B031A0" w:rsidRDefault="00115699">
      <w:pPr>
        <w:rPr>
          <w:rFonts w:ascii="Arial" w:hAnsi="Arial" w:cs="Arial"/>
          <w:b/>
          <w:bCs/>
          <w:color w:val="000000" w:themeColor="text1"/>
        </w:rPr>
      </w:pPr>
      <w:r w:rsidRPr="00B031A0">
        <w:rPr>
          <w:rFonts w:ascii="Arial" w:hAnsi="Arial" w:cs="Arial"/>
          <w:b/>
          <w:bCs/>
          <w:color w:val="000000" w:themeColor="text1"/>
        </w:rPr>
        <w:t>Electronic Monitoring and Real-Time Reminders</w:t>
      </w:r>
    </w:p>
    <w:p w14:paraId="7A948F41" w14:textId="611EF5AC" w:rsidR="00C77BF3" w:rsidRPr="00B031A0" w:rsidRDefault="00115699">
      <w:pPr>
        <w:rPr>
          <w:rFonts w:ascii="Arial" w:hAnsi="Arial" w:cs="Arial"/>
          <w:color w:val="000000" w:themeColor="text1"/>
        </w:rPr>
      </w:pPr>
      <w:r w:rsidRPr="00B031A0">
        <w:rPr>
          <w:rFonts w:ascii="Arial" w:hAnsi="Arial" w:cs="Arial"/>
          <w:color w:val="000000" w:themeColor="text1"/>
        </w:rPr>
        <w:t xml:space="preserve">Electronic monitoring will track either the visits of the dispenser or the movement of employees and provide real-time notifications when they forget to use hand hygiene (Madden </w:t>
      </w:r>
      <w:r w:rsidR="00776C49" w:rsidRPr="00B031A0">
        <w:rPr>
          <w:rFonts w:ascii="Arial" w:hAnsi="Arial" w:cs="Arial"/>
          <w:i/>
          <w:iCs/>
          <w:color w:val="000000" w:themeColor="text1"/>
        </w:rPr>
        <w:t>et al</w:t>
      </w:r>
      <w:r w:rsidRPr="00B031A0">
        <w:rPr>
          <w:rFonts w:ascii="Arial" w:hAnsi="Arial" w:cs="Arial"/>
          <w:i/>
          <w:iCs/>
          <w:color w:val="000000" w:themeColor="text1"/>
        </w:rPr>
        <w:t>.,</w:t>
      </w:r>
      <w:r w:rsidRPr="00B031A0">
        <w:rPr>
          <w:rFonts w:ascii="Arial" w:hAnsi="Arial" w:cs="Arial"/>
          <w:color w:val="000000" w:themeColor="text1"/>
        </w:rPr>
        <w:t xml:space="preserve"> 2022). The main feature they have</w:t>
      </w:r>
      <w:r w:rsidR="00F74F31">
        <w:rPr>
          <w:rFonts w:ascii="Arial" w:hAnsi="Arial" w:cs="Arial"/>
          <w:color w:val="000000" w:themeColor="text1"/>
        </w:rPr>
        <w:t>,</w:t>
      </w:r>
      <w:r w:rsidRPr="00B031A0">
        <w:rPr>
          <w:rFonts w:ascii="Arial" w:hAnsi="Arial" w:cs="Arial"/>
          <w:color w:val="000000" w:themeColor="text1"/>
        </w:rPr>
        <w:t xml:space="preserve"> </w:t>
      </w:r>
      <w:r w:rsidR="00F74F31">
        <w:rPr>
          <w:rFonts w:ascii="Arial" w:hAnsi="Arial" w:cs="Arial"/>
          <w:color w:val="000000" w:themeColor="text1"/>
        </w:rPr>
        <w:t>compared</w:t>
      </w:r>
      <w:r w:rsidRPr="00B031A0">
        <w:rPr>
          <w:rFonts w:ascii="Arial" w:hAnsi="Arial" w:cs="Arial"/>
          <w:color w:val="000000" w:themeColor="text1"/>
        </w:rPr>
        <w:t xml:space="preserve"> with manual auditing</w:t>
      </w:r>
      <w:r w:rsidR="00F74F31">
        <w:rPr>
          <w:rFonts w:ascii="Arial" w:hAnsi="Arial" w:cs="Arial"/>
          <w:color w:val="000000" w:themeColor="text1"/>
        </w:rPr>
        <w:t>,</w:t>
      </w:r>
      <w:r w:rsidRPr="00B031A0">
        <w:rPr>
          <w:rFonts w:ascii="Arial" w:hAnsi="Arial" w:cs="Arial"/>
          <w:color w:val="000000" w:themeColor="text1"/>
        </w:rPr>
        <w:t xml:space="preserve"> is their ability to collect data </w:t>
      </w:r>
      <w:r w:rsidR="00F74F31">
        <w:rPr>
          <w:rFonts w:ascii="Arial" w:hAnsi="Arial" w:cs="Arial"/>
          <w:color w:val="000000" w:themeColor="text1"/>
        </w:rPr>
        <w:t>continuously</w:t>
      </w:r>
      <w:r w:rsidRPr="00B031A0">
        <w:rPr>
          <w:rFonts w:ascii="Arial" w:hAnsi="Arial" w:cs="Arial"/>
          <w:color w:val="000000" w:themeColor="text1"/>
        </w:rPr>
        <w:t xml:space="preserve">, decrease the bias in observers and disclose variation between shifts and locations. The knowledge base of Knudsen </w:t>
      </w:r>
      <w:r w:rsidR="00776C49" w:rsidRPr="00B031A0">
        <w:rPr>
          <w:rFonts w:ascii="Arial" w:hAnsi="Arial" w:cs="Arial"/>
          <w:i/>
          <w:iCs/>
          <w:color w:val="000000" w:themeColor="text1"/>
        </w:rPr>
        <w:t>et al</w:t>
      </w:r>
      <w:r w:rsidRPr="00B031A0">
        <w:rPr>
          <w:rFonts w:ascii="Arial" w:hAnsi="Arial" w:cs="Arial"/>
          <w:i/>
          <w:iCs/>
          <w:color w:val="000000" w:themeColor="text1"/>
        </w:rPr>
        <w:t xml:space="preserve">. </w:t>
      </w:r>
      <w:r w:rsidRPr="00B031A0">
        <w:rPr>
          <w:rFonts w:ascii="Arial" w:hAnsi="Arial" w:cs="Arial"/>
          <w:color w:val="000000" w:themeColor="text1"/>
        </w:rPr>
        <w:t xml:space="preserve">(2023) literature explored an electronic monitoring and feedback intervention that provided an expected benefit of sustained hand hygiene behaviour, and hospital-acquired bloodstream and urinary infections were also evaluated. In the dispenser activation in the electronic system, however, rather than </w:t>
      </w:r>
      <w:r w:rsidR="00F74F31">
        <w:rPr>
          <w:rFonts w:ascii="Arial" w:hAnsi="Arial" w:cs="Arial"/>
          <w:color w:val="000000" w:themeColor="text1"/>
        </w:rPr>
        <w:t>determining</w:t>
      </w:r>
      <w:r w:rsidRPr="00B031A0">
        <w:rPr>
          <w:rFonts w:ascii="Arial" w:hAnsi="Arial" w:cs="Arial"/>
          <w:color w:val="000000" w:themeColor="text1"/>
        </w:rPr>
        <w:t xml:space="preserve"> whether the correct technique (for example, product quantity or clinical moment) has been exercised, it may be measured (Momeni </w:t>
      </w:r>
      <w:r w:rsidR="00776C49" w:rsidRPr="00B031A0">
        <w:rPr>
          <w:rFonts w:ascii="Arial" w:hAnsi="Arial" w:cs="Arial"/>
          <w:i/>
          <w:iCs/>
          <w:color w:val="000000" w:themeColor="text1"/>
        </w:rPr>
        <w:t>et al</w:t>
      </w:r>
      <w:r w:rsidRPr="00B031A0">
        <w:rPr>
          <w:rFonts w:ascii="Arial" w:hAnsi="Arial" w:cs="Arial"/>
          <w:i/>
          <w:iCs/>
          <w:color w:val="000000" w:themeColor="text1"/>
        </w:rPr>
        <w:t>.,</w:t>
      </w:r>
      <w:r w:rsidRPr="00B031A0">
        <w:rPr>
          <w:rFonts w:ascii="Arial" w:hAnsi="Arial" w:cs="Arial"/>
          <w:color w:val="000000" w:themeColor="text1"/>
        </w:rPr>
        <w:t xml:space="preserve"> 2025). Hence, clinical interpretation with human observation in </w:t>
      </w:r>
      <w:r w:rsidR="00F74F31">
        <w:rPr>
          <w:rFonts w:ascii="Arial" w:hAnsi="Arial" w:cs="Arial"/>
          <w:color w:val="000000" w:themeColor="text1"/>
        </w:rPr>
        <w:t>a</w:t>
      </w:r>
      <w:r w:rsidRPr="00B031A0">
        <w:rPr>
          <w:rFonts w:ascii="Arial" w:hAnsi="Arial" w:cs="Arial"/>
          <w:color w:val="000000" w:themeColor="text1"/>
        </w:rPr>
        <w:t xml:space="preserve"> trained form might be more powerful than technological monitoring with increased coverage</w:t>
      </w:r>
      <w:r w:rsidR="00340394">
        <w:rPr>
          <w:rFonts w:ascii="Arial" w:hAnsi="Arial" w:cs="Arial"/>
          <w:color w:val="000000" w:themeColor="text1"/>
        </w:rPr>
        <w:t xml:space="preserve"> </w:t>
      </w:r>
      <w:r w:rsidR="00340394" w:rsidRPr="00B031A0">
        <w:rPr>
          <w:rFonts w:ascii="Arial" w:hAnsi="Arial" w:cs="Arial"/>
          <w:color w:val="000000" w:themeColor="text1"/>
        </w:rPr>
        <w:t xml:space="preserve">(Madden </w:t>
      </w:r>
      <w:r w:rsidR="00340394" w:rsidRPr="00B031A0">
        <w:rPr>
          <w:rFonts w:ascii="Arial" w:hAnsi="Arial" w:cs="Arial"/>
          <w:i/>
          <w:iCs/>
          <w:color w:val="000000" w:themeColor="text1"/>
        </w:rPr>
        <w:t>et al.,</w:t>
      </w:r>
      <w:r w:rsidR="00340394" w:rsidRPr="00B031A0">
        <w:rPr>
          <w:rFonts w:ascii="Arial" w:hAnsi="Arial" w:cs="Arial"/>
          <w:color w:val="000000" w:themeColor="text1"/>
        </w:rPr>
        <w:t xml:space="preserve"> 2022)</w:t>
      </w:r>
      <w:r w:rsidRPr="00B031A0">
        <w:rPr>
          <w:rFonts w:ascii="Arial" w:hAnsi="Arial" w:cs="Arial"/>
          <w:color w:val="000000" w:themeColor="text1"/>
        </w:rPr>
        <w:t xml:space="preserve">. It can also be costly and cause employees to be staffing issues over spying. It is likely to play the biggest role in the decrease of infections, whereby real-time information is incorporated </w:t>
      </w:r>
      <w:r w:rsidR="00F74F31">
        <w:rPr>
          <w:rFonts w:ascii="Arial" w:hAnsi="Arial" w:cs="Arial"/>
          <w:color w:val="000000" w:themeColor="text1"/>
        </w:rPr>
        <w:t>into</w:t>
      </w:r>
      <w:r w:rsidRPr="00B031A0">
        <w:rPr>
          <w:rFonts w:ascii="Arial" w:hAnsi="Arial" w:cs="Arial"/>
          <w:color w:val="000000" w:themeColor="text1"/>
        </w:rPr>
        <w:t xml:space="preserve"> positive feedback </w:t>
      </w:r>
      <w:r w:rsidR="00F74F31">
        <w:rPr>
          <w:rFonts w:ascii="Arial" w:hAnsi="Arial" w:cs="Arial"/>
          <w:color w:val="000000" w:themeColor="text1"/>
        </w:rPr>
        <w:t>instead of</w:t>
      </w:r>
      <w:r w:rsidRPr="00B031A0">
        <w:rPr>
          <w:rFonts w:ascii="Arial" w:hAnsi="Arial" w:cs="Arial"/>
          <w:color w:val="000000" w:themeColor="text1"/>
        </w:rPr>
        <w:t xml:space="preserve"> performance appraisal</w:t>
      </w:r>
      <w:r w:rsidR="00340394">
        <w:rPr>
          <w:rFonts w:ascii="Arial" w:hAnsi="Arial" w:cs="Arial"/>
          <w:color w:val="000000" w:themeColor="text1"/>
        </w:rPr>
        <w:t xml:space="preserve"> (</w:t>
      </w:r>
      <w:r w:rsidR="00340394" w:rsidRPr="00B031A0">
        <w:rPr>
          <w:rFonts w:ascii="Arial" w:hAnsi="Arial" w:cs="Arial"/>
          <w:color w:val="000000" w:themeColor="text1"/>
        </w:rPr>
        <w:t xml:space="preserve">Knudsen </w:t>
      </w:r>
      <w:r w:rsidR="00340394">
        <w:rPr>
          <w:rFonts w:ascii="Arial" w:hAnsi="Arial" w:cs="Arial"/>
          <w:color w:val="000000" w:themeColor="text1"/>
        </w:rPr>
        <w:t>et al</w:t>
      </w:r>
      <w:r w:rsidR="006F485D">
        <w:rPr>
          <w:rFonts w:ascii="Arial" w:hAnsi="Arial" w:cs="Arial"/>
          <w:color w:val="000000" w:themeColor="text1"/>
        </w:rPr>
        <w:t>.</w:t>
      </w:r>
      <w:r w:rsidR="00340394">
        <w:rPr>
          <w:rFonts w:ascii="Arial" w:hAnsi="Arial" w:cs="Arial"/>
          <w:color w:val="000000" w:themeColor="text1"/>
        </w:rPr>
        <w:t>, 2023)</w:t>
      </w:r>
      <w:r w:rsidRPr="00B031A0">
        <w:rPr>
          <w:rFonts w:ascii="Arial" w:hAnsi="Arial" w:cs="Arial"/>
          <w:color w:val="000000" w:themeColor="text1"/>
        </w:rPr>
        <w:t xml:space="preserve">. </w:t>
      </w:r>
    </w:p>
    <w:p w14:paraId="3048A56E" w14:textId="77777777" w:rsidR="00C77BF3" w:rsidRPr="00B031A0" w:rsidRDefault="00115699">
      <w:pPr>
        <w:rPr>
          <w:rFonts w:ascii="Arial" w:hAnsi="Arial" w:cs="Arial"/>
          <w:b/>
          <w:bCs/>
          <w:color w:val="000000" w:themeColor="text1"/>
        </w:rPr>
      </w:pPr>
      <w:r w:rsidRPr="00B031A0">
        <w:rPr>
          <w:rFonts w:ascii="Arial" w:hAnsi="Arial" w:cs="Arial"/>
          <w:b/>
          <w:bCs/>
          <w:color w:val="000000" w:themeColor="text1"/>
        </w:rPr>
        <w:t>Environmental and Point-of-Care Interventions</w:t>
      </w:r>
    </w:p>
    <w:p w14:paraId="6DFF2754" w14:textId="5C0D7576" w:rsidR="00C77BF3" w:rsidRPr="00B031A0" w:rsidRDefault="00115699">
      <w:pPr>
        <w:rPr>
          <w:rFonts w:ascii="Arial" w:hAnsi="Arial" w:cs="Arial"/>
          <w:color w:val="000000" w:themeColor="text1"/>
        </w:rPr>
      </w:pPr>
      <w:r w:rsidRPr="00B031A0">
        <w:rPr>
          <w:rFonts w:ascii="Arial" w:hAnsi="Arial" w:cs="Arial"/>
          <w:color w:val="000000" w:themeColor="text1"/>
        </w:rPr>
        <w:t xml:space="preserve">Placing alcohol based hand rub near the bed, the treatment area, and entrances will decrease the physical effort needed to clean the hands (Momeni </w:t>
      </w:r>
      <w:r w:rsidR="00776C49" w:rsidRPr="00B031A0">
        <w:rPr>
          <w:rFonts w:ascii="Arial" w:hAnsi="Arial" w:cs="Arial"/>
          <w:i/>
          <w:iCs/>
          <w:color w:val="000000" w:themeColor="text1"/>
        </w:rPr>
        <w:t>et al</w:t>
      </w:r>
      <w:r w:rsidRPr="00B031A0">
        <w:rPr>
          <w:rFonts w:ascii="Arial" w:hAnsi="Arial" w:cs="Arial"/>
          <w:i/>
          <w:iCs/>
          <w:color w:val="000000" w:themeColor="text1"/>
        </w:rPr>
        <w:t>.,</w:t>
      </w:r>
      <w:r w:rsidRPr="00B031A0">
        <w:rPr>
          <w:rFonts w:ascii="Arial" w:hAnsi="Arial" w:cs="Arial"/>
          <w:color w:val="000000" w:themeColor="text1"/>
        </w:rPr>
        <w:t xml:space="preserve"> 2025). Environmental restructuring puts its emphasis on opportunity, rather than knowledge, in comparison to education (Mitev, Tóth and </w:t>
      </w:r>
      <w:proofErr w:type="spellStart"/>
      <w:r w:rsidRPr="00B031A0">
        <w:rPr>
          <w:rFonts w:ascii="Arial" w:hAnsi="Arial" w:cs="Arial"/>
          <w:color w:val="000000" w:themeColor="text1"/>
        </w:rPr>
        <w:t>Vaszkun</w:t>
      </w:r>
      <w:proofErr w:type="spellEnd"/>
      <w:r w:rsidRPr="00B031A0">
        <w:rPr>
          <w:rFonts w:ascii="Arial" w:hAnsi="Arial" w:cs="Arial"/>
          <w:color w:val="000000" w:themeColor="text1"/>
        </w:rPr>
        <w:t>, 2024). Practical signals, for example, the presence of dispensers involving replenishment, may promote hand hygiene when there are complexities in clinical care processes (</w:t>
      </w:r>
      <w:proofErr w:type="spellStart"/>
      <w:r w:rsidRPr="00B031A0">
        <w:rPr>
          <w:rFonts w:ascii="Arial" w:hAnsi="Arial" w:cs="Arial"/>
          <w:color w:val="000000" w:themeColor="text1"/>
        </w:rPr>
        <w:t>Aalalhareth</w:t>
      </w:r>
      <w:proofErr w:type="spellEnd"/>
      <w:r w:rsidRPr="00B031A0">
        <w:rPr>
          <w:rFonts w:ascii="Arial" w:hAnsi="Arial" w:cs="Arial"/>
          <w:color w:val="000000" w:themeColor="text1"/>
        </w:rPr>
        <w:t xml:space="preserve"> and Abdullah, 2024). However, increased supply of products is capable of producing greater usage without showing how workers wash their hands at the right time. </w:t>
      </w:r>
      <w:r w:rsidRPr="00B031A0">
        <w:rPr>
          <w:rFonts w:ascii="Arial" w:hAnsi="Arial" w:cs="Arial"/>
          <w:color w:val="000000" w:themeColor="text1"/>
        </w:rPr>
        <w:lastRenderedPageBreak/>
        <w:t xml:space="preserve">Environmental changes, however, as found by </w:t>
      </w:r>
      <w:proofErr w:type="spellStart"/>
      <w:r w:rsidRPr="00B031A0">
        <w:rPr>
          <w:rFonts w:ascii="Arial" w:hAnsi="Arial" w:cs="Arial"/>
          <w:color w:val="000000" w:themeColor="text1"/>
        </w:rPr>
        <w:t>Alshagrawi</w:t>
      </w:r>
      <w:proofErr w:type="spellEnd"/>
      <w:r w:rsidRPr="00B031A0">
        <w:rPr>
          <w:rFonts w:ascii="Arial" w:hAnsi="Arial" w:cs="Arial"/>
          <w:color w:val="000000" w:themeColor="text1"/>
        </w:rPr>
        <w:t xml:space="preserve"> and </w:t>
      </w:r>
      <w:proofErr w:type="spellStart"/>
      <w:r w:rsidRPr="00B031A0">
        <w:rPr>
          <w:rFonts w:ascii="Arial" w:hAnsi="Arial" w:cs="Arial"/>
          <w:color w:val="000000" w:themeColor="text1"/>
        </w:rPr>
        <w:t>Alhodaithy</w:t>
      </w:r>
      <w:proofErr w:type="spellEnd"/>
      <w:r w:rsidRPr="00B031A0">
        <w:rPr>
          <w:rFonts w:ascii="Arial" w:hAnsi="Arial" w:cs="Arial"/>
          <w:color w:val="000000" w:themeColor="text1"/>
        </w:rPr>
        <w:t xml:space="preserve"> (2024) in their qualitative study interviewing 49 healthcare workers working in ICUs, are needed yet inadequate in cases where professional habits are not changed. Also, product selection is important due to the lack of sustained use due to poor skin tolerance (Letellier </w:t>
      </w:r>
      <w:r w:rsidR="00776C49" w:rsidRPr="00B031A0">
        <w:rPr>
          <w:rFonts w:ascii="Arial" w:hAnsi="Arial" w:cs="Arial"/>
          <w:i/>
          <w:iCs/>
          <w:color w:val="000000" w:themeColor="text1"/>
        </w:rPr>
        <w:t>et al</w:t>
      </w:r>
      <w:r w:rsidRPr="00B031A0">
        <w:rPr>
          <w:rFonts w:ascii="Arial" w:hAnsi="Arial" w:cs="Arial"/>
          <w:i/>
          <w:iCs/>
          <w:color w:val="000000" w:themeColor="text1"/>
        </w:rPr>
        <w:t>.,</w:t>
      </w:r>
      <w:r w:rsidRPr="00B031A0">
        <w:rPr>
          <w:rFonts w:ascii="Arial" w:hAnsi="Arial" w:cs="Arial"/>
          <w:color w:val="000000" w:themeColor="text1"/>
        </w:rPr>
        <w:t xml:space="preserve"> 2022). The best examples of environmental interventions are access </w:t>
      </w:r>
      <w:r w:rsidR="00F74F31">
        <w:rPr>
          <w:rFonts w:ascii="Arial" w:hAnsi="Arial" w:cs="Arial"/>
          <w:color w:val="000000" w:themeColor="text1"/>
        </w:rPr>
        <w:t xml:space="preserve">to </w:t>
      </w:r>
      <w:r w:rsidRPr="00B031A0">
        <w:rPr>
          <w:rFonts w:ascii="Arial" w:hAnsi="Arial" w:cs="Arial"/>
          <w:color w:val="000000" w:themeColor="text1"/>
        </w:rPr>
        <w:t xml:space="preserve">and consultation </w:t>
      </w:r>
      <w:r w:rsidR="00F74F31">
        <w:rPr>
          <w:rFonts w:ascii="Arial" w:hAnsi="Arial" w:cs="Arial"/>
          <w:color w:val="000000" w:themeColor="text1"/>
        </w:rPr>
        <w:t>with</w:t>
      </w:r>
      <w:r w:rsidRPr="00B031A0">
        <w:rPr>
          <w:rFonts w:ascii="Arial" w:hAnsi="Arial" w:cs="Arial"/>
          <w:color w:val="000000" w:themeColor="text1"/>
        </w:rPr>
        <w:t xml:space="preserve"> staff </w:t>
      </w:r>
      <w:r w:rsidR="00F74F31">
        <w:rPr>
          <w:rFonts w:ascii="Arial" w:hAnsi="Arial" w:cs="Arial"/>
          <w:color w:val="000000" w:themeColor="text1"/>
        </w:rPr>
        <w:t>about</w:t>
      </w:r>
      <w:r w:rsidRPr="00B031A0">
        <w:rPr>
          <w:rFonts w:ascii="Arial" w:hAnsi="Arial" w:cs="Arial"/>
          <w:color w:val="000000" w:themeColor="text1"/>
        </w:rPr>
        <w:t xml:space="preserve"> the environment, testing of the product and redesigning of workflows</w:t>
      </w:r>
      <w:r w:rsidR="00F74F31">
        <w:rPr>
          <w:rFonts w:ascii="Arial" w:hAnsi="Arial" w:cs="Arial"/>
          <w:color w:val="000000" w:themeColor="text1"/>
        </w:rPr>
        <w:t>,</w:t>
      </w:r>
      <w:r w:rsidRPr="00B031A0">
        <w:rPr>
          <w:rFonts w:ascii="Arial" w:hAnsi="Arial" w:cs="Arial"/>
          <w:color w:val="000000" w:themeColor="text1"/>
        </w:rPr>
        <w:t xml:space="preserve"> which cross both practical and behavioural barriers (</w:t>
      </w:r>
      <w:proofErr w:type="spellStart"/>
      <w:r w:rsidRPr="00B031A0">
        <w:rPr>
          <w:rFonts w:ascii="Arial" w:hAnsi="Arial" w:cs="Arial"/>
          <w:color w:val="000000" w:themeColor="text1"/>
        </w:rPr>
        <w:t>Aalalhareth</w:t>
      </w:r>
      <w:proofErr w:type="spellEnd"/>
      <w:r w:rsidRPr="00B031A0">
        <w:rPr>
          <w:rFonts w:ascii="Arial" w:hAnsi="Arial" w:cs="Arial"/>
          <w:color w:val="000000" w:themeColor="text1"/>
        </w:rPr>
        <w:t xml:space="preserve"> and Abdullah, 2024). </w:t>
      </w:r>
    </w:p>
    <w:p w14:paraId="7094AE75" w14:textId="77777777" w:rsidR="00C77BF3" w:rsidRPr="00B031A0" w:rsidRDefault="00115699">
      <w:pPr>
        <w:rPr>
          <w:rFonts w:ascii="Arial" w:hAnsi="Arial" w:cs="Arial"/>
          <w:b/>
          <w:bCs/>
          <w:color w:val="000000" w:themeColor="text1"/>
        </w:rPr>
      </w:pPr>
      <w:r w:rsidRPr="00B031A0">
        <w:rPr>
          <w:rFonts w:ascii="Arial" w:hAnsi="Arial" w:cs="Arial"/>
          <w:b/>
          <w:bCs/>
          <w:color w:val="000000" w:themeColor="text1"/>
        </w:rPr>
        <w:t>Multimodal Improvement Programmes</w:t>
      </w:r>
    </w:p>
    <w:p w14:paraId="12F5C2E8" w14:textId="3B7E5D39" w:rsidR="00C77BF3" w:rsidRPr="00B031A0" w:rsidRDefault="00115699">
      <w:pPr>
        <w:rPr>
          <w:rFonts w:ascii="Arial" w:hAnsi="Arial" w:cs="Arial"/>
          <w:color w:val="000000" w:themeColor="text1"/>
        </w:rPr>
      </w:pPr>
      <w:r w:rsidRPr="00B031A0">
        <w:rPr>
          <w:rFonts w:ascii="Arial" w:hAnsi="Arial" w:cs="Arial"/>
          <w:color w:val="000000" w:themeColor="text1"/>
        </w:rPr>
        <w:t xml:space="preserve">Multimodal programmes consist of system change, training, reminders, monitoring, feedback and institutional safety culture. They tend to be more useful than single interventions due to the simultaneous treatment of some causes of non-compliance. </w:t>
      </w:r>
      <w:proofErr w:type="spellStart"/>
      <w:r w:rsidRPr="00B031A0">
        <w:rPr>
          <w:rFonts w:ascii="Arial" w:hAnsi="Arial" w:cs="Arial"/>
          <w:color w:val="000000" w:themeColor="text1"/>
        </w:rPr>
        <w:t>Fredj</w:t>
      </w:r>
      <w:proofErr w:type="spellEnd"/>
      <w:r w:rsidRPr="00B031A0">
        <w:rPr>
          <w:rFonts w:ascii="Arial" w:hAnsi="Arial" w:cs="Arial"/>
          <w:color w:val="000000" w:themeColor="text1"/>
        </w:rPr>
        <w:t xml:space="preserve"> </w:t>
      </w:r>
      <w:r w:rsidR="00776C49" w:rsidRPr="00B031A0">
        <w:rPr>
          <w:rFonts w:ascii="Arial" w:hAnsi="Arial" w:cs="Arial"/>
          <w:i/>
          <w:iCs/>
          <w:color w:val="000000" w:themeColor="text1"/>
        </w:rPr>
        <w:t>et al</w:t>
      </w:r>
      <w:r w:rsidRPr="00B031A0">
        <w:rPr>
          <w:rFonts w:ascii="Arial" w:hAnsi="Arial" w:cs="Arial"/>
          <w:i/>
          <w:iCs/>
          <w:color w:val="000000" w:themeColor="text1"/>
        </w:rPr>
        <w:t>.</w:t>
      </w:r>
      <w:r w:rsidRPr="00B031A0">
        <w:rPr>
          <w:rFonts w:ascii="Arial" w:hAnsi="Arial" w:cs="Arial"/>
          <w:color w:val="000000" w:themeColor="text1"/>
        </w:rPr>
        <w:t xml:space="preserve"> (2020) assert that the World Health Organisation</w:t>
      </w:r>
      <w:r w:rsidR="00B1135D">
        <w:rPr>
          <w:rFonts w:ascii="Arial" w:hAnsi="Arial" w:cs="Arial"/>
          <w:color w:val="000000" w:themeColor="text1"/>
        </w:rPr>
        <w:t xml:space="preserve"> </w:t>
      </w:r>
      <w:r w:rsidRPr="00B031A0">
        <w:rPr>
          <w:rFonts w:ascii="Arial" w:hAnsi="Arial" w:cs="Arial"/>
          <w:color w:val="000000" w:themeColor="text1"/>
        </w:rPr>
        <w:t>(WHO) has discovered that the best single method in general to use is the multimode enhancement, and it has projected that preventable infections acquired in healthcare provision can be reduced by up to half through hand hygiene programmes. It also says the average economic savings were approximately 16 times more than the implementation cost (</w:t>
      </w:r>
      <w:proofErr w:type="spellStart"/>
      <w:r w:rsidRPr="00B031A0">
        <w:rPr>
          <w:rFonts w:ascii="Arial" w:hAnsi="Arial" w:cs="Arial"/>
          <w:color w:val="000000" w:themeColor="text1"/>
        </w:rPr>
        <w:t>Aalalhareth</w:t>
      </w:r>
      <w:proofErr w:type="spellEnd"/>
      <w:r w:rsidRPr="00B031A0">
        <w:rPr>
          <w:rFonts w:ascii="Arial" w:hAnsi="Arial" w:cs="Arial"/>
          <w:color w:val="000000" w:themeColor="text1"/>
        </w:rPr>
        <w:t xml:space="preserve"> and Abdullah, 2024). These data substantiate significant clinical and economic gains, yet they must be viewed with a grain of salt since multimodal programmes make it hard to figure out which of the elements led to the decrease(Skok </w:t>
      </w:r>
      <w:r w:rsidR="00776C49" w:rsidRPr="00B031A0">
        <w:rPr>
          <w:rFonts w:ascii="Arial" w:hAnsi="Arial" w:cs="Arial"/>
          <w:i/>
          <w:iCs/>
          <w:color w:val="000000" w:themeColor="text1"/>
        </w:rPr>
        <w:t>et al</w:t>
      </w:r>
      <w:r w:rsidRPr="00B031A0">
        <w:rPr>
          <w:rFonts w:ascii="Arial" w:hAnsi="Arial" w:cs="Arial"/>
          <w:color w:val="000000" w:themeColor="text1"/>
        </w:rPr>
        <w:t xml:space="preserve">., 2025). The infection rates could also decrease due to increased cleaning, isolation or antimicrobial stewardship used simultaneously. </w:t>
      </w:r>
    </w:p>
    <w:p w14:paraId="7942F041" w14:textId="77777777" w:rsidR="00C77BF3" w:rsidRPr="00B031A0" w:rsidRDefault="00115699" w:rsidP="007C25F7">
      <w:pPr>
        <w:pStyle w:val="Heading1"/>
        <w:jc w:val="both"/>
      </w:pPr>
      <w:bookmarkStart w:id="17" w:name="_Toc240208797"/>
      <w:r w:rsidRPr="00B031A0">
        <w:t>2.4 Gaps in Literature</w:t>
      </w:r>
      <w:bookmarkEnd w:id="17"/>
      <w:r w:rsidRPr="00B031A0">
        <w:t xml:space="preserve"> </w:t>
      </w:r>
    </w:p>
    <w:p w14:paraId="1807F3BD" w14:textId="248AF718" w:rsidR="00C77BF3" w:rsidRPr="00B031A0" w:rsidRDefault="00115699">
      <w:pPr>
        <w:rPr>
          <w:rFonts w:ascii="Arial" w:hAnsi="Arial" w:cs="Arial"/>
          <w:color w:val="000000" w:themeColor="text1"/>
        </w:rPr>
      </w:pPr>
      <w:r w:rsidRPr="00B031A0">
        <w:rPr>
          <w:rFonts w:ascii="Arial" w:hAnsi="Arial" w:cs="Arial"/>
          <w:color w:val="000000" w:themeColor="text1"/>
        </w:rPr>
        <w:t xml:space="preserve">Although there is a good amount of literature on the topic of hand hygiene compliance and healthcare-associated infections (HCAIs), there are still a few significant gaps in the literature. Most of the studies have shown that better hand hygiene is linked to the fact that it reduces the rate of infections, but the relationship is inconclusive as a result of inconsistencies in methods and differences in study design. The methodologies employed in most of the available research include observational or cross-sectional designs and reveal that hand hygiene adherence of nurses is related to a reduction in healthcare-associated infections (HCAIs); however, the research fails to show causality. Therefore, it is still hard to calculate the degree to which better compliance </w:t>
      </w:r>
      <w:r w:rsidRPr="00B031A0">
        <w:rPr>
          <w:rFonts w:ascii="Arial" w:hAnsi="Arial" w:cs="Arial"/>
          <w:color w:val="000000" w:themeColor="text1"/>
        </w:rPr>
        <w:lastRenderedPageBreak/>
        <w:t>in itself is a source of infection prevention as compared to other infection control measures.</w:t>
      </w:r>
    </w:p>
    <w:p w14:paraId="041E5289" w14:textId="04A16365" w:rsidR="00C77BF3" w:rsidRPr="00B031A0" w:rsidRDefault="00115699">
      <w:pPr>
        <w:rPr>
          <w:rFonts w:ascii="Arial" w:hAnsi="Arial" w:cs="Arial"/>
          <w:color w:val="000000" w:themeColor="text1"/>
        </w:rPr>
      </w:pPr>
      <w:r w:rsidRPr="00B031A0">
        <w:rPr>
          <w:rFonts w:ascii="Arial" w:hAnsi="Arial" w:cs="Arial"/>
          <w:color w:val="000000" w:themeColor="text1"/>
        </w:rPr>
        <w:t xml:space="preserve">The second significant gap is connected with the rather limited scope of nurses. </w:t>
      </w:r>
      <w:r w:rsidR="007C25F7">
        <w:rPr>
          <w:rFonts w:ascii="Arial" w:hAnsi="Arial" w:cs="Arial"/>
          <w:color w:val="000000" w:themeColor="text1"/>
        </w:rPr>
        <w:t>A review</w:t>
      </w:r>
      <w:r w:rsidRPr="00B031A0">
        <w:rPr>
          <w:rFonts w:ascii="Arial" w:hAnsi="Arial" w:cs="Arial"/>
          <w:color w:val="000000" w:themeColor="text1"/>
        </w:rPr>
        <w:t xml:space="preserve"> by Harb </w:t>
      </w:r>
      <w:r w:rsidR="00776C49" w:rsidRPr="00B031A0">
        <w:rPr>
          <w:rFonts w:ascii="Arial" w:hAnsi="Arial" w:cs="Arial"/>
          <w:i/>
          <w:iCs/>
          <w:color w:val="000000" w:themeColor="text1"/>
        </w:rPr>
        <w:t>et al</w:t>
      </w:r>
      <w:r w:rsidRPr="00B031A0">
        <w:rPr>
          <w:rFonts w:ascii="Arial" w:hAnsi="Arial" w:cs="Arial"/>
          <w:i/>
          <w:iCs/>
          <w:color w:val="000000" w:themeColor="text1"/>
        </w:rPr>
        <w:t xml:space="preserve">. </w:t>
      </w:r>
      <w:r w:rsidRPr="00B031A0">
        <w:rPr>
          <w:rFonts w:ascii="Arial" w:hAnsi="Arial" w:cs="Arial"/>
          <w:color w:val="000000" w:themeColor="text1"/>
        </w:rPr>
        <w:t xml:space="preserve">(2025) shows that current studies often focus on the hand hygiene adherence of all medical practitioners, such as doctors, allied health professionals and support staff, but do not focus on the role that nurses play. With the most frequent close experiences with a patient in hospital care, the combination of different types of professionals may confuse issues that are specific to particular professions, behavioural patterns and outcomes of interventions (Sanvitti, </w:t>
      </w:r>
      <w:proofErr w:type="spellStart"/>
      <w:r w:rsidRPr="00B031A0">
        <w:rPr>
          <w:rFonts w:ascii="Arial" w:hAnsi="Arial" w:cs="Arial"/>
          <w:color w:val="000000" w:themeColor="text1"/>
        </w:rPr>
        <w:t>Kanapeckas</w:t>
      </w:r>
      <w:proofErr w:type="spellEnd"/>
      <w:r w:rsidRPr="00B031A0">
        <w:rPr>
          <w:rFonts w:ascii="Arial" w:hAnsi="Arial" w:cs="Arial"/>
          <w:color w:val="000000" w:themeColor="text1"/>
        </w:rPr>
        <w:t xml:space="preserve"> and Bilotta, 2026). More emphasis on nursing practice is, therefore, required </w:t>
      </w:r>
      <w:r w:rsidR="007C25F7">
        <w:rPr>
          <w:rFonts w:ascii="Arial" w:hAnsi="Arial" w:cs="Arial"/>
          <w:color w:val="000000" w:themeColor="text1"/>
        </w:rPr>
        <w:t>to value</w:t>
      </w:r>
      <w:r w:rsidRPr="00B031A0">
        <w:rPr>
          <w:rFonts w:ascii="Arial" w:hAnsi="Arial" w:cs="Arial"/>
          <w:color w:val="000000" w:themeColor="text1"/>
        </w:rPr>
        <w:t xml:space="preserve"> the role that nurse compliance is likely to play in preventing infections in clinical environments.</w:t>
      </w:r>
    </w:p>
    <w:p w14:paraId="1A510014" w14:textId="1C450B80" w:rsidR="00C77BF3" w:rsidRPr="00B031A0" w:rsidRDefault="00115699">
      <w:pPr>
        <w:rPr>
          <w:rFonts w:ascii="Arial" w:hAnsi="Arial" w:cs="Arial"/>
          <w:color w:val="000000" w:themeColor="text1"/>
        </w:rPr>
      </w:pPr>
      <w:r w:rsidRPr="00B031A0">
        <w:rPr>
          <w:rFonts w:ascii="Arial" w:hAnsi="Arial" w:cs="Arial"/>
          <w:color w:val="000000" w:themeColor="text1"/>
        </w:rPr>
        <w:t xml:space="preserve">Besides this, Afework and Tamene (2025) argue that a </w:t>
      </w:r>
      <w:r w:rsidR="007C25F7">
        <w:rPr>
          <w:rFonts w:ascii="Arial" w:hAnsi="Arial" w:cs="Arial"/>
          <w:color w:val="000000" w:themeColor="text1"/>
        </w:rPr>
        <w:t>large</w:t>
      </w:r>
      <w:r w:rsidRPr="00B031A0">
        <w:rPr>
          <w:rFonts w:ascii="Arial" w:hAnsi="Arial" w:cs="Arial"/>
          <w:color w:val="000000" w:themeColor="text1"/>
        </w:rPr>
        <w:t xml:space="preserve"> proportion of the available evidence is based on healthcare systems, and not UK hospitals. They have observed that despite the potential good learning attained in the studies in Europe, North America and Asia, diverse policies on healthcare, staffing, infection prevention practices, and organisation within the National Health Service (NHS) may inhibit the direct generalisability of the findings to UK practices (Mitev, Tóth and </w:t>
      </w:r>
      <w:proofErr w:type="spellStart"/>
      <w:r w:rsidRPr="00B031A0">
        <w:rPr>
          <w:rFonts w:ascii="Arial" w:hAnsi="Arial" w:cs="Arial"/>
          <w:color w:val="000000" w:themeColor="text1"/>
        </w:rPr>
        <w:t>Vaszkun</w:t>
      </w:r>
      <w:proofErr w:type="spellEnd"/>
      <w:r w:rsidRPr="00B031A0">
        <w:rPr>
          <w:rFonts w:ascii="Arial" w:hAnsi="Arial" w:cs="Arial"/>
          <w:color w:val="000000" w:themeColor="text1"/>
        </w:rPr>
        <w:t>, 2024). Therefore, a synthesis of evidence that is specifically reflective of the National Health Service (NHS) context, where workforce constraints, increasing patient complexity and resource requirements may have disparate effects on hand hygiene adherence to other healthcare contexts, is necessary.</w:t>
      </w:r>
    </w:p>
    <w:p w14:paraId="307CBC7C" w14:textId="3BB8107C" w:rsidR="00C77BF3" w:rsidRPr="00B031A0" w:rsidRDefault="00115699">
      <w:pPr>
        <w:rPr>
          <w:rFonts w:ascii="Arial" w:hAnsi="Arial" w:cs="Arial"/>
          <w:color w:val="000000" w:themeColor="text1"/>
        </w:rPr>
      </w:pPr>
      <w:r w:rsidRPr="00B031A0">
        <w:rPr>
          <w:rFonts w:ascii="Arial" w:hAnsi="Arial" w:cs="Arial"/>
          <w:color w:val="000000" w:themeColor="text1"/>
        </w:rPr>
        <w:t xml:space="preserve">It is also mentioned in the literature that there </w:t>
      </w:r>
      <w:r w:rsidR="00F74F31">
        <w:rPr>
          <w:rFonts w:ascii="Arial" w:hAnsi="Arial" w:cs="Arial"/>
          <w:color w:val="000000" w:themeColor="text1"/>
        </w:rPr>
        <w:t>is</w:t>
      </w:r>
      <w:r w:rsidRPr="00B031A0">
        <w:rPr>
          <w:rFonts w:ascii="Arial" w:hAnsi="Arial" w:cs="Arial"/>
          <w:color w:val="000000" w:themeColor="text1"/>
        </w:rPr>
        <w:t xml:space="preserve"> significant conformity in measuring hand hygiene compliance. Some of these studies are those which use direct observations, and others which take the self-reported questionnaires, electronic monitoring systems, or product consumption data (Skok </w:t>
      </w:r>
      <w:r w:rsidR="00776C49" w:rsidRPr="00B031A0">
        <w:rPr>
          <w:rFonts w:ascii="Arial" w:hAnsi="Arial" w:cs="Arial"/>
          <w:color w:val="000000" w:themeColor="text1"/>
        </w:rPr>
        <w:t>et al</w:t>
      </w:r>
      <w:r w:rsidRPr="00B031A0">
        <w:rPr>
          <w:rFonts w:ascii="Arial" w:hAnsi="Arial" w:cs="Arial"/>
          <w:color w:val="000000" w:themeColor="text1"/>
        </w:rPr>
        <w:t xml:space="preserve">., 2025). The disadvantages of each technique include bias of the observer, the remember bias or </w:t>
      </w:r>
      <w:r w:rsidR="00F74F31">
        <w:rPr>
          <w:rFonts w:ascii="Arial" w:hAnsi="Arial" w:cs="Arial"/>
          <w:color w:val="000000" w:themeColor="text1"/>
        </w:rPr>
        <w:t xml:space="preserve">a </w:t>
      </w:r>
      <w:r w:rsidRPr="00B031A0">
        <w:rPr>
          <w:rFonts w:ascii="Arial" w:hAnsi="Arial" w:cs="Arial"/>
          <w:color w:val="000000" w:themeColor="text1"/>
        </w:rPr>
        <w:t xml:space="preserve">lack of ability to assess the quality of the techniques (Madden </w:t>
      </w:r>
      <w:r w:rsidR="00776C49" w:rsidRPr="00B031A0">
        <w:rPr>
          <w:rFonts w:ascii="Arial" w:hAnsi="Arial" w:cs="Arial"/>
          <w:color w:val="000000" w:themeColor="text1"/>
        </w:rPr>
        <w:t>et al</w:t>
      </w:r>
      <w:r w:rsidRPr="00B031A0">
        <w:rPr>
          <w:rFonts w:ascii="Arial" w:hAnsi="Arial" w:cs="Arial"/>
          <w:color w:val="000000" w:themeColor="text1"/>
        </w:rPr>
        <w:t>., 2022). Such methodological heterogeneity makes cross-study comparison complicated and limits the strength of evidence as regards the effectiveness of hand hygiene interventions.</w:t>
      </w:r>
    </w:p>
    <w:p w14:paraId="3C57A3E2" w14:textId="64CFE4D4" w:rsidR="00C77BF3" w:rsidRPr="00B031A0" w:rsidRDefault="00115699">
      <w:pPr>
        <w:rPr>
          <w:rFonts w:ascii="Arial" w:hAnsi="Arial" w:cs="Arial"/>
          <w:color w:val="000000" w:themeColor="text1"/>
        </w:rPr>
      </w:pPr>
      <w:r w:rsidRPr="00B031A0">
        <w:rPr>
          <w:rFonts w:ascii="Arial" w:hAnsi="Arial" w:cs="Arial"/>
          <w:color w:val="000000" w:themeColor="text1"/>
        </w:rPr>
        <w:t xml:space="preserve">Lastly, Clancy </w:t>
      </w:r>
      <w:r w:rsidR="00776C49" w:rsidRPr="00B031A0">
        <w:rPr>
          <w:rFonts w:ascii="Arial" w:hAnsi="Arial" w:cs="Arial"/>
          <w:color w:val="000000" w:themeColor="text1"/>
        </w:rPr>
        <w:t>et al</w:t>
      </w:r>
      <w:r w:rsidRPr="00B031A0">
        <w:rPr>
          <w:rFonts w:ascii="Arial" w:hAnsi="Arial" w:cs="Arial"/>
          <w:color w:val="000000" w:themeColor="text1"/>
        </w:rPr>
        <w:t xml:space="preserve">. (2021), in their comprehensive review, found that there is a common underlying trend in existing research where short-term changes after learning </w:t>
      </w:r>
      <w:r w:rsidRPr="00B031A0">
        <w:rPr>
          <w:rFonts w:ascii="Arial" w:hAnsi="Arial" w:cs="Arial"/>
          <w:color w:val="000000" w:themeColor="text1"/>
        </w:rPr>
        <w:lastRenderedPageBreak/>
        <w:t xml:space="preserve">or multimodal intervention are assessed, </w:t>
      </w:r>
      <w:r w:rsidR="007C25F7" w:rsidRPr="00B031A0">
        <w:rPr>
          <w:rFonts w:ascii="Arial" w:hAnsi="Arial" w:cs="Arial"/>
          <w:color w:val="000000" w:themeColor="text1"/>
        </w:rPr>
        <w:t>despite</w:t>
      </w:r>
      <w:r w:rsidRPr="00B031A0">
        <w:rPr>
          <w:rFonts w:ascii="Arial" w:hAnsi="Arial" w:cs="Arial"/>
          <w:color w:val="000000" w:themeColor="text1"/>
        </w:rPr>
        <w:t xml:space="preserve"> having little evidence about the sustainability of behaviour change in the long run. There are research studies with limited scope in exploring the success of compliance in the </w:t>
      </w:r>
      <w:r w:rsidR="00F74F31">
        <w:rPr>
          <w:rFonts w:ascii="Arial" w:hAnsi="Arial" w:cs="Arial"/>
          <w:color w:val="000000" w:themeColor="text1"/>
        </w:rPr>
        <w:t>long run</w:t>
      </w:r>
      <w:r w:rsidRPr="00B031A0">
        <w:rPr>
          <w:rFonts w:ascii="Arial" w:hAnsi="Arial" w:cs="Arial"/>
          <w:color w:val="000000" w:themeColor="text1"/>
        </w:rPr>
        <w:t xml:space="preserve"> and the frequency of the impact to decrease infection produced by the intervention measures once the measures have ceased (Letellier </w:t>
      </w:r>
      <w:r w:rsidR="00776C49" w:rsidRPr="00B031A0">
        <w:rPr>
          <w:rFonts w:ascii="Arial" w:hAnsi="Arial" w:cs="Arial"/>
          <w:color w:val="000000" w:themeColor="text1"/>
        </w:rPr>
        <w:t>et al</w:t>
      </w:r>
      <w:r w:rsidRPr="00B031A0">
        <w:rPr>
          <w:rFonts w:ascii="Arial" w:hAnsi="Arial" w:cs="Arial"/>
          <w:color w:val="000000" w:themeColor="text1"/>
        </w:rPr>
        <w:t xml:space="preserve">., 2022). Similarly, the comparative effectiveness of different intervention strategies in similar hospital settings on a critical basis has been studied to a limited extent (Sandu </w:t>
      </w:r>
      <w:r w:rsidR="00776C49" w:rsidRPr="00B031A0">
        <w:rPr>
          <w:rFonts w:ascii="Arial" w:hAnsi="Arial" w:cs="Arial"/>
          <w:color w:val="000000" w:themeColor="text1"/>
        </w:rPr>
        <w:t>et al</w:t>
      </w:r>
      <w:r w:rsidRPr="00B031A0">
        <w:rPr>
          <w:rFonts w:ascii="Arial" w:hAnsi="Arial" w:cs="Arial"/>
          <w:color w:val="000000" w:themeColor="text1"/>
        </w:rPr>
        <w:t>.</w:t>
      </w:r>
      <w:r w:rsidR="007C25F7">
        <w:rPr>
          <w:rFonts w:ascii="Arial" w:hAnsi="Arial" w:cs="Arial"/>
          <w:color w:val="000000" w:themeColor="text1"/>
        </w:rPr>
        <w:t>,</w:t>
      </w:r>
      <w:r w:rsidRPr="00B031A0">
        <w:rPr>
          <w:rFonts w:ascii="Arial" w:hAnsi="Arial" w:cs="Arial"/>
          <w:color w:val="000000" w:themeColor="text1"/>
        </w:rPr>
        <w:t xml:space="preserve"> 2025).</w:t>
      </w:r>
    </w:p>
    <w:p w14:paraId="37CD21D7" w14:textId="746160A3" w:rsidR="007C25F7" w:rsidRDefault="00115699" w:rsidP="007C25F7">
      <w:pPr>
        <w:rPr>
          <w:rFonts w:ascii="Arial" w:hAnsi="Arial" w:cs="Arial"/>
          <w:color w:val="000000" w:themeColor="text1"/>
        </w:rPr>
      </w:pPr>
      <w:r w:rsidRPr="00B031A0">
        <w:rPr>
          <w:rFonts w:ascii="Arial" w:hAnsi="Arial" w:cs="Arial"/>
          <w:color w:val="000000" w:themeColor="text1"/>
        </w:rPr>
        <w:t xml:space="preserve">Therefore, this proposed systematic review will aim to address the gaps to provide a critical synthesis of the existing evidence on the relationship between the compliance of nurses with hand hygiene and healthcare-associated infections in UK hospitals (Skok </w:t>
      </w:r>
      <w:r w:rsidR="00776C49" w:rsidRPr="00B031A0">
        <w:rPr>
          <w:rFonts w:ascii="Arial" w:hAnsi="Arial" w:cs="Arial"/>
          <w:color w:val="000000" w:themeColor="text1"/>
        </w:rPr>
        <w:t>et al</w:t>
      </w:r>
      <w:r w:rsidRPr="00B031A0">
        <w:rPr>
          <w:rFonts w:ascii="Arial" w:hAnsi="Arial" w:cs="Arial"/>
          <w:color w:val="000000" w:themeColor="text1"/>
        </w:rPr>
        <w:t xml:space="preserve">., 2025). By particularly focusing on nursing practice, the review also needs to provide a more comprehensive view </w:t>
      </w:r>
      <w:r w:rsidR="00F74F31">
        <w:rPr>
          <w:rFonts w:ascii="Arial" w:hAnsi="Arial" w:cs="Arial"/>
          <w:color w:val="000000" w:themeColor="text1"/>
        </w:rPr>
        <w:t>of</w:t>
      </w:r>
      <w:r w:rsidRPr="00B031A0">
        <w:rPr>
          <w:rFonts w:ascii="Arial" w:hAnsi="Arial" w:cs="Arial"/>
          <w:color w:val="000000" w:themeColor="text1"/>
        </w:rPr>
        <w:t xml:space="preserve"> the interdependence of hand hygiene compliance and infection prevention, plus define the areas which require additional research and policy development.</w:t>
      </w:r>
    </w:p>
    <w:p w14:paraId="1B9BE3AC" w14:textId="09A270C6" w:rsidR="00C77BF3" w:rsidRPr="007C25F7" w:rsidRDefault="00115699" w:rsidP="007C25F7">
      <w:pPr>
        <w:pStyle w:val="Heading1"/>
        <w:jc w:val="both"/>
        <w:rPr>
          <w:color w:val="000000" w:themeColor="text1"/>
        </w:rPr>
      </w:pPr>
      <w:r w:rsidRPr="00B031A0">
        <w:rPr>
          <w:color w:val="000000" w:themeColor="text1"/>
        </w:rPr>
        <w:t xml:space="preserve"> </w:t>
      </w:r>
      <w:bookmarkStart w:id="18" w:name="_Toc240208798"/>
      <w:r w:rsidRPr="00B031A0">
        <w:t>2.5 Theoretical Framework</w:t>
      </w:r>
      <w:bookmarkEnd w:id="18"/>
      <w:r w:rsidRPr="00B031A0">
        <w:t xml:space="preserve"> </w:t>
      </w:r>
    </w:p>
    <w:p w14:paraId="467A0BC9" w14:textId="517F876D" w:rsidR="00C77BF3" w:rsidRPr="00B031A0" w:rsidRDefault="007C25F7" w:rsidP="007C25F7">
      <w:pPr>
        <w:pStyle w:val="Heading2"/>
      </w:pPr>
      <w:bookmarkStart w:id="19" w:name="_Toc240208799"/>
      <w:r>
        <w:t xml:space="preserve">2.5.1 </w:t>
      </w:r>
      <w:r w:rsidR="00115699" w:rsidRPr="00B031A0">
        <w:t>Health Belief Model (HBM)</w:t>
      </w:r>
      <w:bookmarkEnd w:id="19"/>
    </w:p>
    <w:p w14:paraId="5322F0BD" w14:textId="77777777" w:rsidR="00C77BF3" w:rsidRPr="00B031A0" w:rsidRDefault="00115699">
      <w:pPr>
        <w:jc w:val="center"/>
        <w:rPr>
          <w:rFonts w:ascii="Arial" w:hAnsi="Arial" w:cs="Arial"/>
          <w:color w:val="000000" w:themeColor="text1"/>
        </w:rPr>
      </w:pPr>
      <w:r w:rsidRPr="00B031A0">
        <w:rPr>
          <w:rFonts w:ascii="Arial" w:hAnsi="Arial" w:cs="Arial"/>
          <w:noProof/>
          <w:color w:val="000000" w:themeColor="text1"/>
        </w:rPr>
        <w:drawing>
          <wp:inline distT="114300" distB="114300" distL="114300" distR="114300" wp14:anchorId="76741E36" wp14:editId="117A42A0">
            <wp:extent cx="6042660" cy="3292475"/>
            <wp:effectExtent l="0" t="0" r="0" b="3175"/>
            <wp:docPr id="114148258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rotWithShape="1">
                    <a:blip r:embed="rId10"/>
                    <a:srcRect t="8168"/>
                    <a:stretch>
                      <a:fillRect/>
                    </a:stretch>
                  </pic:blipFill>
                  <pic:spPr bwMode="auto">
                    <a:xfrm>
                      <a:off x="0" y="0"/>
                      <a:ext cx="6058607" cy="3301164"/>
                    </a:xfrm>
                    <a:prstGeom prst="rect">
                      <a:avLst/>
                    </a:prstGeom>
                    <a:ln>
                      <a:noFill/>
                    </a:ln>
                    <a:extLst>
                      <a:ext uri="{53640926-AAD7-44D8-BBD7-CCE9431645EC}">
                        <a14:shadowObscured xmlns:a14="http://schemas.microsoft.com/office/drawing/2010/main"/>
                      </a:ext>
                    </a:extLst>
                  </pic:spPr>
                </pic:pic>
              </a:graphicData>
            </a:graphic>
          </wp:inline>
        </w:drawing>
      </w:r>
    </w:p>
    <w:p w14:paraId="7E7A70E0" w14:textId="77777777" w:rsidR="00C77BF3" w:rsidRPr="00B031A0" w:rsidRDefault="00115699">
      <w:pPr>
        <w:jc w:val="center"/>
        <w:rPr>
          <w:rFonts w:ascii="Arial" w:hAnsi="Arial" w:cs="Arial"/>
          <w:b/>
          <w:bCs/>
          <w:color w:val="000000" w:themeColor="text1"/>
        </w:rPr>
      </w:pPr>
      <w:r w:rsidRPr="00B031A0">
        <w:rPr>
          <w:rFonts w:ascii="Arial" w:hAnsi="Arial" w:cs="Arial"/>
          <w:b/>
          <w:bCs/>
          <w:color w:val="000000" w:themeColor="text1"/>
        </w:rPr>
        <w:t>Figure 2.2: Health Belief Model (HBM)</w:t>
      </w:r>
    </w:p>
    <w:p w14:paraId="3A4948FF" w14:textId="4F47119A" w:rsidR="00C77BF3" w:rsidRPr="00B031A0" w:rsidRDefault="00115699">
      <w:pPr>
        <w:jc w:val="center"/>
        <w:rPr>
          <w:rFonts w:ascii="Arial" w:hAnsi="Arial" w:cs="Arial"/>
          <w:color w:val="000000" w:themeColor="text1"/>
        </w:rPr>
      </w:pPr>
      <w:r w:rsidRPr="00B031A0">
        <w:rPr>
          <w:rFonts w:ascii="Arial" w:hAnsi="Arial" w:cs="Arial"/>
          <w:color w:val="000000" w:themeColor="text1"/>
        </w:rPr>
        <w:t xml:space="preserve">(Source: </w:t>
      </w:r>
      <w:r w:rsidR="00F74F31">
        <w:rPr>
          <w:rFonts w:ascii="Arial" w:hAnsi="Arial" w:cs="Arial"/>
          <w:color w:val="000000" w:themeColor="text1"/>
        </w:rPr>
        <w:t>Penn State</w:t>
      </w:r>
      <w:r w:rsidRPr="00B031A0">
        <w:rPr>
          <w:rFonts w:ascii="Arial" w:hAnsi="Arial" w:cs="Arial"/>
          <w:color w:val="000000" w:themeColor="text1"/>
        </w:rPr>
        <w:t>, 2020)</w:t>
      </w:r>
    </w:p>
    <w:p w14:paraId="28822FC9" w14:textId="78EFDE1B" w:rsidR="00C77BF3" w:rsidRPr="00B031A0" w:rsidRDefault="00115699">
      <w:pPr>
        <w:rPr>
          <w:rFonts w:ascii="Arial" w:hAnsi="Arial" w:cs="Arial"/>
          <w:color w:val="000000" w:themeColor="text1"/>
        </w:rPr>
      </w:pPr>
      <w:r w:rsidRPr="00B031A0">
        <w:rPr>
          <w:rFonts w:ascii="Arial" w:hAnsi="Arial" w:cs="Arial"/>
          <w:color w:val="000000" w:themeColor="text1"/>
        </w:rPr>
        <w:lastRenderedPageBreak/>
        <w:t xml:space="preserve">Health Belief Model, </w:t>
      </w:r>
      <w:r w:rsidR="00F74F31">
        <w:rPr>
          <w:rFonts w:ascii="Arial" w:hAnsi="Arial" w:cs="Arial"/>
          <w:color w:val="000000" w:themeColor="text1"/>
        </w:rPr>
        <w:t>first</w:t>
      </w:r>
      <w:r w:rsidRPr="00B031A0">
        <w:rPr>
          <w:rFonts w:ascii="Arial" w:hAnsi="Arial" w:cs="Arial"/>
          <w:color w:val="000000" w:themeColor="text1"/>
        </w:rPr>
        <w:t xml:space="preserve"> introduced by Rosenstock, is used to claim that people with a perception that they are prone to adverse consequences, understand the severity of these consequences, perceive preventative measures as helpful and who perceive a relatively low number of barriers to undertaking preventative behaviour (</w:t>
      </w:r>
      <w:r w:rsidR="00E274F6" w:rsidRPr="00B031A0">
        <w:rPr>
          <w:rFonts w:ascii="Arial" w:hAnsi="Arial" w:cs="Arial"/>
          <w:color w:val="000000" w:themeColor="text1"/>
        </w:rPr>
        <w:t>Skok et al., 2025</w:t>
      </w:r>
      <w:r w:rsidRPr="00B031A0">
        <w:rPr>
          <w:rFonts w:ascii="Arial" w:hAnsi="Arial" w:cs="Arial"/>
          <w:color w:val="000000" w:themeColor="text1"/>
        </w:rPr>
        <w:t>). Applying it to the hospital situation, it means that nurses will tend to follow hand hygiene measures in cases when they understand the threat of pathogen transmission, the importance of the final result of Healthcare-Associated Infections (HCAIs</w:t>
      </w:r>
      <w:r w:rsidR="00B1135D" w:rsidRPr="00B031A0">
        <w:rPr>
          <w:rFonts w:ascii="Arial" w:hAnsi="Arial" w:cs="Arial"/>
          <w:color w:val="000000" w:themeColor="text1"/>
        </w:rPr>
        <w:t>) and</w:t>
      </w:r>
      <w:r w:rsidRPr="00B031A0">
        <w:rPr>
          <w:rFonts w:ascii="Arial" w:hAnsi="Arial" w:cs="Arial"/>
          <w:color w:val="000000" w:themeColor="text1"/>
        </w:rPr>
        <w:t xml:space="preserve"> believe that hand hygiene is effective in defending patients</w:t>
      </w:r>
      <w:r w:rsidR="00B1135D">
        <w:rPr>
          <w:rFonts w:ascii="Arial" w:hAnsi="Arial" w:cs="Arial"/>
          <w:color w:val="000000" w:themeColor="text1"/>
        </w:rPr>
        <w:t xml:space="preserve"> </w:t>
      </w:r>
      <w:r w:rsidRPr="00B031A0">
        <w:rPr>
          <w:rFonts w:ascii="Arial" w:hAnsi="Arial" w:cs="Arial"/>
          <w:color w:val="000000" w:themeColor="text1"/>
        </w:rPr>
        <w:t xml:space="preserve">(Ayo-Farai </w:t>
      </w:r>
      <w:r w:rsidR="00776C49" w:rsidRPr="00B031A0">
        <w:rPr>
          <w:rFonts w:ascii="Arial" w:hAnsi="Arial" w:cs="Arial"/>
          <w:color w:val="000000" w:themeColor="text1"/>
        </w:rPr>
        <w:t>et al</w:t>
      </w:r>
      <w:r w:rsidRPr="00B031A0">
        <w:rPr>
          <w:rFonts w:ascii="Arial" w:hAnsi="Arial" w:cs="Arial"/>
          <w:color w:val="000000" w:themeColor="text1"/>
        </w:rPr>
        <w:t>., 2024).</w:t>
      </w:r>
    </w:p>
    <w:p w14:paraId="257000FF" w14:textId="63366340" w:rsidR="00C77BF3" w:rsidRPr="00B031A0" w:rsidRDefault="00115699">
      <w:pPr>
        <w:rPr>
          <w:rFonts w:ascii="Arial" w:hAnsi="Arial" w:cs="Arial"/>
          <w:color w:val="000000" w:themeColor="text1"/>
        </w:rPr>
      </w:pPr>
      <w:r w:rsidRPr="00B031A0">
        <w:rPr>
          <w:rFonts w:ascii="Arial" w:hAnsi="Arial" w:cs="Arial"/>
          <w:color w:val="000000" w:themeColor="text1"/>
        </w:rPr>
        <w:t>The Health Belief Model</w:t>
      </w:r>
      <w:r w:rsidR="002F17CD">
        <w:rPr>
          <w:rFonts w:ascii="Arial" w:hAnsi="Arial" w:cs="Arial"/>
          <w:color w:val="000000" w:themeColor="text1"/>
        </w:rPr>
        <w:t xml:space="preserve"> </w:t>
      </w:r>
      <w:r w:rsidRPr="00B031A0">
        <w:rPr>
          <w:rFonts w:ascii="Arial" w:hAnsi="Arial" w:cs="Arial"/>
          <w:color w:val="000000" w:themeColor="text1"/>
        </w:rPr>
        <w:t xml:space="preserve">(HBM), as Amini </w:t>
      </w:r>
      <w:r w:rsidR="00776C49" w:rsidRPr="00B031A0">
        <w:rPr>
          <w:rFonts w:ascii="Arial" w:hAnsi="Arial" w:cs="Arial"/>
          <w:color w:val="000000" w:themeColor="text1"/>
        </w:rPr>
        <w:t>et al</w:t>
      </w:r>
      <w:r w:rsidRPr="00B031A0">
        <w:rPr>
          <w:rFonts w:ascii="Arial" w:hAnsi="Arial" w:cs="Arial"/>
          <w:color w:val="000000" w:themeColor="text1"/>
        </w:rPr>
        <w:t xml:space="preserve">. (2021) explained in their clinical trial study of 84 prehospital emergency staff, has found wide application in infection prevention research because it can explain how better-informed healthcare employees are more likely to show a higher degree of compliance since they have a higher level of awareness about infection (Knudsen </w:t>
      </w:r>
      <w:r w:rsidR="00776C49" w:rsidRPr="00B031A0">
        <w:rPr>
          <w:rFonts w:ascii="Arial" w:hAnsi="Arial" w:cs="Arial"/>
          <w:color w:val="000000" w:themeColor="text1"/>
        </w:rPr>
        <w:t>et al</w:t>
      </w:r>
      <w:r w:rsidRPr="00B031A0">
        <w:rPr>
          <w:rFonts w:ascii="Arial" w:hAnsi="Arial" w:cs="Arial"/>
          <w:color w:val="000000" w:themeColor="text1"/>
        </w:rPr>
        <w:t>.</w:t>
      </w:r>
      <w:r w:rsidR="00F74F31">
        <w:rPr>
          <w:rFonts w:ascii="Arial" w:hAnsi="Arial" w:cs="Arial"/>
          <w:color w:val="000000" w:themeColor="text1"/>
        </w:rPr>
        <w:t>,</w:t>
      </w:r>
      <w:r w:rsidRPr="00B031A0">
        <w:rPr>
          <w:rFonts w:ascii="Arial" w:hAnsi="Arial" w:cs="Arial"/>
          <w:color w:val="000000" w:themeColor="text1"/>
        </w:rPr>
        <w:t xml:space="preserve"> 2023). Such perceived benefits may include avoiding patient harm and enhancing clinical results, which typically promotes compliance with recommended practices. Likewise, the cues to action, including reminder posters, infection-control campaigns and regular training, solidify behavioural change</w:t>
      </w:r>
      <w:r w:rsidR="007C25F7">
        <w:rPr>
          <w:rFonts w:ascii="Arial" w:hAnsi="Arial" w:cs="Arial"/>
          <w:color w:val="000000" w:themeColor="text1"/>
        </w:rPr>
        <w:t xml:space="preserve"> </w:t>
      </w:r>
      <w:r w:rsidRPr="00B031A0">
        <w:rPr>
          <w:rFonts w:ascii="Arial" w:hAnsi="Arial" w:cs="Arial"/>
          <w:color w:val="000000" w:themeColor="text1"/>
        </w:rPr>
        <w:t xml:space="preserve">(Skok </w:t>
      </w:r>
      <w:r w:rsidR="00776C49" w:rsidRPr="00B031A0">
        <w:rPr>
          <w:rFonts w:ascii="Arial" w:hAnsi="Arial" w:cs="Arial"/>
          <w:color w:val="000000" w:themeColor="text1"/>
        </w:rPr>
        <w:t>et al</w:t>
      </w:r>
      <w:r w:rsidRPr="00B031A0">
        <w:rPr>
          <w:rFonts w:ascii="Arial" w:hAnsi="Arial" w:cs="Arial"/>
          <w:color w:val="000000" w:themeColor="text1"/>
        </w:rPr>
        <w:t>., 2025).</w:t>
      </w:r>
    </w:p>
    <w:p w14:paraId="54E2FB58" w14:textId="5CC541CC" w:rsidR="00C77BF3" w:rsidRPr="00B031A0" w:rsidRDefault="00115699">
      <w:pPr>
        <w:rPr>
          <w:rFonts w:ascii="Arial" w:hAnsi="Arial" w:cs="Arial"/>
          <w:color w:val="000000" w:themeColor="text1"/>
        </w:rPr>
      </w:pPr>
      <w:r w:rsidRPr="00B031A0">
        <w:rPr>
          <w:rFonts w:ascii="Arial" w:hAnsi="Arial" w:cs="Arial"/>
          <w:color w:val="000000" w:themeColor="text1"/>
        </w:rPr>
        <w:t>However, the Health Belief Model</w:t>
      </w:r>
      <w:r w:rsidR="002F17CD">
        <w:rPr>
          <w:rFonts w:ascii="Arial" w:hAnsi="Arial" w:cs="Arial"/>
          <w:color w:val="000000" w:themeColor="text1"/>
        </w:rPr>
        <w:t xml:space="preserve"> </w:t>
      </w:r>
      <w:r w:rsidRPr="00B031A0">
        <w:rPr>
          <w:rFonts w:ascii="Arial" w:hAnsi="Arial" w:cs="Arial"/>
          <w:color w:val="000000" w:themeColor="text1"/>
        </w:rPr>
        <w:t xml:space="preserve">(HBM) has limitations when it comes to explaining </w:t>
      </w:r>
      <w:r w:rsidR="00F74F31">
        <w:rPr>
          <w:rFonts w:ascii="Arial" w:hAnsi="Arial" w:cs="Arial"/>
          <w:color w:val="000000" w:themeColor="text1"/>
        </w:rPr>
        <w:t xml:space="preserve">this </w:t>
      </w:r>
      <w:r w:rsidRPr="00B031A0">
        <w:rPr>
          <w:rFonts w:ascii="Arial" w:hAnsi="Arial" w:cs="Arial"/>
          <w:color w:val="000000" w:themeColor="text1"/>
        </w:rPr>
        <w:t>because it is more focused on individual perceptions, as opposed to being focused on organisational factors</w:t>
      </w:r>
      <w:r w:rsidR="00613939">
        <w:rPr>
          <w:rFonts w:ascii="Arial" w:hAnsi="Arial" w:cs="Arial"/>
          <w:color w:val="000000" w:themeColor="text1"/>
        </w:rPr>
        <w:t xml:space="preserve"> </w:t>
      </w:r>
      <w:r w:rsidR="00613939" w:rsidRPr="00B031A0">
        <w:rPr>
          <w:rFonts w:ascii="Arial" w:hAnsi="Arial" w:cs="Arial"/>
          <w:color w:val="000000" w:themeColor="text1"/>
        </w:rPr>
        <w:t>(Hodgson, Lamport and Laville, 2024)</w:t>
      </w:r>
      <w:r w:rsidRPr="00B031A0">
        <w:rPr>
          <w:rFonts w:ascii="Arial" w:hAnsi="Arial" w:cs="Arial"/>
          <w:color w:val="000000" w:themeColor="text1"/>
        </w:rPr>
        <w:t xml:space="preserve">. </w:t>
      </w:r>
      <w:proofErr w:type="spellStart"/>
      <w:r w:rsidRPr="00B031A0">
        <w:rPr>
          <w:rFonts w:ascii="Arial" w:hAnsi="Arial" w:cs="Arial"/>
          <w:color w:val="000000" w:themeColor="text1"/>
        </w:rPr>
        <w:t>Batran</w:t>
      </w:r>
      <w:proofErr w:type="spellEnd"/>
      <w:r w:rsidRPr="00B031A0">
        <w:rPr>
          <w:rFonts w:ascii="Arial" w:hAnsi="Arial" w:cs="Arial"/>
          <w:color w:val="000000" w:themeColor="text1"/>
        </w:rPr>
        <w:t xml:space="preserve"> </w:t>
      </w:r>
      <w:r w:rsidR="00776C49" w:rsidRPr="00B031A0">
        <w:rPr>
          <w:rFonts w:ascii="Arial" w:hAnsi="Arial" w:cs="Arial"/>
          <w:color w:val="000000" w:themeColor="text1"/>
        </w:rPr>
        <w:t>et al</w:t>
      </w:r>
      <w:r w:rsidRPr="00B031A0">
        <w:rPr>
          <w:rFonts w:ascii="Arial" w:hAnsi="Arial" w:cs="Arial"/>
          <w:color w:val="000000" w:themeColor="text1"/>
        </w:rPr>
        <w:t>. (2025) caution that nurses are not always those who are not fully aware of the dangers of infections and still have low compliance due to the shortage of staff, high workloads, or insufficient facilities. Hence, the descriptions of behavioural preferences cannot always be distilled down to individual beliefs</w:t>
      </w:r>
      <w:r w:rsidR="00613939">
        <w:rPr>
          <w:rFonts w:ascii="Arial" w:hAnsi="Arial" w:cs="Arial"/>
          <w:color w:val="000000" w:themeColor="text1"/>
        </w:rPr>
        <w:t xml:space="preserve"> </w:t>
      </w:r>
      <w:r w:rsidR="00613939" w:rsidRPr="00B031A0">
        <w:rPr>
          <w:rFonts w:ascii="Arial" w:hAnsi="Arial" w:cs="Arial"/>
          <w:color w:val="000000" w:themeColor="text1"/>
        </w:rPr>
        <w:t>(Skok et al., 2025)</w:t>
      </w:r>
      <w:r w:rsidRPr="00B031A0">
        <w:rPr>
          <w:rFonts w:ascii="Arial" w:hAnsi="Arial" w:cs="Arial"/>
          <w:color w:val="000000" w:themeColor="text1"/>
        </w:rPr>
        <w:t xml:space="preserve">. Compared to organisational theories, </w:t>
      </w:r>
      <w:r w:rsidR="002F17CD" w:rsidRPr="00B031A0">
        <w:rPr>
          <w:rFonts w:ascii="Arial" w:hAnsi="Arial" w:cs="Arial"/>
          <w:color w:val="000000" w:themeColor="text1"/>
        </w:rPr>
        <w:t>the Health</w:t>
      </w:r>
      <w:r w:rsidRPr="00B031A0">
        <w:rPr>
          <w:rFonts w:ascii="Arial" w:hAnsi="Arial" w:cs="Arial"/>
          <w:color w:val="000000" w:themeColor="text1"/>
        </w:rPr>
        <w:t xml:space="preserve"> Belief Model</w:t>
      </w:r>
      <w:r w:rsidR="002F17CD">
        <w:rPr>
          <w:rFonts w:ascii="Arial" w:hAnsi="Arial" w:cs="Arial"/>
          <w:color w:val="000000" w:themeColor="text1"/>
        </w:rPr>
        <w:t xml:space="preserve"> </w:t>
      </w:r>
      <w:r w:rsidRPr="00B031A0">
        <w:rPr>
          <w:rFonts w:ascii="Arial" w:hAnsi="Arial" w:cs="Arial"/>
          <w:color w:val="000000" w:themeColor="text1"/>
        </w:rPr>
        <w:t xml:space="preserve">(HBM) provides a feasible psychological explanation but fails to </w:t>
      </w:r>
      <w:r w:rsidR="007C25F7" w:rsidRPr="00B031A0">
        <w:rPr>
          <w:rFonts w:ascii="Arial" w:hAnsi="Arial" w:cs="Arial"/>
          <w:color w:val="000000" w:themeColor="text1"/>
        </w:rPr>
        <w:t>consider</w:t>
      </w:r>
      <w:r w:rsidRPr="00B031A0">
        <w:rPr>
          <w:rFonts w:ascii="Arial" w:hAnsi="Arial" w:cs="Arial"/>
          <w:color w:val="000000" w:themeColor="text1"/>
        </w:rPr>
        <w:t xml:space="preserve"> the environmental limitations that characterise busy National Health Service (NHS) hospitals (Hodgson, Lamport and Laville, 2024). Thus, the model </w:t>
      </w:r>
      <w:r w:rsidR="007C25F7" w:rsidRPr="00B031A0">
        <w:rPr>
          <w:rFonts w:ascii="Arial" w:hAnsi="Arial" w:cs="Arial"/>
          <w:color w:val="000000" w:themeColor="text1"/>
        </w:rPr>
        <w:t>can</w:t>
      </w:r>
      <w:r w:rsidRPr="00B031A0">
        <w:rPr>
          <w:rFonts w:ascii="Arial" w:hAnsi="Arial" w:cs="Arial"/>
          <w:color w:val="000000" w:themeColor="text1"/>
        </w:rPr>
        <w:t xml:space="preserve"> determine individual </w:t>
      </w:r>
      <w:r w:rsidR="002F17CD" w:rsidRPr="00B031A0">
        <w:rPr>
          <w:rFonts w:ascii="Arial" w:hAnsi="Arial" w:cs="Arial"/>
          <w:color w:val="000000" w:themeColor="text1"/>
        </w:rPr>
        <w:t>motivation but</w:t>
      </w:r>
      <w:r w:rsidRPr="00B031A0">
        <w:rPr>
          <w:rFonts w:ascii="Arial" w:hAnsi="Arial" w:cs="Arial"/>
          <w:color w:val="000000" w:themeColor="text1"/>
        </w:rPr>
        <w:t xml:space="preserve"> is not sufficient on its own to explain the differences in compliance by healthcare organisations. </w:t>
      </w:r>
    </w:p>
    <w:p w14:paraId="22D14E77" w14:textId="5AEB8BFE" w:rsidR="00C77BF3" w:rsidRPr="00B031A0" w:rsidRDefault="002F17CD" w:rsidP="002F17CD">
      <w:pPr>
        <w:pStyle w:val="Heading2"/>
      </w:pPr>
      <w:bookmarkStart w:id="20" w:name="_Toc240208800"/>
      <w:r>
        <w:lastRenderedPageBreak/>
        <w:t xml:space="preserve">2.5.2 </w:t>
      </w:r>
      <w:r w:rsidR="00115699" w:rsidRPr="00B031A0">
        <w:t>Theory of Planned Behaviour (TPB)</w:t>
      </w:r>
      <w:bookmarkEnd w:id="20"/>
    </w:p>
    <w:p w14:paraId="52BBE97F" w14:textId="77777777" w:rsidR="00C77BF3" w:rsidRPr="00B031A0" w:rsidRDefault="00115699">
      <w:pPr>
        <w:jc w:val="center"/>
        <w:rPr>
          <w:rFonts w:ascii="Arial" w:hAnsi="Arial" w:cs="Arial"/>
          <w:color w:val="000000" w:themeColor="text1"/>
        </w:rPr>
      </w:pPr>
      <w:r w:rsidRPr="00B031A0">
        <w:rPr>
          <w:rFonts w:ascii="Arial" w:hAnsi="Arial" w:cs="Arial"/>
          <w:noProof/>
          <w:color w:val="000000" w:themeColor="text1"/>
        </w:rPr>
        <w:drawing>
          <wp:inline distT="114300" distB="114300" distL="114300" distR="114300" wp14:anchorId="2FDC1B1C" wp14:editId="2A08D1A6">
            <wp:extent cx="4333875" cy="2581275"/>
            <wp:effectExtent l="0" t="0" r="0" b="0"/>
            <wp:docPr id="114148259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333875" cy="2581275"/>
                    </a:xfrm>
                    <a:prstGeom prst="rect">
                      <a:avLst/>
                    </a:prstGeom>
                    <a:ln/>
                  </pic:spPr>
                </pic:pic>
              </a:graphicData>
            </a:graphic>
          </wp:inline>
        </w:drawing>
      </w:r>
    </w:p>
    <w:p w14:paraId="0DF984CE" w14:textId="77777777" w:rsidR="00C77BF3" w:rsidRPr="00B031A0" w:rsidRDefault="00115699">
      <w:pPr>
        <w:jc w:val="center"/>
        <w:rPr>
          <w:rFonts w:ascii="Arial" w:hAnsi="Arial" w:cs="Arial"/>
          <w:b/>
          <w:bCs/>
          <w:color w:val="000000" w:themeColor="text1"/>
        </w:rPr>
      </w:pPr>
      <w:r w:rsidRPr="00B031A0">
        <w:rPr>
          <w:rFonts w:ascii="Arial" w:hAnsi="Arial" w:cs="Arial"/>
          <w:b/>
          <w:bCs/>
          <w:color w:val="000000" w:themeColor="text1"/>
        </w:rPr>
        <w:t>Figure 2.3: Theory of Planned Behaviour (TPB)</w:t>
      </w:r>
    </w:p>
    <w:p w14:paraId="38689A3E" w14:textId="77777777" w:rsidR="00C77BF3" w:rsidRPr="00B031A0" w:rsidRDefault="00115699">
      <w:pPr>
        <w:jc w:val="center"/>
        <w:rPr>
          <w:rFonts w:ascii="Arial" w:hAnsi="Arial" w:cs="Arial"/>
          <w:color w:val="000000" w:themeColor="text1"/>
        </w:rPr>
      </w:pPr>
      <w:r w:rsidRPr="00B031A0">
        <w:rPr>
          <w:rFonts w:ascii="Arial" w:hAnsi="Arial" w:cs="Arial"/>
          <w:color w:val="000000" w:themeColor="text1"/>
        </w:rPr>
        <w:t>(Source: Accelerating Systemic Change Network, 2021)</w:t>
      </w:r>
    </w:p>
    <w:p w14:paraId="1FF21A56" w14:textId="692729ED" w:rsidR="00C77BF3" w:rsidRPr="00B031A0" w:rsidRDefault="00115699">
      <w:pPr>
        <w:rPr>
          <w:rFonts w:ascii="Arial" w:hAnsi="Arial" w:cs="Arial"/>
          <w:color w:val="000000" w:themeColor="text1"/>
        </w:rPr>
      </w:pPr>
      <w:r w:rsidRPr="00B031A0">
        <w:rPr>
          <w:rFonts w:ascii="Arial" w:hAnsi="Arial" w:cs="Arial"/>
          <w:color w:val="000000" w:themeColor="text1"/>
        </w:rPr>
        <w:t xml:space="preserve">Ajzen's Theory of Planned Behaviour enhances the concept of behaviour, proposing that behaviour can be attributed to behavioural intention that is influenced by attitude, subjective norms and perceived behavioural control (Sandu </w:t>
      </w:r>
      <w:r w:rsidR="00776C49" w:rsidRPr="00B031A0">
        <w:rPr>
          <w:rFonts w:ascii="Arial" w:hAnsi="Arial" w:cs="Arial"/>
          <w:color w:val="000000" w:themeColor="text1"/>
        </w:rPr>
        <w:t>et al</w:t>
      </w:r>
      <w:r w:rsidRPr="00B031A0">
        <w:rPr>
          <w:rFonts w:ascii="Arial" w:hAnsi="Arial" w:cs="Arial"/>
          <w:color w:val="000000" w:themeColor="text1"/>
        </w:rPr>
        <w:t xml:space="preserve">. 2025). The theory has been applied by White </w:t>
      </w:r>
      <w:r w:rsidR="00776C49" w:rsidRPr="00B031A0">
        <w:rPr>
          <w:rFonts w:ascii="Arial" w:hAnsi="Arial" w:cs="Arial"/>
          <w:color w:val="000000" w:themeColor="text1"/>
        </w:rPr>
        <w:t>et al</w:t>
      </w:r>
      <w:r w:rsidRPr="00B031A0">
        <w:rPr>
          <w:rFonts w:ascii="Arial" w:hAnsi="Arial" w:cs="Arial"/>
          <w:color w:val="000000" w:themeColor="text1"/>
        </w:rPr>
        <w:t>. (2015) in their thematic content analysis of qualitative data from focus group discussions with hospital-based registered nurses to hand hygiene, whereby it posits that nurses are more likely to follow the hand hygiene advice when they already hold positive beliefs about infection prevention, have high professional expectations from their colleagues and supervisors and feel that they have adequate opportunity and resources to maintain hand hygiene</w:t>
      </w:r>
      <w:r w:rsidR="00EC5ABE">
        <w:rPr>
          <w:rFonts w:ascii="Arial" w:hAnsi="Arial" w:cs="Arial"/>
          <w:color w:val="000000" w:themeColor="text1"/>
        </w:rPr>
        <w:t xml:space="preserve"> </w:t>
      </w:r>
      <w:r w:rsidRPr="00B031A0">
        <w:rPr>
          <w:rFonts w:ascii="Arial" w:hAnsi="Arial" w:cs="Arial"/>
          <w:color w:val="000000" w:themeColor="text1"/>
        </w:rPr>
        <w:t xml:space="preserve">(Ayo-Farai </w:t>
      </w:r>
      <w:r w:rsidR="00776C49" w:rsidRPr="00B031A0">
        <w:rPr>
          <w:rFonts w:ascii="Arial" w:hAnsi="Arial" w:cs="Arial"/>
          <w:color w:val="000000" w:themeColor="text1"/>
        </w:rPr>
        <w:t>et al</w:t>
      </w:r>
      <w:r w:rsidRPr="00B031A0">
        <w:rPr>
          <w:rFonts w:ascii="Arial" w:hAnsi="Arial" w:cs="Arial"/>
          <w:color w:val="000000" w:themeColor="text1"/>
        </w:rPr>
        <w:t>., 2024).</w:t>
      </w:r>
    </w:p>
    <w:p w14:paraId="25E9189B" w14:textId="0079D38D" w:rsidR="00C77BF3" w:rsidRPr="00B031A0" w:rsidRDefault="00115699">
      <w:pPr>
        <w:rPr>
          <w:rFonts w:ascii="Arial" w:hAnsi="Arial" w:cs="Arial"/>
          <w:color w:val="000000" w:themeColor="text1"/>
        </w:rPr>
      </w:pPr>
      <w:r w:rsidRPr="00B031A0">
        <w:rPr>
          <w:rFonts w:ascii="Arial" w:hAnsi="Arial" w:cs="Arial"/>
          <w:color w:val="000000" w:themeColor="text1"/>
        </w:rPr>
        <w:t xml:space="preserve">Theory of Planned Behaviour (TPB)emphasises more on social and organisational factors as compared to the Health Belief Model (Hodgson, Lamport and Laville, 2024). The culture of behaviour of the professional nurses at the hospital wards is usually affected by the senior nurses, infection-control practitioners and those who desire to control the ward, who are influential role </w:t>
      </w:r>
      <w:r w:rsidR="00F74F31">
        <w:rPr>
          <w:rFonts w:ascii="Arial" w:hAnsi="Arial" w:cs="Arial"/>
          <w:color w:val="000000" w:themeColor="text1"/>
        </w:rPr>
        <w:t>models</w:t>
      </w:r>
      <w:r w:rsidRPr="00B031A0">
        <w:rPr>
          <w:rFonts w:ascii="Arial" w:hAnsi="Arial" w:cs="Arial"/>
          <w:color w:val="000000" w:themeColor="text1"/>
        </w:rPr>
        <w:t xml:space="preserve"> (Sandu </w:t>
      </w:r>
      <w:r w:rsidR="00776C49" w:rsidRPr="00B031A0">
        <w:rPr>
          <w:rFonts w:ascii="Arial" w:hAnsi="Arial" w:cs="Arial"/>
          <w:color w:val="000000" w:themeColor="text1"/>
        </w:rPr>
        <w:t>et al</w:t>
      </w:r>
      <w:r w:rsidRPr="00B031A0">
        <w:rPr>
          <w:rFonts w:ascii="Arial" w:hAnsi="Arial" w:cs="Arial"/>
          <w:color w:val="000000" w:themeColor="text1"/>
        </w:rPr>
        <w:t>.</w:t>
      </w:r>
      <w:r w:rsidR="00F74F31">
        <w:rPr>
          <w:rFonts w:ascii="Arial" w:hAnsi="Arial" w:cs="Arial"/>
          <w:color w:val="000000" w:themeColor="text1"/>
        </w:rPr>
        <w:t>,</w:t>
      </w:r>
      <w:r w:rsidRPr="00B031A0">
        <w:rPr>
          <w:rFonts w:ascii="Arial" w:hAnsi="Arial" w:cs="Arial"/>
          <w:color w:val="000000" w:themeColor="text1"/>
        </w:rPr>
        <w:t xml:space="preserve"> 2025). Subjective norms can be enhanced by positive peer behaviour and helpful leadership, which will promote increased compliance. Similarly, Issa </w:t>
      </w:r>
      <w:r w:rsidR="00776C49" w:rsidRPr="00B031A0">
        <w:rPr>
          <w:rFonts w:ascii="Arial" w:hAnsi="Arial" w:cs="Arial"/>
          <w:color w:val="000000" w:themeColor="text1"/>
        </w:rPr>
        <w:t>et al</w:t>
      </w:r>
      <w:r w:rsidRPr="00B031A0">
        <w:rPr>
          <w:rFonts w:ascii="Arial" w:hAnsi="Arial" w:cs="Arial"/>
          <w:color w:val="000000" w:themeColor="text1"/>
        </w:rPr>
        <w:t xml:space="preserve">. (2022), in their inclusive systematic review that focuses on handwashing in the Emergency Department (ED), found that </w:t>
      </w:r>
      <w:r w:rsidRPr="00B031A0">
        <w:rPr>
          <w:rFonts w:ascii="Arial" w:hAnsi="Arial" w:cs="Arial"/>
          <w:color w:val="000000" w:themeColor="text1"/>
        </w:rPr>
        <w:lastRenderedPageBreak/>
        <w:t>perceived behavioural control recognises that sometimes, nurses may be well-intentioned to follow the instructions, but structural obstacles may stand in the way of their intentions, such as emergency cases, competing clinical priorities, or the inaccessibility of hand hygiene stations</w:t>
      </w:r>
      <w:r w:rsidR="00E64EBD">
        <w:rPr>
          <w:rFonts w:ascii="Arial" w:hAnsi="Arial" w:cs="Arial"/>
          <w:color w:val="000000" w:themeColor="text1"/>
        </w:rPr>
        <w:t xml:space="preserve"> </w:t>
      </w:r>
      <w:r w:rsidRPr="00B031A0">
        <w:rPr>
          <w:rFonts w:ascii="Arial" w:hAnsi="Arial" w:cs="Arial"/>
          <w:color w:val="000000" w:themeColor="text1"/>
        </w:rPr>
        <w:t xml:space="preserve">(Batra </w:t>
      </w:r>
      <w:r w:rsidR="00776C49" w:rsidRPr="00B031A0">
        <w:rPr>
          <w:rFonts w:ascii="Arial" w:hAnsi="Arial" w:cs="Arial"/>
          <w:color w:val="000000" w:themeColor="text1"/>
        </w:rPr>
        <w:t>et al</w:t>
      </w:r>
      <w:r w:rsidRPr="00B031A0">
        <w:rPr>
          <w:rFonts w:ascii="Arial" w:hAnsi="Arial" w:cs="Arial"/>
          <w:color w:val="000000" w:themeColor="text1"/>
        </w:rPr>
        <w:t>., 2025).</w:t>
      </w:r>
    </w:p>
    <w:p w14:paraId="7A61B118" w14:textId="2DF8BBA3" w:rsidR="00C77BF3" w:rsidRPr="00B031A0" w:rsidRDefault="00115699">
      <w:pPr>
        <w:rPr>
          <w:rFonts w:ascii="Arial" w:hAnsi="Arial" w:cs="Arial"/>
          <w:color w:val="000000" w:themeColor="text1"/>
        </w:rPr>
      </w:pPr>
      <w:r w:rsidRPr="00B031A0">
        <w:rPr>
          <w:rFonts w:ascii="Arial" w:hAnsi="Arial" w:cs="Arial"/>
          <w:color w:val="000000" w:themeColor="text1"/>
        </w:rPr>
        <w:t xml:space="preserve">However, </w:t>
      </w:r>
      <w:r w:rsidR="00F74F31">
        <w:rPr>
          <w:rFonts w:ascii="Arial" w:hAnsi="Arial" w:cs="Arial"/>
          <w:color w:val="000000" w:themeColor="text1"/>
        </w:rPr>
        <w:t xml:space="preserve">the </w:t>
      </w:r>
      <w:r w:rsidRPr="00B031A0">
        <w:rPr>
          <w:rFonts w:ascii="Arial" w:hAnsi="Arial" w:cs="Arial"/>
          <w:color w:val="000000" w:themeColor="text1"/>
        </w:rPr>
        <w:t xml:space="preserve">Theory of Planned Behaviour (TPB)has some shortcomings as well. The model </w:t>
      </w:r>
      <w:r w:rsidR="004406A9" w:rsidRPr="00B031A0">
        <w:rPr>
          <w:rFonts w:ascii="Arial" w:hAnsi="Arial" w:cs="Arial"/>
          <w:color w:val="000000" w:themeColor="text1"/>
        </w:rPr>
        <w:t>assumes</w:t>
      </w:r>
      <w:r w:rsidRPr="00B031A0">
        <w:rPr>
          <w:rFonts w:ascii="Arial" w:hAnsi="Arial" w:cs="Arial"/>
          <w:color w:val="000000" w:themeColor="text1"/>
        </w:rPr>
        <w:t xml:space="preserve"> that behavioural intention can be consistently predictors of actual behaviour, but in the context of healthcare, making rapid decisions is a frequent requirement in unpredictable situations (Hodgson, Lamport and Laville, 2024). Good intentions to which the nurses adhere may fail because of a sudden situation in the clinical setting or interference. Moreover, Potthoff </w:t>
      </w:r>
      <w:r w:rsidR="00776C49" w:rsidRPr="00B031A0">
        <w:rPr>
          <w:rFonts w:ascii="Arial" w:hAnsi="Arial" w:cs="Arial"/>
          <w:color w:val="000000" w:themeColor="text1"/>
        </w:rPr>
        <w:t>et al</w:t>
      </w:r>
      <w:r w:rsidRPr="00B031A0">
        <w:rPr>
          <w:rFonts w:ascii="Arial" w:hAnsi="Arial" w:cs="Arial"/>
          <w:color w:val="000000" w:themeColor="text1"/>
        </w:rPr>
        <w:t xml:space="preserve">. (2019) found in their systematic review and meta-analysis that years of clinical practice can lead to behaviours being practised automatically as opposed to intentionally (Knudsen </w:t>
      </w:r>
      <w:r w:rsidR="00776C49" w:rsidRPr="00B031A0">
        <w:rPr>
          <w:rFonts w:ascii="Arial" w:hAnsi="Arial" w:cs="Arial"/>
          <w:color w:val="000000" w:themeColor="text1"/>
        </w:rPr>
        <w:t>et al</w:t>
      </w:r>
      <w:r w:rsidRPr="00B031A0">
        <w:rPr>
          <w:rFonts w:ascii="Arial" w:hAnsi="Arial" w:cs="Arial"/>
          <w:color w:val="000000" w:themeColor="text1"/>
        </w:rPr>
        <w:t>.</w:t>
      </w:r>
      <w:r w:rsidR="00F74F31">
        <w:rPr>
          <w:rFonts w:ascii="Arial" w:hAnsi="Arial" w:cs="Arial"/>
          <w:color w:val="000000" w:themeColor="text1"/>
        </w:rPr>
        <w:t>,</w:t>
      </w:r>
      <w:r w:rsidRPr="00B031A0">
        <w:rPr>
          <w:rFonts w:ascii="Arial" w:hAnsi="Arial" w:cs="Arial"/>
          <w:color w:val="000000" w:themeColor="text1"/>
        </w:rPr>
        <w:t xml:space="preserve"> 2023). Therefore, as far as </w:t>
      </w:r>
      <w:r w:rsidR="00F74F31">
        <w:rPr>
          <w:rFonts w:ascii="Arial" w:hAnsi="Arial" w:cs="Arial"/>
          <w:color w:val="000000" w:themeColor="text1"/>
        </w:rPr>
        <w:t xml:space="preserve">the </w:t>
      </w:r>
      <w:r w:rsidRPr="00B031A0">
        <w:rPr>
          <w:rFonts w:ascii="Arial" w:hAnsi="Arial" w:cs="Arial"/>
          <w:color w:val="000000" w:themeColor="text1"/>
        </w:rPr>
        <w:t>Theory of Planned Behaviour (TPB)</w:t>
      </w:r>
      <w:r w:rsidR="004406A9">
        <w:rPr>
          <w:rFonts w:ascii="Arial" w:hAnsi="Arial" w:cs="Arial"/>
          <w:color w:val="000000" w:themeColor="text1"/>
        </w:rPr>
        <w:t xml:space="preserve"> </w:t>
      </w:r>
      <w:r w:rsidRPr="00B031A0">
        <w:rPr>
          <w:rFonts w:ascii="Arial" w:hAnsi="Arial" w:cs="Arial"/>
          <w:color w:val="000000" w:themeColor="text1"/>
        </w:rPr>
        <w:t xml:space="preserve">is more exhaustive in its explanation </w:t>
      </w:r>
      <w:r w:rsidR="004406A9" w:rsidRPr="00B031A0">
        <w:rPr>
          <w:rFonts w:ascii="Arial" w:hAnsi="Arial" w:cs="Arial"/>
          <w:color w:val="000000" w:themeColor="text1"/>
        </w:rPr>
        <w:t xml:space="preserve">than </w:t>
      </w:r>
      <w:r w:rsidR="00F74F31">
        <w:rPr>
          <w:rFonts w:ascii="Arial" w:hAnsi="Arial" w:cs="Arial"/>
          <w:color w:val="000000" w:themeColor="text1"/>
        </w:rPr>
        <w:t xml:space="preserve">the </w:t>
      </w:r>
      <w:r w:rsidR="004406A9" w:rsidRPr="00B031A0">
        <w:rPr>
          <w:rFonts w:ascii="Arial" w:hAnsi="Arial" w:cs="Arial"/>
          <w:color w:val="000000" w:themeColor="text1"/>
        </w:rPr>
        <w:t>Health</w:t>
      </w:r>
      <w:r w:rsidRPr="00B031A0">
        <w:rPr>
          <w:rFonts w:ascii="Arial" w:hAnsi="Arial" w:cs="Arial"/>
          <w:color w:val="000000" w:themeColor="text1"/>
        </w:rPr>
        <w:t xml:space="preserve"> Belief Model (HBM) due to its consideration of social influence, it is too simplistic in breaking down the complexity of the organisation's systems, which can influence the prevention of infections</w:t>
      </w:r>
      <w:r w:rsidR="004406A9">
        <w:rPr>
          <w:rFonts w:ascii="Arial" w:hAnsi="Arial" w:cs="Arial"/>
          <w:color w:val="000000" w:themeColor="text1"/>
        </w:rPr>
        <w:t xml:space="preserve"> </w:t>
      </w:r>
      <w:r w:rsidRPr="00B031A0">
        <w:rPr>
          <w:rFonts w:ascii="Arial" w:hAnsi="Arial" w:cs="Arial"/>
          <w:color w:val="000000" w:themeColor="text1"/>
        </w:rPr>
        <w:t xml:space="preserve">(Batra </w:t>
      </w:r>
      <w:r w:rsidR="00776C49" w:rsidRPr="00B031A0">
        <w:rPr>
          <w:rFonts w:ascii="Arial" w:hAnsi="Arial" w:cs="Arial"/>
          <w:color w:val="000000" w:themeColor="text1"/>
        </w:rPr>
        <w:t>et al</w:t>
      </w:r>
      <w:r w:rsidRPr="00B031A0">
        <w:rPr>
          <w:rFonts w:ascii="Arial" w:hAnsi="Arial" w:cs="Arial"/>
          <w:color w:val="000000" w:themeColor="text1"/>
        </w:rPr>
        <w:t xml:space="preserve">., 2025). </w:t>
      </w:r>
    </w:p>
    <w:p w14:paraId="10D3EE2B" w14:textId="01A37C5B" w:rsidR="00C77BF3" w:rsidRPr="00B031A0" w:rsidRDefault="00F74F31" w:rsidP="00F74F31">
      <w:pPr>
        <w:pStyle w:val="Heading2"/>
      </w:pPr>
      <w:bookmarkStart w:id="21" w:name="_Toc240208801"/>
      <w:r>
        <w:t xml:space="preserve">2.5.3 </w:t>
      </w:r>
      <w:r w:rsidR="00115699" w:rsidRPr="00B031A0">
        <w:t>Systems Engineering Initiative for Patient Safety (SEIPS) Model</w:t>
      </w:r>
      <w:bookmarkEnd w:id="21"/>
    </w:p>
    <w:p w14:paraId="2D649242" w14:textId="77777777" w:rsidR="00C77BF3" w:rsidRPr="00B031A0" w:rsidRDefault="00115699">
      <w:pPr>
        <w:jc w:val="center"/>
        <w:rPr>
          <w:rFonts w:ascii="Arial" w:hAnsi="Arial" w:cs="Arial"/>
          <w:color w:val="000000" w:themeColor="text1"/>
        </w:rPr>
      </w:pPr>
      <w:r w:rsidRPr="00B031A0">
        <w:rPr>
          <w:rFonts w:ascii="Arial" w:hAnsi="Arial" w:cs="Arial"/>
          <w:noProof/>
          <w:color w:val="000000" w:themeColor="text1"/>
        </w:rPr>
        <w:drawing>
          <wp:inline distT="114300" distB="114300" distL="114300" distR="114300" wp14:anchorId="2F5F83EE" wp14:editId="2C1AC6C9">
            <wp:extent cx="5772785" cy="2543175"/>
            <wp:effectExtent l="0" t="0" r="0" b="9525"/>
            <wp:docPr id="114148259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77917" cy="2545436"/>
                    </a:xfrm>
                    <a:prstGeom prst="rect">
                      <a:avLst/>
                    </a:prstGeom>
                    <a:ln/>
                  </pic:spPr>
                </pic:pic>
              </a:graphicData>
            </a:graphic>
          </wp:inline>
        </w:drawing>
      </w:r>
    </w:p>
    <w:p w14:paraId="064BAF05" w14:textId="77777777" w:rsidR="00C77BF3" w:rsidRPr="00B031A0" w:rsidRDefault="00115699">
      <w:pPr>
        <w:jc w:val="center"/>
        <w:rPr>
          <w:rFonts w:ascii="Arial" w:hAnsi="Arial" w:cs="Arial"/>
          <w:color w:val="000000" w:themeColor="text1"/>
        </w:rPr>
      </w:pPr>
      <w:r w:rsidRPr="00B031A0">
        <w:rPr>
          <w:rFonts w:ascii="Arial" w:hAnsi="Arial" w:cs="Arial"/>
          <w:b/>
          <w:bCs/>
          <w:color w:val="000000" w:themeColor="text1"/>
        </w:rPr>
        <w:t>Figure 2.4: Systems Engineering Initiative for Patient Safety (SEIPS) Model</w:t>
      </w:r>
    </w:p>
    <w:p w14:paraId="2085F968" w14:textId="02D08B68" w:rsidR="00C77BF3" w:rsidRPr="00B031A0" w:rsidRDefault="00115699">
      <w:pPr>
        <w:jc w:val="center"/>
        <w:rPr>
          <w:rFonts w:ascii="Arial" w:hAnsi="Arial" w:cs="Arial"/>
          <w:color w:val="000000" w:themeColor="text1"/>
        </w:rPr>
      </w:pPr>
      <w:r w:rsidRPr="00B031A0">
        <w:rPr>
          <w:rFonts w:ascii="Arial" w:hAnsi="Arial" w:cs="Arial"/>
          <w:color w:val="000000" w:themeColor="text1"/>
        </w:rPr>
        <w:t xml:space="preserve">(Source: Hoe GAN </w:t>
      </w:r>
      <w:r w:rsidR="00776C49" w:rsidRPr="00B031A0">
        <w:rPr>
          <w:rFonts w:ascii="Arial" w:hAnsi="Arial" w:cs="Arial"/>
          <w:color w:val="000000" w:themeColor="text1"/>
        </w:rPr>
        <w:t>et al</w:t>
      </w:r>
      <w:r w:rsidRPr="00B031A0">
        <w:rPr>
          <w:rFonts w:ascii="Arial" w:hAnsi="Arial" w:cs="Arial"/>
          <w:color w:val="000000" w:themeColor="text1"/>
        </w:rPr>
        <w:t>., 2020)</w:t>
      </w:r>
    </w:p>
    <w:p w14:paraId="4EBDD329" w14:textId="5A819563" w:rsidR="00C77BF3" w:rsidRPr="00B031A0" w:rsidRDefault="00115699">
      <w:pPr>
        <w:rPr>
          <w:rFonts w:ascii="Arial" w:hAnsi="Arial" w:cs="Arial"/>
          <w:color w:val="000000" w:themeColor="text1"/>
        </w:rPr>
      </w:pPr>
      <w:r w:rsidRPr="00B031A0">
        <w:rPr>
          <w:rFonts w:ascii="Arial" w:hAnsi="Arial" w:cs="Arial"/>
          <w:color w:val="000000" w:themeColor="text1"/>
        </w:rPr>
        <w:t xml:space="preserve">In their journal article on preventing intra-hospital infection and transmission of COVID-19 in healthcare workers, Hoe GAN </w:t>
      </w:r>
      <w:r w:rsidR="00776C49" w:rsidRPr="00B031A0">
        <w:rPr>
          <w:rFonts w:ascii="Arial" w:hAnsi="Arial" w:cs="Arial"/>
          <w:color w:val="000000" w:themeColor="text1"/>
        </w:rPr>
        <w:t>et al</w:t>
      </w:r>
      <w:r w:rsidRPr="00B031A0">
        <w:rPr>
          <w:rFonts w:ascii="Arial" w:hAnsi="Arial" w:cs="Arial"/>
          <w:color w:val="000000" w:themeColor="text1"/>
        </w:rPr>
        <w:t xml:space="preserve">. (2020) mention that the Systems </w:t>
      </w:r>
      <w:r w:rsidRPr="00B031A0">
        <w:rPr>
          <w:rFonts w:ascii="Arial" w:hAnsi="Arial" w:cs="Arial"/>
          <w:color w:val="000000" w:themeColor="text1"/>
        </w:rPr>
        <w:lastRenderedPageBreak/>
        <w:t xml:space="preserve">Engineering Initiative for Patient Safety (SEIPS) Model adopts the systems perspective of healthcare in that the authors recognise that </w:t>
      </w:r>
      <w:r w:rsidR="00F74F31">
        <w:rPr>
          <w:rFonts w:ascii="Arial" w:hAnsi="Arial" w:cs="Arial"/>
          <w:color w:val="000000" w:themeColor="text1"/>
        </w:rPr>
        <w:t xml:space="preserve">the </w:t>
      </w:r>
      <w:r w:rsidRPr="00B031A0">
        <w:rPr>
          <w:rFonts w:ascii="Arial" w:hAnsi="Arial" w:cs="Arial"/>
          <w:color w:val="000000" w:themeColor="text1"/>
        </w:rPr>
        <w:t xml:space="preserve">performance of care was an outcome of people-to-people, people-to-task, and people-to-technology derived interactions combined with organisational structures and </w:t>
      </w:r>
      <w:r w:rsidR="00F74F31">
        <w:rPr>
          <w:rFonts w:ascii="Arial" w:hAnsi="Arial" w:cs="Arial"/>
          <w:color w:val="000000" w:themeColor="text1"/>
        </w:rPr>
        <w:t xml:space="preserve">the </w:t>
      </w:r>
      <w:r w:rsidRPr="00B031A0">
        <w:rPr>
          <w:rFonts w:ascii="Arial" w:hAnsi="Arial" w:cs="Arial"/>
          <w:color w:val="000000" w:themeColor="text1"/>
        </w:rPr>
        <w:t xml:space="preserve">physical work environment. Patient Safety Systems (SEIPS) imply that individuals do not cause a lack of good hand hygiene, but </w:t>
      </w:r>
      <w:r w:rsidR="00F74F31">
        <w:rPr>
          <w:rFonts w:ascii="Arial" w:hAnsi="Arial" w:cs="Arial"/>
          <w:color w:val="000000" w:themeColor="text1"/>
        </w:rPr>
        <w:t>rather</w:t>
      </w:r>
      <w:r w:rsidRPr="00B031A0">
        <w:rPr>
          <w:rFonts w:ascii="Arial" w:hAnsi="Arial" w:cs="Arial"/>
          <w:color w:val="000000" w:themeColor="text1"/>
        </w:rPr>
        <w:t xml:space="preserve"> that health systems are not well organised in general (Ayo-Farai </w:t>
      </w:r>
      <w:r w:rsidR="00776C49" w:rsidRPr="00B031A0">
        <w:rPr>
          <w:rFonts w:ascii="Arial" w:hAnsi="Arial" w:cs="Arial"/>
          <w:color w:val="000000" w:themeColor="text1"/>
        </w:rPr>
        <w:t>et al</w:t>
      </w:r>
      <w:r w:rsidRPr="00B031A0">
        <w:rPr>
          <w:rFonts w:ascii="Arial" w:hAnsi="Arial" w:cs="Arial"/>
          <w:color w:val="000000" w:themeColor="text1"/>
        </w:rPr>
        <w:t>., 2024).</w:t>
      </w:r>
    </w:p>
    <w:p w14:paraId="2A411031" w14:textId="76F61B48" w:rsidR="00C77BF3" w:rsidRPr="00B031A0" w:rsidRDefault="00115699">
      <w:pPr>
        <w:rPr>
          <w:rFonts w:ascii="Arial" w:hAnsi="Arial" w:cs="Arial"/>
          <w:color w:val="000000" w:themeColor="text1"/>
        </w:rPr>
      </w:pPr>
      <w:r w:rsidRPr="00B031A0">
        <w:rPr>
          <w:rFonts w:ascii="Arial" w:hAnsi="Arial" w:cs="Arial"/>
          <w:color w:val="000000" w:themeColor="text1"/>
        </w:rPr>
        <w:t xml:space="preserve">Nevertheless, there are also some drawbacks to Patient Safety Systems (SEIPS). It is general in its orientation, and therefore there is greater complexity of empirical measurement as it requires the estimation of so many interacting organisational variables simultaneously (Ayo-Farai </w:t>
      </w:r>
      <w:r w:rsidR="00776C49" w:rsidRPr="00B031A0">
        <w:rPr>
          <w:rFonts w:ascii="Arial" w:hAnsi="Arial" w:cs="Arial"/>
          <w:color w:val="000000" w:themeColor="text1"/>
        </w:rPr>
        <w:t>et al</w:t>
      </w:r>
      <w:r w:rsidRPr="00B031A0">
        <w:rPr>
          <w:rFonts w:ascii="Arial" w:hAnsi="Arial" w:cs="Arial"/>
          <w:color w:val="000000" w:themeColor="text1"/>
        </w:rPr>
        <w:t xml:space="preserve">., 2024). Otherwise, </w:t>
      </w:r>
      <w:r w:rsidR="00F74F31" w:rsidRPr="00B031A0">
        <w:rPr>
          <w:rFonts w:ascii="Arial" w:hAnsi="Arial" w:cs="Arial"/>
          <w:color w:val="000000" w:themeColor="text1"/>
        </w:rPr>
        <w:t xml:space="preserve">unlike </w:t>
      </w:r>
      <w:r w:rsidR="00F74F31">
        <w:rPr>
          <w:rFonts w:ascii="Arial" w:hAnsi="Arial" w:cs="Arial"/>
          <w:color w:val="000000" w:themeColor="text1"/>
        </w:rPr>
        <w:t xml:space="preserve">the </w:t>
      </w:r>
      <w:r w:rsidR="00F74F31" w:rsidRPr="00B031A0">
        <w:rPr>
          <w:rFonts w:ascii="Arial" w:hAnsi="Arial" w:cs="Arial"/>
          <w:color w:val="000000" w:themeColor="text1"/>
        </w:rPr>
        <w:t>Health</w:t>
      </w:r>
      <w:r w:rsidRPr="00B031A0">
        <w:rPr>
          <w:rFonts w:ascii="Arial" w:hAnsi="Arial" w:cs="Arial"/>
          <w:color w:val="000000" w:themeColor="text1"/>
        </w:rPr>
        <w:t xml:space="preserve"> Belief Model (HBM) and Theory of Planned Behaviour (TPB), which generate comparatively straightforward predictions regarding behaviour, Fabre </w:t>
      </w:r>
      <w:r w:rsidR="00776C49" w:rsidRPr="00B031A0">
        <w:rPr>
          <w:rFonts w:ascii="Arial" w:hAnsi="Arial" w:cs="Arial"/>
          <w:color w:val="000000" w:themeColor="text1"/>
        </w:rPr>
        <w:t>et al</w:t>
      </w:r>
      <w:r w:rsidRPr="00B031A0">
        <w:rPr>
          <w:rFonts w:ascii="Arial" w:hAnsi="Arial" w:cs="Arial"/>
          <w:color w:val="000000" w:themeColor="text1"/>
        </w:rPr>
        <w:t>. (2024) suggest that Patient Safety Systems (SEIPS)</w:t>
      </w:r>
      <w:r w:rsidR="00F74F31">
        <w:rPr>
          <w:rFonts w:ascii="Arial" w:hAnsi="Arial" w:cs="Arial"/>
          <w:color w:val="000000" w:themeColor="text1"/>
        </w:rPr>
        <w:t xml:space="preserve"> require</w:t>
      </w:r>
      <w:r w:rsidRPr="00B031A0">
        <w:rPr>
          <w:rFonts w:ascii="Arial" w:hAnsi="Arial" w:cs="Arial"/>
          <w:color w:val="000000" w:themeColor="text1"/>
        </w:rPr>
        <w:t xml:space="preserve"> intensive organisational analysis that can vary dramatically in nature across hospitals. This makes it difficult to determine the independent input of </w:t>
      </w:r>
      <w:r w:rsidR="00F74F31" w:rsidRPr="00B031A0">
        <w:rPr>
          <w:rFonts w:ascii="Arial" w:hAnsi="Arial" w:cs="Arial"/>
          <w:color w:val="000000" w:themeColor="text1"/>
        </w:rPr>
        <w:t>system</w:t>
      </w:r>
      <w:r w:rsidRPr="00B031A0">
        <w:rPr>
          <w:rFonts w:ascii="Arial" w:hAnsi="Arial" w:cs="Arial"/>
          <w:color w:val="000000" w:themeColor="text1"/>
        </w:rPr>
        <w:t xml:space="preserve"> elements. Nevertheless, its holistic style presents an explanatory force with more strength to learn about infection prevention within the intricate National Health Service (NHS) setting (Sandu </w:t>
      </w:r>
      <w:r w:rsidR="00776C49" w:rsidRPr="00B031A0">
        <w:rPr>
          <w:rFonts w:ascii="Arial" w:hAnsi="Arial" w:cs="Arial"/>
          <w:color w:val="000000" w:themeColor="text1"/>
        </w:rPr>
        <w:t>et al</w:t>
      </w:r>
      <w:r w:rsidRPr="00B031A0">
        <w:rPr>
          <w:rFonts w:ascii="Arial" w:hAnsi="Arial" w:cs="Arial"/>
          <w:color w:val="000000" w:themeColor="text1"/>
        </w:rPr>
        <w:t xml:space="preserve">. 2025). </w:t>
      </w:r>
    </w:p>
    <w:p w14:paraId="1D16EB77" w14:textId="77777777" w:rsidR="00C77BF3" w:rsidRPr="00B031A0" w:rsidRDefault="00115699" w:rsidP="00F74F31">
      <w:pPr>
        <w:pStyle w:val="Heading1"/>
        <w:jc w:val="both"/>
      </w:pPr>
      <w:bookmarkStart w:id="22" w:name="_Toc240208802"/>
      <w:r w:rsidRPr="00B031A0">
        <w:t>2.6 Summary</w:t>
      </w:r>
      <w:bookmarkEnd w:id="22"/>
      <w:r w:rsidRPr="00B031A0">
        <w:t xml:space="preserve"> </w:t>
      </w:r>
    </w:p>
    <w:p w14:paraId="1353E889" w14:textId="7BB650D4" w:rsidR="00C77BF3" w:rsidRPr="00B031A0" w:rsidRDefault="00115699">
      <w:pPr>
        <w:rPr>
          <w:rFonts w:ascii="Arial" w:hAnsi="Arial" w:cs="Arial"/>
          <w:color w:val="000000" w:themeColor="text1"/>
        </w:rPr>
      </w:pPr>
      <w:r w:rsidRPr="00B031A0">
        <w:rPr>
          <w:rFonts w:ascii="Arial" w:hAnsi="Arial" w:cs="Arial"/>
          <w:color w:val="000000" w:themeColor="text1"/>
        </w:rPr>
        <w:t xml:space="preserve">The chapter critically evaluated the literature available </w:t>
      </w:r>
      <w:r w:rsidR="00F74F31" w:rsidRPr="00B031A0">
        <w:rPr>
          <w:rFonts w:ascii="Arial" w:hAnsi="Arial" w:cs="Arial"/>
          <w:color w:val="000000" w:themeColor="text1"/>
        </w:rPr>
        <w:t>about compliance</w:t>
      </w:r>
      <w:r w:rsidRPr="00B031A0">
        <w:rPr>
          <w:rFonts w:ascii="Arial" w:hAnsi="Arial" w:cs="Arial"/>
          <w:color w:val="000000" w:themeColor="text1"/>
        </w:rPr>
        <w:t xml:space="preserve"> with hand hygiene among nurses and healthcare-associated infections in hospitals in the UK. It has </w:t>
      </w:r>
      <w:r w:rsidR="00F74F31">
        <w:rPr>
          <w:rFonts w:ascii="Arial" w:hAnsi="Arial" w:cs="Arial"/>
          <w:color w:val="000000" w:themeColor="text1"/>
        </w:rPr>
        <w:t>discussed</w:t>
      </w:r>
      <w:r w:rsidRPr="00B031A0">
        <w:rPr>
          <w:rFonts w:ascii="Arial" w:hAnsi="Arial" w:cs="Arial"/>
          <w:color w:val="000000" w:themeColor="text1"/>
        </w:rPr>
        <w:t xml:space="preserve"> the most important categorisations of Healthcare-Associated Infections (HCAIs), has analysed the most important determinants of compliance and has said what various interventions do </w:t>
      </w:r>
      <w:r w:rsidR="00F74F31">
        <w:rPr>
          <w:rFonts w:ascii="Arial" w:hAnsi="Arial" w:cs="Arial"/>
          <w:color w:val="000000" w:themeColor="text1"/>
        </w:rPr>
        <w:t>for</w:t>
      </w:r>
      <w:r w:rsidRPr="00B031A0">
        <w:rPr>
          <w:rFonts w:ascii="Arial" w:hAnsi="Arial" w:cs="Arial"/>
          <w:color w:val="000000" w:themeColor="text1"/>
        </w:rPr>
        <w:t xml:space="preserve"> hand hygiene and how effective they are. The chapter has also identified key gaps in the current evidence base and has stated the theoretical base on which this systematic review is based: the Health Belief Model, Theory of Planned Behaviour and Patient Safety Systems (SEIPS) </w:t>
      </w:r>
      <w:r w:rsidR="009A0698">
        <w:rPr>
          <w:rFonts w:ascii="Arial" w:hAnsi="Arial" w:cs="Arial"/>
          <w:color w:val="000000" w:themeColor="text1"/>
        </w:rPr>
        <w:t>Model</w:t>
      </w:r>
      <w:r w:rsidRPr="00B031A0">
        <w:rPr>
          <w:rFonts w:ascii="Arial" w:hAnsi="Arial" w:cs="Arial"/>
          <w:color w:val="000000" w:themeColor="text1"/>
        </w:rPr>
        <w:t xml:space="preserve">. </w:t>
      </w:r>
      <w:r w:rsidRPr="00B031A0">
        <w:rPr>
          <w:rFonts w:ascii="Arial" w:hAnsi="Arial" w:cs="Arial"/>
          <w:color w:val="000000" w:themeColor="text1"/>
        </w:rPr>
        <w:tab/>
        <w:t xml:space="preserve"> </w:t>
      </w:r>
    </w:p>
    <w:p w14:paraId="150C7B02" w14:textId="77777777" w:rsidR="00C77BF3" w:rsidRPr="00B031A0" w:rsidRDefault="00115699">
      <w:pPr>
        <w:rPr>
          <w:rFonts w:ascii="Arial" w:hAnsi="Arial" w:cs="Arial"/>
          <w:b/>
          <w:bCs/>
          <w:color w:val="000000" w:themeColor="text1"/>
          <w:sz w:val="28"/>
          <w:szCs w:val="28"/>
        </w:rPr>
      </w:pPr>
      <w:r w:rsidRPr="00B031A0">
        <w:rPr>
          <w:rFonts w:ascii="Arial" w:hAnsi="Arial" w:cs="Arial"/>
          <w:color w:val="000000" w:themeColor="text1"/>
        </w:rPr>
        <w:br w:type="page"/>
      </w:r>
    </w:p>
    <w:p w14:paraId="1AD7A7C9" w14:textId="32FB749A" w:rsidR="00C77BF3" w:rsidRPr="00B031A0" w:rsidRDefault="00115699">
      <w:pPr>
        <w:pStyle w:val="Heading1"/>
        <w:rPr>
          <w:color w:val="000000" w:themeColor="text1"/>
        </w:rPr>
      </w:pPr>
      <w:bookmarkStart w:id="23" w:name="_Toc240208803"/>
      <w:r w:rsidRPr="00B031A0">
        <w:rPr>
          <w:color w:val="000000" w:themeColor="text1"/>
        </w:rPr>
        <w:lastRenderedPageBreak/>
        <w:t xml:space="preserve">Chapter 3: Methods </w:t>
      </w:r>
      <w:r w:rsidR="00B031A0">
        <w:rPr>
          <w:color w:val="000000" w:themeColor="text1"/>
        </w:rPr>
        <w:t>And</w:t>
      </w:r>
      <w:r w:rsidRPr="00B031A0">
        <w:rPr>
          <w:color w:val="000000" w:themeColor="text1"/>
        </w:rPr>
        <w:t xml:space="preserve"> Methodology</w:t>
      </w:r>
      <w:bookmarkEnd w:id="23"/>
    </w:p>
    <w:p w14:paraId="5E4C9C5D" w14:textId="77777777" w:rsidR="00C77BF3" w:rsidRPr="00B031A0" w:rsidRDefault="00115699" w:rsidP="00CF15B6">
      <w:pPr>
        <w:pStyle w:val="Heading1"/>
        <w:jc w:val="both"/>
      </w:pPr>
      <w:bookmarkStart w:id="24" w:name="_Toc240208804"/>
      <w:r w:rsidRPr="00B031A0">
        <w:t>3.1 Introduction</w:t>
      </w:r>
      <w:bookmarkEnd w:id="24"/>
      <w:r w:rsidRPr="00B031A0">
        <w:t xml:space="preserve"> </w:t>
      </w:r>
    </w:p>
    <w:p w14:paraId="3C178D87" w14:textId="05669671" w:rsidR="00C77BF3" w:rsidRPr="00B031A0" w:rsidRDefault="00115699">
      <w:pPr>
        <w:rPr>
          <w:rFonts w:ascii="Arial" w:hAnsi="Arial" w:cs="Arial"/>
          <w:color w:val="000000" w:themeColor="text1"/>
        </w:rPr>
      </w:pPr>
      <w:r w:rsidRPr="00B031A0">
        <w:rPr>
          <w:rFonts w:ascii="Arial" w:hAnsi="Arial" w:cs="Arial"/>
          <w:color w:val="000000" w:themeColor="text1"/>
        </w:rPr>
        <w:t xml:space="preserve">The chapter will provide an overview of the research methodology used to achieve the aim and objective of this systematic review. The in-depth discussion will include research philosophy, ethical issues, research approach, research strategy, and study design to inform the literature review. It will also explain the methods of data collection, which include search strategy, research question formulation, the PICO framework and </w:t>
      </w:r>
      <w:r w:rsidR="002E1234">
        <w:rPr>
          <w:rFonts w:ascii="Arial" w:hAnsi="Arial" w:cs="Arial"/>
          <w:color w:val="000000" w:themeColor="text1"/>
        </w:rPr>
        <w:t xml:space="preserve">the </w:t>
      </w:r>
      <w:r w:rsidRPr="00B031A0">
        <w:rPr>
          <w:rFonts w:ascii="Arial" w:hAnsi="Arial" w:cs="Arial"/>
          <w:color w:val="000000" w:themeColor="text1"/>
        </w:rPr>
        <w:t>database search process</w:t>
      </w:r>
      <w:r w:rsidR="00E64EBD">
        <w:rPr>
          <w:rFonts w:ascii="Arial" w:hAnsi="Arial" w:cs="Arial"/>
          <w:color w:val="000000" w:themeColor="text1"/>
        </w:rPr>
        <w:t xml:space="preserve">. </w:t>
      </w:r>
      <w:r w:rsidRPr="00B031A0">
        <w:rPr>
          <w:rFonts w:ascii="Arial" w:hAnsi="Arial" w:cs="Arial"/>
          <w:color w:val="000000" w:themeColor="text1"/>
        </w:rPr>
        <w:t xml:space="preserve">The chapter will also include hand search, grey literature, and inclusion and exclusion criteria </w:t>
      </w:r>
      <w:r w:rsidR="002E1234">
        <w:rPr>
          <w:rFonts w:ascii="Arial" w:hAnsi="Arial" w:cs="Arial"/>
          <w:color w:val="000000" w:themeColor="text1"/>
        </w:rPr>
        <w:t>for</w:t>
      </w:r>
      <w:r w:rsidRPr="00B031A0">
        <w:rPr>
          <w:rFonts w:ascii="Arial" w:hAnsi="Arial" w:cs="Arial"/>
          <w:color w:val="000000" w:themeColor="text1"/>
        </w:rPr>
        <w:t xml:space="preserve"> the analysis. At the end of the study, PRISMA analysis will include factors that influence the selection process to establish a successful and sufficient systematic review. </w:t>
      </w:r>
    </w:p>
    <w:p w14:paraId="6E9D438A" w14:textId="77777777" w:rsidR="00C77BF3" w:rsidRPr="00B031A0" w:rsidRDefault="00115699" w:rsidP="00CF15B6">
      <w:pPr>
        <w:pStyle w:val="Heading1"/>
        <w:jc w:val="both"/>
      </w:pPr>
      <w:bookmarkStart w:id="25" w:name="_Toc240208805"/>
      <w:r w:rsidRPr="00B031A0">
        <w:t>3.2 Research Philosophy</w:t>
      </w:r>
      <w:bookmarkEnd w:id="25"/>
      <w:r w:rsidRPr="00B031A0">
        <w:t xml:space="preserve"> </w:t>
      </w:r>
    </w:p>
    <w:p w14:paraId="487825E1" w14:textId="57E64918" w:rsidR="004E2B90" w:rsidRPr="004E2B90" w:rsidRDefault="004E2B90" w:rsidP="004E2B90">
      <w:pPr>
        <w:rPr>
          <w:rFonts w:ascii="Arial" w:hAnsi="Arial" w:cs="Arial"/>
          <w:color w:val="000000" w:themeColor="text1"/>
          <w:lang w:val="en-US"/>
        </w:rPr>
      </w:pPr>
      <w:r w:rsidRPr="004E2B90">
        <w:rPr>
          <w:rFonts w:ascii="Arial" w:hAnsi="Arial" w:cs="Arial"/>
          <w:color w:val="000000" w:themeColor="text1"/>
          <w:lang w:val="en-US"/>
        </w:rPr>
        <w:t xml:space="preserve">The philosophy of research provides a theoretical basis for how knowledge is created and influences the selection of appropriate research approaches (Saliya, 2023). Epistemology concerns </w:t>
      </w:r>
      <w:r w:rsidR="00A17FF8">
        <w:rPr>
          <w:rFonts w:ascii="Arial" w:hAnsi="Arial" w:cs="Arial"/>
          <w:color w:val="000000" w:themeColor="text1"/>
          <w:lang w:val="en-US"/>
        </w:rPr>
        <w:t>nature</w:t>
      </w:r>
      <w:r w:rsidRPr="004E2B90">
        <w:rPr>
          <w:rFonts w:ascii="Arial" w:hAnsi="Arial" w:cs="Arial"/>
          <w:color w:val="000000" w:themeColor="text1"/>
          <w:lang w:val="en-US"/>
        </w:rPr>
        <w:t xml:space="preserve"> and sources of knowledge, while ontology relates to the nature of reality and how it is understood (Rosida et al., 2023). Different research paradigms, including positivism, interpretivism, and pragmatism, provide different perspectives on the research process (Dulal, 2025).</w:t>
      </w:r>
    </w:p>
    <w:p w14:paraId="657F7868" w14:textId="49CC0740" w:rsidR="00C77BF3" w:rsidRPr="004E2B90" w:rsidRDefault="004E2B90">
      <w:pPr>
        <w:rPr>
          <w:rFonts w:ascii="Arial" w:hAnsi="Arial" w:cs="Arial"/>
          <w:color w:val="000000" w:themeColor="text1"/>
          <w:lang w:val="en-US"/>
        </w:rPr>
      </w:pPr>
      <w:r w:rsidRPr="004E2B90">
        <w:rPr>
          <w:rFonts w:ascii="Arial" w:hAnsi="Arial" w:cs="Arial"/>
          <w:color w:val="000000" w:themeColor="text1"/>
        </w:rPr>
        <w:t>The systematic review used a structured approach to identify, select, and synthesise evidence from previously published studies</w:t>
      </w:r>
      <w:r w:rsidR="00E64EBD">
        <w:rPr>
          <w:rFonts w:ascii="Arial" w:hAnsi="Arial" w:cs="Arial"/>
          <w:color w:val="000000" w:themeColor="text1"/>
        </w:rPr>
        <w:t xml:space="preserve"> </w:t>
      </w:r>
      <w:r w:rsidR="00E64EBD" w:rsidRPr="004E2B90">
        <w:rPr>
          <w:rFonts w:ascii="Arial" w:hAnsi="Arial" w:cs="Arial"/>
          <w:color w:val="000000" w:themeColor="text1"/>
          <w:lang w:val="en-US"/>
        </w:rPr>
        <w:t>(Saliya, 2023)</w:t>
      </w:r>
      <w:r w:rsidRPr="004E2B90">
        <w:rPr>
          <w:rFonts w:ascii="Arial" w:hAnsi="Arial" w:cs="Arial"/>
          <w:color w:val="000000" w:themeColor="text1"/>
        </w:rPr>
        <w:t>. A predefined search strategy was applied across the selected databases, followed by the application of inclusion and exclusion criteria to determine study eligibility</w:t>
      </w:r>
      <w:r w:rsidR="00E64EBD">
        <w:rPr>
          <w:rFonts w:ascii="Arial" w:hAnsi="Arial" w:cs="Arial"/>
          <w:color w:val="000000" w:themeColor="text1"/>
        </w:rPr>
        <w:t xml:space="preserve"> </w:t>
      </w:r>
      <w:r w:rsidR="00E64EBD" w:rsidRPr="004E2B90">
        <w:rPr>
          <w:rFonts w:ascii="Arial" w:hAnsi="Arial" w:cs="Arial"/>
          <w:color w:val="000000" w:themeColor="text1"/>
          <w:lang w:val="en-US"/>
        </w:rPr>
        <w:t xml:space="preserve">(Rosida et al., 2023). </w:t>
      </w:r>
      <w:r w:rsidRPr="004E2B90">
        <w:rPr>
          <w:rFonts w:ascii="Arial" w:hAnsi="Arial" w:cs="Arial"/>
          <w:color w:val="000000" w:themeColor="text1"/>
        </w:rPr>
        <w:t xml:space="preserve"> The methodological quality of the included studies was also assessed using an appropriate quality assessment tool</w:t>
      </w:r>
      <w:r w:rsidR="00E64EBD">
        <w:rPr>
          <w:rFonts w:ascii="Arial" w:hAnsi="Arial" w:cs="Arial"/>
          <w:color w:val="000000" w:themeColor="text1"/>
        </w:rPr>
        <w:t xml:space="preserve"> </w:t>
      </w:r>
      <w:r w:rsidR="00E64EBD" w:rsidRPr="004E2B90">
        <w:rPr>
          <w:rFonts w:ascii="Arial" w:hAnsi="Arial" w:cs="Arial"/>
          <w:color w:val="000000" w:themeColor="text1"/>
          <w:lang w:val="en-US"/>
        </w:rPr>
        <w:t>(Saliya, 2023)</w:t>
      </w:r>
      <w:r w:rsidRPr="004E2B90">
        <w:rPr>
          <w:rFonts w:ascii="Arial" w:hAnsi="Arial" w:cs="Arial"/>
          <w:color w:val="000000" w:themeColor="text1"/>
        </w:rPr>
        <w:t>. This approach provided a consistent process for examining evidence on smoking behaviour, lung cancer onset, and early detection among older adults in the UK</w:t>
      </w:r>
      <w:r w:rsidRPr="004E2B90">
        <w:rPr>
          <w:rFonts w:ascii="Arial" w:hAnsi="Arial" w:cs="Arial"/>
          <w:color w:val="000000" w:themeColor="text1"/>
          <w:lang w:val="en-US"/>
        </w:rPr>
        <w:t>.</w:t>
      </w:r>
    </w:p>
    <w:p w14:paraId="663B1508" w14:textId="0EB18908" w:rsidR="00C77BF3" w:rsidRPr="00B031A0" w:rsidRDefault="00115699" w:rsidP="00CF15B6">
      <w:pPr>
        <w:pStyle w:val="Heading1"/>
        <w:jc w:val="both"/>
      </w:pPr>
      <w:bookmarkStart w:id="26" w:name="_Toc240208806"/>
      <w:r w:rsidRPr="00B031A0">
        <w:t xml:space="preserve">3.3 Ethical </w:t>
      </w:r>
      <w:r w:rsidR="002E1234">
        <w:t>Considerations</w:t>
      </w:r>
      <w:bookmarkEnd w:id="26"/>
      <w:r w:rsidRPr="00B031A0">
        <w:t xml:space="preserve"> </w:t>
      </w:r>
    </w:p>
    <w:p w14:paraId="03A2B94A" w14:textId="54E5BE71" w:rsidR="00C77BF3" w:rsidRPr="00B031A0" w:rsidRDefault="00115699">
      <w:pPr>
        <w:rPr>
          <w:rFonts w:ascii="Arial" w:hAnsi="Arial" w:cs="Arial"/>
          <w:color w:val="000000" w:themeColor="text1"/>
        </w:rPr>
      </w:pPr>
      <w:r w:rsidRPr="00B031A0">
        <w:rPr>
          <w:rFonts w:ascii="Arial" w:hAnsi="Arial" w:cs="Arial"/>
          <w:color w:val="000000" w:themeColor="text1"/>
        </w:rPr>
        <w:t xml:space="preserve">The importance of ethical issues in research is due to the influence it has on aspects such as honesty, </w:t>
      </w:r>
      <w:r w:rsidR="00E858B2">
        <w:rPr>
          <w:rFonts w:ascii="Arial" w:hAnsi="Arial" w:cs="Arial"/>
          <w:color w:val="000000" w:themeColor="text1"/>
        </w:rPr>
        <w:t xml:space="preserve">the </w:t>
      </w:r>
      <w:r w:rsidRPr="00B031A0">
        <w:rPr>
          <w:rFonts w:ascii="Arial" w:hAnsi="Arial" w:cs="Arial"/>
          <w:color w:val="000000" w:themeColor="text1"/>
        </w:rPr>
        <w:t xml:space="preserve">reputation of research practices and protecting the rights of its subjects (Drolet </w:t>
      </w:r>
      <w:r w:rsidR="00776C49" w:rsidRPr="00B031A0">
        <w:rPr>
          <w:rFonts w:ascii="Arial" w:hAnsi="Arial" w:cs="Arial"/>
          <w:color w:val="000000" w:themeColor="text1"/>
        </w:rPr>
        <w:t>et al</w:t>
      </w:r>
      <w:r w:rsidRPr="00B031A0">
        <w:rPr>
          <w:rFonts w:ascii="Arial" w:hAnsi="Arial" w:cs="Arial"/>
          <w:color w:val="000000" w:themeColor="text1"/>
        </w:rPr>
        <w:t xml:space="preserve">., 2022). Research ethics mandates honesty, openness, </w:t>
      </w:r>
      <w:r w:rsidRPr="00B031A0">
        <w:rPr>
          <w:rFonts w:ascii="Arial" w:hAnsi="Arial" w:cs="Arial"/>
          <w:color w:val="000000" w:themeColor="text1"/>
        </w:rPr>
        <w:lastRenderedPageBreak/>
        <w:t xml:space="preserve">responsibility and accurate reporting. In this context, the researcher should apply selection criteria consistently </w:t>
      </w:r>
      <w:r w:rsidR="00E858B2">
        <w:rPr>
          <w:rFonts w:ascii="Arial" w:hAnsi="Arial" w:cs="Arial"/>
          <w:color w:val="000000" w:themeColor="text1"/>
        </w:rPr>
        <w:t>to</w:t>
      </w:r>
      <w:r w:rsidRPr="00B031A0">
        <w:rPr>
          <w:rFonts w:ascii="Arial" w:hAnsi="Arial" w:cs="Arial"/>
          <w:color w:val="000000" w:themeColor="text1"/>
        </w:rPr>
        <w:t xml:space="preserve"> </w:t>
      </w:r>
      <w:r w:rsidR="00E858B2">
        <w:rPr>
          <w:rFonts w:ascii="Arial" w:hAnsi="Arial" w:cs="Arial"/>
          <w:color w:val="000000" w:themeColor="text1"/>
        </w:rPr>
        <w:t>minimise</w:t>
      </w:r>
      <w:r w:rsidRPr="00B031A0">
        <w:rPr>
          <w:rFonts w:ascii="Arial" w:hAnsi="Arial" w:cs="Arial"/>
          <w:color w:val="000000" w:themeColor="text1"/>
        </w:rPr>
        <w:t xml:space="preserve"> bias (</w:t>
      </w:r>
      <w:proofErr w:type="spellStart"/>
      <w:r w:rsidRPr="00B031A0">
        <w:rPr>
          <w:rFonts w:ascii="Arial" w:hAnsi="Arial" w:cs="Arial"/>
          <w:color w:val="000000" w:themeColor="text1"/>
        </w:rPr>
        <w:t>Zhaksylyk</w:t>
      </w:r>
      <w:proofErr w:type="spellEnd"/>
      <w:r w:rsidRPr="00B031A0">
        <w:rPr>
          <w:rFonts w:ascii="Arial" w:hAnsi="Arial" w:cs="Arial"/>
          <w:color w:val="000000" w:themeColor="text1"/>
        </w:rPr>
        <w:t xml:space="preserve"> </w:t>
      </w:r>
      <w:r w:rsidR="00776C49" w:rsidRPr="00B031A0">
        <w:rPr>
          <w:rFonts w:ascii="Arial" w:hAnsi="Arial" w:cs="Arial"/>
          <w:color w:val="000000" w:themeColor="text1"/>
        </w:rPr>
        <w:t>et al</w:t>
      </w:r>
      <w:r w:rsidRPr="00B031A0">
        <w:rPr>
          <w:rFonts w:ascii="Arial" w:hAnsi="Arial" w:cs="Arial"/>
          <w:color w:val="000000" w:themeColor="text1"/>
        </w:rPr>
        <w:t xml:space="preserve">., 2023). Openness is also crucial in ensuring reproducibility (Brignardello-Petersen, </w:t>
      </w:r>
      <w:proofErr w:type="spellStart"/>
      <w:r w:rsidRPr="00B031A0">
        <w:rPr>
          <w:rFonts w:ascii="Arial" w:hAnsi="Arial" w:cs="Arial"/>
          <w:color w:val="000000" w:themeColor="text1"/>
        </w:rPr>
        <w:t>Santesso</w:t>
      </w:r>
      <w:proofErr w:type="spellEnd"/>
      <w:r w:rsidRPr="00B031A0">
        <w:rPr>
          <w:rFonts w:ascii="Arial" w:hAnsi="Arial" w:cs="Arial"/>
          <w:color w:val="000000" w:themeColor="text1"/>
        </w:rPr>
        <w:t xml:space="preserve"> and Guyatt, 2024). As the research was based solely on published literature, ethical approval was not needed. Ethical approval was not obtained for this systematic review since it relies only on the already published literature and does not include information from primary sources (Sonni </w:t>
      </w:r>
      <w:r w:rsidR="00776C49" w:rsidRPr="00B031A0">
        <w:rPr>
          <w:rFonts w:ascii="Arial" w:hAnsi="Arial" w:cs="Arial"/>
          <w:color w:val="000000" w:themeColor="text1"/>
        </w:rPr>
        <w:t>et al</w:t>
      </w:r>
      <w:r w:rsidRPr="00B031A0">
        <w:rPr>
          <w:rFonts w:ascii="Arial" w:hAnsi="Arial" w:cs="Arial"/>
          <w:color w:val="000000" w:themeColor="text1"/>
        </w:rPr>
        <w:t xml:space="preserve">., 2024). Ethical issues were fully addressed </w:t>
      </w:r>
      <w:r w:rsidR="00E858B2">
        <w:rPr>
          <w:rFonts w:ascii="Arial" w:hAnsi="Arial" w:cs="Arial"/>
          <w:color w:val="000000" w:themeColor="text1"/>
        </w:rPr>
        <w:t>through</w:t>
      </w:r>
      <w:r w:rsidRPr="00B031A0">
        <w:rPr>
          <w:rFonts w:ascii="Arial" w:hAnsi="Arial" w:cs="Arial"/>
          <w:color w:val="000000" w:themeColor="text1"/>
        </w:rPr>
        <w:t xml:space="preserve"> sub-strategies such as </w:t>
      </w:r>
      <w:r w:rsidR="00E858B2">
        <w:rPr>
          <w:rFonts w:ascii="Arial" w:hAnsi="Arial" w:cs="Arial"/>
          <w:color w:val="000000" w:themeColor="text1"/>
        </w:rPr>
        <w:t>developing</w:t>
      </w:r>
      <w:r w:rsidRPr="00B031A0">
        <w:rPr>
          <w:rFonts w:ascii="Arial" w:hAnsi="Arial" w:cs="Arial"/>
          <w:color w:val="000000" w:themeColor="text1"/>
        </w:rPr>
        <w:t xml:space="preserve"> the search strategy, applying the inclusion and exclusion criteria in a consistent way and making sure that the results are presented accurately. </w:t>
      </w:r>
    </w:p>
    <w:p w14:paraId="14AAF625" w14:textId="77777777" w:rsidR="00C77BF3" w:rsidRPr="00B031A0" w:rsidRDefault="00115699" w:rsidP="00CF15B6">
      <w:pPr>
        <w:pStyle w:val="Heading1"/>
        <w:jc w:val="both"/>
      </w:pPr>
      <w:bookmarkStart w:id="27" w:name="_Toc240208807"/>
      <w:r w:rsidRPr="00B031A0">
        <w:t>3.4 Research Approach</w:t>
      </w:r>
      <w:bookmarkEnd w:id="27"/>
      <w:r w:rsidRPr="00B031A0">
        <w:t xml:space="preserve"> </w:t>
      </w:r>
    </w:p>
    <w:p w14:paraId="7DB1ADFF" w14:textId="10CD3632" w:rsidR="00C77BF3" w:rsidRPr="00B031A0" w:rsidRDefault="00115699">
      <w:pPr>
        <w:spacing w:after="200"/>
        <w:rPr>
          <w:rFonts w:ascii="Arial" w:hAnsi="Arial" w:cs="Arial"/>
          <w:color w:val="000000" w:themeColor="text1"/>
        </w:rPr>
      </w:pPr>
      <w:r w:rsidRPr="00B031A0">
        <w:rPr>
          <w:rFonts w:ascii="Arial" w:hAnsi="Arial" w:cs="Arial"/>
          <w:color w:val="000000" w:themeColor="text1"/>
        </w:rPr>
        <w:t xml:space="preserve">Research approaches offer a general structure for executing a study and are chosen based on research goals and the kind of proof needed (Simsek </w:t>
      </w:r>
      <w:r w:rsidR="00776C49" w:rsidRPr="00B031A0">
        <w:rPr>
          <w:rFonts w:ascii="Arial" w:hAnsi="Arial" w:cs="Arial"/>
          <w:color w:val="000000" w:themeColor="text1"/>
        </w:rPr>
        <w:t>et al</w:t>
      </w:r>
      <w:r w:rsidRPr="00B031A0">
        <w:rPr>
          <w:rFonts w:ascii="Arial" w:hAnsi="Arial" w:cs="Arial"/>
          <w:color w:val="000000" w:themeColor="text1"/>
        </w:rPr>
        <w:t xml:space="preserve">., 2024). The three major types of approaches are quantitative research, qualitative research and systematic review. Quantitative research concentrates on gathering and analysing statistical information to determine relationships and shake hypothesis (Simsek </w:t>
      </w:r>
      <w:r w:rsidR="00776C49" w:rsidRPr="00B031A0">
        <w:rPr>
          <w:rFonts w:ascii="Arial" w:hAnsi="Arial" w:cs="Arial"/>
          <w:color w:val="000000" w:themeColor="text1"/>
        </w:rPr>
        <w:t>et al</w:t>
      </w:r>
      <w:r w:rsidRPr="00B031A0">
        <w:rPr>
          <w:rFonts w:ascii="Arial" w:hAnsi="Arial" w:cs="Arial"/>
          <w:color w:val="000000" w:themeColor="text1"/>
        </w:rPr>
        <w:t xml:space="preserve">., 2024). </w:t>
      </w:r>
      <w:r w:rsidR="002E1234">
        <w:rPr>
          <w:rFonts w:ascii="Arial" w:hAnsi="Arial" w:cs="Arial"/>
          <w:color w:val="000000" w:themeColor="text1"/>
        </w:rPr>
        <w:t>Qualitative</w:t>
      </w:r>
      <w:r w:rsidRPr="00B031A0">
        <w:rPr>
          <w:rFonts w:ascii="Arial" w:hAnsi="Arial" w:cs="Arial"/>
          <w:color w:val="000000" w:themeColor="text1"/>
        </w:rPr>
        <w:t xml:space="preserve"> research examines people's experiences, views, and actions using non-numerical data (Taherdoost, 2022). Systematic review (SR) means analysing previously available data using a methodology which is systematic and transparent. The current study used a systematic review approach that provided an opportunity to select, evaluate, and synthesise valuable information on the research topic (Ghosh and Choudhury, 2025). The choice of this technique is appropriate due to its ability to provide precise results, as it implies the use of many research techniques to identify criteria and methods of evaluation that reduce bias. </w:t>
      </w:r>
    </w:p>
    <w:p w14:paraId="246D178F" w14:textId="77777777" w:rsidR="00C77BF3" w:rsidRPr="00B031A0" w:rsidRDefault="00115699" w:rsidP="00CF15B6">
      <w:pPr>
        <w:pStyle w:val="Heading1"/>
        <w:jc w:val="both"/>
      </w:pPr>
      <w:bookmarkStart w:id="28" w:name="_Toc240208808"/>
      <w:r w:rsidRPr="00B031A0">
        <w:t>3.5 Research Strategy</w:t>
      </w:r>
      <w:bookmarkEnd w:id="28"/>
      <w:r w:rsidRPr="00B031A0">
        <w:t xml:space="preserve"> </w:t>
      </w:r>
    </w:p>
    <w:p w14:paraId="082D8F9C" w14:textId="4F9DFDAF" w:rsidR="00C77BF3" w:rsidRPr="00B031A0" w:rsidRDefault="00115699">
      <w:pPr>
        <w:rPr>
          <w:rFonts w:ascii="Arial" w:hAnsi="Arial" w:cs="Arial"/>
          <w:color w:val="000000" w:themeColor="text1"/>
        </w:rPr>
      </w:pPr>
      <w:r w:rsidRPr="00B031A0">
        <w:rPr>
          <w:rFonts w:ascii="Arial" w:hAnsi="Arial" w:cs="Arial"/>
          <w:color w:val="000000" w:themeColor="text1"/>
        </w:rPr>
        <w:t xml:space="preserve">The selected research strategy defines the logical mechanism through which knowledge is established to answer a research question. The two main types of research strategies are deductive and inductive research strategies, which are assessed to answer some of the research questions (Kumar, 2024). The deductive approach is a strategy that starts with existing theories and existing evidence; an inductive research strategy involves generating theories from findings by looking at </w:t>
      </w:r>
      <w:r w:rsidRPr="00B031A0">
        <w:rPr>
          <w:rFonts w:ascii="Arial" w:hAnsi="Arial" w:cs="Arial"/>
          <w:color w:val="000000" w:themeColor="text1"/>
        </w:rPr>
        <w:lastRenderedPageBreak/>
        <w:t xml:space="preserve">the data collected </w:t>
      </w:r>
      <w:r w:rsidR="00E858B2" w:rsidRPr="00B031A0">
        <w:rPr>
          <w:rFonts w:ascii="Arial" w:hAnsi="Arial" w:cs="Arial"/>
          <w:color w:val="000000" w:themeColor="text1"/>
        </w:rPr>
        <w:t>while</w:t>
      </w:r>
      <w:r w:rsidRPr="00B031A0">
        <w:rPr>
          <w:rFonts w:ascii="Arial" w:hAnsi="Arial" w:cs="Arial"/>
          <w:color w:val="000000" w:themeColor="text1"/>
        </w:rPr>
        <w:t xml:space="preserve"> conducting research (Laari, 2025). </w:t>
      </w:r>
      <w:r w:rsidR="00E858B2">
        <w:rPr>
          <w:rFonts w:ascii="Arial" w:hAnsi="Arial" w:cs="Arial"/>
          <w:color w:val="000000" w:themeColor="text1"/>
        </w:rPr>
        <w:t>An</w:t>
      </w:r>
      <w:r w:rsidRPr="00B031A0">
        <w:rPr>
          <w:rFonts w:ascii="Arial" w:hAnsi="Arial" w:cs="Arial"/>
          <w:color w:val="000000" w:themeColor="text1"/>
        </w:rPr>
        <w:t xml:space="preserve"> inductive research strategy was chosen in this case, as the already existing and peer-reviewed literature was used to study the relationship between the variables through </w:t>
      </w:r>
      <w:r w:rsidR="00E858B2">
        <w:rPr>
          <w:rFonts w:ascii="Arial" w:hAnsi="Arial" w:cs="Arial"/>
          <w:color w:val="000000" w:themeColor="text1"/>
        </w:rPr>
        <w:t xml:space="preserve">a </w:t>
      </w:r>
      <w:r w:rsidRPr="00B031A0">
        <w:rPr>
          <w:rFonts w:ascii="Arial" w:hAnsi="Arial" w:cs="Arial"/>
          <w:color w:val="000000" w:themeColor="text1"/>
        </w:rPr>
        <w:t xml:space="preserve">systematic review (Sauer and Seuring, 2023). </w:t>
      </w:r>
      <w:r w:rsidR="00E858B2">
        <w:rPr>
          <w:rFonts w:ascii="Arial" w:hAnsi="Arial" w:cs="Arial"/>
          <w:color w:val="000000" w:themeColor="text1"/>
        </w:rPr>
        <w:t>A</w:t>
      </w:r>
      <w:r w:rsidRPr="00B031A0">
        <w:rPr>
          <w:rFonts w:ascii="Arial" w:hAnsi="Arial" w:cs="Arial"/>
          <w:color w:val="000000" w:themeColor="text1"/>
        </w:rPr>
        <w:t xml:space="preserve"> deductive approach was not suitable in this case</w:t>
      </w:r>
      <w:r w:rsidR="00E858B2">
        <w:rPr>
          <w:rFonts w:ascii="Arial" w:hAnsi="Arial" w:cs="Arial"/>
          <w:color w:val="000000" w:themeColor="text1"/>
        </w:rPr>
        <w:t>,</w:t>
      </w:r>
      <w:r w:rsidRPr="00B031A0">
        <w:rPr>
          <w:rFonts w:ascii="Arial" w:hAnsi="Arial" w:cs="Arial"/>
          <w:color w:val="000000" w:themeColor="text1"/>
        </w:rPr>
        <w:t xml:space="preserve"> as there was no primary data collection for the purpose of creating new theories</w:t>
      </w:r>
      <w:r w:rsidR="00E858B2">
        <w:rPr>
          <w:rFonts w:ascii="Arial" w:hAnsi="Arial" w:cs="Arial"/>
          <w:color w:val="000000" w:themeColor="text1"/>
        </w:rPr>
        <w:t xml:space="preserve"> </w:t>
      </w:r>
      <w:r w:rsidR="00E858B2" w:rsidRPr="00B031A0">
        <w:rPr>
          <w:rFonts w:ascii="Arial" w:hAnsi="Arial" w:cs="Arial"/>
          <w:color w:val="000000" w:themeColor="text1"/>
        </w:rPr>
        <w:t>(Laari, 2025)</w:t>
      </w:r>
      <w:r w:rsidRPr="00B031A0">
        <w:rPr>
          <w:rFonts w:ascii="Arial" w:hAnsi="Arial" w:cs="Arial"/>
          <w:color w:val="000000" w:themeColor="text1"/>
        </w:rPr>
        <w:t xml:space="preserve">. The use of a </w:t>
      </w:r>
      <w:r w:rsidR="00E858B2">
        <w:rPr>
          <w:rFonts w:ascii="Arial" w:hAnsi="Arial" w:cs="Arial"/>
          <w:color w:val="000000" w:themeColor="text1"/>
        </w:rPr>
        <w:t>deductive</w:t>
      </w:r>
      <w:r w:rsidRPr="00B031A0">
        <w:rPr>
          <w:rFonts w:ascii="Arial" w:hAnsi="Arial" w:cs="Arial"/>
          <w:color w:val="000000" w:themeColor="text1"/>
        </w:rPr>
        <w:t xml:space="preserve"> approach allowed conducting a systematic review according to already established </w:t>
      </w:r>
      <w:r w:rsidR="00E858B2">
        <w:rPr>
          <w:rFonts w:ascii="Arial" w:hAnsi="Arial" w:cs="Arial"/>
          <w:color w:val="000000" w:themeColor="text1"/>
        </w:rPr>
        <w:t>strategies</w:t>
      </w:r>
      <w:r w:rsidRPr="00B031A0">
        <w:rPr>
          <w:rFonts w:ascii="Arial" w:hAnsi="Arial" w:cs="Arial"/>
          <w:color w:val="000000" w:themeColor="text1"/>
        </w:rPr>
        <w:t xml:space="preserve"> and criteria applied for the assessment of the studies and their quality (Sauer and Seuring, 2023). </w:t>
      </w:r>
    </w:p>
    <w:p w14:paraId="56EB1229" w14:textId="77777777" w:rsidR="00C77BF3" w:rsidRPr="00B031A0" w:rsidRDefault="00115699" w:rsidP="00CF15B6">
      <w:pPr>
        <w:pStyle w:val="Heading1"/>
        <w:jc w:val="both"/>
      </w:pPr>
      <w:bookmarkStart w:id="29" w:name="_Toc240208809"/>
      <w:r w:rsidRPr="00B031A0">
        <w:t>3.6 Study Design</w:t>
      </w:r>
      <w:bookmarkEnd w:id="29"/>
      <w:r w:rsidRPr="00B031A0">
        <w:t xml:space="preserve"> </w:t>
      </w:r>
    </w:p>
    <w:p w14:paraId="13249B78" w14:textId="29D3411F" w:rsidR="00C77BF3" w:rsidRPr="00B031A0" w:rsidRDefault="00115699">
      <w:pPr>
        <w:rPr>
          <w:rFonts w:ascii="Arial" w:hAnsi="Arial" w:cs="Arial"/>
          <w:color w:val="000000" w:themeColor="text1"/>
        </w:rPr>
      </w:pPr>
      <w:r w:rsidRPr="00B031A0">
        <w:rPr>
          <w:rFonts w:ascii="Arial" w:hAnsi="Arial" w:cs="Arial"/>
          <w:color w:val="000000" w:themeColor="text1"/>
        </w:rPr>
        <w:t xml:space="preserve">In this study, a systematic review method was adopted to comprehensively identify, assess and consolidate evidence pertaining to how nursing hand hygiene compliance in hospitals in the UK affects </w:t>
      </w:r>
      <w:r w:rsidR="00D97F86">
        <w:rPr>
          <w:rFonts w:ascii="Arial" w:hAnsi="Arial" w:cs="Arial"/>
          <w:color w:val="000000" w:themeColor="text1"/>
        </w:rPr>
        <w:t>healthcare-associated infections</w:t>
      </w:r>
      <w:r w:rsidRPr="00B031A0">
        <w:rPr>
          <w:rFonts w:ascii="Arial" w:hAnsi="Arial" w:cs="Arial"/>
          <w:color w:val="000000" w:themeColor="text1"/>
        </w:rPr>
        <w:t xml:space="preserve"> (HCAIs). Systematic review methodology is a defined and structured technique wherein a predefined research strategy is employed along with the inclusion and exclusion criteria and quality evaluation techniques to gather pertinent and reliable evidence (Brignardello-Petersen, Santesso, and Guyatt, 2024). Unlike the general literature review, which provides a holistic overview of the previous literature, a systematic review identifies the process clearly by providing the method of assessing and selecting studies. The methodology is also different from the narrative review because of the systematic approach that </w:t>
      </w:r>
      <w:r w:rsidR="00D97F86">
        <w:rPr>
          <w:rFonts w:ascii="Arial" w:hAnsi="Arial" w:cs="Arial"/>
          <w:color w:val="000000" w:themeColor="text1"/>
        </w:rPr>
        <w:t>minimises</w:t>
      </w:r>
      <w:r w:rsidRPr="00B031A0">
        <w:rPr>
          <w:rFonts w:ascii="Arial" w:hAnsi="Arial" w:cs="Arial"/>
          <w:color w:val="000000" w:themeColor="text1"/>
        </w:rPr>
        <w:t xml:space="preserve"> the subjectivity and bias involved in the selection of studies (Schwabe </w:t>
      </w:r>
      <w:r w:rsidR="00776C49" w:rsidRPr="00B031A0">
        <w:rPr>
          <w:rFonts w:ascii="Arial" w:hAnsi="Arial" w:cs="Arial"/>
          <w:color w:val="000000" w:themeColor="text1"/>
        </w:rPr>
        <w:t>et al</w:t>
      </w:r>
      <w:r w:rsidRPr="00B031A0">
        <w:rPr>
          <w:rFonts w:ascii="Arial" w:hAnsi="Arial" w:cs="Arial"/>
          <w:color w:val="000000" w:themeColor="text1"/>
        </w:rPr>
        <w:t>., 2024). The systematic review approach was used in this study because the goal of the study is to bring together evidence from different studies regarding the compliance of nursing hand hygiene and its effect on HCAIs.</w:t>
      </w:r>
    </w:p>
    <w:p w14:paraId="7E6D05A2" w14:textId="77777777" w:rsidR="00C77BF3" w:rsidRPr="00B031A0" w:rsidRDefault="00115699" w:rsidP="00E0210C">
      <w:pPr>
        <w:pStyle w:val="Heading1"/>
        <w:jc w:val="both"/>
      </w:pPr>
      <w:bookmarkStart w:id="30" w:name="_Toc240208810"/>
      <w:r w:rsidRPr="00B031A0">
        <w:t>3.7 Method of Data Collection</w:t>
      </w:r>
      <w:bookmarkEnd w:id="30"/>
      <w:r w:rsidRPr="00B031A0">
        <w:t xml:space="preserve"> </w:t>
      </w:r>
    </w:p>
    <w:p w14:paraId="377E1D26" w14:textId="77777777" w:rsidR="00C77BF3" w:rsidRPr="00B031A0" w:rsidRDefault="00115699" w:rsidP="00E0210C">
      <w:pPr>
        <w:pStyle w:val="Heading2"/>
      </w:pPr>
      <w:bookmarkStart w:id="31" w:name="_Toc240208811"/>
      <w:r w:rsidRPr="00B031A0">
        <w:t>3.7.1 Search Strategy</w:t>
      </w:r>
      <w:bookmarkEnd w:id="31"/>
      <w:r w:rsidRPr="00B031A0">
        <w:t xml:space="preserve"> </w:t>
      </w:r>
    </w:p>
    <w:p w14:paraId="7C311A09" w14:textId="3E0DB441" w:rsidR="00C77BF3" w:rsidRPr="00B031A0" w:rsidRDefault="00115699">
      <w:pPr>
        <w:rPr>
          <w:rFonts w:ascii="Arial" w:hAnsi="Arial" w:cs="Arial"/>
          <w:color w:val="000000" w:themeColor="text1"/>
        </w:rPr>
      </w:pPr>
      <w:r w:rsidRPr="00B031A0">
        <w:rPr>
          <w:rFonts w:ascii="Arial" w:hAnsi="Arial" w:cs="Arial"/>
          <w:color w:val="000000" w:themeColor="text1"/>
        </w:rPr>
        <w:t xml:space="preserve">A detailed research strategy was used to find the relevant articles to answer the research question (Hosseini </w:t>
      </w:r>
      <w:r w:rsidR="00776C49" w:rsidRPr="00B031A0">
        <w:rPr>
          <w:rFonts w:ascii="Arial" w:hAnsi="Arial" w:cs="Arial"/>
          <w:color w:val="000000" w:themeColor="text1"/>
        </w:rPr>
        <w:t>et al</w:t>
      </w:r>
      <w:r w:rsidRPr="00B031A0">
        <w:rPr>
          <w:rFonts w:ascii="Arial" w:hAnsi="Arial" w:cs="Arial"/>
          <w:color w:val="000000" w:themeColor="text1"/>
        </w:rPr>
        <w:t xml:space="preserve">., 2024). The sub-strategy was designed with the use of established keywords and controlled vocabulary so that high-quality and important information could be retrieved. The use of Boolean logic such as AND, OR, and NOT made it possible to combine different search terms and concisely implement search results (Hosseini </w:t>
      </w:r>
      <w:r w:rsidR="00776C49" w:rsidRPr="00B031A0">
        <w:rPr>
          <w:rFonts w:ascii="Arial" w:hAnsi="Arial" w:cs="Arial"/>
          <w:color w:val="000000" w:themeColor="text1"/>
        </w:rPr>
        <w:t>et al</w:t>
      </w:r>
      <w:r w:rsidRPr="00B031A0">
        <w:rPr>
          <w:rFonts w:ascii="Arial" w:hAnsi="Arial" w:cs="Arial"/>
          <w:color w:val="000000" w:themeColor="text1"/>
        </w:rPr>
        <w:t xml:space="preserve">., 2024). Search term expansion was performed, when </w:t>
      </w:r>
      <w:r w:rsidRPr="00B031A0">
        <w:rPr>
          <w:rFonts w:ascii="Arial" w:hAnsi="Arial" w:cs="Arial"/>
          <w:color w:val="000000" w:themeColor="text1"/>
        </w:rPr>
        <w:lastRenderedPageBreak/>
        <w:t xml:space="preserve">necessary, by using such techniques. The chosen keyword originated from the main component of the research question and was arranged with the PICO process. Searching was carried out through various electronic databases so that the maximum possible number of studies were found (Yadav </w:t>
      </w:r>
      <w:r w:rsidR="00776C49" w:rsidRPr="00B031A0">
        <w:rPr>
          <w:rFonts w:ascii="Arial" w:hAnsi="Arial" w:cs="Arial"/>
          <w:color w:val="000000" w:themeColor="text1"/>
        </w:rPr>
        <w:t>et al</w:t>
      </w:r>
      <w:r w:rsidRPr="00B031A0">
        <w:rPr>
          <w:rFonts w:ascii="Arial" w:hAnsi="Arial" w:cs="Arial"/>
          <w:color w:val="000000" w:themeColor="text1"/>
        </w:rPr>
        <w:t xml:space="preserve">., 2025). Defined criteria for excluding and including studies were applied to ensure uniformity and consistency in the selection process (Hosseini </w:t>
      </w:r>
      <w:r w:rsidR="00776C49" w:rsidRPr="00B031A0">
        <w:rPr>
          <w:rFonts w:ascii="Arial" w:hAnsi="Arial" w:cs="Arial"/>
          <w:color w:val="000000" w:themeColor="text1"/>
        </w:rPr>
        <w:t>et al</w:t>
      </w:r>
      <w:r w:rsidRPr="00B031A0">
        <w:rPr>
          <w:rFonts w:ascii="Arial" w:hAnsi="Arial" w:cs="Arial"/>
          <w:color w:val="000000" w:themeColor="text1"/>
        </w:rPr>
        <w:t xml:space="preserve">., 2024). </w:t>
      </w:r>
    </w:p>
    <w:p w14:paraId="02C0C64E" w14:textId="77777777" w:rsidR="00C77BF3" w:rsidRPr="00B031A0" w:rsidRDefault="00115699" w:rsidP="00E0210C">
      <w:pPr>
        <w:pStyle w:val="Heading1"/>
        <w:jc w:val="both"/>
      </w:pPr>
      <w:bookmarkStart w:id="32" w:name="_Toc240208812"/>
      <w:r w:rsidRPr="00B031A0">
        <w:t>3.8 Framing the Research Question (PICO)</w:t>
      </w:r>
      <w:bookmarkEnd w:id="32"/>
      <w:r w:rsidRPr="00B031A0">
        <w:t xml:space="preserve">  </w:t>
      </w:r>
    </w:p>
    <w:p w14:paraId="38845BB4" w14:textId="6973678E" w:rsidR="00C77BF3" w:rsidRDefault="00115699">
      <w:pPr>
        <w:rPr>
          <w:rFonts w:ascii="Arial" w:hAnsi="Arial" w:cs="Arial"/>
          <w:color w:val="000000" w:themeColor="text1"/>
        </w:rPr>
      </w:pPr>
      <w:r w:rsidRPr="00B031A0">
        <w:rPr>
          <w:rFonts w:ascii="Arial" w:hAnsi="Arial" w:cs="Arial"/>
          <w:color w:val="000000" w:themeColor="text1"/>
        </w:rPr>
        <w:t xml:space="preserve">This systematic review used the population, intervention, comparison, outcome and setting (PICO) approach as a basis for the research question and its search strategy (Hosseini </w:t>
      </w:r>
      <w:r w:rsidR="00776C49" w:rsidRPr="00B031A0">
        <w:rPr>
          <w:rFonts w:ascii="Arial" w:hAnsi="Arial" w:cs="Arial"/>
          <w:color w:val="000000" w:themeColor="text1"/>
        </w:rPr>
        <w:t>et al</w:t>
      </w:r>
      <w:r w:rsidRPr="00B031A0">
        <w:rPr>
          <w:rFonts w:ascii="Arial" w:hAnsi="Arial" w:cs="Arial"/>
          <w:color w:val="000000" w:themeColor="text1"/>
        </w:rPr>
        <w:t xml:space="preserve">., 2024). The PICO principles help researchers to establish the core components of the research question and translate them into search terms, improving the efficiency of the research (Covvey, McClendon and Gionfriddo, 2023). The author has determined </w:t>
      </w:r>
      <w:r w:rsidR="00D97F86">
        <w:rPr>
          <w:rFonts w:ascii="Arial" w:hAnsi="Arial" w:cs="Arial"/>
          <w:color w:val="000000" w:themeColor="text1"/>
        </w:rPr>
        <w:t xml:space="preserve">the </w:t>
      </w:r>
      <w:r w:rsidRPr="00B031A0">
        <w:rPr>
          <w:rFonts w:ascii="Arial" w:hAnsi="Arial" w:cs="Arial"/>
          <w:color w:val="000000" w:themeColor="text1"/>
        </w:rPr>
        <w:t xml:space="preserve">population, intervention, comparison, outcome and setting with the goal of the study. The author has created a combination of synonyms and related words using Boolean operators in the search </w:t>
      </w:r>
      <w:r w:rsidR="00D97F86">
        <w:rPr>
          <w:rFonts w:ascii="Arial" w:hAnsi="Arial" w:cs="Arial"/>
          <w:color w:val="000000" w:themeColor="text1"/>
        </w:rPr>
        <w:t>strategy</w:t>
      </w:r>
      <w:r w:rsidRPr="00B031A0">
        <w:rPr>
          <w:rFonts w:ascii="Arial" w:hAnsi="Arial" w:cs="Arial"/>
          <w:color w:val="000000" w:themeColor="text1"/>
        </w:rPr>
        <w:t xml:space="preserve"> to ensure the studies relevant to the specific research question are included (Covvey, McClendon and Gionfriddo, 2023). </w:t>
      </w:r>
    </w:p>
    <w:p w14:paraId="7482C3B9" w14:textId="14F917F1" w:rsidR="002E1234" w:rsidRPr="002E1234" w:rsidRDefault="002E1234" w:rsidP="002E1234">
      <w:pPr>
        <w:spacing w:before="280" w:line="240" w:lineRule="auto"/>
        <w:jc w:val="center"/>
        <w:rPr>
          <w:rFonts w:ascii="Arial" w:hAnsi="Arial" w:cs="Arial"/>
          <w:b/>
          <w:bCs/>
          <w:color w:val="000000" w:themeColor="text1"/>
        </w:rPr>
      </w:pPr>
      <w:r w:rsidRPr="00B031A0">
        <w:rPr>
          <w:rFonts w:ascii="Arial" w:hAnsi="Arial" w:cs="Arial"/>
          <w:b/>
          <w:bCs/>
          <w:color w:val="000000" w:themeColor="text1"/>
        </w:rPr>
        <w:t xml:space="preserve">Table 3.1: PICO Framework </w:t>
      </w:r>
    </w:p>
    <w:tbl>
      <w:tblPr>
        <w:tblStyle w:val="a2"/>
        <w:tblW w:w="9202" w:type="dxa"/>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734"/>
        <w:gridCol w:w="5468"/>
      </w:tblGrid>
      <w:tr w:rsidR="00C77BF3" w:rsidRPr="00B031A0" w14:paraId="35E927BA" w14:textId="77777777" w:rsidTr="00E0210C">
        <w:trPr>
          <w:trHeight w:val="270"/>
        </w:trPr>
        <w:tc>
          <w:tcPr>
            <w:tcW w:w="3734" w:type="dxa"/>
          </w:tcPr>
          <w:p w14:paraId="48BED92A" w14:textId="77777777" w:rsidR="00C77BF3" w:rsidRPr="00B031A0" w:rsidRDefault="00115699">
            <w:pPr>
              <w:widowControl w:val="0"/>
              <w:ind w:left="108"/>
              <w:rPr>
                <w:rFonts w:ascii="Arial" w:hAnsi="Arial" w:cs="Arial"/>
                <w:b/>
                <w:bCs/>
                <w:color w:val="000000" w:themeColor="text1"/>
              </w:rPr>
            </w:pPr>
            <w:r w:rsidRPr="00B031A0">
              <w:rPr>
                <w:rFonts w:ascii="Arial" w:hAnsi="Arial" w:cs="Arial"/>
                <w:b/>
                <w:bCs/>
                <w:color w:val="000000" w:themeColor="text1"/>
              </w:rPr>
              <w:t>PICO</w:t>
            </w:r>
          </w:p>
        </w:tc>
        <w:tc>
          <w:tcPr>
            <w:tcW w:w="5468" w:type="dxa"/>
          </w:tcPr>
          <w:p w14:paraId="5C9E09C1" w14:textId="77777777" w:rsidR="00C77BF3" w:rsidRPr="00B031A0" w:rsidRDefault="00115699">
            <w:pPr>
              <w:widowControl w:val="0"/>
              <w:ind w:left="108"/>
              <w:rPr>
                <w:rFonts w:ascii="Arial" w:hAnsi="Arial" w:cs="Arial"/>
                <w:b/>
                <w:bCs/>
                <w:color w:val="000000" w:themeColor="text1"/>
              </w:rPr>
            </w:pPr>
            <w:r w:rsidRPr="00B031A0">
              <w:rPr>
                <w:rFonts w:ascii="Arial" w:hAnsi="Arial" w:cs="Arial"/>
                <w:b/>
                <w:bCs/>
                <w:color w:val="000000" w:themeColor="text1"/>
              </w:rPr>
              <w:t>Search Terms</w:t>
            </w:r>
          </w:p>
        </w:tc>
      </w:tr>
      <w:tr w:rsidR="00C77BF3" w:rsidRPr="00B031A0" w14:paraId="5DDD603A" w14:textId="77777777" w:rsidTr="00E0210C">
        <w:trPr>
          <w:trHeight w:val="814"/>
        </w:trPr>
        <w:tc>
          <w:tcPr>
            <w:tcW w:w="3734" w:type="dxa"/>
          </w:tcPr>
          <w:p w14:paraId="4CA5D2A7" w14:textId="77777777" w:rsidR="00C77BF3" w:rsidRPr="00B031A0" w:rsidRDefault="00115699">
            <w:pPr>
              <w:widowControl w:val="0"/>
              <w:ind w:left="108"/>
              <w:rPr>
                <w:rFonts w:ascii="Arial" w:hAnsi="Arial" w:cs="Arial"/>
                <w:b/>
                <w:bCs/>
                <w:color w:val="000000" w:themeColor="text1"/>
              </w:rPr>
            </w:pPr>
            <w:r w:rsidRPr="00B031A0">
              <w:rPr>
                <w:rFonts w:ascii="Arial" w:hAnsi="Arial" w:cs="Arial"/>
                <w:b/>
                <w:bCs/>
                <w:color w:val="000000" w:themeColor="text1"/>
              </w:rPr>
              <w:t>Population (P)</w:t>
            </w:r>
          </w:p>
        </w:tc>
        <w:tc>
          <w:tcPr>
            <w:tcW w:w="5468" w:type="dxa"/>
          </w:tcPr>
          <w:p w14:paraId="108F2078" w14:textId="77777777" w:rsidR="00C77BF3" w:rsidRPr="00B031A0" w:rsidRDefault="00115699">
            <w:pPr>
              <w:widowControl w:val="0"/>
              <w:ind w:left="108" w:right="152"/>
              <w:rPr>
                <w:rFonts w:ascii="Arial" w:hAnsi="Arial" w:cs="Arial"/>
                <w:color w:val="000000" w:themeColor="text1"/>
              </w:rPr>
            </w:pPr>
            <w:r w:rsidRPr="00B031A0">
              <w:rPr>
                <w:rFonts w:ascii="Arial" w:hAnsi="Arial" w:cs="Arial"/>
                <w:color w:val="000000" w:themeColor="text1"/>
              </w:rPr>
              <w:t xml:space="preserve">Nurse, Staff, Healthcare staff, Registered Nurses </w:t>
            </w:r>
          </w:p>
        </w:tc>
      </w:tr>
      <w:tr w:rsidR="00C77BF3" w:rsidRPr="00B031A0" w14:paraId="085F9564" w14:textId="77777777" w:rsidTr="00E0210C">
        <w:trPr>
          <w:trHeight w:val="542"/>
        </w:trPr>
        <w:tc>
          <w:tcPr>
            <w:tcW w:w="3734" w:type="dxa"/>
          </w:tcPr>
          <w:p w14:paraId="10C17999" w14:textId="77777777" w:rsidR="00C77BF3" w:rsidRPr="00B031A0" w:rsidRDefault="00115699">
            <w:pPr>
              <w:widowControl w:val="0"/>
              <w:ind w:left="108"/>
              <w:rPr>
                <w:rFonts w:ascii="Arial" w:hAnsi="Arial" w:cs="Arial"/>
                <w:b/>
                <w:bCs/>
                <w:color w:val="000000" w:themeColor="text1"/>
              </w:rPr>
            </w:pPr>
            <w:r w:rsidRPr="00B031A0">
              <w:rPr>
                <w:rFonts w:ascii="Arial" w:hAnsi="Arial" w:cs="Arial"/>
                <w:b/>
                <w:bCs/>
                <w:color w:val="000000" w:themeColor="text1"/>
              </w:rPr>
              <w:t>Intervention (I)</w:t>
            </w:r>
          </w:p>
        </w:tc>
        <w:tc>
          <w:tcPr>
            <w:tcW w:w="5468" w:type="dxa"/>
          </w:tcPr>
          <w:p w14:paraId="6962A4F7" w14:textId="6FDBD5C1" w:rsidR="00C77BF3" w:rsidRPr="00B031A0" w:rsidRDefault="00115699">
            <w:pPr>
              <w:widowControl w:val="0"/>
              <w:ind w:left="108"/>
              <w:rPr>
                <w:rFonts w:ascii="Arial" w:hAnsi="Arial" w:cs="Arial"/>
                <w:color w:val="000000" w:themeColor="text1"/>
              </w:rPr>
            </w:pPr>
            <w:r w:rsidRPr="00B031A0">
              <w:rPr>
                <w:rFonts w:ascii="Arial" w:hAnsi="Arial" w:cs="Arial"/>
                <w:color w:val="000000" w:themeColor="text1"/>
              </w:rPr>
              <w:t xml:space="preserve">Hand washing, Hand Hygiene, Hand </w:t>
            </w:r>
            <w:r w:rsidR="00D97F86">
              <w:rPr>
                <w:rFonts w:ascii="Arial" w:hAnsi="Arial" w:cs="Arial"/>
                <w:color w:val="000000" w:themeColor="text1"/>
              </w:rPr>
              <w:t>Sanitising</w:t>
            </w:r>
            <w:r w:rsidRPr="00B031A0">
              <w:rPr>
                <w:rFonts w:ascii="Arial" w:hAnsi="Arial" w:cs="Arial"/>
                <w:color w:val="000000" w:themeColor="text1"/>
              </w:rPr>
              <w:t xml:space="preserve">, Hand Hygiene Adherence </w:t>
            </w:r>
          </w:p>
        </w:tc>
      </w:tr>
      <w:tr w:rsidR="00C77BF3" w:rsidRPr="00B031A0" w14:paraId="2C984460" w14:textId="77777777" w:rsidTr="00E0210C">
        <w:trPr>
          <w:trHeight w:val="270"/>
        </w:trPr>
        <w:tc>
          <w:tcPr>
            <w:tcW w:w="3734" w:type="dxa"/>
          </w:tcPr>
          <w:p w14:paraId="55F2C1E4" w14:textId="77777777" w:rsidR="00C77BF3" w:rsidRPr="00B031A0" w:rsidRDefault="00115699">
            <w:pPr>
              <w:widowControl w:val="0"/>
              <w:ind w:left="108"/>
              <w:rPr>
                <w:rFonts w:ascii="Arial" w:hAnsi="Arial" w:cs="Arial"/>
                <w:b/>
                <w:bCs/>
                <w:color w:val="000000" w:themeColor="text1"/>
              </w:rPr>
            </w:pPr>
            <w:r w:rsidRPr="00B031A0">
              <w:rPr>
                <w:rFonts w:ascii="Arial" w:hAnsi="Arial" w:cs="Arial"/>
                <w:b/>
                <w:bCs/>
                <w:color w:val="000000" w:themeColor="text1"/>
              </w:rPr>
              <w:t>Comparison (C)</w:t>
            </w:r>
          </w:p>
        </w:tc>
        <w:tc>
          <w:tcPr>
            <w:tcW w:w="5468" w:type="dxa"/>
          </w:tcPr>
          <w:p w14:paraId="5D053A3E" w14:textId="77777777" w:rsidR="00C77BF3" w:rsidRPr="00B031A0" w:rsidRDefault="00115699">
            <w:pPr>
              <w:widowControl w:val="0"/>
              <w:ind w:left="108"/>
              <w:rPr>
                <w:rFonts w:ascii="Arial" w:hAnsi="Arial" w:cs="Arial"/>
                <w:color w:val="000000" w:themeColor="text1"/>
              </w:rPr>
            </w:pPr>
            <w:r w:rsidRPr="00B031A0">
              <w:rPr>
                <w:rFonts w:ascii="Arial" w:hAnsi="Arial" w:cs="Arial"/>
                <w:color w:val="000000" w:themeColor="text1"/>
              </w:rPr>
              <w:t>Poor Compliance, Non-Compliance, Standard Practice</w:t>
            </w:r>
          </w:p>
        </w:tc>
      </w:tr>
      <w:tr w:rsidR="00C77BF3" w:rsidRPr="00B031A0" w14:paraId="33048956" w14:textId="77777777" w:rsidTr="00E0210C">
        <w:trPr>
          <w:trHeight w:val="814"/>
        </w:trPr>
        <w:tc>
          <w:tcPr>
            <w:tcW w:w="3734" w:type="dxa"/>
          </w:tcPr>
          <w:p w14:paraId="6883E745" w14:textId="77777777" w:rsidR="00C77BF3" w:rsidRPr="00B031A0" w:rsidRDefault="00115699">
            <w:pPr>
              <w:widowControl w:val="0"/>
              <w:ind w:left="108"/>
              <w:rPr>
                <w:rFonts w:ascii="Arial" w:hAnsi="Arial" w:cs="Arial"/>
                <w:b/>
                <w:bCs/>
                <w:color w:val="000000" w:themeColor="text1"/>
              </w:rPr>
            </w:pPr>
            <w:r w:rsidRPr="00B031A0">
              <w:rPr>
                <w:rFonts w:ascii="Arial" w:hAnsi="Arial" w:cs="Arial"/>
                <w:b/>
                <w:bCs/>
                <w:color w:val="000000" w:themeColor="text1"/>
              </w:rPr>
              <w:t>Outcome (O)</w:t>
            </w:r>
          </w:p>
        </w:tc>
        <w:tc>
          <w:tcPr>
            <w:tcW w:w="5468" w:type="dxa"/>
          </w:tcPr>
          <w:p w14:paraId="274C3E73" w14:textId="77777777" w:rsidR="00C77BF3" w:rsidRPr="00B031A0" w:rsidRDefault="00115699">
            <w:pPr>
              <w:widowControl w:val="0"/>
              <w:ind w:left="108" w:right="152"/>
              <w:rPr>
                <w:rFonts w:ascii="Arial" w:hAnsi="Arial" w:cs="Arial"/>
                <w:color w:val="000000" w:themeColor="text1"/>
              </w:rPr>
            </w:pPr>
            <w:r w:rsidRPr="00B031A0">
              <w:rPr>
                <w:rFonts w:ascii="Arial" w:hAnsi="Arial" w:cs="Arial"/>
                <w:color w:val="000000" w:themeColor="text1"/>
              </w:rPr>
              <w:t>Healthcare Associated Infections (HCAIs), Infection Control, Patient Safety, Infection Management</w:t>
            </w:r>
          </w:p>
        </w:tc>
      </w:tr>
      <w:tr w:rsidR="00C77BF3" w:rsidRPr="00B031A0" w14:paraId="75554435" w14:textId="77777777" w:rsidTr="00E0210C">
        <w:trPr>
          <w:trHeight w:val="814"/>
        </w:trPr>
        <w:tc>
          <w:tcPr>
            <w:tcW w:w="3734" w:type="dxa"/>
          </w:tcPr>
          <w:p w14:paraId="50156DA0" w14:textId="77777777" w:rsidR="00C77BF3" w:rsidRPr="00B031A0" w:rsidRDefault="00115699">
            <w:pPr>
              <w:widowControl w:val="0"/>
              <w:ind w:left="108"/>
              <w:rPr>
                <w:rFonts w:ascii="Arial" w:hAnsi="Arial" w:cs="Arial"/>
                <w:b/>
                <w:bCs/>
                <w:color w:val="000000" w:themeColor="text1"/>
              </w:rPr>
            </w:pPr>
            <w:r w:rsidRPr="00B031A0">
              <w:rPr>
                <w:rFonts w:ascii="Arial" w:hAnsi="Arial" w:cs="Arial"/>
                <w:b/>
                <w:bCs/>
                <w:color w:val="000000" w:themeColor="text1"/>
              </w:rPr>
              <w:lastRenderedPageBreak/>
              <w:t>Setting (S)</w:t>
            </w:r>
          </w:p>
        </w:tc>
        <w:tc>
          <w:tcPr>
            <w:tcW w:w="5468" w:type="dxa"/>
          </w:tcPr>
          <w:p w14:paraId="611B749B" w14:textId="77777777" w:rsidR="00C77BF3" w:rsidRPr="00B031A0" w:rsidRDefault="00115699">
            <w:pPr>
              <w:widowControl w:val="0"/>
              <w:ind w:left="108" w:right="152"/>
              <w:rPr>
                <w:rFonts w:ascii="Arial" w:hAnsi="Arial" w:cs="Arial"/>
                <w:color w:val="000000" w:themeColor="text1"/>
              </w:rPr>
            </w:pPr>
            <w:r w:rsidRPr="00B031A0">
              <w:rPr>
                <w:rFonts w:ascii="Arial" w:hAnsi="Arial" w:cs="Arial"/>
                <w:color w:val="000000" w:themeColor="text1"/>
              </w:rPr>
              <w:t>United Kingdom, UK hospitals, Healthcare Setting, NHS Hospitals</w:t>
            </w:r>
          </w:p>
        </w:tc>
      </w:tr>
    </w:tbl>
    <w:p w14:paraId="5FB9D850" w14:textId="77777777" w:rsidR="00490CD4" w:rsidRDefault="00490CD4" w:rsidP="00490CD4">
      <w:pPr>
        <w:pStyle w:val="NoSpacing"/>
      </w:pPr>
    </w:p>
    <w:p w14:paraId="570854DB" w14:textId="4A19ED85" w:rsidR="00C77BF3" w:rsidRPr="00B031A0" w:rsidRDefault="00115699" w:rsidP="00E0210C">
      <w:pPr>
        <w:pStyle w:val="Heading1"/>
        <w:jc w:val="both"/>
      </w:pPr>
      <w:bookmarkStart w:id="33" w:name="_Toc240208813"/>
      <w:r w:rsidRPr="00B031A0">
        <w:t>3.9 Database Research Procedure</w:t>
      </w:r>
      <w:bookmarkEnd w:id="33"/>
      <w:r w:rsidRPr="00B031A0">
        <w:t xml:space="preserve"> </w:t>
      </w:r>
    </w:p>
    <w:p w14:paraId="75AC4C04" w14:textId="59FD073D" w:rsidR="00C77BF3" w:rsidRPr="00546E69" w:rsidRDefault="00115699">
      <w:pPr>
        <w:rPr>
          <w:rFonts w:ascii="Arial" w:hAnsi="Arial" w:cs="Arial"/>
          <w:color w:val="000000" w:themeColor="text1"/>
        </w:rPr>
      </w:pPr>
      <w:r w:rsidRPr="00B031A0">
        <w:rPr>
          <w:rFonts w:ascii="Arial" w:hAnsi="Arial" w:cs="Arial"/>
          <w:color w:val="000000" w:themeColor="text1"/>
        </w:rPr>
        <w:t xml:space="preserve">Through the database research during the period from June 5, 2026, to </w:t>
      </w:r>
      <w:r w:rsidR="002E1234">
        <w:rPr>
          <w:rFonts w:ascii="Arial" w:hAnsi="Arial" w:cs="Arial"/>
          <w:color w:val="000000" w:themeColor="text1"/>
        </w:rPr>
        <w:t xml:space="preserve">August </w:t>
      </w:r>
      <w:r w:rsidRPr="00B031A0">
        <w:rPr>
          <w:rFonts w:ascii="Arial" w:hAnsi="Arial" w:cs="Arial"/>
          <w:color w:val="000000" w:themeColor="text1"/>
        </w:rPr>
        <w:t>1</w:t>
      </w:r>
      <w:r w:rsidR="002E1234">
        <w:rPr>
          <w:rFonts w:ascii="Arial" w:hAnsi="Arial" w:cs="Arial"/>
          <w:color w:val="000000" w:themeColor="text1"/>
        </w:rPr>
        <w:t>0</w:t>
      </w:r>
      <w:r w:rsidRPr="00B031A0">
        <w:rPr>
          <w:rFonts w:ascii="Arial" w:hAnsi="Arial" w:cs="Arial"/>
          <w:color w:val="000000" w:themeColor="text1"/>
        </w:rPr>
        <w:t xml:space="preserve">, 2026, relevant research studies on the subject were located. The data sources that exist include PubMed, Scopus, and Google Scholar. To improve the retrieval of research in PubMed, medical subject headings were used to standardise search terms (Covvey, McClendon and Gionfriddo, 2023). The medical subject headings, together with the use of Boolean operators, allowed the search to be refined. Search terms included “hand hygiene” and “hand hygiene compliance”. The searches were limited to peer-reviewed primary research studies published from 2016 until 2026. </w:t>
      </w:r>
      <w:r w:rsidR="00546E69" w:rsidRPr="00546E69">
        <w:rPr>
          <w:rFonts w:ascii="Arial" w:hAnsi="Arial" w:cs="Arial"/>
          <w:color w:val="000000" w:themeColor="text1"/>
        </w:rPr>
        <w:t>The database searches identified a total of 1,375 records. Following the removal of duplicate records and the initial screening process, 12 relevant records remained and were imported into RefWorks for reference management and further assessment</w:t>
      </w:r>
      <w:r w:rsidR="00546E69">
        <w:rPr>
          <w:rFonts w:ascii="Arial" w:hAnsi="Arial" w:cs="Arial"/>
          <w:color w:val="000000" w:themeColor="text1"/>
        </w:rPr>
        <w:t>.</w:t>
      </w:r>
    </w:p>
    <w:p w14:paraId="6DED3C52" w14:textId="77777777" w:rsidR="00C77BF3" w:rsidRPr="00B031A0" w:rsidRDefault="00115699" w:rsidP="00C668C4">
      <w:pPr>
        <w:pStyle w:val="Heading1"/>
        <w:jc w:val="both"/>
      </w:pPr>
      <w:bookmarkStart w:id="34" w:name="_Toc240208814"/>
      <w:r w:rsidRPr="00B031A0">
        <w:t>3.10 Hand Search</w:t>
      </w:r>
      <w:bookmarkEnd w:id="34"/>
      <w:r w:rsidRPr="00B031A0">
        <w:t xml:space="preserve"> </w:t>
      </w:r>
    </w:p>
    <w:p w14:paraId="41301431" w14:textId="7B50AE62" w:rsidR="00C77BF3" w:rsidRPr="00B031A0" w:rsidRDefault="00115699">
      <w:pPr>
        <w:rPr>
          <w:rFonts w:ascii="Arial" w:hAnsi="Arial" w:cs="Arial"/>
          <w:color w:val="000000" w:themeColor="text1"/>
        </w:rPr>
      </w:pPr>
      <w:r w:rsidRPr="00B031A0">
        <w:rPr>
          <w:rFonts w:ascii="Arial" w:hAnsi="Arial" w:cs="Arial"/>
          <w:color w:val="000000" w:themeColor="text1"/>
        </w:rPr>
        <w:t>Hand searching was carried out to locate relevant research papers that were not found. This procedure included checking the references from the selected studies to find more research related to the research question (</w:t>
      </w:r>
      <w:proofErr w:type="spellStart"/>
      <w:r w:rsidRPr="00B031A0">
        <w:rPr>
          <w:rFonts w:ascii="Arial" w:hAnsi="Arial" w:cs="Arial"/>
          <w:color w:val="000000" w:themeColor="text1"/>
        </w:rPr>
        <w:t>Pallath</w:t>
      </w:r>
      <w:proofErr w:type="spellEnd"/>
      <w:r w:rsidRPr="00B031A0">
        <w:rPr>
          <w:rFonts w:ascii="Arial" w:hAnsi="Arial" w:cs="Arial"/>
          <w:color w:val="000000" w:themeColor="text1"/>
        </w:rPr>
        <w:t xml:space="preserve"> and Zhang, 2022). This was very useful </w:t>
      </w:r>
      <w:r w:rsidR="00216CEB">
        <w:rPr>
          <w:rFonts w:ascii="Arial" w:hAnsi="Arial" w:cs="Arial"/>
          <w:color w:val="000000" w:themeColor="text1"/>
        </w:rPr>
        <w:t>in finding</w:t>
      </w:r>
      <w:r w:rsidRPr="00B031A0">
        <w:rPr>
          <w:rFonts w:ascii="Arial" w:hAnsi="Arial" w:cs="Arial"/>
          <w:color w:val="000000" w:themeColor="text1"/>
        </w:rPr>
        <w:t xml:space="preserve"> some valuable documents that helped to achieve the inclusion criteria and avoided the possibility of missing some evidence from the study. The obtained articles were analysed using the same criteria and quality assessment criteria used for systematic studies. Hand searching is essential for conducting systematic reviews as it helps prevent the loss of important information due to database coverage, indexing, and terminology use (Al-</w:t>
      </w:r>
      <w:proofErr w:type="spellStart"/>
      <w:r w:rsidRPr="00B031A0">
        <w:rPr>
          <w:rFonts w:ascii="Arial" w:hAnsi="Arial" w:cs="Arial"/>
          <w:color w:val="000000" w:themeColor="text1"/>
        </w:rPr>
        <w:t>Jarf</w:t>
      </w:r>
      <w:proofErr w:type="spellEnd"/>
      <w:r w:rsidRPr="00B031A0">
        <w:rPr>
          <w:rFonts w:ascii="Arial" w:hAnsi="Arial" w:cs="Arial"/>
          <w:color w:val="000000" w:themeColor="text1"/>
        </w:rPr>
        <w:t>, 2021). It also helps to reduce publication bias by helping the researcher find studies that have not been found during electronic search. Hand searching has given more transparency and reliability to the synthesis of information and has provided a higher quality of the conducted systematic review (</w:t>
      </w:r>
      <w:proofErr w:type="spellStart"/>
      <w:r w:rsidRPr="00B031A0">
        <w:rPr>
          <w:rFonts w:ascii="Arial" w:hAnsi="Arial" w:cs="Arial"/>
          <w:color w:val="000000" w:themeColor="text1"/>
        </w:rPr>
        <w:t>Pallath</w:t>
      </w:r>
      <w:proofErr w:type="spellEnd"/>
      <w:r w:rsidRPr="00B031A0">
        <w:rPr>
          <w:rFonts w:ascii="Arial" w:hAnsi="Arial" w:cs="Arial"/>
          <w:color w:val="000000" w:themeColor="text1"/>
        </w:rPr>
        <w:t xml:space="preserve"> and Zhang, 2022). </w:t>
      </w:r>
    </w:p>
    <w:p w14:paraId="6C83861F" w14:textId="77777777" w:rsidR="00C77BF3" w:rsidRPr="00B031A0" w:rsidRDefault="00115699" w:rsidP="00C668C4">
      <w:pPr>
        <w:pStyle w:val="Heading1"/>
        <w:jc w:val="both"/>
      </w:pPr>
      <w:bookmarkStart w:id="35" w:name="_Toc240208815"/>
      <w:r w:rsidRPr="00B031A0">
        <w:lastRenderedPageBreak/>
        <w:t>3.11 Grey Literature</w:t>
      </w:r>
      <w:bookmarkEnd w:id="35"/>
      <w:r w:rsidRPr="00B031A0">
        <w:t xml:space="preserve"> </w:t>
      </w:r>
    </w:p>
    <w:p w14:paraId="0CBD49CD" w14:textId="61B888A0" w:rsidR="00C77BF3" w:rsidRPr="00B031A0" w:rsidRDefault="00115699">
      <w:pPr>
        <w:rPr>
          <w:rFonts w:ascii="Arial" w:hAnsi="Arial" w:cs="Arial"/>
          <w:color w:val="000000" w:themeColor="text1"/>
        </w:rPr>
      </w:pPr>
      <w:r w:rsidRPr="00B031A0">
        <w:rPr>
          <w:rFonts w:ascii="Arial" w:hAnsi="Arial" w:cs="Arial"/>
          <w:color w:val="000000" w:themeColor="text1"/>
        </w:rPr>
        <w:t xml:space="preserve">Grey literature refers to studies that have not been published in text that have undergone </w:t>
      </w:r>
      <w:r w:rsidR="00D97F86">
        <w:rPr>
          <w:rFonts w:ascii="Arial" w:hAnsi="Arial" w:cs="Arial"/>
          <w:color w:val="000000" w:themeColor="text1"/>
        </w:rPr>
        <w:t xml:space="preserve">the </w:t>
      </w:r>
      <w:r w:rsidRPr="00B031A0">
        <w:rPr>
          <w:rFonts w:ascii="Arial" w:hAnsi="Arial" w:cs="Arial"/>
          <w:color w:val="000000" w:themeColor="text1"/>
        </w:rPr>
        <w:t>paper review process and contribute to the information relevant to the research issue (</w:t>
      </w:r>
      <w:proofErr w:type="spellStart"/>
      <w:r w:rsidRPr="00B031A0">
        <w:rPr>
          <w:rFonts w:ascii="Arial" w:hAnsi="Arial" w:cs="Arial"/>
          <w:color w:val="000000" w:themeColor="text1"/>
        </w:rPr>
        <w:t>Pallath</w:t>
      </w:r>
      <w:proofErr w:type="spellEnd"/>
      <w:r w:rsidRPr="00B031A0">
        <w:rPr>
          <w:rFonts w:ascii="Arial" w:hAnsi="Arial" w:cs="Arial"/>
          <w:color w:val="000000" w:themeColor="text1"/>
        </w:rPr>
        <w:t xml:space="preserve"> and Zhang, 2022). The grey literature may include government publications, legislative the clinical guidelines, articles presented at conference research papers developed by medical agencies</w:t>
      </w:r>
      <w:r w:rsidR="00D97F86">
        <w:rPr>
          <w:rFonts w:ascii="Arial" w:hAnsi="Arial" w:cs="Arial"/>
          <w:color w:val="000000" w:themeColor="text1"/>
        </w:rPr>
        <w:t xml:space="preserve"> </w:t>
      </w:r>
      <w:r w:rsidR="00D97F86" w:rsidRPr="00B031A0">
        <w:rPr>
          <w:rFonts w:ascii="Arial" w:hAnsi="Arial" w:cs="Arial"/>
          <w:color w:val="000000" w:themeColor="text1"/>
        </w:rPr>
        <w:t>(</w:t>
      </w:r>
      <w:proofErr w:type="spellStart"/>
      <w:r w:rsidR="00D97F86" w:rsidRPr="00B031A0">
        <w:rPr>
          <w:rFonts w:ascii="Arial" w:hAnsi="Arial" w:cs="Arial"/>
          <w:color w:val="000000" w:themeColor="text1"/>
        </w:rPr>
        <w:t>Pallath</w:t>
      </w:r>
      <w:proofErr w:type="spellEnd"/>
      <w:r w:rsidR="00D97F86" w:rsidRPr="00B031A0">
        <w:rPr>
          <w:rFonts w:ascii="Arial" w:hAnsi="Arial" w:cs="Arial"/>
          <w:color w:val="000000" w:themeColor="text1"/>
        </w:rPr>
        <w:t xml:space="preserve"> and Zhang, 2022)</w:t>
      </w:r>
      <w:r w:rsidRPr="00B031A0">
        <w:rPr>
          <w:rFonts w:ascii="Arial" w:hAnsi="Arial" w:cs="Arial"/>
          <w:color w:val="000000" w:themeColor="text1"/>
        </w:rPr>
        <w:t>. Grey literature was included in this systematic review to avoid publication bias and perform an exhaustive search for the data concerning the problem under consideration</w:t>
      </w:r>
      <w:r w:rsidR="000E488E">
        <w:rPr>
          <w:rFonts w:ascii="Arial" w:hAnsi="Arial" w:cs="Arial"/>
          <w:color w:val="000000" w:themeColor="text1"/>
        </w:rPr>
        <w:t xml:space="preserve"> </w:t>
      </w:r>
      <w:r w:rsidR="000E488E" w:rsidRPr="00B031A0">
        <w:rPr>
          <w:rFonts w:ascii="Arial" w:hAnsi="Arial" w:cs="Arial"/>
          <w:color w:val="000000" w:themeColor="text1"/>
        </w:rPr>
        <w:t>(Rosida et al., 2023)</w:t>
      </w:r>
      <w:r w:rsidRPr="00B031A0">
        <w:rPr>
          <w:rFonts w:ascii="Arial" w:hAnsi="Arial" w:cs="Arial"/>
          <w:color w:val="000000" w:themeColor="text1"/>
        </w:rPr>
        <w:t xml:space="preserve">. Grey literature was searched for AT acknowledge sources, including government and health agency websites in the study (Kousha, Thelwall and Bickley, 2022). The materials provided by those sources were not </w:t>
      </w:r>
      <w:r w:rsidR="00D97F86">
        <w:rPr>
          <w:rFonts w:ascii="Arial" w:hAnsi="Arial" w:cs="Arial"/>
          <w:color w:val="000000" w:themeColor="text1"/>
        </w:rPr>
        <w:t>peer-reviewed</w:t>
      </w:r>
      <w:r w:rsidRPr="00B031A0">
        <w:rPr>
          <w:rFonts w:ascii="Arial" w:hAnsi="Arial" w:cs="Arial"/>
          <w:color w:val="000000" w:themeColor="text1"/>
        </w:rPr>
        <w:t>; the paper was analysed for relevance and credibility</w:t>
      </w:r>
      <w:r w:rsidR="00D97F86">
        <w:rPr>
          <w:rFonts w:ascii="Arial" w:hAnsi="Arial" w:cs="Arial"/>
          <w:color w:val="000000" w:themeColor="text1"/>
        </w:rPr>
        <w:t xml:space="preserve"> </w:t>
      </w:r>
      <w:r w:rsidR="00D97F86" w:rsidRPr="00B031A0">
        <w:rPr>
          <w:rFonts w:ascii="Arial" w:hAnsi="Arial" w:cs="Arial"/>
          <w:color w:val="000000" w:themeColor="text1"/>
        </w:rPr>
        <w:t>(Rosida et al., 2023)</w:t>
      </w:r>
      <w:r w:rsidRPr="00B031A0">
        <w:rPr>
          <w:rFonts w:ascii="Arial" w:hAnsi="Arial" w:cs="Arial"/>
          <w:color w:val="000000" w:themeColor="text1"/>
        </w:rPr>
        <w:t xml:space="preserve">. The inclusion and exclusion criteria and other procedures for assessing the quality of papers that have been used for peer-reviewed materials were applied to grey literature. 20 approaches explained that different reliable sources were used for the study, while the information presented by them was valid and relevant (Rosida </w:t>
      </w:r>
      <w:r w:rsidR="00776C49" w:rsidRPr="00B031A0">
        <w:rPr>
          <w:rFonts w:ascii="Arial" w:hAnsi="Arial" w:cs="Arial"/>
          <w:color w:val="000000" w:themeColor="text1"/>
        </w:rPr>
        <w:t>et al</w:t>
      </w:r>
      <w:r w:rsidRPr="00B031A0">
        <w:rPr>
          <w:rFonts w:ascii="Arial" w:hAnsi="Arial" w:cs="Arial"/>
          <w:color w:val="000000" w:themeColor="text1"/>
        </w:rPr>
        <w:t>., 2023).</w:t>
      </w:r>
    </w:p>
    <w:p w14:paraId="54C4FEBC" w14:textId="77777777" w:rsidR="00C77BF3" w:rsidRPr="00B031A0" w:rsidRDefault="00115699" w:rsidP="00C668C4">
      <w:pPr>
        <w:pStyle w:val="Heading1"/>
        <w:jc w:val="both"/>
      </w:pPr>
      <w:bookmarkStart w:id="36" w:name="_Toc240208816"/>
      <w:r w:rsidRPr="00B031A0">
        <w:t>3.12 Inclusion and Exclusion</w:t>
      </w:r>
      <w:bookmarkEnd w:id="36"/>
      <w:r w:rsidRPr="00B031A0">
        <w:t xml:space="preserve"> </w:t>
      </w:r>
    </w:p>
    <w:p w14:paraId="45280AB2" w14:textId="7B0D73AD" w:rsidR="00E12C0B" w:rsidRDefault="00115699">
      <w:pPr>
        <w:rPr>
          <w:rFonts w:ascii="Arial" w:hAnsi="Arial" w:cs="Arial"/>
          <w:color w:val="000000" w:themeColor="text1"/>
        </w:rPr>
      </w:pPr>
      <w:r w:rsidRPr="00B031A0">
        <w:rPr>
          <w:rFonts w:ascii="Arial" w:hAnsi="Arial" w:cs="Arial"/>
          <w:color w:val="000000" w:themeColor="text1"/>
        </w:rPr>
        <w:t>The criteria for including or excluding studies were stated before searching the literature to ensure a methodical and open process of relevant study selection (</w:t>
      </w:r>
      <w:proofErr w:type="spellStart"/>
      <w:r w:rsidRPr="00B031A0">
        <w:rPr>
          <w:rFonts w:ascii="Arial" w:hAnsi="Arial" w:cs="Arial"/>
          <w:color w:val="000000" w:themeColor="text1"/>
        </w:rPr>
        <w:t>Affengruber</w:t>
      </w:r>
      <w:proofErr w:type="spellEnd"/>
      <w:r w:rsidRPr="00B031A0">
        <w:rPr>
          <w:rFonts w:ascii="Arial" w:hAnsi="Arial" w:cs="Arial"/>
          <w:color w:val="000000" w:themeColor="text1"/>
        </w:rPr>
        <w:t xml:space="preserve"> </w:t>
      </w:r>
      <w:r w:rsidR="00776C49" w:rsidRPr="00B031A0">
        <w:rPr>
          <w:rFonts w:ascii="Arial" w:hAnsi="Arial" w:cs="Arial"/>
          <w:color w:val="000000" w:themeColor="text1"/>
        </w:rPr>
        <w:t>et al</w:t>
      </w:r>
      <w:r w:rsidRPr="00B031A0">
        <w:rPr>
          <w:rFonts w:ascii="Arial" w:hAnsi="Arial" w:cs="Arial"/>
          <w:color w:val="000000" w:themeColor="text1"/>
        </w:rPr>
        <w:t xml:space="preserve">., 2022). The criteria according to the PICO model indicate population, intervention, comparison, outcome and settings that were suitable for the study decision-making. Primary studies in English that have been published </w:t>
      </w:r>
      <w:proofErr w:type="gramStart"/>
      <w:r w:rsidR="009A1371" w:rsidRPr="00B031A0">
        <w:rPr>
          <w:rFonts w:ascii="Arial" w:hAnsi="Arial" w:cs="Arial"/>
          <w:color w:val="000000" w:themeColor="text1"/>
        </w:rPr>
        <w:t>recently</w:t>
      </w:r>
      <w:proofErr w:type="gramEnd"/>
      <w:r w:rsidRPr="00B031A0">
        <w:rPr>
          <w:rFonts w:ascii="Arial" w:hAnsi="Arial" w:cs="Arial"/>
          <w:color w:val="000000" w:themeColor="text1"/>
        </w:rPr>
        <w:t xml:space="preserve"> and which are relevant to the research question were selected (</w:t>
      </w:r>
      <w:proofErr w:type="spellStart"/>
      <w:r w:rsidRPr="00B031A0">
        <w:rPr>
          <w:rFonts w:ascii="Arial" w:hAnsi="Arial" w:cs="Arial"/>
          <w:color w:val="000000" w:themeColor="text1"/>
        </w:rPr>
        <w:t>Buddrus</w:t>
      </w:r>
      <w:proofErr w:type="spellEnd"/>
      <w:r w:rsidRPr="00B031A0">
        <w:rPr>
          <w:rFonts w:ascii="Arial" w:hAnsi="Arial" w:cs="Arial"/>
          <w:color w:val="000000" w:themeColor="text1"/>
        </w:rPr>
        <w:t xml:space="preserve"> </w:t>
      </w:r>
      <w:r w:rsidR="00776C49" w:rsidRPr="00B031A0">
        <w:rPr>
          <w:rFonts w:ascii="Arial" w:hAnsi="Arial" w:cs="Arial"/>
          <w:color w:val="000000" w:themeColor="text1"/>
        </w:rPr>
        <w:t>et al</w:t>
      </w:r>
      <w:r w:rsidRPr="00B031A0">
        <w:rPr>
          <w:rFonts w:ascii="Arial" w:hAnsi="Arial" w:cs="Arial"/>
          <w:color w:val="000000" w:themeColor="text1"/>
        </w:rPr>
        <w:t>., 2026). Studies which are not relevant to the given question, lack methodological details</w:t>
      </w:r>
      <w:r w:rsidR="009A1371">
        <w:rPr>
          <w:rFonts w:ascii="Arial" w:hAnsi="Arial" w:cs="Arial"/>
          <w:color w:val="000000" w:themeColor="text1"/>
        </w:rPr>
        <w:t>, are</w:t>
      </w:r>
      <w:r w:rsidRPr="00B031A0">
        <w:rPr>
          <w:rFonts w:ascii="Arial" w:hAnsi="Arial" w:cs="Arial"/>
          <w:color w:val="000000" w:themeColor="text1"/>
        </w:rPr>
        <w:t xml:space="preserve"> duplicated or are reviews of papers in any other language were omitted. The use of the criteria before </w:t>
      </w:r>
      <w:r w:rsidR="009A1371">
        <w:rPr>
          <w:rFonts w:ascii="Arial" w:hAnsi="Arial" w:cs="Arial"/>
          <w:color w:val="000000" w:themeColor="text1"/>
        </w:rPr>
        <w:t>the process affected it</w:t>
      </w:r>
      <w:r w:rsidRPr="00B031A0">
        <w:rPr>
          <w:rFonts w:ascii="Arial" w:hAnsi="Arial" w:cs="Arial"/>
          <w:color w:val="000000" w:themeColor="text1"/>
        </w:rPr>
        <w:t xml:space="preserve"> positively and helped the research team to avoid looking for biased studies, along with providing the validity and transparency of the systematic study (</w:t>
      </w:r>
      <w:proofErr w:type="spellStart"/>
      <w:r w:rsidRPr="00B031A0">
        <w:rPr>
          <w:rFonts w:ascii="Arial" w:hAnsi="Arial" w:cs="Arial"/>
          <w:color w:val="000000" w:themeColor="text1"/>
        </w:rPr>
        <w:t>Affengruber</w:t>
      </w:r>
      <w:proofErr w:type="spellEnd"/>
      <w:r w:rsidRPr="00B031A0">
        <w:rPr>
          <w:rFonts w:ascii="Arial" w:hAnsi="Arial" w:cs="Arial"/>
          <w:color w:val="000000" w:themeColor="text1"/>
        </w:rPr>
        <w:t xml:space="preserve"> </w:t>
      </w:r>
      <w:r w:rsidR="00776C49" w:rsidRPr="00B031A0">
        <w:rPr>
          <w:rFonts w:ascii="Arial" w:hAnsi="Arial" w:cs="Arial"/>
          <w:color w:val="000000" w:themeColor="text1"/>
        </w:rPr>
        <w:t>et al</w:t>
      </w:r>
      <w:r w:rsidRPr="00B031A0">
        <w:rPr>
          <w:rFonts w:ascii="Arial" w:hAnsi="Arial" w:cs="Arial"/>
          <w:color w:val="000000" w:themeColor="text1"/>
        </w:rPr>
        <w:t xml:space="preserve">., 2022). </w:t>
      </w:r>
    </w:p>
    <w:p w14:paraId="39ED1025" w14:textId="19AAB45E" w:rsidR="002E1234" w:rsidRDefault="002E1234" w:rsidP="002E1234">
      <w:pPr>
        <w:spacing w:before="280" w:line="240" w:lineRule="auto"/>
        <w:jc w:val="center"/>
        <w:rPr>
          <w:rFonts w:ascii="Arial" w:hAnsi="Arial" w:cs="Arial"/>
          <w:b/>
          <w:bCs/>
          <w:color w:val="000000" w:themeColor="text1"/>
        </w:rPr>
      </w:pPr>
      <w:r w:rsidRPr="00B031A0">
        <w:rPr>
          <w:rFonts w:ascii="Arial" w:hAnsi="Arial" w:cs="Arial"/>
          <w:b/>
          <w:bCs/>
          <w:color w:val="000000" w:themeColor="text1"/>
        </w:rPr>
        <w:t>Table 3.2: Inclusion and Exclusion Criteria</w:t>
      </w:r>
    </w:p>
    <w:p w14:paraId="7704128C" w14:textId="77777777" w:rsidR="00490CD4" w:rsidRDefault="00490CD4" w:rsidP="002E1234">
      <w:pPr>
        <w:spacing w:before="280" w:line="240" w:lineRule="auto"/>
        <w:jc w:val="center"/>
        <w:rPr>
          <w:rFonts w:ascii="Arial" w:hAnsi="Arial" w:cs="Arial"/>
          <w:b/>
          <w:bCs/>
          <w:color w:val="000000" w:themeColor="text1"/>
        </w:rPr>
      </w:pPr>
    </w:p>
    <w:tbl>
      <w:tblPr>
        <w:tblStyle w:val="a3"/>
        <w:tblpPr w:leftFromText="180" w:rightFromText="180" w:vertAnchor="text" w:horzAnchor="margin" w:tblpXSpec="center" w:tblpY="422"/>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419"/>
        <w:gridCol w:w="3589"/>
        <w:gridCol w:w="4052"/>
      </w:tblGrid>
      <w:tr w:rsidR="00490CD4" w:rsidRPr="00B031A0" w14:paraId="0302B420" w14:textId="77777777" w:rsidTr="00CC457D">
        <w:trPr>
          <w:trHeight w:val="272"/>
        </w:trPr>
        <w:tc>
          <w:tcPr>
            <w:tcW w:w="2419" w:type="dxa"/>
          </w:tcPr>
          <w:p w14:paraId="6195F43F" w14:textId="77777777" w:rsidR="00490CD4" w:rsidRPr="00B031A0" w:rsidRDefault="00490CD4" w:rsidP="00CC457D">
            <w:pPr>
              <w:widowControl w:val="0"/>
              <w:ind w:left="108"/>
              <w:rPr>
                <w:rFonts w:ascii="Arial" w:hAnsi="Arial" w:cs="Arial"/>
                <w:b/>
                <w:bCs/>
                <w:color w:val="000000" w:themeColor="text1"/>
              </w:rPr>
            </w:pPr>
            <w:r w:rsidRPr="00B031A0">
              <w:rPr>
                <w:rFonts w:ascii="Arial" w:hAnsi="Arial" w:cs="Arial"/>
                <w:b/>
                <w:bCs/>
                <w:color w:val="000000" w:themeColor="text1"/>
              </w:rPr>
              <w:lastRenderedPageBreak/>
              <w:t xml:space="preserve">PICO </w:t>
            </w:r>
          </w:p>
        </w:tc>
        <w:tc>
          <w:tcPr>
            <w:tcW w:w="3589" w:type="dxa"/>
          </w:tcPr>
          <w:p w14:paraId="50C7F77E" w14:textId="77777777" w:rsidR="00490CD4" w:rsidRPr="00B031A0" w:rsidRDefault="00490CD4" w:rsidP="00CC457D">
            <w:pPr>
              <w:widowControl w:val="0"/>
              <w:ind w:left="108"/>
              <w:rPr>
                <w:rFonts w:ascii="Arial" w:hAnsi="Arial" w:cs="Arial"/>
                <w:b/>
                <w:bCs/>
                <w:color w:val="000000" w:themeColor="text1"/>
              </w:rPr>
            </w:pPr>
            <w:r w:rsidRPr="00B031A0">
              <w:rPr>
                <w:rFonts w:ascii="Arial" w:hAnsi="Arial" w:cs="Arial"/>
                <w:b/>
                <w:bCs/>
                <w:color w:val="000000" w:themeColor="text1"/>
              </w:rPr>
              <w:t>INCLUSION CRITERIA</w:t>
            </w:r>
          </w:p>
        </w:tc>
        <w:tc>
          <w:tcPr>
            <w:tcW w:w="4052" w:type="dxa"/>
          </w:tcPr>
          <w:p w14:paraId="226E781D" w14:textId="77777777" w:rsidR="00490CD4" w:rsidRPr="00B031A0" w:rsidRDefault="00490CD4" w:rsidP="00CC457D">
            <w:pPr>
              <w:widowControl w:val="0"/>
              <w:ind w:left="108"/>
              <w:rPr>
                <w:rFonts w:ascii="Arial" w:hAnsi="Arial" w:cs="Arial"/>
                <w:b/>
                <w:bCs/>
                <w:color w:val="000000" w:themeColor="text1"/>
              </w:rPr>
            </w:pPr>
            <w:r w:rsidRPr="00B031A0">
              <w:rPr>
                <w:rFonts w:ascii="Arial" w:hAnsi="Arial" w:cs="Arial"/>
                <w:b/>
                <w:bCs/>
                <w:color w:val="000000" w:themeColor="text1"/>
              </w:rPr>
              <w:t>EXCLUSION CRITERIA</w:t>
            </w:r>
          </w:p>
        </w:tc>
      </w:tr>
      <w:tr w:rsidR="00490CD4" w:rsidRPr="00B031A0" w14:paraId="03E0C2C8" w14:textId="77777777" w:rsidTr="00CC457D">
        <w:trPr>
          <w:trHeight w:val="818"/>
        </w:trPr>
        <w:tc>
          <w:tcPr>
            <w:tcW w:w="2419" w:type="dxa"/>
          </w:tcPr>
          <w:p w14:paraId="19C4DCF6" w14:textId="77777777" w:rsidR="00490CD4" w:rsidRPr="00B031A0" w:rsidRDefault="00490CD4" w:rsidP="00CC457D">
            <w:pPr>
              <w:widowControl w:val="0"/>
              <w:ind w:left="108"/>
              <w:rPr>
                <w:rFonts w:ascii="Arial" w:hAnsi="Arial" w:cs="Arial"/>
                <w:b/>
                <w:bCs/>
                <w:color w:val="000000" w:themeColor="text1"/>
              </w:rPr>
            </w:pPr>
            <w:r w:rsidRPr="00B031A0">
              <w:rPr>
                <w:rFonts w:ascii="Arial" w:hAnsi="Arial" w:cs="Arial"/>
                <w:b/>
                <w:bCs/>
                <w:color w:val="000000" w:themeColor="text1"/>
              </w:rPr>
              <w:t>Population (P)</w:t>
            </w:r>
          </w:p>
        </w:tc>
        <w:tc>
          <w:tcPr>
            <w:tcW w:w="3589" w:type="dxa"/>
          </w:tcPr>
          <w:p w14:paraId="305D78BA" w14:textId="77777777" w:rsidR="00490CD4" w:rsidRPr="00B031A0" w:rsidRDefault="00490CD4" w:rsidP="00CC457D">
            <w:pPr>
              <w:widowControl w:val="0"/>
              <w:ind w:left="108" w:right="152"/>
              <w:rPr>
                <w:rFonts w:ascii="Arial" w:hAnsi="Arial" w:cs="Arial"/>
                <w:color w:val="000000" w:themeColor="text1"/>
              </w:rPr>
            </w:pPr>
            <w:r w:rsidRPr="00B031A0">
              <w:rPr>
                <w:rFonts w:ascii="Arial" w:hAnsi="Arial" w:cs="Arial"/>
                <w:color w:val="000000" w:themeColor="text1"/>
              </w:rPr>
              <w:t xml:space="preserve">Registered nurses </w:t>
            </w:r>
          </w:p>
        </w:tc>
        <w:tc>
          <w:tcPr>
            <w:tcW w:w="4052" w:type="dxa"/>
          </w:tcPr>
          <w:p w14:paraId="0CED3A43" w14:textId="77777777" w:rsidR="00490CD4" w:rsidRPr="00B031A0" w:rsidRDefault="00490CD4" w:rsidP="00CC457D">
            <w:pPr>
              <w:widowControl w:val="0"/>
              <w:ind w:left="108" w:right="152"/>
              <w:rPr>
                <w:rFonts w:ascii="Arial" w:hAnsi="Arial" w:cs="Arial"/>
                <w:color w:val="000000" w:themeColor="text1"/>
              </w:rPr>
            </w:pPr>
            <w:r w:rsidRPr="00B031A0">
              <w:rPr>
                <w:rFonts w:ascii="Arial" w:hAnsi="Arial" w:cs="Arial"/>
                <w:color w:val="000000" w:themeColor="text1"/>
              </w:rPr>
              <w:t>Other healthcare providers who are not registered nurses, along with patients, students and non-clinical personnel</w:t>
            </w:r>
          </w:p>
        </w:tc>
      </w:tr>
      <w:tr w:rsidR="00490CD4" w:rsidRPr="00B031A0" w14:paraId="37C8AD1F" w14:textId="77777777" w:rsidTr="00CC457D">
        <w:trPr>
          <w:trHeight w:val="545"/>
        </w:trPr>
        <w:tc>
          <w:tcPr>
            <w:tcW w:w="2419" w:type="dxa"/>
          </w:tcPr>
          <w:p w14:paraId="609D2D19" w14:textId="77777777" w:rsidR="00490CD4" w:rsidRPr="00B031A0" w:rsidRDefault="00490CD4" w:rsidP="00CC457D">
            <w:pPr>
              <w:widowControl w:val="0"/>
              <w:ind w:left="108"/>
              <w:rPr>
                <w:rFonts w:ascii="Arial" w:hAnsi="Arial" w:cs="Arial"/>
                <w:b/>
                <w:bCs/>
                <w:color w:val="000000" w:themeColor="text1"/>
              </w:rPr>
            </w:pPr>
            <w:r w:rsidRPr="00B031A0">
              <w:rPr>
                <w:rFonts w:ascii="Arial" w:hAnsi="Arial" w:cs="Arial"/>
                <w:b/>
                <w:bCs/>
                <w:color w:val="000000" w:themeColor="text1"/>
              </w:rPr>
              <w:t>Intervention (I)</w:t>
            </w:r>
          </w:p>
        </w:tc>
        <w:tc>
          <w:tcPr>
            <w:tcW w:w="3589" w:type="dxa"/>
          </w:tcPr>
          <w:p w14:paraId="08D80C00" w14:textId="77777777" w:rsidR="00490CD4" w:rsidRPr="00B031A0" w:rsidRDefault="00490CD4" w:rsidP="00CC457D">
            <w:pPr>
              <w:widowControl w:val="0"/>
              <w:ind w:left="108"/>
              <w:rPr>
                <w:rFonts w:ascii="Arial" w:hAnsi="Arial" w:cs="Arial"/>
                <w:color w:val="000000" w:themeColor="text1"/>
              </w:rPr>
            </w:pPr>
            <w:r w:rsidRPr="00B031A0">
              <w:rPr>
                <w:rFonts w:ascii="Arial" w:hAnsi="Arial" w:cs="Arial"/>
                <w:color w:val="000000" w:themeColor="text1"/>
              </w:rPr>
              <w:t>Practice of hand hygiene, infection prevention measures</w:t>
            </w:r>
          </w:p>
        </w:tc>
        <w:tc>
          <w:tcPr>
            <w:tcW w:w="4052" w:type="dxa"/>
          </w:tcPr>
          <w:p w14:paraId="63510F66" w14:textId="77777777" w:rsidR="00490CD4" w:rsidRPr="00B031A0" w:rsidRDefault="00490CD4" w:rsidP="00CC457D">
            <w:pPr>
              <w:widowControl w:val="0"/>
              <w:ind w:left="108"/>
              <w:rPr>
                <w:rFonts w:ascii="Arial" w:hAnsi="Arial" w:cs="Arial"/>
                <w:color w:val="000000" w:themeColor="text1"/>
              </w:rPr>
            </w:pPr>
            <w:r w:rsidRPr="00B031A0">
              <w:rPr>
                <w:rFonts w:ascii="Arial" w:hAnsi="Arial" w:cs="Arial"/>
                <w:color w:val="000000" w:themeColor="text1"/>
              </w:rPr>
              <w:t xml:space="preserve">Articles that </w:t>
            </w:r>
            <w:r>
              <w:rPr>
                <w:rFonts w:ascii="Arial" w:hAnsi="Arial" w:cs="Arial"/>
                <w:color w:val="000000" w:themeColor="text1"/>
              </w:rPr>
              <w:t>are</w:t>
            </w:r>
            <w:r w:rsidRPr="00B031A0">
              <w:rPr>
                <w:rFonts w:ascii="Arial" w:hAnsi="Arial" w:cs="Arial"/>
                <w:color w:val="000000" w:themeColor="text1"/>
              </w:rPr>
              <w:t xml:space="preserve"> not related to hand hygiene or infection prevention</w:t>
            </w:r>
          </w:p>
        </w:tc>
      </w:tr>
      <w:tr w:rsidR="00490CD4" w:rsidRPr="00B031A0" w14:paraId="0D4A9E0C" w14:textId="77777777" w:rsidTr="00CC457D">
        <w:trPr>
          <w:trHeight w:val="272"/>
        </w:trPr>
        <w:tc>
          <w:tcPr>
            <w:tcW w:w="2419" w:type="dxa"/>
          </w:tcPr>
          <w:p w14:paraId="28A65BC6" w14:textId="77777777" w:rsidR="00490CD4" w:rsidRPr="00B031A0" w:rsidRDefault="00490CD4" w:rsidP="00CC457D">
            <w:pPr>
              <w:widowControl w:val="0"/>
              <w:ind w:left="108"/>
              <w:rPr>
                <w:rFonts w:ascii="Arial" w:hAnsi="Arial" w:cs="Arial"/>
                <w:b/>
                <w:bCs/>
                <w:color w:val="000000" w:themeColor="text1"/>
              </w:rPr>
            </w:pPr>
            <w:r w:rsidRPr="00B031A0">
              <w:rPr>
                <w:rFonts w:ascii="Arial" w:hAnsi="Arial" w:cs="Arial"/>
                <w:b/>
                <w:bCs/>
                <w:color w:val="000000" w:themeColor="text1"/>
              </w:rPr>
              <w:t>Comparison (C)</w:t>
            </w:r>
          </w:p>
        </w:tc>
        <w:tc>
          <w:tcPr>
            <w:tcW w:w="3589" w:type="dxa"/>
          </w:tcPr>
          <w:p w14:paraId="111B88C9" w14:textId="77777777" w:rsidR="00490CD4" w:rsidRPr="00B031A0" w:rsidRDefault="00490CD4" w:rsidP="00CC457D">
            <w:pPr>
              <w:widowControl w:val="0"/>
              <w:ind w:left="108"/>
              <w:rPr>
                <w:rFonts w:ascii="Arial" w:hAnsi="Arial" w:cs="Arial"/>
                <w:color w:val="000000" w:themeColor="text1"/>
              </w:rPr>
            </w:pPr>
            <w:r w:rsidRPr="00B031A0">
              <w:rPr>
                <w:rFonts w:ascii="Arial" w:hAnsi="Arial" w:cs="Arial"/>
                <w:color w:val="000000" w:themeColor="text1"/>
              </w:rPr>
              <w:t>Infection prevention strategy, poor compliance and standard practice</w:t>
            </w:r>
          </w:p>
        </w:tc>
        <w:tc>
          <w:tcPr>
            <w:tcW w:w="4052" w:type="dxa"/>
          </w:tcPr>
          <w:p w14:paraId="685B2FEE" w14:textId="77777777" w:rsidR="00490CD4" w:rsidRPr="00B031A0" w:rsidRDefault="00490CD4" w:rsidP="00CC457D">
            <w:pPr>
              <w:widowControl w:val="0"/>
              <w:ind w:left="108"/>
              <w:rPr>
                <w:rFonts w:ascii="Arial" w:hAnsi="Arial" w:cs="Arial"/>
                <w:color w:val="000000" w:themeColor="text1"/>
              </w:rPr>
            </w:pPr>
            <w:r w:rsidRPr="00B031A0">
              <w:rPr>
                <w:rFonts w:ascii="Arial" w:hAnsi="Arial" w:cs="Arial"/>
                <w:color w:val="000000" w:themeColor="text1"/>
              </w:rPr>
              <w:t xml:space="preserve">Articles that do not have a relevant comparison </w:t>
            </w:r>
          </w:p>
        </w:tc>
      </w:tr>
      <w:tr w:rsidR="00490CD4" w:rsidRPr="00B031A0" w14:paraId="19C59DDA" w14:textId="77777777" w:rsidTr="00CC457D">
        <w:trPr>
          <w:trHeight w:val="818"/>
        </w:trPr>
        <w:tc>
          <w:tcPr>
            <w:tcW w:w="2419" w:type="dxa"/>
          </w:tcPr>
          <w:p w14:paraId="029DEB02" w14:textId="77777777" w:rsidR="00490CD4" w:rsidRPr="00B031A0" w:rsidRDefault="00490CD4" w:rsidP="00CC457D">
            <w:pPr>
              <w:widowControl w:val="0"/>
              <w:ind w:left="108"/>
              <w:rPr>
                <w:rFonts w:ascii="Arial" w:hAnsi="Arial" w:cs="Arial"/>
                <w:b/>
                <w:bCs/>
                <w:color w:val="000000" w:themeColor="text1"/>
              </w:rPr>
            </w:pPr>
            <w:r w:rsidRPr="00B031A0">
              <w:rPr>
                <w:rFonts w:ascii="Arial" w:hAnsi="Arial" w:cs="Arial"/>
                <w:b/>
                <w:bCs/>
                <w:color w:val="000000" w:themeColor="text1"/>
              </w:rPr>
              <w:t>Outcome (O)</w:t>
            </w:r>
          </w:p>
        </w:tc>
        <w:tc>
          <w:tcPr>
            <w:tcW w:w="3589" w:type="dxa"/>
          </w:tcPr>
          <w:p w14:paraId="7F4D6B7D" w14:textId="77777777" w:rsidR="00490CD4" w:rsidRPr="00B031A0" w:rsidRDefault="00490CD4" w:rsidP="00CC457D">
            <w:pPr>
              <w:widowControl w:val="0"/>
              <w:ind w:left="108" w:right="152"/>
              <w:rPr>
                <w:rFonts w:ascii="Arial" w:hAnsi="Arial" w:cs="Arial"/>
                <w:color w:val="000000" w:themeColor="text1"/>
              </w:rPr>
            </w:pPr>
            <w:r w:rsidRPr="00B031A0">
              <w:rPr>
                <w:rFonts w:ascii="Arial" w:hAnsi="Arial" w:cs="Arial"/>
                <w:color w:val="000000" w:themeColor="text1"/>
              </w:rPr>
              <w:t xml:space="preserve">Hand hygiene compliance, decrease in HCAIs </w:t>
            </w:r>
          </w:p>
        </w:tc>
        <w:tc>
          <w:tcPr>
            <w:tcW w:w="4052" w:type="dxa"/>
          </w:tcPr>
          <w:p w14:paraId="58218A5B" w14:textId="77777777" w:rsidR="00490CD4" w:rsidRPr="00B031A0" w:rsidRDefault="00490CD4" w:rsidP="00CC457D">
            <w:pPr>
              <w:widowControl w:val="0"/>
              <w:ind w:left="108" w:right="152"/>
              <w:rPr>
                <w:rFonts w:ascii="Arial" w:hAnsi="Arial" w:cs="Arial"/>
                <w:color w:val="000000" w:themeColor="text1"/>
              </w:rPr>
            </w:pPr>
            <w:r w:rsidRPr="00B031A0">
              <w:rPr>
                <w:rFonts w:ascii="Arial" w:hAnsi="Arial" w:cs="Arial"/>
                <w:color w:val="000000" w:themeColor="text1"/>
              </w:rPr>
              <w:t>Results that are not related to hand hygiene or infection management</w:t>
            </w:r>
          </w:p>
        </w:tc>
      </w:tr>
      <w:tr w:rsidR="00490CD4" w:rsidRPr="00B031A0" w14:paraId="308DCB75" w14:textId="77777777" w:rsidTr="00CC457D">
        <w:trPr>
          <w:trHeight w:val="818"/>
        </w:trPr>
        <w:tc>
          <w:tcPr>
            <w:tcW w:w="2419" w:type="dxa"/>
          </w:tcPr>
          <w:p w14:paraId="4D457109" w14:textId="77777777" w:rsidR="00490CD4" w:rsidRPr="00B031A0" w:rsidRDefault="00490CD4" w:rsidP="00CC457D">
            <w:pPr>
              <w:widowControl w:val="0"/>
              <w:ind w:left="108"/>
              <w:rPr>
                <w:rFonts w:ascii="Arial" w:hAnsi="Arial" w:cs="Arial"/>
                <w:b/>
                <w:bCs/>
                <w:color w:val="000000" w:themeColor="text1"/>
              </w:rPr>
            </w:pPr>
            <w:r w:rsidRPr="00B031A0">
              <w:rPr>
                <w:rFonts w:ascii="Arial" w:hAnsi="Arial" w:cs="Arial"/>
                <w:b/>
                <w:bCs/>
                <w:color w:val="000000" w:themeColor="text1"/>
              </w:rPr>
              <w:t>Setting (S)</w:t>
            </w:r>
          </w:p>
        </w:tc>
        <w:tc>
          <w:tcPr>
            <w:tcW w:w="3589" w:type="dxa"/>
          </w:tcPr>
          <w:p w14:paraId="7C0E52FD" w14:textId="77777777" w:rsidR="00490CD4" w:rsidRPr="00B031A0" w:rsidRDefault="00490CD4" w:rsidP="00CC457D">
            <w:pPr>
              <w:widowControl w:val="0"/>
              <w:ind w:left="108" w:right="152"/>
              <w:rPr>
                <w:rFonts w:ascii="Arial" w:hAnsi="Arial" w:cs="Arial"/>
                <w:color w:val="000000" w:themeColor="text1"/>
              </w:rPr>
            </w:pPr>
            <w:r w:rsidRPr="00B031A0">
              <w:rPr>
                <w:rFonts w:ascii="Arial" w:hAnsi="Arial" w:cs="Arial"/>
                <w:color w:val="000000" w:themeColor="text1"/>
              </w:rPr>
              <w:t>UK hospitals, NHS hospitals</w:t>
            </w:r>
          </w:p>
        </w:tc>
        <w:tc>
          <w:tcPr>
            <w:tcW w:w="4052" w:type="dxa"/>
          </w:tcPr>
          <w:p w14:paraId="4C92A341" w14:textId="77777777" w:rsidR="00490CD4" w:rsidRPr="00B031A0" w:rsidRDefault="00490CD4" w:rsidP="00CC457D">
            <w:pPr>
              <w:widowControl w:val="0"/>
              <w:ind w:left="108" w:right="152"/>
              <w:rPr>
                <w:rFonts w:ascii="Arial" w:hAnsi="Arial" w:cs="Arial"/>
                <w:color w:val="000000" w:themeColor="text1"/>
              </w:rPr>
            </w:pPr>
            <w:r w:rsidRPr="00B031A0">
              <w:rPr>
                <w:rFonts w:ascii="Arial" w:hAnsi="Arial" w:cs="Arial"/>
                <w:color w:val="000000" w:themeColor="text1"/>
              </w:rPr>
              <w:t>Non-UK hospitals, community care settings, nursing homes</w:t>
            </w:r>
          </w:p>
        </w:tc>
      </w:tr>
    </w:tbl>
    <w:p w14:paraId="06D45DDE" w14:textId="77777777" w:rsidR="00490CD4" w:rsidRDefault="00490CD4" w:rsidP="00490CD4">
      <w:pPr>
        <w:spacing w:before="280" w:line="240" w:lineRule="auto"/>
        <w:rPr>
          <w:rFonts w:ascii="Arial" w:hAnsi="Arial" w:cs="Arial"/>
          <w:b/>
          <w:bCs/>
          <w:color w:val="000000" w:themeColor="text1"/>
        </w:rPr>
      </w:pPr>
    </w:p>
    <w:p w14:paraId="5570C081" w14:textId="77777777" w:rsidR="00490CD4" w:rsidRPr="002E1234" w:rsidRDefault="00490CD4" w:rsidP="002E1234">
      <w:pPr>
        <w:spacing w:before="280" w:line="240" w:lineRule="auto"/>
        <w:jc w:val="center"/>
        <w:rPr>
          <w:rFonts w:ascii="Arial" w:hAnsi="Arial" w:cs="Arial"/>
          <w:b/>
          <w:bCs/>
          <w:color w:val="000000" w:themeColor="text1"/>
        </w:rPr>
      </w:pPr>
    </w:p>
    <w:p w14:paraId="62ACFF25" w14:textId="79953128" w:rsidR="00E12C0B" w:rsidRPr="00E12C0B" w:rsidRDefault="00E12C0B" w:rsidP="00E12C0B">
      <w:pPr>
        <w:spacing w:before="280" w:line="240" w:lineRule="auto"/>
        <w:jc w:val="center"/>
        <w:rPr>
          <w:rFonts w:ascii="Arial" w:hAnsi="Arial" w:cs="Arial"/>
          <w:b/>
          <w:bCs/>
          <w:color w:val="000000" w:themeColor="text1"/>
        </w:rPr>
      </w:pPr>
      <w:r w:rsidRPr="00B031A0">
        <w:rPr>
          <w:rFonts w:ascii="Arial" w:hAnsi="Arial" w:cs="Arial"/>
          <w:b/>
          <w:bCs/>
          <w:color w:val="000000" w:themeColor="text1"/>
        </w:rPr>
        <w:t xml:space="preserve">Table 3.3: Screening </w:t>
      </w:r>
      <w:r w:rsidR="006005C2">
        <w:rPr>
          <w:rFonts w:ascii="Arial" w:hAnsi="Arial" w:cs="Arial"/>
          <w:b/>
          <w:bCs/>
          <w:color w:val="000000" w:themeColor="text1"/>
        </w:rPr>
        <w:t>Results</w:t>
      </w:r>
    </w:p>
    <w:tbl>
      <w:tblPr>
        <w:tblStyle w:val="a4"/>
        <w:tblpPr w:leftFromText="180" w:rightFromText="180" w:vertAnchor="text" w:horzAnchor="margin" w:tblpXSpec="center" w:tblpY="-24"/>
        <w:tblW w:w="99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935"/>
        <w:gridCol w:w="1746"/>
        <w:gridCol w:w="1417"/>
        <w:gridCol w:w="1701"/>
        <w:gridCol w:w="1418"/>
        <w:gridCol w:w="1710"/>
      </w:tblGrid>
      <w:tr w:rsidR="00E12C0B" w:rsidRPr="00B031A0" w14:paraId="7F5884FC" w14:textId="77777777" w:rsidTr="00B25273">
        <w:trPr>
          <w:trHeight w:val="557"/>
        </w:trPr>
        <w:tc>
          <w:tcPr>
            <w:tcW w:w="1935" w:type="dxa"/>
          </w:tcPr>
          <w:p w14:paraId="7CEA383E" w14:textId="77777777" w:rsidR="00E12C0B" w:rsidRPr="00E12C0B" w:rsidRDefault="00E12C0B" w:rsidP="00D5701B">
            <w:pPr>
              <w:widowControl w:val="0"/>
              <w:ind w:left="108"/>
              <w:rPr>
                <w:rFonts w:ascii="Arial" w:hAnsi="Arial" w:cs="Arial"/>
                <w:b/>
                <w:bCs/>
                <w:color w:val="000000" w:themeColor="text1"/>
                <w:sz w:val="20"/>
                <w:szCs w:val="20"/>
              </w:rPr>
            </w:pPr>
            <w:r w:rsidRPr="00E12C0B">
              <w:rPr>
                <w:rFonts w:ascii="Arial" w:hAnsi="Arial" w:cs="Arial"/>
                <w:b/>
                <w:bCs/>
                <w:color w:val="000000" w:themeColor="text1"/>
                <w:sz w:val="20"/>
                <w:szCs w:val="20"/>
              </w:rPr>
              <w:t>Database</w:t>
            </w:r>
          </w:p>
        </w:tc>
        <w:tc>
          <w:tcPr>
            <w:tcW w:w="1746" w:type="dxa"/>
          </w:tcPr>
          <w:p w14:paraId="407C9BFC" w14:textId="77777777" w:rsidR="00E12C0B" w:rsidRPr="00E12C0B" w:rsidRDefault="00E12C0B" w:rsidP="00D5701B">
            <w:pPr>
              <w:widowControl w:val="0"/>
              <w:ind w:left="107" w:right="492"/>
              <w:rPr>
                <w:rFonts w:ascii="Arial" w:hAnsi="Arial" w:cs="Arial"/>
                <w:b/>
                <w:bCs/>
                <w:color w:val="000000" w:themeColor="text1"/>
                <w:sz w:val="20"/>
                <w:szCs w:val="20"/>
              </w:rPr>
            </w:pPr>
            <w:r w:rsidRPr="00E12C0B">
              <w:rPr>
                <w:rFonts w:ascii="Arial" w:hAnsi="Arial" w:cs="Arial"/>
                <w:b/>
                <w:bCs/>
                <w:color w:val="000000" w:themeColor="text1"/>
                <w:sz w:val="20"/>
                <w:szCs w:val="20"/>
              </w:rPr>
              <w:t>Search Dates</w:t>
            </w:r>
          </w:p>
        </w:tc>
        <w:tc>
          <w:tcPr>
            <w:tcW w:w="1417" w:type="dxa"/>
          </w:tcPr>
          <w:p w14:paraId="0778D6F6" w14:textId="77777777" w:rsidR="00E12C0B" w:rsidRPr="00E12C0B" w:rsidRDefault="00E12C0B" w:rsidP="00D5701B">
            <w:pPr>
              <w:widowControl w:val="0"/>
              <w:ind w:left="108" w:right="85"/>
              <w:rPr>
                <w:rFonts w:ascii="Arial" w:hAnsi="Arial" w:cs="Arial"/>
                <w:b/>
                <w:bCs/>
                <w:color w:val="000000" w:themeColor="text1"/>
                <w:sz w:val="20"/>
                <w:szCs w:val="20"/>
              </w:rPr>
            </w:pPr>
            <w:r w:rsidRPr="00E12C0B">
              <w:rPr>
                <w:rFonts w:ascii="Arial" w:hAnsi="Arial" w:cs="Arial"/>
                <w:b/>
                <w:bCs/>
                <w:color w:val="000000" w:themeColor="text1"/>
                <w:sz w:val="20"/>
                <w:szCs w:val="20"/>
              </w:rPr>
              <w:t>Inclusion Year</w:t>
            </w:r>
          </w:p>
        </w:tc>
        <w:tc>
          <w:tcPr>
            <w:tcW w:w="1701" w:type="dxa"/>
          </w:tcPr>
          <w:p w14:paraId="41DB48A0" w14:textId="124B5E9A" w:rsidR="00E12C0B" w:rsidRPr="00E12C0B" w:rsidRDefault="00E12C0B" w:rsidP="00D5701B">
            <w:pPr>
              <w:widowControl w:val="0"/>
              <w:ind w:left="107" w:right="630"/>
              <w:rPr>
                <w:rFonts w:ascii="Arial" w:hAnsi="Arial" w:cs="Arial"/>
                <w:b/>
                <w:bCs/>
                <w:color w:val="000000" w:themeColor="text1"/>
                <w:sz w:val="20"/>
                <w:szCs w:val="20"/>
              </w:rPr>
            </w:pPr>
            <w:r w:rsidRPr="00E12C0B">
              <w:rPr>
                <w:rFonts w:ascii="Arial" w:hAnsi="Arial" w:cs="Arial"/>
                <w:b/>
                <w:bCs/>
                <w:color w:val="000000" w:themeColor="text1"/>
                <w:sz w:val="20"/>
                <w:szCs w:val="20"/>
              </w:rPr>
              <w:t xml:space="preserve">Search </w:t>
            </w:r>
            <w:r w:rsidR="00CE151E" w:rsidRPr="00E12C0B">
              <w:rPr>
                <w:rFonts w:ascii="Arial" w:hAnsi="Arial" w:cs="Arial"/>
                <w:b/>
                <w:bCs/>
                <w:color w:val="000000" w:themeColor="text1"/>
                <w:sz w:val="20"/>
                <w:szCs w:val="20"/>
              </w:rPr>
              <w:t>Results</w:t>
            </w:r>
          </w:p>
        </w:tc>
        <w:tc>
          <w:tcPr>
            <w:tcW w:w="1418" w:type="dxa"/>
          </w:tcPr>
          <w:p w14:paraId="147DF0E1" w14:textId="77777777" w:rsidR="00E12C0B" w:rsidRPr="00E12C0B" w:rsidRDefault="00E12C0B" w:rsidP="00D5701B">
            <w:pPr>
              <w:widowControl w:val="0"/>
              <w:ind w:left="107"/>
              <w:rPr>
                <w:rFonts w:ascii="Arial" w:hAnsi="Arial" w:cs="Arial"/>
                <w:b/>
                <w:bCs/>
                <w:color w:val="000000" w:themeColor="text1"/>
                <w:sz w:val="20"/>
                <w:szCs w:val="20"/>
              </w:rPr>
            </w:pPr>
            <w:r w:rsidRPr="00E12C0B">
              <w:rPr>
                <w:rFonts w:ascii="Arial" w:hAnsi="Arial" w:cs="Arial"/>
                <w:b/>
                <w:bCs/>
                <w:color w:val="000000" w:themeColor="text1"/>
                <w:sz w:val="20"/>
                <w:szCs w:val="20"/>
              </w:rPr>
              <w:t>Duplicate Removed</w:t>
            </w:r>
          </w:p>
        </w:tc>
        <w:tc>
          <w:tcPr>
            <w:tcW w:w="1710" w:type="dxa"/>
          </w:tcPr>
          <w:p w14:paraId="3E8E978B" w14:textId="556A51DB" w:rsidR="00E12C0B" w:rsidRPr="00E12C0B" w:rsidRDefault="00E12C0B" w:rsidP="00D5701B">
            <w:pPr>
              <w:widowControl w:val="0"/>
              <w:ind w:left="107"/>
              <w:rPr>
                <w:rFonts w:ascii="Arial" w:hAnsi="Arial" w:cs="Arial"/>
                <w:b/>
                <w:bCs/>
                <w:color w:val="000000" w:themeColor="text1"/>
                <w:sz w:val="20"/>
                <w:szCs w:val="20"/>
              </w:rPr>
            </w:pPr>
            <w:r w:rsidRPr="00E12C0B">
              <w:rPr>
                <w:rFonts w:ascii="Arial" w:hAnsi="Arial" w:cs="Arial"/>
                <w:b/>
                <w:bCs/>
                <w:color w:val="000000" w:themeColor="text1"/>
                <w:sz w:val="20"/>
                <w:szCs w:val="20"/>
              </w:rPr>
              <w:t xml:space="preserve">Exported </w:t>
            </w:r>
            <w:r w:rsidR="006005C2">
              <w:rPr>
                <w:rFonts w:ascii="Arial" w:hAnsi="Arial" w:cs="Arial"/>
                <w:b/>
                <w:bCs/>
                <w:color w:val="000000" w:themeColor="text1"/>
                <w:sz w:val="20"/>
                <w:szCs w:val="20"/>
              </w:rPr>
              <w:t>to RefWorks</w:t>
            </w:r>
          </w:p>
        </w:tc>
      </w:tr>
      <w:tr w:rsidR="00E12C0B" w:rsidRPr="00B031A0" w14:paraId="028BFC2D" w14:textId="77777777" w:rsidTr="00B25273">
        <w:trPr>
          <w:trHeight w:val="277"/>
        </w:trPr>
        <w:tc>
          <w:tcPr>
            <w:tcW w:w="1935" w:type="dxa"/>
          </w:tcPr>
          <w:p w14:paraId="01F2C16B" w14:textId="77777777" w:rsidR="00E12C0B" w:rsidRPr="00B031A0" w:rsidRDefault="00E12C0B" w:rsidP="00D5701B">
            <w:pPr>
              <w:widowControl w:val="0"/>
              <w:ind w:left="108"/>
              <w:rPr>
                <w:rFonts w:ascii="Arial" w:hAnsi="Arial" w:cs="Arial"/>
                <w:color w:val="000000" w:themeColor="text1"/>
              </w:rPr>
            </w:pPr>
            <w:r w:rsidRPr="00B031A0">
              <w:rPr>
                <w:rFonts w:ascii="Arial" w:hAnsi="Arial" w:cs="Arial"/>
                <w:color w:val="000000" w:themeColor="text1"/>
              </w:rPr>
              <w:t>PubMed</w:t>
            </w:r>
          </w:p>
        </w:tc>
        <w:tc>
          <w:tcPr>
            <w:tcW w:w="1746" w:type="dxa"/>
          </w:tcPr>
          <w:p w14:paraId="58F2E1BD" w14:textId="77777777" w:rsidR="00E12C0B" w:rsidRPr="00B031A0" w:rsidRDefault="00E12C0B" w:rsidP="00D5701B">
            <w:pPr>
              <w:widowControl w:val="0"/>
              <w:ind w:left="97" w:right="88"/>
              <w:rPr>
                <w:rFonts w:ascii="Arial" w:hAnsi="Arial" w:cs="Arial"/>
                <w:color w:val="000000" w:themeColor="text1"/>
              </w:rPr>
            </w:pPr>
            <w:r w:rsidRPr="00B031A0">
              <w:rPr>
                <w:rFonts w:ascii="Arial" w:hAnsi="Arial" w:cs="Arial"/>
                <w:color w:val="000000" w:themeColor="text1"/>
              </w:rPr>
              <w:t>5-8 June 2026</w:t>
            </w:r>
          </w:p>
        </w:tc>
        <w:tc>
          <w:tcPr>
            <w:tcW w:w="1417" w:type="dxa"/>
          </w:tcPr>
          <w:p w14:paraId="78CAEE85" w14:textId="77777777" w:rsidR="00E12C0B" w:rsidRPr="00B031A0" w:rsidRDefault="00E12C0B" w:rsidP="00D5701B">
            <w:pPr>
              <w:widowControl w:val="0"/>
              <w:ind w:left="108"/>
              <w:rPr>
                <w:rFonts w:ascii="Arial" w:hAnsi="Arial" w:cs="Arial"/>
                <w:color w:val="000000" w:themeColor="text1"/>
              </w:rPr>
            </w:pPr>
            <w:r w:rsidRPr="00B031A0">
              <w:rPr>
                <w:rFonts w:ascii="Arial" w:hAnsi="Arial" w:cs="Arial"/>
                <w:color w:val="000000" w:themeColor="text1"/>
              </w:rPr>
              <w:t>2016-2026</w:t>
            </w:r>
          </w:p>
        </w:tc>
        <w:tc>
          <w:tcPr>
            <w:tcW w:w="1701" w:type="dxa"/>
          </w:tcPr>
          <w:p w14:paraId="1C2D5383" w14:textId="77777777" w:rsidR="00E12C0B" w:rsidRPr="00B031A0" w:rsidRDefault="00E12C0B" w:rsidP="00D5701B">
            <w:pPr>
              <w:widowControl w:val="0"/>
              <w:ind w:left="107"/>
              <w:rPr>
                <w:rFonts w:ascii="Arial" w:hAnsi="Arial" w:cs="Arial"/>
                <w:color w:val="000000" w:themeColor="text1"/>
              </w:rPr>
            </w:pPr>
            <w:r w:rsidRPr="00B031A0">
              <w:rPr>
                <w:rFonts w:ascii="Arial" w:hAnsi="Arial" w:cs="Arial"/>
                <w:color w:val="000000" w:themeColor="text1"/>
              </w:rPr>
              <w:t>312</w:t>
            </w:r>
          </w:p>
        </w:tc>
        <w:tc>
          <w:tcPr>
            <w:tcW w:w="1418" w:type="dxa"/>
          </w:tcPr>
          <w:p w14:paraId="11E99159" w14:textId="725E2DFA" w:rsidR="00E12C0B" w:rsidRPr="00B031A0" w:rsidRDefault="00E12C0B" w:rsidP="00D5701B">
            <w:pPr>
              <w:widowControl w:val="0"/>
              <w:ind w:left="107"/>
              <w:rPr>
                <w:rFonts w:ascii="Arial" w:hAnsi="Arial" w:cs="Arial"/>
                <w:color w:val="000000" w:themeColor="text1"/>
              </w:rPr>
            </w:pPr>
            <w:r w:rsidRPr="00B031A0">
              <w:rPr>
                <w:rFonts w:ascii="Arial" w:hAnsi="Arial" w:cs="Arial"/>
                <w:color w:val="000000" w:themeColor="text1"/>
              </w:rPr>
              <w:t>30</w:t>
            </w:r>
            <w:r w:rsidR="00D63CDD">
              <w:rPr>
                <w:rFonts w:ascii="Arial" w:hAnsi="Arial" w:cs="Arial"/>
                <w:color w:val="000000" w:themeColor="text1"/>
              </w:rPr>
              <w:t>9</w:t>
            </w:r>
          </w:p>
        </w:tc>
        <w:tc>
          <w:tcPr>
            <w:tcW w:w="1710" w:type="dxa"/>
          </w:tcPr>
          <w:p w14:paraId="4879C51E" w14:textId="05253BFA" w:rsidR="00E12C0B" w:rsidRPr="00B031A0" w:rsidRDefault="00CE151E" w:rsidP="00D5701B">
            <w:pPr>
              <w:widowControl w:val="0"/>
              <w:ind w:left="107"/>
              <w:rPr>
                <w:rFonts w:ascii="Arial" w:hAnsi="Arial" w:cs="Arial"/>
                <w:color w:val="000000" w:themeColor="text1"/>
              </w:rPr>
            </w:pPr>
            <w:r>
              <w:rPr>
                <w:rFonts w:ascii="Arial" w:hAnsi="Arial" w:cs="Arial"/>
                <w:color w:val="000000" w:themeColor="text1"/>
              </w:rPr>
              <w:t>3</w:t>
            </w:r>
          </w:p>
        </w:tc>
      </w:tr>
      <w:tr w:rsidR="00E12C0B" w:rsidRPr="00B031A0" w14:paraId="73FE1E46" w14:textId="77777777" w:rsidTr="00B25273">
        <w:trPr>
          <w:trHeight w:val="557"/>
        </w:trPr>
        <w:tc>
          <w:tcPr>
            <w:tcW w:w="1935" w:type="dxa"/>
          </w:tcPr>
          <w:p w14:paraId="4F55E984" w14:textId="77777777" w:rsidR="00E12C0B" w:rsidRPr="00B031A0" w:rsidRDefault="00E12C0B" w:rsidP="00D5701B">
            <w:pPr>
              <w:widowControl w:val="0"/>
              <w:ind w:left="108" w:right="619"/>
              <w:rPr>
                <w:rFonts w:ascii="Arial" w:hAnsi="Arial" w:cs="Arial"/>
                <w:color w:val="000000" w:themeColor="text1"/>
              </w:rPr>
            </w:pPr>
            <w:r w:rsidRPr="00B031A0">
              <w:rPr>
                <w:rFonts w:ascii="Arial" w:hAnsi="Arial" w:cs="Arial"/>
                <w:color w:val="000000" w:themeColor="text1"/>
              </w:rPr>
              <w:t>Google Scholar</w:t>
            </w:r>
          </w:p>
        </w:tc>
        <w:tc>
          <w:tcPr>
            <w:tcW w:w="1746" w:type="dxa"/>
          </w:tcPr>
          <w:p w14:paraId="2DEC5C60" w14:textId="77777777" w:rsidR="00E12C0B" w:rsidRPr="00B031A0" w:rsidRDefault="00E12C0B" w:rsidP="00D5701B">
            <w:pPr>
              <w:widowControl w:val="0"/>
              <w:ind w:left="97" w:right="88"/>
              <w:rPr>
                <w:rFonts w:ascii="Arial" w:hAnsi="Arial" w:cs="Arial"/>
                <w:color w:val="000000" w:themeColor="text1"/>
              </w:rPr>
            </w:pPr>
            <w:r w:rsidRPr="00B031A0">
              <w:rPr>
                <w:rFonts w:ascii="Arial" w:hAnsi="Arial" w:cs="Arial"/>
                <w:color w:val="000000" w:themeColor="text1"/>
              </w:rPr>
              <w:t>14-19 June 2026</w:t>
            </w:r>
          </w:p>
        </w:tc>
        <w:tc>
          <w:tcPr>
            <w:tcW w:w="1417" w:type="dxa"/>
          </w:tcPr>
          <w:p w14:paraId="5FA09D2C" w14:textId="77777777" w:rsidR="00E12C0B" w:rsidRPr="00B031A0" w:rsidRDefault="00E12C0B" w:rsidP="00D5701B">
            <w:pPr>
              <w:widowControl w:val="0"/>
              <w:ind w:left="108"/>
              <w:rPr>
                <w:rFonts w:ascii="Arial" w:hAnsi="Arial" w:cs="Arial"/>
                <w:color w:val="000000" w:themeColor="text1"/>
              </w:rPr>
            </w:pPr>
            <w:r w:rsidRPr="00B031A0">
              <w:rPr>
                <w:rFonts w:ascii="Arial" w:hAnsi="Arial" w:cs="Arial"/>
                <w:color w:val="000000" w:themeColor="text1"/>
              </w:rPr>
              <w:t>2016-2026</w:t>
            </w:r>
          </w:p>
        </w:tc>
        <w:tc>
          <w:tcPr>
            <w:tcW w:w="1701" w:type="dxa"/>
          </w:tcPr>
          <w:p w14:paraId="2FBA9A12" w14:textId="77777777" w:rsidR="00E12C0B" w:rsidRPr="00B031A0" w:rsidRDefault="00E12C0B" w:rsidP="00D5701B">
            <w:pPr>
              <w:widowControl w:val="0"/>
              <w:ind w:left="107"/>
              <w:rPr>
                <w:rFonts w:ascii="Arial" w:hAnsi="Arial" w:cs="Arial"/>
                <w:color w:val="000000" w:themeColor="text1"/>
              </w:rPr>
            </w:pPr>
            <w:r w:rsidRPr="00B031A0">
              <w:rPr>
                <w:rFonts w:ascii="Arial" w:hAnsi="Arial" w:cs="Arial"/>
                <w:color w:val="000000" w:themeColor="text1"/>
              </w:rPr>
              <w:t>284</w:t>
            </w:r>
          </w:p>
        </w:tc>
        <w:tc>
          <w:tcPr>
            <w:tcW w:w="1418" w:type="dxa"/>
          </w:tcPr>
          <w:p w14:paraId="24B56C66" w14:textId="77777777" w:rsidR="00E12C0B" w:rsidRPr="00B031A0" w:rsidRDefault="00E12C0B" w:rsidP="00D5701B">
            <w:pPr>
              <w:widowControl w:val="0"/>
              <w:ind w:left="107"/>
              <w:rPr>
                <w:rFonts w:ascii="Arial" w:hAnsi="Arial" w:cs="Arial"/>
                <w:color w:val="000000" w:themeColor="text1"/>
              </w:rPr>
            </w:pPr>
            <w:r w:rsidRPr="00B031A0">
              <w:rPr>
                <w:rFonts w:ascii="Arial" w:hAnsi="Arial" w:cs="Arial"/>
                <w:color w:val="000000" w:themeColor="text1"/>
              </w:rPr>
              <w:t>279</w:t>
            </w:r>
          </w:p>
        </w:tc>
        <w:tc>
          <w:tcPr>
            <w:tcW w:w="1710" w:type="dxa"/>
          </w:tcPr>
          <w:p w14:paraId="5F0C3FF2" w14:textId="7A240C9B" w:rsidR="00E12C0B" w:rsidRPr="00B031A0" w:rsidRDefault="00CE151E" w:rsidP="00D5701B">
            <w:pPr>
              <w:widowControl w:val="0"/>
              <w:ind w:left="107"/>
              <w:rPr>
                <w:rFonts w:ascii="Arial" w:hAnsi="Arial" w:cs="Arial"/>
                <w:color w:val="000000" w:themeColor="text1"/>
              </w:rPr>
            </w:pPr>
            <w:r>
              <w:rPr>
                <w:rFonts w:ascii="Arial" w:hAnsi="Arial" w:cs="Arial"/>
                <w:color w:val="000000" w:themeColor="text1"/>
              </w:rPr>
              <w:t>5</w:t>
            </w:r>
          </w:p>
        </w:tc>
      </w:tr>
      <w:tr w:rsidR="00E12C0B" w:rsidRPr="00B031A0" w14:paraId="198F1784" w14:textId="77777777" w:rsidTr="00B25273">
        <w:trPr>
          <w:trHeight w:val="557"/>
        </w:trPr>
        <w:tc>
          <w:tcPr>
            <w:tcW w:w="1935" w:type="dxa"/>
          </w:tcPr>
          <w:p w14:paraId="76DC4AD4" w14:textId="77777777" w:rsidR="00E12C0B" w:rsidRPr="00B031A0" w:rsidRDefault="00E12C0B" w:rsidP="00D5701B">
            <w:pPr>
              <w:widowControl w:val="0"/>
              <w:ind w:left="108" w:right="619"/>
              <w:rPr>
                <w:rFonts w:ascii="Arial" w:hAnsi="Arial" w:cs="Arial"/>
                <w:color w:val="000000" w:themeColor="text1"/>
              </w:rPr>
            </w:pPr>
            <w:r w:rsidRPr="00B031A0">
              <w:rPr>
                <w:rFonts w:ascii="Arial" w:hAnsi="Arial" w:cs="Arial"/>
                <w:color w:val="000000" w:themeColor="text1"/>
              </w:rPr>
              <w:t>Scopus</w:t>
            </w:r>
          </w:p>
        </w:tc>
        <w:tc>
          <w:tcPr>
            <w:tcW w:w="1746" w:type="dxa"/>
          </w:tcPr>
          <w:p w14:paraId="7C2F9A54" w14:textId="6B0F695C" w:rsidR="00E12C0B" w:rsidRPr="00B031A0" w:rsidRDefault="00E12C0B" w:rsidP="00D5701B">
            <w:pPr>
              <w:widowControl w:val="0"/>
              <w:ind w:left="97" w:right="88"/>
              <w:rPr>
                <w:rFonts w:ascii="Arial" w:hAnsi="Arial" w:cs="Arial"/>
                <w:color w:val="000000" w:themeColor="text1"/>
              </w:rPr>
            </w:pPr>
            <w:r w:rsidRPr="00B031A0">
              <w:rPr>
                <w:rFonts w:ascii="Arial" w:hAnsi="Arial" w:cs="Arial"/>
                <w:color w:val="000000" w:themeColor="text1"/>
              </w:rPr>
              <w:t>9-13 Ju</w:t>
            </w:r>
            <w:r w:rsidR="00CE151E">
              <w:rPr>
                <w:rFonts w:ascii="Arial" w:hAnsi="Arial" w:cs="Arial"/>
                <w:color w:val="000000" w:themeColor="text1"/>
              </w:rPr>
              <w:t>ly</w:t>
            </w:r>
            <w:r w:rsidRPr="00B031A0">
              <w:rPr>
                <w:rFonts w:ascii="Arial" w:hAnsi="Arial" w:cs="Arial"/>
                <w:color w:val="000000" w:themeColor="text1"/>
              </w:rPr>
              <w:t xml:space="preserve"> 2026</w:t>
            </w:r>
          </w:p>
        </w:tc>
        <w:tc>
          <w:tcPr>
            <w:tcW w:w="1417" w:type="dxa"/>
          </w:tcPr>
          <w:p w14:paraId="49407756" w14:textId="77777777" w:rsidR="00E12C0B" w:rsidRPr="00B031A0" w:rsidRDefault="00E12C0B" w:rsidP="00D5701B">
            <w:pPr>
              <w:widowControl w:val="0"/>
              <w:ind w:left="108"/>
              <w:rPr>
                <w:rFonts w:ascii="Arial" w:hAnsi="Arial" w:cs="Arial"/>
                <w:color w:val="000000" w:themeColor="text1"/>
              </w:rPr>
            </w:pPr>
            <w:r w:rsidRPr="00B031A0">
              <w:rPr>
                <w:rFonts w:ascii="Arial" w:hAnsi="Arial" w:cs="Arial"/>
                <w:color w:val="000000" w:themeColor="text1"/>
              </w:rPr>
              <w:t>2016-2026</w:t>
            </w:r>
          </w:p>
        </w:tc>
        <w:tc>
          <w:tcPr>
            <w:tcW w:w="1701" w:type="dxa"/>
          </w:tcPr>
          <w:p w14:paraId="492EEA98" w14:textId="77777777" w:rsidR="00E12C0B" w:rsidRPr="00B031A0" w:rsidRDefault="00E12C0B" w:rsidP="00D5701B">
            <w:pPr>
              <w:widowControl w:val="0"/>
              <w:ind w:left="107"/>
              <w:rPr>
                <w:rFonts w:ascii="Arial" w:hAnsi="Arial" w:cs="Arial"/>
                <w:color w:val="000000" w:themeColor="text1"/>
              </w:rPr>
            </w:pPr>
            <w:r w:rsidRPr="00B031A0">
              <w:rPr>
                <w:rFonts w:ascii="Arial" w:hAnsi="Arial" w:cs="Arial"/>
                <w:color w:val="000000" w:themeColor="text1"/>
              </w:rPr>
              <w:t>779</w:t>
            </w:r>
          </w:p>
        </w:tc>
        <w:tc>
          <w:tcPr>
            <w:tcW w:w="1418" w:type="dxa"/>
          </w:tcPr>
          <w:p w14:paraId="27EAA695" w14:textId="5DB644B1" w:rsidR="00E12C0B" w:rsidRPr="00B031A0" w:rsidRDefault="00E12C0B" w:rsidP="00D5701B">
            <w:pPr>
              <w:widowControl w:val="0"/>
              <w:ind w:left="107"/>
              <w:rPr>
                <w:rFonts w:ascii="Arial" w:hAnsi="Arial" w:cs="Arial"/>
                <w:color w:val="000000" w:themeColor="text1"/>
              </w:rPr>
            </w:pPr>
            <w:r w:rsidRPr="00B031A0">
              <w:rPr>
                <w:rFonts w:ascii="Arial" w:hAnsi="Arial" w:cs="Arial"/>
                <w:color w:val="000000" w:themeColor="text1"/>
              </w:rPr>
              <w:t>77</w:t>
            </w:r>
            <w:r w:rsidR="00D63CDD">
              <w:rPr>
                <w:rFonts w:ascii="Arial" w:hAnsi="Arial" w:cs="Arial"/>
                <w:color w:val="000000" w:themeColor="text1"/>
              </w:rPr>
              <w:t>5</w:t>
            </w:r>
          </w:p>
        </w:tc>
        <w:tc>
          <w:tcPr>
            <w:tcW w:w="1710" w:type="dxa"/>
          </w:tcPr>
          <w:p w14:paraId="7005620A" w14:textId="3CB72561" w:rsidR="00E12C0B" w:rsidRPr="00B031A0" w:rsidRDefault="00CE151E" w:rsidP="00D5701B">
            <w:pPr>
              <w:widowControl w:val="0"/>
              <w:ind w:left="107"/>
              <w:rPr>
                <w:rFonts w:ascii="Arial" w:hAnsi="Arial" w:cs="Arial"/>
                <w:color w:val="000000" w:themeColor="text1"/>
              </w:rPr>
            </w:pPr>
            <w:r>
              <w:rPr>
                <w:rFonts w:ascii="Arial" w:hAnsi="Arial" w:cs="Arial"/>
                <w:color w:val="000000" w:themeColor="text1"/>
              </w:rPr>
              <w:t>4</w:t>
            </w:r>
          </w:p>
        </w:tc>
      </w:tr>
      <w:tr w:rsidR="00E12C0B" w:rsidRPr="00B031A0" w14:paraId="35C34537" w14:textId="77777777" w:rsidTr="00B25273">
        <w:trPr>
          <w:trHeight w:val="277"/>
        </w:trPr>
        <w:tc>
          <w:tcPr>
            <w:tcW w:w="1935" w:type="dxa"/>
          </w:tcPr>
          <w:p w14:paraId="2185DC6D" w14:textId="77777777" w:rsidR="00E12C0B" w:rsidRPr="00B031A0" w:rsidRDefault="00E12C0B" w:rsidP="00D5701B">
            <w:pPr>
              <w:widowControl w:val="0"/>
              <w:rPr>
                <w:rFonts w:ascii="Arial" w:hAnsi="Arial" w:cs="Arial"/>
                <w:color w:val="000000" w:themeColor="text1"/>
              </w:rPr>
            </w:pPr>
            <w:r w:rsidRPr="00B031A0">
              <w:rPr>
                <w:rFonts w:ascii="Arial" w:hAnsi="Arial" w:cs="Arial"/>
                <w:color w:val="000000" w:themeColor="text1"/>
              </w:rPr>
              <w:t>Total Articles</w:t>
            </w:r>
          </w:p>
        </w:tc>
        <w:tc>
          <w:tcPr>
            <w:tcW w:w="1746" w:type="dxa"/>
          </w:tcPr>
          <w:p w14:paraId="2766014A" w14:textId="4D05BD06" w:rsidR="00E12C0B" w:rsidRPr="00B031A0" w:rsidRDefault="00E12C0B" w:rsidP="00D5701B">
            <w:pPr>
              <w:widowControl w:val="0"/>
              <w:rPr>
                <w:rFonts w:ascii="Arial" w:hAnsi="Arial" w:cs="Arial"/>
                <w:color w:val="000000" w:themeColor="text1"/>
              </w:rPr>
            </w:pPr>
            <w:r w:rsidRPr="00B031A0">
              <w:rPr>
                <w:rFonts w:ascii="Arial" w:hAnsi="Arial" w:cs="Arial"/>
                <w:color w:val="000000" w:themeColor="text1"/>
              </w:rPr>
              <w:t>5-1</w:t>
            </w:r>
            <w:r w:rsidR="00CE151E">
              <w:rPr>
                <w:rFonts w:ascii="Arial" w:hAnsi="Arial" w:cs="Arial"/>
                <w:color w:val="000000" w:themeColor="text1"/>
              </w:rPr>
              <w:t>0</w:t>
            </w:r>
            <w:r w:rsidRPr="00B031A0">
              <w:rPr>
                <w:rFonts w:ascii="Arial" w:hAnsi="Arial" w:cs="Arial"/>
                <w:color w:val="000000" w:themeColor="text1"/>
              </w:rPr>
              <w:t xml:space="preserve"> </w:t>
            </w:r>
            <w:r w:rsidR="00CE151E">
              <w:rPr>
                <w:rFonts w:ascii="Arial" w:hAnsi="Arial" w:cs="Arial"/>
                <w:color w:val="000000" w:themeColor="text1"/>
              </w:rPr>
              <w:t xml:space="preserve">August </w:t>
            </w:r>
            <w:r w:rsidRPr="00B031A0">
              <w:rPr>
                <w:rFonts w:ascii="Arial" w:hAnsi="Arial" w:cs="Arial"/>
                <w:color w:val="000000" w:themeColor="text1"/>
              </w:rPr>
              <w:t>2026</w:t>
            </w:r>
          </w:p>
        </w:tc>
        <w:tc>
          <w:tcPr>
            <w:tcW w:w="1417" w:type="dxa"/>
          </w:tcPr>
          <w:p w14:paraId="0F4C367F" w14:textId="77777777" w:rsidR="00E12C0B" w:rsidRPr="00B031A0" w:rsidRDefault="00E12C0B" w:rsidP="00D5701B">
            <w:pPr>
              <w:widowControl w:val="0"/>
              <w:ind w:left="108"/>
              <w:rPr>
                <w:rFonts w:ascii="Arial" w:hAnsi="Arial" w:cs="Arial"/>
                <w:color w:val="000000" w:themeColor="text1"/>
              </w:rPr>
            </w:pPr>
            <w:r w:rsidRPr="00B031A0">
              <w:rPr>
                <w:rFonts w:ascii="Arial" w:hAnsi="Arial" w:cs="Arial"/>
                <w:color w:val="000000" w:themeColor="text1"/>
              </w:rPr>
              <w:t>2016-2026</w:t>
            </w:r>
          </w:p>
        </w:tc>
        <w:tc>
          <w:tcPr>
            <w:tcW w:w="1701" w:type="dxa"/>
          </w:tcPr>
          <w:p w14:paraId="79D36BF7" w14:textId="77777777" w:rsidR="00E12C0B" w:rsidRPr="00B031A0" w:rsidRDefault="00E12C0B" w:rsidP="00D5701B">
            <w:pPr>
              <w:widowControl w:val="0"/>
              <w:ind w:left="107"/>
              <w:rPr>
                <w:rFonts w:ascii="Arial" w:hAnsi="Arial" w:cs="Arial"/>
                <w:color w:val="000000" w:themeColor="text1"/>
              </w:rPr>
            </w:pPr>
            <w:r w:rsidRPr="00B031A0">
              <w:rPr>
                <w:rFonts w:ascii="Arial" w:hAnsi="Arial" w:cs="Arial"/>
                <w:color w:val="000000" w:themeColor="text1"/>
              </w:rPr>
              <w:t>1375</w:t>
            </w:r>
          </w:p>
        </w:tc>
        <w:tc>
          <w:tcPr>
            <w:tcW w:w="1418" w:type="dxa"/>
          </w:tcPr>
          <w:p w14:paraId="3EE1EE06" w14:textId="309C1E80" w:rsidR="00E12C0B" w:rsidRPr="00B031A0" w:rsidRDefault="00E12C0B" w:rsidP="00D5701B">
            <w:pPr>
              <w:widowControl w:val="0"/>
              <w:ind w:left="107"/>
              <w:rPr>
                <w:rFonts w:ascii="Arial" w:hAnsi="Arial" w:cs="Arial"/>
                <w:color w:val="000000" w:themeColor="text1"/>
              </w:rPr>
            </w:pPr>
            <w:r w:rsidRPr="00B031A0">
              <w:rPr>
                <w:rFonts w:ascii="Arial" w:hAnsi="Arial" w:cs="Arial"/>
                <w:color w:val="000000" w:themeColor="text1"/>
              </w:rPr>
              <w:t>136</w:t>
            </w:r>
            <w:r w:rsidR="00D63CDD">
              <w:rPr>
                <w:rFonts w:ascii="Arial" w:hAnsi="Arial" w:cs="Arial"/>
                <w:color w:val="000000" w:themeColor="text1"/>
              </w:rPr>
              <w:t>3</w:t>
            </w:r>
          </w:p>
        </w:tc>
        <w:tc>
          <w:tcPr>
            <w:tcW w:w="1710" w:type="dxa"/>
          </w:tcPr>
          <w:p w14:paraId="7C75296D" w14:textId="33BBE94C" w:rsidR="00E12C0B" w:rsidRPr="00B031A0" w:rsidRDefault="00E12C0B" w:rsidP="00D5701B">
            <w:pPr>
              <w:widowControl w:val="0"/>
              <w:ind w:left="107"/>
              <w:rPr>
                <w:rFonts w:ascii="Arial" w:hAnsi="Arial" w:cs="Arial"/>
                <w:color w:val="000000" w:themeColor="text1"/>
              </w:rPr>
            </w:pPr>
            <w:r w:rsidRPr="00B031A0">
              <w:rPr>
                <w:rFonts w:ascii="Arial" w:hAnsi="Arial" w:cs="Arial"/>
                <w:color w:val="000000" w:themeColor="text1"/>
              </w:rPr>
              <w:t>1</w:t>
            </w:r>
            <w:r w:rsidR="00CE151E">
              <w:rPr>
                <w:rFonts w:ascii="Arial" w:hAnsi="Arial" w:cs="Arial"/>
                <w:color w:val="000000" w:themeColor="text1"/>
              </w:rPr>
              <w:t>2</w:t>
            </w:r>
          </w:p>
        </w:tc>
      </w:tr>
    </w:tbl>
    <w:p w14:paraId="39FFE101" w14:textId="77777777" w:rsidR="00C77BF3" w:rsidRPr="00B031A0" w:rsidRDefault="00115699" w:rsidP="009000CD">
      <w:pPr>
        <w:pStyle w:val="Heading1"/>
        <w:ind w:left="0" w:firstLine="0"/>
        <w:jc w:val="both"/>
      </w:pPr>
      <w:bookmarkStart w:id="37" w:name="_Toc240208817"/>
      <w:r w:rsidRPr="00B031A0">
        <w:lastRenderedPageBreak/>
        <w:t>3.13 Study Selection</w:t>
      </w:r>
      <w:bookmarkEnd w:id="37"/>
      <w:r w:rsidRPr="00B031A0">
        <w:t xml:space="preserve"> </w:t>
      </w:r>
    </w:p>
    <w:p w14:paraId="00A0A304" w14:textId="77777777" w:rsidR="00546E69" w:rsidRPr="00546E69" w:rsidRDefault="00546E69" w:rsidP="002E1234">
      <w:pPr>
        <w:rPr>
          <w:rFonts w:ascii="Arial" w:hAnsi="Arial" w:cs="Arial"/>
          <w:color w:val="000000" w:themeColor="text1"/>
        </w:rPr>
      </w:pPr>
      <w:r w:rsidRPr="00546E69">
        <w:rPr>
          <w:rFonts w:ascii="Arial" w:hAnsi="Arial" w:cs="Arial"/>
          <w:color w:val="000000" w:themeColor="text1"/>
        </w:rPr>
        <w:t xml:space="preserve">The study selection process was conducted in three sequential stages to identify studies that met the predefined inclusion and exclusion criteria. First, during the identification stage, 1,375 records were retrieved from PubMed, Scopus and Google Scholar. After the removal of duplicate records, 211 records remained for further screening. </w:t>
      </w:r>
    </w:p>
    <w:p w14:paraId="73888FAF" w14:textId="58FD1878" w:rsidR="00546E69" w:rsidRPr="00546E69" w:rsidRDefault="00546E69" w:rsidP="002E1234">
      <w:pPr>
        <w:rPr>
          <w:rFonts w:ascii="Arial" w:hAnsi="Arial" w:cs="Arial"/>
          <w:color w:val="000000" w:themeColor="text1"/>
        </w:rPr>
      </w:pPr>
      <w:r w:rsidRPr="00546E69">
        <w:rPr>
          <w:rFonts w:ascii="Arial" w:hAnsi="Arial" w:cs="Arial"/>
          <w:color w:val="000000" w:themeColor="text1"/>
        </w:rPr>
        <w:t xml:space="preserve">Second, during the screening stage, the titles and abstracts of the 211 records were examined against the eligibility criteria. Studies that were not related to nurses’ hand hygiene compliance, healthcare-associated infections or UK hospital settings were excluded. </w:t>
      </w:r>
    </w:p>
    <w:p w14:paraId="26A8B982" w14:textId="688FE672" w:rsidR="002E1234" w:rsidRPr="00546E69" w:rsidRDefault="00546E69" w:rsidP="002E1234">
      <w:pPr>
        <w:rPr>
          <w:rFonts w:ascii="Arial" w:hAnsi="Arial" w:cs="Arial"/>
          <w:color w:val="000000" w:themeColor="text1"/>
          <w:lang w:val="en-US"/>
        </w:rPr>
      </w:pPr>
      <w:r w:rsidRPr="00546E69">
        <w:rPr>
          <w:rFonts w:ascii="Arial" w:hAnsi="Arial" w:cs="Arial"/>
          <w:color w:val="000000" w:themeColor="text1"/>
        </w:rPr>
        <w:t>Third, during the eligibility stage, 150 full-text articles were assessed against the predefined inclusion and exclusion criteria. A total of 61 full-text articles were excluded because they did not meet the eligibility requirements. Following the final assessment, 12 articles met the inclusion criteria and were included in the systematic review. The complete study selection process is presented in the PRISMA flow diagram below</w:t>
      </w:r>
      <w:r w:rsidR="002E1234" w:rsidRPr="00546E69">
        <w:rPr>
          <w:rFonts w:ascii="Arial" w:hAnsi="Arial" w:cs="Arial"/>
          <w:color w:val="000000" w:themeColor="text1"/>
          <w:lang w:val="en-US"/>
        </w:rPr>
        <w:t>.</w:t>
      </w:r>
    </w:p>
    <w:p w14:paraId="12E4285F" w14:textId="77777777" w:rsidR="00302E6D" w:rsidRPr="00556E57" w:rsidRDefault="00302E6D" w:rsidP="00302E6D">
      <w:pPr>
        <w:pStyle w:val="Heading1"/>
        <w:jc w:val="both"/>
        <w:rPr>
          <w:color w:val="auto"/>
        </w:rPr>
      </w:pPr>
      <w:bookmarkStart w:id="38" w:name="_Toc240208818"/>
      <w:r w:rsidRPr="00556E57">
        <w:rPr>
          <w:color w:val="auto"/>
        </w:rPr>
        <w:t>PRISMA chart</w:t>
      </w:r>
      <w:bookmarkEnd w:id="38"/>
    </w:p>
    <w:p w14:paraId="55ED81E1" w14:textId="77777777" w:rsidR="00302E6D" w:rsidRPr="00E20F08" w:rsidRDefault="00302E6D" w:rsidP="00302E6D">
      <w:pPr>
        <w:rPr>
          <w:rFonts w:ascii="Arial" w:hAnsi="Arial" w:cs="Arial"/>
          <w:b/>
          <w:bCs/>
        </w:rPr>
      </w:pPr>
      <w:r w:rsidRPr="00E20F08">
        <w:rPr>
          <w:rFonts w:ascii="Arial" w:hAnsi="Arial" w:cs="Arial"/>
          <w:b/>
          <w:bCs/>
        </w:rPr>
        <w:t xml:space="preserve">                                   Identification</w:t>
      </w:r>
    </w:p>
    <w:p w14:paraId="139C6584" w14:textId="77777777" w:rsidR="00302E6D" w:rsidRPr="00E20F08" w:rsidRDefault="00302E6D" w:rsidP="00302E6D">
      <w:pPr>
        <w:rPr>
          <w:rFonts w:ascii="Arial" w:hAnsi="Arial" w:cs="Arial"/>
        </w:rPr>
      </w:pPr>
      <w:r w:rsidRPr="00E20F08">
        <w:rPr>
          <w:rFonts w:ascii="Arial" w:hAnsi="Arial" w:cs="Arial"/>
          <w:noProof/>
        </w:rPr>
        <mc:AlternateContent>
          <mc:Choice Requires="wps">
            <w:drawing>
              <wp:anchor distT="0" distB="0" distL="114300" distR="114300" simplePos="0" relativeHeight="251659264" behindDoc="0" locked="0" layoutInCell="1" allowOverlap="1" wp14:anchorId="4C8E851C" wp14:editId="19FF9976">
                <wp:simplePos x="0" y="0"/>
                <wp:positionH relativeFrom="column">
                  <wp:posOffset>782078</wp:posOffset>
                </wp:positionH>
                <wp:positionV relativeFrom="paragraph">
                  <wp:posOffset>45225</wp:posOffset>
                </wp:positionV>
                <wp:extent cx="2779395" cy="602930"/>
                <wp:effectExtent l="0" t="0" r="40005" b="64135"/>
                <wp:wrapNone/>
                <wp:docPr id="1287862833"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9395" cy="602930"/>
                        </a:xfrm>
                        <a:prstGeom prst="rect">
                          <a:avLst/>
                        </a:prstGeom>
                        <a:solidFill>
                          <a:schemeClr val="bg2">
                            <a:lumMod val="100000"/>
                            <a:lumOff val="0"/>
                          </a:schemeClr>
                        </a:soli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1EF6B2D4" w14:textId="595C8737" w:rsidR="00302E6D" w:rsidRPr="001F45B5" w:rsidRDefault="00302E6D" w:rsidP="00302E6D">
                            <w:pPr>
                              <w:jc w:val="center"/>
                            </w:pPr>
                            <w:r>
                              <w:t xml:space="preserve">Records identified through database searching </w:t>
                            </w:r>
                            <w:r w:rsidRPr="001F45B5">
                              <w:t>(</w:t>
                            </w:r>
                            <w:r>
                              <w:t>n</w:t>
                            </w:r>
                            <w:r w:rsidRPr="001F45B5">
                              <w:t xml:space="preserve">= </w:t>
                            </w:r>
                            <w:r>
                              <w:t>1375</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C8E851C" id="_x0000_t202" coordsize="21600,21600" o:spt="202" path="m,l,21600r21600,l21600,xe">
                <v:stroke joinstyle="miter"/>
                <v:path gradientshapeok="t" o:connecttype="rect"/>
              </v:shapetype>
              <v:shape id="Text Box 9" o:spid="_x0000_s1026" type="#_x0000_t202" style="position:absolute;left:0;text-align:left;margin-left:61.6pt;margin-top:3.55pt;width:218.85pt;height:47.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" fillcolor="#eeece1 [3214]" strokecolor="#92cddc [1944]" strokeweight="1pt">
                <v:shadow on="t" color="#205867 [1608]" opacity=".5" offset="1pt"/>
                <v:textbox>
                  <w:txbxContent>
                    <w:p w14:paraId="1EF6B2D4" w14:textId="595C8737" w:rsidR="00302E6D" w:rsidRPr="001F45B5" w:rsidRDefault="00302E6D" w:rsidP="00302E6D">
                      <w:pPr>
                        <w:jc w:val="center"/>
                      </w:pPr>
                      <w:r>
                        <w:t xml:space="preserve">Records identified through database searching </w:t>
                      </w:r>
                      <w:r w:rsidRPr="001F45B5">
                        <w:t>(</w:t>
                      </w:r>
                      <w:r>
                        <w:t>n</w:t>
                      </w:r>
                      <w:r w:rsidRPr="001F45B5">
                        <w:t xml:space="preserve">= </w:t>
                      </w:r>
                      <w:r>
                        <w:t>1375</w:t>
                      </w:r>
                      <w:r w:rsidRPr="001F45B5">
                        <w:t>)</w:t>
                      </w:r>
                    </w:p>
                  </w:txbxContent>
                </v:textbox>
              </v:shape>
            </w:pict>
          </mc:Fallback>
        </mc:AlternateContent>
      </w:r>
    </w:p>
    <w:p w14:paraId="71EF2515" w14:textId="77777777" w:rsidR="00302E6D" w:rsidRPr="00E20F08" w:rsidRDefault="00302E6D" w:rsidP="00302E6D">
      <w:pPr>
        <w:rPr>
          <w:rFonts w:ascii="Arial" w:hAnsi="Arial" w:cs="Arial"/>
        </w:rPr>
      </w:pPr>
      <w:r w:rsidRPr="00E20F08">
        <w:rPr>
          <w:rFonts w:ascii="Arial" w:hAnsi="Arial" w:cs="Arial"/>
          <w:noProof/>
        </w:rPr>
        <mc:AlternateContent>
          <mc:Choice Requires="wps">
            <w:drawing>
              <wp:anchor distT="0" distB="0" distL="114300" distR="114300" simplePos="0" relativeHeight="251663360" behindDoc="0" locked="0" layoutInCell="1" allowOverlap="1" wp14:anchorId="09F26D2D" wp14:editId="345307AD">
                <wp:simplePos x="0" y="0"/>
                <wp:positionH relativeFrom="column">
                  <wp:posOffset>1821180</wp:posOffset>
                </wp:positionH>
                <wp:positionV relativeFrom="paragraph">
                  <wp:posOffset>276860</wp:posOffset>
                </wp:positionV>
                <wp:extent cx="175895" cy="572770"/>
                <wp:effectExtent l="1905" t="5080" r="12700" b="31750"/>
                <wp:wrapNone/>
                <wp:docPr id="1851064961" name="Arrow: Down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5895" cy="572770"/>
                        </a:xfrm>
                        <a:prstGeom prst="downArrow">
                          <a:avLst>
                            <a:gd name="adj1" fmla="val 50000"/>
                            <a:gd name="adj2" fmla="val 81408"/>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D043A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8" o:spid="_x0000_s1026" type="#_x0000_t67" style="position:absolute;margin-left:143.4pt;margin-top:21.8pt;width:13.85pt;height:45.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"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7E6E964E" w14:textId="77777777" w:rsidR="00302E6D" w:rsidRPr="00E20F08" w:rsidRDefault="00302E6D" w:rsidP="00302E6D">
      <w:pPr>
        <w:rPr>
          <w:rFonts w:ascii="Arial" w:hAnsi="Arial" w:cs="Arial"/>
          <w:b/>
          <w:bCs/>
        </w:rPr>
      </w:pPr>
      <w:r w:rsidRPr="00E20F08">
        <w:rPr>
          <w:rFonts w:ascii="Arial" w:hAnsi="Arial" w:cs="Arial"/>
          <w:b/>
          <w:bCs/>
        </w:rPr>
        <w:t xml:space="preserve">                                                       Screening</w:t>
      </w:r>
    </w:p>
    <w:p w14:paraId="73891BF4" w14:textId="77777777" w:rsidR="00302E6D" w:rsidRPr="00E20F08" w:rsidRDefault="00302E6D" w:rsidP="00302E6D">
      <w:pPr>
        <w:rPr>
          <w:rFonts w:ascii="Arial" w:hAnsi="Arial" w:cs="Arial"/>
          <w:b/>
          <w:bCs/>
        </w:rPr>
      </w:pPr>
      <w:r w:rsidRPr="00E20F08">
        <w:rPr>
          <w:rFonts w:ascii="Arial" w:hAnsi="Arial" w:cs="Arial"/>
          <w:noProof/>
        </w:rPr>
        <mc:AlternateContent>
          <mc:Choice Requires="wps">
            <w:drawing>
              <wp:anchor distT="0" distB="0" distL="114300" distR="114300" simplePos="0" relativeHeight="251660288" behindDoc="0" locked="0" layoutInCell="1" allowOverlap="1" wp14:anchorId="705A57C1" wp14:editId="091C4BB9">
                <wp:simplePos x="0" y="0"/>
                <wp:positionH relativeFrom="column">
                  <wp:posOffset>728283</wp:posOffset>
                </wp:positionH>
                <wp:positionV relativeFrom="paragraph">
                  <wp:posOffset>259327</wp:posOffset>
                </wp:positionV>
                <wp:extent cx="2773680" cy="639271"/>
                <wp:effectExtent l="0" t="0" r="45720" b="66040"/>
                <wp:wrapNone/>
                <wp:docPr id="1058036894"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3680" cy="639271"/>
                        </a:xfrm>
                        <a:prstGeom prst="rect">
                          <a:avLst/>
                        </a:prstGeom>
                        <a:solidFill>
                          <a:schemeClr val="bg1">
                            <a:lumMod val="100000"/>
                            <a:lumOff val="0"/>
                          </a:schemeClr>
                        </a:soli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712D6A77" w14:textId="77777777" w:rsidR="00302E6D" w:rsidRDefault="00302E6D" w:rsidP="00302E6D">
                            <w:pPr>
                              <w:jc w:val="center"/>
                            </w:pPr>
                            <w:r>
                              <w:t xml:space="preserve">Records after </w:t>
                            </w:r>
                            <w:r w:rsidRPr="001F45B5">
                              <w:t>Duplicates removed</w:t>
                            </w:r>
                            <w:r>
                              <w:t xml:space="preserve">  </w:t>
                            </w:r>
                          </w:p>
                          <w:p w14:paraId="54D99A6F" w14:textId="38A01AB5" w:rsidR="00302E6D" w:rsidRPr="001F45B5" w:rsidRDefault="00302E6D" w:rsidP="00302E6D">
                            <w:pPr>
                              <w:jc w:val="center"/>
                            </w:pPr>
                            <w:r>
                              <w:t xml:space="preserve"> </w:t>
                            </w:r>
                            <w:r w:rsidRPr="001F45B5">
                              <w:t>(</w:t>
                            </w:r>
                            <w:r>
                              <w:t>n</w:t>
                            </w:r>
                            <w:r w:rsidRPr="001F45B5">
                              <w:t xml:space="preserve">= </w:t>
                            </w:r>
                            <w:r>
                              <w:t>211</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5A57C1" id="Text Box 7" o:spid="_x0000_s1027" type="#_x0000_t202" style="position:absolute;left:0;text-align:left;margin-left:57.35pt;margin-top:20.4pt;width:218.4pt;height:50.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" fillcolor="white [3212]" strokecolor="#c2d69b [1942]" strokeweight="1pt">
                <v:shadow on="t" color="#4e6128 [1606]" opacity=".5" offset="1pt"/>
                <v:textbox>
                  <w:txbxContent>
                    <w:p w14:paraId="712D6A77" w14:textId="77777777" w:rsidR="00302E6D" w:rsidRDefault="00302E6D" w:rsidP="00302E6D">
                      <w:pPr>
                        <w:jc w:val="center"/>
                      </w:pPr>
                      <w:r>
                        <w:t xml:space="preserve">Records after </w:t>
                      </w:r>
                      <w:r w:rsidRPr="001F45B5">
                        <w:t>Duplicates removed</w:t>
                      </w:r>
                      <w:r>
                        <w:t xml:space="preserve">  </w:t>
                      </w:r>
                    </w:p>
                    <w:p w14:paraId="54D99A6F" w14:textId="38A01AB5" w:rsidR="00302E6D" w:rsidRPr="001F45B5" w:rsidRDefault="00302E6D" w:rsidP="00302E6D">
                      <w:pPr>
                        <w:jc w:val="center"/>
                      </w:pPr>
                      <w:r>
                        <w:t xml:space="preserve"> </w:t>
                      </w:r>
                      <w:r w:rsidRPr="001F45B5">
                        <w:t>(</w:t>
                      </w:r>
                      <w:r>
                        <w:t>n</w:t>
                      </w:r>
                      <w:r w:rsidRPr="001F45B5">
                        <w:t xml:space="preserve">= </w:t>
                      </w:r>
                      <w:r>
                        <w:t>211</w:t>
                      </w:r>
                      <w:r w:rsidRPr="001F45B5">
                        <w:t>)</w:t>
                      </w:r>
                    </w:p>
                  </w:txbxContent>
                </v:textbox>
              </v:shape>
            </w:pict>
          </mc:Fallback>
        </mc:AlternateContent>
      </w:r>
    </w:p>
    <w:p w14:paraId="6E0255F3" w14:textId="77777777" w:rsidR="00302E6D" w:rsidRPr="00E20F08" w:rsidRDefault="00302E6D" w:rsidP="00302E6D">
      <w:pPr>
        <w:rPr>
          <w:rFonts w:ascii="Arial" w:hAnsi="Arial" w:cs="Arial"/>
          <w:b/>
          <w:bCs/>
        </w:rPr>
      </w:pPr>
    </w:p>
    <w:p w14:paraId="6AA84449" w14:textId="01774FBD" w:rsidR="00302E6D" w:rsidRPr="00E20F08" w:rsidRDefault="00546E69" w:rsidP="00302E6D">
      <w:pPr>
        <w:rPr>
          <w:rFonts w:ascii="Arial" w:hAnsi="Arial" w:cs="Arial"/>
          <w:b/>
          <w:bCs/>
        </w:rPr>
      </w:pPr>
      <w:r w:rsidRPr="00E20F08">
        <w:rPr>
          <w:rFonts w:ascii="Arial" w:hAnsi="Arial" w:cs="Arial"/>
          <w:noProof/>
        </w:rPr>
        <mc:AlternateContent>
          <mc:Choice Requires="wps">
            <w:drawing>
              <wp:anchor distT="0" distB="0" distL="114300" distR="114300" simplePos="0" relativeHeight="251665408" behindDoc="0" locked="0" layoutInCell="1" allowOverlap="1" wp14:anchorId="46195E2A" wp14:editId="5F5615B2">
                <wp:simplePos x="0" y="0"/>
                <wp:positionH relativeFrom="column">
                  <wp:posOffset>4159306</wp:posOffset>
                </wp:positionH>
                <wp:positionV relativeFrom="paragraph">
                  <wp:posOffset>7777</wp:posOffset>
                </wp:positionV>
                <wp:extent cx="2298065" cy="1246174"/>
                <wp:effectExtent l="0" t="0" r="45085" b="49530"/>
                <wp:wrapNone/>
                <wp:docPr id="439294909"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8065" cy="1246174"/>
                        </a:xfrm>
                        <a:prstGeom prst="rect">
                          <a:avLst/>
                        </a:prstGeom>
                        <a:solidFill>
                          <a:schemeClr val="bg1">
                            <a:lumMod val="100000"/>
                            <a:lumOff val="0"/>
                          </a:schemeClr>
                        </a:solidFill>
                        <a:ln w="12700">
                          <a:solidFill>
                            <a:schemeClr val="tx1">
                              <a:lumMod val="100000"/>
                              <a:lumOff val="0"/>
                            </a:schemeClr>
                          </a:solidFill>
                          <a:miter lim="800000"/>
                          <a:headEnd/>
                          <a:tailEnd/>
                        </a:ln>
                        <a:effectLst>
                          <a:outerShdw dist="28398" dir="3806097" algn="ctr" rotWithShape="0">
                            <a:schemeClr val="accent2">
                              <a:lumMod val="50000"/>
                              <a:lumOff val="0"/>
                              <a:alpha val="50000"/>
                            </a:schemeClr>
                          </a:outerShdw>
                        </a:effectLst>
                      </wps:spPr>
                      <wps:txbx>
                        <w:txbxContent>
                          <w:p w14:paraId="609A3EB2" w14:textId="593ABC22" w:rsidR="00302E6D" w:rsidRPr="001F45B5" w:rsidRDefault="00302E6D" w:rsidP="00302E6D">
                            <w:r w:rsidRPr="001F45B5">
                              <w:t>Excluded articles</w:t>
                            </w:r>
                            <w:r>
                              <w:t xml:space="preserve"> which have repeated information, lack adequate details and are not relevant </w:t>
                            </w:r>
                            <w:r w:rsidRPr="001F45B5">
                              <w:t>(</w:t>
                            </w:r>
                            <w:r>
                              <w:t>n</w:t>
                            </w:r>
                            <w:r w:rsidRPr="001F45B5">
                              <w:t>= 1</w:t>
                            </w:r>
                            <w:r>
                              <w:t>38</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195E2A" id="Text Box 5" o:spid="_x0000_s1028" type="#_x0000_t202" style="position:absolute;left:0;text-align:left;margin-left:327.5pt;margin-top:.6pt;width:180.95pt;height:98.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" fillcolor="white [3212]" strokecolor="black [3213]" strokeweight="1pt">
                <v:shadow on="t" color="#622423 [1605]" opacity=".5" offset="1pt"/>
                <v:textbox>
                  <w:txbxContent>
                    <w:p w14:paraId="609A3EB2" w14:textId="593ABC22" w:rsidR="00302E6D" w:rsidRPr="001F45B5" w:rsidRDefault="00302E6D" w:rsidP="00302E6D">
                      <w:r w:rsidRPr="001F45B5">
                        <w:t>Excluded articles</w:t>
                      </w:r>
                      <w:r>
                        <w:t xml:space="preserve"> which have repeated information, lack adequate details and are not relevant </w:t>
                      </w:r>
                      <w:r w:rsidRPr="001F45B5">
                        <w:t>(</w:t>
                      </w:r>
                      <w:r>
                        <w:t>n</w:t>
                      </w:r>
                      <w:r w:rsidRPr="001F45B5">
                        <w:t>= 1</w:t>
                      </w:r>
                      <w:r>
                        <w:t>38</w:t>
                      </w:r>
                      <w:r w:rsidRPr="001F45B5">
                        <w:t>)</w:t>
                      </w:r>
                    </w:p>
                  </w:txbxContent>
                </v:textbox>
              </v:shape>
            </w:pict>
          </mc:Fallback>
        </mc:AlternateContent>
      </w:r>
      <w:r w:rsidR="00302E6D" w:rsidRPr="00E20F08">
        <w:rPr>
          <w:rFonts w:ascii="Arial" w:hAnsi="Arial" w:cs="Arial"/>
          <w:noProof/>
        </w:rPr>
        <mc:AlternateContent>
          <mc:Choice Requires="wps">
            <w:drawing>
              <wp:anchor distT="0" distB="0" distL="114300" distR="114300" simplePos="0" relativeHeight="251666432" behindDoc="0" locked="0" layoutInCell="1" allowOverlap="1" wp14:anchorId="01A52149" wp14:editId="36FA9455">
                <wp:simplePos x="0" y="0"/>
                <wp:positionH relativeFrom="column">
                  <wp:posOffset>1829435</wp:posOffset>
                </wp:positionH>
                <wp:positionV relativeFrom="paragraph">
                  <wp:posOffset>149860</wp:posOffset>
                </wp:positionV>
                <wp:extent cx="175895" cy="572770"/>
                <wp:effectExtent l="635" t="2540" r="13970" b="34290"/>
                <wp:wrapNone/>
                <wp:docPr id="64679076" name="Arrow: Down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5895" cy="572770"/>
                        </a:xfrm>
                        <a:prstGeom prst="downArrow">
                          <a:avLst>
                            <a:gd name="adj1" fmla="val 50000"/>
                            <a:gd name="adj2" fmla="val 81408"/>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1A6C6C9" id="Arrow: Down 6" o:spid="_x0000_s1026" type="#_x0000_t67" style="position:absolute;margin-left:144.05pt;margin-top:11.8pt;width:13.85pt;height:45.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"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r w:rsidR="00302E6D" w:rsidRPr="00E20F08">
        <w:rPr>
          <w:rFonts w:ascii="Arial" w:hAnsi="Arial" w:cs="Arial"/>
          <w:b/>
          <w:bCs/>
        </w:rPr>
        <w:t xml:space="preserve">                                </w:t>
      </w:r>
    </w:p>
    <w:p w14:paraId="54508BD8" w14:textId="5BF20D4F" w:rsidR="00302E6D" w:rsidRPr="00E20F08" w:rsidRDefault="00302E6D" w:rsidP="00302E6D">
      <w:pPr>
        <w:tabs>
          <w:tab w:val="left" w:pos="3853"/>
        </w:tabs>
        <w:rPr>
          <w:rFonts w:ascii="Arial" w:hAnsi="Arial" w:cs="Arial"/>
          <w:b/>
          <w:bCs/>
        </w:rPr>
      </w:pPr>
      <w:r w:rsidRPr="00E20F08">
        <w:rPr>
          <w:rFonts w:ascii="Arial" w:hAnsi="Arial" w:cs="Arial"/>
          <w:b/>
          <w:bCs/>
        </w:rPr>
        <w:t xml:space="preserve">      </w:t>
      </w:r>
      <w:r w:rsidRPr="00E20F08">
        <w:rPr>
          <w:rFonts w:ascii="Arial" w:hAnsi="Arial" w:cs="Arial"/>
          <w:b/>
          <w:bCs/>
        </w:rPr>
        <w:tab/>
        <w:t>Eligibility</w:t>
      </w:r>
    </w:p>
    <w:p w14:paraId="3111C9D1" w14:textId="4057C041" w:rsidR="00302E6D" w:rsidRPr="00E20F08" w:rsidRDefault="00302E6D" w:rsidP="00302E6D">
      <w:pPr>
        <w:rPr>
          <w:rFonts w:ascii="Arial" w:hAnsi="Arial" w:cs="Arial"/>
        </w:rPr>
      </w:pPr>
      <w:r w:rsidRPr="00E20F08">
        <w:rPr>
          <w:rFonts w:ascii="Arial" w:hAnsi="Arial" w:cs="Arial"/>
          <w:noProof/>
        </w:rPr>
        <mc:AlternateContent>
          <mc:Choice Requires="wps">
            <w:drawing>
              <wp:anchor distT="0" distB="0" distL="114300" distR="114300" simplePos="0" relativeHeight="251661312" behindDoc="0" locked="0" layoutInCell="1" allowOverlap="1" wp14:anchorId="315D7287" wp14:editId="0F0F43E5">
                <wp:simplePos x="0" y="0"/>
                <wp:positionH relativeFrom="column">
                  <wp:posOffset>477430</wp:posOffset>
                </wp:positionH>
                <wp:positionV relativeFrom="paragraph">
                  <wp:posOffset>15173</wp:posOffset>
                </wp:positionV>
                <wp:extent cx="3100705" cy="1014516"/>
                <wp:effectExtent l="0" t="0" r="42545" b="52705"/>
                <wp:wrapNone/>
                <wp:docPr id="649547107"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0705" cy="1014516"/>
                        </a:xfrm>
                        <a:prstGeom prst="rect">
                          <a:avLst/>
                        </a:prstGeom>
                        <a:solidFill>
                          <a:schemeClr val="bg2">
                            <a:lumMod val="100000"/>
                            <a:lumOff val="0"/>
                          </a:schemeClr>
                        </a:soli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553D0BA0" w14:textId="2DEA9E4C" w:rsidR="00302E6D" w:rsidRDefault="00302E6D" w:rsidP="00302E6D">
                            <w:pPr>
                              <w:jc w:val="center"/>
                            </w:pPr>
                            <w:r>
                              <w:t xml:space="preserve">Full-text </w:t>
                            </w:r>
                            <w:r w:rsidR="00D63CDD">
                              <w:t>article</w:t>
                            </w:r>
                            <w:r>
                              <w:t xml:space="preserve"> access eligibility (n=150)</w:t>
                            </w:r>
                          </w:p>
                          <w:p w14:paraId="5F58E52C" w14:textId="77777777" w:rsidR="00D63CDD" w:rsidRDefault="00302E6D" w:rsidP="00302E6D">
                            <w:pPr>
                              <w:jc w:val="center"/>
                            </w:pPr>
                            <w:r>
                              <w:t xml:space="preserve">Full-text articles excluded, with reasons    </w:t>
                            </w:r>
                            <w:r w:rsidR="00D63CDD">
                              <w:t xml:space="preserve"> </w:t>
                            </w:r>
                          </w:p>
                          <w:p w14:paraId="21F3EAA5" w14:textId="465C55EB" w:rsidR="00302E6D" w:rsidRDefault="00D63CDD" w:rsidP="00302E6D">
                            <w:pPr>
                              <w:jc w:val="center"/>
                            </w:pPr>
                            <w:r>
                              <w:t xml:space="preserve"> (</w:t>
                            </w:r>
                            <w:r w:rsidR="00302E6D">
                              <w:t>n= 61)</w:t>
                            </w:r>
                          </w:p>
                          <w:p w14:paraId="257D768A" w14:textId="77777777" w:rsidR="00302E6D" w:rsidRPr="001F45B5" w:rsidRDefault="00302E6D" w:rsidP="00302E6D">
                            <w:pPr>
                              <w:jc w:val="center"/>
                            </w:pPr>
                          </w:p>
                          <w:p w14:paraId="59394141" w14:textId="77777777" w:rsidR="00302E6D" w:rsidRPr="001F45B5" w:rsidRDefault="00302E6D" w:rsidP="00302E6D">
                            <w:pPr>
                              <w:jc w:val="center"/>
                            </w:pPr>
                            <w:r w:rsidRPr="001F45B5">
                              <w:t>(N</w:t>
                            </w:r>
                          </w:p>
                          <w:p w14:paraId="04895281" w14:textId="77777777" w:rsidR="00302E6D" w:rsidRDefault="00302E6D" w:rsidP="00302E6D">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5D7287" id="Text Box 4" o:spid="_x0000_s1029" type="#_x0000_t202" style="position:absolute;left:0;text-align:left;margin-left:37.6pt;margin-top:1.2pt;width:244.15pt;height:79.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" fillcolor="#eeece1 [3214]" strokecolor="#92cddc [1944]" strokeweight="1pt">
                <v:shadow on="t" color="#205867 [1608]" opacity=".5" offset="1pt"/>
                <v:textbox>
                  <w:txbxContent>
                    <w:p w14:paraId="553D0BA0" w14:textId="2DEA9E4C" w:rsidR="00302E6D" w:rsidRDefault="00302E6D" w:rsidP="00302E6D">
                      <w:pPr>
                        <w:jc w:val="center"/>
                      </w:pPr>
                      <w:r>
                        <w:t xml:space="preserve">Full-text </w:t>
                      </w:r>
                      <w:r w:rsidR="00D63CDD">
                        <w:t>article</w:t>
                      </w:r>
                      <w:r>
                        <w:t xml:space="preserve"> access eligibility (n=150)</w:t>
                      </w:r>
                    </w:p>
                    <w:p w14:paraId="5F58E52C" w14:textId="77777777" w:rsidR="00D63CDD" w:rsidRDefault="00302E6D" w:rsidP="00302E6D">
                      <w:pPr>
                        <w:jc w:val="center"/>
                      </w:pPr>
                      <w:r>
                        <w:t xml:space="preserve">Full-text articles excluded, with reasons    </w:t>
                      </w:r>
                      <w:r w:rsidR="00D63CDD">
                        <w:t xml:space="preserve"> </w:t>
                      </w:r>
                    </w:p>
                    <w:p w14:paraId="21F3EAA5" w14:textId="465C55EB" w:rsidR="00302E6D" w:rsidRDefault="00D63CDD" w:rsidP="00302E6D">
                      <w:pPr>
                        <w:jc w:val="center"/>
                      </w:pPr>
                      <w:r>
                        <w:t xml:space="preserve"> (</w:t>
                      </w:r>
                      <w:r w:rsidR="00302E6D">
                        <w:t>n= 61)</w:t>
                      </w:r>
                    </w:p>
                    <w:p w14:paraId="257D768A" w14:textId="77777777" w:rsidR="00302E6D" w:rsidRPr="001F45B5" w:rsidRDefault="00302E6D" w:rsidP="00302E6D">
                      <w:pPr>
                        <w:jc w:val="center"/>
                      </w:pPr>
                    </w:p>
                    <w:p w14:paraId="59394141" w14:textId="77777777" w:rsidR="00302E6D" w:rsidRPr="001F45B5" w:rsidRDefault="00302E6D" w:rsidP="00302E6D">
                      <w:pPr>
                        <w:jc w:val="center"/>
                      </w:pPr>
                      <w:r w:rsidRPr="001F45B5">
                        <w:t>(N</w:t>
                      </w:r>
                    </w:p>
                    <w:p w14:paraId="04895281" w14:textId="77777777" w:rsidR="00302E6D" w:rsidRDefault="00302E6D" w:rsidP="00302E6D">
                      <w:pPr>
                        <w:jc w:val="center"/>
                      </w:pPr>
                    </w:p>
                  </w:txbxContent>
                </v:textbox>
              </v:shape>
            </w:pict>
          </mc:Fallback>
        </mc:AlternateContent>
      </w:r>
    </w:p>
    <w:p w14:paraId="1278236E" w14:textId="77777777" w:rsidR="00302E6D" w:rsidRPr="00E20F08" w:rsidRDefault="00302E6D" w:rsidP="00302E6D">
      <w:pPr>
        <w:rPr>
          <w:rFonts w:ascii="Arial" w:hAnsi="Arial" w:cs="Arial"/>
        </w:rPr>
      </w:pPr>
      <w:r w:rsidRPr="00E20F08">
        <w:rPr>
          <w:rFonts w:ascii="Arial" w:hAnsi="Arial" w:cs="Arial"/>
          <w:noProof/>
        </w:rPr>
        <mc:AlternateContent>
          <mc:Choice Requires="wps">
            <w:drawing>
              <wp:anchor distT="0" distB="0" distL="114300" distR="114300" simplePos="0" relativeHeight="251664384" behindDoc="0" locked="0" layoutInCell="1" allowOverlap="1" wp14:anchorId="2B0A08EA" wp14:editId="3B04CE80">
                <wp:simplePos x="0" y="0"/>
                <wp:positionH relativeFrom="column">
                  <wp:posOffset>3606800</wp:posOffset>
                </wp:positionH>
                <wp:positionV relativeFrom="paragraph">
                  <wp:posOffset>119380</wp:posOffset>
                </wp:positionV>
                <wp:extent cx="541020" cy="152400"/>
                <wp:effectExtent l="6350" t="7620" r="14605" b="30480"/>
                <wp:wrapNone/>
                <wp:docPr id="440115672" name="Arrow: Righ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20" cy="152400"/>
                        </a:xfrm>
                        <a:prstGeom prst="rightArrow">
                          <a:avLst>
                            <a:gd name="adj1" fmla="val 50000"/>
                            <a:gd name="adj2" fmla="val 8875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A7EE4E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284pt;margin-top:9.4pt;width:42.6pt;height:1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" fillcolor="#bcbcbc [2369]" stroked="f" strokeweight="0">
                <v:fill color2="black [3200]" focusposition=".5,.5" focussize="" focus="100%" type="gradientRadial">
                  <o:fill v:ext="view" type="gradientCenter"/>
                </v:fill>
                <v:shadow on="t" color="#7f7f7f [1601]" offset="1pt"/>
              </v:shape>
            </w:pict>
          </mc:Fallback>
        </mc:AlternateContent>
      </w:r>
    </w:p>
    <w:p w14:paraId="25F3F7E6" w14:textId="77777777" w:rsidR="00302E6D" w:rsidRPr="00E20F08" w:rsidRDefault="00302E6D" w:rsidP="00302E6D">
      <w:pPr>
        <w:rPr>
          <w:rFonts w:ascii="Arial" w:hAnsi="Arial" w:cs="Arial"/>
        </w:rPr>
      </w:pPr>
      <w:r w:rsidRPr="00E20F08">
        <w:rPr>
          <w:rFonts w:ascii="Arial" w:hAnsi="Arial" w:cs="Arial"/>
          <w:noProof/>
        </w:rPr>
        <mc:AlternateContent>
          <mc:Choice Requires="wps">
            <w:drawing>
              <wp:anchor distT="0" distB="0" distL="114300" distR="114300" simplePos="0" relativeHeight="251667456" behindDoc="0" locked="0" layoutInCell="1" allowOverlap="1" wp14:anchorId="4272E801" wp14:editId="62B85012">
                <wp:simplePos x="0" y="0"/>
                <wp:positionH relativeFrom="column">
                  <wp:posOffset>1925416</wp:posOffset>
                </wp:positionH>
                <wp:positionV relativeFrom="paragraph">
                  <wp:posOffset>329773</wp:posOffset>
                </wp:positionV>
                <wp:extent cx="175895" cy="572770"/>
                <wp:effectExtent l="3810" t="1905" r="20320" b="25400"/>
                <wp:wrapNone/>
                <wp:docPr id="756993520" name="Arrow: Down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5895" cy="572770"/>
                        </a:xfrm>
                        <a:prstGeom prst="downArrow">
                          <a:avLst>
                            <a:gd name="adj1" fmla="val 50000"/>
                            <a:gd name="adj2" fmla="val 81408"/>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6C446B" id="Arrow: Down 2" o:spid="_x0000_s1026" type="#_x0000_t67" style="position:absolute;margin-left:151.6pt;margin-top:25.95pt;width:13.85pt;height:45.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"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1B79EA3B" w14:textId="77777777" w:rsidR="00302E6D" w:rsidRPr="00E20F08" w:rsidRDefault="00302E6D" w:rsidP="00302E6D">
      <w:pPr>
        <w:tabs>
          <w:tab w:val="left" w:pos="3653"/>
        </w:tabs>
        <w:rPr>
          <w:rFonts w:ascii="Arial" w:hAnsi="Arial" w:cs="Arial"/>
          <w:b/>
          <w:bCs/>
        </w:rPr>
      </w:pPr>
      <w:r w:rsidRPr="00E20F08">
        <w:rPr>
          <w:rFonts w:ascii="Arial" w:hAnsi="Arial" w:cs="Arial"/>
        </w:rPr>
        <w:lastRenderedPageBreak/>
        <w:tab/>
      </w:r>
      <w:r w:rsidRPr="00E20F08">
        <w:rPr>
          <w:rFonts w:ascii="Arial" w:hAnsi="Arial" w:cs="Arial"/>
          <w:b/>
          <w:bCs/>
        </w:rPr>
        <w:t>Included</w:t>
      </w:r>
    </w:p>
    <w:p w14:paraId="2F1B8B56" w14:textId="77777777" w:rsidR="00302E6D" w:rsidRPr="00E20F08" w:rsidRDefault="00302E6D" w:rsidP="00302E6D">
      <w:pPr>
        <w:rPr>
          <w:rFonts w:ascii="Arial" w:hAnsi="Arial" w:cs="Arial"/>
        </w:rPr>
      </w:pPr>
      <w:r w:rsidRPr="00E20F08">
        <w:rPr>
          <w:rFonts w:ascii="Arial" w:hAnsi="Arial" w:cs="Arial"/>
          <w:noProof/>
        </w:rPr>
        <mc:AlternateContent>
          <mc:Choice Requires="wps">
            <w:drawing>
              <wp:anchor distT="0" distB="0" distL="114300" distR="114300" simplePos="0" relativeHeight="251662336" behindDoc="0" locked="0" layoutInCell="1" allowOverlap="1" wp14:anchorId="778FB613" wp14:editId="258AF075">
                <wp:simplePos x="0" y="0"/>
                <wp:positionH relativeFrom="column">
                  <wp:posOffset>689464</wp:posOffset>
                </wp:positionH>
                <wp:positionV relativeFrom="paragraph">
                  <wp:posOffset>178188</wp:posOffset>
                </wp:positionV>
                <wp:extent cx="2858135" cy="351155"/>
                <wp:effectExtent l="8890" t="8890" r="9525" b="20955"/>
                <wp:wrapNone/>
                <wp:docPr id="161040486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8135" cy="351155"/>
                        </a:xfrm>
                        <a:prstGeom prst="rect">
                          <a:avLst/>
                        </a:prstGeom>
                        <a:solidFill>
                          <a:schemeClr val="bg1">
                            <a:lumMod val="100000"/>
                            <a:lumOff val="0"/>
                          </a:schemeClr>
                        </a:soli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54203E1B" w14:textId="05E36998" w:rsidR="00302E6D" w:rsidRPr="001F45B5" w:rsidRDefault="00302E6D" w:rsidP="00302E6D">
                            <w:pPr>
                              <w:jc w:val="center"/>
                            </w:pPr>
                            <w:r w:rsidRPr="001F45B5">
                              <w:t>Article meeting inclusion criteria</w:t>
                            </w:r>
                            <w:r>
                              <w:t xml:space="preserve"> </w:t>
                            </w:r>
                            <w:r w:rsidRPr="001F45B5">
                              <w:t>(</w:t>
                            </w:r>
                            <w:r>
                              <w:t>n</w:t>
                            </w:r>
                            <w:r w:rsidRPr="001F45B5">
                              <w:t>=</w:t>
                            </w:r>
                            <w:r>
                              <w:t>12)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78FB613" id="Text Box 1" o:spid="_x0000_s1030" type="#_x0000_t202" style="position:absolute;left:0;text-align:left;margin-left:54.3pt;margin-top:14.05pt;width:225.05pt;height:27.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" fillcolor="white [3212]" strokecolor="#c2d69b [1942]" strokeweight="1pt">
                <v:shadow on="t" color="#4e6128 [1606]" opacity=".5" offset="1pt"/>
                <v:textbox>
                  <w:txbxContent>
                    <w:p w14:paraId="54203E1B" w14:textId="05E36998" w:rsidR="00302E6D" w:rsidRPr="001F45B5" w:rsidRDefault="00302E6D" w:rsidP="00302E6D">
                      <w:pPr>
                        <w:jc w:val="center"/>
                      </w:pPr>
                      <w:r w:rsidRPr="001F45B5">
                        <w:t>Article meeting inclusion criteria</w:t>
                      </w:r>
                      <w:r>
                        <w:t xml:space="preserve"> </w:t>
                      </w:r>
                      <w:r w:rsidRPr="001F45B5">
                        <w:t>(</w:t>
                      </w:r>
                      <w:r>
                        <w:t>n</w:t>
                      </w:r>
                      <w:r w:rsidRPr="001F45B5">
                        <w:t>=</w:t>
                      </w:r>
                      <w:r>
                        <w:t>12)</w:t>
                      </w:r>
                    </w:p>
                  </w:txbxContent>
                </v:textbox>
              </v:shape>
            </w:pict>
          </mc:Fallback>
        </mc:AlternateContent>
      </w:r>
    </w:p>
    <w:p w14:paraId="4EBD3B08" w14:textId="77777777" w:rsidR="00302E6D" w:rsidRPr="00E20F08" w:rsidRDefault="00302E6D" w:rsidP="00302E6D">
      <w:pPr>
        <w:rPr>
          <w:rFonts w:ascii="Arial" w:hAnsi="Arial" w:cs="Arial"/>
        </w:rPr>
      </w:pPr>
    </w:p>
    <w:p w14:paraId="02A78D8F" w14:textId="77777777" w:rsidR="00B3038C" w:rsidRPr="00B3038C" w:rsidRDefault="00B3038C" w:rsidP="00C668C4">
      <w:pPr>
        <w:pStyle w:val="Heading1"/>
        <w:jc w:val="both"/>
        <w:rPr>
          <w:lang w:val="en-US"/>
        </w:rPr>
      </w:pPr>
      <w:bookmarkStart w:id="39" w:name="_Toc240208819"/>
      <w:r w:rsidRPr="00B3038C">
        <w:rPr>
          <w:lang w:val="en-US"/>
        </w:rPr>
        <w:t>3.14 Quality Assessment</w:t>
      </w:r>
      <w:bookmarkEnd w:id="39"/>
    </w:p>
    <w:p w14:paraId="70EE4E0F" w14:textId="4297C900" w:rsidR="00B3038C" w:rsidRPr="00B3038C" w:rsidRDefault="00B3038C" w:rsidP="00B3038C">
      <w:pPr>
        <w:rPr>
          <w:rFonts w:ascii="Arial" w:hAnsi="Arial" w:cs="Arial"/>
          <w:color w:val="000000" w:themeColor="text1"/>
          <w:lang w:val="en-US"/>
        </w:rPr>
      </w:pPr>
      <w:r w:rsidRPr="00B3038C">
        <w:rPr>
          <w:rFonts w:ascii="Arial" w:hAnsi="Arial" w:cs="Arial"/>
          <w:color w:val="000000" w:themeColor="text1"/>
          <w:lang w:val="en-US"/>
        </w:rPr>
        <w:t>The methodological quality of the studies included in this systematic review was assessed using an appropriate critical appraisal checklist to determine their reliability, validity and relevance to the research question</w:t>
      </w:r>
      <w:r w:rsidR="001231E4">
        <w:rPr>
          <w:rFonts w:ascii="Arial" w:hAnsi="Arial" w:cs="Arial"/>
          <w:color w:val="000000" w:themeColor="text1"/>
          <w:lang w:val="en-US"/>
        </w:rPr>
        <w:t xml:space="preserve"> (</w:t>
      </w:r>
      <w:r w:rsidR="001231E4" w:rsidRPr="001231E4">
        <w:rPr>
          <w:rFonts w:ascii="Arial" w:hAnsi="Arial" w:cs="Arial"/>
          <w:color w:val="000000" w:themeColor="text1"/>
        </w:rPr>
        <w:t>Mandrik</w:t>
      </w:r>
      <w:r w:rsidR="001231E4">
        <w:rPr>
          <w:rFonts w:ascii="Arial" w:hAnsi="Arial" w:cs="Arial"/>
          <w:color w:val="000000" w:themeColor="text1"/>
        </w:rPr>
        <w:t xml:space="preserve"> et al, 2021)</w:t>
      </w:r>
      <w:r w:rsidRPr="00B3038C">
        <w:rPr>
          <w:rFonts w:ascii="Arial" w:hAnsi="Arial" w:cs="Arial"/>
          <w:color w:val="000000" w:themeColor="text1"/>
          <w:lang w:val="en-US"/>
        </w:rPr>
        <w:t>. Each included study was assessed systematically against criteria related to the clarity of the research design, appropriateness of the methodology, participant selection, data collection, analysis and reporting of findings</w:t>
      </w:r>
      <w:r w:rsidR="00D03C69">
        <w:rPr>
          <w:rFonts w:ascii="Arial" w:hAnsi="Arial" w:cs="Arial"/>
          <w:color w:val="000000" w:themeColor="text1"/>
          <w:lang w:val="en-US"/>
        </w:rPr>
        <w:t xml:space="preserve"> (</w:t>
      </w:r>
      <w:proofErr w:type="spellStart"/>
      <w:r w:rsidR="00D03C69" w:rsidRPr="00D03C69">
        <w:rPr>
          <w:rFonts w:ascii="Arial" w:hAnsi="Arial" w:cs="Arial"/>
          <w:color w:val="000000" w:themeColor="text1"/>
        </w:rPr>
        <w:t>Migliavaca</w:t>
      </w:r>
      <w:proofErr w:type="spellEnd"/>
      <w:r w:rsidR="00D03C69">
        <w:rPr>
          <w:rFonts w:ascii="Arial" w:hAnsi="Arial" w:cs="Arial"/>
          <w:color w:val="000000" w:themeColor="text1"/>
        </w:rPr>
        <w:t xml:space="preserve"> et al, 2020)</w:t>
      </w:r>
      <w:r w:rsidRPr="00B3038C">
        <w:rPr>
          <w:rFonts w:ascii="Arial" w:hAnsi="Arial" w:cs="Arial"/>
          <w:color w:val="000000" w:themeColor="text1"/>
          <w:lang w:val="en-US"/>
        </w:rPr>
        <w:t>. The quality assessment helped identify potential methodological limitations and sources of bias within the selected studies</w:t>
      </w:r>
      <w:r w:rsidR="003C4667">
        <w:rPr>
          <w:rFonts w:ascii="Arial" w:hAnsi="Arial" w:cs="Arial"/>
          <w:color w:val="000000" w:themeColor="text1"/>
          <w:lang w:val="en-US"/>
        </w:rPr>
        <w:t xml:space="preserve"> (</w:t>
      </w:r>
      <w:r w:rsidR="003C4667" w:rsidRPr="001231E4">
        <w:rPr>
          <w:rFonts w:ascii="Arial" w:hAnsi="Arial" w:cs="Arial"/>
          <w:color w:val="000000" w:themeColor="text1"/>
        </w:rPr>
        <w:t>Mandrik</w:t>
      </w:r>
      <w:r w:rsidR="003C4667">
        <w:rPr>
          <w:rFonts w:ascii="Arial" w:hAnsi="Arial" w:cs="Arial"/>
          <w:color w:val="000000" w:themeColor="text1"/>
        </w:rPr>
        <w:t xml:space="preserve"> et al, 2021)</w:t>
      </w:r>
      <w:r w:rsidRPr="00B3038C">
        <w:rPr>
          <w:rFonts w:ascii="Arial" w:hAnsi="Arial" w:cs="Arial"/>
          <w:color w:val="000000" w:themeColor="text1"/>
          <w:lang w:val="en-US"/>
        </w:rPr>
        <w:t xml:space="preserve">. Studies were not excluded solely because of minor methodological weaknesses; instead, the appraisal findings were considered when interpreting and </w:t>
      </w:r>
      <w:proofErr w:type="spellStart"/>
      <w:r w:rsidRPr="00B3038C">
        <w:rPr>
          <w:rFonts w:ascii="Arial" w:hAnsi="Arial" w:cs="Arial"/>
          <w:color w:val="000000" w:themeColor="text1"/>
          <w:lang w:val="en-US"/>
        </w:rPr>
        <w:t>synthesising</w:t>
      </w:r>
      <w:proofErr w:type="spellEnd"/>
      <w:r w:rsidRPr="00B3038C">
        <w:rPr>
          <w:rFonts w:ascii="Arial" w:hAnsi="Arial" w:cs="Arial"/>
          <w:color w:val="000000" w:themeColor="text1"/>
          <w:lang w:val="en-US"/>
        </w:rPr>
        <w:t xml:space="preserve"> the evidence</w:t>
      </w:r>
      <w:r w:rsidR="003C4667">
        <w:rPr>
          <w:rFonts w:ascii="Arial" w:hAnsi="Arial" w:cs="Arial"/>
          <w:color w:val="000000" w:themeColor="text1"/>
          <w:lang w:val="en-US"/>
        </w:rPr>
        <w:t xml:space="preserve"> (</w:t>
      </w:r>
      <w:proofErr w:type="spellStart"/>
      <w:r w:rsidR="003C4667" w:rsidRPr="00D03C69">
        <w:rPr>
          <w:rFonts w:ascii="Arial" w:hAnsi="Arial" w:cs="Arial"/>
          <w:color w:val="000000" w:themeColor="text1"/>
        </w:rPr>
        <w:t>Migliavaca</w:t>
      </w:r>
      <w:proofErr w:type="spellEnd"/>
      <w:r w:rsidR="003C4667">
        <w:rPr>
          <w:rFonts w:ascii="Arial" w:hAnsi="Arial" w:cs="Arial"/>
          <w:color w:val="000000" w:themeColor="text1"/>
        </w:rPr>
        <w:t xml:space="preserve"> et al, 2020)</w:t>
      </w:r>
      <w:r w:rsidRPr="00B3038C">
        <w:rPr>
          <w:rFonts w:ascii="Arial" w:hAnsi="Arial" w:cs="Arial"/>
          <w:color w:val="000000" w:themeColor="text1"/>
          <w:lang w:val="en-US"/>
        </w:rPr>
        <w:t>. Applying a consistent quality assessment process strengthened the transparency and credibility of the review and helped ensure that conclusions were based on evidence of appropriate methodological quality</w:t>
      </w:r>
      <w:r w:rsidR="003C4667">
        <w:rPr>
          <w:rFonts w:ascii="Arial" w:hAnsi="Arial" w:cs="Arial"/>
          <w:color w:val="000000" w:themeColor="text1"/>
          <w:lang w:val="en-US"/>
        </w:rPr>
        <w:t xml:space="preserve"> (</w:t>
      </w:r>
      <w:proofErr w:type="spellStart"/>
      <w:r w:rsidR="003C4667" w:rsidRPr="00D03C69">
        <w:rPr>
          <w:rFonts w:ascii="Arial" w:hAnsi="Arial" w:cs="Arial"/>
          <w:color w:val="000000" w:themeColor="text1"/>
        </w:rPr>
        <w:t>Migliavaca</w:t>
      </w:r>
      <w:proofErr w:type="spellEnd"/>
      <w:r w:rsidR="003C4667">
        <w:rPr>
          <w:rFonts w:ascii="Arial" w:hAnsi="Arial" w:cs="Arial"/>
          <w:color w:val="000000" w:themeColor="text1"/>
        </w:rPr>
        <w:t xml:space="preserve"> et al, 2020)</w:t>
      </w:r>
      <w:r w:rsidRPr="00B3038C">
        <w:rPr>
          <w:rFonts w:ascii="Arial" w:hAnsi="Arial" w:cs="Arial"/>
          <w:color w:val="000000" w:themeColor="text1"/>
          <w:lang w:val="en-US"/>
        </w:rPr>
        <w:t>.</w:t>
      </w:r>
    </w:p>
    <w:p w14:paraId="0D03AF0C" w14:textId="53E52E54" w:rsidR="00C83A0C" w:rsidRPr="00C83A0C" w:rsidRDefault="00C83A0C" w:rsidP="00C83A0C">
      <w:pPr>
        <w:rPr>
          <w:rFonts w:ascii="Arial" w:hAnsi="Arial" w:cs="Arial"/>
          <w:b/>
          <w:bCs/>
          <w:color w:val="000000" w:themeColor="text1"/>
          <w:lang w:val="en-US"/>
        </w:rPr>
      </w:pPr>
      <w:r w:rsidRPr="00C83A0C">
        <w:rPr>
          <w:rFonts w:ascii="Arial" w:hAnsi="Arial" w:cs="Arial"/>
          <w:b/>
          <w:bCs/>
          <w:color w:val="000000" w:themeColor="text1"/>
          <w:lang w:val="en-US"/>
        </w:rPr>
        <w:t>Table 3</w:t>
      </w:r>
      <w:r w:rsidR="00F95AA4">
        <w:rPr>
          <w:rFonts w:ascii="Arial" w:hAnsi="Arial" w:cs="Arial"/>
          <w:b/>
          <w:bCs/>
          <w:color w:val="000000" w:themeColor="text1"/>
          <w:lang w:val="en-US"/>
        </w:rPr>
        <w:t>.4</w:t>
      </w:r>
      <w:r w:rsidRPr="00C83A0C">
        <w:rPr>
          <w:rFonts w:ascii="Arial" w:hAnsi="Arial" w:cs="Arial"/>
          <w:b/>
          <w:bCs/>
          <w:color w:val="000000" w:themeColor="text1"/>
          <w:lang w:val="en-US"/>
        </w:rPr>
        <w:t>: JBI Checklist Tool for Cross-Sectional Studies</w:t>
      </w:r>
    </w:p>
    <w:tbl>
      <w:tblPr>
        <w:tblStyle w:val="TableGrid"/>
        <w:tblW w:w="10619" w:type="dxa"/>
        <w:tblInd w:w="-772" w:type="dxa"/>
        <w:tblLook w:val="04A0" w:firstRow="1" w:lastRow="0" w:firstColumn="1" w:lastColumn="0" w:noHBand="0" w:noVBand="1"/>
      </w:tblPr>
      <w:tblGrid>
        <w:gridCol w:w="1187"/>
        <w:gridCol w:w="1007"/>
        <w:gridCol w:w="907"/>
        <w:gridCol w:w="1387"/>
        <w:gridCol w:w="1097"/>
        <w:gridCol w:w="1336"/>
        <w:gridCol w:w="1036"/>
        <w:gridCol w:w="997"/>
        <w:gridCol w:w="1067"/>
        <w:gridCol w:w="717"/>
      </w:tblGrid>
      <w:tr w:rsidR="00C83A0C" w:rsidRPr="00C83A0C" w14:paraId="2723EF60" w14:textId="77777777" w:rsidTr="00C83A0C">
        <w:trPr>
          <w:trHeight w:val="1487"/>
        </w:trPr>
        <w:tc>
          <w:tcPr>
            <w:tcW w:w="0" w:type="auto"/>
            <w:hideMark/>
          </w:tcPr>
          <w:p w14:paraId="615F2856" w14:textId="77777777" w:rsidR="00C83A0C" w:rsidRPr="00C83A0C" w:rsidRDefault="00C83A0C" w:rsidP="00C83A0C">
            <w:pPr>
              <w:spacing w:after="160" w:line="360" w:lineRule="auto"/>
              <w:rPr>
                <w:rFonts w:ascii="Arial" w:hAnsi="Arial" w:cs="Arial"/>
                <w:b/>
                <w:bCs/>
                <w:color w:val="000000" w:themeColor="text1"/>
                <w:sz w:val="18"/>
                <w:szCs w:val="18"/>
                <w:lang w:val="en-US"/>
              </w:rPr>
            </w:pPr>
            <w:r w:rsidRPr="00C83A0C">
              <w:rPr>
                <w:rFonts w:ascii="Arial" w:hAnsi="Arial" w:cs="Arial"/>
                <w:b/>
                <w:bCs/>
                <w:color w:val="000000" w:themeColor="text1"/>
                <w:sz w:val="18"/>
                <w:szCs w:val="18"/>
                <w:lang w:val="en-US"/>
              </w:rPr>
              <w:t>References</w:t>
            </w:r>
          </w:p>
        </w:tc>
        <w:tc>
          <w:tcPr>
            <w:tcW w:w="0" w:type="auto"/>
            <w:hideMark/>
          </w:tcPr>
          <w:p w14:paraId="1A9B684D" w14:textId="77777777" w:rsidR="00C83A0C" w:rsidRPr="00C83A0C" w:rsidRDefault="00C83A0C" w:rsidP="00C83A0C">
            <w:pPr>
              <w:spacing w:after="160" w:line="360" w:lineRule="auto"/>
              <w:rPr>
                <w:rFonts w:ascii="Arial" w:hAnsi="Arial" w:cs="Arial"/>
                <w:b/>
                <w:bCs/>
                <w:color w:val="000000" w:themeColor="text1"/>
                <w:sz w:val="18"/>
                <w:szCs w:val="18"/>
                <w:lang w:val="en-US"/>
              </w:rPr>
            </w:pPr>
            <w:r w:rsidRPr="00C83A0C">
              <w:rPr>
                <w:rFonts w:ascii="Arial" w:hAnsi="Arial" w:cs="Arial"/>
                <w:b/>
                <w:bCs/>
                <w:color w:val="000000" w:themeColor="text1"/>
                <w:sz w:val="18"/>
                <w:szCs w:val="18"/>
                <w:lang w:val="en-US"/>
              </w:rPr>
              <w:t>Inclusion criteria</w:t>
            </w:r>
          </w:p>
        </w:tc>
        <w:tc>
          <w:tcPr>
            <w:tcW w:w="0" w:type="auto"/>
            <w:hideMark/>
          </w:tcPr>
          <w:p w14:paraId="56FD0B84" w14:textId="77777777" w:rsidR="00C83A0C" w:rsidRPr="00C83A0C" w:rsidRDefault="00C83A0C" w:rsidP="00C83A0C">
            <w:pPr>
              <w:spacing w:after="160" w:line="360" w:lineRule="auto"/>
              <w:rPr>
                <w:rFonts w:ascii="Arial" w:hAnsi="Arial" w:cs="Arial"/>
                <w:b/>
                <w:bCs/>
                <w:color w:val="000000" w:themeColor="text1"/>
                <w:sz w:val="18"/>
                <w:szCs w:val="18"/>
                <w:lang w:val="en-US"/>
              </w:rPr>
            </w:pPr>
            <w:r w:rsidRPr="00C83A0C">
              <w:rPr>
                <w:rFonts w:ascii="Arial" w:hAnsi="Arial" w:cs="Arial"/>
                <w:b/>
                <w:bCs/>
                <w:color w:val="000000" w:themeColor="text1"/>
                <w:sz w:val="18"/>
                <w:szCs w:val="18"/>
                <w:lang w:val="en-US"/>
              </w:rPr>
              <w:t>Study settings</w:t>
            </w:r>
          </w:p>
        </w:tc>
        <w:tc>
          <w:tcPr>
            <w:tcW w:w="0" w:type="auto"/>
            <w:hideMark/>
          </w:tcPr>
          <w:p w14:paraId="44AFB3F9" w14:textId="77777777" w:rsidR="00C83A0C" w:rsidRPr="00C83A0C" w:rsidRDefault="00C83A0C" w:rsidP="00C83A0C">
            <w:pPr>
              <w:spacing w:after="160" w:line="360" w:lineRule="auto"/>
              <w:rPr>
                <w:rFonts w:ascii="Arial" w:hAnsi="Arial" w:cs="Arial"/>
                <w:b/>
                <w:bCs/>
                <w:color w:val="000000" w:themeColor="text1"/>
                <w:sz w:val="18"/>
                <w:szCs w:val="18"/>
                <w:lang w:val="en-US"/>
              </w:rPr>
            </w:pPr>
            <w:r w:rsidRPr="00C83A0C">
              <w:rPr>
                <w:rFonts w:ascii="Arial" w:hAnsi="Arial" w:cs="Arial"/>
                <w:b/>
                <w:bCs/>
                <w:color w:val="000000" w:themeColor="text1"/>
                <w:sz w:val="18"/>
                <w:szCs w:val="18"/>
                <w:lang w:val="en-US"/>
              </w:rPr>
              <w:t>Exposure measurement</w:t>
            </w:r>
          </w:p>
        </w:tc>
        <w:tc>
          <w:tcPr>
            <w:tcW w:w="0" w:type="auto"/>
            <w:hideMark/>
          </w:tcPr>
          <w:p w14:paraId="23983C50" w14:textId="77777777" w:rsidR="00C83A0C" w:rsidRPr="00C83A0C" w:rsidRDefault="00C83A0C" w:rsidP="00C83A0C">
            <w:pPr>
              <w:spacing w:after="160" w:line="360" w:lineRule="auto"/>
              <w:rPr>
                <w:rFonts w:ascii="Arial" w:hAnsi="Arial" w:cs="Arial"/>
                <w:b/>
                <w:bCs/>
                <w:color w:val="000000" w:themeColor="text1"/>
                <w:sz w:val="18"/>
                <w:szCs w:val="18"/>
                <w:lang w:val="en-US"/>
              </w:rPr>
            </w:pPr>
            <w:r w:rsidRPr="00C83A0C">
              <w:rPr>
                <w:rFonts w:ascii="Arial" w:hAnsi="Arial" w:cs="Arial"/>
                <w:b/>
                <w:bCs/>
                <w:color w:val="000000" w:themeColor="text1"/>
                <w:sz w:val="18"/>
                <w:szCs w:val="18"/>
                <w:lang w:val="en-US"/>
              </w:rPr>
              <w:t>Standard procedure</w:t>
            </w:r>
          </w:p>
        </w:tc>
        <w:tc>
          <w:tcPr>
            <w:tcW w:w="0" w:type="auto"/>
            <w:hideMark/>
          </w:tcPr>
          <w:p w14:paraId="224E8F46" w14:textId="77777777" w:rsidR="00C83A0C" w:rsidRPr="00C83A0C" w:rsidRDefault="00C83A0C" w:rsidP="00C83A0C">
            <w:pPr>
              <w:spacing w:after="160" w:line="360" w:lineRule="auto"/>
              <w:rPr>
                <w:rFonts w:ascii="Arial" w:hAnsi="Arial" w:cs="Arial"/>
                <w:b/>
                <w:bCs/>
                <w:color w:val="000000" w:themeColor="text1"/>
                <w:sz w:val="18"/>
                <w:szCs w:val="18"/>
                <w:lang w:val="en-US"/>
              </w:rPr>
            </w:pPr>
            <w:r w:rsidRPr="00C83A0C">
              <w:rPr>
                <w:rFonts w:ascii="Arial" w:hAnsi="Arial" w:cs="Arial"/>
                <w:b/>
                <w:bCs/>
                <w:color w:val="000000" w:themeColor="text1"/>
                <w:sz w:val="18"/>
                <w:szCs w:val="18"/>
                <w:lang w:val="en-US"/>
              </w:rPr>
              <w:t>Confounding factors</w:t>
            </w:r>
          </w:p>
        </w:tc>
        <w:tc>
          <w:tcPr>
            <w:tcW w:w="0" w:type="auto"/>
            <w:hideMark/>
          </w:tcPr>
          <w:p w14:paraId="3ADB2B79" w14:textId="77777777" w:rsidR="00C83A0C" w:rsidRPr="00C83A0C" w:rsidRDefault="00C83A0C" w:rsidP="00C83A0C">
            <w:pPr>
              <w:spacing w:after="160" w:line="360" w:lineRule="auto"/>
              <w:rPr>
                <w:rFonts w:ascii="Arial" w:hAnsi="Arial" w:cs="Arial"/>
                <w:b/>
                <w:bCs/>
                <w:color w:val="000000" w:themeColor="text1"/>
                <w:sz w:val="18"/>
                <w:szCs w:val="18"/>
                <w:lang w:val="en-US"/>
              </w:rPr>
            </w:pPr>
            <w:r w:rsidRPr="00C83A0C">
              <w:rPr>
                <w:rFonts w:ascii="Arial" w:hAnsi="Arial" w:cs="Arial"/>
                <w:b/>
                <w:bCs/>
                <w:color w:val="000000" w:themeColor="text1"/>
                <w:sz w:val="18"/>
                <w:szCs w:val="18"/>
                <w:lang w:val="en-US"/>
              </w:rPr>
              <w:t xml:space="preserve">Strategy to </w:t>
            </w:r>
            <w:proofErr w:type="gramStart"/>
            <w:r w:rsidRPr="00C83A0C">
              <w:rPr>
                <w:rFonts w:ascii="Arial" w:hAnsi="Arial" w:cs="Arial"/>
                <w:b/>
                <w:bCs/>
                <w:color w:val="000000" w:themeColor="text1"/>
                <w:sz w:val="18"/>
                <w:szCs w:val="18"/>
                <w:lang w:val="en-US"/>
              </w:rPr>
              <w:t>deal</w:t>
            </w:r>
            <w:proofErr w:type="gramEnd"/>
            <w:r w:rsidRPr="00C83A0C">
              <w:rPr>
                <w:rFonts w:ascii="Arial" w:hAnsi="Arial" w:cs="Arial"/>
                <w:b/>
                <w:bCs/>
                <w:color w:val="000000" w:themeColor="text1"/>
                <w:sz w:val="18"/>
                <w:szCs w:val="18"/>
                <w:lang w:val="en-US"/>
              </w:rPr>
              <w:t xml:space="preserve"> confound factors</w:t>
            </w:r>
          </w:p>
        </w:tc>
        <w:tc>
          <w:tcPr>
            <w:tcW w:w="0" w:type="auto"/>
            <w:hideMark/>
          </w:tcPr>
          <w:p w14:paraId="051F9FE5" w14:textId="77777777" w:rsidR="00C83A0C" w:rsidRPr="00C83A0C" w:rsidRDefault="00C83A0C" w:rsidP="00C83A0C">
            <w:pPr>
              <w:spacing w:after="160" w:line="360" w:lineRule="auto"/>
              <w:rPr>
                <w:rFonts w:ascii="Arial" w:hAnsi="Arial" w:cs="Arial"/>
                <w:b/>
                <w:bCs/>
                <w:color w:val="000000" w:themeColor="text1"/>
                <w:sz w:val="18"/>
                <w:szCs w:val="18"/>
                <w:lang w:val="en-US"/>
              </w:rPr>
            </w:pPr>
            <w:r w:rsidRPr="00C83A0C">
              <w:rPr>
                <w:rFonts w:ascii="Arial" w:hAnsi="Arial" w:cs="Arial"/>
                <w:b/>
                <w:bCs/>
                <w:color w:val="000000" w:themeColor="text1"/>
                <w:sz w:val="18"/>
                <w:szCs w:val="18"/>
                <w:lang w:val="en-US"/>
              </w:rPr>
              <w:t>Outcome</w:t>
            </w:r>
          </w:p>
        </w:tc>
        <w:tc>
          <w:tcPr>
            <w:tcW w:w="0" w:type="auto"/>
            <w:hideMark/>
          </w:tcPr>
          <w:p w14:paraId="2945CCFD" w14:textId="77777777" w:rsidR="00C83A0C" w:rsidRPr="00C83A0C" w:rsidRDefault="00C83A0C" w:rsidP="00C83A0C">
            <w:pPr>
              <w:spacing w:after="160" w:line="360" w:lineRule="auto"/>
              <w:rPr>
                <w:rFonts w:ascii="Arial" w:hAnsi="Arial" w:cs="Arial"/>
                <w:b/>
                <w:bCs/>
                <w:color w:val="000000" w:themeColor="text1"/>
                <w:sz w:val="18"/>
                <w:szCs w:val="18"/>
                <w:lang w:val="en-US"/>
              </w:rPr>
            </w:pPr>
            <w:r w:rsidRPr="00C83A0C">
              <w:rPr>
                <w:rFonts w:ascii="Arial" w:hAnsi="Arial" w:cs="Arial"/>
                <w:b/>
                <w:bCs/>
                <w:color w:val="000000" w:themeColor="text1"/>
                <w:sz w:val="18"/>
                <w:szCs w:val="18"/>
                <w:lang w:val="en-US"/>
              </w:rPr>
              <w:t>Statistical analysis</w:t>
            </w:r>
          </w:p>
        </w:tc>
        <w:tc>
          <w:tcPr>
            <w:tcW w:w="0" w:type="auto"/>
            <w:hideMark/>
          </w:tcPr>
          <w:p w14:paraId="75D5D39C" w14:textId="77777777" w:rsidR="00C83A0C" w:rsidRPr="00C83A0C" w:rsidRDefault="00C83A0C" w:rsidP="00C83A0C">
            <w:pPr>
              <w:spacing w:after="160" w:line="360" w:lineRule="auto"/>
              <w:rPr>
                <w:rFonts w:ascii="Arial" w:hAnsi="Arial" w:cs="Arial"/>
                <w:b/>
                <w:bCs/>
                <w:color w:val="000000" w:themeColor="text1"/>
                <w:sz w:val="18"/>
                <w:szCs w:val="18"/>
                <w:lang w:val="en-US"/>
              </w:rPr>
            </w:pPr>
            <w:r w:rsidRPr="00C83A0C">
              <w:rPr>
                <w:rFonts w:ascii="Arial" w:hAnsi="Arial" w:cs="Arial"/>
                <w:b/>
                <w:bCs/>
                <w:color w:val="000000" w:themeColor="text1"/>
                <w:sz w:val="18"/>
                <w:szCs w:val="18"/>
                <w:lang w:val="en-US"/>
              </w:rPr>
              <w:t>Score /8</w:t>
            </w:r>
          </w:p>
        </w:tc>
      </w:tr>
      <w:tr w:rsidR="00C83A0C" w:rsidRPr="00C83A0C" w14:paraId="2E82F7FB" w14:textId="77777777" w:rsidTr="00C83A0C">
        <w:trPr>
          <w:trHeight w:val="676"/>
        </w:trPr>
        <w:tc>
          <w:tcPr>
            <w:tcW w:w="0" w:type="auto"/>
            <w:hideMark/>
          </w:tcPr>
          <w:p w14:paraId="28A2F857"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Burns et al. (2021)</w:t>
            </w:r>
          </w:p>
        </w:tc>
        <w:tc>
          <w:tcPr>
            <w:tcW w:w="0" w:type="auto"/>
            <w:hideMark/>
          </w:tcPr>
          <w:p w14:paraId="0F1DD981"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072DF0AD"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0876C2EA"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4F2048F9"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249C5A9D"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NO</w:t>
            </w:r>
          </w:p>
        </w:tc>
        <w:tc>
          <w:tcPr>
            <w:tcW w:w="0" w:type="auto"/>
            <w:hideMark/>
          </w:tcPr>
          <w:p w14:paraId="1D4D10EE"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NO</w:t>
            </w:r>
          </w:p>
        </w:tc>
        <w:tc>
          <w:tcPr>
            <w:tcW w:w="0" w:type="auto"/>
            <w:hideMark/>
          </w:tcPr>
          <w:p w14:paraId="308F3069"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0040FD99"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584D74B4" w14:textId="7BE93C7C"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6</w:t>
            </w:r>
          </w:p>
        </w:tc>
      </w:tr>
      <w:tr w:rsidR="00C83A0C" w:rsidRPr="00C83A0C" w14:paraId="1000011C" w14:textId="77777777" w:rsidTr="00C83A0C">
        <w:trPr>
          <w:trHeight w:val="954"/>
        </w:trPr>
        <w:tc>
          <w:tcPr>
            <w:tcW w:w="0" w:type="auto"/>
            <w:hideMark/>
          </w:tcPr>
          <w:p w14:paraId="71703132" w14:textId="641C0AF4"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 xml:space="preserve">Cawthorne </w:t>
            </w:r>
            <w:r>
              <w:rPr>
                <w:rFonts w:ascii="Arial" w:hAnsi="Arial" w:cs="Arial"/>
                <w:color w:val="000000" w:themeColor="text1"/>
                <w:sz w:val="18"/>
                <w:szCs w:val="18"/>
                <w:lang w:val="en-US"/>
              </w:rPr>
              <w:t>and</w:t>
            </w:r>
            <w:r w:rsidRPr="00C83A0C">
              <w:rPr>
                <w:rFonts w:ascii="Arial" w:hAnsi="Arial" w:cs="Arial"/>
                <w:color w:val="000000" w:themeColor="text1"/>
                <w:sz w:val="18"/>
                <w:szCs w:val="18"/>
                <w:lang w:val="en-US"/>
              </w:rPr>
              <w:t xml:space="preserve"> Cooke (2020)</w:t>
            </w:r>
          </w:p>
        </w:tc>
        <w:tc>
          <w:tcPr>
            <w:tcW w:w="0" w:type="auto"/>
            <w:hideMark/>
          </w:tcPr>
          <w:p w14:paraId="781C4345"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6F4DB4DC"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13205370"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5A2D985F"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223B668E"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NO</w:t>
            </w:r>
          </w:p>
        </w:tc>
        <w:tc>
          <w:tcPr>
            <w:tcW w:w="0" w:type="auto"/>
            <w:hideMark/>
          </w:tcPr>
          <w:p w14:paraId="5BDA1A98"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NO</w:t>
            </w:r>
          </w:p>
        </w:tc>
        <w:tc>
          <w:tcPr>
            <w:tcW w:w="0" w:type="auto"/>
            <w:hideMark/>
          </w:tcPr>
          <w:p w14:paraId="593B1E39"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4C0344DA"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3475385C" w14:textId="64C9299E"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6</w:t>
            </w:r>
          </w:p>
        </w:tc>
      </w:tr>
      <w:tr w:rsidR="00C83A0C" w:rsidRPr="00C83A0C" w14:paraId="19E11995" w14:textId="77777777" w:rsidTr="00C83A0C">
        <w:trPr>
          <w:trHeight w:val="687"/>
        </w:trPr>
        <w:tc>
          <w:tcPr>
            <w:tcW w:w="0" w:type="auto"/>
            <w:hideMark/>
          </w:tcPr>
          <w:p w14:paraId="6B3740EC"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King et al. (2016)</w:t>
            </w:r>
          </w:p>
        </w:tc>
        <w:tc>
          <w:tcPr>
            <w:tcW w:w="0" w:type="auto"/>
            <w:hideMark/>
          </w:tcPr>
          <w:p w14:paraId="41C28EF4"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5FF2EBCC"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054CE40E"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71D5929F"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2966DE0A"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6A60FE45"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260798B3"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0C79D9A1"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399EBDB8" w14:textId="20A0C611"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8</w:t>
            </w:r>
          </w:p>
        </w:tc>
      </w:tr>
      <w:tr w:rsidR="00C83A0C" w:rsidRPr="00C83A0C" w14:paraId="30921BAE" w14:textId="77777777" w:rsidTr="00C83A0C">
        <w:trPr>
          <w:trHeight w:val="676"/>
        </w:trPr>
        <w:tc>
          <w:tcPr>
            <w:tcW w:w="0" w:type="auto"/>
            <w:hideMark/>
          </w:tcPr>
          <w:p w14:paraId="6B9F2585"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Gould et al. (2020)</w:t>
            </w:r>
          </w:p>
        </w:tc>
        <w:tc>
          <w:tcPr>
            <w:tcW w:w="0" w:type="auto"/>
            <w:hideMark/>
          </w:tcPr>
          <w:p w14:paraId="536F4897"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6F40AAA2"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1EDF0AA1"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6DA78D0A"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4FDAAE92"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1367ED49"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1506BF9F"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3EF1EFC8" w14:textId="77777777"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14:paraId="6288AE43" w14:textId="3EAC833E" w:rsidR="00C83A0C" w:rsidRPr="00C83A0C" w:rsidRDefault="00C83A0C" w:rsidP="00C83A0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8</w:t>
            </w:r>
          </w:p>
        </w:tc>
      </w:tr>
    </w:tbl>
    <w:p w14:paraId="224FB4F0" w14:textId="77777777" w:rsidR="00C83A0C" w:rsidRDefault="00C83A0C" w:rsidP="00C83A0C">
      <w:pPr>
        <w:rPr>
          <w:rFonts w:ascii="Arial" w:hAnsi="Arial" w:cs="Arial"/>
          <w:b/>
          <w:bCs/>
          <w:color w:val="000000" w:themeColor="text1"/>
          <w:lang w:val="en-US"/>
        </w:rPr>
      </w:pPr>
    </w:p>
    <w:p w14:paraId="4177E381" w14:textId="41259656" w:rsidR="00C83A0C" w:rsidRPr="00C83A0C" w:rsidRDefault="00C83A0C" w:rsidP="00C83A0C">
      <w:pPr>
        <w:rPr>
          <w:rFonts w:ascii="Arial" w:hAnsi="Arial" w:cs="Arial"/>
          <w:b/>
          <w:bCs/>
          <w:color w:val="000000" w:themeColor="text1"/>
          <w:lang w:val="en-US"/>
        </w:rPr>
      </w:pPr>
      <w:r w:rsidRPr="00C83A0C">
        <w:rPr>
          <w:rFonts w:ascii="Arial" w:hAnsi="Arial" w:cs="Arial"/>
          <w:b/>
          <w:bCs/>
          <w:color w:val="000000" w:themeColor="text1"/>
          <w:lang w:val="en-US"/>
        </w:rPr>
        <w:lastRenderedPageBreak/>
        <w:t xml:space="preserve">Table </w:t>
      </w:r>
      <w:r w:rsidR="00F95AA4">
        <w:rPr>
          <w:rFonts w:ascii="Arial" w:hAnsi="Arial" w:cs="Arial"/>
          <w:b/>
          <w:bCs/>
          <w:color w:val="000000" w:themeColor="text1"/>
          <w:lang w:val="en-US"/>
        </w:rPr>
        <w:t>3.5</w:t>
      </w:r>
      <w:r w:rsidRPr="00C83A0C">
        <w:rPr>
          <w:rFonts w:ascii="Arial" w:hAnsi="Arial" w:cs="Arial"/>
          <w:b/>
          <w:bCs/>
          <w:color w:val="000000" w:themeColor="text1"/>
          <w:lang w:val="en-US"/>
        </w:rPr>
        <w:t>: CASP Checklist Tool for Cohort/Observational Studies</w:t>
      </w:r>
    </w:p>
    <w:tbl>
      <w:tblPr>
        <w:tblStyle w:val="TableGrid"/>
        <w:tblW w:w="11269" w:type="dxa"/>
        <w:tblInd w:w="-1139" w:type="dxa"/>
        <w:tblLayout w:type="fixed"/>
        <w:tblLook w:val="04A0" w:firstRow="1" w:lastRow="0" w:firstColumn="1" w:lastColumn="0" w:noHBand="0" w:noVBand="1"/>
      </w:tblPr>
      <w:tblGrid>
        <w:gridCol w:w="1174"/>
        <w:gridCol w:w="889"/>
        <w:gridCol w:w="871"/>
        <w:gridCol w:w="779"/>
        <w:gridCol w:w="889"/>
        <w:gridCol w:w="889"/>
        <w:gridCol w:w="889"/>
        <w:gridCol w:w="761"/>
        <w:gridCol w:w="656"/>
        <w:gridCol w:w="567"/>
        <w:gridCol w:w="708"/>
        <w:gridCol w:w="709"/>
        <w:gridCol w:w="756"/>
        <w:gridCol w:w="732"/>
      </w:tblGrid>
      <w:tr w:rsidR="00C83A0C" w:rsidRPr="00C83A0C" w14:paraId="2B539B1D" w14:textId="77777777" w:rsidTr="00C83A0C">
        <w:trPr>
          <w:trHeight w:val="1691"/>
        </w:trPr>
        <w:tc>
          <w:tcPr>
            <w:tcW w:w="1174" w:type="dxa"/>
            <w:hideMark/>
          </w:tcPr>
          <w:p w14:paraId="2F5F9D9D"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References</w:t>
            </w:r>
          </w:p>
        </w:tc>
        <w:tc>
          <w:tcPr>
            <w:tcW w:w="889" w:type="dxa"/>
            <w:hideMark/>
          </w:tcPr>
          <w:p w14:paraId="022E4A09"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Focused issue addressed</w:t>
            </w:r>
          </w:p>
        </w:tc>
        <w:tc>
          <w:tcPr>
            <w:tcW w:w="871" w:type="dxa"/>
            <w:hideMark/>
          </w:tcPr>
          <w:p w14:paraId="44DADF03" w14:textId="7F6F090E"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Cohort recruited in an acceptable way</w:t>
            </w:r>
          </w:p>
        </w:tc>
        <w:tc>
          <w:tcPr>
            <w:tcW w:w="779" w:type="dxa"/>
            <w:hideMark/>
          </w:tcPr>
          <w:p w14:paraId="1BAA4239"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Exposure measurement</w:t>
            </w:r>
          </w:p>
        </w:tc>
        <w:tc>
          <w:tcPr>
            <w:tcW w:w="889" w:type="dxa"/>
            <w:hideMark/>
          </w:tcPr>
          <w:p w14:paraId="6DBB3DCD"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Outcome measurement</w:t>
            </w:r>
          </w:p>
        </w:tc>
        <w:tc>
          <w:tcPr>
            <w:tcW w:w="889" w:type="dxa"/>
            <w:hideMark/>
          </w:tcPr>
          <w:p w14:paraId="433ECB0C"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Confounding factors</w:t>
            </w:r>
          </w:p>
        </w:tc>
        <w:tc>
          <w:tcPr>
            <w:tcW w:w="889" w:type="dxa"/>
            <w:hideMark/>
          </w:tcPr>
          <w:p w14:paraId="5B0062A6"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 xml:space="preserve">Strategy to </w:t>
            </w:r>
            <w:proofErr w:type="gramStart"/>
            <w:r w:rsidRPr="00C83A0C">
              <w:rPr>
                <w:rFonts w:ascii="Arial" w:hAnsi="Arial" w:cs="Arial"/>
                <w:b/>
                <w:bCs/>
                <w:color w:val="000000" w:themeColor="text1"/>
                <w:sz w:val="16"/>
                <w:szCs w:val="16"/>
                <w:lang w:val="en-US"/>
              </w:rPr>
              <w:t>deal</w:t>
            </w:r>
            <w:proofErr w:type="gramEnd"/>
            <w:r w:rsidRPr="00C83A0C">
              <w:rPr>
                <w:rFonts w:ascii="Arial" w:hAnsi="Arial" w:cs="Arial"/>
                <w:b/>
                <w:bCs/>
                <w:color w:val="000000" w:themeColor="text1"/>
                <w:sz w:val="16"/>
                <w:szCs w:val="16"/>
                <w:lang w:val="en-US"/>
              </w:rPr>
              <w:t xml:space="preserve"> confound factors</w:t>
            </w:r>
          </w:p>
        </w:tc>
        <w:tc>
          <w:tcPr>
            <w:tcW w:w="761" w:type="dxa"/>
            <w:hideMark/>
          </w:tcPr>
          <w:p w14:paraId="38D56B99"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Follow up subject</w:t>
            </w:r>
          </w:p>
        </w:tc>
        <w:tc>
          <w:tcPr>
            <w:tcW w:w="656" w:type="dxa"/>
            <w:hideMark/>
          </w:tcPr>
          <w:p w14:paraId="6E8D98A2"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Results</w:t>
            </w:r>
          </w:p>
        </w:tc>
        <w:tc>
          <w:tcPr>
            <w:tcW w:w="567" w:type="dxa"/>
            <w:hideMark/>
          </w:tcPr>
          <w:p w14:paraId="492566B4"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Result precision</w:t>
            </w:r>
          </w:p>
        </w:tc>
        <w:tc>
          <w:tcPr>
            <w:tcW w:w="708" w:type="dxa"/>
            <w:hideMark/>
          </w:tcPr>
          <w:p w14:paraId="3AE1D7F0"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Do you believe the result</w:t>
            </w:r>
          </w:p>
        </w:tc>
        <w:tc>
          <w:tcPr>
            <w:tcW w:w="709" w:type="dxa"/>
            <w:hideMark/>
          </w:tcPr>
          <w:p w14:paraId="0525F625"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Applicability to Local Context</w:t>
            </w:r>
          </w:p>
        </w:tc>
        <w:tc>
          <w:tcPr>
            <w:tcW w:w="756" w:type="dxa"/>
            <w:hideMark/>
          </w:tcPr>
          <w:p w14:paraId="1C60A8C2"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Fit other evidence</w:t>
            </w:r>
          </w:p>
        </w:tc>
        <w:tc>
          <w:tcPr>
            <w:tcW w:w="732" w:type="dxa"/>
            <w:hideMark/>
          </w:tcPr>
          <w:p w14:paraId="4336E09C"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Score /12</w:t>
            </w:r>
          </w:p>
        </w:tc>
      </w:tr>
      <w:tr w:rsidR="00C83A0C" w:rsidRPr="00C83A0C" w14:paraId="549D4135" w14:textId="77777777" w:rsidTr="00C83A0C">
        <w:trPr>
          <w:trHeight w:val="801"/>
        </w:trPr>
        <w:tc>
          <w:tcPr>
            <w:tcW w:w="1174" w:type="dxa"/>
            <w:hideMark/>
          </w:tcPr>
          <w:p w14:paraId="4172643A" w14:textId="1600DEB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Kaye and Marais (2025)</w:t>
            </w:r>
          </w:p>
        </w:tc>
        <w:tc>
          <w:tcPr>
            <w:tcW w:w="889" w:type="dxa"/>
            <w:hideMark/>
          </w:tcPr>
          <w:p w14:paraId="5C7BE3DA"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71" w:type="dxa"/>
            <w:hideMark/>
          </w:tcPr>
          <w:p w14:paraId="17E119C9"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79" w:type="dxa"/>
            <w:hideMark/>
          </w:tcPr>
          <w:p w14:paraId="31A6E39A"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89" w:type="dxa"/>
            <w:hideMark/>
          </w:tcPr>
          <w:p w14:paraId="6A764B88"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89" w:type="dxa"/>
            <w:hideMark/>
          </w:tcPr>
          <w:p w14:paraId="573C9046"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89" w:type="dxa"/>
            <w:hideMark/>
          </w:tcPr>
          <w:p w14:paraId="4977AE89"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61" w:type="dxa"/>
            <w:hideMark/>
          </w:tcPr>
          <w:p w14:paraId="0F6FA732"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656" w:type="dxa"/>
            <w:hideMark/>
          </w:tcPr>
          <w:p w14:paraId="496DF272"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567" w:type="dxa"/>
            <w:hideMark/>
          </w:tcPr>
          <w:p w14:paraId="19FACB9E"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08" w:type="dxa"/>
            <w:hideMark/>
          </w:tcPr>
          <w:p w14:paraId="45623BD3"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09" w:type="dxa"/>
            <w:hideMark/>
          </w:tcPr>
          <w:p w14:paraId="649DD5CE"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56" w:type="dxa"/>
            <w:hideMark/>
          </w:tcPr>
          <w:p w14:paraId="16203CF8"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32" w:type="dxa"/>
            <w:hideMark/>
          </w:tcPr>
          <w:p w14:paraId="6DCFB69B" w14:textId="777E7854"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12</w:t>
            </w:r>
          </w:p>
        </w:tc>
      </w:tr>
      <w:tr w:rsidR="00C83A0C" w:rsidRPr="00C83A0C" w14:paraId="4F77930B" w14:textId="77777777" w:rsidTr="00C83A0C">
        <w:trPr>
          <w:trHeight w:val="801"/>
        </w:trPr>
        <w:tc>
          <w:tcPr>
            <w:tcW w:w="1174" w:type="dxa"/>
            <w:hideMark/>
          </w:tcPr>
          <w:p w14:paraId="2FDB737C"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Jeanes et al. (2018)</w:t>
            </w:r>
          </w:p>
        </w:tc>
        <w:tc>
          <w:tcPr>
            <w:tcW w:w="889" w:type="dxa"/>
            <w:hideMark/>
          </w:tcPr>
          <w:p w14:paraId="10EA1EBC"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71" w:type="dxa"/>
            <w:hideMark/>
          </w:tcPr>
          <w:p w14:paraId="00A9DF1A"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79" w:type="dxa"/>
            <w:hideMark/>
          </w:tcPr>
          <w:p w14:paraId="0FE0A2E5"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89" w:type="dxa"/>
            <w:hideMark/>
          </w:tcPr>
          <w:p w14:paraId="37D5D262"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89" w:type="dxa"/>
            <w:hideMark/>
          </w:tcPr>
          <w:p w14:paraId="20F4B882"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89" w:type="dxa"/>
            <w:hideMark/>
          </w:tcPr>
          <w:p w14:paraId="6757062D"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NO</w:t>
            </w:r>
          </w:p>
        </w:tc>
        <w:tc>
          <w:tcPr>
            <w:tcW w:w="761" w:type="dxa"/>
            <w:hideMark/>
          </w:tcPr>
          <w:p w14:paraId="1094D9F9"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656" w:type="dxa"/>
            <w:hideMark/>
          </w:tcPr>
          <w:p w14:paraId="397ACEF8"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567" w:type="dxa"/>
            <w:hideMark/>
          </w:tcPr>
          <w:p w14:paraId="3762CBB2"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08" w:type="dxa"/>
            <w:hideMark/>
          </w:tcPr>
          <w:p w14:paraId="642D5011"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09" w:type="dxa"/>
            <w:hideMark/>
          </w:tcPr>
          <w:p w14:paraId="3965854D"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56" w:type="dxa"/>
            <w:hideMark/>
          </w:tcPr>
          <w:p w14:paraId="06B7AEBF"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32" w:type="dxa"/>
            <w:hideMark/>
          </w:tcPr>
          <w:p w14:paraId="4FB78BB6" w14:textId="547A65ED"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10</w:t>
            </w:r>
          </w:p>
        </w:tc>
      </w:tr>
      <w:tr w:rsidR="00C83A0C" w:rsidRPr="00C83A0C" w14:paraId="5EB3B20A" w14:textId="77777777" w:rsidTr="00C83A0C">
        <w:trPr>
          <w:trHeight w:val="1239"/>
        </w:trPr>
        <w:tc>
          <w:tcPr>
            <w:tcW w:w="1174" w:type="dxa"/>
            <w:hideMark/>
          </w:tcPr>
          <w:p w14:paraId="3950E33D" w14:textId="34E63AEB"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Mohammadi-</w:t>
            </w:r>
            <w:proofErr w:type="spellStart"/>
            <w:r w:rsidRPr="00792247">
              <w:rPr>
                <w:rFonts w:ascii="Arial" w:hAnsi="Arial" w:cs="Arial"/>
                <w:color w:val="000000" w:themeColor="text1"/>
                <w:sz w:val="16"/>
                <w:szCs w:val="16"/>
                <w:lang w:val="en-US"/>
              </w:rPr>
              <w:t>Zaniani</w:t>
            </w:r>
            <w:proofErr w:type="spellEnd"/>
            <w:r w:rsidRPr="00792247">
              <w:rPr>
                <w:rFonts w:ascii="Arial" w:hAnsi="Arial" w:cs="Arial"/>
                <w:color w:val="000000" w:themeColor="text1"/>
                <w:sz w:val="16"/>
                <w:szCs w:val="16"/>
                <w:lang w:val="en-US"/>
              </w:rPr>
              <w:t xml:space="preserve"> and Wales (2020)</w:t>
            </w:r>
          </w:p>
        </w:tc>
        <w:tc>
          <w:tcPr>
            <w:tcW w:w="889" w:type="dxa"/>
            <w:hideMark/>
          </w:tcPr>
          <w:p w14:paraId="6F2A779E"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71" w:type="dxa"/>
            <w:hideMark/>
          </w:tcPr>
          <w:p w14:paraId="4B3BEE25"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79" w:type="dxa"/>
            <w:hideMark/>
          </w:tcPr>
          <w:p w14:paraId="552BE41F"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89" w:type="dxa"/>
            <w:hideMark/>
          </w:tcPr>
          <w:p w14:paraId="0FDB5B92"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89" w:type="dxa"/>
            <w:hideMark/>
          </w:tcPr>
          <w:p w14:paraId="6D54AF80"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89" w:type="dxa"/>
            <w:hideMark/>
          </w:tcPr>
          <w:p w14:paraId="64DDBBEE"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61" w:type="dxa"/>
            <w:hideMark/>
          </w:tcPr>
          <w:p w14:paraId="297F922C"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656" w:type="dxa"/>
            <w:hideMark/>
          </w:tcPr>
          <w:p w14:paraId="1E176D5D"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567" w:type="dxa"/>
            <w:hideMark/>
          </w:tcPr>
          <w:p w14:paraId="03CB584A"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08" w:type="dxa"/>
            <w:hideMark/>
          </w:tcPr>
          <w:p w14:paraId="2B06B7A5"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09" w:type="dxa"/>
            <w:hideMark/>
          </w:tcPr>
          <w:p w14:paraId="3BC00797"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56" w:type="dxa"/>
            <w:hideMark/>
          </w:tcPr>
          <w:p w14:paraId="50EFECBE" w14:textId="77777777"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32" w:type="dxa"/>
            <w:hideMark/>
          </w:tcPr>
          <w:p w14:paraId="1F5A1A67" w14:textId="69850316" w:rsidR="00C83A0C" w:rsidRPr="00792247" w:rsidRDefault="00C83A0C" w:rsidP="00C83A0C">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12</w:t>
            </w:r>
          </w:p>
        </w:tc>
      </w:tr>
    </w:tbl>
    <w:p w14:paraId="73B6EAF2" w14:textId="270DD280" w:rsidR="00C83A0C" w:rsidRPr="00C83A0C" w:rsidRDefault="00C83A0C" w:rsidP="00C83A0C">
      <w:pPr>
        <w:rPr>
          <w:rFonts w:ascii="Arial" w:hAnsi="Arial" w:cs="Arial"/>
          <w:color w:val="000000" w:themeColor="text1"/>
          <w:lang w:val="en-US"/>
        </w:rPr>
      </w:pPr>
    </w:p>
    <w:p w14:paraId="4B604332" w14:textId="1FF57EE2" w:rsidR="00C83A0C" w:rsidRPr="00C83A0C" w:rsidRDefault="00C83A0C" w:rsidP="00C83A0C">
      <w:pPr>
        <w:rPr>
          <w:rFonts w:ascii="Arial" w:hAnsi="Arial" w:cs="Arial"/>
          <w:b/>
          <w:bCs/>
          <w:color w:val="000000" w:themeColor="text1"/>
          <w:lang w:val="en-US"/>
        </w:rPr>
      </w:pPr>
      <w:r w:rsidRPr="00C83A0C">
        <w:rPr>
          <w:rFonts w:ascii="Arial" w:hAnsi="Arial" w:cs="Arial"/>
          <w:b/>
          <w:bCs/>
          <w:color w:val="000000" w:themeColor="text1"/>
          <w:lang w:val="en-US"/>
        </w:rPr>
        <w:t xml:space="preserve">Table </w:t>
      </w:r>
      <w:r w:rsidR="00F95AA4">
        <w:rPr>
          <w:rFonts w:ascii="Arial" w:hAnsi="Arial" w:cs="Arial"/>
          <w:b/>
          <w:bCs/>
          <w:color w:val="000000" w:themeColor="text1"/>
          <w:lang w:val="en-US"/>
        </w:rPr>
        <w:t>3.6</w:t>
      </w:r>
      <w:r w:rsidRPr="00C83A0C">
        <w:rPr>
          <w:rFonts w:ascii="Arial" w:hAnsi="Arial" w:cs="Arial"/>
          <w:b/>
          <w:bCs/>
          <w:color w:val="000000" w:themeColor="text1"/>
          <w:lang w:val="en-US"/>
        </w:rPr>
        <w:t>: Newcastle–Ottawa Checklist Tool for Longitudinal</w:t>
      </w:r>
      <w:r w:rsidR="00A64866">
        <w:rPr>
          <w:rFonts w:ascii="Arial" w:hAnsi="Arial" w:cs="Arial"/>
          <w:b/>
          <w:bCs/>
          <w:color w:val="000000" w:themeColor="text1"/>
          <w:lang w:val="en-US"/>
        </w:rPr>
        <w:t xml:space="preserve"> Studies</w:t>
      </w:r>
    </w:p>
    <w:tbl>
      <w:tblPr>
        <w:tblStyle w:val="TableGrid"/>
        <w:tblW w:w="10869" w:type="dxa"/>
        <w:tblInd w:w="-847" w:type="dxa"/>
        <w:tblLook w:val="04A0" w:firstRow="1" w:lastRow="0" w:firstColumn="1" w:lastColumn="0" w:noHBand="0" w:noVBand="1"/>
      </w:tblPr>
      <w:tblGrid>
        <w:gridCol w:w="1079"/>
        <w:gridCol w:w="1728"/>
        <w:gridCol w:w="928"/>
        <w:gridCol w:w="1328"/>
        <w:gridCol w:w="999"/>
        <w:gridCol w:w="1417"/>
        <w:gridCol w:w="723"/>
        <w:gridCol w:w="1159"/>
        <w:gridCol w:w="981"/>
        <w:gridCol w:w="661"/>
      </w:tblGrid>
      <w:tr w:rsidR="00A64866" w:rsidRPr="00C83A0C" w14:paraId="59312B3B" w14:textId="77777777" w:rsidTr="00A64866">
        <w:trPr>
          <w:trHeight w:val="325"/>
        </w:trPr>
        <w:tc>
          <w:tcPr>
            <w:tcW w:w="0" w:type="auto"/>
          </w:tcPr>
          <w:p w14:paraId="10B589CF" w14:textId="77777777" w:rsidR="00A64866" w:rsidRPr="00C83A0C" w:rsidRDefault="00A64866" w:rsidP="00C83A0C">
            <w:pPr>
              <w:rPr>
                <w:rFonts w:ascii="Arial" w:hAnsi="Arial" w:cs="Arial"/>
                <w:b/>
                <w:bCs/>
                <w:color w:val="000000" w:themeColor="text1"/>
                <w:sz w:val="16"/>
                <w:szCs w:val="16"/>
                <w:lang w:val="en-US"/>
              </w:rPr>
            </w:pPr>
          </w:p>
        </w:tc>
        <w:tc>
          <w:tcPr>
            <w:tcW w:w="0" w:type="auto"/>
            <w:gridSpan w:val="4"/>
          </w:tcPr>
          <w:p w14:paraId="08EACE40" w14:textId="6016C47A" w:rsidR="00A64866" w:rsidRPr="00A64866" w:rsidRDefault="00A64866" w:rsidP="00A64866">
            <w:pPr>
              <w:jc w:val="center"/>
              <w:rPr>
                <w:rFonts w:ascii="Arial" w:hAnsi="Arial" w:cs="Arial"/>
                <w:b/>
                <w:bCs/>
                <w:color w:val="000000" w:themeColor="text1"/>
                <w:sz w:val="18"/>
                <w:szCs w:val="18"/>
                <w:lang w:val="en-US"/>
              </w:rPr>
            </w:pPr>
            <w:r w:rsidRPr="00A64866">
              <w:rPr>
                <w:rFonts w:ascii="Arial" w:hAnsi="Arial" w:cs="Arial"/>
                <w:b/>
                <w:bCs/>
                <w:color w:val="000000" w:themeColor="text1"/>
                <w:sz w:val="18"/>
                <w:szCs w:val="18"/>
              </w:rPr>
              <w:t>Selection</w:t>
            </w:r>
          </w:p>
        </w:tc>
        <w:tc>
          <w:tcPr>
            <w:tcW w:w="0" w:type="auto"/>
          </w:tcPr>
          <w:p w14:paraId="32F7223A" w14:textId="7976C778" w:rsidR="00A64866" w:rsidRPr="00A64866" w:rsidRDefault="00A64866" w:rsidP="00A64866">
            <w:pPr>
              <w:jc w:val="center"/>
              <w:rPr>
                <w:rFonts w:ascii="Arial" w:hAnsi="Arial" w:cs="Arial"/>
                <w:b/>
                <w:bCs/>
                <w:color w:val="000000" w:themeColor="text1"/>
                <w:sz w:val="18"/>
                <w:szCs w:val="18"/>
                <w:lang w:val="en-US"/>
              </w:rPr>
            </w:pPr>
            <w:r w:rsidRPr="00A64866">
              <w:rPr>
                <w:rFonts w:ascii="Arial" w:hAnsi="Arial" w:cs="Arial"/>
                <w:b/>
                <w:bCs/>
                <w:color w:val="000000" w:themeColor="text1"/>
                <w:sz w:val="18"/>
                <w:szCs w:val="18"/>
              </w:rPr>
              <w:t>Comparability</w:t>
            </w:r>
          </w:p>
        </w:tc>
        <w:tc>
          <w:tcPr>
            <w:tcW w:w="0" w:type="auto"/>
            <w:gridSpan w:val="3"/>
          </w:tcPr>
          <w:p w14:paraId="790EF18A" w14:textId="4CB09DD2" w:rsidR="00A64866" w:rsidRPr="00A64866" w:rsidRDefault="00A64866" w:rsidP="00A64866">
            <w:pPr>
              <w:jc w:val="center"/>
              <w:rPr>
                <w:rFonts w:ascii="Arial" w:hAnsi="Arial" w:cs="Arial"/>
                <w:b/>
                <w:bCs/>
                <w:color w:val="000000" w:themeColor="text1"/>
                <w:sz w:val="18"/>
                <w:szCs w:val="18"/>
                <w:lang w:val="en-US"/>
              </w:rPr>
            </w:pPr>
            <w:r w:rsidRPr="00A64866">
              <w:rPr>
                <w:rFonts w:ascii="Arial" w:hAnsi="Arial" w:cs="Arial"/>
                <w:b/>
                <w:bCs/>
                <w:color w:val="000000" w:themeColor="text1"/>
                <w:sz w:val="18"/>
                <w:szCs w:val="18"/>
              </w:rPr>
              <w:t>Outcome</w:t>
            </w:r>
          </w:p>
        </w:tc>
        <w:tc>
          <w:tcPr>
            <w:tcW w:w="0" w:type="auto"/>
          </w:tcPr>
          <w:p w14:paraId="4D553723" w14:textId="77777777" w:rsidR="00A64866" w:rsidRPr="00C83A0C" w:rsidRDefault="00A64866" w:rsidP="00C83A0C">
            <w:pPr>
              <w:rPr>
                <w:rFonts w:ascii="Arial" w:hAnsi="Arial" w:cs="Arial"/>
                <w:b/>
                <w:bCs/>
                <w:color w:val="000000" w:themeColor="text1"/>
                <w:sz w:val="16"/>
                <w:szCs w:val="16"/>
                <w:lang w:val="en-US"/>
              </w:rPr>
            </w:pPr>
          </w:p>
        </w:tc>
      </w:tr>
      <w:tr w:rsidR="00C83A0C" w:rsidRPr="00C83A0C" w14:paraId="14522C77" w14:textId="77777777" w:rsidTr="00A64866">
        <w:trPr>
          <w:trHeight w:val="1530"/>
        </w:trPr>
        <w:tc>
          <w:tcPr>
            <w:tcW w:w="0" w:type="auto"/>
            <w:hideMark/>
          </w:tcPr>
          <w:p w14:paraId="46FEA39D"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References</w:t>
            </w:r>
          </w:p>
        </w:tc>
        <w:tc>
          <w:tcPr>
            <w:tcW w:w="0" w:type="auto"/>
            <w:hideMark/>
          </w:tcPr>
          <w:p w14:paraId="31D79EB2"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Representativeness of exposed cohort</w:t>
            </w:r>
          </w:p>
        </w:tc>
        <w:tc>
          <w:tcPr>
            <w:tcW w:w="0" w:type="auto"/>
            <w:hideMark/>
          </w:tcPr>
          <w:p w14:paraId="37EFD247"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Selection of non-exposed cohort</w:t>
            </w:r>
          </w:p>
        </w:tc>
        <w:tc>
          <w:tcPr>
            <w:tcW w:w="0" w:type="auto"/>
            <w:hideMark/>
          </w:tcPr>
          <w:p w14:paraId="0662CFCE"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Ascertainment of exposure</w:t>
            </w:r>
          </w:p>
        </w:tc>
        <w:tc>
          <w:tcPr>
            <w:tcW w:w="0" w:type="auto"/>
            <w:hideMark/>
          </w:tcPr>
          <w:p w14:paraId="17CAB56E"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Outcomes absent at start of study</w:t>
            </w:r>
          </w:p>
        </w:tc>
        <w:tc>
          <w:tcPr>
            <w:tcW w:w="0" w:type="auto"/>
            <w:hideMark/>
          </w:tcPr>
          <w:p w14:paraId="569EFB26"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Comparability of cohorts</w:t>
            </w:r>
          </w:p>
        </w:tc>
        <w:tc>
          <w:tcPr>
            <w:tcW w:w="0" w:type="auto"/>
            <w:hideMark/>
          </w:tcPr>
          <w:p w14:paraId="2C15D7DE"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Follow up</w:t>
            </w:r>
          </w:p>
        </w:tc>
        <w:tc>
          <w:tcPr>
            <w:tcW w:w="0" w:type="auto"/>
            <w:hideMark/>
          </w:tcPr>
          <w:p w14:paraId="5D072B2D"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Assessment of outcome</w:t>
            </w:r>
          </w:p>
        </w:tc>
        <w:tc>
          <w:tcPr>
            <w:tcW w:w="0" w:type="auto"/>
            <w:hideMark/>
          </w:tcPr>
          <w:p w14:paraId="77103AC8" w14:textId="44ADAADE"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 xml:space="preserve">Adequacy of </w:t>
            </w:r>
            <w:r w:rsidR="00A64866">
              <w:rPr>
                <w:rFonts w:ascii="Arial" w:hAnsi="Arial" w:cs="Arial"/>
                <w:b/>
                <w:bCs/>
                <w:color w:val="000000" w:themeColor="text1"/>
                <w:sz w:val="16"/>
                <w:szCs w:val="16"/>
                <w:lang w:val="en-US"/>
              </w:rPr>
              <w:t>follow-up</w:t>
            </w:r>
          </w:p>
        </w:tc>
        <w:tc>
          <w:tcPr>
            <w:tcW w:w="0" w:type="auto"/>
            <w:hideMark/>
          </w:tcPr>
          <w:p w14:paraId="44ABF7E7" w14:textId="77777777" w:rsidR="00C83A0C" w:rsidRPr="00C83A0C" w:rsidRDefault="00C83A0C" w:rsidP="00C83A0C">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Score /8</w:t>
            </w:r>
          </w:p>
        </w:tc>
      </w:tr>
      <w:tr w:rsidR="00C83A0C" w:rsidRPr="00C83A0C" w14:paraId="0424C0BE" w14:textId="77777777" w:rsidTr="00A64866">
        <w:trPr>
          <w:trHeight w:val="696"/>
        </w:trPr>
        <w:tc>
          <w:tcPr>
            <w:tcW w:w="0" w:type="auto"/>
            <w:hideMark/>
          </w:tcPr>
          <w:p w14:paraId="2F809903"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Blair et al. (2024)</w:t>
            </w:r>
          </w:p>
        </w:tc>
        <w:tc>
          <w:tcPr>
            <w:tcW w:w="0" w:type="auto"/>
            <w:hideMark/>
          </w:tcPr>
          <w:p w14:paraId="737AE260"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4C4B785B" w14:textId="7162B9D3" w:rsidR="00C83A0C" w:rsidRPr="003D7433" w:rsidRDefault="00BE4A7F"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06552217"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0B097678"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05129038" w14:textId="12F9CEA0" w:rsidR="00C83A0C" w:rsidRPr="003D7433" w:rsidRDefault="00BE4A7F"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343377C8"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3586F96A"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161B3579"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NO</w:t>
            </w:r>
          </w:p>
        </w:tc>
        <w:tc>
          <w:tcPr>
            <w:tcW w:w="0" w:type="auto"/>
            <w:hideMark/>
          </w:tcPr>
          <w:p w14:paraId="2CDF0DE4" w14:textId="21C68B2E" w:rsidR="00C83A0C" w:rsidRPr="003D7433" w:rsidRDefault="00BE4A7F" w:rsidP="00C83A0C">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7</w:t>
            </w:r>
          </w:p>
        </w:tc>
      </w:tr>
      <w:tr w:rsidR="00C83A0C" w:rsidRPr="00C83A0C" w14:paraId="38646763" w14:textId="77777777" w:rsidTr="00A64866">
        <w:trPr>
          <w:trHeight w:val="707"/>
        </w:trPr>
        <w:tc>
          <w:tcPr>
            <w:tcW w:w="0" w:type="auto"/>
            <w:hideMark/>
          </w:tcPr>
          <w:p w14:paraId="1102F57E"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Mandal et al. (2025)</w:t>
            </w:r>
          </w:p>
        </w:tc>
        <w:tc>
          <w:tcPr>
            <w:tcW w:w="0" w:type="auto"/>
            <w:hideMark/>
          </w:tcPr>
          <w:p w14:paraId="3990ACA7"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7E3C6040"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NO</w:t>
            </w:r>
          </w:p>
        </w:tc>
        <w:tc>
          <w:tcPr>
            <w:tcW w:w="0" w:type="auto"/>
            <w:hideMark/>
          </w:tcPr>
          <w:p w14:paraId="6D45726E"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1C43D77B"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71AE445A"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NO</w:t>
            </w:r>
          </w:p>
        </w:tc>
        <w:tc>
          <w:tcPr>
            <w:tcW w:w="0" w:type="auto"/>
            <w:hideMark/>
          </w:tcPr>
          <w:p w14:paraId="45811327"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03C88CB9"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3FCB489C"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74AD535F" w14:textId="2944329A"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6</w:t>
            </w:r>
          </w:p>
        </w:tc>
      </w:tr>
      <w:tr w:rsidR="00C83A0C" w:rsidRPr="00C83A0C" w14:paraId="0CD54E39" w14:textId="77777777" w:rsidTr="00A64866">
        <w:trPr>
          <w:trHeight w:val="707"/>
        </w:trPr>
        <w:tc>
          <w:tcPr>
            <w:tcW w:w="0" w:type="auto"/>
            <w:hideMark/>
          </w:tcPr>
          <w:p w14:paraId="7EDF0ED0"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Batalla et al. (2026)</w:t>
            </w:r>
          </w:p>
        </w:tc>
        <w:tc>
          <w:tcPr>
            <w:tcW w:w="0" w:type="auto"/>
            <w:hideMark/>
          </w:tcPr>
          <w:p w14:paraId="4E483733"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437A8043"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4D9750EC"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41084B9F"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7649DD16"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0AB39C64"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2783647F"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76B33081"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5358B2EF" w14:textId="56911195"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8</w:t>
            </w:r>
          </w:p>
        </w:tc>
      </w:tr>
      <w:tr w:rsidR="00C83A0C" w:rsidRPr="00C83A0C" w14:paraId="5A70226F" w14:textId="77777777" w:rsidTr="00A64866">
        <w:trPr>
          <w:trHeight w:val="696"/>
        </w:trPr>
        <w:tc>
          <w:tcPr>
            <w:tcW w:w="0" w:type="auto"/>
            <w:hideMark/>
          </w:tcPr>
          <w:p w14:paraId="6E269A8D"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Guest et al. (2019)</w:t>
            </w:r>
          </w:p>
        </w:tc>
        <w:tc>
          <w:tcPr>
            <w:tcW w:w="0" w:type="auto"/>
            <w:hideMark/>
          </w:tcPr>
          <w:p w14:paraId="5A03F5C1" w14:textId="3884C820" w:rsidR="00C83A0C" w:rsidRPr="003D7433" w:rsidRDefault="003D7433"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64F7C18E" w14:textId="174058DE" w:rsidR="00C83A0C" w:rsidRPr="003D7433" w:rsidRDefault="003D7433"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0FC959A1"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3A801E53"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60182FC4" w14:textId="428767A5" w:rsidR="00C83A0C" w:rsidRPr="003D7433" w:rsidRDefault="003D7433"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1AED5556"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1DEF83A2"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0899AAF5"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NO</w:t>
            </w:r>
          </w:p>
        </w:tc>
        <w:tc>
          <w:tcPr>
            <w:tcW w:w="0" w:type="auto"/>
            <w:hideMark/>
          </w:tcPr>
          <w:p w14:paraId="0A4028F6" w14:textId="72C3EF1D" w:rsidR="00C83A0C" w:rsidRPr="003D7433" w:rsidRDefault="003D7433" w:rsidP="00C83A0C">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7</w:t>
            </w:r>
          </w:p>
        </w:tc>
      </w:tr>
      <w:tr w:rsidR="00C83A0C" w:rsidRPr="00C83A0C" w14:paraId="22065B56" w14:textId="77777777" w:rsidTr="00A64866">
        <w:trPr>
          <w:trHeight w:val="707"/>
        </w:trPr>
        <w:tc>
          <w:tcPr>
            <w:tcW w:w="0" w:type="auto"/>
            <w:hideMark/>
          </w:tcPr>
          <w:p w14:paraId="1AE5D797"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Kelly et al. (2021)</w:t>
            </w:r>
          </w:p>
        </w:tc>
        <w:tc>
          <w:tcPr>
            <w:tcW w:w="0" w:type="auto"/>
            <w:hideMark/>
          </w:tcPr>
          <w:p w14:paraId="7E8C7878" w14:textId="17878752" w:rsidR="00C83A0C" w:rsidRPr="003D7433" w:rsidRDefault="003D7433"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6DF691C5"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NO</w:t>
            </w:r>
          </w:p>
        </w:tc>
        <w:tc>
          <w:tcPr>
            <w:tcW w:w="0" w:type="auto"/>
            <w:hideMark/>
          </w:tcPr>
          <w:p w14:paraId="27432E46"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57530912"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278FE8FB" w14:textId="3071C4F5" w:rsidR="00C83A0C" w:rsidRPr="003D7433" w:rsidRDefault="003D7433"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56E9BF2C"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6057DA97" w14:textId="77777777" w:rsidR="00C83A0C" w:rsidRPr="003D7433" w:rsidRDefault="00C83A0C"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2569CA5E" w14:textId="23A536E4" w:rsidR="00C83A0C" w:rsidRPr="003D7433" w:rsidRDefault="003D7433" w:rsidP="00C83A0C">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14:paraId="6685471F" w14:textId="151B02A7" w:rsidR="00C83A0C" w:rsidRPr="003D7433" w:rsidRDefault="003D7433" w:rsidP="00C83A0C">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7</w:t>
            </w:r>
          </w:p>
        </w:tc>
      </w:tr>
    </w:tbl>
    <w:p w14:paraId="2408C2CC" w14:textId="29CC9090" w:rsidR="00C83A0C" w:rsidRDefault="00C83A0C" w:rsidP="00C83A0C">
      <w:pPr>
        <w:rPr>
          <w:rFonts w:ascii="Arial" w:hAnsi="Arial" w:cs="Arial"/>
          <w:color w:val="000000" w:themeColor="text1"/>
          <w:lang w:val="en-US"/>
        </w:rPr>
      </w:pPr>
    </w:p>
    <w:p w14:paraId="44EBF20F" w14:textId="77777777" w:rsidR="00E44D37" w:rsidRDefault="00E44D37" w:rsidP="00C83A0C">
      <w:pPr>
        <w:rPr>
          <w:rFonts w:ascii="Arial" w:hAnsi="Arial" w:cs="Arial"/>
          <w:color w:val="000000" w:themeColor="text1"/>
          <w:lang w:val="en-US"/>
        </w:rPr>
      </w:pPr>
    </w:p>
    <w:p w14:paraId="6FA8EFCD" w14:textId="77777777" w:rsidR="00B3038C" w:rsidRDefault="00B3038C" w:rsidP="002E1234">
      <w:pPr>
        <w:rPr>
          <w:rFonts w:ascii="Arial" w:hAnsi="Arial" w:cs="Arial"/>
          <w:color w:val="000000" w:themeColor="text1"/>
          <w:lang w:val="en-US"/>
        </w:rPr>
      </w:pPr>
    </w:p>
    <w:p w14:paraId="7BF1555C" w14:textId="77777777" w:rsidR="00B3038C" w:rsidRPr="00B3038C" w:rsidRDefault="00B3038C" w:rsidP="00C668C4">
      <w:pPr>
        <w:pStyle w:val="Heading1"/>
        <w:jc w:val="both"/>
        <w:rPr>
          <w:lang w:val="en-US"/>
        </w:rPr>
      </w:pPr>
      <w:bookmarkStart w:id="40" w:name="_Toc240208820"/>
      <w:r w:rsidRPr="00B3038C">
        <w:rPr>
          <w:lang w:val="en-US"/>
        </w:rPr>
        <w:lastRenderedPageBreak/>
        <w:t>3.15 Data Extraction</w:t>
      </w:r>
      <w:bookmarkEnd w:id="40"/>
    </w:p>
    <w:p w14:paraId="7464B1AA" w14:textId="69A369B8" w:rsidR="00B3038C" w:rsidRPr="00B3038C" w:rsidRDefault="00B3038C" w:rsidP="00B3038C">
      <w:pPr>
        <w:rPr>
          <w:rFonts w:ascii="Arial" w:hAnsi="Arial" w:cs="Arial"/>
          <w:color w:val="000000" w:themeColor="text1"/>
          <w:lang w:val="en-US"/>
        </w:rPr>
      </w:pPr>
      <w:r w:rsidRPr="00B3038C">
        <w:rPr>
          <w:rFonts w:ascii="Arial" w:hAnsi="Arial" w:cs="Arial"/>
          <w:color w:val="000000" w:themeColor="text1"/>
          <w:lang w:val="en-US"/>
        </w:rPr>
        <w:t>Data extraction was undertaken systematically to collect relevant information from the studies included in the review</w:t>
      </w:r>
      <w:r w:rsidR="00506C1E">
        <w:rPr>
          <w:rFonts w:ascii="Arial" w:hAnsi="Arial" w:cs="Arial"/>
          <w:color w:val="000000" w:themeColor="text1"/>
          <w:lang w:val="en-US"/>
        </w:rPr>
        <w:t xml:space="preserve"> (</w:t>
      </w:r>
      <w:r w:rsidR="00506C1E" w:rsidRPr="00506C1E">
        <w:rPr>
          <w:rFonts w:ascii="Arial" w:hAnsi="Arial" w:cs="Arial"/>
          <w:color w:val="000000" w:themeColor="text1"/>
        </w:rPr>
        <w:t>Johnston</w:t>
      </w:r>
      <w:r w:rsidR="00506C1E">
        <w:rPr>
          <w:rFonts w:ascii="Arial" w:hAnsi="Arial" w:cs="Arial"/>
          <w:color w:val="000000" w:themeColor="text1"/>
        </w:rPr>
        <w:t xml:space="preserve"> et al, 2019)</w:t>
      </w:r>
      <w:r w:rsidRPr="00B3038C">
        <w:rPr>
          <w:rFonts w:ascii="Arial" w:hAnsi="Arial" w:cs="Arial"/>
          <w:color w:val="000000" w:themeColor="text1"/>
          <w:lang w:val="en-US"/>
        </w:rPr>
        <w:t xml:space="preserve">. A </w:t>
      </w:r>
      <w:proofErr w:type="spellStart"/>
      <w:r w:rsidRPr="00B3038C">
        <w:rPr>
          <w:rFonts w:ascii="Arial" w:hAnsi="Arial" w:cs="Arial"/>
          <w:color w:val="000000" w:themeColor="text1"/>
          <w:lang w:val="en-US"/>
        </w:rPr>
        <w:t>standardised</w:t>
      </w:r>
      <w:proofErr w:type="spellEnd"/>
      <w:r w:rsidRPr="00B3038C">
        <w:rPr>
          <w:rFonts w:ascii="Arial" w:hAnsi="Arial" w:cs="Arial"/>
          <w:color w:val="000000" w:themeColor="text1"/>
          <w:lang w:val="en-US"/>
        </w:rPr>
        <w:t xml:space="preserve"> data extraction form was used to ensure consistency and accuracy throughout the process</w:t>
      </w:r>
      <w:r w:rsidR="00406D36">
        <w:rPr>
          <w:rFonts w:ascii="Arial" w:hAnsi="Arial" w:cs="Arial"/>
          <w:color w:val="000000" w:themeColor="text1"/>
          <w:lang w:val="en-US"/>
        </w:rPr>
        <w:t xml:space="preserve"> (</w:t>
      </w:r>
      <w:proofErr w:type="spellStart"/>
      <w:r w:rsidR="00406D36" w:rsidRPr="00E76548">
        <w:rPr>
          <w:rFonts w:ascii="Arial" w:hAnsi="Arial" w:cs="Arial"/>
          <w:color w:val="000000" w:themeColor="text1"/>
        </w:rPr>
        <w:t>Büchter</w:t>
      </w:r>
      <w:proofErr w:type="spellEnd"/>
      <w:r w:rsidR="00406D36">
        <w:rPr>
          <w:rFonts w:ascii="Arial" w:hAnsi="Arial" w:cs="Arial"/>
          <w:color w:val="000000" w:themeColor="text1"/>
        </w:rPr>
        <w:t xml:space="preserve"> et al, 2020)</w:t>
      </w:r>
      <w:r w:rsidRPr="00B3038C">
        <w:rPr>
          <w:rFonts w:ascii="Arial" w:hAnsi="Arial" w:cs="Arial"/>
          <w:color w:val="000000" w:themeColor="text1"/>
          <w:lang w:val="en-US"/>
        </w:rPr>
        <w:t>. Information extracted from each study included the author and publication year, study location, research design, sample characteristics, hand hygiene compliance measures, factors influencing compliance, healthcare-associated infection outcomes, interventions used, and key findings. The extracted data were reviewed carefully to identify similarities and differences between studies</w:t>
      </w:r>
      <w:r w:rsidR="00E76548">
        <w:rPr>
          <w:rFonts w:ascii="Arial" w:hAnsi="Arial" w:cs="Arial"/>
          <w:color w:val="000000" w:themeColor="text1"/>
          <w:lang w:val="en-US"/>
        </w:rPr>
        <w:t xml:space="preserve"> (</w:t>
      </w:r>
      <w:proofErr w:type="spellStart"/>
      <w:r w:rsidR="00E76548" w:rsidRPr="00E76548">
        <w:rPr>
          <w:rFonts w:ascii="Arial" w:hAnsi="Arial" w:cs="Arial"/>
          <w:color w:val="000000" w:themeColor="text1"/>
        </w:rPr>
        <w:t>Büchter</w:t>
      </w:r>
      <w:proofErr w:type="spellEnd"/>
      <w:r w:rsidR="00E76548">
        <w:rPr>
          <w:rFonts w:ascii="Arial" w:hAnsi="Arial" w:cs="Arial"/>
          <w:color w:val="000000" w:themeColor="text1"/>
        </w:rPr>
        <w:t xml:space="preserve"> et al, 2020)</w:t>
      </w:r>
      <w:r w:rsidRPr="00B3038C">
        <w:rPr>
          <w:rFonts w:ascii="Arial" w:hAnsi="Arial" w:cs="Arial"/>
          <w:color w:val="000000" w:themeColor="text1"/>
          <w:lang w:val="en-US"/>
        </w:rPr>
        <w:t xml:space="preserve">. This process helped </w:t>
      </w:r>
      <w:proofErr w:type="spellStart"/>
      <w:r w:rsidRPr="00B3038C">
        <w:rPr>
          <w:rFonts w:ascii="Arial" w:hAnsi="Arial" w:cs="Arial"/>
          <w:color w:val="000000" w:themeColor="text1"/>
          <w:lang w:val="en-US"/>
        </w:rPr>
        <w:t>organise</w:t>
      </w:r>
      <w:proofErr w:type="spellEnd"/>
      <w:r w:rsidRPr="00B3038C">
        <w:rPr>
          <w:rFonts w:ascii="Arial" w:hAnsi="Arial" w:cs="Arial"/>
          <w:color w:val="000000" w:themeColor="text1"/>
          <w:lang w:val="en-US"/>
        </w:rPr>
        <w:t xml:space="preserve"> the evidence in a structured manner and facilitated comparison and synthesis of findings across the included studies. Consistent data extraction also improved the transparency and reliability of the systematic review process</w:t>
      </w:r>
      <w:r w:rsidR="00E76548">
        <w:rPr>
          <w:rFonts w:ascii="Arial" w:hAnsi="Arial" w:cs="Arial"/>
          <w:color w:val="000000" w:themeColor="text1"/>
          <w:lang w:val="en-US"/>
        </w:rPr>
        <w:t xml:space="preserve"> (</w:t>
      </w:r>
      <w:r w:rsidR="00E76548" w:rsidRPr="00506C1E">
        <w:rPr>
          <w:rFonts w:ascii="Arial" w:hAnsi="Arial" w:cs="Arial"/>
          <w:color w:val="000000" w:themeColor="text1"/>
        </w:rPr>
        <w:t>Johnston</w:t>
      </w:r>
      <w:r w:rsidR="00E76548">
        <w:rPr>
          <w:rFonts w:ascii="Arial" w:hAnsi="Arial" w:cs="Arial"/>
          <w:color w:val="000000" w:themeColor="text1"/>
        </w:rPr>
        <w:t xml:space="preserve"> et al, 2019)</w:t>
      </w:r>
      <w:r w:rsidRPr="00B3038C">
        <w:rPr>
          <w:rFonts w:ascii="Arial" w:hAnsi="Arial" w:cs="Arial"/>
          <w:color w:val="000000" w:themeColor="text1"/>
          <w:lang w:val="en-US"/>
        </w:rPr>
        <w:t>.</w:t>
      </w:r>
    </w:p>
    <w:p w14:paraId="29FF79BC" w14:textId="71A5BE91" w:rsidR="00B3038C" w:rsidRPr="003A68B1" w:rsidRDefault="003A68B1" w:rsidP="002E1234">
      <w:pPr>
        <w:rPr>
          <w:rFonts w:ascii="Arial" w:hAnsi="Arial" w:cs="Arial"/>
          <w:b/>
          <w:bCs/>
          <w:color w:val="000000" w:themeColor="text1"/>
          <w:lang w:val="en-US"/>
        </w:rPr>
      </w:pPr>
      <w:r w:rsidRPr="003A68B1">
        <w:rPr>
          <w:rFonts w:ascii="Arial" w:hAnsi="Arial" w:cs="Arial"/>
          <w:b/>
          <w:bCs/>
          <w:color w:val="000000" w:themeColor="text1"/>
          <w:lang w:val="en-US"/>
        </w:rPr>
        <w:t>Table 3.7: Data extraction table</w:t>
      </w:r>
    </w:p>
    <w:tbl>
      <w:tblPr>
        <w:tblpPr w:leftFromText="180" w:rightFromText="180" w:bottomFromText="160" w:vertAnchor="text" w:horzAnchor="page" w:tblpXSpec="center" w:tblpY="370"/>
        <w:tblW w:w="6244"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903"/>
        <w:gridCol w:w="1279"/>
        <w:gridCol w:w="1356"/>
        <w:gridCol w:w="1560"/>
        <w:gridCol w:w="1416"/>
        <w:gridCol w:w="1419"/>
        <w:gridCol w:w="1700"/>
        <w:gridCol w:w="1626"/>
      </w:tblGrid>
      <w:tr w:rsidR="00675D93" w:rsidRPr="00207AC1" w14:paraId="74E41324" w14:textId="77777777" w:rsidTr="00207AC1">
        <w:trPr>
          <w:trHeight w:val="304"/>
        </w:trPr>
        <w:tc>
          <w:tcPr>
            <w:tcW w:w="401" w:type="pc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D9C50BB" w14:textId="77777777" w:rsidR="00675D93" w:rsidRPr="00207AC1" w:rsidRDefault="00675D93" w:rsidP="00207AC1">
            <w:pPr>
              <w:pStyle w:val="TableParagraph"/>
              <w:spacing w:line="360" w:lineRule="auto"/>
              <w:jc w:val="center"/>
              <w:rPr>
                <w:b/>
                <w:color w:val="000000" w:themeColor="text1"/>
                <w:spacing w:val="-2"/>
                <w:kern w:val="2"/>
                <w:sz w:val="18"/>
                <w:szCs w:val="18"/>
                <w:lang w:eastAsia="en-US"/>
              </w:rPr>
            </w:pPr>
            <w:bookmarkStart w:id="41" w:name="_Hlk186816627"/>
            <w:r w:rsidRPr="00207AC1">
              <w:rPr>
                <w:b/>
                <w:color w:val="000000" w:themeColor="text1"/>
                <w:spacing w:val="-2"/>
                <w:kern w:val="2"/>
                <w:sz w:val="18"/>
                <w:szCs w:val="18"/>
                <w:lang w:eastAsia="en-US"/>
              </w:rPr>
              <w:t>Study Author’s name/ year</w:t>
            </w:r>
          </w:p>
        </w:tc>
        <w:tc>
          <w:tcPr>
            <w:tcW w:w="568" w:type="pc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C4C4067" w14:textId="77777777" w:rsidR="005B7976" w:rsidRDefault="00675D93" w:rsidP="00207AC1">
            <w:pPr>
              <w:pStyle w:val="TableParagraph"/>
              <w:spacing w:line="360" w:lineRule="auto"/>
              <w:ind w:left="107"/>
              <w:jc w:val="center"/>
              <w:rPr>
                <w:b/>
                <w:color w:val="000000" w:themeColor="text1"/>
                <w:spacing w:val="-2"/>
                <w:kern w:val="2"/>
                <w:sz w:val="18"/>
                <w:szCs w:val="18"/>
                <w:lang w:eastAsia="en-US"/>
              </w:rPr>
            </w:pPr>
            <w:r w:rsidRPr="00207AC1">
              <w:rPr>
                <w:b/>
                <w:color w:val="000000" w:themeColor="text1"/>
                <w:spacing w:val="-2"/>
                <w:kern w:val="2"/>
                <w:sz w:val="18"/>
                <w:szCs w:val="18"/>
                <w:lang w:eastAsia="en-US"/>
              </w:rPr>
              <w:t>Objective/</w:t>
            </w:r>
          </w:p>
          <w:p w14:paraId="50D20F18" w14:textId="76364D9C" w:rsidR="00675D93" w:rsidRPr="00207AC1" w:rsidRDefault="00675D93" w:rsidP="00207AC1">
            <w:pPr>
              <w:pStyle w:val="TableParagraph"/>
              <w:spacing w:line="360" w:lineRule="auto"/>
              <w:ind w:left="107"/>
              <w:jc w:val="center"/>
              <w:rPr>
                <w:b/>
                <w:color w:val="000000" w:themeColor="text1"/>
                <w:kern w:val="2"/>
                <w:sz w:val="18"/>
                <w:szCs w:val="18"/>
                <w:lang w:eastAsia="en-US"/>
              </w:rPr>
            </w:pPr>
            <w:r w:rsidRPr="00207AC1">
              <w:rPr>
                <w:b/>
                <w:color w:val="000000" w:themeColor="text1"/>
                <w:spacing w:val="-2"/>
                <w:kern w:val="2"/>
                <w:sz w:val="18"/>
                <w:szCs w:val="18"/>
                <w:lang w:eastAsia="en-US"/>
              </w:rPr>
              <w:t>purpose</w:t>
            </w:r>
          </w:p>
        </w:tc>
        <w:tc>
          <w:tcPr>
            <w:tcW w:w="602" w:type="pc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4947270" w14:textId="77777777" w:rsidR="00207AC1" w:rsidRPr="00207AC1" w:rsidRDefault="00675D93" w:rsidP="00207AC1">
            <w:pPr>
              <w:pStyle w:val="TableParagraph"/>
              <w:spacing w:line="360" w:lineRule="auto"/>
              <w:ind w:left="107"/>
              <w:jc w:val="center"/>
              <w:rPr>
                <w:b/>
                <w:color w:val="000000" w:themeColor="text1"/>
                <w:spacing w:val="-2"/>
                <w:kern w:val="2"/>
                <w:sz w:val="18"/>
                <w:szCs w:val="18"/>
                <w:lang w:eastAsia="en-US"/>
              </w:rPr>
            </w:pPr>
            <w:r w:rsidRPr="00207AC1">
              <w:rPr>
                <w:b/>
                <w:color w:val="000000" w:themeColor="text1"/>
                <w:spacing w:val="-2"/>
                <w:kern w:val="2"/>
                <w:sz w:val="18"/>
                <w:szCs w:val="18"/>
                <w:lang w:eastAsia="en-US"/>
              </w:rPr>
              <w:t>Setting/</w:t>
            </w:r>
          </w:p>
          <w:p w14:paraId="2599DA8C" w14:textId="4061D77B" w:rsidR="00675D93" w:rsidRPr="00207AC1" w:rsidRDefault="00675D93" w:rsidP="00207AC1">
            <w:pPr>
              <w:pStyle w:val="TableParagraph"/>
              <w:spacing w:line="360" w:lineRule="auto"/>
              <w:ind w:left="107"/>
              <w:jc w:val="center"/>
              <w:rPr>
                <w:b/>
                <w:color w:val="000000" w:themeColor="text1"/>
                <w:spacing w:val="-2"/>
                <w:kern w:val="2"/>
                <w:sz w:val="18"/>
                <w:szCs w:val="18"/>
                <w:lang w:eastAsia="en-US"/>
              </w:rPr>
            </w:pPr>
            <w:r w:rsidRPr="00207AC1">
              <w:rPr>
                <w:b/>
                <w:color w:val="000000" w:themeColor="text1"/>
                <w:spacing w:val="-2"/>
                <w:kern w:val="2"/>
                <w:sz w:val="18"/>
                <w:szCs w:val="18"/>
                <w:lang w:eastAsia="en-US"/>
              </w:rPr>
              <w:t>sample</w:t>
            </w:r>
          </w:p>
        </w:tc>
        <w:tc>
          <w:tcPr>
            <w:tcW w:w="693" w:type="pc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A61E3A2" w14:textId="77777777" w:rsidR="00675D93" w:rsidRPr="00207AC1" w:rsidRDefault="00675D93" w:rsidP="00207AC1">
            <w:pPr>
              <w:pStyle w:val="TableParagraph"/>
              <w:spacing w:line="360" w:lineRule="auto"/>
              <w:ind w:left="107"/>
              <w:jc w:val="center"/>
              <w:rPr>
                <w:b/>
                <w:color w:val="000000" w:themeColor="text1"/>
                <w:spacing w:val="-2"/>
                <w:kern w:val="2"/>
                <w:sz w:val="18"/>
                <w:szCs w:val="18"/>
                <w:lang w:eastAsia="en-US"/>
              </w:rPr>
            </w:pPr>
            <w:r w:rsidRPr="00207AC1">
              <w:rPr>
                <w:b/>
                <w:color w:val="000000" w:themeColor="text1"/>
                <w:spacing w:val="-2"/>
                <w:kern w:val="2"/>
                <w:sz w:val="18"/>
                <w:szCs w:val="18"/>
                <w:lang w:eastAsia="en-US"/>
              </w:rPr>
              <w:t>Methodology /Study design</w:t>
            </w:r>
          </w:p>
        </w:tc>
        <w:tc>
          <w:tcPr>
            <w:tcW w:w="6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668F39" w14:textId="7A0DDED9" w:rsidR="00675D93" w:rsidRPr="00207AC1" w:rsidRDefault="00675D93" w:rsidP="00207AC1">
            <w:pPr>
              <w:pStyle w:val="TableParagraph"/>
              <w:spacing w:line="360" w:lineRule="auto"/>
              <w:jc w:val="center"/>
              <w:rPr>
                <w:b/>
                <w:color w:val="000000" w:themeColor="text1"/>
                <w:spacing w:val="-2"/>
                <w:kern w:val="2"/>
                <w:sz w:val="18"/>
                <w:szCs w:val="18"/>
                <w:lang w:eastAsia="en-US"/>
              </w:rPr>
            </w:pPr>
            <w:r w:rsidRPr="00207AC1">
              <w:rPr>
                <w:b/>
                <w:color w:val="000000" w:themeColor="text1"/>
                <w:spacing w:val="-2"/>
                <w:kern w:val="2"/>
                <w:sz w:val="18"/>
                <w:szCs w:val="18"/>
                <w:lang w:eastAsia="en-US"/>
              </w:rPr>
              <w:t>Strength</w:t>
            </w:r>
          </w:p>
        </w:tc>
        <w:tc>
          <w:tcPr>
            <w:tcW w:w="63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5DBBB4D" w14:textId="486BD6B9" w:rsidR="00675D93" w:rsidRPr="00207AC1" w:rsidRDefault="00675D93" w:rsidP="00207AC1">
            <w:pPr>
              <w:pStyle w:val="TableParagraph"/>
              <w:spacing w:line="360" w:lineRule="auto"/>
              <w:jc w:val="center"/>
              <w:rPr>
                <w:b/>
                <w:color w:val="000000" w:themeColor="text1"/>
                <w:spacing w:val="-2"/>
                <w:kern w:val="2"/>
                <w:sz w:val="18"/>
                <w:szCs w:val="18"/>
                <w:lang w:eastAsia="en-US"/>
              </w:rPr>
            </w:pPr>
            <w:r w:rsidRPr="00207AC1">
              <w:rPr>
                <w:b/>
                <w:color w:val="000000" w:themeColor="text1"/>
                <w:spacing w:val="-2"/>
                <w:kern w:val="2"/>
                <w:sz w:val="18"/>
                <w:szCs w:val="18"/>
                <w:lang w:eastAsia="en-US"/>
              </w:rPr>
              <w:t>Weakness</w:t>
            </w:r>
          </w:p>
        </w:tc>
        <w:tc>
          <w:tcPr>
            <w:tcW w:w="755" w:type="pc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4BFBACB" w14:textId="77777777" w:rsidR="005B7976" w:rsidRDefault="00675D93" w:rsidP="00207AC1">
            <w:pPr>
              <w:pStyle w:val="TableParagraph"/>
              <w:spacing w:line="360" w:lineRule="auto"/>
              <w:jc w:val="center"/>
              <w:rPr>
                <w:b/>
                <w:color w:val="000000" w:themeColor="text1"/>
                <w:spacing w:val="-2"/>
                <w:kern w:val="2"/>
                <w:sz w:val="18"/>
                <w:szCs w:val="18"/>
                <w:lang w:eastAsia="en-US"/>
              </w:rPr>
            </w:pPr>
            <w:r w:rsidRPr="00207AC1">
              <w:rPr>
                <w:b/>
                <w:color w:val="000000" w:themeColor="text1"/>
                <w:spacing w:val="-2"/>
                <w:kern w:val="2"/>
                <w:sz w:val="18"/>
                <w:szCs w:val="18"/>
                <w:lang w:eastAsia="en-US"/>
              </w:rPr>
              <w:t>Results /</w:t>
            </w:r>
          </w:p>
          <w:p w14:paraId="51916196" w14:textId="344F6418" w:rsidR="00675D93" w:rsidRPr="00207AC1" w:rsidRDefault="00675D93" w:rsidP="00207AC1">
            <w:pPr>
              <w:pStyle w:val="TableParagraph"/>
              <w:spacing w:line="360" w:lineRule="auto"/>
              <w:jc w:val="center"/>
              <w:rPr>
                <w:b/>
                <w:color w:val="000000" w:themeColor="text1"/>
                <w:spacing w:val="-2"/>
                <w:kern w:val="2"/>
                <w:sz w:val="18"/>
                <w:szCs w:val="18"/>
                <w:lang w:eastAsia="en-US"/>
              </w:rPr>
            </w:pPr>
            <w:r w:rsidRPr="00207AC1">
              <w:rPr>
                <w:b/>
                <w:color w:val="000000" w:themeColor="text1"/>
                <w:spacing w:val="-2"/>
                <w:kern w:val="2"/>
                <w:sz w:val="18"/>
                <w:szCs w:val="18"/>
                <w:lang w:eastAsia="en-US"/>
              </w:rPr>
              <w:t>outcomes</w:t>
            </w:r>
          </w:p>
        </w:tc>
        <w:tc>
          <w:tcPr>
            <w:tcW w:w="72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599633" w14:textId="77777777" w:rsidR="00675D93" w:rsidRPr="00207AC1" w:rsidRDefault="00675D93" w:rsidP="00207AC1">
            <w:pPr>
              <w:pStyle w:val="TableParagraph"/>
              <w:spacing w:line="360" w:lineRule="auto"/>
              <w:jc w:val="center"/>
              <w:rPr>
                <w:b/>
                <w:color w:val="000000" w:themeColor="text1"/>
                <w:spacing w:val="-2"/>
                <w:kern w:val="2"/>
                <w:sz w:val="18"/>
                <w:szCs w:val="18"/>
                <w:lang w:eastAsia="en-US"/>
              </w:rPr>
            </w:pPr>
            <w:r w:rsidRPr="00207AC1">
              <w:rPr>
                <w:b/>
                <w:color w:val="000000" w:themeColor="text1"/>
                <w:spacing w:val="-2"/>
                <w:kern w:val="2"/>
                <w:sz w:val="18"/>
                <w:szCs w:val="18"/>
                <w:lang w:eastAsia="en-US"/>
              </w:rPr>
              <w:t>Conclusion</w:t>
            </w:r>
          </w:p>
        </w:tc>
      </w:tr>
      <w:tr w:rsidR="00675D93" w:rsidRPr="00207AC1" w14:paraId="408C21BD" w14:textId="77777777" w:rsidTr="00207AC1">
        <w:trPr>
          <w:trHeight w:val="304"/>
        </w:trPr>
        <w:tc>
          <w:tcPr>
            <w:tcW w:w="40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CBF4C81" w14:textId="0A6A738C" w:rsidR="00675D93" w:rsidRPr="00207AC1" w:rsidRDefault="00520027"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King et al (2016)</w:t>
            </w:r>
          </w:p>
        </w:tc>
        <w:tc>
          <w:tcPr>
            <w:tcW w:w="568"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1E6D798" w14:textId="7DBE9042" w:rsidR="00675D93" w:rsidRPr="00207AC1" w:rsidRDefault="00520027"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examine the relationship between hand hygiene and the frequency of surface contacts made by healthcare workers in patient rooms.</w:t>
            </w:r>
          </w:p>
        </w:tc>
        <w:tc>
          <w:tcPr>
            <w:tcW w:w="6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FE996E6" w14:textId="7DFA43C7" w:rsidR="00675D93" w:rsidRPr="00207AC1" w:rsidRDefault="00520027"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A single-bed UK hospital ward. Healthcare workers were observed across six different types of care.</w:t>
            </w:r>
          </w:p>
        </w:tc>
        <w:tc>
          <w:tcPr>
            <w:tcW w:w="693"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F4E9D46" w14:textId="0FBE7F34" w:rsidR="00675D93" w:rsidRPr="00207AC1" w:rsidRDefault="00520027"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Observational study measuring healthcare workers’ surface contacts and hand hygiene behaviour during patient care.</w:t>
            </w:r>
          </w:p>
        </w:tc>
        <w:tc>
          <w:tcPr>
            <w:tcW w:w="6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E6E9F8D" w14:textId="2372738C" w:rsidR="00675D93" w:rsidRPr="00207AC1" w:rsidRDefault="00520027"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used direct observations of hand hygiene and surface contacts, providing real-world information about healthcare workers’ behaviour.</w:t>
            </w:r>
          </w:p>
        </w:tc>
        <w:tc>
          <w:tcPr>
            <w:tcW w:w="63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75A9DBC" w14:textId="6E5BCC17" w:rsidR="00675D93" w:rsidRPr="00207AC1" w:rsidRDefault="00520027"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It was conducted in only one UK hospital ward, which may limit how widely the findings can be applied to other hospitals</w:t>
            </w:r>
          </w:p>
        </w:tc>
        <w:tc>
          <w:tcPr>
            <w:tcW w:w="75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4EB8F62" w14:textId="04E1931C" w:rsidR="00675D93" w:rsidRPr="00207AC1" w:rsidRDefault="00520027"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Hand hygiene behaviour varied significantly according to the type of care provided (P=0.001). Hand hygiene likelihood was associated with the number of surface contacts (95% CI 1.1–5.8; P=0.002), but not with the time spent in the room.</w:t>
            </w:r>
          </w:p>
        </w:tc>
        <w:tc>
          <w:tcPr>
            <w:tcW w:w="72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BE8798F" w14:textId="22C0AC0F" w:rsidR="00675D93" w:rsidRPr="00207AC1" w:rsidRDefault="00520027"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Healthcare workers’ hand hygiene may be influenced by their pattern of surface contacts. This suggests that some hand hygiene behaviour may occur subconsciously and could be considered when developing future hand hygiene education programmes.</w:t>
            </w:r>
          </w:p>
        </w:tc>
      </w:tr>
      <w:tr w:rsidR="00675D93" w:rsidRPr="00207AC1" w14:paraId="16C16273" w14:textId="77777777" w:rsidTr="00207AC1">
        <w:trPr>
          <w:trHeight w:val="304"/>
        </w:trPr>
        <w:tc>
          <w:tcPr>
            <w:tcW w:w="40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F731BD" w14:textId="7028D399" w:rsidR="00675D93" w:rsidRPr="00207AC1" w:rsidRDefault="005C43B6"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Jeanes et al, (2018)</w:t>
            </w:r>
          </w:p>
        </w:tc>
        <w:tc>
          <w:tcPr>
            <w:tcW w:w="568"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83C16F2" w14:textId="2038FCDD" w:rsidR="00675D93" w:rsidRPr="00207AC1" w:rsidRDefault="000855C9"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 xml:space="preserve">To identify, remove and reduce barriers affecting hand hygiene compliance in an emergency </w:t>
            </w:r>
            <w:r w:rsidRPr="00207AC1">
              <w:rPr>
                <w:bCs/>
                <w:color w:val="000000" w:themeColor="text1"/>
                <w:spacing w:val="-2"/>
                <w:kern w:val="2"/>
                <w:sz w:val="16"/>
                <w:szCs w:val="16"/>
                <w:lang w:eastAsia="en-US"/>
              </w:rPr>
              <w:lastRenderedPageBreak/>
              <w:t>department.</w:t>
            </w:r>
          </w:p>
        </w:tc>
        <w:tc>
          <w:tcPr>
            <w:tcW w:w="6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449225A" w14:textId="717D3CAB" w:rsidR="00675D93" w:rsidRPr="00207AC1" w:rsidRDefault="000855C9"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lastRenderedPageBreak/>
              <w:t xml:space="preserve">A busy emergency department in a UK hospital, involving clinicians and other healthcare </w:t>
            </w:r>
            <w:r w:rsidRPr="00207AC1">
              <w:rPr>
                <w:bCs/>
                <w:color w:val="000000" w:themeColor="text1"/>
                <w:spacing w:val="-2"/>
                <w:kern w:val="2"/>
                <w:sz w:val="16"/>
                <w:szCs w:val="16"/>
                <w:lang w:eastAsia="en-US"/>
              </w:rPr>
              <w:lastRenderedPageBreak/>
              <w:t>staff.</w:t>
            </w:r>
          </w:p>
        </w:tc>
        <w:tc>
          <w:tcPr>
            <w:tcW w:w="693"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4B78167" w14:textId="646FB7D2" w:rsidR="00675D93" w:rsidRPr="00207AC1" w:rsidRDefault="000855C9"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lastRenderedPageBreak/>
              <w:t xml:space="preserve">Quality improvement study using a barrier identification tool, staff-agreed hand hygiene expectations, and a monitoring </w:t>
            </w:r>
            <w:r w:rsidRPr="00207AC1">
              <w:rPr>
                <w:bCs/>
                <w:color w:val="000000" w:themeColor="text1"/>
                <w:spacing w:val="-2"/>
                <w:kern w:val="2"/>
                <w:sz w:val="16"/>
                <w:szCs w:val="16"/>
                <w:lang w:eastAsia="en-US"/>
              </w:rPr>
              <w:lastRenderedPageBreak/>
              <w:t>framework to improve compliance.</w:t>
            </w:r>
          </w:p>
        </w:tc>
        <w:tc>
          <w:tcPr>
            <w:tcW w:w="6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EEC3ACA" w14:textId="23A33893" w:rsidR="00675D93" w:rsidRPr="00207AC1" w:rsidRDefault="000855C9"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lastRenderedPageBreak/>
              <w:t xml:space="preserve">The study involved staff in identifying barriers and developing practical solutions, making the intervention </w:t>
            </w:r>
            <w:r w:rsidRPr="00207AC1">
              <w:rPr>
                <w:bCs/>
                <w:color w:val="000000" w:themeColor="text1"/>
                <w:spacing w:val="-2"/>
                <w:kern w:val="2"/>
                <w:sz w:val="16"/>
                <w:szCs w:val="16"/>
                <w:lang w:eastAsia="en-US"/>
              </w:rPr>
              <w:lastRenderedPageBreak/>
              <w:t>relevant to the emergency care setting.</w:t>
            </w:r>
          </w:p>
        </w:tc>
        <w:tc>
          <w:tcPr>
            <w:tcW w:w="63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2D3D675" w14:textId="792EA666" w:rsidR="00675D93" w:rsidRPr="00207AC1" w:rsidRDefault="000855C9"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lastRenderedPageBreak/>
              <w:t xml:space="preserve">The emergency department remained challenging during </w:t>
            </w:r>
            <w:r w:rsidR="005C43B6" w:rsidRPr="00207AC1">
              <w:rPr>
                <w:bCs/>
                <w:color w:val="000000" w:themeColor="text1"/>
                <w:spacing w:val="-2"/>
                <w:kern w:val="2"/>
                <w:sz w:val="16"/>
                <w:szCs w:val="16"/>
                <w:lang w:eastAsia="en-US"/>
              </w:rPr>
              <w:t>emergencies</w:t>
            </w:r>
            <w:r w:rsidRPr="00207AC1">
              <w:rPr>
                <w:bCs/>
                <w:color w:val="000000" w:themeColor="text1"/>
                <w:spacing w:val="-2"/>
                <w:kern w:val="2"/>
                <w:sz w:val="16"/>
                <w:szCs w:val="16"/>
                <w:lang w:eastAsia="en-US"/>
              </w:rPr>
              <w:t xml:space="preserve">, and improvement was not achieved </w:t>
            </w:r>
            <w:r w:rsidRPr="00207AC1">
              <w:rPr>
                <w:bCs/>
                <w:color w:val="000000" w:themeColor="text1"/>
                <w:spacing w:val="-2"/>
                <w:kern w:val="2"/>
                <w:sz w:val="16"/>
                <w:szCs w:val="16"/>
                <w:lang w:eastAsia="en-US"/>
              </w:rPr>
              <w:lastRenderedPageBreak/>
              <w:t>equally across all areas.</w:t>
            </w:r>
          </w:p>
        </w:tc>
        <w:tc>
          <w:tcPr>
            <w:tcW w:w="75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7982036" w14:textId="390FA25E" w:rsidR="00675D93" w:rsidRPr="00207AC1" w:rsidRDefault="000855C9"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lastRenderedPageBreak/>
              <w:t xml:space="preserve">Main barriers included uncertainty about when to clean hands, work pressure, urgent care, environmental and operational problems, and sore </w:t>
            </w:r>
            <w:r w:rsidRPr="00207AC1">
              <w:rPr>
                <w:bCs/>
                <w:color w:val="000000" w:themeColor="text1"/>
                <w:spacing w:val="-2"/>
                <w:kern w:val="2"/>
                <w:sz w:val="16"/>
                <w:szCs w:val="16"/>
                <w:lang w:eastAsia="en-US"/>
              </w:rPr>
              <w:lastRenderedPageBreak/>
              <w:t xml:space="preserve">hands. Compliance gradually improved in most areas, except during </w:t>
            </w:r>
            <w:r w:rsidR="005C43B6" w:rsidRPr="00207AC1">
              <w:rPr>
                <w:bCs/>
                <w:color w:val="000000" w:themeColor="text1"/>
                <w:spacing w:val="-2"/>
                <w:kern w:val="2"/>
                <w:sz w:val="16"/>
                <w:szCs w:val="16"/>
                <w:lang w:eastAsia="en-US"/>
              </w:rPr>
              <w:t>emergencies</w:t>
            </w:r>
            <w:r w:rsidRPr="00207AC1">
              <w:rPr>
                <w:bCs/>
                <w:color w:val="000000" w:themeColor="text1"/>
                <w:spacing w:val="-2"/>
                <w:kern w:val="2"/>
                <w:sz w:val="16"/>
                <w:szCs w:val="16"/>
                <w:lang w:eastAsia="en-US"/>
              </w:rPr>
              <w:t>.</w:t>
            </w:r>
          </w:p>
        </w:tc>
        <w:tc>
          <w:tcPr>
            <w:tcW w:w="72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218A6BC" w14:textId="2164706E" w:rsidR="00675D93" w:rsidRPr="00207AC1" w:rsidRDefault="000855C9"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lastRenderedPageBreak/>
              <w:t xml:space="preserve">Hand hygiene expectations should consider the care setting and practical barriers. In emergencies, urgent life-saving care may </w:t>
            </w:r>
            <w:r w:rsidRPr="00207AC1">
              <w:rPr>
                <w:bCs/>
                <w:color w:val="000000" w:themeColor="text1"/>
                <w:spacing w:val="-2"/>
                <w:kern w:val="2"/>
                <w:sz w:val="16"/>
                <w:szCs w:val="16"/>
                <w:lang w:eastAsia="en-US"/>
              </w:rPr>
              <w:lastRenderedPageBreak/>
              <w:t>take priority over routine hand hygiene requirements.</w:t>
            </w:r>
          </w:p>
        </w:tc>
      </w:tr>
      <w:tr w:rsidR="00675D93" w:rsidRPr="00207AC1" w14:paraId="0718A9D3" w14:textId="77777777" w:rsidTr="00207AC1">
        <w:trPr>
          <w:trHeight w:val="304"/>
        </w:trPr>
        <w:tc>
          <w:tcPr>
            <w:tcW w:w="40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3EA9BB0" w14:textId="7E733D38" w:rsidR="00675D93" w:rsidRPr="00207AC1" w:rsidRDefault="00E541A1"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lastRenderedPageBreak/>
              <w:t>Guest et al, (2019)</w:t>
            </w:r>
          </w:p>
        </w:tc>
        <w:tc>
          <w:tcPr>
            <w:tcW w:w="568"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A637479" w14:textId="609053FF" w:rsidR="00675D93" w:rsidRPr="00207AC1" w:rsidRDefault="00C114B7"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assess the potential clinical and economic impact of an electronic audit and feedback system for improving hand hygiene compliance and reducing HCAIs.</w:t>
            </w:r>
          </w:p>
        </w:tc>
        <w:tc>
          <w:tcPr>
            <w:tcW w:w="6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4780F03" w14:textId="792FDA48" w:rsidR="00675D93" w:rsidRPr="00207AC1" w:rsidRDefault="00C114B7"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A hypothetical general hospital in England, focusing on adult inpatients and front-line healthcare practitioners.</w:t>
            </w:r>
          </w:p>
        </w:tc>
        <w:tc>
          <w:tcPr>
            <w:tcW w:w="693"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CE4C3C0" w14:textId="5F5361CA" w:rsidR="00675D93" w:rsidRPr="00207AC1" w:rsidRDefault="00C114B7"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Decision-analysis modelling was used to estimate the clinical and economic effects of introducing an electronic hand hygiene audit and feedback system.</w:t>
            </w:r>
          </w:p>
        </w:tc>
        <w:tc>
          <w:tcPr>
            <w:tcW w:w="6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F367889" w14:textId="307C47A2" w:rsidR="00675D93" w:rsidRPr="00207AC1" w:rsidRDefault="00C114B7"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considered both health outcomes and costs, providing useful evidence about the potential value of electronic hand hygiene monitoring for the NHS.</w:t>
            </w:r>
          </w:p>
        </w:tc>
        <w:tc>
          <w:tcPr>
            <w:tcW w:w="63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C74FBE" w14:textId="63863D57" w:rsidR="00675D93" w:rsidRPr="00207AC1" w:rsidRDefault="00C114B7"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used a hypothetical hospital and modelled assumptions rather than real-world intervention data, so the findings may not directly reflect actual hospital outcomes.</w:t>
            </w:r>
          </w:p>
        </w:tc>
        <w:tc>
          <w:tcPr>
            <w:tcW w:w="75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7BB0D2A" w14:textId="7F6031A5" w:rsidR="00675D93" w:rsidRPr="00207AC1" w:rsidRDefault="00C114B7"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A 5–25% reduction in HCAIs could avoid approximately 184–921 infections and 6–31 deaths per hospital each year. Up to 7,794 hospital bed days could be released, while HCAI-related costs could decrease by 3–23%.</w:t>
            </w:r>
          </w:p>
        </w:tc>
        <w:tc>
          <w:tcPr>
            <w:tcW w:w="72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F4E598" w14:textId="3CD48B0B" w:rsidR="00675D93" w:rsidRPr="00207AC1" w:rsidRDefault="00C114B7"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An electronic audit and feedback system could be cost-effective for the NHS if it improves hand hygiene compliance enough to reduce HCAIs by at least 15%.</w:t>
            </w:r>
          </w:p>
        </w:tc>
      </w:tr>
      <w:tr w:rsidR="00675D93" w:rsidRPr="00207AC1" w14:paraId="573F3611" w14:textId="77777777" w:rsidTr="00207AC1">
        <w:trPr>
          <w:trHeight w:val="304"/>
        </w:trPr>
        <w:tc>
          <w:tcPr>
            <w:tcW w:w="40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837C091" w14:textId="3137168F" w:rsidR="00675D93" w:rsidRPr="00207AC1" w:rsidRDefault="00544EAC"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Burns et al, 2021</w:t>
            </w:r>
          </w:p>
        </w:tc>
        <w:tc>
          <w:tcPr>
            <w:tcW w:w="568"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E36E5D" w14:textId="7694E7EC" w:rsidR="00675D93" w:rsidRPr="00207AC1" w:rsidRDefault="00FB0293"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investigate skin damage and its effects on the wellbeing of healthcare staff caused by frequent handwashing and mask use during COVID-19.</w:t>
            </w:r>
          </w:p>
        </w:tc>
        <w:tc>
          <w:tcPr>
            <w:tcW w:w="6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90DD102" w14:textId="4D8E74F5" w:rsidR="00675D93" w:rsidRPr="00207AC1" w:rsidRDefault="00FB0293"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NHS healthcare staff in the UK. A total of 211 staff responded to the survey between April and May 2020.</w:t>
            </w:r>
          </w:p>
        </w:tc>
        <w:tc>
          <w:tcPr>
            <w:tcW w:w="693"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21810DF" w14:textId="145AA3F3" w:rsidR="00675D93" w:rsidRPr="00207AC1" w:rsidRDefault="00FB0293"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Retrospective cross-sectional study using a survey that assessed handwashing frequency, skin damage, wellbeing, and access to occupational health services and moisturisers.</w:t>
            </w:r>
          </w:p>
        </w:tc>
        <w:tc>
          <w:tcPr>
            <w:tcW w:w="6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9DD55CC" w14:textId="5CC977E6" w:rsidR="00675D93" w:rsidRPr="00207AC1" w:rsidRDefault="00FB0293"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included NHS staff and collected information directly from healthcare workers during the COVID-19 pandemic, providing useful real-world evidence.</w:t>
            </w:r>
          </w:p>
        </w:tc>
        <w:tc>
          <w:tcPr>
            <w:tcW w:w="63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BAF7737" w14:textId="14B0DC55" w:rsidR="00675D93" w:rsidRPr="00207AC1" w:rsidRDefault="00FB0293"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relied on self-reported survey responses, which may introduce reporting or recall bias. It also did not directly measure hand hygiene compliance or HCAI rates.</w:t>
            </w:r>
          </w:p>
        </w:tc>
        <w:tc>
          <w:tcPr>
            <w:tcW w:w="75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B31259C" w14:textId="405211B2" w:rsidR="00675D93" w:rsidRPr="00207AC1" w:rsidRDefault="00FB0293"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Of 211 respondents, 167 washed their hands more than 10 times per shift. Around three-quarters reported cracks or fissures on their hands. 36% reported a substantial impact on wellbeing, while only 7% had received specialist advice.</w:t>
            </w:r>
          </w:p>
        </w:tc>
        <w:tc>
          <w:tcPr>
            <w:tcW w:w="72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77CBBD9" w14:textId="62CA2D20" w:rsidR="00675D93" w:rsidRPr="00207AC1" w:rsidRDefault="00FB0293"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Frequent handwashing caused skin damage and affected the wellbeing of healthcare workers. NHS services should provide measures to prevent and treat skin damage and improve access to specialist support.</w:t>
            </w:r>
          </w:p>
        </w:tc>
      </w:tr>
      <w:tr w:rsidR="00675D93" w:rsidRPr="00207AC1" w14:paraId="10E106C9" w14:textId="77777777" w:rsidTr="00207AC1">
        <w:trPr>
          <w:trHeight w:val="304"/>
        </w:trPr>
        <w:tc>
          <w:tcPr>
            <w:tcW w:w="40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F0A19E5" w14:textId="354F7146" w:rsidR="00675D93" w:rsidRPr="00207AC1" w:rsidRDefault="00DC566B" w:rsidP="00207AC1">
            <w:pPr>
              <w:pStyle w:val="TableParagraph"/>
              <w:spacing w:line="360" w:lineRule="auto"/>
              <w:rPr>
                <w:bCs/>
                <w:color w:val="000000" w:themeColor="text1"/>
                <w:sz w:val="16"/>
                <w:szCs w:val="16"/>
                <w:shd w:val="clear" w:color="auto" w:fill="FFFFFF"/>
              </w:rPr>
            </w:pPr>
            <w:r w:rsidRPr="00207AC1">
              <w:rPr>
                <w:bCs/>
                <w:color w:val="000000" w:themeColor="text1"/>
                <w:sz w:val="16"/>
                <w:szCs w:val="16"/>
                <w:shd w:val="clear" w:color="auto" w:fill="FFFFFF"/>
              </w:rPr>
              <w:t>Blair et al, (2024)</w:t>
            </w:r>
          </w:p>
        </w:tc>
        <w:tc>
          <w:tcPr>
            <w:tcW w:w="568"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190395D" w14:textId="5E02C7C1" w:rsidR="00675D93" w:rsidRPr="00207AC1" w:rsidRDefault="00DC566B"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co-design and evaluate a behavioural science-informed intervention to improve hand hygiene compliance among healthcare staff.</w:t>
            </w:r>
          </w:p>
        </w:tc>
        <w:tc>
          <w:tcPr>
            <w:tcW w:w="6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4F57018" w14:textId="02185D40" w:rsidR="00675D93" w:rsidRPr="00207AC1" w:rsidRDefault="00DC566B"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Three inpatient wards within a London NHS Trust. Hand hygiene behaviour was observed for 18 hours before and 18 hours after the intervention.</w:t>
            </w:r>
          </w:p>
        </w:tc>
        <w:tc>
          <w:tcPr>
            <w:tcW w:w="693"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6D9EAE3" w14:textId="7FBABCA3" w:rsidR="00675D93" w:rsidRPr="00207AC1" w:rsidRDefault="00DC566B"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Before-and-after intervention study. Baseline and follow-up observations focused on Moments 1 and 5 of the WHO Five Moments for Hand Hygiene. A Chi-squared test was used to compare compliance before and after the intervention.</w:t>
            </w:r>
          </w:p>
        </w:tc>
        <w:tc>
          <w:tcPr>
            <w:tcW w:w="6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114D9B7" w14:textId="6EE86808" w:rsidR="00675D93" w:rsidRPr="00207AC1" w:rsidRDefault="00DC566B"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intervention was co-designed with clinical staff and used behavioural science to provide practical motivational “nudges” at points where hand hygiene commonly failed.</w:t>
            </w:r>
          </w:p>
        </w:tc>
        <w:tc>
          <w:tcPr>
            <w:tcW w:w="63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78B09D3" w14:textId="27A5E2FB" w:rsidR="00675D93" w:rsidRPr="00207AC1" w:rsidRDefault="00DC566B"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involved only three wards in one London NHS Trust and had a short six-week follow-up period, which may limit the generalisability and assessment of long-term effects.</w:t>
            </w:r>
          </w:p>
        </w:tc>
        <w:tc>
          <w:tcPr>
            <w:tcW w:w="75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7F0ED64" w14:textId="077BD14F" w:rsidR="00675D93" w:rsidRPr="00207AC1" w:rsidRDefault="00DC566B"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Overall hand hygiene compliance increased by 11% after the intervention (P &lt; 0.001). Compliance for Moment 1 increased by 15%, while Moment 5 increased by 11%.</w:t>
            </w:r>
          </w:p>
        </w:tc>
        <w:tc>
          <w:tcPr>
            <w:tcW w:w="72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0CFD9BE" w14:textId="05987F49" w:rsidR="00675D93" w:rsidRPr="00207AC1" w:rsidRDefault="00DC566B"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Behavioural science-based visual reminders can improve hand hygiene compliance. Co-design with clinical staff can increase engagement and support the effectiveness of hand hygiene interventions.</w:t>
            </w:r>
          </w:p>
        </w:tc>
      </w:tr>
      <w:tr w:rsidR="00675D93" w:rsidRPr="00207AC1" w14:paraId="337EAFA4" w14:textId="77777777" w:rsidTr="00207AC1">
        <w:trPr>
          <w:trHeight w:val="304"/>
        </w:trPr>
        <w:tc>
          <w:tcPr>
            <w:tcW w:w="40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3CE040E" w14:textId="4BC9FDED" w:rsidR="00675D93" w:rsidRPr="00207AC1" w:rsidRDefault="00654037" w:rsidP="00207AC1">
            <w:pPr>
              <w:pStyle w:val="TableParagraph"/>
              <w:spacing w:line="360" w:lineRule="auto"/>
              <w:rPr>
                <w:bCs/>
                <w:color w:val="000000" w:themeColor="text1"/>
                <w:sz w:val="16"/>
                <w:szCs w:val="16"/>
                <w:shd w:val="clear" w:color="auto" w:fill="FFFFFF"/>
              </w:rPr>
            </w:pPr>
            <w:proofErr w:type="gramStart"/>
            <w:r w:rsidRPr="00207AC1">
              <w:rPr>
                <w:bCs/>
                <w:color w:val="000000" w:themeColor="text1"/>
                <w:sz w:val="16"/>
                <w:szCs w:val="16"/>
                <w:shd w:val="clear" w:color="auto" w:fill="FFFFFF"/>
              </w:rPr>
              <w:t>Kaye  and</w:t>
            </w:r>
            <w:proofErr w:type="gramEnd"/>
            <w:r w:rsidRPr="00207AC1">
              <w:rPr>
                <w:bCs/>
                <w:color w:val="000000" w:themeColor="text1"/>
                <w:sz w:val="16"/>
                <w:szCs w:val="16"/>
                <w:shd w:val="clear" w:color="auto" w:fill="FFFFFF"/>
              </w:rPr>
              <w:t xml:space="preserve"> Marais, (2025)</w:t>
            </w:r>
          </w:p>
        </w:tc>
        <w:tc>
          <w:tcPr>
            <w:tcW w:w="568"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17E63AB" w14:textId="578D5C98" w:rsidR="00675D93" w:rsidRPr="00207AC1" w:rsidRDefault="001C4918"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 xml:space="preserve">To identify factors that facilitate or hinder staff compliance with hand hygiene and PPE </w:t>
            </w:r>
            <w:r w:rsidRPr="00207AC1">
              <w:rPr>
                <w:bCs/>
                <w:color w:val="000000" w:themeColor="text1"/>
                <w:spacing w:val="-2"/>
                <w:kern w:val="2"/>
                <w:sz w:val="16"/>
                <w:szCs w:val="16"/>
                <w:lang w:eastAsia="en-US"/>
              </w:rPr>
              <w:lastRenderedPageBreak/>
              <w:t>standards and policies.</w:t>
            </w:r>
          </w:p>
        </w:tc>
        <w:tc>
          <w:tcPr>
            <w:tcW w:w="6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8C25965" w14:textId="13BF88D8" w:rsidR="00675D93" w:rsidRPr="00207AC1" w:rsidRDefault="001C4918"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lastRenderedPageBreak/>
              <w:t xml:space="preserve">An acute UK Trust covering all inpatient wards (approximately 750 beds). Two wards were selected for </w:t>
            </w:r>
            <w:r w:rsidRPr="00207AC1">
              <w:rPr>
                <w:bCs/>
                <w:color w:val="000000" w:themeColor="text1"/>
                <w:spacing w:val="-2"/>
                <w:kern w:val="2"/>
                <w:sz w:val="16"/>
                <w:szCs w:val="16"/>
                <w:lang w:eastAsia="en-US"/>
              </w:rPr>
              <w:lastRenderedPageBreak/>
              <w:t>qualitative investigation, with four staff participants from each ward (8 participants in total), representing different staff grades.</w:t>
            </w:r>
          </w:p>
        </w:tc>
        <w:tc>
          <w:tcPr>
            <w:tcW w:w="693"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2EC57B7" w14:textId="2E9AA41A" w:rsidR="00675D93" w:rsidRPr="00207AC1" w:rsidRDefault="001C4918"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lastRenderedPageBreak/>
              <w:t xml:space="preserve">A mixed-methods sequential explanatory design was used. Quantitative data on COVID-19 cases, hand hygiene and </w:t>
            </w:r>
            <w:r w:rsidRPr="00207AC1">
              <w:rPr>
                <w:bCs/>
                <w:color w:val="000000" w:themeColor="text1"/>
                <w:spacing w:val="-2"/>
                <w:kern w:val="2"/>
                <w:sz w:val="16"/>
                <w:szCs w:val="16"/>
                <w:lang w:eastAsia="en-US"/>
              </w:rPr>
              <w:lastRenderedPageBreak/>
              <w:t>PPE compliance were collected over 10 months. Qualitative interviews were then conducted with staff, and thematic analysis was used to identify barriers and facilitators.</w:t>
            </w:r>
          </w:p>
        </w:tc>
        <w:tc>
          <w:tcPr>
            <w:tcW w:w="6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E3FD691" w14:textId="5A4624A5" w:rsidR="00675D93" w:rsidRPr="00207AC1" w:rsidRDefault="001C4918"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lastRenderedPageBreak/>
              <w:t xml:space="preserve">The </w:t>
            </w:r>
            <w:proofErr w:type="gramStart"/>
            <w:r w:rsidRPr="00207AC1">
              <w:rPr>
                <w:bCs/>
                <w:color w:val="000000" w:themeColor="text1"/>
                <w:spacing w:val="-2"/>
                <w:kern w:val="2"/>
                <w:sz w:val="16"/>
                <w:szCs w:val="16"/>
                <w:lang w:eastAsia="en-US"/>
              </w:rPr>
              <w:t>mixed-methods</w:t>
            </w:r>
            <w:proofErr w:type="gramEnd"/>
            <w:r w:rsidRPr="00207AC1">
              <w:rPr>
                <w:bCs/>
                <w:color w:val="000000" w:themeColor="text1"/>
                <w:spacing w:val="-2"/>
                <w:kern w:val="2"/>
                <w:sz w:val="16"/>
                <w:szCs w:val="16"/>
                <w:lang w:eastAsia="en-US"/>
              </w:rPr>
              <w:t xml:space="preserve"> design combined compliance data with staff experiences, providing both </w:t>
            </w:r>
            <w:r w:rsidRPr="00207AC1">
              <w:rPr>
                <w:bCs/>
                <w:color w:val="000000" w:themeColor="text1"/>
                <w:spacing w:val="-2"/>
                <w:kern w:val="2"/>
                <w:sz w:val="16"/>
                <w:szCs w:val="16"/>
                <w:lang w:eastAsia="en-US"/>
              </w:rPr>
              <w:lastRenderedPageBreak/>
              <w:t>measurable evidence and explanations for why compliance may be poor. The study also covered a large acute Trust and a 10-month period.</w:t>
            </w:r>
          </w:p>
        </w:tc>
        <w:tc>
          <w:tcPr>
            <w:tcW w:w="63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8712FC9" w14:textId="66B26A73" w:rsidR="00675D93" w:rsidRPr="00207AC1" w:rsidRDefault="001C4918"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lastRenderedPageBreak/>
              <w:t xml:space="preserve">Only eight staff members were interviewed, and the qualitative findings came from two wards, which may limit </w:t>
            </w:r>
            <w:r w:rsidRPr="00207AC1">
              <w:rPr>
                <w:bCs/>
                <w:color w:val="000000" w:themeColor="text1"/>
                <w:spacing w:val="-2"/>
                <w:kern w:val="2"/>
                <w:sz w:val="16"/>
                <w:szCs w:val="16"/>
                <w:lang w:eastAsia="en-US"/>
              </w:rPr>
              <w:lastRenderedPageBreak/>
              <w:t>generalisability. The study also examined PPE alongside hand hygiene, making some findings less specific to hand hygiene alone.</w:t>
            </w:r>
          </w:p>
        </w:tc>
        <w:tc>
          <w:tcPr>
            <w:tcW w:w="75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2177402" w14:textId="4A70AECD" w:rsidR="00675D93" w:rsidRPr="00207AC1" w:rsidRDefault="001C4918"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lastRenderedPageBreak/>
              <w:t xml:space="preserve">Hand hygiene and PPE compliance showed a downward trend over the 10-month study period. Key barriers and facilitators were time, </w:t>
            </w:r>
            <w:r w:rsidRPr="00207AC1">
              <w:rPr>
                <w:bCs/>
                <w:color w:val="000000" w:themeColor="text1"/>
                <w:spacing w:val="-2"/>
                <w:kern w:val="2"/>
                <w:sz w:val="16"/>
                <w:szCs w:val="16"/>
                <w:lang w:eastAsia="en-US"/>
              </w:rPr>
              <w:lastRenderedPageBreak/>
              <w:t xml:space="preserve">information, training, safety and accessibility. Time was the </w:t>
            </w:r>
            <w:proofErr w:type="gramStart"/>
            <w:r w:rsidRPr="00207AC1">
              <w:rPr>
                <w:bCs/>
                <w:color w:val="000000" w:themeColor="text1"/>
                <w:spacing w:val="-2"/>
                <w:kern w:val="2"/>
                <w:sz w:val="16"/>
                <w:szCs w:val="16"/>
                <w:lang w:eastAsia="en-US"/>
              </w:rPr>
              <w:t>most commonly identified</w:t>
            </w:r>
            <w:proofErr w:type="gramEnd"/>
            <w:r w:rsidRPr="00207AC1">
              <w:rPr>
                <w:bCs/>
                <w:color w:val="000000" w:themeColor="text1"/>
                <w:spacing w:val="-2"/>
                <w:kern w:val="2"/>
                <w:sz w:val="16"/>
                <w:szCs w:val="16"/>
                <w:lang w:eastAsia="en-US"/>
              </w:rPr>
              <w:t xml:space="preserve"> barrier, with staff considering compliance procedures too time-consuming. Patient safety was the strongest factor encouraging compliance.</w:t>
            </w:r>
          </w:p>
        </w:tc>
        <w:tc>
          <w:tcPr>
            <w:tcW w:w="72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8CA49D0" w14:textId="1A808071" w:rsidR="00675D93" w:rsidRPr="00207AC1" w:rsidRDefault="001C4918"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lastRenderedPageBreak/>
              <w:t>Patient safety was the most influential factor supporting staff compliance, while lack of time was the main factor contributing to non-</w:t>
            </w:r>
            <w:r w:rsidRPr="00207AC1">
              <w:rPr>
                <w:bCs/>
                <w:color w:val="000000" w:themeColor="text1"/>
                <w:spacing w:val="-2"/>
                <w:kern w:val="2"/>
                <w:sz w:val="16"/>
                <w:szCs w:val="16"/>
                <w:lang w:eastAsia="en-US"/>
              </w:rPr>
              <w:lastRenderedPageBreak/>
              <w:t>compliance. Improving accessibility, training, information and the efficiency of hand hygiene procedures may help improve compliance.</w:t>
            </w:r>
          </w:p>
        </w:tc>
      </w:tr>
      <w:tr w:rsidR="00675D93" w:rsidRPr="00207AC1" w14:paraId="68F789FE" w14:textId="77777777" w:rsidTr="00207AC1">
        <w:trPr>
          <w:trHeight w:val="304"/>
        </w:trPr>
        <w:tc>
          <w:tcPr>
            <w:tcW w:w="40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FD2EBFE" w14:textId="516BFDBD" w:rsidR="00675D93" w:rsidRPr="00207AC1" w:rsidRDefault="003B4837" w:rsidP="00207AC1">
            <w:pPr>
              <w:pStyle w:val="TableParagraph"/>
              <w:spacing w:line="360" w:lineRule="auto"/>
              <w:rPr>
                <w:bCs/>
                <w:color w:val="000000" w:themeColor="text1"/>
                <w:sz w:val="16"/>
                <w:szCs w:val="16"/>
                <w:shd w:val="clear" w:color="auto" w:fill="FFFFFF"/>
              </w:rPr>
            </w:pPr>
            <w:r w:rsidRPr="00207AC1">
              <w:rPr>
                <w:bCs/>
                <w:color w:val="000000" w:themeColor="text1"/>
                <w:sz w:val="16"/>
                <w:szCs w:val="16"/>
                <w:shd w:val="clear" w:color="auto" w:fill="FFFFFF"/>
              </w:rPr>
              <w:lastRenderedPageBreak/>
              <w:t>Mandal et al, (2025)</w:t>
            </w:r>
          </w:p>
        </w:tc>
        <w:tc>
          <w:tcPr>
            <w:tcW w:w="568"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9B47E3C" w14:textId="0FCBCA4D" w:rsidR="00675D93" w:rsidRPr="00207AC1" w:rsidRDefault="0096190A"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assess practitioners’ adherence to the six-step Ayliffe hand hygiene technique and evaluate whether an instructional video and an additional seventh step could improve hand cleansing.</w:t>
            </w:r>
          </w:p>
        </w:tc>
        <w:tc>
          <w:tcPr>
            <w:tcW w:w="6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C5BB383" w14:textId="1DCB2DC0" w:rsidR="00675D93" w:rsidRPr="00207AC1" w:rsidRDefault="0096190A"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Healthcare practitioners in the study setting. The abstract does not specify the exact sample size or setting, so these details should be confirmed from the full text.</w:t>
            </w:r>
          </w:p>
        </w:tc>
        <w:tc>
          <w:tcPr>
            <w:tcW w:w="693"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02A21F" w14:textId="17766DEE" w:rsidR="00675D93" w:rsidRPr="00207AC1" w:rsidRDefault="0096190A"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An intervention-based pre- and post-assessment study was conducted. Participants’ hand hygiene technique was assessed using a lotion visible under ultraviolet light. They then watched a short instructional video and were taught an additional seventh step. Technique was reassessed immediately and again after 3–4 weeks.</w:t>
            </w:r>
          </w:p>
        </w:tc>
        <w:tc>
          <w:tcPr>
            <w:tcW w:w="6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1127114" w14:textId="6A3E45A4" w:rsidR="00675D93" w:rsidRPr="00207AC1" w:rsidRDefault="0096190A"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use of ultraviolet lotion provided an objective method for identifying areas of the hands that were not adequately cleansed. Reassessment after 3–4 weeks also provided evidence of whether improvements were maintained.</w:t>
            </w:r>
          </w:p>
        </w:tc>
        <w:tc>
          <w:tcPr>
            <w:tcW w:w="63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FD3DE6E" w14:textId="6CCD8ED2" w:rsidR="00675D93" w:rsidRPr="00207AC1" w:rsidRDefault="0096190A"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abstract does not provide information about the sample size, participant selection or exact setting. The follow-up period was relatively short, so the long-term effectiveness of the intervention is uncertain.</w:t>
            </w:r>
          </w:p>
        </w:tc>
        <w:tc>
          <w:tcPr>
            <w:tcW w:w="75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B88E2BC" w14:textId="40BC534F" w:rsidR="00675D93" w:rsidRPr="00207AC1" w:rsidRDefault="0096190A"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Initially, only 43% of participants correctly performed all six steps of the Ayliffe technique. This increased to 97% following the instructional video. Initially, 59% failed to adequately clean the dorsal hands, which decreased to 13% at the third assessment after introducing the seventh step.</w:t>
            </w:r>
          </w:p>
        </w:tc>
        <w:tc>
          <w:tcPr>
            <w:tcW w:w="72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D6F114D" w14:textId="44917FD0" w:rsidR="00675D93" w:rsidRPr="00207AC1" w:rsidRDefault="0096190A"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instructional video was effective in improving hand hygiene technique. Adding a seventh step to the Ayliffe technique improved cleansing of the dorsal hand and may increase the effectiveness of hand hygiene protocols.</w:t>
            </w:r>
          </w:p>
        </w:tc>
      </w:tr>
      <w:tr w:rsidR="00675D93" w:rsidRPr="00207AC1" w14:paraId="0ED14B14" w14:textId="77777777" w:rsidTr="00207AC1">
        <w:trPr>
          <w:trHeight w:val="304"/>
        </w:trPr>
        <w:tc>
          <w:tcPr>
            <w:tcW w:w="40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2E7E6CB" w14:textId="07E1B2F1" w:rsidR="00675D93" w:rsidRPr="00207AC1" w:rsidRDefault="00037F15" w:rsidP="00207AC1">
            <w:pPr>
              <w:pStyle w:val="TableParagraph"/>
              <w:spacing w:line="360" w:lineRule="auto"/>
              <w:rPr>
                <w:bCs/>
                <w:color w:val="000000" w:themeColor="text1"/>
                <w:sz w:val="16"/>
                <w:szCs w:val="16"/>
                <w:shd w:val="clear" w:color="auto" w:fill="FFFFFF"/>
              </w:rPr>
            </w:pPr>
            <w:r w:rsidRPr="00207AC1">
              <w:rPr>
                <w:bCs/>
                <w:color w:val="000000" w:themeColor="text1"/>
                <w:sz w:val="16"/>
                <w:szCs w:val="16"/>
                <w:shd w:val="clear" w:color="auto" w:fill="FFFFFF"/>
              </w:rPr>
              <w:t>Cawthorne and Cooke, (2020)</w:t>
            </w:r>
          </w:p>
        </w:tc>
        <w:tc>
          <w:tcPr>
            <w:tcW w:w="568"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58DDB01" w14:textId="2F947FEB" w:rsidR="00675D93" w:rsidRPr="00207AC1" w:rsidRDefault="005E387E"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explore healthcare workers’ perspectives on direct observation as the standard method for monitoring hand hygiene compliance and assess their views on innovative technologies for hand hygiene monitoring.</w:t>
            </w:r>
          </w:p>
        </w:tc>
        <w:tc>
          <w:tcPr>
            <w:tcW w:w="6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E17865C" w14:textId="1B7EE26C" w:rsidR="00675D93" w:rsidRPr="00207AC1" w:rsidRDefault="005E387E"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Two NHS Trusts in the UK. A total of 1,120 healthcare workers responded to the survey, with nursing staff and doctors accounting for the largest groups of respondents.</w:t>
            </w:r>
          </w:p>
        </w:tc>
        <w:tc>
          <w:tcPr>
            <w:tcW w:w="693"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78A5ED2" w14:textId="5A927B9C" w:rsidR="00675D93" w:rsidRPr="00207AC1" w:rsidRDefault="005E387E"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A cross-sectional survey study was conducted. An online questionnaire was emailed to healthcare workers across two NHS Trusts to assess their attitudes towards direct observation and alternative technologies for monitoring hand hygiene compliance.</w:t>
            </w:r>
          </w:p>
        </w:tc>
        <w:tc>
          <w:tcPr>
            <w:tcW w:w="6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264919B" w14:textId="61DA2B6E" w:rsidR="00675D93" w:rsidRPr="00207AC1" w:rsidRDefault="005E387E"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included a large sample of 1,120 healthcare workers from two NHS Trusts. Including a substantial number of nursing staff provides useful evidence about staff attitudes towards hand hygiene monitoring.</w:t>
            </w:r>
          </w:p>
        </w:tc>
        <w:tc>
          <w:tcPr>
            <w:tcW w:w="63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F427913" w14:textId="6DBD1309" w:rsidR="00675D93" w:rsidRPr="00207AC1" w:rsidRDefault="005E387E"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relied on self-reported opinions rather than directly measuring actual hand hygiene compliance. The survey response rate and exact number of nursing respondents are not provided in the abstract.</w:t>
            </w:r>
          </w:p>
        </w:tc>
        <w:tc>
          <w:tcPr>
            <w:tcW w:w="75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732AFC4" w14:textId="3B428315" w:rsidR="00675D93" w:rsidRPr="00207AC1" w:rsidRDefault="005E387E"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58% of healthcare workers did not strongly support direct observation as a method of assessing hand hygiene compliance. Staff were generally willing to consider alternative and innovative technologies for monitoring hand hygiene.</w:t>
            </w:r>
          </w:p>
        </w:tc>
        <w:tc>
          <w:tcPr>
            <w:tcW w:w="72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E8DBE7B" w14:textId="3B9CC188" w:rsidR="00675D93" w:rsidRPr="00207AC1" w:rsidRDefault="005E387E"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Healthcare workers may have concerns about direct observation as a method of monitoring hand hygiene. Greater staff engagement and the use of innovative monitoring technologies may help improve acceptance of hand hygiene compliance monitoring</w:t>
            </w:r>
          </w:p>
        </w:tc>
      </w:tr>
      <w:tr w:rsidR="00675D93" w:rsidRPr="00207AC1" w14:paraId="6E86802A" w14:textId="77777777" w:rsidTr="00207AC1">
        <w:trPr>
          <w:trHeight w:val="304"/>
        </w:trPr>
        <w:tc>
          <w:tcPr>
            <w:tcW w:w="40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A122001" w14:textId="139F6E51" w:rsidR="00675D93" w:rsidRPr="00207AC1" w:rsidRDefault="00DB1FF7" w:rsidP="00207AC1">
            <w:pPr>
              <w:pStyle w:val="TableParagraph"/>
              <w:spacing w:line="360" w:lineRule="auto"/>
              <w:rPr>
                <w:bCs/>
                <w:color w:val="000000" w:themeColor="text1"/>
                <w:sz w:val="16"/>
                <w:szCs w:val="16"/>
                <w:shd w:val="clear" w:color="auto" w:fill="FFFFFF"/>
              </w:rPr>
            </w:pPr>
            <w:r w:rsidRPr="00207AC1">
              <w:rPr>
                <w:bCs/>
                <w:color w:val="000000" w:themeColor="text1"/>
                <w:sz w:val="16"/>
                <w:szCs w:val="16"/>
                <w:shd w:val="clear" w:color="auto" w:fill="FFFFFF"/>
              </w:rPr>
              <w:lastRenderedPageBreak/>
              <w:t>Mohammadi-</w:t>
            </w:r>
            <w:proofErr w:type="spellStart"/>
            <w:r w:rsidRPr="00207AC1">
              <w:rPr>
                <w:bCs/>
                <w:color w:val="000000" w:themeColor="text1"/>
                <w:sz w:val="16"/>
                <w:szCs w:val="16"/>
                <w:shd w:val="clear" w:color="auto" w:fill="FFFFFF"/>
              </w:rPr>
              <w:t>Zaniani</w:t>
            </w:r>
            <w:proofErr w:type="spellEnd"/>
            <w:r w:rsidRPr="00207AC1">
              <w:rPr>
                <w:bCs/>
                <w:color w:val="000000" w:themeColor="text1"/>
                <w:sz w:val="16"/>
                <w:szCs w:val="16"/>
                <w:shd w:val="clear" w:color="auto" w:fill="FFFFFF"/>
              </w:rPr>
              <w:t xml:space="preserve"> and Wales, (2020)</w:t>
            </w:r>
          </w:p>
        </w:tc>
        <w:tc>
          <w:tcPr>
            <w:tcW w:w="568"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462A957" w14:textId="3CF4482C" w:rsidR="00675D93" w:rsidRPr="00207AC1" w:rsidRDefault="00DB1FF7"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improve hand hygiene adherence in a surgical department identified as an MSSA healthcare-associated infection hotspot and achieve sustainable improvements through education, monitoring and feedback.</w:t>
            </w:r>
          </w:p>
        </w:tc>
        <w:tc>
          <w:tcPr>
            <w:tcW w:w="6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076CC9" w14:textId="00125C68" w:rsidR="00675D93" w:rsidRPr="00207AC1" w:rsidRDefault="00DB1FF7"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A surgical department/inpatient ward in a hospital. Hand hygiene adherence was monitored among staff during registrar-led and consultant-led clinical rounds.</w:t>
            </w:r>
          </w:p>
        </w:tc>
        <w:tc>
          <w:tcPr>
            <w:tcW w:w="693"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FE5305E" w14:textId="7D9E278A" w:rsidR="00B16B37" w:rsidRPr="00207AC1" w:rsidRDefault="00DB1FF7"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Quality Improvement (QI) study using WHO hand hygiene checklists. Baseline auditing was followed by departmental education, weekly auditing, feedback and verbal reminders over four months. A PDSA cycle was used to address variation, followed by a long-term multidisciplinary monitoring strategy.</w:t>
            </w:r>
          </w:p>
        </w:tc>
        <w:tc>
          <w:tcPr>
            <w:tcW w:w="6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67D355A" w14:textId="68E26D1D" w:rsidR="00675D93" w:rsidRPr="00207AC1" w:rsidRDefault="00DB1FF7"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Repeated audits and feedback were used over four months, allowing changes in hand hygiene adherence to be monitored over time. The use of WHO checklists and a multidisciplinary team provided a structured approach to improving practice.</w:t>
            </w:r>
          </w:p>
        </w:tc>
        <w:tc>
          <w:tcPr>
            <w:tcW w:w="63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92B1D11" w14:textId="7DBBB809" w:rsidR="00675D93" w:rsidRPr="00207AC1" w:rsidRDefault="00DB1FF7"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was conducted in one surgical department/ward, limiting generalisability. The abstract does not report actual MSSA infection rates after the intervention, so the direct effect of improved hand hygiene on HAI incidence cannot be confirmed.</w:t>
            </w:r>
          </w:p>
        </w:tc>
        <w:tc>
          <w:tcPr>
            <w:tcW w:w="75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C74A82B" w14:textId="01BF653A" w:rsidR="00675D93" w:rsidRPr="00207AC1" w:rsidRDefault="00DB1FF7"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Baseline adherence ranged from 10–52% during registrar-led rounds and 22–62% during consultant-led rounds across the five hand hygiene moments. Following education, initial adherence remained low (6–38%</w:t>
            </w:r>
            <w:proofErr w:type="gramStart"/>
            <w:r w:rsidRPr="00207AC1">
              <w:rPr>
                <w:bCs/>
                <w:color w:val="000000" w:themeColor="text1"/>
                <w:spacing w:val="-2"/>
                <w:kern w:val="2"/>
                <w:sz w:val="16"/>
                <w:szCs w:val="16"/>
                <w:lang w:eastAsia="en-US"/>
              </w:rPr>
              <w:t>), but</w:t>
            </w:r>
            <w:proofErr w:type="gramEnd"/>
            <w:r w:rsidRPr="00207AC1">
              <w:rPr>
                <w:bCs/>
                <w:color w:val="000000" w:themeColor="text1"/>
                <w:spacing w:val="-2"/>
                <w:kern w:val="2"/>
                <w:sz w:val="16"/>
                <w:szCs w:val="16"/>
                <w:lang w:eastAsia="en-US"/>
              </w:rPr>
              <w:t xml:space="preserve"> improved to 74–93% the following month. During the final two months, adherence ranged from 50–100%.</w:t>
            </w:r>
          </w:p>
        </w:tc>
        <w:tc>
          <w:tcPr>
            <w:tcW w:w="72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26457BB" w14:textId="456BEA68" w:rsidR="00675D93" w:rsidRPr="00207AC1" w:rsidRDefault="00DB1FF7"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A multidisciplinary programme involving education, regular monitoring, feedback and reminders improved hand hygiene adherence. Continued MDT monitoring and the use of PDSA cycles may help maintain improvements in inpatient settings.</w:t>
            </w:r>
          </w:p>
        </w:tc>
      </w:tr>
      <w:tr w:rsidR="00675D93" w:rsidRPr="00207AC1" w14:paraId="108C7129" w14:textId="77777777" w:rsidTr="00207AC1">
        <w:trPr>
          <w:trHeight w:val="304"/>
        </w:trPr>
        <w:tc>
          <w:tcPr>
            <w:tcW w:w="40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AADECD0" w14:textId="0027592F" w:rsidR="00675D93" w:rsidRPr="00207AC1" w:rsidRDefault="00B16B37" w:rsidP="00207AC1">
            <w:pPr>
              <w:pStyle w:val="TableParagraph"/>
              <w:spacing w:line="360" w:lineRule="auto"/>
              <w:rPr>
                <w:bCs/>
                <w:color w:val="000000" w:themeColor="text1"/>
                <w:sz w:val="16"/>
                <w:szCs w:val="16"/>
                <w:shd w:val="clear" w:color="auto" w:fill="FFFFFF"/>
              </w:rPr>
            </w:pPr>
            <w:r w:rsidRPr="00207AC1">
              <w:rPr>
                <w:bCs/>
                <w:color w:val="000000" w:themeColor="text1"/>
                <w:sz w:val="16"/>
                <w:szCs w:val="16"/>
                <w:shd w:val="clear" w:color="auto" w:fill="FFFFFF"/>
              </w:rPr>
              <w:t>Batalla et al, 2026</w:t>
            </w:r>
          </w:p>
        </w:tc>
        <w:tc>
          <w:tcPr>
            <w:tcW w:w="568"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62CBF8" w14:textId="284A14BB" w:rsidR="00675D93" w:rsidRPr="00207AC1" w:rsidRDefault="00B16B37"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implement a hand-hygiene champion (HHC) role and determine whether it could improve hand hygiene compliance rates in intensive care units.</w:t>
            </w:r>
          </w:p>
        </w:tc>
        <w:tc>
          <w:tcPr>
            <w:tcW w:w="6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237ABDB" w14:textId="6D2474C3" w:rsidR="00675D93" w:rsidRPr="00207AC1" w:rsidRDefault="00B16B37"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Critical care directorates across two tertiary hospital sites in the UK. The study focused on ICU staff and compared an intervention group with HHCs against a control group.</w:t>
            </w:r>
          </w:p>
        </w:tc>
        <w:tc>
          <w:tcPr>
            <w:tcW w:w="693"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CC8C454" w14:textId="55610938" w:rsidR="00675D93" w:rsidRPr="00207AC1" w:rsidRDefault="00B16B37"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Quality Improvement (QI) project using the Plan-Do-Study-Act (PDSA) cycle. The HHC role was implemented between February 2025 and February 2026, with hand hygiene compliance compared between intervention and control groups and monitored over time</w:t>
            </w:r>
          </w:p>
        </w:tc>
        <w:tc>
          <w:tcPr>
            <w:tcW w:w="6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D20A734" w14:textId="4DF740FE" w:rsidR="00675D93" w:rsidRPr="00207AC1" w:rsidRDefault="00B16B37"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Conducted across two UK tertiary hospitals and used a control group, allowing comparison between units with and without HHCs. The 12-month implementation period also allowed changes in compliance to be assessed over time.</w:t>
            </w:r>
          </w:p>
        </w:tc>
        <w:tc>
          <w:tcPr>
            <w:tcW w:w="63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3B016C2" w14:textId="5014E3B0" w:rsidR="00675D93" w:rsidRPr="00207AC1" w:rsidRDefault="00B16B37"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abstract does not provide the sample size, exact compliance percentages or effect size. As a quality improvement project, other changes occurring during the study period may also have influenced compliance.</w:t>
            </w:r>
          </w:p>
        </w:tc>
        <w:tc>
          <w:tcPr>
            <w:tcW w:w="75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8BB43D0" w14:textId="74255C08" w:rsidR="00675D93" w:rsidRPr="00207AC1" w:rsidRDefault="00B16B37"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Hand hygiene compliance was significantly higher in the intervention group where HHCs were implemented compared with the control group. Compliance also increased significantly over time following implementation of the HHC role.</w:t>
            </w:r>
          </w:p>
        </w:tc>
        <w:tc>
          <w:tcPr>
            <w:tcW w:w="72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3257F2B" w14:textId="78D59211" w:rsidR="00675D93" w:rsidRPr="00207AC1" w:rsidRDefault="00B16B37"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Introducing hand-hygiene champions can potentially improve hand hygiene compliance in ICU settings. Peer support, active monitoring and staff engagement may be effective strategies for improving compliance in high-risk hospital areas.</w:t>
            </w:r>
          </w:p>
        </w:tc>
      </w:tr>
      <w:tr w:rsidR="00675D93" w:rsidRPr="00207AC1" w14:paraId="3700D528" w14:textId="77777777" w:rsidTr="00207AC1">
        <w:trPr>
          <w:trHeight w:val="304"/>
        </w:trPr>
        <w:tc>
          <w:tcPr>
            <w:tcW w:w="40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E2502D1" w14:textId="46B40C77" w:rsidR="00675D93" w:rsidRPr="00207AC1" w:rsidRDefault="0004283E" w:rsidP="00207AC1">
            <w:pPr>
              <w:pStyle w:val="TableParagraph"/>
              <w:spacing w:line="360" w:lineRule="auto"/>
              <w:rPr>
                <w:bCs/>
                <w:color w:val="000000" w:themeColor="text1"/>
                <w:sz w:val="16"/>
                <w:szCs w:val="16"/>
                <w:shd w:val="clear" w:color="auto" w:fill="FFFFFF"/>
              </w:rPr>
            </w:pPr>
            <w:r w:rsidRPr="00207AC1">
              <w:rPr>
                <w:bCs/>
                <w:color w:val="000000" w:themeColor="text1"/>
                <w:sz w:val="16"/>
                <w:szCs w:val="16"/>
                <w:shd w:val="clear" w:color="auto" w:fill="FFFFFF"/>
              </w:rPr>
              <w:t>Gould et al, (2020)</w:t>
            </w:r>
          </w:p>
        </w:tc>
        <w:tc>
          <w:tcPr>
            <w:tcW w:w="568"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E9D668" w14:textId="6C18C8F6" w:rsidR="00675D93" w:rsidRPr="00207AC1" w:rsidRDefault="00FA1376"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evaluate a type five electronic monitoring system (EMS) for hand hygiene adherence, particularly its accuracy and ability to avoid the Hawthorne effect associated with manual observation.</w:t>
            </w:r>
          </w:p>
        </w:tc>
        <w:tc>
          <w:tcPr>
            <w:tcW w:w="6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1D31C64" w14:textId="6A26FFC6" w:rsidR="00675D93" w:rsidRPr="00207AC1" w:rsidRDefault="00FA1376"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An acute 31-bed medical ward in an NHS Trust in London, UK. Participants were healthcare staff working or attached to the ward.</w:t>
            </w:r>
          </w:p>
        </w:tc>
        <w:tc>
          <w:tcPr>
            <w:tcW w:w="693"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AF4DC2E" w14:textId="3DDA3A84" w:rsidR="00675D93" w:rsidRPr="00207AC1" w:rsidRDefault="00FA1376"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 xml:space="preserve">Comparative observational study. Hand hygiene events were assessed both manually and electronically, and agreement between the two methods was examined. Continuous electronic monitoring was conducted using an EMS that measured </w:t>
            </w:r>
            <w:r w:rsidRPr="00207AC1">
              <w:rPr>
                <w:bCs/>
                <w:color w:val="000000" w:themeColor="text1"/>
                <w:spacing w:val="-2"/>
                <w:kern w:val="2"/>
                <w:sz w:val="16"/>
                <w:szCs w:val="16"/>
                <w:lang w:eastAsia="en-US"/>
              </w:rPr>
              <w:lastRenderedPageBreak/>
              <w:t>disinfectant dispenser use and healthcare worker movements.</w:t>
            </w:r>
          </w:p>
        </w:tc>
        <w:tc>
          <w:tcPr>
            <w:tcW w:w="6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EAF9EDD" w14:textId="1B2468DF" w:rsidR="00675D93" w:rsidRPr="00207AC1" w:rsidRDefault="00FA1376"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lastRenderedPageBreak/>
              <w:t>The study directly compared electronic and manual monitoring methods and used continuous electronic measurement. It also examined the Hawthorne effect, providing useful evidence about the reliability of traditional direct observation.</w:t>
            </w:r>
          </w:p>
        </w:tc>
        <w:tc>
          <w:tcPr>
            <w:tcW w:w="63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B54E23D" w14:textId="79A94B51" w:rsidR="00675D93" w:rsidRPr="00207AC1" w:rsidRDefault="00FA1376"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 xml:space="preserve">The study was conducted on only one 31-bed medical ward, which limits generalisability. Only 294 hand hygiene events were manually observed across five sessions, and the study evaluated monitoring accuracy rather </w:t>
            </w:r>
            <w:r w:rsidRPr="00207AC1">
              <w:rPr>
                <w:bCs/>
                <w:color w:val="000000" w:themeColor="text1"/>
                <w:spacing w:val="-2"/>
                <w:kern w:val="2"/>
                <w:sz w:val="16"/>
                <w:szCs w:val="16"/>
                <w:lang w:eastAsia="en-US"/>
              </w:rPr>
              <w:lastRenderedPageBreak/>
              <w:t>than directly measuring reductions in HCAIs.</w:t>
            </w:r>
          </w:p>
        </w:tc>
        <w:tc>
          <w:tcPr>
            <w:tcW w:w="75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26E6012" w14:textId="5BCCCB47" w:rsidR="00675D93" w:rsidRPr="00207AC1" w:rsidRDefault="00FA1376"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lastRenderedPageBreak/>
              <w:t xml:space="preserve">A total of 294 hand hygiene events were observed. Manual observation and EMS measurements showed 84% agreement (95% CI 79.1–89.9%). Manually observed compliance increased from 24% to 76% across the five sessions, while EMS measurements remained stable when </w:t>
            </w:r>
            <w:r w:rsidRPr="00207AC1">
              <w:rPr>
                <w:bCs/>
                <w:color w:val="000000" w:themeColor="text1"/>
                <w:spacing w:val="-2"/>
                <w:kern w:val="2"/>
                <w:sz w:val="16"/>
                <w:szCs w:val="16"/>
                <w:lang w:eastAsia="en-US"/>
              </w:rPr>
              <w:lastRenderedPageBreak/>
              <w:t>the observer was absent. This demonstrated a clear Hawthorne effect.</w:t>
            </w:r>
          </w:p>
        </w:tc>
        <w:tc>
          <w:tcPr>
            <w:tcW w:w="72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F687FF0" w14:textId="74FD01F6" w:rsidR="00675D93" w:rsidRPr="00207AC1" w:rsidRDefault="00FA1376"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lastRenderedPageBreak/>
              <w:t>The EMS demonstrated good accuracy and was able to reduce the influence of the Hawthorne effect. Electronic monitoring may therefore provide a more reliable method of assessing hand hygiene adherence than direct observation alone.</w:t>
            </w:r>
          </w:p>
        </w:tc>
      </w:tr>
      <w:tr w:rsidR="00675D93" w:rsidRPr="00207AC1" w14:paraId="6DC5DAA9" w14:textId="77777777" w:rsidTr="00207AC1">
        <w:trPr>
          <w:trHeight w:val="304"/>
        </w:trPr>
        <w:tc>
          <w:tcPr>
            <w:tcW w:w="401"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5FE377F" w14:textId="485974E7" w:rsidR="00675D93" w:rsidRPr="00207AC1" w:rsidRDefault="00AC13F2" w:rsidP="00207AC1">
            <w:pPr>
              <w:pStyle w:val="TableParagraph"/>
              <w:spacing w:line="360" w:lineRule="auto"/>
              <w:rPr>
                <w:bCs/>
                <w:color w:val="000000" w:themeColor="text1"/>
                <w:sz w:val="16"/>
                <w:szCs w:val="16"/>
                <w:shd w:val="clear" w:color="auto" w:fill="FFFFFF"/>
              </w:rPr>
            </w:pPr>
            <w:r w:rsidRPr="00207AC1">
              <w:rPr>
                <w:bCs/>
                <w:sz w:val="16"/>
                <w:szCs w:val="16"/>
              </w:rPr>
              <w:t>Kelly et al, (2021)</w:t>
            </w:r>
          </w:p>
        </w:tc>
        <w:tc>
          <w:tcPr>
            <w:tcW w:w="568"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4A3E66A" w14:textId="15E2776E" w:rsidR="00675D93" w:rsidRPr="00207AC1" w:rsidRDefault="000D25BF"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evaluate the acceptability of a new type five electronic hand hygiene monitoring system among frontline healthcare workers in an NHS Trust in the UK.</w:t>
            </w:r>
          </w:p>
        </w:tc>
        <w:tc>
          <w:tcPr>
            <w:tcW w:w="60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ECB6432" w14:textId="59BB534C" w:rsidR="00675D93" w:rsidRPr="00207AC1" w:rsidRDefault="000D25BF"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A National Health Service Trust in the UK. Qualitative interviews were conducted with 11 healthcare workers after they had used the electronic monitoring system for 12 months.</w:t>
            </w:r>
          </w:p>
        </w:tc>
        <w:tc>
          <w:tcPr>
            <w:tcW w:w="693"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BCFBD62" w14:textId="60890AF8" w:rsidR="00675D93" w:rsidRPr="00207AC1" w:rsidRDefault="000D25BF" w:rsidP="00207A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Qualitative study using interviews with healthcare workers following 12 months of experience with an electronic hand hygiene monitoring system. Thematic analysis was used to explore perceptions, barriers and experiences related to the system.</w:t>
            </w:r>
          </w:p>
        </w:tc>
        <w:tc>
          <w:tcPr>
            <w:tcW w:w="629"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D9DCE66" w14:textId="22B9DE17" w:rsidR="00675D93" w:rsidRPr="00207AC1" w:rsidRDefault="000D25BF"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provides detailed staff perspectives after prolonged exposure to the technology. It identifies practical barriers and differences in how healthcare workers perceive monitoring and feedback.</w:t>
            </w:r>
          </w:p>
        </w:tc>
        <w:tc>
          <w:tcPr>
            <w:tcW w:w="630"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0CB1160" w14:textId="425B7C41" w:rsidR="00675D93" w:rsidRPr="00207AC1" w:rsidRDefault="000D25BF"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sample was small (11 participants), limiting generalisability. The study focused mainly on acceptability of electronic monitoring rather than measuring actual changes in hand hygiene compliance or HCAI rates.</w:t>
            </w:r>
          </w:p>
        </w:tc>
        <w:tc>
          <w:tcPr>
            <w:tcW w:w="755"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F7356CA" w14:textId="5383DAFD" w:rsidR="00675D93" w:rsidRPr="00207AC1" w:rsidRDefault="000D25BF"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 xml:space="preserve">Staff recognised the importance of hand hygiene and generally accepted technology </w:t>
            </w:r>
            <w:r w:rsidR="00207AC1" w:rsidRPr="00207AC1">
              <w:rPr>
                <w:bCs/>
                <w:color w:val="000000" w:themeColor="text1"/>
                <w:spacing w:val="-2"/>
                <w:kern w:val="2"/>
                <w:sz w:val="16"/>
                <w:szCs w:val="16"/>
                <w:lang w:eastAsia="en-US"/>
              </w:rPr>
              <w:t>to</w:t>
            </w:r>
            <w:r w:rsidRPr="00207AC1">
              <w:rPr>
                <w:bCs/>
                <w:color w:val="000000" w:themeColor="text1"/>
                <w:spacing w:val="-2"/>
                <w:kern w:val="2"/>
                <w:sz w:val="16"/>
                <w:szCs w:val="16"/>
                <w:lang w:eastAsia="en-US"/>
              </w:rPr>
              <w:t xml:space="preserve"> improve adherence. Key barriers included heavy workload, emergencies and poor placement of alcohol dispensers. Views about the accuracy of automated readings and feedback varied. Some staff felt the system increased personal accountability, whereas others ignored feedback or data.</w:t>
            </w:r>
          </w:p>
        </w:tc>
        <w:tc>
          <w:tcPr>
            <w:tcW w:w="722"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6D53E59" w14:textId="08CE65E0" w:rsidR="00675D93" w:rsidRPr="00207AC1" w:rsidRDefault="000D25BF" w:rsidP="00207AC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Electronic monitoring can be well tolerated by healthcare workers, but its effectiveness may depend on the quality of feedback and the clinical context. Electronic and manual auditing can provide complementary approaches to monitoring hand hygiene.</w:t>
            </w:r>
          </w:p>
        </w:tc>
      </w:tr>
      <w:bookmarkEnd w:id="41"/>
    </w:tbl>
    <w:p w14:paraId="751BB429" w14:textId="77777777" w:rsidR="003A68B1" w:rsidRDefault="003A68B1" w:rsidP="000855C9">
      <w:pPr>
        <w:rPr>
          <w:rFonts w:ascii="Arial" w:hAnsi="Arial" w:cs="Arial"/>
          <w:color w:val="000000" w:themeColor="text1"/>
        </w:rPr>
      </w:pPr>
    </w:p>
    <w:p w14:paraId="3BF27CF9" w14:textId="130F3EF9" w:rsidR="00C35735" w:rsidRPr="00B031A0" w:rsidRDefault="00C35735" w:rsidP="00C668C4">
      <w:pPr>
        <w:pStyle w:val="Heading1"/>
        <w:jc w:val="both"/>
      </w:pPr>
      <w:bookmarkStart w:id="42" w:name="_Toc240208821"/>
      <w:r>
        <w:t xml:space="preserve">3.16 </w:t>
      </w:r>
      <w:r w:rsidRPr="00B031A0">
        <w:t>Summary</w:t>
      </w:r>
      <w:bookmarkEnd w:id="42"/>
      <w:r w:rsidRPr="00B031A0">
        <w:t xml:space="preserve"> </w:t>
      </w:r>
    </w:p>
    <w:p w14:paraId="78F9AEEA" w14:textId="184D3B77" w:rsidR="003A68B1" w:rsidRDefault="00C35735" w:rsidP="000855C9">
      <w:pPr>
        <w:rPr>
          <w:rFonts w:ascii="Arial" w:hAnsi="Arial" w:cs="Arial"/>
          <w:color w:val="000000" w:themeColor="text1"/>
        </w:rPr>
      </w:pPr>
      <w:r w:rsidRPr="00C35735">
        <w:rPr>
          <w:rFonts w:ascii="Arial" w:hAnsi="Arial" w:cs="Arial"/>
          <w:color w:val="000000" w:themeColor="text1"/>
        </w:rPr>
        <w:t>Chapter 3 described the methodology adopted for this systematic review on nurses’ hand hygiene compliance and its impact on healthcare-associated infections (HCAIs) in UK hospitals. The review followed a structured and transparent systematic review design supported by an appropriate research philosophy, ethical principles, and an inductive research strategy. Data were collected through comprehensive searches of PubMed, Scopus, and Google Scholar, alongside hand searching and grey literature sources. The PICO framework guided the development of search terms, while predefined inclusion and exclusion criteria ensured consistency in study selection. PRISMA was used to document the screening process, and JBI, CASP, and Newcastle–Ottawa tools were applied to assess study quality and strengthen the reliability of the findings.</w:t>
      </w:r>
    </w:p>
    <w:p w14:paraId="76D70313" w14:textId="77777777" w:rsidR="004764CC" w:rsidRDefault="004764CC" w:rsidP="000855C9">
      <w:pPr>
        <w:rPr>
          <w:rFonts w:ascii="Arial" w:hAnsi="Arial" w:cs="Arial"/>
          <w:color w:val="000000" w:themeColor="text1"/>
        </w:rPr>
      </w:pPr>
    </w:p>
    <w:p w14:paraId="1156617A" w14:textId="77777777" w:rsidR="004764CC" w:rsidRDefault="004764CC" w:rsidP="000855C9">
      <w:pPr>
        <w:rPr>
          <w:rFonts w:ascii="Arial" w:hAnsi="Arial" w:cs="Arial"/>
          <w:color w:val="000000" w:themeColor="text1"/>
        </w:rPr>
      </w:pPr>
    </w:p>
    <w:p w14:paraId="700C4EDA" w14:textId="77777777" w:rsidR="004764CC" w:rsidRPr="004764CC" w:rsidRDefault="004764CC" w:rsidP="002066A1">
      <w:pPr>
        <w:pStyle w:val="Heading1"/>
        <w:rPr>
          <w:lang w:val="en-US"/>
        </w:rPr>
      </w:pPr>
      <w:bookmarkStart w:id="43" w:name="_Toc240208822"/>
      <w:r w:rsidRPr="004764CC">
        <w:rPr>
          <w:lang w:val="en-US"/>
        </w:rPr>
        <w:lastRenderedPageBreak/>
        <w:t>Chapter 4: Results</w:t>
      </w:r>
      <w:bookmarkEnd w:id="43"/>
    </w:p>
    <w:p w14:paraId="2339E60D" w14:textId="77777777" w:rsidR="004764CC" w:rsidRPr="004764CC" w:rsidRDefault="004764CC" w:rsidP="002066A1">
      <w:pPr>
        <w:pStyle w:val="Heading1"/>
        <w:jc w:val="both"/>
        <w:rPr>
          <w:lang w:val="en-US"/>
        </w:rPr>
      </w:pPr>
      <w:bookmarkStart w:id="44" w:name="_Toc240208823"/>
      <w:r w:rsidRPr="004764CC">
        <w:rPr>
          <w:lang w:val="en-US"/>
        </w:rPr>
        <w:t>4.1 Introduction</w:t>
      </w:r>
      <w:bookmarkEnd w:id="44"/>
    </w:p>
    <w:p w14:paraId="7F3B4714" w14:textId="77777777" w:rsidR="004764CC" w:rsidRDefault="004764CC" w:rsidP="004764CC">
      <w:pPr>
        <w:rPr>
          <w:rFonts w:ascii="Arial" w:hAnsi="Arial" w:cs="Arial"/>
          <w:color w:val="000000" w:themeColor="text1"/>
          <w:lang w:val="en-US"/>
        </w:rPr>
      </w:pPr>
      <w:r w:rsidRPr="002066A1">
        <w:rPr>
          <w:rFonts w:ascii="Arial" w:hAnsi="Arial" w:cs="Arial"/>
          <w:color w:val="000000" w:themeColor="text1"/>
          <w:lang w:val="en-US"/>
        </w:rPr>
        <w:t xml:space="preserve">This chapter presents the findings of the systematic review examining the impact of nurses’ and healthcare workers’ hand hygiene compliance on healthcare-associated infections (HCAIs) in UK hospitals. Twelve studies meeting the predefined inclusion criteria were included in the final synthesis. The studies used different methodological approaches, including observational, cross-sectional, quality-improvement, intervention, mixed-methods, qualitative and modelling designs. The findings were </w:t>
      </w:r>
      <w:proofErr w:type="spellStart"/>
      <w:r w:rsidRPr="002066A1">
        <w:rPr>
          <w:rFonts w:ascii="Arial" w:hAnsi="Arial" w:cs="Arial"/>
          <w:color w:val="000000" w:themeColor="text1"/>
          <w:lang w:val="en-US"/>
        </w:rPr>
        <w:t>synthesised</w:t>
      </w:r>
      <w:proofErr w:type="spellEnd"/>
      <w:r w:rsidRPr="002066A1">
        <w:rPr>
          <w:rFonts w:ascii="Arial" w:hAnsi="Arial" w:cs="Arial"/>
          <w:color w:val="000000" w:themeColor="text1"/>
          <w:lang w:val="en-US"/>
        </w:rPr>
        <w:t xml:space="preserve"> thematically according to the research objectives. Four themes were developed: factors influencing hand hygiene compliance, patterns and barriers affecting compliance, effectiveness of interventions and monitoring approaches, and implications of improved compliance for infection prevention and patient safety. The thematic synthesis identifies similarities, differences and important evidence gaps across the included studies.</w:t>
      </w:r>
    </w:p>
    <w:p w14:paraId="2305724B" w14:textId="77777777" w:rsidR="00C668C4" w:rsidRPr="00C668C4" w:rsidRDefault="00C668C4" w:rsidP="00C668C4">
      <w:pPr>
        <w:pStyle w:val="Heading1"/>
        <w:jc w:val="both"/>
        <w:rPr>
          <w:lang w:val="en-US"/>
        </w:rPr>
      </w:pPr>
      <w:bookmarkStart w:id="45" w:name="_Toc240208824"/>
      <w:r w:rsidRPr="00C668C4">
        <w:rPr>
          <w:lang w:val="en-US"/>
        </w:rPr>
        <w:t>4.3 PRISMA Flow of Study Selection</w:t>
      </w:r>
      <w:bookmarkEnd w:id="45"/>
    </w:p>
    <w:p w14:paraId="1544867C" w14:textId="6ABFA5EB" w:rsidR="00C668C4" w:rsidRPr="00C668C4" w:rsidRDefault="00C668C4" w:rsidP="004764CC">
      <w:pPr>
        <w:rPr>
          <w:rFonts w:ascii="Arial" w:hAnsi="Arial" w:cs="Arial"/>
          <w:color w:val="000000" w:themeColor="text1"/>
          <w:lang w:val="en-US"/>
        </w:rPr>
      </w:pPr>
      <w:r w:rsidRPr="00C668C4">
        <w:rPr>
          <w:rFonts w:ascii="Arial" w:hAnsi="Arial" w:cs="Arial"/>
          <w:color w:val="000000" w:themeColor="text1"/>
          <w:lang w:val="en-US"/>
        </w:rPr>
        <w:t>The study selection process was presented using the Preferred Reporting Items for Systematic Reviews and Meta-Analyses (PRISMA) framework to provide a transparent overview of identification, screening, eligibility and inclusion. A total of 1,375 records were identified from PubMed, Google Scholar and Scopus. Following the removal of duplicates, 211 records remained for screening. Titles and abstracts were assessed against the predefined inclusion and exclusion criteria, after which potentially relevant studies progressed to full-text assessment. A total of 150 full-text articles were assessed for eligibility, and 61 articles were excluded because they did not meet the eligibility criteria. Finally, 12 studies were included in the systematic review and thematic synthesis. The PRISMA flow diagram illustrates the overall selection process and provides a clear record of how the final evidence base was established.</w:t>
      </w:r>
    </w:p>
    <w:p w14:paraId="2022B99D" w14:textId="77777777" w:rsidR="004764CC" w:rsidRPr="002066A1" w:rsidRDefault="004764CC" w:rsidP="002066A1">
      <w:pPr>
        <w:pStyle w:val="Heading1"/>
        <w:jc w:val="both"/>
        <w:rPr>
          <w:lang w:val="en-US"/>
        </w:rPr>
      </w:pPr>
      <w:bookmarkStart w:id="46" w:name="_Toc240208825"/>
      <w:r w:rsidRPr="002066A1">
        <w:rPr>
          <w:lang w:val="en-US"/>
        </w:rPr>
        <w:t>4.2 Thematic Analysis</w:t>
      </w:r>
      <w:bookmarkEnd w:id="46"/>
    </w:p>
    <w:p w14:paraId="6F376C83" w14:textId="60D8D1BE" w:rsidR="004764CC" w:rsidRPr="002066A1" w:rsidRDefault="004764CC" w:rsidP="004764CC">
      <w:pPr>
        <w:rPr>
          <w:rFonts w:ascii="Arial" w:hAnsi="Arial" w:cs="Arial"/>
          <w:color w:val="000000" w:themeColor="text1"/>
          <w:lang w:val="en-US"/>
        </w:rPr>
      </w:pPr>
      <w:r w:rsidRPr="002066A1">
        <w:rPr>
          <w:rFonts w:ascii="Arial" w:hAnsi="Arial" w:cs="Arial"/>
          <w:color w:val="000000" w:themeColor="text1"/>
          <w:lang w:val="en-US"/>
        </w:rPr>
        <w:t xml:space="preserve">Thematic analysis was undertaken to identify common patterns across the findings of the 12 included studies. The research objectives and research question concerning </w:t>
      </w:r>
      <w:r w:rsidRPr="002066A1">
        <w:rPr>
          <w:rFonts w:ascii="Arial" w:hAnsi="Arial" w:cs="Arial"/>
          <w:color w:val="000000" w:themeColor="text1"/>
          <w:lang w:val="en-US"/>
        </w:rPr>
        <w:lastRenderedPageBreak/>
        <w:t xml:space="preserve">the relationship between hand hygiene compliance and HCAIs in UK hospitals guided the analysis. Four themes were developed from the evidence: Theme 1 – Factors influencing hand hygiene compliance; Theme 2 – Barriers and facilitators affecting compliance; Theme 3 – Effectiveness of interventions, education and monitoring; and Theme 4 – Implications for HCAI prevention and patient safety. Studies were compared according to their findings, methodological characteristics and relevance to the review question. The themes collectively demonstrate that hand hygiene </w:t>
      </w:r>
      <w:proofErr w:type="spellStart"/>
      <w:r w:rsidRPr="002066A1">
        <w:rPr>
          <w:rFonts w:ascii="Arial" w:hAnsi="Arial" w:cs="Arial"/>
          <w:color w:val="000000" w:themeColor="text1"/>
          <w:lang w:val="en-US"/>
        </w:rPr>
        <w:t>behaviour</w:t>
      </w:r>
      <w:proofErr w:type="spellEnd"/>
      <w:r w:rsidRPr="002066A1">
        <w:rPr>
          <w:rFonts w:ascii="Arial" w:hAnsi="Arial" w:cs="Arial"/>
          <w:color w:val="000000" w:themeColor="text1"/>
          <w:lang w:val="en-US"/>
        </w:rPr>
        <w:t xml:space="preserve"> is influenced by clinical circumstances, staff </w:t>
      </w:r>
      <w:proofErr w:type="spellStart"/>
      <w:r w:rsidRPr="002066A1">
        <w:rPr>
          <w:rFonts w:ascii="Arial" w:hAnsi="Arial" w:cs="Arial"/>
          <w:color w:val="000000" w:themeColor="text1"/>
          <w:lang w:val="en-US"/>
        </w:rPr>
        <w:t>behaviour</w:t>
      </w:r>
      <w:proofErr w:type="spellEnd"/>
      <w:r w:rsidRPr="002066A1">
        <w:rPr>
          <w:rFonts w:ascii="Arial" w:hAnsi="Arial" w:cs="Arial"/>
          <w:color w:val="000000" w:themeColor="text1"/>
          <w:lang w:val="en-US"/>
        </w:rPr>
        <w:t xml:space="preserve">, </w:t>
      </w:r>
      <w:proofErr w:type="spellStart"/>
      <w:r w:rsidRPr="002066A1">
        <w:rPr>
          <w:rFonts w:ascii="Arial" w:hAnsi="Arial" w:cs="Arial"/>
          <w:color w:val="000000" w:themeColor="text1"/>
          <w:lang w:val="en-US"/>
        </w:rPr>
        <w:t>organisational</w:t>
      </w:r>
      <w:proofErr w:type="spellEnd"/>
      <w:r w:rsidRPr="002066A1">
        <w:rPr>
          <w:rFonts w:ascii="Arial" w:hAnsi="Arial" w:cs="Arial"/>
          <w:color w:val="000000" w:themeColor="text1"/>
          <w:lang w:val="en-US"/>
        </w:rPr>
        <w:t xml:space="preserve"> factors, monitoring systems and interventions.</w:t>
      </w:r>
    </w:p>
    <w:p w14:paraId="15432ADF" w14:textId="77777777" w:rsidR="0057059A" w:rsidRPr="002066A1" w:rsidRDefault="0057059A" w:rsidP="002066A1">
      <w:pPr>
        <w:pStyle w:val="Heading2"/>
        <w:rPr>
          <w:lang w:val="en-US"/>
        </w:rPr>
      </w:pPr>
      <w:bookmarkStart w:id="47" w:name="_Toc240208826"/>
      <w:r w:rsidRPr="002066A1">
        <w:rPr>
          <w:lang w:val="en-US"/>
        </w:rPr>
        <w:t>Theme 1: Factors Influencing Hand Hygiene Compliance</w:t>
      </w:r>
      <w:bookmarkEnd w:id="47"/>
    </w:p>
    <w:p w14:paraId="4CD07086" w14:textId="77777777" w:rsidR="0057059A" w:rsidRPr="002066A1" w:rsidRDefault="0057059A" w:rsidP="0057059A">
      <w:pPr>
        <w:rPr>
          <w:rFonts w:ascii="Arial" w:hAnsi="Arial" w:cs="Arial"/>
          <w:color w:val="000000" w:themeColor="text1"/>
          <w:lang w:val="en-US"/>
        </w:rPr>
      </w:pPr>
      <w:r w:rsidRPr="002066A1">
        <w:rPr>
          <w:rFonts w:ascii="Arial" w:hAnsi="Arial" w:cs="Arial"/>
          <w:color w:val="000000" w:themeColor="text1"/>
          <w:lang w:val="en-US"/>
        </w:rPr>
        <w:t xml:space="preserve">The first theme identified clinical and </w:t>
      </w:r>
      <w:proofErr w:type="spellStart"/>
      <w:r w:rsidRPr="002066A1">
        <w:rPr>
          <w:rFonts w:ascii="Arial" w:hAnsi="Arial" w:cs="Arial"/>
          <w:color w:val="000000" w:themeColor="text1"/>
          <w:lang w:val="en-US"/>
        </w:rPr>
        <w:t>behavioural</w:t>
      </w:r>
      <w:proofErr w:type="spellEnd"/>
      <w:r w:rsidRPr="002066A1">
        <w:rPr>
          <w:rFonts w:ascii="Arial" w:hAnsi="Arial" w:cs="Arial"/>
          <w:color w:val="000000" w:themeColor="text1"/>
          <w:lang w:val="en-US"/>
        </w:rPr>
        <w:t xml:space="preserve"> factors influencing hand hygiene compliance among healthcare workers in UK hospitals. King et al. (2016) found that compliance varied significantly according to the type of care delivered (P=0.001) and was associated with the number of surface contacts rather than time spent in patient rooms. This suggests that the nature and complexity of clinical activity influence opportunities to perform hand hygiene. Similarly, Kaye and Marais (2025) identified workload, time, information, training, safety and accessibility as important influences, with lack of time being the most frequently reported barrier. Together, these findings indicate that compliance is shaped by both clinical demands and </w:t>
      </w:r>
      <w:proofErr w:type="spellStart"/>
      <w:r w:rsidRPr="002066A1">
        <w:rPr>
          <w:rFonts w:ascii="Arial" w:hAnsi="Arial" w:cs="Arial"/>
          <w:color w:val="000000" w:themeColor="text1"/>
          <w:lang w:val="en-US"/>
        </w:rPr>
        <w:t>organisational</w:t>
      </w:r>
      <w:proofErr w:type="spellEnd"/>
      <w:r w:rsidRPr="002066A1">
        <w:rPr>
          <w:rFonts w:ascii="Arial" w:hAnsi="Arial" w:cs="Arial"/>
          <w:color w:val="000000" w:themeColor="text1"/>
          <w:lang w:val="en-US"/>
        </w:rPr>
        <w:t xml:space="preserve"> conditions rather than individual </w:t>
      </w:r>
      <w:proofErr w:type="spellStart"/>
      <w:r w:rsidRPr="002066A1">
        <w:rPr>
          <w:rFonts w:ascii="Arial" w:hAnsi="Arial" w:cs="Arial"/>
          <w:color w:val="000000" w:themeColor="text1"/>
          <w:lang w:val="en-US"/>
        </w:rPr>
        <w:t>behaviour</w:t>
      </w:r>
      <w:proofErr w:type="spellEnd"/>
      <w:r w:rsidRPr="002066A1">
        <w:rPr>
          <w:rFonts w:ascii="Arial" w:hAnsi="Arial" w:cs="Arial"/>
          <w:color w:val="000000" w:themeColor="text1"/>
          <w:lang w:val="en-US"/>
        </w:rPr>
        <w:t xml:space="preserve"> alone.</w:t>
      </w:r>
    </w:p>
    <w:p w14:paraId="73799167" w14:textId="77777777" w:rsidR="0057059A" w:rsidRPr="002066A1" w:rsidRDefault="0057059A" w:rsidP="0057059A">
      <w:pPr>
        <w:rPr>
          <w:rFonts w:ascii="Arial" w:hAnsi="Arial" w:cs="Arial"/>
          <w:color w:val="000000" w:themeColor="text1"/>
          <w:lang w:val="en-US"/>
        </w:rPr>
      </w:pPr>
      <w:r w:rsidRPr="002066A1">
        <w:rPr>
          <w:rFonts w:ascii="Arial" w:hAnsi="Arial" w:cs="Arial"/>
          <w:color w:val="000000" w:themeColor="text1"/>
          <w:lang w:val="en-US"/>
        </w:rPr>
        <w:t xml:space="preserve">Physical wellbeing also represents an important consideration when maintaining regular hand hygiene. Burns et al. (2021) found that 167 of 211 NHS healthcare workers washed their hands more than ten times per shift, while approximately three-quarters reported cracks or fissures. Furthermore, 36% reported a substantial impact on wellbeing, although only 7% had received specialist advice. These findings highlight a potential tension between infection prevention and staff wellbeing, as frequent handwashing may cause skin damage and discomfort. If these problems are not appropriately managed, they could affect healthcare workers’ ability or willingness to maintain recommended practices. Therefore, occupational support and suitable skin-care measures should form part of hand hygiene </w:t>
      </w:r>
      <w:proofErr w:type="spellStart"/>
      <w:r w:rsidRPr="002066A1">
        <w:rPr>
          <w:rFonts w:ascii="Arial" w:hAnsi="Arial" w:cs="Arial"/>
          <w:color w:val="000000" w:themeColor="text1"/>
          <w:lang w:val="en-US"/>
        </w:rPr>
        <w:t>programmes</w:t>
      </w:r>
      <w:proofErr w:type="spellEnd"/>
      <w:r w:rsidRPr="002066A1">
        <w:rPr>
          <w:rFonts w:ascii="Arial" w:hAnsi="Arial" w:cs="Arial"/>
          <w:color w:val="000000" w:themeColor="text1"/>
          <w:lang w:val="en-US"/>
        </w:rPr>
        <w:t>.</w:t>
      </w:r>
    </w:p>
    <w:p w14:paraId="57C0C60A" w14:textId="30C4F634" w:rsidR="004764CC" w:rsidRPr="002066A1" w:rsidRDefault="0057059A" w:rsidP="004764CC">
      <w:pPr>
        <w:rPr>
          <w:rFonts w:ascii="Arial" w:hAnsi="Arial" w:cs="Arial"/>
          <w:color w:val="000000" w:themeColor="text1"/>
          <w:lang w:val="en-US"/>
        </w:rPr>
      </w:pPr>
      <w:r w:rsidRPr="002066A1">
        <w:rPr>
          <w:rFonts w:ascii="Arial" w:hAnsi="Arial" w:cs="Arial"/>
          <w:color w:val="000000" w:themeColor="text1"/>
          <w:lang w:val="en-US"/>
        </w:rPr>
        <w:t xml:space="preserve">Overall, the evidence demonstrates that hand hygiene compliance is influenced by clinical activity, workload, time pressures and physical </w:t>
      </w:r>
      <w:r w:rsidR="00B51FD1">
        <w:rPr>
          <w:rFonts w:ascii="Arial" w:hAnsi="Arial" w:cs="Arial"/>
          <w:color w:val="000000" w:themeColor="text1"/>
          <w:lang w:val="en-US"/>
        </w:rPr>
        <w:t>well-being</w:t>
      </w:r>
      <w:r w:rsidRPr="002066A1">
        <w:rPr>
          <w:rFonts w:ascii="Arial" w:hAnsi="Arial" w:cs="Arial"/>
          <w:color w:val="000000" w:themeColor="text1"/>
          <w:lang w:val="en-US"/>
        </w:rPr>
        <w:t xml:space="preserve">. Kaye and Marais </w:t>
      </w:r>
      <w:r w:rsidRPr="002066A1">
        <w:rPr>
          <w:rFonts w:ascii="Arial" w:hAnsi="Arial" w:cs="Arial"/>
          <w:color w:val="000000" w:themeColor="text1"/>
          <w:lang w:val="en-US"/>
        </w:rPr>
        <w:lastRenderedPageBreak/>
        <w:t xml:space="preserve">(2025) further identified patient safety as the strongest facilitator, suggesting that understanding the consequences of poor compliance can encourage safer </w:t>
      </w:r>
      <w:proofErr w:type="spellStart"/>
      <w:r w:rsidRPr="002066A1">
        <w:rPr>
          <w:rFonts w:ascii="Arial" w:hAnsi="Arial" w:cs="Arial"/>
          <w:color w:val="000000" w:themeColor="text1"/>
          <w:lang w:val="en-US"/>
        </w:rPr>
        <w:t>behaviour</w:t>
      </w:r>
      <w:proofErr w:type="spellEnd"/>
      <w:r w:rsidRPr="002066A1">
        <w:rPr>
          <w:rFonts w:ascii="Arial" w:hAnsi="Arial" w:cs="Arial"/>
          <w:color w:val="000000" w:themeColor="text1"/>
          <w:lang w:val="en-US"/>
        </w:rPr>
        <w:t xml:space="preserve">. The findings imply that improving compliance requires more than education alone. Healthcare </w:t>
      </w:r>
      <w:proofErr w:type="spellStart"/>
      <w:r w:rsidRPr="002066A1">
        <w:rPr>
          <w:rFonts w:ascii="Arial" w:hAnsi="Arial" w:cs="Arial"/>
          <w:color w:val="000000" w:themeColor="text1"/>
          <w:lang w:val="en-US"/>
        </w:rPr>
        <w:t>organisations</w:t>
      </w:r>
      <w:proofErr w:type="spellEnd"/>
      <w:r w:rsidRPr="002066A1">
        <w:rPr>
          <w:rFonts w:ascii="Arial" w:hAnsi="Arial" w:cs="Arial"/>
          <w:color w:val="000000" w:themeColor="text1"/>
          <w:lang w:val="en-US"/>
        </w:rPr>
        <w:t xml:space="preserve"> should provide accessible facilities, adequate training, sufficient time and appropriate support for staff experiencing skin problems. Such </w:t>
      </w:r>
      <w:proofErr w:type="spellStart"/>
      <w:r w:rsidRPr="002066A1">
        <w:rPr>
          <w:rFonts w:ascii="Arial" w:hAnsi="Arial" w:cs="Arial"/>
          <w:color w:val="000000" w:themeColor="text1"/>
          <w:lang w:val="en-US"/>
        </w:rPr>
        <w:t>organisational</w:t>
      </w:r>
      <w:proofErr w:type="spellEnd"/>
      <w:r w:rsidRPr="002066A1">
        <w:rPr>
          <w:rFonts w:ascii="Arial" w:hAnsi="Arial" w:cs="Arial"/>
          <w:color w:val="000000" w:themeColor="text1"/>
          <w:lang w:val="en-US"/>
        </w:rPr>
        <w:t xml:space="preserve"> measures can reduce practical difficulties and create conditions in which healthcare workers are better able to maintain consistent hand hygiene during routine patient care.</w:t>
      </w:r>
    </w:p>
    <w:p w14:paraId="0A2E1999" w14:textId="77777777" w:rsidR="0057059A" w:rsidRPr="002066A1" w:rsidRDefault="0057059A" w:rsidP="002066A1">
      <w:pPr>
        <w:pStyle w:val="Heading2"/>
        <w:rPr>
          <w:lang w:val="en-US"/>
        </w:rPr>
      </w:pPr>
      <w:bookmarkStart w:id="48" w:name="_Toc240208827"/>
      <w:r w:rsidRPr="002066A1">
        <w:rPr>
          <w:lang w:val="en-US"/>
        </w:rPr>
        <w:t>Theme 2: Barriers and Facilitators to Hand Hygiene Compliance</w:t>
      </w:r>
      <w:bookmarkEnd w:id="48"/>
    </w:p>
    <w:p w14:paraId="2598CBF0" w14:textId="0182AA2A" w:rsidR="0057059A" w:rsidRPr="002066A1" w:rsidRDefault="0057059A" w:rsidP="0057059A">
      <w:pPr>
        <w:rPr>
          <w:rFonts w:ascii="Arial" w:hAnsi="Arial" w:cs="Arial"/>
          <w:color w:val="000000" w:themeColor="text1"/>
          <w:lang w:val="en-US"/>
        </w:rPr>
      </w:pPr>
      <w:r w:rsidRPr="002066A1">
        <w:rPr>
          <w:rFonts w:ascii="Arial" w:hAnsi="Arial" w:cs="Arial"/>
          <w:color w:val="000000" w:themeColor="text1"/>
          <w:lang w:val="en-US"/>
        </w:rPr>
        <w:t xml:space="preserve">The second theme identified practical and clinical barriers that influence hand hygiene compliance in UK hospitals. Jeanes et al. (2018) found that uncertainty about when to perform hand hygiene, work pressure, urgent clinical care, environmental difficulties and sore hands affected compliance in an emergency department. Improvement was achieved through staff involvement, agreed expectations and monitoring, although compliance remained less consistent during emergencies. Kelly et al. (2021) similarly identified heavy workload, </w:t>
      </w:r>
      <w:r w:rsidR="00B51FD1">
        <w:rPr>
          <w:rFonts w:ascii="Arial" w:hAnsi="Arial" w:cs="Arial"/>
          <w:color w:val="000000" w:themeColor="text1"/>
          <w:lang w:val="en-US"/>
        </w:rPr>
        <w:t>emergencies</w:t>
      </w:r>
      <w:r w:rsidRPr="002066A1">
        <w:rPr>
          <w:rFonts w:ascii="Arial" w:hAnsi="Arial" w:cs="Arial"/>
          <w:color w:val="000000" w:themeColor="text1"/>
          <w:lang w:val="en-US"/>
        </w:rPr>
        <w:t xml:space="preserve"> and poor placement of alcohol hand-rub dispensers as barriers. Together, these findings suggest that compliance is strongly influenced by the clinical environment and workload, particularly when healthcare workers must </w:t>
      </w:r>
      <w:proofErr w:type="spellStart"/>
      <w:r w:rsidRPr="002066A1">
        <w:rPr>
          <w:rFonts w:ascii="Arial" w:hAnsi="Arial" w:cs="Arial"/>
          <w:color w:val="000000" w:themeColor="text1"/>
          <w:lang w:val="en-US"/>
        </w:rPr>
        <w:t>prioritise</w:t>
      </w:r>
      <w:proofErr w:type="spellEnd"/>
      <w:r w:rsidRPr="002066A1">
        <w:rPr>
          <w:rFonts w:ascii="Arial" w:hAnsi="Arial" w:cs="Arial"/>
          <w:color w:val="000000" w:themeColor="text1"/>
          <w:lang w:val="en-US"/>
        </w:rPr>
        <w:t xml:space="preserve"> immediate patient care.</w:t>
      </w:r>
    </w:p>
    <w:p w14:paraId="71D4895B" w14:textId="77777777" w:rsidR="0057059A" w:rsidRPr="002066A1" w:rsidRDefault="0057059A" w:rsidP="0057059A">
      <w:pPr>
        <w:rPr>
          <w:rFonts w:ascii="Arial" w:hAnsi="Arial" w:cs="Arial"/>
          <w:color w:val="000000" w:themeColor="text1"/>
          <w:lang w:val="en-US"/>
        </w:rPr>
      </w:pPr>
      <w:r w:rsidRPr="002066A1">
        <w:rPr>
          <w:rFonts w:ascii="Arial" w:hAnsi="Arial" w:cs="Arial"/>
          <w:color w:val="000000" w:themeColor="text1"/>
          <w:lang w:val="en-US"/>
        </w:rPr>
        <w:t xml:space="preserve">Staff perceptions and acceptance of monitoring also influenced compliance. Cawthorne and Cooke (2020) found that 58% of healthcare workers did not strongly support direct observation, although participants were generally open to innovative monitoring technologies. This suggests that monitoring may become less effective when staff perceive observation as intrusive or </w:t>
      </w:r>
      <w:proofErr w:type="spellStart"/>
      <w:r w:rsidRPr="002066A1">
        <w:rPr>
          <w:rFonts w:ascii="Arial" w:hAnsi="Arial" w:cs="Arial"/>
          <w:color w:val="000000" w:themeColor="text1"/>
          <w:lang w:val="en-US"/>
        </w:rPr>
        <w:t>judgemental</w:t>
      </w:r>
      <w:proofErr w:type="spellEnd"/>
      <w:r w:rsidRPr="002066A1">
        <w:rPr>
          <w:rFonts w:ascii="Arial" w:hAnsi="Arial" w:cs="Arial"/>
          <w:color w:val="000000" w:themeColor="text1"/>
          <w:lang w:val="en-US"/>
        </w:rPr>
        <w:t xml:space="preserve">. Kelly et al. (2021) further reported mixed opinions about electronic feedback, with some staff viewing monitoring as increasing accountability while others paid limited attention to automated results. Therefore, technological monitoring alone may not change </w:t>
      </w:r>
      <w:proofErr w:type="spellStart"/>
      <w:r w:rsidRPr="002066A1">
        <w:rPr>
          <w:rFonts w:ascii="Arial" w:hAnsi="Arial" w:cs="Arial"/>
          <w:color w:val="000000" w:themeColor="text1"/>
          <w:lang w:val="en-US"/>
        </w:rPr>
        <w:t>behaviour</w:t>
      </w:r>
      <w:proofErr w:type="spellEnd"/>
      <w:r w:rsidRPr="002066A1">
        <w:rPr>
          <w:rFonts w:ascii="Arial" w:hAnsi="Arial" w:cs="Arial"/>
          <w:color w:val="000000" w:themeColor="text1"/>
          <w:lang w:val="en-US"/>
        </w:rPr>
        <w:t xml:space="preserve"> unless healthcare workers understand its purpose and receive meaningful feedback that relates to clinical practice.</w:t>
      </w:r>
    </w:p>
    <w:p w14:paraId="3370CAA2" w14:textId="7ABBF522" w:rsidR="004764CC" w:rsidRPr="002066A1" w:rsidRDefault="0057059A" w:rsidP="004764CC">
      <w:pPr>
        <w:rPr>
          <w:rFonts w:ascii="Arial" w:hAnsi="Arial" w:cs="Arial"/>
          <w:color w:val="000000" w:themeColor="text1"/>
          <w:lang w:val="en-US"/>
        </w:rPr>
      </w:pPr>
      <w:r w:rsidRPr="002066A1">
        <w:rPr>
          <w:rFonts w:ascii="Arial" w:hAnsi="Arial" w:cs="Arial"/>
          <w:color w:val="000000" w:themeColor="text1"/>
          <w:lang w:val="en-US"/>
        </w:rPr>
        <w:t xml:space="preserve">Overall, the evidence indicates that barriers include workload, emergencies, uncertainty, poor accessibility and concerns about monitoring, whereas facilitators include staff involvement, clear expectations, accessible facilities and supportive </w:t>
      </w:r>
      <w:r w:rsidRPr="002066A1">
        <w:rPr>
          <w:rFonts w:ascii="Arial" w:hAnsi="Arial" w:cs="Arial"/>
          <w:color w:val="000000" w:themeColor="text1"/>
          <w:lang w:val="en-US"/>
        </w:rPr>
        <w:lastRenderedPageBreak/>
        <w:t xml:space="preserve">feedback. The findings from Jeanes et al. (2018), Cawthorne and Cooke (2020) and Kelly et al. (2021) suggest that sustainable improvement requires both </w:t>
      </w:r>
      <w:proofErr w:type="spellStart"/>
      <w:r w:rsidRPr="002066A1">
        <w:rPr>
          <w:rFonts w:ascii="Arial" w:hAnsi="Arial" w:cs="Arial"/>
          <w:color w:val="000000" w:themeColor="text1"/>
          <w:lang w:val="en-US"/>
        </w:rPr>
        <w:t>organisational</w:t>
      </w:r>
      <w:proofErr w:type="spellEnd"/>
      <w:r w:rsidRPr="002066A1">
        <w:rPr>
          <w:rFonts w:ascii="Arial" w:hAnsi="Arial" w:cs="Arial"/>
          <w:color w:val="000000" w:themeColor="text1"/>
          <w:lang w:val="en-US"/>
        </w:rPr>
        <w:t xml:space="preserve"> and </w:t>
      </w:r>
      <w:proofErr w:type="spellStart"/>
      <w:r w:rsidRPr="002066A1">
        <w:rPr>
          <w:rFonts w:ascii="Arial" w:hAnsi="Arial" w:cs="Arial"/>
          <w:color w:val="000000" w:themeColor="text1"/>
          <w:lang w:val="en-US"/>
        </w:rPr>
        <w:t>behavioural</w:t>
      </w:r>
      <w:proofErr w:type="spellEnd"/>
      <w:r w:rsidRPr="002066A1">
        <w:rPr>
          <w:rFonts w:ascii="Arial" w:hAnsi="Arial" w:cs="Arial"/>
          <w:color w:val="000000" w:themeColor="text1"/>
          <w:lang w:val="en-US"/>
        </w:rPr>
        <w:t xml:space="preserve"> strategies. Hospitals should therefore ensure convenient hand hygiene facilities, involve staff in developing interventions and use monitoring approaches that encourage rather than discourage engagement. Addressing these factors may improve compliance while making infection-prevention practices more practical within routine clinical care.</w:t>
      </w:r>
    </w:p>
    <w:p w14:paraId="7185FA1F" w14:textId="77777777" w:rsidR="0057059A" w:rsidRPr="002066A1" w:rsidRDefault="0057059A" w:rsidP="002066A1">
      <w:pPr>
        <w:pStyle w:val="Heading2"/>
        <w:rPr>
          <w:lang w:val="en-US"/>
        </w:rPr>
      </w:pPr>
      <w:bookmarkStart w:id="49" w:name="_Toc240208828"/>
      <w:r w:rsidRPr="002066A1">
        <w:rPr>
          <w:lang w:val="en-US"/>
        </w:rPr>
        <w:t>Theme 3: Effectiveness of Hand Hygiene Interventions and Monitoring</w:t>
      </w:r>
      <w:bookmarkEnd w:id="49"/>
    </w:p>
    <w:p w14:paraId="3BD972BE" w14:textId="43D1927B" w:rsidR="0057059A" w:rsidRPr="002066A1" w:rsidRDefault="0057059A" w:rsidP="0057059A">
      <w:pPr>
        <w:rPr>
          <w:rFonts w:ascii="Arial" w:hAnsi="Arial" w:cs="Arial"/>
          <w:color w:val="000000" w:themeColor="text1"/>
          <w:lang w:val="en-US"/>
        </w:rPr>
      </w:pPr>
      <w:r w:rsidRPr="002066A1">
        <w:rPr>
          <w:rFonts w:ascii="Arial" w:hAnsi="Arial" w:cs="Arial"/>
          <w:color w:val="000000" w:themeColor="text1"/>
          <w:lang w:val="en-US"/>
        </w:rPr>
        <w:t xml:space="preserve">The third theme demonstrates that multifaceted interventions can improve hand hygiene compliance among healthcare workers. </w:t>
      </w:r>
      <w:proofErr w:type="spellStart"/>
      <w:r w:rsidRPr="002066A1">
        <w:rPr>
          <w:rFonts w:ascii="Arial" w:hAnsi="Arial" w:cs="Arial"/>
          <w:color w:val="000000" w:themeColor="text1"/>
          <w:lang w:val="en-US"/>
        </w:rPr>
        <w:t>Behavioural</w:t>
      </w:r>
      <w:proofErr w:type="spellEnd"/>
      <w:r w:rsidRPr="002066A1">
        <w:rPr>
          <w:rFonts w:ascii="Arial" w:hAnsi="Arial" w:cs="Arial"/>
          <w:color w:val="000000" w:themeColor="text1"/>
          <w:lang w:val="en-US"/>
        </w:rPr>
        <w:t xml:space="preserve"> and educational approaches were particularly effective when they were adapted to clinical practice. Blair et al. (2024) reported an 11% increase in overall compliance (P&lt;0.001) following a </w:t>
      </w:r>
      <w:proofErr w:type="spellStart"/>
      <w:r w:rsidRPr="002066A1">
        <w:rPr>
          <w:rFonts w:ascii="Arial" w:hAnsi="Arial" w:cs="Arial"/>
          <w:color w:val="000000" w:themeColor="text1"/>
          <w:lang w:val="en-US"/>
        </w:rPr>
        <w:t>behavioural</w:t>
      </w:r>
      <w:proofErr w:type="spellEnd"/>
      <w:r w:rsidRPr="002066A1">
        <w:rPr>
          <w:rFonts w:ascii="Arial" w:hAnsi="Arial" w:cs="Arial"/>
          <w:color w:val="000000" w:themeColor="text1"/>
          <w:lang w:val="en-US"/>
        </w:rPr>
        <w:t xml:space="preserve"> science-informed intervention across three London NHS inpatient wards, with Moment 1 increasing by 15% and Moment 5 by 11%. Similarly, Mandal et al. (2025) found that correct performance of the six-step Ayliffe technique increased from 43% to 97% following an instructional video and </w:t>
      </w:r>
      <w:r w:rsidR="00B51FD1">
        <w:rPr>
          <w:rFonts w:ascii="Arial" w:hAnsi="Arial" w:cs="Arial"/>
          <w:color w:val="000000" w:themeColor="text1"/>
          <w:lang w:val="en-US"/>
        </w:rPr>
        <w:t xml:space="preserve">an </w:t>
      </w:r>
      <w:r w:rsidRPr="002066A1">
        <w:rPr>
          <w:rFonts w:ascii="Arial" w:hAnsi="Arial" w:cs="Arial"/>
          <w:color w:val="000000" w:themeColor="text1"/>
          <w:lang w:val="en-US"/>
        </w:rPr>
        <w:t xml:space="preserve">additional seventh step. These findings suggest that interventions addressing both </w:t>
      </w:r>
      <w:proofErr w:type="spellStart"/>
      <w:r w:rsidRPr="002066A1">
        <w:rPr>
          <w:rFonts w:ascii="Arial" w:hAnsi="Arial" w:cs="Arial"/>
          <w:color w:val="000000" w:themeColor="text1"/>
          <w:lang w:val="en-US"/>
        </w:rPr>
        <w:t>behaviour</w:t>
      </w:r>
      <w:proofErr w:type="spellEnd"/>
      <w:r w:rsidRPr="002066A1">
        <w:rPr>
          <w:rFonts w:ascii="Arial" w:hAnsi="Arial" w:cs="Arial"/>
          <w:color w:val="000000" w:themeColor="text1"/>
          <w:lang w:val="en-US"/>
        </w:rPr>
        <w:t xml:space="preserve"> and practical technique can produce measurable improvements. However, Blair et al. (2024) was limited by its small number of </w:t>
      </w:r>
      <w:proofErr w:type="gramStart"/>
      <w:r w:rsidRPr="002066A1">
        <w:rPr>
          <w:rFonts w:ascii="Arial" w:hAnsi="Arial" w:cs="Arial"/>
          <w:color w:val="000000" w:themeColor="text1"/>
          <w:lang w:val="en-US"/>
        </w:rPr>
        <w:t>wards</w:t>
      </w:r>
      <w:proofErr w:type="gramEnd"/>
      <w:r w:rsidRPr="002066A1">
        <w:rPr>
          <w:rFonts w:ascii="Arial" w:hAnsi="Arial" w:cs="Arial"/>
          <w:color w:val="000000" w:themeColor="text1"/>
          <w:lang w:val="en-US"/>
        </w:rPr>
        <w:t xml:space="preserve"> and short follow-up, while Mandal et al. (2025) provides limited evidence regarding longer-term retention of improved technique.</w:t>
      </w:r>
    </w:p>
    <w:p w14:paraId="2013CA0D" w14:textId="77777777" w:rsidR="0057059A" w:rsidRPr="002066A1" w:rsidRDefault="0057059A" w:rsidP="0057059A">
      <w:pPr>
        <w:rPr>
          <w:rFonts w:ascii="Arial" w:hAnsi="Arial" w:cs="Arial"/>
          <w:color w:val="000000" w:themeColor="text1"/>
          <w:lang w:val="en-US"/>
        </w:rPr>
      </w:pPr>
      <w:r w:rsidRPr="002066A1">
        <w:rPr>
          <w:rFonts w:ascii="Arial" w:hAnsi="Arial" w:cs="Arial"/>
          <w:color w:val="000000" w:themeColor="text1"/>
          <w:lang w:val="en-US"/>
        </w:rPr>
        <w:t>The evidence also indicates that continuous monitoring and feedback can strengthen the effects of education. Mohammadi-</w:t>
      </w:r>
      <w:proofErr w:type="spellStart"/>
      <w:r w:rsidRPr="002066A1">
        <w:rPr>
          <w:rFonts w:ascii="Arial" w:hAnsi="Arial" w:cs="Arial"/>
          <w:color w:val="000000" w:themeColor="text1"/>
          <w:lang w:val="en-US"/>
        </w:rPr>
        <w:t>Zaniani</w:t>
      </w:r>
      <w:proofErr w:type="spellEnd"/>
      <w:r w:rsidRPr="002066A1">
        <w:rPr>
          <w:rFonts w:ascii="Arial" w:hAnsi="Arial" w:cs="Arial"/>
          <w:color w:val="000000" w:themeColor="text1"/>
          <w:lang w:val="en-US"/>
        </w:rPr>
        <w:t xml:space="preserve"> and Wales (2020) implemented education alongside auditing, feedback, reminders and PDSA cycles, resulting in compliance reaching 74–93% during the month following intervention and 50–100% during the final two months. This suggests that repeated reinforcement may be more effective than one-off educational training because healthcare workers receive ongoing reminders about expected practice. Batalla et al. (2026) similarly found significantly higher compliance in critical-care areas using hand-hygiene champions compared with control areas, with compliance increasing significantly over time. The use of peer champions may strengthen accountability and encourage shared responsibility for infection prevention. However, differences in intervention </w:t>
      </w:r>
      <w:r w:rsidRPr="002066A1">
        <w:rPr>
          <w:rFonts w:ascii="Arial" w:hAnsi="Arial" w:cs="Arial"/>
          <w:color w:val="000000" w:themeColor="text1"/>
          <w:lang w:val="en-US"/>
        </w:rPr>
        <w:lastRenderedPageBreak/>
        <w:t>components, clinical settings and outcome measurement make direct comparison between studies difficult.</w:t>
      </w:r>
    </w:p>
    <w:p w14:paraId="323B2532" w14:textId="26D4899A" w:rsidR="0057059A" w:rsidRPr="002066A1" w:rsidRDefault="0057059A" w:rsidP="0057059A">
      <w:pPr>
        <w:rPr>
          <w:rFonts w:ascii="Arial" w:hAnsi="Arial" w:cs="Arial"/>
          <w:color w:val="000000" w:themeColor="text1"/>
          <w:lang w:val="en-US"/>
        </w:rPr>
      </w:pPr>
      <w:r w:rsidRPr="002066A1">
        <w:rPr>
          <w:rFonts w:ascii="Arial" w:hAnsi="Arial" w:cs="Arial"/>
          <w:color w:val="000000" w:themeColor="text1"/>
          <w:lang w:val="en-US"/>
        </w:rPr>
        <w:t xml:space="preserve">Overall, the findings indicate that successful hand hygiene improvement requires a combination of education, </w:t>
      </w:r>
      <w:proofErr w:type="spellStart"/>
      <w:r w:rsidRPr="002066A1">
        <w:rPr>
          <w:rFonts w:ascii="Arial" w:hAnsi="Arial" w:cs="Arial"/>
          <w:color w:val="000000" w:themeColor="text1"/>
          <w:lang w:val="en-US"/>
        </w:rPr>
        <w:t>behavioural</w:t>
      </w:r>
      <w:proofErr w:type="spellEnd"/>
      <w:r w:rsidRPr="002066A1">
        <w:rPr>
          <w:rFonts w:ascii="Arial" w:hAnsi="Arial" w:cs="Arial"/>
          <w:color w:val="000000" w:themeColor="text1"/>
          <w:lang w:val="en-US"/>
        </w:rPr>
        <w:t xml:space="preserve"> support, monitoring and staff engagement rather than reliance on a single intervention. The positive results reported by Blair et al. (2024), Mandal et al. (2025), Mohammadi-</w:t>
      </w:r>
      <w:proofErr w:type="spellStart"/>
      <w:r w:rsidRPr="002066A1">
        <w:rPr>
          <w:rFonts w:ascii="Arial" w:hAnsi="Arial" w:cs="Arial"/>
          <w:color w:val="000000" w:themeColor="text1"/>
          <w:lang w:val="en-US"/>
        </w:rPr>
        <w:t>Zaniani</w:t>
      </w:r>
      <w:proofErr w:type="spellEnd"/>
      <w:r w:rsidRPr="002066A1">
        <w:rPr>
          <w:rFonts w:ascii="Arial" w:hAnsi="Arial" w:cs="Arial"/>
          <w:color w:val="000000" w:themeColor="text1"/>
          <w:lang w:val="en-US"/>
        </w:rPr>
        <w:t xml:space="preserve"> and Wales (2020) and Batalla et al. (2026) provide consistent evidence that compliance can be improved through structured interventions. Nevertheless, the evidence remains limited because most studies assessed hand hygiene </w:t>
      </w:r>
      <w:proofErr w:type="spellStart"/>
      <w:r w:rsidRPr="002066A1">
        <w:rPr>
          <w:rFonts w:ascii="Arial" w:hAnsi="Arial" w:cs="Arial"/>
          <w:color w:val="000000" w:themeColor="text1"/>
          <w:lang w:val="en-US"/>
        </w:rPr>
        <w:t>behaviour</w:t>
      </w:r>
      <w:proofErr w:type="spellEnd"/>
      <w:r w:rsidRPr="002066A1">
        <w:rPr>
          <w:rFonts w:ascii="Arial" w:hAnsi="Arial" w:cs="Arial"/>
          <w:color w:val="000000" w:themeColor="text1"/>
          <w:lang w:val="en-US"/>
        </w:rPr>
        <w:t xml:space="preserve"> rather than subsequent HCAI incidence. Improvements in compliance therefore cannot automatically be interpreted as reductions in infection rates. In addition, variation in follow-up periods makes it difficult to determine whether </w:t>
      </w:r>
      <w:r w:rsidR="00BA2396" w:rsidRPr="002066A1">
        <w:rPr>
          <w:rFonts w:ascii="Arial" w:hAnsi="Arial" w:cs="Arial"/>
          <w:color w:val="000000" w:themeColor="text1"/>
          <w:lang w:val="en-US"/>
        </w:rPr>
        <w:t>the improvements observed</w:t>
      </w:r>
      <w:r w:rsidRPr="002066A1">
        <w:rPr>
          <w:rFonts w:ascii="Arial" w:hAnsi="Arial" w:cs="Arial"/>
          <w:color w:val="000000" w:themeColor="text1"/>
          <w:lang w:val="en-US"/>
        </w:rPr>
        <w:t xml:space="preserve"> can be sustained. Future UK research should evaluate longer-term interventions and link objective compliance measurements with HCAI outcomes to establish whether improved hand hygiene produces measurable patient-safety benefits.</w:t>
      </w:r>
    </w:p>
    <w:p w14:paraId="31146999" w14:textId="77777777" w:rsidR="004764CC" w:rsidRPr="002066A1" w:rsidRDefault="004764CC" w:rsidP="002066A1">
      <w:pPr>
        <w:pStyle w:val="Heading2"/>
        <w:rPr>
          <w:lang w:val="en-US"/>
        </w:rPr>
      </w:pPr>
      <w:bookmarkStart w:id="50" w:name="_Toc240208829"/>
      <w:r w:rsidRPr="002066A1">
        <w:rPr>
          <w:lang w:val="en-US"/>
        </w:rPr>
        <w:t>Theme 4: Hand Hygiene, HCAI Prevention and Patient Safety</w:t>
      </w:r>
      <w:bookmarkEnd w:id="50"/>
    </w:p>
    <w:p w14:paraId="6D1E487C" w14:textId="77777777" w:rsidR="004764CC" w:rsidRPr="002066A1" w:rsidRDefault="004764CC" w:rsidP="004764CC">
      <w:pPr>
        <w:rPr>
          <w:rFonts w:ascii="Arial" w:hAnsi="Arial" w:cs="Arial"/>
          <w:color w:val="000000" w:themeColor="text1"/>
          <w:lang w:val="en-US"/>
        </w:rPr>
      </w:pPr>
      <w:r w:rsidRPr="002066A1">
        <w:rPr>
          <w:rFonts w:ascii="Arial" w:hAnsi="Arial" w:cs="Arial"/>
          <w:color w:val="000000" w:themeColor="text1"/>
          <w:lang w:val="en-US"/>
        </w:rPr>
        <w:t xml:space="preserve">The fourth theme examined the implications of hand hygiene compliance for healthcare-associated infection (HCAI) prevention and patient safety. </w:t>
      </w:r>
      <w:proofErr w:type="gramStart"/>
      <w:r w:rsidRPr="002066A1">
        <w:rPr>
          <w:rFonts w:ascii="Arial" w:hAnsi="Arial" w:cs="Arial"/>
          <w:color w:val="000000" w:themeColor="text1"/>
          <w:lang w:val="en-US"/>
        </w:rPr>
        <w:t>Guest</w:t>
      </w:r>
      <w:proofErr w:type="gramEnd"/>
      <w:r w:rsidRPr="002066A1">
        <w:rPr>
          <w:rFonts w:ascii="Arial" w:hAnsi="Arial" w:cs="Arial"/>
          <w:color w:val="000000" w:themeColor="text1"/>
          <w:lang w:val="en-US"/>
        </w:rPr>
        <w:t xml:space="preserve"> et al. (2019) provided important evidence through decision-analysis modelling of electronic audit and feedback for hand hygiene. The study estimated that a 5–25% reduction in HCAIs could potentially prevent approximately 184–921 infections and 6–31 deaths per general hospital annually. It also estimated that up to 7,794 hospital bed days could be released, while HCAI-related costs could decrease by approximately 3–23%. The findings suggest that improving hand hygiene monitoring may provide substantial clinical and economic benefits. However, the study was based on modelling rather than direct measurement of infection outcomes. Therefore, the estimated reductions should be interpreted cautiously because they depend on assumptions rather than observed changes in HCAI rates.</w:t>
      </w:r>
    </w:p>
    <w:p w14:paraId="2B3AD579" w14:textId="29A1E608" w:rsidR="004764CC" w:rsidRDefault="004764CC" w:rsidP="004764CC">
      <w:pPr>
        <w:rPr>
          <w:rFonts w:ascii="Arial" w:hAnsi="Arial" w:cs="Arial"/>
          <w:color w:val="000000" w:themeColor="text1"/>
          <w:lang w:val="en-US"/>
        </w:rPr>
      </w:pPr>
      <w:r w:rsidRPr="002066A1">
        <w:rPr>
          <w:rFonts w:ascii="Arial" w:hAnsi="Arial" w:cs="Arial"/>
          <w:color w:val="000000" w:themeColor="text1"/>
          <w:lang w:val="en-US"/>
        </w:rPr>
        <w:t xml:space="preserve">Gould et al. (2020) examined electronic monitoring as an alternative to direct observation and found 84% concordance between the two methods across 294 observed hand hygiene events. Manual compliance increased from 24% to 76% across five observation sessions, whereas electronic monitoring remained relatively </w:t>
      </w:r>
      <w:r w:rsidRPr="002066A1">
        <w:rPr>
          <w:rFonts w:ascii="Arial" w:hAnsi="Arial" w:cs="Arial"/>
          <w:color w:val="000000" w:themeColor="text1"/>
          <w:lang w:val="en-US"/>
        </w:rPr>
        <w:lastRenderedPageBreak/>
        <w:t>stable when observers were absent, demonstrating a potential Hawthorne effect. This suggests that electronic monitoring may provide a more reliable assessment of routine compliance and support infection-control decision-making. Together, the findings indicate that effective monitoring and improved hand hygiene have important implications for patient safety and HCAI prevention. However, neither study directly established a causal relationship between improved compliance and reduced HCAI incidence. Future UK research should therefore combine objective hand hygiene</w:t>
      </w:r>
      <w:r w:rsidRPr="004764CC">
        <w:rPr>
          <w:rFonts w:ascii="Arial" w:hAnsi="Arial" w:cs="Arial"/>
          <w:color w:val="000000" w:themeColor="text1"/>
          <w:lang w:val="en-US"/>
        </w:rPr>
        <w:t xml:space="preserve"> monitoring with HCAI surveillance to determine whether improvements in compliance produce measurable reductions in infections and strengthen evidence for NHS infection-prevention strategies.</w:t>
      </w:r>
    </w:p>
    <w:p w14:paraId="14EA098E" w14:textId="77777777" w:rsidR="002066A1" w:rsidRPr="002066A1" w:rsidRDefault="002066A1" w:rsidP="002066A1">
      <w:pPr>
        <w:pStyle w:val="Heading1"/>
        <w:jc w:val="both"/>
        <w:rPr>
          <w:lang w:val="en-US"/>
        </w:rPr>
      </w:pPr>
      <w:bookmarkStart w:id="51" w:name="_Toc240208830"/>
      <w:r w:rsidRPr="002066A1">
        <w:rPr>
          <w:lang w:val="en-US"/>
        </w:rPr>
        <w:t>4.4 Homogeneity and Heterogeneity Between Studies</w:t>
      </w:r>
      <w:bookmarkEnd w:id="51"/>
    </w:p>
    <w:p w14:paraId="717D53D7" w14:textId="77777777" w:rsidR="002066A1" w:rsidRPr="002066A1" w:rsidRDefault="002066A1" w:rsidP="002066A1">
      <w:pPr>
        <w:rPr>
          <w:rFonts w:ascii="Arial" w:hAnsi="Arial" w:cs="Arial"/>
          <w:b/>
          <w:bCs/>
          <w:color w:val="000000" w:themeColor="text1"/>
          <w:lang w:val="en-US"/>
        </w:rPr>
      </w:pPr>
      <w:r w:rsidRPr="002066A1">
        <w:rPr>
          <w:rFonts w:ascii="Arial" w:hAnsi="Arial" w:cs="Arial"/>
          <w:b/>
          <w:bCs/>
          <w:color w:val="000000" w:themeColor="text1"/>
          <w:lang w:val="en-US"/>
        </w:rPr>
        <w:t>Homogeneity</w:t>
      </w:r>
    </w:p>
    <w:p w14:paraId="70065557" w14:textId="77777777" w:rsidR="002066A1" w:rsidRPr="002066A1" w:rsidRDefault="002066A1" w:rsidP="002066A1">
      <w:pPr>
        <w:rPr>
          <w:rFonts w:ascii="Arial" w:hAnsi="Arial" w:cs="Arial"/>
          <w:color w:val="000000" w:themeColor="text1"/>
          <w:lang w:val="en-US"/>
        </w:rPr>
      </w:pPr>
      <w:r w:rsidRPr="002066A1">
        <w:rPr>
          <w:rFonts w:ascii="Arial" w:hAnsi="Arial" w:cs="Arial"/>
          <w:color w:val="000000" w:themeColor="text1"/>
          <w:lang w:val="en-US"/>
        </w:rPr>
        <w:t xml:space="preserve">The included studies demonstrated some homogeneity because they focused on hand hygiene compliance among healthcare workers within UK hospital settings. Most examined factors affecting compliance, barriers, interventions, monitoring or infection prevention. Similar outcomes, particularly hand hygiene adherence, were assessed across studies. The shared UK healthcare context also provided consistency in understanding </w:t>
      </w:r>
      <w:proofErr w:type="spellStart"/>
      <w:r w:rsidRPr="002066A1">
        <w:rPr>
          <w:rFonts w:ascii="Arial" w:hAnsi="Arial" w:cs="Arial"/>
          <w:color w:val="000000" w:themeColor="text1"/>
          <w:lang w:val="en-US"/>
        </w:rPr>
        <w:t>organisational</w:t>
      </w:r>
      <w:proofErr w:type="spellEnd"/>
      <w:r w:rsidRPr="002066A1">
        <w:rPr>
          <w:rFonts w:ascii="Arial" w:hAnsi="Arial" w:cs="Arial"/>
          <w:color w:val="000000" w:themeColor="text1"/>
          <w:lang w:val="en-US"/>
        </w:rPr>
        <w:t xml:space="preserve"> and clinical influences on compliance, supporting thematic comparison of findings.</w:t>
      </w:r>
    </w:p>
    <w:p w14:paraId="3E04DCB9" w14:textId="77777777" w:rsidR="002066A1" w:rsidRPr="002066A1" w:rsidRDefault="002066A1" w:rsidP="002066A1">
      <w:pPr>
        <w:rPr>
          <w:rFonts w:ascii="Arial" w:hAnsi="Arial" w:cs="Arial"/>
          <w:b/>
          <w:bCs/>
          <w:color w:val="000000" w:themeColor="text1"/>
          <w:lang w:val="en-US"/>
        </w:rPr>
      </w:pPr>
      <w:r w:rsidRPr="002066A1">
        <w:rPr>
          <w:rFonts w:ascii="Arial" w:hAnsi="Arial" w:cs="Arial"/>
          <w:b/>
          <w:bCs/>
          <w:color w:val="000000" w:themeColor="text1"/>
          <w:lang w:val="en-US"/>
        </w:rPr>
        <w:t>Heterogeneity</w:t>
      </w:r>
    </w:p>
    <w:p w14:paraId="5B947142" w14:textId="77777777" w:rsidR="002066A1" w:rsidRPr="002066A1" w:rsidRDefault="002066A1" w:rsidP="002066A1">
      <w:pPr>
        <w:rPr>
          <w:rFonts w:ascii="Arial" w:hAnsi="Arial" w:cs="Arial"/>
          <w:color w:val="000000" w:themeColor="text1"/>
          <w:lang w:val="en-US"/>
        </w:rPr>
      </w:pPr>
      <w:r w:rsidRPr="002066A1">
        <w:rPr>
          <w:rFonts w:ascii="Arial" w:hAnsi="Arial" w:cs="Arial"/>
          <w:color w:val="000000" w:themeColor="text1"/>
          <w:lang w:val="en-US"/>
        </w:rPr>
        <w:t>Considerable heterogeneity was identified in study designs, populations, settings, interventions and outcome measurements. The studies included observational, cross-sectional, qualitative, mixed-methods, quality-improvement, intervention and modelling approaches. Settings ranged from emergency departments and medical wards to surgical departments and intensive care units. Measurement methods also varied, including direct observation, electronic monitoring, surveys and ultraviolet assessment. Differences in follow-up periods and reported outcomes limited direct comparison and prevented meaningful statistical pooling of findings across the included studies.</w:t>
      </w:r>
    </w:p>
    <w:p w14:paraId="68C9D8D3" w14:textId="4D0C2A2A" w:rsidR="002066A1" w:rsidRPr="002066A1" w:rsidRDefault="002066A1" w:rsidP="002066A1">
      <w:pPr>
        <w:pStyle w:val="Heading1"/>
        <w:jc w:val="both"/>
        <w:rPr>
          <w:lang w:val="en-US"/>
        </w:rPr>
      </w:pPr>
      <w:bookmarkStart w:id="52" w:name="_Toc240208831"/>
      <w:r>
        <w:rPr>
          <w:lang w:val="en-US"/>
        </w:rPr>
        <w:lastRenderedPageBreak/>
        <w:t xml:space="preserve">4.5 </w:t>
      </w:r>
      <w:r w:rsidRPr="002066A1">
        <w:rPr>
          <w:lang w:val="en-US"/>
        </w:rPr>
        <w:t>Summary</w:t>
      </w:r>
      <w:bookmarkEnd w:id="52"/>
    </w:p>
    <w:p w14:paraId="22900D6A" w14:textId="77777777" w:rsidR="002066A1" w:rsidRPr="002066A1" w:rsidRDefault="002066A1" w:rsidP="002066A1">
      <w:pPr>
        <w:rPr>
          <w:rFonts w:ascii="Arial" w:hAnsi="Arial" w:cs="Arial"/>
          <w:color w:val="000000" w:themeColor="text1"/>
          <w:lang w:val="en-US"/>
        </w:rPr>
      </w:pPr>
      <w:r w:rsidRPr="002066A1">
        <w:rPr>
          <w:rFonts w:ascii="Arial" w:hAnsi="Arial" w:cs="Arial"/>
          <w:color w:val="000000" w:themeColor="text1"/>
          <w:lang w:val="en-US"/>
        </w:rPr>
        <w:t xml:space="preserve">This chapter presented the findings from the 12 studies included in the systematic review. Four themes were developed: factors influencing hand hygiene compliance, barriers and facilitators, effectiveness of interventions and monitoring, and implications for HCAI prevention and patient safety. The findings showed that compliance is influenced by clinical workload, accessibility, staff wellbeing and </w:t>
      </w:r>
      <w:proofErr w:type="spellStart"/>
      <w:r w:rsidRPr="002066A1">
        <w:rPr>
          <w:rFonts w:ascii="Arial" w:hAnsi="Arial" w:cs="Arial"/>
          <w:color w:val="000000" w:themeColor="text1"/>
          <w:lang w:val="en-US"/>
        </w:rPr>
        <w:t>organisational</w:t>
      </w:r>
      <w:proofErr w:type="spellEnd"/>
      <w:r w:rsidRPr="002066A1">
        <w:rPr>
          <w:rFonts w:ascii="Arial" w:hAnsi="Arial" w:cs="Arial"/>
          <w:color w:val="000000" w:themeColor="text1"/>
          <w:lang w:val="en-US"/>
        </w:rPr>
        <w:t xml:space="preserve"> factors. Education, </w:t>
      </w:r>
      <w:proofErr w:type="spellStart"/>
      <w:r w:rsidRPr="002066A1">
        <w:rPr>
          <w:rFonts w:ascii="Arial" w:hAnsi="Arial" w:cs="Arial"/>
          <w:color w:val="000000" w:themeColor="text1"/>
          <w:lang w:val="en-US"/>
        </w:rPr>
        <w:t>behavioural</w:t>
      </w:r>
      <w:proofErr w:type="spellEnd"/>
      <w:r w:rsidRPr="002066A1">
        <w:rPr>
          <w:rFonts w:ascii="Arial" w:hAnsi="Arial" w:cs="Arial"/>
          <w:color w:val="000000" w:themeColor="text1"/>
          <w:lang w:val="en-US"/>
        </w:rPr>
        <w:t xml:space="preserve"> interventions, feedback and monitoring generally improved compliance. However, heterogeneity between studies and limited direct measurement of HCAI outcomes indicate an important evidence gap. The following chapter discusses these findings in relation to existing literature and the research objectives.</w:t>
      </w:r>
    </w:p>
    <w:p w14:paraId="5BD0A324" w14:textId="77777777" w:rsidR="002066A1" w:rsidRDefault="002066A1" w:rsidP="004764CC">
      <w:pPr>
        <w:rPr>
          <w:rFonts w:ascii="Arial" w:hAnsi="Arial" w:cs="Arial"/>
          <w:color w:val="000000" w:themeColor="text1"/>
          <w:lang w:val="en-US"/>
        </w:rPr>
      </w:pPr>
    </w:p>
    <w:p w14:paraId="49E8D0F1" w14:textId="77777777" w:rsidR="002066A1" w:rsidRDefault="002066A1" w:rsidP="004764CC">
      <w:pPr>
        <w:rPr>
          <w:rFonts w:ascii="Arial" w:hAnsi="Arial" w:cs="Arial"/>
          <w:color w:val="000000" w:themeColor="text1"/>
          <w:lang w:val="en-US"/>
        </w:rPr>
      </w:pPr>
    </w:p>
    <w:p w14:paraId="3980204F" w14:textId="77777777" w:rsidR="00F74F31" w:rsidRDefault="00F74F31" w:rsidP="004764CC">
      <w:pPr>
        <w:rPr>
          <w:rFonts w:ascii="Arial" w:hAnsi="Arial" w:cs="Arial"/>
          <w:color w:val="000000" w:themeColor="text1"/>
          <w:lang w:val="en-US"/>
        </w:rPr>
      </w:pPr>
    </w:p>
    <w:p w14:paraId="36A13BC7" w14:textId="77777777" w:rsidR="00F74F31" w:rsidRDefault="00F74F31" w:rsidP="004764CC">
      <w:pPr>
        <w:rPr>
          <w:rFonts w:ascii="Arial" w:hAnsi="Arial" w:cs="Arial"/>
          <w:color w:val="000000" w:themeColor="text1"/>
          <w:lang w:val="en-US"/>
        </w:rPr>
      </w:pPr>
    </w:p>
    <w:p w14:paraId="0B1BB625" w14:textId="77777777" w:rsidR="005A3F47" w:rsidRDefault="005A3F47" w:rsidP="004764CC">
      <w:pPr>
        <w:rPr>
          <w:rFonts w:ascii="Arial" w:hAnsi="Arial" w:cs="Arial"/>
          <w:color w:val="000000" w:themeColor="text1"/>
          <w:lang w:val="en-US"/>
        </w:rPr>
      </w:pPr>
    </w:p>
    <w:p w14:paraId="1E2D14A8" w14:textId="77777777" w:rsidR="005A3F47" w:rsidRDefault="005A3F47" w:rsidP="004764CC">
      <w:pPr>
        <w:rPr>
          <w:rFonts w:ascii="Arial" w:hAnsi="Arial" w:cs="Arial"/>
          <w:color w:val="000000" w:themeColor="text1"/>
          <w:lang w:val="en-US"/>
        </w:rPr>
      </w:pPr>
    </w:p>
    <w:p w14:paraId="001F94CD" w14:textId="77777777" w:rsidR="005A3F47" w:rsidRDefault="005A3F47" w:rsidP="004764CC">
      <w:pPr>
        <w:rPr>
          <w:rFonts w:ascii="Arial" w:hAnsi="Arial" w:cs="Arial"/>
          <w:color w:val="000000" w:themeColor="text1"/>
          <w:lang w:val="en-US"/>
        </w:rPr>
      </w:pPr>
    </w:p>
    <w:p w14:paraId="42F65749" w14:textId="77777777" w:rsidR="005A3F47" w:rsidRDefault="005A3F47" w:rsidP="004764CC">
      <w:pPr>
        <w:rPr>
          <w:rFonts w:ascii="Arial" w:hAnsi="Arial" w:cs="Arial"/>
          <w:color w:val="000000" w:themeColor="text1"/>
          <w:lang w:val="en-US"/>
        </w:rPr>
      </w:pPr>
    </w:p>
    <w:p w14:paraId="53AE3F9F" w14:textId="77777777" w:rsidR="005A3F47" w:rsidRDefault="005A3F47" w:rsidP="004764CC">
      <w:pPr>
        <w:rPr>
          <w:rFonts w:ascii="Arial" w:hAnsi="Arial" w:cs="Arial"/>
          <w:color w:val="000000" w:themeColor="text1"/>
          <w:lang w:val="en-US"/>
        </w:rPr>
      </w:pPr>
    </w:p>
    <w:p w14:paraId="43ADA7A6" w14:textId="77777777" w:rsidR="005A3F47" w:rsidRDefault="005A3F47" w:rsidP="004764CC">
      <w:pPr>
        <w:rPr>
          <w:rFonts w:ascii="Arial" w:hAnsi="Arial" w:cs="Arial"/>
          <w:color w:val="000000" w:themeColor="text1"/>
          <w:lang w:val="en-US"/>
        </w:rPr>
      </w:pPr>
    </w:p>
    <w:p w14:paraId="4CAF4E0B" w14:textId="77777777" w:rsidR="00A6289C" w:rsidRDefault="00A6289C" w:rsidP="004764CC">
      <w:pPr>
        <w:rPr>
          <w:rFonts w:ascii="Arial" w:hAnsi="Arial" w:cs="Arial"/>
          <w:color w:val="000000" w:themeColor="text1"/>
          <w:lang w:val="en-US"/>
        </w:rPr>
      </w:pPr>
    </w:p>
    <w:p w14:paraId="6CA48BF8" w14:textId="77777777" w:rsidR="00A6289C" w:rsidRDefault="00A6289C" w:rsidP="004764CC">
      <w:pPr>
        <w:rPr>
          <w:rFonts w:ascii="Arial" w:hAnsi="Arial" w:cs="Arial"/>
          <w:color w:val="000000" w:themeColor="text1"/>
          <w:lang w:val="en-US"/>
        </w:rPr>
      </w:pPr>
    </w:p>
    <w:p w14:paraId="27854933" w14:textId="77777777" w:rsidR="003C53B6" w:rsidRDefault="003C53B6" w:rsidP="004764CC">
      <w:pPr>
        <w:rPr>
          <w:rFonts w:ascii="Arial" w:hAnsi="Arial" w:cs="Arial"/>
          <w:color w:val="000000" w:themeColor="text1"/>
          <w:lang w:val="en-US"/>
        </w:rPr>
      </w:pPr>
    </w:p>
    <w:p w14:paraId="5EA72308" w14:textId="0CD449BC" w:rsidR="003C53B6" w:rsidRDefault="00A6289C" w:rsidP="00A6289C">
      <w:pPr>
        <w:pStyle w:val="Heading1"/>
        <w:rPr>
          <w:lang w:val="en-US"/>
        </w:rPr>
      </w:pPr>
      <w:bookmarkStart w:id="53" w:name="_Toc240208832"/>
      <w:r>
        <w:rPr>
          <w:lang w:val="en-US"/>
        </w:rPr>
        <w:lastRenderedPageBreak/>
        <w:t>Chapter 5: Discussion</w:t>
      </w:r>
      <w:bookmarkEnd w:id="53"/>
    </w:p>
    <w:p w14:paraId="086D8D49" w14:textId="77777777" w:rsidR="003C53B6" w:rsidRPr="003C53B6" w:rsidRDefault="003C53B6" w:rsidP="00A6289C">
      <w:pPr>
        <w:pStyle w:val="Heading1"/>
        <w:jc w:val="both"/>
        <w:rPr>
          <w:lang w:val="en-US"/>
        </w:rPr>
      </w:pPr>
      <w:bookmarkStart w:id="54" w:name="_Toc240208833"/>
      <w:r w:rsidRPr="003C53B6">
        <w:rPr>
          <w:lang w:val="en-US"/>
        </w:rPr>
        <w:t>5.1 Introduction</w:t>
      </w:r>
      <w:bookmarkEnd w:id="54"/>
    </w:p>
    <w:p w14:paraId="6DD1E4B6" w14:textId="77777777" w:rsidR="003C53B6" w:rsidRDefault="003C53B6" w:rsidP="003C53B6">
      <w:pPr>
        <w:rPr>
          <w:rFonts w:ascii="Arial" w:hAnsi="Arial" w:cs="Arial"/>
          <w:color w:val="000000" w:themeColor="text1"/>
          <w:lang w:val="en-US"/>
        </w:rPr>
      </w:pPr>
      <w:r w:rsidRPr="003C53B6">
        <w:rPr>
          <w:rFonts w:ascii="Arial" w:hAnsi="Arial" w:cs="Arial"/>
          <w:color w:val="000000" w:themeColor="text1"/>
          <w:lang w:val="en-US"/>
        </w:rPr>
        <w:t>This chapter discusses and critically interprets the findings of the systematic review on the impact of nurses’ hand hygiene compliance on healthcare-associated infections (HCAIs) in UK hospitals. The discussion relates the findings from the 12 included studies to the research question, aim and objectives of the review. Key areas considered include factors influencing hand hygiene compliance, barriers faced by healthcare workers, monitoring approaches, and the effectiveness of interventions designed to improve compliance. The findings are compared across different study designs to identify areas of agreement and difference. The chapter also considers the implications of the evidence for clinical practice, infection prevention and patient safety.</w:t>
      </w:r>
    </w:p>
    <w:p w14:paraId="49227DB0" w14:textId="15D5CDCA" w:rsidR="003D6F4A" w:rsidRPr="003C53B6" w:rsidRDefault="003D6F4A" w:rsidP="003D6F4A">
      <w:pPr>
        <w:pStyle w:val="Heading1"/>
        <w:jc w:val="both"/>
        <w:rPr>
          <w:lang w:val="en-US"/>
        </w:rPr>
      </w:pPr>
      <w:bookmarkStart w:id="55" w:name="_Toc240208834"/>
      <w:r>
        <w:rPr>
          <w:lang w:val="en-US"/>
        </w:rPr>
        <w:t>5.2 Discussion of Result</w:t>
      </w:r>
      <w:bookmarkEnd w:id="55"/>
    </w:p>
    <w:p w14:paraId="18DACBC6" w14:textId="77777777" w:rsidR="00AE5573" w:rsidRPr="00AE5573" w:rsidRDefault="00AE5573" w:rsidP="00AE5573">
      <w:pPr>
        <w:rPr>
          <w:rFonts w:ascii="Arial" w:hAnsi="Arial" w:cs="Arial"/>
          <w:b/>
          <w:bCs/>
          <w:color w:val="000000" w:themeColor="text1"/>
          <w:lang w:val="en-US"/>
        </w:rPr>
      </w:pPr>
      <w:r w:rsidRPr="00AE5573">
        <w:rPr>
          <w:rFonts w:ascii="Arial" w:hAnsi="Arial" w:cs="Arial"/>
          <w:b/>
          <w:bCs/>
          <w:color w:val="000000" w:themeColor="text1"/>
          <w:lang w:val="en-US"/>
        </w:rPr>
        <w:t>Theme 1: Factors Influencing Hand Hygiene Compliance</w:t>
      </w:r>
    </w:p>
    <w:p w14:paraId="1CC81FD5" w14:textId="77777777" w:rsidR="00AE5573" w:rsidRPr="00AE5573" w:rsidRDefault="00AE5573" w:rsidP="00AE5573">
      <w:pPr>
        <w:rPr>
          <w:rFonts w:ascii="Arial" w:hAnsi="Arial" w:cs="Arial"/>
          <w:color w:val="000000" w:themeColor="text1"/>
          <w:lang w:val="en-US"/>
        </w:rPr>
      </w:pPr>
      <w:r w:rsidRPr="00AE5573">
        <w:rPr>
          <w:rFonts w:ascii="Arial" w:hAnsi="Arial" w:cs="Arial"/>
          <w:color w:val="000000" w:themeColor="text1"/>
          <w:lang w:val="en-US"/>
        </w:rPr>
        <w:t xml:space="preserve">The findings of this review indicate that hand hygiene compliance is influenced by the clinical context in which healthcare workers provide care. King et al. (2016) found significant variation according to care type and the number of surface contacts, while Kaye and Marais (2025) identified workload and lack of time as major barriers. These findings are consistent with Srigley et al. (2015), who described hand hygiene as </w:t>
      </w:r>
      <w:proofErr w:type="gramStart"/>
      <w:r w:rsidRPr="00AE5573">
        <w:rPr>
          <w:rFonts w:ascii="Arial" w:hAnsi="Arial" w:cs="Arial"/>
          <w:color w:val="000000" w:themeColor="text1"/>
          <w:lang w:val="en-US"/>
        </w:rPr>
        <w:t>a complex</w:t>
      </w:r>
      <w:proofErr w:type="gramEnd"/>
      <w:r w:rsidRPr="00AE5573">
        <w:rPr>
          <w:rFonts w:ascii="Arial" w:hAnsi="Arial" w:cs="Arial"/>
          <w:color w:val="000000" w:themeColor="text1"/>
          <w:lang w:val="en-US"/>
        </w:rPr>
        <w:t xml:space="preserve"> </w:t>
      </w:r>
      <w:proofErr w:type="spellStart"/>
      <w:r w:rsidRPr="00AE5573">
        <w:rPr>
          <w:rFonts w:ascii="Arial" w:hAnsi="Arial" w:cs="Arial"/>
          <w:color w:val="000000" w:themeColor="text1"/>
          <w:lang w:val="en-US"/>
        </w:rPr>
        <w:t>behaviour</w:t>
      </w:r>
      <w:proofErr w:type="spellEnd"/>
      <w:r w:rsidRPr="00AE5573">
        <w:rPr>
          <w:rFonts w:ascii="Arial" w:hAnsi="Arial" w:cs="Arial"/>
          <w:color w:val="000000" w:themeColor="text1"/>
          <w:lang w:val="en-US"/>
        </w:rPr>
        <w:t xml:space="preserve"> influenced by psychological and environmental factors rather than knowledge alone. However, Srigley et al. focused more strongly on </w:t>
      </w:r>
      <w:proofErr w:type="spellStart"/>
      <w:r w:rsidRPr="00AE5573">
        <w:rPr>
          <w:rFonts w:ascii="Arial" w:hAnsi="Arial" w:cs="Arial"/>
          <w:color w:val="000000" w:themeColor="text1"/>
          <w:lang w:val="en-US"/>
        </w:rPr>
        <w:t>behavioural</w:t>
      </w:r>
      <w:proofErr w:type="spellEnd"/>
      <w:r w:rsidRPr="00AE5573">
        <w:rPr>
          <w:rFonts w:ascii="Arial" w:hAnsi="Arial" w:cs="Arial"/>
          <w:color w:val="000000" w:themeColor="text1"/>
          <w:lang w:val="en-US"/>
        </w:rPr>
        <w:t xml:space="preserve"> theories, whereas the present findings demonstrate how practical clinical pressures can directly affect compliance.</w:t>
      </w:r>
    </w:p>
    <w:p w14:paraId="4479EAFF" w14:textId="77777777" w:rsidR="00AE5573" w:rsidRPr="00AE5573" w:rsidRDefault="00AE5573" w:rsidP="00AE5573">
      <w:pPr>
        <w:rPr>
          <w:rFonts w:ascii="Arial" w:hAnsi="Arial" w:cs="Arial"/>
          <w:color w:val="000000" w:themeColor="text1"/>
          <w:lang w:val="en-US"/>
        </w:rPr>
      </w:pPr>
      <w:r w:rsidRPr="00AE5573">
        <w:rPr>
          <w:rFonts w:ascii="Arial" w:hAnsi="Arial" w:cs="Arial"/>
          <w:color w:val="000000" w:themeColor="text1"/>
          <w:lang w:val="en-US"/>
        </w:rPr>
        <w:t xml:space="preserve">The importance of </w:t>
      </w:r>
      <w:proofErr w:type="spellStart"/>
      <w:r w:rsidRPr="00AE5573">
        <w:rPr>
          <w:rFonts w:ascii="Arial" w:hAnsi="Arial" w:cs="Arial"/>
          <w:color w:val="000000" w:themeColor="text1"/>
          <w:lang w:val="en-US"/>
        </w:rPr>
        <w:t>organisational</w:t>
      </w:r>
      <w:proofErr w:type="spellEnd"/>
      <w:r w:rsidRPr="00AE5573">
        <w:rPr>
          <w:rFonts w:ascii="Arial" w:hAnsi="Arial" w:cs="Arial"/>
          <w:color w:val="000000" w:themeColor="text1"/>
          <w:lang w:val="en-US"/>
        </w:rPr>
        <w:t xml:space="preserve"> and </w:t>
      </w:r>
      <w:proofErr w:type="spellStart"/>
      <w:r w:rsidRPr="00AE5573">
        <w:rPr>
          <w:rFonts w:ascii="Arial" w:hAnsi="Arial" w:cs="Arial"/>
          <w:color w:val="000000" w:themeColor="text1"/>
          <w:lang w:val="en-US"/>
        </w:rPr>
        <w:t>behavioural</w:t>
      </w:r>
      <w:proofErr w:type="spellEnd"/>
      <w:r w:rsidRPr="00AE5573">
        <w:rPr>
          <w:rFonts w:ascii="Arial" w:hAnsi="Arial" w:cs="Arial"/>
          <w:color w:val="000000" w:themeColor="text1"/>
          <w:lang w:val="en-US"/>
        </w:rPr>
        <w:t xml:space="preserve"> factors is further supported by Fuller et al. (2012), whose large cluster </w:t>
      </w:r>
      <w:proofErr w:type="spellStart"/>
      <w:r w:rsidRPr="00AE5573">
        <w:rPr>
          <w:rFonts w:ascii="Arial" w:hAnsi="Arial" w:cs="Arial"/>
          <w:color w:val="000000" w:themeColor="text1"/>
          <w:lang w:val="en-US"/>
        </w:rPr>
        <w:t>randomised</w:t>
      </w:r>
      <w:proofErr w:type="spellEnd"/>
      <w:r w:rsidRPr="00AE5573">
        <w:rPr>
          <w:rFonts w:ascii="Arial" w:hAnsi="Arial" w:cs="Arial"/>
          <w:color w:val="000000" w:themeColor="text1"/>
          <w:lang w:val="en-US"/>
        </w:rPr>
        <w:t xml:space="preserve"> trial across 16 English and Welsh hospitals showed that feedback and </w:t>
      </w:r>
      <w:proofErr w:type="spellStart"/>
      <w:r w:rsidRPr="00AE5573">
        <w:rPr>
          <w:rFonts w:ascii="Arial" w:hAnsi="Arial" w:cs="Arial"/>
          <w:color w:val="000000" w:themeColor="text1"/>
          <w:lang w:val="en-US"/>
        </w:rPr>
        <w:t>personalised</w:t>
      </w:r>
      <w:proofErr w:type="spellEnd"/>
      <w:r w:rsidRPr="00AE5573">
        <w:rPr>
          <w:rFonts w:ascii="Arial" w:hAnsi="Arial" w:cs="Arial"/>
          <w:color w:val="000000" w:themeColor="text1"/>
          <w:lang w:val="en-US"/>
        </w:rPr>
        <w:t xml:space="preserve"> action planning significantly improved compliance. Their intervention produced a 7–9% absolute improvement in intensive therapy units and larger increases among wards implementing the intervention as planned. This supports the present finding that compliance cannot be improved through education alone. In contrast, King et al. (2016) showed that </w:t>
      </w:r>
      <w:r w:rsidRPr="00AE5573">
        <w:rPr>
          <w:rFonts w:ascii="Arial" w:hAnsi="Arial" w:cs="Arial"/>
          <w:color w:val="000000" w:themeColor="text1"/>
          <w:lang w:val="en-US"/>
        </w:rPr>
        <w:lastRenderedPageBreak/>
        <w:t xml:space="preserve">compliance was affected by the pattern of clinical activity, suggesting that interventions should be adapted to different care situations. Therefore, </w:t>
      </w:r>
      <w:proofErr w:type="spellStart"/>
      <w:r w:rsidRPr="00AE5573">
        <w:rPr>
          <w:rFonts w:ascii="Arial" w:hAnsi="Arial" w:cs="Arial"/>
          <w:color w:val="000000" w:themeColor="text1"/>
          <w:lang w:val="en-US"/>
        </w:rPr>
        <w:t>behavioural</w:t>
      </w:r>
      <w:proofErr w:type="spellEnd"/>
      <w:r w:rsidRPr="00AE5573">
        <w:rPr>
          <w:rFonts w:ascii="Arial" w:hAnsi="Arial" w:cs="Arial"/>
          <w:color w:val="000000" w:themeColor="text1"/>
          <w:lang w:val="en-US"/>
        </w:rPr>
        <w:t xml:space="preserve"> strategies and </w:t>
      </w:r>
      <w:proofErr w:type="spellStart"/>
      <w:r w:rsidRPr="00AE5573">
        <w:rPr>
          <w:rFonts w:ascii="Arial" w:hAnsi="Arial" w:cs="Arial"/>
          <w:color w:val="000000" w:themeColor="text1"/>
          <w:lang w:val="en-US"/>
        </w:rPr>
        <w:t>organisational</w:t>
      </w:r>
      <w:proofErr w:type="spellEnd"/>
      <w:r w:rsidRPr="00AE5573">
        <w:rPr>
          <w:rFonts w:ascii="Arial" w:hAnsi="Arial" w:cs="Arial"/>
          <w:color w:val="000000" w:themeColor="text1"/>
          <w:lang w:val="en-US"/>
        </w:rPr>
        <w:t xml:space="preserve"> support should work together.</w:t>
      </w:r>
    </w:p>
    <w:p w14:paraId="14391075" w14:textId="77777777" w:rsidR="00AE5573" w:rsidRPr="00AE5573" w:rsidRDefault="00AE5573" w:rsidP="00AE5573">
      <w:pPr>
        <w:rPr>
          <w:rFonts w:ascii="Arial" w:hAnsi="Arial" w:cs="Arial"/>
          <w:color w:val="000000" w:themeColor="text1"/>
          <w:lang w:val="en-US"/>
        </w:rPr>
      </w:pPr>
      <w:r w:rsidRPr="00AE5573">
        <w:rPr>
          <w:rFonts w:ascii="Arial" w:hAnsi="Arial" w:cs="Arial"/>
          <w:color w:val="000000" w:themeColor="text1"/>
          <w:lang w:val="en-US"/>
        </w:rPr>
        <w:t xml:space="preserve">Physical wellbeing adds another important dimension. Burns et al. (2021) identified substantial skin damage among NHS staff undertaking frequent handwashing, which may create an additional barrier to sustained compliance. This complements Kaye and Marais (2025), where time and accessibility were important barriers, but extends the discussion by showing that staff wellbeing can also influence practice. Overall, the evidence suggests that sustainable compliance requires </w:t>
      </w:r>
      <w:proofErr w:type="spellStart"/>
      <w:r w:rsidRPr="00AE5573">
        <w:rPr>
          <w:rFonts w:ascii="Arial" w:hAnsi="Arial" w:cs="Arial"/>
          <w:color w:val="000000" w:themeColor="text1"/>
          <w:lang w:val="en-US"/>
        </w:rPr>
        <w:t>behavioural</w:t>
      </w:r>
      <w:proofErr w:type="spellEnd"/>
      <w:r w:rsidRPr="00AE5573">
        <w:rPr>
          <w:rFonts w:ascii="Arial" w:hAnsi="Arial" w:cs="Arial"/>
          <w:color w:val="000000" w:themeColor="text1"/>
          <w:lang w:val="en-US"/>
        </w:rPr>
        <w:t xml:space="preserve"> support, practical resources, feedback, adequate time and protection of staff skin health.</w:t>
      </w:r>
    </w:p>
    <w:p w14:paraId="479FB863" w14:textId="77777777" w:rsidR="000F0265" w:rsidRPr="000F0265" w:rsidRDefault="000F0265" w:rsidP="000F0265">
      <w:pPr>
        <w:rPr>
          <w:rFonts w:ascii="Arial" w:hAnsi="Arial" w:cs="Arial"/>
          <w:b/>
          <w:bCs/>
          <w:color w:val="000000" w:themeColor="text1"/>
          <w:lang w:val="en-US"/>
        </w:rPr>
      </w:pPr>
      <w:r w:rsidRPr="000F0265">
        <w:rPr>
          <w:rFonts w:ascii="Arial" w:hAnsi="Arial" w:cs="Arial"/>
          <w:b/>
          <w:bCs/>
          <w:color w:val="000000" w:themeColor="text1"/>
          <w:lang w:val="en-US"/>
        </w:rPr>
        <w:t>Theme 2: Barriers and Facilitators to Hand Hygiene Compliance</w:t>
      </w:r>
    </w:p>
    <w:p w14:paraId="55718EFF" w14:textId="77777777" w:rsidR="000F0265" w:rsidRPr="000F0265" w:rsidRDefault="000F0265" w:rsidP="000F0265">
      <w:pPr>
        <w:rPr>
          <w:rFonts w:ascii="Arial" w:hAnsi="Arial" w:cs="Arial"/>
          <w:color w:val="000000" w:themeColor="text1"/>
          <w:lang w:val="en-US"/>
        </w:rPr>
      </w:pPr>
      <w:r w:rsidRPr="000F0265">
        <w:rPr>
          <w:rFonts w:ascii="Arial" w:hAnsi="Arial" w:cs="Arial"/>
          <w:color w:val="000000" w:themeColor="text1"/>
          <w:lang w:val="en-US"/>
        </w:rPr>
        <w:t xml:space="preserve">The findings of this review show that practical pressures, workload and the clinical environment can make consistent hand hygiene difficult. Jeanes et al. (2018) identified work pressure, emergencies, uncertainty and sore hands, while Kelly et al. (2021) similarly reported workload, emergencies and poor dispenser placement. These findings closely agree with Winship and </w:t>
      </w:r>
      <w:proofErr w:type="spellStart"/>
      <w:r w:rsidRPr="000F0265">
        <w:rPr>
          <w:rFonts w:ascii="Arial" w:hAnsi="Arial" w:cs="Arial"/>
          <w:color w:val="000000" w:themeColor="text1"/>
          <w:lang w:val="en-US"/>
        </w:rPr>
        <w:t>McClunie</w:t>
      </w:r>
      <w:proofErr w:type="spellEnd"/>
      <w:r w:rsidRPr="000F0265">
        <w:rPr>
          <w:rFonts w:ascii="Arial" w:hAnsi="Arial" w:cs="Arial"/>
          <w:color w:val="000000" w:themeColor="text1"/>
          <w:lang w:val="en-US"/>
        </w:rPr>
        <w:t>-Trust (2016), who identified time constraints and busyness as major barriers among qualified nurses. Issac et al. (2026) further supports this interpretation by identifying workload, time pressure, competing priorities and environmental factors as important barriers. However, Issac et al. provide a broader explanation by showing that professional identity, social norms and risk perceptions also influence compliance.</w:t>
      </w:r>
    </w:p>
    <w:p w14:paraId="0087AF19" w14:textId="77777777" w:rsidR="000F0265" w:rsidRPr="000F0265" w:rsidRDefault="000F0265" w:rsidP="000F0265">
      <w:pPr>
        <w:rPr>
          <w:rFonts w:ascii="Arial" w:hAnsi="Arial" w:cs="Arial"/>
          <w:color w:val="000000" w:themeColor="text1"/>
          <w:lang w:val="en-US"/>
        </w:rPr>
      </w:pPr>
      <w:r w:rsidRPr="000F0265">
        <w:rPr>
          <w:rFonts w:ascii="Arial" w:hAnsi="Arial" w:cs="Arial"/>
          <w:color w:val="000000" w:themeColor="text1"/>
          <w:lang w:val="en-US"/>
        </w:rPr>
        <w:t xml:space="preserve">The role of staff involvement and social influence is also evident across the evidence. Jeanes et al. (2018) showed that involving staff in identifying barriers and establishing clear expectations supported improvement, while Cawthorne and Cooke (2020) found concerns about direct observation. This is consistent with Winship and </w:t>
      </w:r>
      <w:proofErr w:type="spellStart"/>
      <w:r w:rsidRPr="000F0265">
        <w:rPr>
          <w:rFonts w:ascii="Arial" w:hAnsi="Arial" w:cs="Arial"/>
          <w:color w:val="000000" w:themeColor="text1"/>
          <w:lang w:val="en-US"/>
        </w:rPr>
        <w:t>McClunie</w:t>
      </w:r>
      <w:proofErr w:type="spellEnd"/>
      <w:r w:rsidRPr="000F0265">
        <w:rPr>
          <w:rFonts w:ascii="Arial" w:hAnsi="Arial" w:cs="Arial"/>
          <w:color w:val="000000" w:themeColor="text1"/>
          <w:lang w:val="en-US"/>
        </w:rPr>
        <w:t xml:space="preserve">-Trust (2016), who identified awareness of being watched and social pressure as factors affecting nurses’ </w:t>
      </w:r>
      <w:proofErr w:type="spellStart"/>
      <w:r w:rsidRPr="000F0265">
        <w:rPr>
          <w:rFonts w:ascii="Arial" w:hAnsi="Arial" w:cs="Arial"/>
          <w:color w:val="000000" w:themeColor="text1"/>
          <w:lang w:val="en-US"/>
        </w:rPr>
        <w:t>behaviour</w:t>
      </w:r>
      <w:proofErr w:type="spellEnd"/>
      <w:r w:rsidRPr="000F0265">
        <w:rPr>
          <w:rFonts w:ascii="Arial" w:hAnsi="Arial" w:cs="Arial"/>
          <w:color w:val="000000" w:themeColor="text1"/>
          <w:lang w:val="en-US"/>
        </w:rPr>
        <w:t xml:space="preserve">. </w:t>
      </w:r>
      <w:proofErr w:type="spellStart"/>
      <w:r w:rsidRPr="000F0265">
        <w:rPr>
          <w:rFonts w:ascii="Arial" w:hAnsi="Arial" w:cs="Arial"/>
          <w:color w:val="000000" w:themeColor="text1"/>
          <w:lang w:val="en-US"/>
        </w:rPr>
        <w:t>Alzyood</w:t>
      </w:r>
      <w:proofErr w:type="spellEnd"/>
      <w:r w:rsidRPr="000F0265">
        <w:rPr>
          <w:rFonts w:ascii="Arial" w:hAnsi="Arial" w:cs="Arial"/>
          <w:color w:val="000000" w:themeColor="text1"/>
          <w:lang w:val="en-US"/>
        </w:rPr>
        <w:t xml:space="preserve"> et al. (2018) adds another perspective by showing that patients were generally willing to remind healthcare professionals about hand hygiene, although staff responses varied according to how reminders were communicated. Therefore, supportive relationships and positive communication may be more effective than approaches perceived as </w:t>
      </w:r>
      <w:proofErr w:type="spellStart"/>
      <w:r w:rsidRPr="000F0265">
        <w:rPr>
          <w:rFonts w:ascii="Arial" w:hAnsi="Arial" w:cs="Arial"/>
          <w:color w:val="000000" w:themeColor="text1"/>
          <w:lang w:val="en-US"/>
        </w:rPr>
        <w:t>judgemental</w:t>
      </w:r>
      <w:proofErr w:type="spellEnd"/>
      <w:r w:rsidRPr="000F0265">
        <w:rPr>
          <w:rFonts w:ascii="Arial" w:hAnsi="Arial" w:cs="Arial"/>
          <w:color w:val="000000" w:themeColor="text1"/>
          <w:lang w:val="en-US"/>
        </w:rPr>
        <w:t>.</w:t>
      </w:r>
    </w:p>
    <w:p w14:paraId="7054F91E" w14:textId="7ACDEFFD" w:rsidR="000F0265" w:rsidRPr="000F0265" w:rsidRDefault="000F0265" w:rsidP="000F0265">
      <w:pPr>
        <w:rPr>
          <w:rFonts w:ascii="Arial" w:hAnsi="Arial" w:cs="Arial"/>
          <w:color w:val="000000" w:themeColor="text1"/>
          <w:lang w:val="en-US"/>
        </w:rPr>
      </w:pPr>
      <w:r w:rsidRPr="000F0265">
        <w:rPr>
          <w:rFonts w:ascii="Arial" w:hAnsi="Arial" w:cs="Arial"/>
          <w:color w:val="000000" w:themeColor="text1"/>
          <w:lang w:val="en-US"/>
        </w:rPr>
        <w:lastRenderedPageBreak/>
        <w:t xml:space="preserve">Overall, the evidence suggests that barriers and facilitators operate at several levels rather than being caused by individual knowledge alone. Issac et al. (2026) specifically </w:t>
      </w:r>
      <w:r w:rsidR="00AA0674">
        <w:rPr>
          <w:rFonts w:ascii="Arial" w:hAnsi="Arial" w:cs="Arial"/>
          <w:color w:val="000000" w:themeColor="text1"/>
          <w:lang w:val="en-US"/>
        </w:rPr>
        <w:t>demonstrate</w:t>
      </w:r>
      <w:r w:rsidRPr="000F0265">
        <w:rPr>
          <w:rFonts w:ascii="Arial" w:hAnsi="Arial" w:cs="Arial"/>
          <w:color w:val="000000" w:themeColor="text1"/>
          <w:lang w:val="en-US"/>
        </w:rPr>
        <w:t xml:space="preserve"> this through the Social Ecological Model, linking individual, interpersonal and environmental influences. This complements the present findings on workload, accessibility and monitoring. However, the mixed responses to electronic feedback reported by Kelly et al. (2021) and concerns about observation identified by Cawthorne and Cooke (2020) indicate that monitoring must be supportive. Sustainable improvement therefore requires accessible facilities, staff involvement, positive role modelling, clear communication and meaningful feedback, while also </w:t>
      </w:r>
      <w:proofErr w:type="spellStart"/>
      <w:r w:rsidRPr="000F0265">
        <w:rPr>
          <w:rFonts w:ascii="Arial" w:hAnsi="Arial" w:cs="Arial"/>
          <w:color w:val="000000" w:themeColor="text1"/>
          <w:lang w:val="en-US"/>
        </w:rPr>
        <w:t>recognising</w:t>
      </w:r>
      <w:proofErr w:type="spellEnd"/>
      <w:r w:rsidRPr="000F0265">
        <w:rPr>
          <w:rFonts w:ascii="Arial" w:hAnsi="Arial" w:cs="Arial"/>
          <w:color w:val="000000" w:themeColor="text1"/>
          <w:lang w:val="en-US"/>
        </w:rPr>
        <w:t xml:space="preserve"> patients as potential partners in promoting safer hand hygiene practice.</w:t>
      </w:r>
    </w:p>
    <w:p w14:paraId="19414DF4" w14:textId="7DB45324" w:rsidR="00EA3140" w:rsidRPr="00EA3140" w:rsidRDefault="00EA3140" w:rsidP="00EA3140">
      <w:pPr>
        <w:rPr>
          <w:rFonts w:ascii="Arial" w:hAnsi="Arial" w:cs="Arial"/>
          <w:b/>
          <w:bCs/>
          <w:color w:val="000000" w:themeColor="text1"/>
          <w:lang w:val="en-US"/>
        </w:rPr>
      </w:pPr>
      <w:r>
        <w:rPr>
          <w:rFonts w:ascii="Arial" w:hAnsi="Arial" w:cs="Arial"/>
          <w:b/>
          <w:bCs/>
          <w:color w:val="000000" w:themeColor="text1"/>
          <w:lang w:val="en-US"/>
        </w:rPr>
        <w:t>T</w:t>
      </w:r>
      <w:r w:rsidRPr="00EA3140">
        <w:rPr>
          <w:rFonts w:ascii="Arial" w:hAnsi="Arial" w:cs="Arial"/>
          <w:b/>
          <w:bCs/>
          <w:color w:val="000000" w:themeColor="text1"/>
          <w:lang w:val="en-US"/>
        </w:rPr>
        <w:t>heme 3: Effectiveness of Hand Hygiene Interventions and Monitoring</w:t>
      </w:r>
    </w:p>
    <w:p w14:paraId="795837B8" w14:textId="77777777" w:rsidR="00EA3140" w:rsidRPr="00EA3140" w:rsidRDefault="00EA3140" w:rsidP="00EA3140">
      <w:pPr>
        <w:rPr>
          <w:rFonts w:ascii="Arial" w:hAnsi="Arial" w:cs="Arial"/>
          <w:color w:val="000000" w:themeColor="text1"/>
          <w:lang w:val="en-US"/>
        </w:rPr>
      </w:pPr>
      <w:r w:rsidRPr="00EA3140">
        <w:rPr>
          <w:rFonts w:ascii="Arial" w:hAnsi="Arial" w:cs="Arial"/>
          <w:color w:val="000000" w:themeColor="text1"/>
          <w:lang w:val="en-US"/>
        </w:rPr>
        <w:t xml:space="preserve">The findings of this review demonstrate that structured and multifaceted interventions can improve hand hygiene compliance. Blair et al. (2024) and Mandal et al. (2025) showed </w:t>
      </w:r>
      <w:proofErr w:type="gramStart"/>
      <w:r w:rsidRPr="00EA3140">
        <w:rPr>
          <w:rFonts w:ascii="Arial" w:hAnsi="Arial" w:cs="Arial"/>
          <w:color w:val="000000" w:themeColor="text1"/>
          <w:lang w:val="en-US"/>
        </w:rPr>
        <w:t>improvements</w:t>
      </w:r>
      <w:proofErr w:type="gramEnd"/>
      <w:r w:rsidRPr="00EA3140">
        <w:rPr>
          <w:rFonts w:ascii="Arial" w:hAnsi="Arial" w:cs="Arial"/>
          <w:color w:val="000000" w:themeColor="text1"/>
          <w:lang w:val="en-US"/>
        </w:rPr>
        <w:t xml:space="preserve"> through </w:t>
      </w:r>
      <w:proofErr w:type="spellStart"/>
      <w:r w:rsidRPr="00EA3140">
        <w:rPr>
          <w:rFonts w:ascii="Arial" w:hAnsi="Arial" w:cs="Arial"/>
          <w:color w:val="000000" w:themeColor="text1"/>
          <w:lang w:val="en-US"/>
        </w:rPr>
        <w:t>behavioural</w:t>
      </w:r>
      <w:proofErr w:type="spellEnd"/>
      <w:r w:rsidRPr="00EA3140">
        <w:rPr>
          <w:rFonts w:ascii="Arial" w:hAnsi="Arial" w:cs="Arial"/>
          <w:color w:val="000000" w:themeColor="text1"/>
          <w:lang w:val="en-US"/>
        </w:rPr>
        <w:t xml:space="preserve"> support and practical education, while Mohammadi-</w:t>
      </w:r>
      <w:proofErr w:type="spellStart"/>
      <w:r w:rsidRPr="00EA3140">
        <w:rPr>
          <w:rFonts w:ascii="Arial" w:hAnsi="Arial" w:cs="Arial"/>
          <w:color w:val="000000" w:themeColor="text1"/>
          <w:lang w:val="en-US"/>
        </w:rPr>
        <w:t>Zaniani</w:t>
      </w:r>
      <w:proofErr w:type="spellEnd"/>
      <w:r w:rsidRPr="00EA3140">
        <w:rPr>
          <w:rFonts w:ascii="Arial" w:hAnsi="Arial" w:cs="Arial"/>
          <w:color w:val="000000" w:themeColor="text1"/>
          <w:lang w:val="en-US"/>
        </w:rPr>
        <w:t xml:space="preserve"> and Wales (2020) and Batalla et al. (2026) demonstrated the value of repeated monitoring, feedback and peer support. These findings are consistent with </w:t>
      </w:r>
      <w:proofErr w:type="spellStart"/>
      <w:r w:rsidRPr="00EA3140">
        <w:rPr>
          <w:rFonts w:ascii="Arial" w:hAnsi="Arial" w:cs="Arial"/>
          <w:color w:val="000000" w:themeColor="text1"/>
          <w:lang w:val="en-US"/>
        </w:rPr>
        <w:t>Lotfinejad</w:t>
      </w:r>
      <w:proofErr w:type="spellEnd"/>
      <w:r w:rsidRPr="00EA3140">
        <w:rPr>
          <w:rFonts w:ascii="Arial" w:hAnsi="Arial" w:cs="Arial"/>
          <w:color w:val="000000" w:themeColor="text1"/>
          <w:lang w:val="en-US"/>
        </w:rPr>
        <w:t xml:space="preserve"> et al. (2021), who argued that effective hand hygiene improvement requires system change, education, monitoring, feedback, workplace reminders and a positive safety climate. However, the present review shows that interventions may need to be adapted to specific clinical environments rather than applied as a single standard approach.</w:t>
      </w:r>
    </w:p>
    <w:p w14:paraId="485E82E2" w14:textId="77777777" w:rsidR="00EA3140" w:rsidRPr="00EA3140" w:rsidRDefault="00EA3140" w:rsidP="00EA3140">
      <w:pPr>
        <w:rPr>
          <w:rFonts w:ascii="Arial" w:hAnsi="Arial" w:cs="Arial"/>
          <w:color w:val="000000" w:themeColor="text1"/>
          <w:lang w:val="en-US"/>
        </w:rPr>
      </w:pPr>
      <w:r w:rsidRPr="00EA3140">
        <w:rPr>
          <w:rFonts w:ascii="Arial" w:hAnsi="Arial" w:cs="Arial"/>
          <w:color w:val="000000" w:themeColor="text1"/>
          <w:lang w:val="en-US"/>
        </w:rPr>
        <w:t xml:space="preserve">The findings also support </w:t>
      </w:r>
      <w:proofErr w:type="spellStart"/>
      <w:r w:rsidRPr="00EA3140">
        <w:rPr>
          <w:rFonts w:ascii="Arial" w:hAnsi="Arial" w:cs="Arial"/>
          <w:color w:val="000000" w:themeColor="text1"/>
          <w:lang w:val="en-US"/>
        </w:rPr>
        <w:t>Luangasanatip</w:t>
      </w:r>
      <w:proofErr w:type="spellEnd"/>
      <w:r w:rsidRPr="00EA3140">
        <w:rPr>
          <w:rFonts w:ascii="Arial" w:hAnsi="Arial" w:cs="Arial"/>
          <w:color w:val="000000" w:themeColor="text1"/>
          <w:lang w:val="en-US"/>
        </w:rPr>
        <w:t xml:space="preserve"> et al. (2015), whose systematic review and network meta-analysis found that the WHO multimodal strategy improved compliance and that additional goal setting, rewards and accountability could produce further improvements. This complements the present findings from Batalla et al. (2026), where hand-hygiene champions strengthened peer accountability, and Mohammadi-</w:t>
      </w:r>
      <w:proofErr w:type="spellStart"/>
      <w:r w:rsidRPr="00EA3140">
        <w:rPr>
          <w:rFonts w:ascii="Arial" w:hAnsi="Arial" w:cs="Arial"/>
          <w:color w:val="000000" w:themeColor="text1"/>
          <w:lang w:val="en-US"/>
        </w:rPr>
        <w:t>Zaniani</w:t>
      </w:r>
      <w:proofErr w:type="spellEnd"/>
      <w:r w:rsidRPr="00EA3140">
        <w:rPr>
          <w:rFonts w:ascii="Arial" w:hAnsi="Arial" w:cs="Arial"/>
          <w:color w:val="000000" w:themeColor="text1"/>
          <w:lang w:val="en-US"/>
        </w:rPr>
        <w:t xml:space="preserve"> and Wales (2020), where repeated audit and feedback supported improvement. Similarly, Laskar et al. (2018) reported a substantial increase in complete compliance following a multidimensional intervention, particularly among nurses. However, unlike Laskar et al., which measured several thousand opportunities, some UK studies in the present review had smaller samples or shorter follow-up, limiting confidence in long-term effectiveness.</w:t>
      </w:r>
    </w:p>
    <w:p w14:paraId="6CCFE773" w14:textId="77777777" w:rsidR="00EA3140" w:rsidRPr="00EA3140" w:rsidRDefault="00EA3140" w:rsidP="00EA3140">
      <w:pPr>
        <w:rPr>
          <w:rFonts w:ascii="Arial" w:hAnsi="Arial" w:cs="Arial"/>
          <w:color w:val="000000" w:themeColor="text1"/>
          <w:lang w:val="en-US"/>
        </w:rPr>
      </w:pPr>
      <w:r w:rsidRPr="00EA3140">
        <w:rPr>
          <w:rFonts w:ascii="Arial" w:hAnsi="Arial" w:cs="Arial"/>
          <w:color w:val="000000" w:themeColor="text1"/>
          <w:lang w:val="en-US"/>
        </w:rPr>
        <w:lastRenderedPageBreak/>
        <w:t xml:space="preserve">Importantly, the evidence suggests that improved compliance does not automatically confirm reduced HCAIs. </w:t>
      </w:r>
      <w:proofErr w:type="spellStart"/>
      <w:r w:rsidRPr="00EA3140">
        <w:rPr>
          <w:rFonts w:ascii="Arial" w:hAnsi="Arial" w:cs="Arial"/>
          <w:color w:val="000000" w:themeColor="text1"/>
          <w:lang w:val="en-US"/>
        </w:rPr>
        <w:t>Luangasanatip</w:t>
      </w:r>
      <w:proofErr w:type="spellEnd"/>
      <w:r w:rsidRPr="00EA3140">
        <w:rPr>
          <w:rFonts w:ascii="Arial" w:hAnsi="Arial" w:cs="Arial"/>
          <w:color w:val="000000" w:themeColor="text1"/>
          <w:lang w:val="en-US"/>
        </w:rPr>
        <w:t xml:space="preserve"> et al. (2015) found evidence of clinically important reductions in some infection outcomes, although results were not consistent across all pathogens. </w:t>
      </w:r>
      <w:proofErr w:type="spellStart"/>
      <w:r w:rsidRPr="00EA3140">
        <w:rPr>
          <w:rFonts w:ascii="Arial" w:hAnsi="Arial" w:cs="Arial"/>
          <w:color w:val="000000" w:themeColor="text1"/>
          <w:lang w:val="en-US"/>
        </w:rPr>
        <w:t>Lotfinejad</w:t>
      </w:r>
      <w:proofErr w:type="spellEnd"/>
      <w:r w:rsidRPr="00EA3140">
        <w:rPr>
          <w:rFonts w:ascii="Arial" w:hAnsi="Arial" w:cs="Arial"/>
          <w:color w:val="000000" w:themeColor="text1"/>
          <w:lang w:val="en-US"/>
        </w:rPr>
        <w:t xml:space="preserve"> et al. (2021) similarly linked improved hand hygiene with reduced HCAIs and cross-</w:t>
      </w:r>
      <w:proofErr w:type="gramStart"/>
      <w:r w:rsidRPr="00EA3140">
        <w:rPr>
          <w:rFonts w:ascii="Arial" w:hAnsi="Arial" w:cs="Arial"/>
          <w:color w:val="000000" w:themeColor="text1"/>
          <w:lang w:val="en-US"/>
        </w:rPr>
        <w:t>transmission, but</w:t>
      </w:r>
      <w:proofErr w:type="gramEnd"/>
      <w:r w:rsidRPr="00EA3140">
        <w:rPr>
          <w:rFonts w:ascii="Arial" w:hAnsi="Arial" w:cs="Arial"/>
          <w:color w:val="000000" w:themeColor="text1"/>
          <w:lang w:val="en-US"/>
        </w:rPr>
        <w:t xml:space="preserve"> </w:t>
      </w:r>
      <w:proofErr w:type="spellStart"/>
      <w:r w:rsidRPr="00EA3140">
        <w:rPr>
          <w:rFonts w:ascii="Arial" w:hAnsi="Arial" w:cs="Arial"/>
          <w:color w:val="000000" w:themeColor="text1"/>
          <w:lang w:val="en-US"/>
        </w:rPr>
        <w:t>emphasised</w:t>
      </w:r>
      <w:proofErr w:type="spellEnd"/>
      <w:r w:rsidRPr="00EA3140">
        <w:rPr>
          <w:rFonts w:ascii="Arial" w:hAnsi="Arial" w:cs="Arial"/>
          <w:color w:val="000000" w:themeColor="text1"/>
          <w:lang w:val="en-US"/>
        </w:rPr>
        <w:t xml:space="preserve"> the importance of </w:t>
      </w:r>
      <w:proofErr w:type="spellStart"/>
      <w:r w:rsidRPr="00EA3140">
        <w:rPr>
          <w:rFonts w:ascii="Arial" w:hAnsi="Arial" w:cs="Arial"/>
          <w:color w:val="000000" w:themeColor="text1"/>
          <w:lang w:val="en-US"/>
        </w:rPr>
        <w:t>organisational</w:t>
      </w:r>
      <w:proofErr w:type="spellEnd"/>
      <w:r w:rsidRPr="00EA3140">
        <w:rPr>
          <w:rFonts w:ascii="Arial" w:hAnsi="Arial" w:cs="Arial"/>
          <w:color w:val="000000" w:themeColor="text1"/>
          <w:lang w:val="en-US"/>
        </w:rPr>
        <w:t xml:space="preserve"> and sociocultural adaptation. Therefore, the present findings provide stronger evidence for improving hand hygiene </w:t>
      </w:r>
      <w:proofErr w:type="spellStart"/>
      <w:r w:rsidRPr="00EA3140">
        <w:rPr>
          <w:rFonts w:ascii="Arial" w:hAnsi="Arial" w:cs="Arial"/>
          <w:color w:val="000000" w:themeColor="text1"/>
          <w:lang w:val="en-US"/>
        </w:rPr>
        <w:t>behaviour</w:t>
      </w:r>
      <w:proofErr w:type="spellEnd"/>
      <w:r w:rsidRPr="00EA3140">
        <w:rPr>
          <w:rFonts w:ascii="Arial" w:hAnsi="Arial" w:cs="Arial"/>
          <w:color w:val="000000" w:themeColor="text1"/>
          <w:lang w:val="en-US"/>
        </w:rPr>
        <w:t xml:space="preserve"> than for directly reducing HCAIs. Longer-term UK studies should combine objective compliance monitoring with infection outcomes to establish whether improvements in practice lead to sustained patient-safety benefits.</w:t>
      </w:r>
    </w:p>
    <w:p w14:paraId="67FDE3D9" w14:textId="77777777" w:rsidR="008D347C" w:rsidRPr="008D347C" w:rsidRDefault="008D347C" w:rsidP="008D347C">
      <w:pPr>
        <w:rPr>
          <w:rFonts w:ascii="Arial" w:hAnsi="Arial" w:cs="Arial"/>
          <w:b/>
          <w:bCs/>
          <w:color w:val="000000" w:themeColor="text1"/>
          <w:lang w:val="en-US"/>
        </w:rPr>
      </w:pPr>
      <w:r w:rsidRPr="008D347C">
        <w:rPr>
          <w:rFonts w:ascii="Arial" w:hAnsi="Arial" w:cs="Arial"/>
          <w:b/>
          <w:bCs/>
          <w:color w:val="000000" w:themeColor="text1"/>
          <w:lang w:val="en-US"/>
        </w:rPr>
        <w:t>Theme 4: Hand Hygiene, HCAI Prevention and Patient Safety</w:t>
      </w:r>
    </w:p>
    <w:p w14:paraId="121AE556" w14:textId="77777777" w:rsidR="008D347C" w:rsidRPr="008D347C" w:rsidRDefault="008D347C" w:rsidP="008D347C">
      <w:pPr>
        <w:rPr>
          <w:rFonts w:ascii="Arial" w:hAnsi="Arial" w:cs="Arial"/>
          <w:color w:val="000000" w:themeColor="text1"/>
          <w:lang w:val="en-US"/>
        </w:rPr>
      </w:pPr>
      <w:r w:rsidRPr="008D347C">
        <w:rPr>
          <w:rFonts w:ascii="Arial" w:hAnsi="Arial" w:cs="Arial"/>
          <w:color w:val="000000" w:themeColor="text1"/>
          <w:lang w:val="en-US"/>
        </w:rPr>
        <w:t>The findings indicate that hand hygiene has an important role in preventing HCAIs and protecting patient safety, although the strength of this relationship depends on the quality of evidence. Guest et al. (2019) estimated substantial reductions in infections, deaths, bed days and costs when hand hygiene compliance improves, but these were modelled rather than directly observed outcomes. This supports Haque et al. (2020), who identified hand hygiene as a primary strategy for preventing transmission of microorganisms and multidrug-resistant organisms. However, Haque et al. considered hand hygiene as part of a wider infection-prevention bundle, whereas Guest et al. focused specifically on electronic audit and feedback.</w:t>
      </w:r>
    </w:p>
    <w:p w14:paraId="2CDCBE21" w14:textId="77777777" w:rsidR="008D347C" w:rsidRPr="008D347C" w:rsidRDefault="008D347C" w:rsidP="008D347C">
      <w:pPr>
        <w:rPr>
          <w:rFonts w:ascii="Arial" w:hAnsi="Arial" w:cs="Arial"/>
          <w:color w:val="000000" w:themeColor="text1"/>
          <w:lang w:val="en-US"/>
        </w:rPr>
      </w:pPr>
      <w:proofErr w:type="spellStart"/>
      <w:r w:rsidRPr="008D347C">
        <w:rPr>
          <w:rFonts w:ascii="Arial" w:hAnsi="Arial" w:cs="Arial"/>
          <w:color w:val="000000" w:themeColor="text1"/>
          <w:lang w:val="en-US"/>
        </w:rPr>
        <w:t>Mouajou</w:t>
      </w:r>
      <w:proofErr w:type="spellEnd"/>
      <w:r w:rsidRPr="008D347C">
        <w:rPr>
          <w:rFonts w:ascii="Arial" w:hAnsi="Arial" w:cs="Arial"/>
          <w:color w:val="000000" w:themeColor="text1"/>
          <w:lang w:val="en-US"/>
        </w:rPr>
        <w:t xml:space="preserve"> et al. (2022) provide stronger comparative evidence that higher hand hygiene compliance is generally associated with lower HAI incidence. Their review found that most studies reported compliance around 60–70% and suggested that HAI incidence was lower at approximately 60% compliance. However, they also highlighted that causality could not be established because many studies were not originally designed to examine this relationship. This is consistent with the present findings from Gould et al. (2020), where electronic monitoring provided more stable measurement than direct observation because manual observation appeared to produce a Hawthorne effect. Therefore, reliable monitoring may be necessary to understand the true relationship between compliance and HCAIs.</w:t>
      </w:r>
    </w:p>
    <w:p w14:paraId="2B76C012" w14:textId="77777777" w:rsidR="008D347C" w:rsidRPr="008D347C" w:rsidRDefault="008D347C" w:rsidP="008D347C">
      <w:pPr>
        <w:rPr>
          <w:rFonts w:ascii="Arial" w:hAnsi="Arial" w:cs="Arial"/>
          <w:color w:val="000000" w:themeColor="text1"/>
          <w:lang w:val="en-US"/>
        </w:rPr>
      </w:pPr>
      <w:r w:rsidRPr="008D347C">
        <w:rPr>
          <w:rFonts w:ascii="Arial" w:hAnsi="Arial" w:cs="Arial"/>
          <w:color w:val="000000" w:themeColor="text1"/>
          <w:lang w:val="en-US"/>
        </w:rPr>
        <w:t xml:space="preserve">Ghafouri et al. (2026) further demonstrate the complexity of improving patient safety. Their combined intervention involving hand hygiene, antibiotic stewardship and </w:t>
      </w:r>
      <w:r w:rsidRPr="008D347C">
        <w:rPr>
          <w:rFonts w:ascii="Arial" w:hAnsi="Arial" w:cs="Arial"/>
          <w:color w:val="000000" w:themeColor="text1"/>
          <w:lang w:val="en-US"/>
        </w:rPr>
        <w:lastRenderedPageBreak/>
        <w:t>infection surveillance improved hand hygiene compliance, while infection and mortality rates decreased but not significantly. This contrasts with the stronger potential benefits estimated by Guest et al. (2019) and illustrates that better compliance does not necessarily produce an immediate measurable reduction in HCAIs. Overall, the evidence supports hand hygiene as an essential component of infection prevention, but HCAI outcomes are influenced by multiple factors. Future UK research should therefore combine objective compliance monitoring, HCAI surveillance and other infection-control measures to establish clearer causal relationships.</w:t>
      </w:r>
    </w:p>
    <w:p w14:paraId="782B8C48" w14:textId="79E88BFF" w:rsidR="004B537B" w:rsidRPr="004B537B" w:rsidRDefault="003D6F4A" w:rsidP="003D6F4A">
      <w:pPr>
        <w:pStyle w:val="Heading1"/>
        <w:jc w:val="both"/>
        <w:rPr>
          <w:lang w:val="en-US"/>
        </w:rPr>
      </w:pPr>
      <w:bookmarkStart w:id="56" w:name="_Toc240208835"/>
      <w:r>
        <w:rPr>
          <w:lang w:val="en-US"/>
        </w:rPr>
        <w:t xml:space="preserve">5.3 </w:t>
      </w:r>
      <w:r w:rsidR="004B537B" w:rsidRPr="004B537B">
        <w:rPr>
          <w:lang w:val="en-US"/>
        </w:rPr>
        <w:t>Implications and Future Research Needs</w:t>
      </w:r>
      <w:bookmarkEnd w:id="56"/>
    </w:p>
    <w:p w14:paraId="39B19DF8" w14:textId="77777777" w:rsidR="004B537B" w:rsidRPr="004B537B" w:rsidRDefault="004B537B" w:rsidP="004B537B">
      <w:pPr>
        <w:rPr>
          <w:rFonts w:ascii="Arial" w:hAnsi="Arial" w:cs="Arial"/>
          <w:color w:val="000000" w:themeColor="text1"/>
          <w:lang w:val="en-US"/>
        </w:rPr>
      </w:pPr>
      <w:r w:rsidRPr="004B537B">
        <w:rPr>
          <w:rFonts w:ascii="Arial" w:hAnsi="Arial" w:cs="Arial"/>
          <w:color w:val="000000" w:themeColor="text1"/>
          <w:lang w:val="en-US"/>
        </w:rPr>
        <w:t xml:space="preserve">The findings have important implications for infection prevention and clinical practice in UK hospitals. Hand hygiene compliance should be supported through a combination of staff education, </w:t>
      </w:r>
      <w:proofErr w:type="spellStart"/>
      <w:r w:rsidRPr="004B537B">
        <w:rPr>
          <w:rFonts w:ascii="Arial" w:hAnsi="Arial" w:cs="Arial"/>
          <w:color w:val="000000" w:themeColor="text1"/>
          <w:lang w:val="en-US"/>
        </w:rPr>
        <w:t>behavioural</w:t>
      </w:r>
      <w:proofErr w:type="spellEnd"/>
      <w:r w:rsidRPr="004B537B">
        <w:rPr>
          <w:rFonts w:ascii="Arial" w:hAnsi="Arial" w:cs="Arial"/>
          <w:color w:val="000000" w:themeColor="text1"/>
          <w:lang w:val="en-US"/>
        </w:rPr>
        <w:t xml:space="preserve"> interventions, regular monitoring, feedback and accessible hand hygiene facilities. Hospitals should also address practical barriers such as workload, emergencies, dispenser placement and skin problems. Staff involvement and hand-hygiene champions may improve engagement and accountability, while electronic monitoring could provide more reliable assessment than direct observation. Future interventions should therefore be adapted to different clinical settings and should focus on long-term improvement rather than short-term increases in compliance.</w:t>
      </w:r>
    </w:p>
    <w:p w14:paraId="6E060331" w14:textId="77777777" w:rsidR="004B537B" w:rsidRPr="004B537B" w:rsidRDefault="004B537B" w:rsidP="004B537B">
      <w:pPr>
        <w:rPr>
          <w:rFonts w:ascii="Arial" w:hAnsi="Arial" w:cs="Arial"/>
          <w:color w:val="000000" w:themeColor="text1"/>
          <w:lang w:val="en-US"/>
        </w:rPr>
      </w:pPr>
      <w:r w:rsidRPr="004B537B">
        <w:rPr>
          <w:rFonts w:ascii="Arial" w:hAnsi="Arial" w:cs="Arial"/>
          <w:color w:val="000000" w:themeColor="text1"/>
          <w:lang w:val="en-US"/>
        </w:rPr>
        <w:t>Future research should use larger, multi-</w:t>
      </w:r>
      <w:proofErr w:type="spellStart"/>
      <w:r w:rsidRPr="004B537B">
        <w:rPr>
          <w:rFonts w:ascii="Arial" w:hAnsi="Arial" w:cs="Arial"/>
          <w:color w:val="000000" w:themeColor="text1"/>
          <w:lang w:val="en-US"/>
        </w:rPr>
        <w:t>centre</w:t>
      </w:r>
      <w:proofErr w:type="spellEnd"/>
      <w:r w:rsidRPr="004B537B">
        <w:rPr>
          <w:rFonts w:ascii="Arial" w:hAnsi="Arial" w:cs="Arial"/>
          <w:color w:val="000000" w:themeColor="text1"/>
          <w:lang w:val="en-US"/>
        </w:rPr>
        <w:t xml:space="preserve"> UK studies with longer follow-up periods to determine whether improvements in hand hygiene are sustained. Research should also directly examine the relationship between objective hand hygiene compliance and HCAI incidence, rather than measuring compliance alone. </w:t>
      </w:r>
      <w:proofErr w:type="spellStart"/>
      <w:r w:rsidRPr="004B537B">
        <w:rPr>
          <w:rFonts w:ascii="Arial" w:hAnsi="Arial" w:cs="Arial"/>
          <w:color w:val="000000" w:themeColor="text1"/>
          <w:lang w:val="en-US"/>
        </w:rPr>
        <w:t>Standardised</w:t>
      </w:r>
      <w:proofErr w:type="spellEnd"/>
      <w:r w:rsidRPr="004B537B">
        <w:rPr>
          <w:rFonts w:ascii="Arial" w:hAnsi="Arial" w:cs="Arial"/>
          <w:color w:val="000000" w:themeColor="text1"/>
          <w:lang w:val="en-US"/>
        </w:rPr>
        <w:t xml:space="preserve"> outcome measures would make findings easier to compare across hospitals. Further research should investigate the effectiveness and acceptability of electronic monitoring, </w:t>
      </w:r>
      <w:proofErr w:type="spellStart"/>
      <w:r w:rsidRPr="004B537B">
        <w:rPr>
          <w:rFonts w:ascii="Arial" w:hAnsi="Arial" w:cs="Arial"/>
          <w:color w:val="000000" w:themeColor="text1"/>
          <w:lang w:val="en-US"/>
        </w:rPr>
        <w:t>behavioural</w:t>
      </w:r>
      <w:proofErr w:type="spellEnd"/>
      <w:r w:rsidRPr="004B537B">
        <w:rPr>
          <w:rFonts w:ascii="Arial" w:hAnsi="Arial" w:cs="Arial"/>
          <w:color w:val="000000" w:themeColor="text1"/>
          <w:lang w:val="en-US"/>
        </w:rPr>
        <w:t xml:space="preserve"> interventions, patient involvement and peer-led approaches. High-quality controlled studies are particularly needed to establish whether increased compliance produces measurable reductions in HCAIs, mortality, hospital stay and healthcare costs.</w:t>
      </w:r>
    </w:p>
    <w:p w14:paraId="1E314911" w14:textId="5191029B" w:rsidR="003C53B6" w:rsidRDefault="003D6F4A" w:rsidP="003D6F4A">
      <w:pPr>
        <w:pStyle w:val="Heading1"/>
        <w:jc w:val="both"/>
        <w:rPr>
          <w:lang w:val="en-US"/>
        </w:rPr>
      </w:pPr>
      <w:bookmarkStart w:id="57" w:name="_Toc240208836"/>
      <w:r>
        <w:rPr>
          <w:lang w:val="en-US"/>
        </w:rPr>
        <w:lastRenderedPageBreak/>
        <w:t xml:space="preserve">5.4 </w:t>
      </w:r>
      <w:r w:rsidR="00775610">
        <w:rPr>
          <w:lang w:val="en-US"/>
        </w:rPr>
        <w:t>Strength of study</w:t>
      </w:r>
      <w:bookmarkEnd w:id="57"/>
    </w:p>
    <w:p w14:paraId="5E79E22B" w14:textId="77777777" w:rsidR="00775610" w:rsidRPr="00775610" w:rsidRDefault="00775610" w:rsidP="00775610">
      <w:pPr>
        <w:rPr>
          <w:rFonts w:ascii="Arial" w:hAnsi="Arial" w:cs="Arial"/>
          <w:color w:val="000000" w:themeColor="text1"/>
          <w:lang w:val="en-US"/>
        </w:rPr>
      </w:pPr>
      <w:r w:rsidRPr="00775610">
        <w:rPr>
          <w:rFonts w:ascii="Arial" w:hAnsi="Arial" w:cs="Arial"/>
          <w:color w:val="000000" w:themeColor="text1"/>
          <w:lang w:val="en-US"/>
        </w:rPr>
        <w:t>This systematic review has several strengths. It used a structured search strategy across PubMed, Scopus and Google Scholar to identify relevant UK evidence published between 2016 and 2026. Clear inclusion and exclusion criteria were applied, and the selected studies covered different clinical settings and approaches to hand hygiene compliance. This provided a broad understanding of factors influencing compliance and interventions used to improve practice.</w:t>
      </w:r>
    </w:p>
    <w:p w14:paraId="04E68469" w14:textId="77777777" w:rsidR="00775610" w:rsidRPr="00775610" w:rsidRDefault="00775610" w:rsidP="00775610">
      <w:pPr>
        <w:rPr>
          <w:rFonts w:ascii="Arial" w:hAnsi="Arial" w:cs="Arial"/>
          <w:color w:val="000000" w:themeColor="text1"/>
          <w:lang w:val="en-US"/>
        </w:rPr>
      </w:pPr>
      <w:r w:rsidRPr="00775610">
        <w:rPr>
          <w:rFonts w:ascii="Arial" w:hAnsi="Arial" w:cs="Arial"/>
          <w:color w:val="000000" w:themeColor="text1"/>
          <w:lang w:val="en-US"/>
        </w:rPr>
        <w:t xml:space="preserve">Another strength was the use of critical appraisal to consider the methodological quality of the included studies. The review included observational, intervention, monitoring and qualitative evidence, allowing comparison of different perspectives. The findings were </w:t>
      </w:r>
      <w:proofErr w:type="spellStart"/>
      <w:r w:rsidRPr="00775610">
        <w:rPr>
          <w:rFonts w:ascii="Arial" w:hAnsi="Arial" w:cs="Arial"/>
          <w:color w:val="000000" w:themeColor="text1"/>
          <w:lang w:val="en-US"/>
        </w:rPr>
        <w:t>organised</w:t>
      </w:r>
      <w:proofErr w:type="spellEnd"/>
      <w:r w:rsidRPr="00775610">
        <w:rPr>
          <w:rFonts w:ascii="Arial" w:hAnsi="Arial" w:cs="Arial"/>
          <w:color w:val="000000" w:themeColor="text1"/>
          <w:lang w:val="en-US"/>
        </w:rPr>
        <w:t xml:space="preserve"> into clear themes, including influencing factors, barriers and facilitators, intervention effectiveness, and implications for HCAI prevention and patient safety.</w:t>
      </w:r>
    </w:p>
    <w:p w14:paraId="46FB3095" w14:textId="0DFC7361" w:rsidR="00775610" w:rsidRDefault="003D6F4A" w:rsidP="003D6F4A">
      <w:pPr>
        <w:pStyle w:val="Heading1"/>
        <w:jc w:val="both"/>
        <w:rPr>
          <w:lang w:val="en-US"/>
        </w:rPr>
      </w:pPr>
      <w:bookmarkStart w:id="58" w:name="_Toc240208837"/>
      <w:r>
        <w:rPr>
          <w:lang w:val="en-US"/>
        </w:rPr>
        <w:t xml:space="preserve">5.5 </w:t>
      </w:r>
      <w:r w:rsidR="00775610">
        <w:rPr>
          <w:lang w:val="en-US"/>
        </w:rPr>
        <w:t>Limitations or Bias of research</w:t>
      </w:r>
      <w:bookmarkEnd w:id="58"/>
    </w:p>
    <w:p w14:paraId="42B9CD77" w14:textId="77777777" w:rsidR="00775610" w:rsidRPr="00775610" w:rsidRDefault="00775610" w:rsidP="00775610">
      <w:pPr>
        <w:rPr>
          <w:rFonts w:ascii="Arial" w:hAnsi="Arial" w:cs="Arial"/>
          <w:color w:val="000000" w:themeColor="text1"/>
          <w:lang w:val="en-US"/>
        </w:rPr>
      </w:pPr>
      <w:r w:rsidRPr="00775610">
        <w:rPr>
          <w:rFonts w:ascii="Arial" w:hAnsi="Arial" w:cs="Arial"/>
          <w:color w:val="000000" w:themeColor="text1"/>
          <w:lang w:val="en-US"/>
        </w:rPr>
        <w:t>This review has some limitations that may influence the findings. Only PubMed, Scopus and Google Scholar were searched, so relevant studies indexed in other databases may have been missed. The review was also restricted to English-language, peer-reviewed studies, which may have introduced language and publication bias. Differences in study designs, sample sizes, settings and outcome measures made direct comparison between studies difficult.</w:t>
      </w:r>
    </w:p>
    <w:p w14:paraId="6D0C218C" w14:textId="77777777" w:rsidR="00775610" w:rsidRPr="00775610" w:rsidRDefault="00775610" w:rsidP="00775610">
      <w:pPr>
        <w:rPr>
          <w:rFonts w:ascii="Arial" w:hAnsi="Arial" w:cs="Arial"/>
          <w:color w:val="000000" w:themeColor="text1"/>
          <w:lang w:val="en-US"/>
        </w:rPr>
      </w:pPr>
      <w:r w:rsidRPr="00775610">
        <w:rPr>
          <w:rFonts w:ascii="Arial" w:hAnsi="Arial" w:cs="Arial"/>
          <w:color w:val="000000" w:themeColor="text1"/>
          <w:lang w:val="en-US"/>
        </w:rPr>
        <w:t xml:space="preserve">Several included studies were conducted in single hospitals or small numbers of wards and had short follow-up periods, limiting </w:t>
      </w:r>
      <w:proofErr w:type="spellStart"/>
      <w:r w:rsidRPr="00775610">
        <w:rPr>
          <w:rFonts w:ascii="Arial" w:hAnsi="Arial" w:cs="Arial"/>
          <w:color w:val="000000" w:themeColor="text1"/>
          <w:lang w:val="en-US"/>
        </w:rPr>
        <w:t>generalisability</w:t>
      </w:r>
      <w:proofErr w:type="spellEnd"/>
      <w:r w:rsidRPr="00775610">
        <w:rPr>
          <w:rFonts w:ascii="Arial" w:hAnsi="Arial" w:cs="Arial"/>
          <w:color w:val="000000" w:themeColor="text1"/>
          <w:lang w:val="en-US"/>
        </w:rPr>
        <w:t xml:space="preserve"> and assessment of long-term effects. Some studies relied on self-reported information, while direct observation may have caused a Hawthorne effect. Importantly, most studies measured hand hygiene compliance rather than HCAI outcomes, limiting conclusions about causality between improved compliance and reduced infections.</w:t>
      </w:r>
    </w:p>
    <w:p w14:paraId="73389781" w14:textId="0FB48D52" w:rsidR="009A0698" w:rsidRPr="009A0698" w:rsidRDefault="00A6289C" w:rsidP="00A6289C">
      <w:pPr>
        <w:pStyle w:val="Heading1"/>
        <w:jc w:val="both"/>
        <w:rPr>
          <w:lang w:val="en-US"/>
        </w:rPr>
      </w:pPr>
      <w:bookmarkStart w:id="59" w:name="_Toc240208838"/>
      <w:r>
        <w:rPr>
          <w:lang w:val="en-US"/>
        </w:rPr>
        <w:t xml:space="preserve">5.6 </w:t>
      </w:r>
      <w:r w:rsidR="009A0698" w:rsidRPr="009A0698">
        <w:rPr>
          <w:lang w:val="en-US"/>
        </w:rPr>
        <w:t>Conclusion</w:t>
      </w:r>
      <w:bookmarkEnd w:id="59"/>
    </w:p>
    <w:p w14:paraId="5D191CBC" w14:textId="77777777" w:rsidR="009A0698" w:rsidRPr="009A0698" w:rsidRDefault="009A0698" w:rsidP="009A0698">
      <w:pPr>
        <w:rPr>
          <w:rFonts w:ascii="Arial" w:hAnsi="Arial" w:cs="Arial"/>
          <w:color w:val="000000" w:themeColor="text1"/>
          <w:lang w:val="en-US"/>
        </w:rPr>
      </w:pPr>
      <w:r w:rsidRPr="009A0698">
        <w:rPr>
          <w:rFonts w:ascii="Arial" w:hAnsi="Arial" w:cs="Arial"/>
          <w:color w:val="000000" w:themeColor="text1"/>
          <w:lang w:val="en-US"/>
        </w:rPr>
        <w:t xml:space="preserve">This systematic review concludes that hand hygiene compliance among nurses and other healthcare workers has an important role in preventing healthcare-associated infections (HCAIs) and supporting patient safety in UK hospitals. The evidence from </w:t>
      </w:r>
      <w:r w:rsidRPr="009A0698">
        <w:rPr>
          <w:rFonts w:ascii="Arial" w:hAnsi="Arial" w:cs="Arial"/>
          <w:color w:val="000000" w:themeColor="text1"/>
          <w:lang w:val="en-US"/>
        </w:rPr>
        <w:lastRenderedPageBreak/>
        <w:t xml:space="preserve">the 12 included studies showed that compliance is influenced by clinical activity, workload, time pressure, accessibility of facilities, staff wellbeing and </w:t>
      </w:r>
      <w:proofErr w:type="spellStart"/>
      <w:r w:rsidRPr="009A0698">
        <w:rPr>
          <w:rFonts w:ascii="Arial" w:hAnsi="Arial" w:cs="Arial"/>
          <w:color w:val="000000" w:themeColor="text1"/>
          <w:lang w:val="en-US"/>
        </w:rPr>
        <w:t>organisational</w:t>
      </w:r>
      <w:proofErr w:type="spellEnd"/>
      <w:r w:rsidRPr="009A0698">
        <w:rPr>
          <w:rFonts w:ascii="Arial" w:hAnsi="Arial" w:cs="Arial"/>
          <w:color w:val="000000" w:themeColor="text1"/>
          <w:lang w:val="en-US"/>
        </w:rPr>
        <w:t xml:space="preserve"> conditions. Although the evidence does not establish a direct causal relationship between improved hand hygiene compliance and reduced HCAI incidence in all settings, the overall findings support hand hygiene as an essential component of infection prevention. Therefore, consistent compliance can contribute to safer patient care when supported by appropriate </w:t>
      </w:r>
      <w:proofErr w:type="spellStart"/>
      <w:r w:rsidRPr="009A0698">
        <w:rPr>
          <w:rFonts w:ascii="Arial" w:hAnsi="Arial" w:cs="Arial"/>
          <w:color w:val="000000" w:themeColor="text1"/>
          <w:lang w:val="en-US"/>
        </w:rPr>
        <w:t>organisational</w:t>
      </w:r>
      <w:proofErr w:type="spellEnd"/>
      <w:r w:rsidRPr="009A0698">
        <w:rPr>
          <w:rFonts w:ascii="Arial" w:hAnsi="Arial" w:cs="Arial"/>
          <w:color w:val="000000" w:themeColor="text1"/>
          <w:lang w:val="en-US"/>
        </w:rPr>
        <w:t xml:space="preserve"> and </w:t>
      </w:r>
      <w:proofErr w:type="spellStart"/>
      <w:r w:rsidRPr="009A0698">
        <w:rPr>
          <w:rFonts w:ascii="Arial" w:hAnsi="Arial" w:cs="Arial"/>
          <w:color w:val="000000" w:themeColor="text1"/>
          <w:lang w:val="en-US"/>
        </w:rPr>
        <w:t>behavioural</w:t>
      </w:r>
      <w:proofErr w:type="spellEnd"/>
      <w:r w:rsidRPr="009A0698">
        <w:rPr>
          <w:rFonts w:ascii="Arial" w:hAnsi="Arial" w:cs="Arial"/>
          <w:color w:val="000000" w:themeColor="text1"/>
          <w:lang w:val="en-US"/>
        </w:rPr>
        <w:t xml:space="preserve"> measures.</w:t>
      </w:r>
    </w:p>
    <w:p w14:paraId="27702F4A" w14:textId="77777777" w:rsidR="009A0698" w:rsidRPr="009A0698" w:rsidRDefault="009A0698" w:rsidP="009A0698">
      <w:pPr>
        <w:rPr>
          <w:rFonts w:ascii="Arial" w:hAnsi="Arial" w:cs="Arial"/>
          <w:color w:val="000000" w:themeColor="text1"/>
          <w:lang w:val="en-US"/>
        </w:rPr>
      </w:pPr>
      <w:r w:rsidRPr="009A0698">
        <w:rPr>
          <w:rFonts w:ascii="Arial" w:hAnsi="Arial" w:cs="Arial"/>
          <w:color w:val="000000" w:themeColor="text1"/>
          <w:lang w:val="en-US"/>
        </w:rPr>
        <w:t xml:space="preserve">The review also demonstrated that barriers to compliance are not limited to individual knowledge or motivation. Emergencies, competing clinical priorities, uncertainty about appropriate hand hygiene moments, poor dispenser placement, skin problems and concerns about monitoring can reduce compliance. In contrast, staff involvement, clear expectations, accessible facilities, positive feedback, patient-safety awareness and peer support can facilitate better practice. The effectiveness of interventions was generally greater when education was combined with </w:t>
      </w:r>
      <w:proofErr w:type="spellStart"/>
      <w:r w:rsidRPr="009A0698">
        <w:rPr>
          <w:rFonts w:ascii="Arial" w:hAnsi="Arial" w:cs="Arial"/>
          <w:color w:val="000000" w:themeColor="text1"/>
          <w:lang w:val="en-US"/>
        </w:rPr>
        <w:t>behavioural</w:t>
      </w:r>
      <w:proofErr w:type="spellEnd"/>
      <w:r w:rsidRPr="009A0698">
        <w:rPr>
          <w:rFonts w:ascii="Arial" w:hAnsi="Arial" w:cs="Arial"/>
          <w:color w:val="000000" w:themeColor="text1"/>
          <w:lang w:val="en-US"/>
        </w:rPr>
        <w:t xml:space="preserve"> support, monitoring, feedback, reminders and staff engagement. This suggests that hospitals should adopt multifaceted approaches rather than relying on education alone to improve hand hygiene observance among nurses and other healthcare workers.</w:t>
      </w:r>
    </w:p>
    <w:p w14:paraId="15D2FF4E" w14:textId="77777777" w:rsidR="009A0698" w:rsidRPr="009A0698" w:rsidRDefault="009A0698" w:rsidP="009A0698">
      <w:pPr>
        <w:rPr>
          <w:rFonts w:ascii="Arial" w:hAnsi="Arial" w:cs="Arial"/>
          <w:color w:val="000000" w:themeColor="text1"/>
          <w:lang w:val="en-US"/>
        </w:rPr>
      </w:pPr>
      <w:r w:rsidRPr="009A0698">
        <w:rPr>
          <w:rFonts w:ascii="Arial" w:hAnsi="Arial" w:cs="Arial"/>
          <w:color w:val="000000" w:themeColor="text1"/>
          <w:lang w:val="en-US"/>
        </w:rPr>
        <w:t xml:space="preserve">In relation to the research objectives, the review identified important HCAI prevention concerns and examined the factors affecting hand hygiene compliance, while also evaluating interventions and monitoring approaches used to improve practice. </w:t>
      </w:r>
      <w:proofErr w:type="spellStart"/>
      <w:r w:rsidRPr="009A0698">
        <w:rPr>
          <w:rFonts w:ascii="Arial" w:hAnsi="Arial" w:cs="Arial"/>
          <w:color w:val="000000" w:themeColor="text1"/>
          <w:lang w:val="en-US"/>
        </w:rPr>
        <w:t>Behavioural</w:t>
      </w:r>
      <w:proofErr w:type="spellEnd"/>
      <w:r w:rsidRPr="009A0698">
        <w:rPr>
          <w:rFonts w:ascii="Arial" w:hAnsi="Arial" w:cs="Arial"/>
          <w:color w:val="000000" w:themeColor="text1"/>
          <w:lang w:val="en-US"/>
        </w:rPr>
        <w:t xml:space="preserve"> interventions, instructional approaches, auditing, electronic monitoring, feedback and hand-hygiene champions were associated with improvements in compliance. However, most included studies measured hand hygiene </w:t>
      </w:r>
      <w:proofErr w:type="spellStart"/>
      <w:r w:rsidRPr="009A0698">
        <w:rPr>
          <w:rFonts w:ascii="Arial" w:hAnsi="Arial" w:cs="Arial"/>
          <w:color w:val="000000" w:themeColor="text1"/>
          <w:lang w:val="en-US"/>
        </w:rPr>
        <w:t>behaviour</w:t>
      </w:r>
      <w:proofErr w:type="spellEnd"/>
      <w:r w:rsidRPr="009A0698">
        <w:rPr>
          <w:rFonts w:ascii="Arial" w:hAnsi="Arial" w:cs="Arial"/>
          <w:color w:val="000000" w:themeColor="text1"/>
          <w:lang w:val="en-US"/>
        </w:rPr>
        <w:t xml:space="preserve"> rather than directly measuring subsequent HCAI outcomes. The review therefore answered the research question to a useful extent by demonstrating a consistent relationship between hand hygiene practice and infection-prevention processes, but the evidence was insufficient to quantify the exact effect of compliance on HCAI incidence in UK hospitals.</w:t>
      </w:r>
    </w:p>
    <w:p w14:paraId="5A990982" w14:textId="77777777" w:rsidR="009A0698" w:rsidRPr="009A0698" w:rsidRDefault="009A0698" w:rsidP="009A0698">
      <w:pPr>
        <w:rPr>
          <w:rFonts w:ascii="Arial" w:hAnsi="Arial" w:cs="Arial"/>
          <w:color w:val="000000" w:themeColor="text1"/>
          <w:lang w:val="en-US"/>
        </w:rPr>
      </w:pPr>
      <w:r w:rsidRPr="009A0698">
        <w:rPr>
          <w:rFonts w:ascii="Arial" w:hAnsi="Arial" w:cs="Arial"/>
          <w:color w:val="000000" w:themeColor="text1"/>
          <w:lang w:val="en-US"/>
        </w:rPr>
        <w:t xml:space="preserve">Overall, the systematic review highlights the need for sustainable, evidence-based hand hygiene strategies within UK hospitals. Future practice should focus on accessible facilities, adequate training, supportive monitoring, regular feedback, staff engagement and protection of healthcare workers' skin health. Future research should </w:t>
      </w:r>
      <w:r w:rsidRPr="009A0698">
        <w:rPr>
          <w:rFonts w:ascii="Arial" w:hAnsi="Arial" w:cs="Arial"/>
          <w:color w:val="000000" w:themeColor="text1"/>
          <w:lang w:val="en-US"/>
        </w:rPr>
        <w:lastRenderedPageBreak/>
        <w:t>use larger UK multi-</w:t>
      </w:r>
      <w:proofErr w:type="spellStart"/>
      <w:r w:rsidRPr="009A0698">
        <w:rPr>
          <w:rFonts w:ascii="Arial" w:hAnsi="Arial" w:cs="Arial"/>
          <w:color w:val="000000" w:themeColor="text1"/>
          <w:lang w:val="en-US"/>
        </w:rPr>
        <w:t>centre</w:t>
      </w:r>
      <w:proofErr w:type="spellEnd"/>
      <w:r w:rsidRPr="009A0698">
        <w:rPr>
          <w:rFonts w:ascii="Arial" w:hAnsi="Arial" w:cs="Arial"/>
          <w:color w:val="000000" w:themeColor="text1"/>
          <w:lang w:val="en-US"/>
        </w:rPr>
        <w:t xml:space="preserve"> studies, longer follow-up periods and objective compliance measures alongside HCAI surveillance. Such research would help establish whether sustained improvements in hand hygiene compliance </w:t>
      </w:r>
      <w:proofErr w:type="gramStart"/>
      <w:r w:rsidRPr="009A0698">
        <w:rPr>
          <w:rFonts w:ascii="Arial" w:hAnsi="Arial" w:cs="Arial"/>
          <w:color w:val="000000" w:themeColor="text1"/>
          <w:lang w:val="en-US"/>
        </w:rPr>
        <w:t>lead</w:t>
      </w:r>
      <w:proofErr w:type="gramEnd"/>
      <w:r w:rsidRPr="009A0698">
        <w:rPr>
          <w:rFonts w:ascii="Arial" w:hAnsi="Arial" w:cs="Arial"/>
          <w:color w:val="000000" w:themeColor="text1"/>
          <w:lang w:val="en-US"/>
        </w:rPr>
        <w:t xml:space="preserve"> to measurable reductions in HCAIs, mortality, hospital stays and healthcare costs. The review also raises the need to understand how different clinical environments influence the sustainability of compliance. Thus, while hand hygiene remains a fundamental patient-safety measure, its greatest benefit is likely to be achieved when individual </w:t>
      </w:r>
      <w:proofErr w:type="spellStart"/>
      <w:r w:rsidRPr="009A0698">
        <w:rPr>
          <w:rFonts w:ascii="Arial" w:hAnsi="Arial" w:cs="Arial"/>
          <w:color w:val="000000" w:themeColor="text1"/>
          <w:lang w:val="en-US"/>
        </w:rPr>
        <w:t>behaviour</w:t>
      </w:r>
      <w:proofErr w:type="spellEnd"/>
      <w:r w:rsidRPr="009A0698">
        <w:rPr>
          <w:rFonts w:ascii="Arial" w:hAnsi="Arial" w:cs="Arial"/>
          <w:color w:val="000000" w:themeColor="text1"/>
          <w:lang w:val="en-US"/>
        </w:rPr>
        <w:t xml:space="preserve"> is supported by effective </w:t>
      </w:r>
      <w:proofErr w:type="spellStart"/>
      <w:r w:rsidRPr="009A0698">
        <w:rPr>
          <w:rFonts w:ascii="Arial" w:hAnsi="Arial" w:cs="Arial"/>
          <w:color w:val="000000" w:themeColor="text1"/>
          <w:lang w:val="en-US"/>
        </w:rPr>
        <w:t>organisational</w:t>
      </w:r>
      <w:proofErr w:type="spellEnd"/>
      <w:r w:rsidRPr="009A0698">
        <w:rPr>
          <w:rFonts w:ascii="Arial" w:hAnsi="Arial" w:cs="Arial"/>
          <w:color w:val="000000" w:themeColor="text1"/>
          <w:lang w:val="en-US"/>
        </w:rPr>
        <w:t xml:space="preserve"> systems and a strong culture of infection prevention.</w:t>
      </w:r>
    </w:p>
    <w:p w14:paraId="657663BE" w14:textId="77777777" w:rsidR="00775610" w:rsidRDefault="00775610" w:rsidP="004764CC">
      <w:pPr>
        <w:rPr>
          <w:rFonts w:ascii="Arial" w:hAnsi="Arial" w:cs="Arial"/>
          <w:color w:val="000000" w:themeColor="text1"/>
          <w:lang w:val="en-US"/>
        </w:rPr>
      </w:pPr>
    </w:p>
    <w:p w14:paraId="30647A50" w14:textId="77777777" w:rsidR="00AA0674" w:rsidRDefault="00AA0674" w:rsidP="004764CC">
      <w:pPr>
        <w:rPr>
          <w:rFonts w:ascii="Arial" w:hAnsi="Arial" w:cs="Arial"/>
          <w:color w:val="000000" w:themeColor="text1"/>
          <w:lang w:val="en-US"/>
        </w:rPr>
      </w:pPr>
    </w:p>
    <w:p w14:paraId="36E471E6" w14:textId="77777777" w:rsidR="003D6F4A" w:rsidRDefault="003D6F4A" w:rsidP="004764CC">
      <w:pPr>
        <w:rPr>
          <w:rFonts w:ascii="Arial" w:hAnsi="Arial" w:cs="Arial"/>
          <w:color w:val="000000" w:themeColor="text1"/>
          <w:lang w:val="en-US"/>
        </w:rPr>
      </w:pPr>
    </w:p>
    <w:p w14:paraId="0DAF61D0" w14:textId="77777777" w:rsidR="003D6F4A" w:rsidRDefault="003D6F4A" w:rsidP="004764CC">
      <w:pPr>
        <w:rPr>
          <w:rFonts w:ascii="Arial" w:hAnsi="Arial" w:cs="Arial"/>
          <w:color w:val="000000" w:themeColor="text1"/>
          <w:lang w:val="en-US"/>
        </w:rPr>
      </w:pPr>
    </w:p>
    <w:p w14:paraId="13FE4D9A" w14:textId="77777777" w:rsidR="003D6F4A" w:rsidRDefault="003D6F4A" w:rsidP="004764CC">
      <w:pPr>
        <w:rPr>
          <w:rFonts w:ascii="Arial" w:hAnsi="Arial" w:cs="Arial"/>
          <w:color w:val="000000" w:themeColor="text1"/>
          <w:lang w:val="en-US"/>
        </w:rPr>
      </w:pPr>
    </w:p>
    <w:p w14:paraId="2E2C1E40" w14:textId="77777777" w:rsidR="003D6F4A" w:rsidRDefault="003D6F4A" w:rsidP="004764CC">
      <w:pPr>
        <w:rPr>
          <w:rFonts w:ascii="Arial" w:hAnsi="Arial" w:cs="Arial"/>
          <w:color w:val="000000" w:themeColor="text1"/>
          <w:lang w:val="en-US"/>
        </w:rPr>
      </w:pPr>
    </w:p>
    <w:p w14:paraId="77BEF07A" w14:textId="77777777" w:rsidR="005E163D" w:rsidRDefault="005E163D" w:rsidP="004764CC">
      <w:pPr>
        <w:rPr>
          <w:rFonts w:ascii="Arial" w:hAnsi="Arial" w:cs="Arial"/>
          <w:color w:val="000000" w:themeColor="text1"/>
          <w:lang w:val="en-US"/>
        </w:rPr>
      </w:pPr>
    </w:p>
    <w:p w14:paraId="223ACD31" w14:textId="77777777" w:rsidR="005E163D" w:rsidRDefault="005E163D" w:rsidP="004764CC">
      <w:pPr>
        <w:rPr>
          <w:rFonts w:ascii="Arial" w:hAnsi="Arial" w:cs="Arial"/>
          <w:color w:val="000000" w:themeColor="text1"/>
          <w:lang w:val="en-US"/>
        </w:rPr>
      </w:pPr>
    </w:p>
    <w:p w14:paraId="2848E0AC" w14:textId="77777777" w:rsidR="005E163D" w:rsidRDefault="005E163D" w:rsidP="004764CC">
      <w:pPr>
        <w:rPr>
          <w:rFonts w:ascii="Arial" w:hAnsi="Arial" w:cs="Arial"/>
          <w:color w:val="000000" w:themeColor="text1"/>
          <w:lang w:val="en-US"/>
        </w:rPr>
      </w:pPr>
    </w:p>
    <w:p w14:paraId="40A796C6" w14:textId="77777777" w:rsidR="005E163D" w:rsidRDefault="005E163D" w:rsidP="004764CC">
      <w:pPr>
        <w:rPr>
          <w:rFonts w:ascii="Arial" w:hAnsi="Arial" w:cs="Arial"/>
          <w:color w:val="000000" w:themeColor="text1"/>
          <w:lang w:val="en-US"/>
        </w:rPr>
      </w:pPr>
    </w:p>
    <w:p w14:paraId="32EC5460" w14:textId="77777777" w:rsidR="005E163D" w:rsidRDefault="005E163D" w:rsidP="004764CC">
      <w:pPr>
        <w:rPr>
          <w:rFonts w:ascii="Arial" w:hAnsi="Arial" w:cs="Arial"/>
          <w:color w:val="000000" w:themeColor="text1"/>
          <w:lang w:val="en-US"/>
        </w:rPr>
      </w:pPr>
    </w:p>
    <w:p w14:paraId="1DB29EBF" w14:textId="77777777" w:rsidR="005E163D" w:rsidRDefault="005E163D" w:rsidP="004764CC">
      <w:pPr>
        <w:rPr>
          <w:rFonts w:ascii="Arial" w:hAnsi="Arial" w:cs="Arial"/>
          <w:color w:val="000000" w:themeColor="text1"/>
          <w:lang w:val="en-US"/>
        </w:rPr>
      </w:pPr>
    </w:p>
    <w:p w14:paraId="2D970414" w14:textId="77777777" w:rsidR="005E163D" w:rsidRDefault="005E163D" w:rsidP="004764CC">
      <w:pPr>
        <w:rPr>
          <w:rFonts w:ascii="Arial" w:hAnsi="Arial" w:cs="Arial"/>
          <w:color w:val="000000" w:themeColor="text1"/>
          <w:lang w:val="en-US"/>
        </w:rPr>
      </w:pPr>
    </w:p>
    <w:p w14:paraId="0E35E601" w14:textId="77777777" w:rsidR="005E163D" w:rsidRDefault="005E163D" w:rsidP="004764CC">
      <w:pPr>
        <w:rPr>
          <w:rFonts w:ascii="Arial" w:hAnsi="Arial" w:cs="Arial"/>
          <w:color w:val="000000" w:themeColor="text1"/>
          <w:lang w:val="en-US"/>
        </w:rPr>
      </w:pPr>
    </w:p>
    <w:p w14:paraId="637B3CCB" w14:textId="77777777" w:rsidR="005E163D" w:rsidRDefault="005E163D" w:rsidP="004764CC">
      <w:pPr>
        <w:rPr>
          <w:rFonts w:ascii="Arial" w:hAnsi="Arial" w:cs="Arial"/>
          <w:color w:val="000000" w:themeColor="text1"/>
          <w:lang w:val="en-US"/>
        </w:rPr>
      </w:pPr>
    </w:p>
    <w:p w14:paraId="1285CACF" w14:textId="77777777" w:rsidR="00F74F31" w:rsidRPr="004764CC" w:rsidRDefault="00F74F31" w:rsidP="004764CC">
      <w:pPr>
        <w:rPr>
          <w:rFonts w:ascii="Arial" w:hAnsi="Arial" w:cs="Arial"/>
          <w:color w:val="000000" w:themeColor="text1"/>
          <w:lang w:val="en-US"/>
        </w:rPr>
      </w:pPr>
    </w:p>
    <w:p w14:paraId="4C1BCA1D" w14:textId="77777777" w:rsidR="00C77BF3" w:rsidRPr="00B031A0" w:rsidRDefault="00115699">
      <w:pPr>
        <w:pStyle w:val="Heading1"/>
        <w:rPr>
          <w:color w:val="000000" w:themeColor="text1"/>
        </w:rPr>
      </w:pPr>
      <w:bookmarkStart w:id="60" w:name="_Toc240208839"/>
      <w:r w:rsidRPr="00B031A0">
        <w:rPr>
          <w:color w:val="000000" w:themeColor="text1"/>
        </w:rPr>
        <w:lastRenderedPageBreak/>
        <w:t>References</w:t>
      </w:r>
      <w:bookmarkEnd w:id="60"/>
    </w:p>
    <w:p w14:paraId="5DD1FE38" w14:textId="42B30485" w:rsidR="00776C49" w:rsidRPr="00B031A0" w:rsidRDefault="00776C49" w:rsidP="00D44D36">
      <w:pPr>
        <w:spacing w:before="240" w:after="240"/>
        <w:rPr>
          <w:rFonts w:ascii="Arial" w:hAnsi="Arial" w:cs="Arial"/>
          <w:color w:val="000000" w:themeColor="text1"/>
        </w:rPr>
      </w:pPr>
      <w:proofErr w:type="spellStart"/>
      <w:r w:rsidRPr="00B031A0">
        <w:rPr>
          <w:rFonts w:ascii="Arial" w:hAnsi="Arial" w:cs="Arial"/>
          <w:color w:val="000000" w:themeColor="text1"/>
        </w:rPr>
        <w:t>Aalalhareth</w:t>
      </w:r>
      <w:proofErr w:type="spellEnd"/>
      <w:r w:rsidRPr="00B031A0">
        <w:rPr>
          <w:rFonts w:ascii="Arial" w:hAnsi="Arial" w:cs="Arial"/>
          <w:color w:val="000000" w:themeColor="text1"/>
        </w:rPr>
        <w:t xml:space="preserve">, M. and Abdullah, M. (2024). </w:t>
      </w:r>
      <w:r w:rsidR="00B51FD1">
        <w:rPr>
          <w:rFonts w:ascii="Arial" w:hAnsi="Arial" w:cs="Arial"/>
          <w:color w:val="000000" w:themeColor="text1"/>
        </w:rPr>
        <w:t>Optimising</w:t>
      </w:r>
      <w:r w:rsidRPr="00B031A0">
        <w:rPr>
          <w:rFonts w:ascii="Arial" w:hAnsi="Arial" w:cs="Arial"/>
          <w:color w:val="000000" w:themeColor="text1"/>
        </w:rPr>
        <w:t xml:space="preserve"> infection control through interprofessional collaboration: An integrative review of roles, responsibilities, and evidence across all healthcare departments. </w:t>
      </w:r>
      <w:r w:rsidRPr="00B031A0">
        <w:rPr>
          <w:rFonts w:ascii="Arial" w:hAnsi="Arial" w:cs="Arial"/>
          <w:i/>
          <w:iCs/>
          <w:color w:val="000000" w:themeColor="text1"/>
        </w:rPr>
        <w:t xml:space="preserve">The Review of Diabetic </w:t>
      </w:r>
      <w:proofErr w:type="gramStart"/>
      <w:r w:rsidRPr="00B031A0">
        <w:rPr>
          <w:rFonts w:ascii="Arial" w:hAnsi="Arial" w:cs="Arial"/>
          <w:i/>
          <w:iCs/>
          <w:color w:val="000000" w:themeColor="text1"/>
        </w:rPr>
        <w:t xml:space="preserve">Studies </w:t>
      </w:r>
      <w:r w:rsidRPr="00B031A0">
        <w:rPr>
          <w:rFonts w:ascii="Arial" w:hAnsi="Arial" w:cs="Arial"/>
          <w:color w:val="000000" w:themeColor="text1"/>
        </w:rPr>
        <w:t>,</w:t>
      </w:r>
      <w:proofErr w:type="gramEnd"/>
      <w:r w:rsidRPr="00B031A0">
        <w:rPr>
          <w:rFonts w:ascii="Arial" w:hAnsi="Arial" w:cs="Arial"/>
          <w:color w:val="000000" w:themeColor="text1"/>
        </w:rPr>
        <w:t xml:space="preserve"> [online] pp.153–165. doi:10.70082/7e330c13.</w:t>
      </w:r>
    </w:p>
    <w:p w14:paraId="5C1292AE" w14:textId="77777777" w:rsidR="00776C49" w:rsidRPr="00B031A0" w:rsidRDefault="00776C49" w:rsidP="00776C49">
      <w:pPr>
        <w:spacing w:after="240"/>
        <w:rPr>
          <w:rFonts w:ascii="Arial" w:hAnsi="Arial" w:cs="Arial"/>
          <w:color w:val="000000" w:themeColor="text1"/>
        </w:rPr>
      </w:pPr>
      <w:r w:rsidRPr="00B031A0">
        <w:rPr>
          <w:rFonts w:ascii="Arial" w:hAnsi="Arial" w:cs="Arial"/>
          <w:color w:val="000000" w:themeColor="text1"/>
        </w:rPr>
        <w:t xml:space="preserve">Abban, M.K., </w:t>
      </w:r>
      <w:proofErr w:type="spellStart"/>
      <w:r w:rsidRPr="00B031A0">
        <w:rPr>
          <w:rFonts w:ascii="Arial" w:hAnsi="Arial" w:cs="Arial"/>
          <w:color w:val="000000" w:themeColor="text1"/>
        </w:rPr>
        <w:t>Ayerakwa</w:t>
      </w:r>
      <w:proofErr w:type="spellEnd"/>
      <w:r w:rsidRPr="00B031A0">
        <w:rPr>
          <w:rFonts w:ascii="Arial" w:hAnsi="Arial" w:cs="Arial"/>
          <w:color w:val="000000" w:themeColor="text1"/>
        </w:rPr>
        <w:t xml:space="preserve">, E.A., Mosi, L. and Isawumi, A. (2023). The burden of hospital acquired infections and antimicrobial resistance. </w:t>
      </w:r>
      <w:proofErr w:type="spellStart"/>
      <w:r w:rsidRPr="00B031A0">
        <w:rPr>
          <w:rFonts w:ascii="Arial" w:hAnsi="Arial" w:cs="Arial"/>
          <w:i/>
          <w:iCs/>
          <w:color w:val="000000" w:themeColor="text1"/>
        </w:rPr>
        <w:t>Heliyon</w:t>
      </w:r>
      <w:proofErr w:type="spellEnd"/>
      <w:r w:rsidRPr="00B031A0">
        <w:rPr>
          <w:rFonts w:ascii="Arial" w:hAnsi="Arial" w:cs="Arial"/>
          <w:color w:val="000000" w:themeColor="text1"/>
        </w:rPr>
        <w:t xml:space="preserve">, [online] 9(10), p.e20561. </w:t>
      </w:r>
      <w:proofErr w:type="gramStart"/>
      <w:r w:rsidRPr="00B031A0">
        <w:rPr>
          <w:rFonts w:ascii="Arial" w:hAnsi="Arial" w:cs="Arial"/>
          <w:color w:val="000000" w:themeColor="text1"/>
        </w:rPr>
        <w:t>doi:10.1016/j.heliyon</w:t>
      </w:r>
      <w:proofErr w:type="gramEnd"/>
      <w:r w:rsidRPr="00B031A0">
        <w:rPr>
          <w:rFonts w:ascii="Arial" w:hAnsi="Arial" w:cs="Arial"/>
          <w:color w:val="000000" w:themeColor="text1"/>
        </w:rPr>
        <w:t>.2023.e20561.</w:t>
      </w:r>
    </w:p>
    <w:p w14:paraId="3040828E" w14:textId="77777777" w:rsidR="00776C49" w:rsidRPr="00B031A0" w:rsidRDefault="00776C49" w:rsidP="00D44D36">
      <w:pPr>
        <w:spacing w:before="240"/>
        <w:rPr>
          <w:rFonts w:ascii="Arial" w:hAnsi="Arial" w:cs="Arial"/>
          <w:color w:val="000000" w:themeColor="text1"/>
        </w:rPr>
      </w:pPr>
      <w:r w:rsidRPr="00B031A0">
        <w:rPr>
          <w:rFonts w:ascii="Arial" w:hAnsi="Arial" w:cs="Arial"/>
          <w:color w:val="000000" w:themeColor="text1"/>
        </w:rPr>
        <w:t xml:space="preserve">Afework, A. and Tamene, A. (2025). Uncovering the obstacles: A comprehensive analysis of barriers to hand hygiene adherence among healthcare providers: A systematic review. </w:t>
      </w:r>
      <w:r w:rsidRPr="00B031A0">
        <w:rPr>
          <w:rFonts w:ascii="Arial" w:hAnsi="Arial" w:cs="Arial"/>
          <w:i/>
          <w:iCs/>
          <w:color w:val="000000" w:themeColor="text1"/>
        </w:rPr>
        <w:t>BMC Infectious Diseases</w:t>
      </w:r>
      <w:r w:rsidRPr="00B031A0">
        <w:rPr>
          <w:rFonts w:ascii="Arial" w:hAnsi="Arial" w:cs="Arial"/>
          <w:color w:val="000000" w:themeColor="text1"/>
        </w:rPr>
        <w:t>, 25(1). doi:10.1186/s12879-025-10924-4.</w:t>
      </w:r>
    </w:p>
    <w:p w14:paraId="35DD5CB3" w14:textId="77777777" w:rsidR="00776C49" w:rsidRPr="00B031A0" w:rsidRDefault="00776C49" w:rsidP="00D44D36">
      <w:pPr>
        <w:spacing w:before="240" w:after="240"/>
        <w:rPr>
          <w:rFonts w:ascii="Arial" w:hAnsi="Arial" w:cs="Arial"/>
          <w:color w:val="000000" w:themeColor="text1"/>
        </w:rPr>
      </w:pPr>
      <w:proofErr w:type="spellStart"/>
      <w:r w:rsidRPr="00B031A0">
        <w:rPr>
          <w:rFonts w:ascii="Arial" w:hAnsi="Arial" w:cs="Arial"/>
          <w:color w:val="000000" w:themeColor="text1"/>
        </w:rPr>
        <w:t>Affengruber</w:t>
      </w:r>
      <w:proofErr w:type="spellEnd"/>
      <w:r w:rsidRPr="00B031A0">
        <w:rPr>
          <w:rFonts w:ascii="Arial" w:hAnsi="Arial" w:cs="Arial"/>
          <w:color w:val="000000" w:themeColor="text1"/>
        </w:rPr>
        <w:t xml:space="preserve">, L., Dobrescu, A., Persad, E., </w:t>
      </w:r>
      <w:proofErr w:type="spellStart"/>
      <w:r w:rsidRPr="00B031A0">
        <w:rPr>
          <w:rFonts w:ascii="Arial" w:hAnsi="Arial" w:cs="Arial"/>
          <w:color w:val="000000" w:themeColor="text1"/>
        </w:rPr>
        <w:t>Klerings</w:t>
      </w:r>
      <w:proofErr w:type="spellEnd"/>
      <w:r w:rsidRPr="00B031A0">
        <w:rPr>
          <w:rFonts w:ascii="Arial" w:hAnsi="Arial" w:cs="Arial"/>
          <w:color w:val="000000" w:themeColor="text1"/>
        </w:rPr>
        <w:t xml:space="preserve">, I., Wagner, G., Sommer, I. and </w:t>
      </w:r>
      <w:proofErr w:type="spellStart"/>
      <w:r w:rsidRPr="00B031A0">
        <w:rPr>
          <w:rFonts w:ascii="Arial" w:hAnsi="Arial" w:cs="Arial"/>
          <w:color w:val="000000" w:themeColor="text1"/>
        </w:rPr>
        <w:t>Gartlehner</w:t>
      </w:r>
      <w:proofErr w:type="spellEnd"/>
      <w:r w:rsidRPr="00B031A0">
        <w:rPr>
          <w:rFonts w:ascii="Arial" w:hAnsi="Arial" w:cs="Arial"/>
          <w:color w:val="000000" w:themeColor="text1"/>
        </w:rPr>
        <w:t xml:space="preserve">, G. (2022). Characteristics and recovery methods of studies falsely excluded during literature screening—A systematic review. </w:t>
      </w:r>
      <w:r w:rsidRPr="00B031A0">
        <w:rPr>
          <w:rFonts w:ascii="Arial" w:hAnsi="Arial" w:cs="Arial"/>
          <w:i/>
          <w:iCs/>
          <w:color w:val="000000" w:themeColor="text1"/>
        </w:rPr>
        <w:t>Systematic Reviews</w:t>
      </w:r>
      <w:r w:rsidRPr="00B031A0">
        <w:rPr>
          <w:rFonts w:ascii="Arial" w:hAnsi="Arial" w:cs="Arial"/>
          <w:color w:val="000000" w:themeColor="text1"/>
        </w:rPr>
        <w:t>, 11(1). doi:10.1186/s13643-022-02109-w.</w:t>
      </w:r>
    </w:p>
    <w:p w14:paraId="083A1413" w14:textId="77777777" w:rsidR="00776C49" w:rsidRPr="00B031A0" w:rsidRDefault="00776C49" w:rsidP="00D44D36">
      <w:pPr>
        <w:spacing w:before="240" w:after="240"/>
        <w:rPr>
          <w:rFonts w:ascii="Arial" w:hAnsi="Arial" w:cs="Arial"/>
          <w:color w:val="000000" w:themeColor="text1"/>
        </w:rPr>
      </w:pPr>
      <w:proofErr w:type="spellStart"/>
      <w:r w:rsidRPr="00B031A0">
        <w:rPr>
          <w:rFonts w:ascii="Arial" w:hAnsi="Arial" w:cs="Arial"/>
          <w:color w:val="000000" w:themeColor="text1"/>
        </w:rPr>
        <w:t>Ahmadipour</w:t>
      </w:r>
      <w:proofErr w:type="spellEnd"/>
      <w:r w:rsidRPr="00B031A0">
        <w:rPr>
          <w:rFonts w:ascii="Arial" w:hAnsi="Arial" w:cs="Arial"/>
          <w:color w:val="000000" w:themeColor="text1"/>
        </w:rPr>
        <w:t xml:space="preserve">, M., Dehghan, M., Ahmadinejad, M., </w:t>
      </w:r>
      <w:proofErr w:type="spellStart"/>
      <w:r w:rsidRPr="00B031A0">
        <w:rPr>
          <w:rFonts w:ascii="Arial" w:hAnsi="Arial" w:cs="Arial"/>
          <w:color w:val="000000" w:themeColor="text1"/>
        </w:rPr>
        <w:t>Jabarpour</w:t>
      </w:r>
      <w:proofErr w:type="spellEnd"/>
      <w:r w:rsidRPr="00B031A0">
        <w:rPr>
          <w:rFonts w:ascii="Arial" w:hAnsi="Arial" w:cs="Arial"/>
          <w:color w:val="000000" w:themeColor="text1"/>
        </w:rPr>
        <w:t xml:space="preserve">, M., </w:t>
      </w:r>
      <w:proofErr w:type="spellStart"/>
      <w:r w:rsidRPr="00B031A0">
        <w:rPr>
          <w:rFonts w:ascii="Arial" w:hAnsi="Arial" w:cs="Arial"/>
          <w:color w:val="000000" w:themeColor="text1"/>
        </w:rPr>
        <w:t>Mangolian</w:t>
      </w:r>
      <w:proofErr w:type="spellEnd"/>
      <w:r w:rsidRPr="00B031A0">
        <w:rPr>
          <w:rFonts w:ascii="Arial" w:hAnsi="Arial" w:cs="Arial"/>
          <w:color w:val="000000" w:themeColor="text1"/>
        </w:rPr>
        <w:t xml:space="preserve"> Shahrbabaki, P. and Ebrahimi Rigi, Z. (2022). Barriers to hand hygiene compliance in intensive care units during the COVID-19 pandemic: A qualitative study. </w:t>
      </w:r>
      <w:r w:rsidRPr="00B031A0">
        <w:rPr>
          <w:rFonts w:ascii="Arial" w:hAnsi="Arial" w:cs="Arial"/>
          <w:i/>
          <w:iCs/>
          <w:color w:val="000000" w:themeColor="text1"/>
        </w:rPr>
        <w:t>Frontiers in Public Health</w:t>
      </w:r>
      <w:r w:rsidRPr="00B031A0">
        <w:rPr>
          <w:rFonts w:ascii="Arial" w:hAnsi="Arial" w:cs="Arial"/>
          <w:color w:val="000000" w:themeColor="text1"/>
        </w:rPr>
        <w:t>, [online] 10(10). doi:10.3389/fpubh.2022.968231.</w:t>
      </w:r>
    </w:p>
    <w:p w14:paraId="01D5802E" w14:textId="77777777" w:rsidR="00776C49" w:rsidRPr="00B031A0" w:rsidRDefault="00776C49" w:rsidP="00D44D36">
      <w:pPr>
        <w:spacing w:before="240"/>
        <w:rPr>
          <w:rFonts w:ascii="Arial" w:hAnsi="Arial" w:cs="Arial"/>
          <w:color w:val="000000" w:themeColor="text1"/>
        </w:rPr>
      </w:pPr>
      <w:r w:rsidRPr="00B031A0">
        <w:rPr>
          <w:rFonts w:ascii="Arial" w:hAnsi="Arial" w:cs="Arial"/>
          <w:color w:val="000000" w:themeColor="text1"/>
        </w:rPr>
        <w:t xml:space="preserve">Alhumaid, S., Al Mutair, A., Al Alawi, Z., </w:t>
      </w:r>
      <w:proofErr w:type="spellStart"/>
      <w:r w:rsidRPr="00B031A0">
        <w:rPr>
          <w:rFonts w:ascii="Arial" w:hAnsi="Arial" w:cs="Arial"/>
          <w:color w:val="000000" w:themeColor="text1"/>
        </w:rPr>
        <w:t>Alsuliman</w:t>
      </w:r>
      <w:proofErr w:type="spellEnd"/>
      <w:r w:rsidRPr="00B031A0">
        <w:rPr>
          <w:rFonts w:ascii="Arial" w:hAnsi="Arial" w:cs="Arial"/>
          <w:color w:val="000000" w:themeColor="text1"/>
        </w:rPr>
        <w:t xml:space="preserve">, M., Ahmed, G.Y., Rabaan, A.A., Al-Tawfiq, J.A. and Al-Omari, A. (2021). Knowledge of infection prevention and control among healthcare workers and factors influencing compliance: A systematic review. </w:t>
      </w:r>
      <w:r w:rsidRPr="00B031A0">
        <w:rPr>
          <w:rFonts w:ascii="Arial" w:hAnsi="Arial" w:cs="Arial"/>
          <w:i/>
          <w:iCs/>
          <w:color w:val="000000" w:themeColor="text1"/>
        </w:rPr>
        <w:t>Antimicrobial Resistance &amp; Infection Control</w:t>
      </w:r>
      <w:r w:rsidRPr="00B031A0">
        <w:rPr>
          <w:rFonts w:ascii="Arial" w:hAnsi="Arial" w:cs="Arial"/>
          <w:color w:val="000000" w:themeColor="text1"/>
        </w:rPr>
        <w:t>, [online] 10(1), p.86. doi:10.1186/s13756-021-00957-0.</w:t>
      </w:r>
    </w:p>
    <w:p w14:paraId="76A31AF5" w14:textId="77777777" w:rsidR="00776C49" w:rsidRPr="00B031A0" w:rsidRDefault="00776C49" w:rsidP="00D44D36">
      <w:pPr>
        <w:spacing w:before="240" w:after="240"/>
        <w:rPr>
          <w:rFonts w:ascii="Arial" w:hAnsi="Arial" w:cs="Arial"/>
          <w:color w:val="000000" w:themeColor="text1"/>
        </w:rPr>
      </w:pPr>
      <w:r w:rsidRPr="00B031A0">
        <w:rPr>
          <w:rFonts w:ascii="Arial" w:hAnsi="Arial" w:cs="Arial"/>
          <w:color w:val="000000" w:themeColor="text1"/>
        </w:rPr>
        <w:t xml:space="preserve">Ali Mohammad Alfaisal, Amal </w:t>
      </w:r>
      <w:proofErr w:type="spellStart"/>
      <w:r w:rsidRPr="00B031A0">
        <w:rPr>
          <w:rFonts w:ascii="Arial" w:hAnsi="Arial" w:cs="Arial"/>
          <w:color w:val="000000" w:themeColor="text1"/>
        </w:rPr>
        <w:t>Shamat</w:t>
      </w:r>
      <w:proofErr w:type="spellEnd"/>
      <w:r w:rsidRPr="00B031A0">
        <w:rPr>
          <w:rFonts w:ascii="Arial" w:hAnsi="Arial" w:cs="Arial"/>
          <w:color w:val="000000" w:themeColor="text1"/>
        </w:rPr>
        <w:t xml:space="preserve"> </w:t>
      </w:r>
      <w:proofErr w:type="spellStart"/>
      <w:r w:rsidRPr="00B031A0">
        <w:rPr>
          <w:rFonts w:ascii="Arial" w:hAnsi="Arial" w:cs="Arial"/>
          <w:color w:val="000000" w:themeColor="text1"/>
        </w:rPr>
        <w:t>Fayyadh</w:t>
      </w:r>
      <w:proofErr w:type="spellEnd"/>
      <w:r w:rsidRPr="00B031A0">
        <w:rPr>
          <w:rFonts w:ascii="Arial" w:hAnsi="Arial" w:cs="Arial"/>
          <w:color w:val="000000" w:themeColor="text1"/>
        </w:rPr>
        <w:t xml:space="preserve"> Alanazi, Dalal Suwailem Aqeel Alanazi, Mona Aldafi Hayawan Alanezi, </w:t>
      </w:r>
      <w:proofErr w:type="spellStart"/>
      <w:r w:rsidRPr="00B031A0">
        <w:rPr>
          <w:rFonts w:ascii="Arial" w:hAnsi="Arial" w:cs="Arial"/>
          <w:color w:val="000000" w:themeColor="text1"/>
        </w:rPr>
        <w:t>Alrumaili</w:t>
      </w:r>
      <w:proofErr w:type="spellEnd"/>
      <w:r w:rsidRPr="00B031A0">
        <w:rPr>
          <w:rFonts w:ascii="Arial" w:hAnsi="Arial" w:cs="Arial"/>
          <w:color w:val="000000" w:themeColor="text1"/>
        </w:rPr>
        <w:t xml:space="preserve">, Afrah Ismail M, Abdulelah </w:t>
      </w:r>
      <w:proofErr w:type="spellStart"/>
      <w:r w:rsidRPr="00B031A0">
        <w:rPr>
          <w:rFonts w:ascii="Arial" w:hAnsi="Arial" w:cs="Arial"/>
          <w:color w:val="000000" w:themeColor="text1"/>
        </w:rPr>
        <w:t>Aljadai</w:t>
      </w:r>
      <w:proofErr w:type="spellEnd"/>
      <w:r w:rsidRPr="00B031A0">
        <w:rPr>
          <w:rFonts w:ascii="Arial" w:hAnsi="Arial" w:cs="Arial"/>
          <w:color w:val="000000" w:themeColor="text1"/>
        </w:rPr>
        <w:t xml:space="preserve"> Alanazi, </w:t>
      </w:r>
      <w:proofErr w:type="spellStart"/>
      <w:r w:rsidRPr="00B031A0">
        <w:rPr>
          <w:rFonts w:ascii="Arial" w:hAnsi="Arial" w:cs="Arial"/>
          <w:color w:val="000000" w:themeColor="text1"/>
        </w:rPr>
        <w:t>Mushyirah</w:t>
      </w:r>
      <w:proofErr w:type="spellEnd"/>
      <w:r w:rsidRPr="00B031A0">
        <w:rPr>
          <w:rFonts w:ascii="Arial" w:hAnsi="Arial" w:cs="Arial"/>
          <w:color w:val="000000" w:themeColor="text1"/>
        </w:rPr>
        <w:t xml:space="preserve"> Mater </w:t>
      </w:r>
      <w:proofErr w:type="spellStart"/>
      <w:r w:rsidRPr="00B031A0">
        <w:rPr>
          <w:rFonts w:ascii="Arial" w:hAnsi="Arial" w:cs="Arial"/>
          <w:color w:val="000000" w:themeColor="text1"/>
        </w:rPr>
        <w:t>Munahi</w:t>
      </w:r>
      <w:proofErr w:type="spellEnd"/>
      <w:r w:rsidRPr="00B031A0">
        <w:rPr>
          <w:rFonts w:ascii="Arial" w:hAnsi="Arial" w:cs="Arial"/>
          <w:color w:val="000000" w:themeColor="text1"/>
        </w:rPr>
        <w:t xml:space="preserve"> Alanazi, Amal </w:t>
      </w:r>
      <w:proofErr w:type="spellStart"/>
      <w:r w:rsidRPr="00B031A0">
        <w:rPr>
          <w:rFonts w:ascii="Arial" w:hAnsi="Arial" w:cs="Arial"/>
          <w:color w:val="000000" w:themeColor="text1"/>
        </w:rPr>
        <w:t>Bshit</w:t>
      </w:r>
      <w:proofErr w:type="spellEnd"/>
      <w:r w:rsidRPr="00B031A0">
        <w:rPr>
          <w:rFonts w:ascii="Arial" w:hAnsi="Arial" w:cs="Arial"/>
          <w:color w:val="000000" w:themeColor="text1"/>
        </w:rPr>
        <w:t xml:space="preserve"> S </w:t>
      </w:r>
      <w:proofErr w:type="spellStart"/>
      <w:r w:rsidRPr="00B031A0">
        <w:rPr>
          <w:rFonts w:ascii="Arial" w:hAnsi="Arial" w:cs="Arial"/>
          <w:color w:val="000000" w:themeColor="text1"/>
        </w:rPr>
        <w:t>Alenezi</w:t>
      </w:r>
      <w:proofErr w:type="spellEnd"/>
      <w:r w:rsidRPr="00B031A0">
        <w:rPr>
          <w:rFonts w:ascii="Arial" w:hAnsi="Arial" w:cs="Arial"/>
          <w:color w:val="000000" w:themeColor="text1"/>
        </w:rPr>
        <w:t xml:space="preserve">, Ahlam </w:t>
      </w:r>
      <w:proofErr w:type="spellStart"/>
      <w:r w:rsidRPr="00B031A0">
        <w:rPr>
          <w:rFonts w:ascii="Arial" w:hAnsi="Arial" w:cs="Arial"/>
          <w:color w:val="000000" w:themeColor="text1"/>
        </w:rPr>
        <w:t>Musafiq</w:t>
      </w:r>
      <w:proofErr w:type="spellEnd"/>
      <w:r w:rsidRPr="00B031A0">
        <w:rPr>
          <w:rFonts w:ascii="Arial" w:hAnsi="Arial" w:cs="Arial"/>
          <w:color w:val="000000" w:themeColor="text1"/>
        </w:rPr>
        <w:t xml:space="preserve"> J Alruwaili, Hussain Hasen H </w:t>
      </w:r>
      <w:proofErr w:type="spellStart"/>
      <w:r w:rsidRPr="00B031A0">
        <w:rPr>
          <w:rFonts w:ascii="Arial" w:hAnsi="Arial" w:cs="Arial"/>
          <w:color w:val="000000" w:themeColor="text1"/>
        </w:rPr>
        <w:t>Alnemari</w:t>
      </w:r>
      <w:proofErr w:type="spellEnd"/>
      <w:r w:rsidRPr="00B031A0">
        <w:rPr>
          <w:rFonts w:ascii="Arial" w:hAnsi="Arial" w:cs="Arial"/>
          <w:color w:val="000000" w:themeColor="text1"/>
        </w:rPr>
        <w:t xml:space="preserve"> and </w:t>
      </w:r>
      <w:proofErr w:type="spellStart"/>
      <w:r w:rsidRPr="00B031A0">
        <w:rPr>
          <w:rFonts w:ascii="Arial" w:hAnsi="Arial" w:cs="Arial"/>
          <w:color w:val="000000" w:themeColor="text1"/>
        </w:rPr>
        <w:t>Albandari</w:t>
      </w:r>
      <w:proofErr w:type="spellEnd"/>
      <w:r w:rsidRPr="00B031A0">
        <w:rPr>
          <w:rFonts w:ascii="Arial" w:hAnsi="Arial" w:cs="Arial"/>
          <w:color w:val="000000" w:themeColor="text1"/>
        </w:rPr>
        <w:t xml:space="preserve"> Faleh Alenzi (2024). Nursing </w:t>
      </w:r>
      <w:r w:rsidRPr="00B031A0">
        <w:rPr>
          <w:rFonts w:ascii="Arial" w:hAnsi="Arial" w:cs="Arial"/>
          <w:color w:val="000000" w:themeColor="text1"/>
        </w:rPr>
        <w:lastRenderedPageBreak/>
        <w:t xml:space="preserve">decision-making under time pressure. </w:t>
      </w:r>
      <w:r w:rsidRPr="00B031A0">
        <w:rPr>
          <w:rFonts w:ascii="Arial" w:hAnsi="Arial" w:cs="Arial"/>
          <w:i/>
          <w:iCs/>
          <w:color w:val="000000" w:themeColor="text1"/>
        </w:rPr>
        <w:t>International Journal of Computational and Experimental Science and Engineering</w:t>
      </w:r>
      <w:r w:rsidRPr="00B031A0">
        <w:rPr>
          <w:rFonts w:ascii="Arial" w:hAnsi="Arial" w:cs="Arial"/>
          <w:color w:val="000000" w:themeColor="text1"/>
        </w:rPr>
        <w:t>, 10(4). doi:10.22399/ijcesen.4660.</w:t>
      </w:r>
    </w:p>
    <w:p w14:paraId="6A4E1653" w14:textId="77777777" w:rsidR="00776C49" w:rsidRPr="00B031A0" w:rsidRDefault="00776C49" w:rsidP="00D44D36">
      <w:pPr>
        <w:spacing w:before="240" w:after="172"/>
        <w:rPr>
          <w:rFonts w:ascii="Arial" w:hAnsi="Arial" w:cs="Arial"/>
          <w:color w:val="000000" w:themeColor="text1"/>
        </w:rPr>
      </w:pPr>
      <w:r w:rsidRPr="00B031A0">
        <w:rPr>
          <w:rFonts w:ascii="Arial" w:hAnsi="Arial" w:cs="Arial"/>
          <w:color w:val="000000" w:themeColor="text1"/>
        </w:rPr>
        <w:t xml:space="preserve">Ali, A.S., Mekonen, Y. and </w:t>
      </w:r>
      <w:proofErr w:type="spellStart"/>
      <w:r w:rsidRPr="00B031A0">
        <w:rPr>
          <w:rFonts w:ascii="Arial" w:hAnsi="Arial" w:cs="Arial"/>
          <w:color w:val="000000" w:themeColor="text1"/>
        </w:rPr>
        <w:t>Tesfahun</w:t>
      </w:r>
      <w:proofErr w:type="spellEnd"/>
      <w:r w:rsidRPr="00B031A0">
        <w:rPr>
          <w:rFonts w:ascii="Arial" w:hAnsi="Arial" w:cs="Arial"/>
          <w:color w:val="000000" w:themeColor="text1"/>
        </w:rPr>
        <w:t xml:space="preserve">, T. (2023). Hygiene </w:t>
      </w:r>
      <w:proofErr w:type="spellStart"/>
      <w:r w:rsidRPr="00B031A0">
        <w:rPr>
          <w:rFonts w:ascii="Arial" w:hAnsi="Arial" w:cs="Arial"/>
          <w:color w:val="000000" w:themeColor="text1"/>
        </w:rPr>
        <w:t>Behavior</w:t>
      </w:r>
      <w:proofErr w:type="spellEnd"/>
      <w:r w:rsidRPr="00B031A0">
        <w:rPr>
          <w:rFonts w:ascii="Arial" w:hAnsi="Arial" w:cs="Arial"/>
          <w:color w:val="000000" w:themeColor="text1"/>
        </w:rPr>
        <w:t xml:space="preserve"> and COVID-19 Pandemic: Opportunities of COVID-19-Imposed Changes in Hygiene </w:t>
      </w:r>
      <w:proofErr w:type="spellStart"/>
      <w:r w:rsidRPr="00B031A0">
        <w:rPr>
          <w:rFonts w:ascii="Arial" w:hAnsi="Arial" w:cs="Arial"/>
          <w:color w:val="000000" w:themeColor="text1"/>
        </w:rPr>
        <w:t>Behavior</w:t>
      </w:r>
      <w:proofErr w:type="spellEnd"/>
      <w:r w:rsidRPr="00B031A0">
        <w:rPr>
          <w:rFonts w:ascii="Arial" w:hAnsi="Arial" w:cs="Arial"/>
          <w:color w:val="000000" w:themeColor="text1"/>
        </w:rPr>
        <w:t xml:space="preserve">. </w:t>
      </w:r>
      <w:r w:rsidRPr="00B031A0">
        <w:rPr>
          <w:rFonts w:ascii="Arial" w:hAnsi="Arial" w:cs="Arial"/>
          <w:i/>
          <w:iCs/>
          <w:color w:val="000000" w:themeColor="text1"/>
        </w:rPr>
        <w:t>INQUIRY: The Journal of Health Care Organization, Provision, and Financing</w:t>
      </w:r>
      <w:r w:rsidRPr="00B031A0">
        <w:rPr>
          <w:rFonts w:ascii="Arial" w:hAnsi="Arial" w:cs="Arial"/>
          <w:color w:val="000000" w:themeColor="text1"/>
        </w:rPr>
        <w:t xml:space="preserve">, [online] 60(1). </w:t>
      </w:r>
      <w:proofErr w:type="spellStart"/>
      <w:r w:rsidRPr="00B031A0">
        <w:rPr>
          <w:rFonts w:ascii="Arial" w:hAnsi="Arial" w:cs="Arial"/>
          <w:color w:val="000000" w:themeColor="text1"/>
        </w:rPr>
        <w:t>doi:</w:t>
      </w:r>
      <w:hyperlink r:id="rId13">
        <w:r w:rsidRPr="00B031A0">
          <w:rPr>
            <w:rFonts w:ascii="Arial" w:hAnsi="Arial" w:cs="Arial"/>
            <w:color w:val="000000" w:themeColor="text1"/>
            <w:u w:val="single"/>
          </w:rPr>
          <w:t>https</w:t>
        </w:r>
        <w:proofErr w:type="spellEnd"/>
        <w:r w:rsidRPr="00B031A0">
          <w:rPr>
            <w:rFonts w:ascii="Arial" w:hAnsi="Arial" w:cs="Arial"/>
            <w:color w:val="000000" w:themeColor="text1"/>
            <w:u w:val="single"/>
          </w:rPr>
          <w:t>://doi.org/10.1177/00469580231218421</w:t>
        </w:r>
      </w:hyperlink>
      <w:r w:rsidRPr="00B031A0">
        <w:rPr>
          <w:rFonts w:ascii="Arial" w:hAnsi="Arial" w:cs="Arial"/>
          <w:color w:val="000000" w:themeColor="text1"/>
        </w:rPr>
        <w:t>.  </w:t>
      </w:r>
    </w:p>
    <w:p w14:paraId="2EFCC126" w14:textId="77777777" w:rsidR="000F4FAF" w:rsidRDefault="000F4FAF" w:rsidP="000F4FAF">
      <w:pPr>
        <w:rPr>
          <w:rFonts w:ascii="Arial" w:hAnsi="Arial" w:cs="Arial"/>
          <w:color w:val="000000" w:themeColor="text1"/>
        </w:rPr>
      </w:pPr>
      <w:proofErr w:type="spellStart"/>
      <w:r w:rsidRPr="000F0265">
        <w:rPr>
          <w:rFonts w:ascii="Arial" w:hAnsi="Arial" w:cs="Arial"/>
          <w:color w:val="000000" w:themeColor="text1"/>
        </w:rPr>
        <w:t>Alzyood</w:t>
      </w:r>
      <w:proofErr w:type="spellEnd"/>
      <w:r w:rsidRPr="000F0265">
        <w:rPr>
          <w:rFonts w:ascii="Arial" w:hAnsi="Arial" w:cs="Arial"/>
          <w:color w:val="000000" w:themeColor="text1"/>
        </w:rPr>
        <w:t>, M., Jackson, D., Brooke, J. and Aveyard, H., 2018. An integrative review exploring the perceptions of patients and healthcare professionals towards patient involvement in promoting hand hygiene compliance in the hospital setting. </w:t>
      </w:r>
      <w:r w:rsidRPr="000F0265">
        <w:rPr>
          <w:rFonts w:ascii="Arial" w:hAnsi="Arial" w:cs="Arial"/>
          <w:i/>
          <w:iCs/>
          <w:color w:val="000000" w:themeColor="text1"/>
        </w:rPr>
        <w:t>Journal of clinical nursing</w:t>
      </w:r>
      <w:r w:rsidRPr="000F0265">
        <w:rPr>
          <w:rFonts w:ascii="Arial" w:hAnsi="Arial" w:cs="Arial"/>
          <w:color w:val="000000" w:themeColor="text1"/>
        </w:rPr>
        <w:t>, </w:t>
      </w:r>
      <w:r w:rsidRPr="000F0265">
        <w:rPr>
          <w:rFonts w:ascii="Arial" w:hAnsi="Arial" w:cs="Arial"/>
          <w:i/>
          <w:iCs/>
          <w:color w:val="000000" w:themeColor="text1"/>
        </w:rPr>
        <w:t>27</w:t>
      </w:r>
      <w:r w:rsidRPr="000F0265">
        <w:rPr>
          <w:rFonts w:ascii="Arial" w:hAnsi="Arial" w:cs="Arial"/>
          <w:color w:val="000000" w:themeColor="text1"/>
        </w:rPr>
        <w:t>(7-8), pp.1329-1345.</w:t>
      </w:r>
    </w:p>
    <w:p w14:paraId="50BB5F85" w14:textId="77777777" w:rsidR="00776C49" w:rsidRPr="00B031A0" w:rsidRDefault="00776C49" w:rsidP="00D44D36">
      <w:pPr>
        <w:spacing w:before="240" w:after="240"/>
        <w:rPr>
          <w:rFonts w:ascii="Arial" w:hAnsi="Arial" w:cs="Arial"/>
          <w:color w:val="000000" w:themeColor="text1"/>
        </w:rPr>
      </w:pPr>
      <w:r w:rsidRPr="00B031A0">
        <w:rPr>
          <w:rFonts w:ascii="Arial" w:hAnsi="Arial" w:cs="Arial"/>
          <w:color w:val="000000" w:themeColor="text1"/>
        </w:rPr>
        <w:t>Al-</w:t>
      </w:r>
      <w:proofErr w:type="spellStart"/>
      <w:r w:rsidRPr="00B031A0">
        <w:rPr>
          <w:rFonts w:ascii="Arial" w:hAnsi="Arial" w:cs="Arial"/>
          <w:color w:val="000000" w:themeColor="text1"/>
        </w:rPr>
        <w:t>Jarf</w:t>
      </w:r>
      <w:proofErr w:type="spellEnd"/>
      <w:r w:rsidRPr="00B031A0">
        <w:rPr>
          <w:rFonts w:ascii="Arial" w:hAnsi="Arial" w:cs="Arial"/>
          <w:color w:val="000000" w:themeColor="text1"/>
        </w:rPr>
        <w:t xml:space="preserve">, R. (2021). A systematic self-review of electronic searching studies (2002–2021): Training, infrastructure, and institutional contexts. </w:t>
      </w:r>
      <w:r w:rsidRPr="00B031A0">
        <w:rPr>
          <w:rFonts w:ascii="Arial" w:hAnsi="Arial" w:cs="Arial"/>
          <w:i/>
          <w:iCs/>
          <w:color w:val="000000" w:themeColor="text1"/>
        </w:rPr>
        <w:t>Journal of Computer Science and Technology Studies</w:t>
      </w:r>
      <w:r w:rsidRPr="00B031A0">
        <w:rPr>
          <w:rFonts w:ascii="Arial" w:hAnsi="Arial" w:cs="Arial"/>
          <w:color w:val="000000" w:themeColor="text1"/>
        </w:rPr>
        <w:t>, [online] 8(5), pp.179–194. doi:10.32996/jcsts.2026.8.5.16.</w:t>
      </w:r>
    </w:p>
    <w:p w14:paraId="53397114" w14:textId="77777777" w:rsidR="00776C49" w:rsidRPr="00B031A0" w:rsidRDefault="00776C49" w:rsidP="00D44D36">
      <w:pPr>
        <w:spacing w:before="240"/>
        <w:rPr>
          <w:rFonts w:ascii="Arial" w:hAnsi="Arial" w:cs="Arial"/>
          <w:color w:val="000000" w:themeColor="text1"/>
        </w:rPr>
      </w:pPr>
      <w:r w:rsidRPr="00B031A0">
        <w:rPr>
          <w:rFonts w:ascii="Arial" w:hAnsi="Arial" w:cs="Arial"/>
          <w:color w:val="000000" w:themeColor="text1"/>
        </w:rPr>
        <w:t xml:space="preserve">Amini, R., </w:t>
      </w:r>
      <w:proofErr w:type="spellStart"/>
      <w:r w:rsidRPr="00B031A0">
        <w:rPr>
          <w:rFonts w:ascii="Arial" w:hAnsi="Arial" w:cs="Arial"/>
          <w:color w:val="000000" w:themeColor="text1"/>
        </w:rPr>
        <w:t>Mohamadkhani</w:t>
      </w:r>
      <w:proofErr w:type="spellEnd"/>
      <w:r w:rsidRPr="00B031A0">
        <w:rPr>
          <w:rFonts w:ascii="Arial" w:hAnsi="Arial" w:cs="Arial"/>
          <w:color w:val="000000" w:themeColor="text1"/>
        </w:rPr>
        <w:t xml:space="preserve">, M., </w:t>
      </w:r>
      <w:proofErr w:type="spellStart"/>
      <w:r w:rsidRPr="00B031A0">
        <w:rPr>
          <w:rFonts w:ascii="Arial" w:hAnsi="Arial" w:cs="Arial"/>
          <w:color w:val="000000" w:themeColor="text1"/>
        </w:rPr>
        <w:t>Khodaveisi</w:t>
      </w:r>
      <w:proofErr w:type="spellEnd"/>
      <w:r w:rsidRPr="00B031A0">
        <w:rPr>
          <w:rFonts w:ascii="Arial" w:hAnsi="Arial" w:cs="Arial"/>
          <w:color w:val="000000" w:themeColor="text1"/>
        </w:rPr>
        <w:t xml:space="preserve">, M. and Karami, M. (2021). Effect of Health Belief Model-Based Education on Infection Control Standard Precautions in Prehospital Emergency Staff: A Clinical Trial Study. </w:t>
      </w:r>
      <w:r w:rsidRPr="00B031A0">
        <w:rPr>
          <w:rFonts w:ascii="Arial" w:hAnsi="Arial" w:cs="Arial"/>
          <w:i/>
          <w:iCs/>
          <w:color w:val="000000" w:themeColor="text1"/>
        </w:rPr>
        <w:t>Iranian Journal of Nursing and Midwifery Research</w:t>
      </w:r>
      <w:r w:rsidRPr="00B031A0">
        <w:rPr>
          <w:rFonts w:ascii="Arial" w:hAnsi="Arial" w:cs="Arial"/>
          <w:color w:val="000000" w:themeColor="text1"/>
        </w:rPr>
        <w:t xml:space="preserve">, [online] 26(6), pp.515–520. </w:t>
      </w:r>
      <w:proofErr w:type="gramStart"/>
      <w:r w:rsidRPr="00B031A0">
        <w:rPr>
          <w:rFonts w:ascii="Arial" w:hAnsi="Arial" w:cs="Arial"/>
          <w:color w:val="000000" w:themeColor="text1"/>
        </w:rPr>
        <w:t>doi:10.4103/ijnmr.IJNMR</w:t>
      </w:r>
      <w:proofErr w:type="gramEnd"/>
      <w:r w:rsidRPr="00B031A0">
        <w:rPr>
          <w:rFonts w:ascii="Arial" w:hAnsi="Arial" w:cs="Arial"/>
          <w:color w:val="000000" w:themeColor="text1"/>
        </w:rPr>
        <w:t>_377_20.</w:t>
      </w:r>
    </w:p>
    <w:p w14:paraId="5DB3F384" w14:textId="77777777" w:rsidR="00776C49" w:rsidRPr="00B031A0" w:rsidRDefault="00776C49" w:rsidP="00D44D36">
      <w:pPr>
        <w:spacing w:before="240" w:after="172"/>
        <w:rPr>
          <w:rFonts w:ascii="Arial" w:hAnsi="Arial" w:cs="Arial"/>
          <w:color w:val="000000" w:themeColor="text1"/>
        </w:rPr>
      </w:pPr>
      <w:r w:rsidRPr="00B031A0">
        <w:rPr>
          <w:rFonts w:ascii="Arial" w:hAnsi="Arial" w:cs="Arial"/>
          <w:color w:val="000000" w:themeColor="text1"/>
        </w:rPr>
        <w:t xml:space="preserve">Arshad, Z., Srivastava, V., Singh, G. and Venkatesh, V. (2026). The Role of Infection Control Nurse in Prevention and Control of Hospital Acquired Infection in ICU. </w:t>
      </w:r>
      <w:r w:rsidRPr="00B031A0">
        <w:rPr>
          <w:rFonts w:ascii="Arial" w:hAnsi="Arial" w:cs="Arial"/>
          <w:i/>
          <w:iCs/>
          <w:color w:val="000000" w:themeColor="text1"/>
        </w:rPr>
        <w:t>Iranian Journal of Nursing and Midwifery Research</w:t>
      </w:r>
      <w:r w:rsidRPr="00B031A0">
        <w:rPr>
          <w:rFonts w:ascii="Arial" w:hAnsi="Arial" w:cs="Arial"/>
          <w:color w:val="000000" w:themeColor="text1"/>
        </w:rPr>
        <w:t xml:space="preserve">, [online] 31(1), pp.27–30. </w:t>
      </w:r>
      <w:proofErr w:type="spellStart"/>
      <w:r w:rsidRPr="00B031A0">
        <w:rPr>
          <w:rFonts w:ascii="Arial" w:hAnsi="Arial" w:cs="Arial"/>
          <w:color w:val="000000" w:themeColor="text1"/>
        </w:rPr>
        <w:t>doi:</w:t>
      </w:r>
      <w:hyperlink r:id="rId14">
        <w:r w:rsidRPr="00B031A0">
          <w:rPr>
            <w:rFonts w:ascii="Arial" w:hAnsi="Arial" w:cs="Arial"/>
            <w:color w:val="000000" w:themeColor="text1"/>
            <w:u w:val="single"/>
          </w:rPr>
          <w:t>https</w:t>
        </w:r>
        <w:proofErr w:type="spellEnd"/>
        <w:r w:rsidRPr="00B031A0">
          <w:rPr>
            <w:rFonts w:ascii="Arial" w:hAnsi="Arial" w:cs="Arial"/>
            <w:color w:val="000000" w:themeColor="text1"/>
            <w:u w:val="single"/>
          </w:rPr>
          <w:t>://doi.org/10.4103/ijnmr.ijnmr_143_23</w:t>
        </w:r>
      </w:hyperlink>
      <w:r w:rsidRPr="00B031A0">
        <w:rPr>
          <w:rFonts w:ascii="Arial" w:hAnsi="Arial" w:cs="Arial"/>
          <w:color w:val="000000" w:themeColor="text1"/>
        </w:rPr>
        <w:t>. </w:t>
      </w:r>
    </w:p>
    <w:p w14:paraId="5B91F454" w14:textId="77777777" w:rsidR="00776C49" w:rsidRPr="00B031A0" w:rsidRDefault="00776C49" w:rsidP="00D44D36">
      <w:pPr>
        <w:spacing w:before="240" w:after="240"/>
        <w:rPr>
          <w:rFonts w:ascii="Arial" w:hAnsi="Arial" w:cs="Arial"/>
          <w:color w:val="000000" w:themeColor="text1"/>
        </w:rPr>
      </w:pPr>
      <w:proofErr w:type="spellStart"/>
      <w:r w:rsidRPr="00B031A0">
        <w:rPr>
          <w:rFonts w:ascii="Arial" w:hAnsi="Arial" w:cs="Arial"/>
          <w:color w:val="000000" w:themeColor="text1"/>
        </w:rPr>
        <w:t>Bajunaid</w:t>
      </w:r>
      <w:proofErr w:type="spellEnd"/>
      <w:r w:rsidRPr="00B031A0">
        <w:rPr>
          <w:rFonts w:ascii="Arial" w:hAnsi="Arial" w:cs="Arial"/>
          <w:color w:val="000000" w:themeColor="text1"/>
        </w:rPr>
        <w:t xml:space="preserve">, R.M., Saeed, A., </w:t>
      </w:r>
      <w:proofErr w:type="spellStart"/>
      <w:r w:rsidRPr="00B031A0">
        <w:rPr>
          <w:rFonts w:ascii="Arial" w:hAnsi="Arial" w:cs="Arial"/>
          <w:color w:val="000000" w:themeColor="text1"/>
        </w:rPr>
        <w:t>Bostaji</w:t>
      </w:r>
      <w:proofErr w:type="spellEnd"/>
      <w:r w:rsidRPr="00B031A0">
        <w:rPr>
          <w:rFonts w:ascii="Arial" w:hAnsi="Arial" w:cs="Arial"/>
          <w:color w:val="000000" w:themeColor="text1"/>
        </w:rPr>
        <w:t xml:space="preserve">, M. and Farsi, N.J. (2024). Hand Hygiene Compliance and improvement interventions in the eastern Mediterranean region: A systematic review and meta-analysis. </w:t>
      </w:r>
      <w:r w:rsidRPr="00B031A0">
        <w:rPr>
          <w:rFonts w:ascii="Arial" w:hAnsi="Arial" w:cs="Arial"/>
          <w:i/>
          <w:iCs/>
          <w:color w:val="000000" w:themeColor="text1"/>
        </w:rPr>
        <w:t>Infection prevention in practice</w:t>
      </w:r>
      <w:r w:rsidRPr="00B031A0">
        <w:rPr>
          <w:rFonts w:ascii="Arial" w:hAnsi="Arial" w:cs="Arial"/>
          <w:color w:val="000000" w:themeColor="text1"/>
        </w:rPr>
        <w:t xml:space="preserve">, 6(2), pp.100363–100363. </w:t>
      </w:r>
      <w:proofErr w:type="gramStart"/>
      <w:r w:rsidRPr="00B031A0">
        <w:rPr>
          <w:rFonts w:ascii="Arial" w:hAnsi="Arial" w:cs="Arial"/>
          <w:color w:val="000000" w:themeColor="text1"/>
        </w:rPr>
        <w:t>doi:10.1016/j.infpip</w:t>
      </w:r>
      <w:proofErr w:type="gramEnd"/>
      <w:r w:rsidRPr="00B031A0">
        <w:rPr>
          <w:rFonts w:ascii="Arial" w:hAnsi="Arial" w:cs="Arial"/>
          <w:color w:val="000000" w:themeColor="text1"/>
        </w:rPr>
        <w:t>.2024.100363.</w:t>
      </w:r>
    </w:p>
    <w:p w14:paraId="09573181" w14:textId="77777777" w:rsidR="00776C49" w:rsidRPr="00B031A0" w:rsidRDefault="00776C49" w:rsidP="00D44D36">
      <w:pPr>
        <w:spacing w:before="240"/>
        <w:rPr>
          <w:rFonts w:ascii="Arial" w:hAnsi="Arial" w:cs="Arial"/>
          <w:color w:val="000000" w:themeColor="text1"/>
        </w:rPr>
      </w:pPr>
      <w:r w:rsidRPr="00B031A0">
        <w:rPr>
          <w:rFonts w:ascii="Arial" w:hAnsi="Arial" w:cs="Arial"/>
          <w:color w:val="000000" w:themeColor="text1"/>
        </w:rPr>
        <w:t xml:space="preserve">Bale, T.L.A., </w:t>
      </w:r>
      <w:proofErr w:type="spellStart"/>
      <w:r w:rsidRPr="00B031A0">
        <w:rPr>
          <w:rFonts w:ascii="Arial" w:hAnsi="Arial" w:cs="Arial"/>
          <w:color w:val="000000" w:themeColor="text1"/>
        </w:rPr>
        <w:t>Ramukumba</w:t>
      </w:r>
      <w:proofErr w:type="spellEnd"/>
      <w:r w:rsidRPr="00B031A0">
        <w:rPr>
          <w:rFonts w:ascii="Arial" w:hAnsi="Arial" w:cs="Arial"/>
          <w:color w:val="000000" w:themeColor="text1"/>
        </w:rPr>
        <w:t xml:space="preserve">, T.S. and Mudau, L.S. (2021). Evaluation of compliance to the World Health Organization’s five moments of hand hygiene: Cross-sectional observation of healthcare professionals. </w:t>
      </w:r>
      <w:r w:rsidRPr="00B031A0">
        <w:rPr>
          <w:rFonts w:ascii="Arial" w:hAnsi="Arial" w:cs="Arial"/>
          <w:i/>
          <w:iCs/>
          <w:color w:val="000000" w:themeColor="text1"/>
        </w:rPr>
        <w:t>Southern African Journal of Infectious Diseases</w:t>
      </w:r>
      <w:r w:rsidRPr="00B031A0">
        <w:rPr>
          <w:rFonts w:ascii="Arial" w:hAnsi="Arial" w:cs="Arial"/>
          <w:color w:val="000000" w:themeColor="text1"/>
        </w:rPr>
        <w:t>, 36(1). doi:10.4102/</w:t>
      </w:r>
      <w:proofErr w:type="gramStart"/>
      <w:r w:rsidRPr="00B031A0">
        <w:rPr>
          <w:rFonts w:ascii="Arial" w:hAnsi="Arial" w:cs="Arial"/>
          <w:color w:val="000000" w:themeColor="text1"/>
        </w:rPr>
        <w:t>sajid.v</w:t>
      </w:r>
      <w:proofErr w:type="gramEnd"/>
      <w:r w:rsidRPr="00B031A0">
        <w:rPr>
          <w:rFonts w:ascii="Arial" w:hAnsi="Arial" w:cs="Arial"/>
          <w:color w:val="000000" w:themeColor="text1"/>
        </w:rPr>
        <w:t>36i1.255.</w:t>
      </w:r>
    </w:p>
    <w:p w14:paraId="7112E66C" w14:textId="77777777" w:rsidR="00776C49" w:rsidRPr="00B031A0" w:rsidRDefault="00776C49" w:rsidP="00D44D36">
      <w:pPr>
        <w:spacing w:before="240" w:after="240"/>
        <w:rPr>
          <w:rFonts w:ascii="Arial" w:hAnsi="Arial" w:cs="Arial"/>
          <w:color w:val="000000" w:themeColor="text1"/>
        </w:rPr>
      </w:pPr>
      <w:r w:rsidRPr="00B031A0">
        <w:rPr>
          <w:rFonts w:ascii="Arial" w:hAnsi="Arial" w:cs="Arial"/>
          <w:color w:val="000000" w:themeColor="text1"/>
        </w:rPr>
        <w:lastRenderedPageBreak/>
        <w:t xml:space="preserve">Batra, D.P., Gautam, D.H., Singh, D.D., Mehmood, D.K., Singh, D.A., Krishna, D.A., Ranjan, D.P., Kataria, D.K., Bhattacharjee, D.H., Bansal, D.V., </w:t>
      </w:r>
      <w:proofErr w:type="spellStart"/>
      <w:r w:rsidRPr="00B031A0">
        <w:rPr>
          <w:rFonts w:ascii="Arial" w:hAnsi="Arial" w:cs="Arial"/>
          <w:color w:val="000000" w:themeColor="text1"/>
        </w:rPr>
        <w:t>Chumber</w:t>
      </w:r>
      <w:proofErr w:type="spellEnd"/>
      <w:r w:rsidRPr="00B031A0">
        <w:rPr>
          <w:rFonts w:ascii="Arial" w:hAnsi="Arial" w:cs="Arial"/>
          <w:color w:val="000000" w:themeColor="text1"/>
        </w:rPr>
        <w:t xml:space="preserve">, D.S. and Das, D.B. (2025). Clean hands, safe care: Role of hand hygiene training interventions in improving knowledge and hand hygiene compliance rate among healthcare workers. </w:t>
      </w:r>
      <w:r w:rsidRPr="00B031A0">
        <w:rPr>
          <w:rFonts w:ascii="Arial" w:hAnsi="Arial" w:cs="Arial"/>
          <w:i/>
          <w:iCs/>
          <w:color w:val="000000" w:themeColor="text1"/>
        </w:rPr>
        <w:t>International Journal of Infectious Diseases</w:t>
      </w:r>
      <w:r w:rsidRPr="00B031A0">
        <w:rPr>
          <w:rFonts w:ascii="Arial" w:hAnsi="Arial" w:cs="Arial"/>
          <w:color w:val="000000" w:themeColor="text1"/>
        </w:rPr>
        <w:t xml:space="preserve">, [online] 152, p.107522. </w:t>
      </w:r>
      <w:proofErr w:type="gramStart"/>
      <w:r w:rsidRPr="00B031A0">
        <w:rPr>
          <w:rFonts w:ascii="Arial" w:hAnsi="Arial" w:cs="Arial"/>
          <w:color w:val="000000" w:themeColor="text1"/>
        </w:rPr>
        <w:t>doi:10.1016/j.ijid</w:t>
      </w:r>
      <w:proofErr w:type="gramEnd"/>
      <w:r w:rsidRPr="00B031A0">
        <w:rPr>
          <w:rFonts w:ascii="Arial" w:hAnsi="Arial" w:cs="Arial"/>
          <w:color w:val="000000" w:themeColor="text1"/>
        </w:rPr>
        <w:t>.2024.107522.</w:t>
      </w:r>
    </w:p>
    <w:p w14:paraId="487D7FB0" w14:textId="77777777" w:rsidR="003A68B1" w:rsidRPr="00850089" w:rsidRDefault="003A68B1" w:rsidP="003A68B1">
      <w:pPr>
        <w:rPr>
          <w:rFonts w:ascii="Arial" w:hAnsi="Arial" w:cs="Arial"/>
        </w:rPr>
      </w:pPr>
      <w:r w:rsidRPr="00850089">
        <w:rPr>
          <w:rFonts w:ascii="Arial" w:hAnsi="Arial" w:cs="Arial"/>
        </w:rPr>
        <w:t xml:space="preserve">Batalla, M.G.A., Sali, Y.M. and </w:t>
      </w:r>
      <w:proofErr w:type="spellStart"/>
      <w:r w:rsidRPr="00850089">
        <w:rPr>
          <w:rFonts w:ascii="Arial" w:hAnsi="Arial" w:cs="Arial"/>
        </w:rPr>
        <w:t>Cortuna</w:t>
      </w:r>
      <w:proofErr w:type="spellEnd"/>
      <w:r w:rsidRPr="00850089">
        <w:rPr>
          <w:rFonts w:ascii="Arial" w:hAnsi="Arial" w:cs="Arial"/>
        </w:rPr>
        <w:t>, A., 2026. Embedding the hand-hygiene champion role to improve compliance in intensive care. </w:t>
      </w:r>
      <w:r w:rsidRPr="00850089">
        <w:rPr>
          <w:rFonts w:ascii="Arial" w:hAnsi="Arial" w:cs="Arial"/>
          <w:i/>
          <w:iCs/>
        </w:rPr>
        <w:t>British Journal of Nursing</w:t>
      </w:r>
      <w:r w:rsidRPr="00850089">
        <w:rPr>
          <w:rFonts w:ascii="Arial" w:hAnsi="Arial" w:cs="Arial"/>
        </w:rPr>
        <w:t>, </w:t>
      </w:r>
      <w:r w:rsidRPr="00850089">
        <w:rPr>
          <w:rFonts w:ascii="Arial" w:hAnsi="Arial" w:cs="Arial"/>
          <w:i/>
          <w:iCs/>
        </w:rPr>
        <w:t>35</w:t>
      </w:r>
      <w:r w:rsidRPr="00850089">
        <w:rPr>
          <w:rFonts w:ascii="Arial" w:hAnsi="Arial" w:cs="Arial"/>
        </w:rPr>
        <w:t>(15), pp.754-758.</w:t>
      </w:r>
    </w:p>
    <w:p w14:paraId="11984CD2" w14:textId="77777777" w:rsidR="003A68B1" w:rsidRPr="00850089" w:rsidRDefault="003A68B1" w:rsidP="003A68B1">
      <w:pPr>
        <w:rPr>
          <w:rFonts w:ascii="Arial" w:hAnsi="Arial" w:cs="Arial"/>
        </w:rPr>
      </w:pPr>
      <w:r w:rsidRPr="00850089">
        <w:rPr>
          <w:rFonts w:ascii="Arial" w:hAnsi="Arial" w:cs="Arial"/>
        </w:rPr>
        <w:t>Blair, C.J., McCrudden, C., Brazier, A., Huf, S., Gregory, A., O’Driscoll, F., Galletly, T., Leon-Villapalos, C., Brown, H., Clay, K. and Maxwell, S., 2024. A helping hand: Applying behavioural science and co-design methodology to improve hand hygiene compliance in the hospital setting. </w:t>
      </w:r>
      <w:proofErr w:type="spellStart"/>
      <w:r w:rsidRPr="00850089">
        <w:rPr>
          <w:rFonts w:ascii="Arial" w:hAnsi="Arial" w:cs="Arial"/>
          <w:i/>
          <w:iCs/>
        </w:rPr>
        <w:t>Plos</w:t>
      </w:r>
      <w:proofErr w:type="spellEnd"/>
      <w:r w:rsidRPr="00850089">
        <w:rPr>
          <w:rFonts w:ascii="Arial" w:hAnsi="Arial" w:cs="Arial"/>
          <w:i/>
          <w:iCs/>
        </w:rPr>
        <w:t xml:space="preserve"> one</w:t>
      </w:r>
      <w:r w:rsidRPr="00850089">
        <w:rPr>
          <w:rFonts w:ascii="Arial" w:hAnsi="Arial" w:cs="Arial"/>
        </w:rPr>
        <w:t>, </w:t>
      </w:r>
      <w:r w:rsidRPr="00850089">
        <w:rPr>
          <w:rFonts w:ascii="Arial" w:hAnsi="Arial" w:cs="Arial"/>
          <w:i/>
          <w:iCs/>
        </w:rPr>
        <w:t>19</w:t>
      </w:r>
      <w:r w:rsidRPr="00850089">
        <w:rPr>
          <w:rFonts w:ascii="Arial" w:hAnsi="Arial" w:cs="Arial"/>
        </w:rPr>
        <w:t>(12), p.e0310768.</w:t>
      </w:r>
    </w:p>
    <w:p w14:paraId="1AC7CB84" w14:textId="77777777" w:rsidR="003A68B1" w:rsidRPr="00850089" w:rsidRDefault="003A68B1" w:rsidP="003A68B1">
      <w:pPr>
        <w:rPr>
          <w:rFonts w:ascii="Arial" w:hAnsi="Arial" w:cs="Arial"/>
        </w:rPr>
      </w:pPr>
      <w:r w:rsidRPr="00850089">
        <w:rPr>
          <w:rFonts w:ascii="Arial" w:hAnsi="Arial" w:cs="Arial"/>
        </w:rPr>
        <w:t xml:space="preserve">Burns, E.S., </w:t>
      </w:r>
      <w:proofErr w:type="spellStart"/>
      <w:r w:rsidRPr="00850089">
        <w:rPr>
          <w:rFonts w:ascii="Arial" w:hAnsi="Arial" w:cs="Arial"/>
        </w:rPr>
        <w:t>Pathmarajah</w:t>
      </w:r>
      <w:proofErr w:type="spellEnd"/>
      <w:r w:rsidRPr="00850089">
        <w:rPr>
          <w:rFonts w:ascii="Arial" w:hAnsi="Arial" w:cs="Arial"/>
        </w:rPr>
        <w:t>, P. and Muralidharan, V., 2021. Physical and psychological impacts of handwashing and personal protective equipment usage in the COVID</w:t>
      </w:r>
      <w:r w:rsidRPr="00850089">
        <w:rPr>
          <w:rFonts w:ascii="Cambria Math" w:hAnsi="Cambria Math" w:cs="Cambria Math"/>
        </w:rPr>
        <w:t>‐</w:t>
      </w:r>
      <w:r w:rsidRPr="00850089">
        <w:rPr>
          <w:rFonts w:ascii="Arial" w:hAnsi="Arial" w:cs="Arial"/>
        </w:rPr>
        <w:t>19 pandemic: A UK based cross</w:t>
      </w:r>
      <w:r w:rsidRPr="00850089">
        <w:rPr>
          <w:rFonts w:ascii="Cambria Math" w:hAnsi="Cambria Math" w:cs="Cambria Math"/>
        </w:rPr>
        <w:t>‐</w:t>
      </w:r>
      <w:r w:rsidRPr="00850089">
        <w:rPr>
          <w:rFonts w:ascii="Arial" w:hAnsi="Arial" w:cs="Arial"/>
        </w:rPr>
        <w:t>sectional analysis of healthcare workers. </w:t>
      </w:r>
      <w:r w:rsidRPr="00850089">
        <w:rPr>
          <w:rFonts w:ascii="Arial" w:hAnsi="Arial" w:cs="Arial"/>
          <w:i/>
          <w:iCs/>
        </w:rPr>
        <w:t>Dermatologic Therapy</w:t>
      </w:r>
      <w:r w:rsidRPr="00850089">
        <w:rPr>
          <w:rFonts w:ascii="Arial" w:hAnsi="Arial" w:cs="Arial"/>
        </w:rPr>
        <w:t>, </w:t>
      </w:r>
      <w:r w:rsidRPr="00850089">
        <w:rPr>
          <w:rFonts w:ascii="Arial" w:hAnsi="Arial" w:cs="Arial"/>
          <w:i/>
          <w:iCs/>
        </w:rPr>
        <w:t>34</w:t>
      </w:r>
      <w:r w:rsidRPr="00850089">
        <w:rPr>
          <w:rFonts w:ascii="Arial" w:hAnsi="Arial" w:cs="Arial"/>
        </w:rPr>
        <w:t>(3), p.e14885.</w:t>
      </w:r>
    </w:p>
    <w:p w14:paraId="7D1E9ECA" w14:textId="77777777" w:rsidR="00776C49" w:rsidRPr="00B031A0" w:rsidRDefault="00776C49" w:rsidP="00D44D36">
      <w:pPr>
        <w:spacing w:before="240"/>
        <w:rPr>
          <w:rFonts w:ascii="Arial" w:hAnsi="Arial" w:cs="Arial"/>
          <w:color w:val="000000" w:themeColor="text1"/>
        </w:rPr>
      </w:pPr>
      <w:r w:rsidRPr="00B031A0">
        <w:rPr>
          <w:rFonts w:ascii="Arial" w:hAnsi="Arial" w:cs="Arial"/>
          <w:color w:val="000000" w:themeColor="text1"/>
        </w:rPr>
        <w:t xml:space="preserve">Ben Fredj, S., Ben Cheikh, A., </w:t>
      </w:r>
      <w:proofErr w:type="spellStart"/>
      <w:r w:rsidRPr="00B031A0">
        <w:rPr>
          <w:rFonts w:ascii="Arial" w:hAnsi="Arial" w:cs="Arial"/>
          <w:color w:val="000000" w:themeColor="text1"/>
        </w:rPr>
        <w:t>Bhiri</w:t>
      </w:r>
      <w:proofErr w:type="spellEnd"/>
      <w:r w:rsidRPr="00B031A0">
        <w:rPr>
          <w:rFonts w:ascii="Arial" w:hAnsi="Arial" w:cs="Arial"/>
          <w:color w:val="000000" w:themeColor="text1"/>
        </w:rPr>
        <w:t xml:space="preserve">, S., Ghali, H., </w:t>
      </w:r>
      <w:proofErr w:type="spellStart"/>
      <w:r w:rsidRPr="00B031A0">
        <w:rPr>
          <w:rFonts w:ascii="Arial" w:hAnsi="Arial" w:cs="Arial"/>
          <w:color w:val="000000" w:themeColor="text1"/>
        </w:rPr>
        <w:t>Khefacha</w:t>
      </w:r>
      <w:proofErr w:type="spellEnd"/>
      <w:r w:rsidRPr="00B031A0">
        <w:rPr>
          <w:rFonts w:ascii="Arial" w:hAnsi="Arial" w:cs="Arial"/>
          <w:color w:val="000000" w:themeColor="text1"/>
        </w:rPr>
        <w:t xml:space="preserve">, S., </w:t>
      </w:r>
      <w:proofErr w:type="spellStart"/>
      <w:r w:rsidRPr="00B031A0">
        <w:rPr>
          <w:rFonts w:ascii="Arial" w:hAnsi="Arial" w:cs="Arial"/>
          <w:color w:val="000000" w:themeColor="text1"/>
        </w:rPr>
        <w:t>Dhidah</w:t>
      </w:r>
      <w:proofErr w:type="spellEnd"/>
      <w:r w:rsidRPr="00B031A0">
        <w:rPr>
          <w:rFonts w:ascii="Arial" w:hAnsi="Arial" w:cs="Arial"/>
          <w:color w:val="000000" w:themeColor="text1"/>
        </w:rPr>
        <w:t xml:space="preserve">, L., Merzougui, L., Ben Rejeb, M. and Said Latiri, H. (2020). Multimodal intervention program to improve hand hygiene compliance: Effectiveness and challenges. </w:t>
      </w:r>
      <w:r w:rsidRPr="00B031A0">
        <w:rPr>
          <w:rFonts w:ascii="Arial" w:hAnsi="Arial" w:cs="Arial"/>
          <w:i/>
          <w:iCs/>
          <w:color w:val="000000" w:themeColor="text1"/>
        </w:rPr>
        <w:t>Journal of the Egyptian Public Health Association</w:t>
      </w:r>
      <w:r w:rsidRPr="00B031A0">
        <w:rPr>
          <w:rFonts w:ascii="Arial" w:hAnsi="Arial" w:cs="Arial"/>
          <w:color w:val="000000" w:themeColor="text1"/>
        </w:rPr>
        <w:t>, 95(1). doi:10.1186/s42506-020-00039-w.</w:t>
      </w:r>
    </w:p>
    <w:p w14:paraId="1ABE9868" w14:textId="77777777" w:rsidR="00776C49" w:rsidRPr="00B031A0" w:rsidRDefault="00776C49" w:rsidP="00D44D36">
      <w:pPr>
        <w:spacing w:before="240" w:after="240"/>
        <w:rPr>
          <w:rFonts w:ascii="Arial" w:hAnsi="Arial" w:cs="Arial"/>
          <w:color w:val="000000" w:themeColor="text1"/>
        </w:rPr>
      </w:pPr>
      <w:r w:rsidRPr="00B031A0">
        <w:rPr>
          <w:rFonts w:ascii="Arial" w:hAnsi="Arial" w:cs="Arial"/>
          <w:color w:val="000000" w:themeColor="text1"/>
        </w:rPr>
        <w:t xml:space="preserve">Berkhout, C., </w:t>
      </w:r>
      <w:proofErr w:type="spellStart"/>
      <w:r w:rsidRPr="00B031A0">
        <w:rPr>
          <w:rFonts w:ascii="Arial" w:hAnsi="Arial" w:cs="Arial"/>
          <w:color w:val="000000" w:themeColor="text1"/>
        </w:rPr>
        <w:t>Berbra</w:t>
      </w:r>
      <w:proofErr w:type="spellEnd"/>
      <w:r w:rsidRPr="00B031A0">
        <w:rPr>
          <w:rFonts w:ascii="Arial" w:hAnsi="Arial" w:cs="Arial"/>
          <w:color w:val="000000" w:themeColor="text1"/>
        </w:rPr>
        <w:t xml:space="preserve">, O., Favre, J., Collins, C., Calafiore, M., </w:t>
      </w:r>
      <w:proofErr w:type="spellStart"/>
      <w:r w:rsidRPr="00B031A0">
        <w:rPr>
          <w:rFonts w:ascii="Arial" w:hAnsi="Arial" w:cs="Arial"/>
          <w:color w:val="000000" w:themeColor="text1"/>
        </w:rPr>
        <w:t>Peremans</w:t>
      </w:r>
      <w:proofErr w:type="spellEnd"/>
      <w:r w:rsidRPr="00B031A0">
        <w:rPr>
          <w:rFonts w:ascii="Arial" w:hAnsi="Arial" w:cs="Arial"/>
          <w:color w:val="000000" w:themeColor="text1"/>
        </w:rPr>
        <w:t xml:space="preserve">, L. and Van </w:t>
      </w:r>
      <w:proofErr w:type="spellStart"/>
      <w:r w:rsidRPr="00B031A0">
        <w:rPr>
          <w:rFonts w:ascii="Arial" w:hAnsi="Arial" w:cs="Arial"/>
          <w:color w:val="000000" w:themeColor="text1"/>
        </w:rPr>
        <w:t>Royen</w:t>
      </w:r>
      <w:proofErr w:type="spellEnd"/>
      <w:r w:rsidRPr="00B031A0">
        <w:rPr>
          <w:rFonts w:ascii="Arial" w:hAnsi="Arial" w:cs="Arial"/>
          <w:color w:val="000000" w:themeColor="text1"/>
        </w:rPr>
        <w:t xml:space="preserve">, P. (2022). Defining and evaluating the </w:t>
      </w:r>
      <w:proofErr w:type="spellStart"/>
      <w:r w:rsidRPr="00B031A0">
        <w:rPr>
          <w:rFonts w:ascii="Arial" w:hAnsi="Arial" w:cs="Arial"/>
          <w:color w:val="000000" w:themeColor="text1"/>
        </w:rPr>
        <w:t>hawthorne</w:t>
      </w:r>
      <w:proofErr w:type="spellEnd"/>
      <w:r w:rsidRPr="00B031A0">
        <w:rPr>
          <w:rFonts w:ascii="Arial" w:hAnsi="Arial" w:cs="Arial"/>
          <w:color w:val="000000" w:themeColor="text1"/>
        </w:rPr>
        <w:t xml:space="preserve"> effect in primary care, a systematic review and meta-analysis. </w:t>
      </w:r>
      <w:r w:rsidRPr="00B031A0">
        <w:rPr>
          <w:rFonts w:ascii="Arial" w:hAnsi="Arial" w:cs="Arial"/>
          <w:i/>
          <w:iCs/>
          <w:color w:val="000000" w:themeColor="text1"/>
        </w:rPr>
        <w:t>Frontiers in Medicine</w:t>
      </w:r>
      <w:r w:rsidRPr="00B031A0">
        <w:rPr>
          <w:rFonts w:ascii="Arial" w:hAnsi="Arial" w:cs="Arial"/>
          <w:color w:val="000000" w:themeColor="text1"/>
        </w:rPr>
        <w:t>, [online] 9(9). doi:10.3389/fmed.2022.1033486.</w:t>
      </w:r>
    </w:p>
    <w:p w14:paraId="1CE98C59" w14:textId="77777777" w:rsidR="00776C49" w:rsidRPr="00B031A0" w:rsidRDefault="00776C49" w:rsidP="00D44D36">
      <w:pPr>
        <w:spacing w:before="240" w:after="240"/>
        <w:rPr>
          <w:rFonts w:ascii="Arial" w:hAnsi="Arial" w:cs="Arial"/>
          <w:color w:val="000000" w:themeColor="text1"/>
        </w:rPr>
      </w:pPr>
      <w:r w:rsidRPr="00B031A0">
        <w:rPr>
          <w:rFonts w:ascii="Arial" w:hAnsi="Arial" w:cs="Arial"/>
          <w:color w:val="000000" w:themeColor="text1"/>
        </w:rPr>
        <w:t xml:space="preserve">Besnier, E., Dachi </w:t>
      </w:r>
      <w:proofErr w:type="spellStart"/>
      <w:r w:rsidRPr="00B031A0">
        <w:rPr>
          <w:rFonts w:ascii="Arial" w:hAnsi="Arial" w:cs="Arial"/>
          <w:color w:val="000000" w:themeColor="text1"/>
        </w:rPr>
        <w:t>Arikpo</w:t>
      </w:r>
      <w:proofErr w:type="spellEnd"/>
      <w:r w:rsidRPr="00B031A0">
        <w:rPr>
          <w:rFonts w:ascii="Arial" w:hAnsi="Arial" w:cs="Arial"/>
          <w:color w:val="000000" w:themeColor="text1"/>
        </w:rPr>
        <w:t xml:space="preserve">, </w:t>
      </w:r>
      <w:proofErr w:type="spellStart"/>
      <w:r w:rsidRPr="00B031A0">
        <w:rPr>
          <w:rFonts w:ascii="Arial" w:hAnsi="Arial" w:cs="Arial"/>
          <w:color w:val="000000" w:themeColor="text1"/>
        </w:rPr>
        <w:t>Ndukwu</w:t>
      </w:r>
      <w:proofErr w:type="spellEnd"/>
      <w:r w:rsidRPr="00B031A0">
        <w:rPr>
          <w:rFonts w:ascii="Arial" w:hAnsi="Arial" w:cs="Arial"/>
          <w:color w:val="000000" w:themeColor="text1"/>
        </w:rPr>
        <w:t xml:space="preserve">, D., Effa, E. and Lewin, S. (2026). Healthcare Workers’ perceptions of health worker-related interventions to improve compliance with hand hygiene recommendations for infection prevention and control in hospitalised neonates and infants in </w:t>
      </w:r>
      <w:proofErr w:type="spellStart"/>
      <w:r w:rsidRPr="00B031A0">
        <w:rPr>
          <w:rFonts w:ascii="Arial" w:hAnsi="Arial" w:cs="Arial"/>
          <w:color w:val="000000" w:themeColor="text1"/>
        </w:rPr>
        <w:t>sub-saharan</w:t>
      </w:r>
      <w:proofErr w:type="spellEnd"/>
      <w:r w:rsidRPr="00B031A0">
        <w:rPr>
          <w:rFonts w:ascii="Arial" w:hAnsi="Arial" w:cs="Arial"/>
          <w:color w:val="000000" w:themeColor="text1"/>
        </w:rPr>
        <w:t xml:space="preserve"> Africa: A synthesis of two qualitative </w:t>
      </w:r>
      <w:r w:rsidRPr="00B031A0">
        <w:rPr>
          <w:rFonts w:ascii="Arial" w:hAnsi="Arial" w:cs="Arial"/>
          <w:color w:val="000000" w:themeColor="text1"/>
        </w:rPr>
        <w:lastRenderedPageBreak/>
        <w:t xml:space="preserve">evidence syntheses. </w:t>
      </w:r>
      <w:r w:rsidRPr="00B031A0">
        <w:rPr>
          <w:rFonts w:ascii="Arial" w:hAnsi="Arial" w:cs="Arial"/>
          <w:i/>
          <w:iCs/>
          <w:color w:val="000000" w:themeColor="text1"/>
        </w:rPr>
        <w:t>Global Health Action</w:t>
      </w:r>
      <w:r w:rsidRPr="00B031A0">
        <w:rPr>
          <w:rFonts w:ascii="Arial" w:hAnsi="Arial" w:cs="Arial"/>
          <w:color w:val="000000" w:themeColor="text1"/>
        </w:rPr>
        <w:t>, 19(1), pp.2621448–2621448. doi:10.1080/16549716.2026.2621448.</w:t>
      </w:r>
    </w:p>
    <w:p w14:paraId="46B9FF82" w14:textId="77777777" w:rsidR="00776C49" w:rsidRPr="00B031A0" w:rsidRDefault="00776C49" w:rsidP="00D44D36">
      <w:pPr>
        <w:spacing w:before="240" w:after="240"/>
        <w:rPr>
          <w:rFonts w:ascii="Arial" w:hAnsi="Arial" w:cs="Arial"/>
          <w:color w:val="000000" w:themeColor="text1"/>
        </w:rPr>
      </w:pPr>
      <w:r w:rsidRPr="00B031A0">
        <w:rPr>
          <w:rFonts w:ascii="Arial" w:hAnsi="Arial" w:cs="Arial"/>
          <w:color w:val="000000" w:themeColor="text1"/>
        </w:rPr>
        <w:t xml:space="preserve">Blair, C.-J., McCrudden, C., Brazier, A., Huf, S., Gregory, A., O’Driscoll, F., Galletly, T., Leon-Villapalos, C., Brown, H., Clay, K., Maxwell, S., </w:t>
      </w:r>
      <w:proofErr w:type="spellStart"/>
      <w:r w:rsidRPr="00B031A0">
        <w:rPr>
          <w:rFonts w:ascii="Arial" w:hAnsi="Arial" w:cs="Arial"/>
          <w:color w:val="000000" w:themeColor="text1"/>
        </w:rPr>
        <w:t>Anakwe</w:t>
      </w:r>
      <w:proofErr w:type="spellEnd"/>
      <w:r w:rsidRPr="00B031A0">
        <w:rPr>
          <w:rFonts w:ascii="Arial" w:hAnsi="Arial" w:cs="Arial"/>
          <w:color w:val="000000" w:themeColor="text1"/>
        </w:rPr>
        <w:t xml:space="preserve">, R. and </w:t>
      </w:r>
      <w:proofErr w:type="spellStart"/>
      <w:r w:rsidRPr="00B031A0">
        <w:rPr>
          <w:rFonts w:ascii="Arial" w:hAnsi="Arial" w:cs="Arial"/>
          <w:color w:val="000000" w:themeColor="text1"/>
        </w:rPr>
        <w:t>Grailey</w:t>
      </w:r>
      <w:proofErr w:type="spellEnd"/>
      <w:r w:rsidRPr="00B031A0">
        <w:rPr>
          <w:rFonts w:ascii="Arial" w:hAnsi="Arial" w:cs="Arial"/>
          <w:color w:val="000000" w:themeColor="text1"/>
        </w:rPr>
        <w:t xml:space="preserve">, K. (2024). A helping hand: Applying behavioural science and co-design methodology to improve hand hygiene compliance in the hospital setting. </w:t>
      </w:r>
      <w:proofErr w:type="spellStart"/>
      <w:r w:rsidRPr="00B031A0">
        <w:rPr>
          <w:rFonts w:ascii="Arial" w:hAnsi="Arial" w:cs="Arial"/>
          <w:i/>
          <w:iCs/>
          <w:color w:val="000000" w:themeColor="text1"/>
        </w:rPr>
        <w:t>PLoS</w:t>
      </w:r>
      <w:proofErr w:type="spellEnd"/>
      <w:r w:rsidRPr="00B031A0">
        <w:rPr>
          <w:rFonts w:ascii="Arial" w:hAnsi="Arial" w:cs="Arial"/>
          <w:i/>
          <w:iCs/>
          <w:color w:val="000000" w:themeColor="text1"/>
        </w:rPr>
        <w:t xml:space="preserve"> ONE</w:t>
      </w:r>
      <w:r w:rsidRPr="00B031A0">
        <w:rPr>
          <w:rFonts w:ascii="Arial" w:hAnsi="Arial" w:cs="Arial"/>
          <w:color w:val="000000" w:themeColor="text1"/>
        </w:rPr>
        <w:t xml:space="preserve">, [online] 19(12), </w:t>
      </w:r>
      <w:proofErr w:type="gramStart"/>
      <w:r w:rsidRPr="00B031A0">
        <w:rPr>
          <w:rFonts w:ascii="Arial" w:hAnsi="Arial" w:cs="Arial"/>
          <w:color w:val="000000" w:themeColor="text1"/>
        </w:rPr>
        <w:t>pp.e</w:t>
      </w:r>
      <w:proofErr w:type="gramEnd"/>
      <w:r w:rsidRPr="00B031A0">
        <w:rPr>
          <w:rFonts w:ascii="Arial" w:hAnsi="Arial" w:cs="Arial"/>
          <w:color w:val="000000" w:themeColor="text1"/>
        </w:rPr>
        <w:t xml:space="preserve">0310768-e0310768. </w:t>
      </w:r>
      <w:proofErr w:type="gramStart"/>
      <w:r w:rsidRPr="00B031A0">
        <w:rPr>
          <w:rFonts w:ascii="Arial" w:hAnsi="Arial" w:cs="Arial"/>
          <w:color w:val="000000" w:themeColor="text1"/>
        </w:rPr>
        <w:t>doi:10.1371/journal.pone</w:t>
      </w:r>
      <w:proofErr w:type="gramEnd"/>
      <w:r w:rsidRPr="00B031A0">
        <w:rPr>
          <w:rFonts w:ascii="Arial" w:hAnsi="Arial" w:cs="Arial"/>
          <w:color w:val="000000" w:themeColor="text1"/>
        </w:rPr>
        <w:t>.0310768.</w:t>
      </w:r>
    </w:p>
    <w:p w14:paraId="5D3CAFE6" w14:textId="77777777" w:rsidR="00776C49" w:rsidRPr="00B031A0" w:rsidRDefault="00776C49" w:rsidP="00D44D36">
      <w:pPr>
        <w:spacing w:before="240" w:after="240"/>
        <w:rPr>
          <w:rFonts w:ascii="Arial" w:hAnsi="Arial" w:cs="Arial"/>
          <w:color w:val="000000" w:themeColor="text1"/>
        </w:rPr>
      </w:pPr>
      <w:r w:rsidRPr="00B031A0">
        <w:rPr>
          <w:rFonts w:ascii="Arial" w:hAnsi="Arial" w:cs="Arial"/>
          <w:color w:val="000000" w:themeColor="text1"/>
        </w:rPr>
        <w:t xml:space="preserve">Bredin, D., O’Doherty, D., Hannigan, A. and Kingston, L. (2022). Hand hygiene compliance by direct observation in physicians and nurses: a systematic review and meta-analysis. </w:t>
      </w:r>
      <w:r w:rsidRPr="00B031A0">
        <w:rPr>
          <w:rFonts w:ascii="Arial" w:hAnsi="Arial" w:cs="Arial"/>
          <w:i/>
          <w:iCs/>
          <w:color w:val="000000" w:themeColor="text1"/>
        </w:rPr>
        <w:t>Journal of Hospital Infection</w:t>
      </w:r>
      <w:r w:rsidRPr="00B031A0">
        <w:rPr>
          <w:rFonts w:ascii="Arial" w:hAnsi="Arial" w:cs="Arial"/>
          <w:color w:val="000000" w:themeColor="text1"/>
        </w:rPr>
        <w:t xml:space="preserve">, [online] 130, pp.20–33. </w:t>
      </w:r>
      <w:proofErr w:type="spellStart"/>
      <w:r w:rsidRPr="00B031A0">
        <w:rPr>
          <w:rFonts w:ascii="Arial" w:hAnsi="Arial" w:cs="Arial"/>
          <w:color w:val="000000" w:themeColor="text1"/>
        </w:rPr>
        <w:t>doi:</w:t>
      </w:r>
      <w:hyperlink r:id="rId15">
        <w:r w:rsidRPr="00B031A0">
          <w:rPr>
            <w:rFonts w:ascii="Arial" w:hAnsi="Arial" w:cs="Arial"/>
            <w:color w:val="000000" w:themeColor="text1"/>
            <w:u w:val="single"/>
          </w:rPr>
          <w:t>https</w:t>
        </w:r>
        <w:proofErr w:type="spellEnd"/>
        <w:r w:rsidRPr="00B031A0">
          <w:rPr>
            <w:rFonts w:ascii="Arial" w:hAnsi="Arial" w:cs="Arial"/>
            <w:color w:val="000000" w:themeColor="text1"/>
            <w:u w:val="single"/>
          </w:rPr>
          <w:t>://doi.org/10.1016/j.jhin.2022.08.013</w:t>
        </w:r>
      </w:hyperlink>
      <w:r w:rsidRPr="00B031A0">
        <w:rPr>
          <w:rFonts w:ascii="Arial" w:hAnsi="Arial" w:cs="Arial"/>
          <w:color w:val="000000" w:themeColor="text1"/>
        </w:rPr>
        <w:t xml:space="preserve">. </w:t>
      </w:r>
    </w:p>
    <w:p w14:paraId="7C34E630" w14:textId="77777777" w:rsidR="00776C49" w:rsidRPr="00B031A0" w:rsidRDefault="00776C49" w:rsidP="00D44D36">
      <w:pPr>
        <w:spacing w:before="240" w:after="240"/>
        <w:rPr>
          <w:rFonts w:ascii="Arial" w:hAnsi="Arial" w:cs="Arial"/>
          <w:color w:val="000000" w:themeColor="text1"/>
        </w:rPr>
      </w:pPr>
      <w:r w:rsidRPr="00B031A0">
        <w:rPr>
          <w:rFonts w:ascii="Arial" w:hAnsi="Arial" w:cs="Arial"/>
          <w:color w:val="000000" w:themeColor="text1"/>
        </w:rPr>
        <w:t xml:space="preserve">Brignardello-Petersen, R., </w:t>
      </w:r>
      <w:proofErr w:type="spellStart"/>
      <w:r w:rsidRPr="00B031A0">
        <w:rPr>
          <w:rFonts w:ascii="Arial" w:hAnsi="Arial" w:cs="Arial"/>
          <w:color w:val="000000" w:themeColor="text1"/>
        </w:rPr>
        <w:t>Santesso</w:t>
      </w:r>
      <w:proofErr w:type="spellEnd"/>
      <w:r w:rsidRPr="00B031A0">
        <w:rPr>
          <w:rFonts w:ascii="Arial" w:hAnsi="Arial" w:cs="Arial"/>
          <w:color w:val="000000" w:themeColor="text1"/>
        </w:rPr>
        <w:t xml:space="preserve">, N. and Guyatt, G.H. (2024). Systematic reviews of the literature: An introduction to current methods. </w:t>
      </w:r>
      <w:r w:rsidRPr="00B031A0">
        <w:rPr>
          <w:rFonts w:ascii="Arial" w:hAnsi="Arial" w:cs="Arial"/>
          <w:i/>
          <w:iCs/>
          <w:color w:val="000000" w:themeColor="text1"/>
        </w:rPr>
        <w:t>American Journal of Epidemiology</w:t>
      </w:r>
      <w:r w:rsidRPr="00B031A0">
        <w:rPr>
          <w:rFonts w:ascii="Arial" w:hAnsi="Arial" w:cs="Arial"/>
          <w:color w:val="000000" w:themeColor="text1"/>
        </w:rPr>
        <w:t>, [online] 194(2). doi:10.1093/</w:t>
      </w:r>
      <w:proofErr w:type="spellStart"/>
      <w:r w:rsidRPr="00B031A0">
        <w:rPr>
          <w:rFonts w:ascii="Arial" w:hAnsi="Arial" w:cs="Arial"/>
          <w:color w:val="000000" w:themeColor="text1"/>
        </w:rPr>
        <w:t>aje</w:t>
      </w:r>
      <w:proofErr w:type="spellEnd"/>
      <w:r w:rsidRPr="00B031A0">
        <w:rPr>
          <w:rFonts w:ascii="Arial" w:hAnsi="Arial" w:cs="Arial"/>
          <w:color w:val="000000" w:themeColor="text1"/>
        </w:rPr>
        <w:t>/kwae232.</w:t>
      </w:r>
    </w:p>
    <w:p w14:paraId="146FC543" w14:textId="77777777" w:rsidR="00776C49" w:rsidRPr="00B031A0" w:rsidRDefault="00776C49" w:rsidP="00D44D36">
      <w:pPr>
        <w:spacing w:before="240" w:after="240"/>
        <w:rPr>
          <w:rFonts w:ascii="Arial" w:hAnsi="Arial" w:cs="Arial"/>
          <w:color w:val="000000" w:themeColor="text1"/>
        </w:rPr>
      </w:pPr>
      <w:proofErr w:type="spellStart"/>
      <w:r w:rsidRPr="00B031A0">
        <w:rPr>
          <w:rFonts w:ascii="Arial" w:hAnsi="Arial" w:cs="Arial"/>
          <w:color w:val="000000" w:themeColor="text1"/>
        </w:rPr>
        <w:t>Buddrus</w:t>
      </w:r>
      <w:proofErr w:type="spellEnd"/>
      <w:r w:rsidRPr="00B031A0">
        <w:rPr>
          <w:rFonts w:ascii="Arial" w:hAnsi="Arial" w:cs="Arial"/>
          <w:color w:val="000000" w:themeColor="text1"/>
        </w:rPr>
        <w:t xml:space="preserve">, U., </w:t>
      </w:r>
      <w:proofErr w:type="spellStart"/>
      <w:r w:rsidRPr="00B031A0">
        <w:rPr>
          <w:rFonts w:ascii="Arial" w:hAnsi="Arial" w:cs="Arial"/>
          <w:color w:val="000000" w:themeColor="text1"/>
        </w:rPr>
        <w:t>Kutza</w:t>
      </w:r>
      <w:proofErr w:type="spellEnd"/>
      <w:r w:rsidRPr="00B031A0">
        <w:rPr>
          <w:rFonts w:ascii="Arial" w:hAnsi="Arial" w:cs="Arial"/>
          <w:color w:val="000000" w:themeColor="text1"/>
        </w:rPr>
        <w:t xml:space="preserve">, J.-O., </w:t>
      </w:r>
      <w:proofErr w:type="spellStart"/>
      <w:r w:rsidRPr="00B031A0">
        <w:rPr>
          <w:rFonts w:ascii="Arial" w:hAnsi="Arial" w:cs="Arial"/>
          <w:color w:val="000000" w:themeColor="text1"/>
        </w:rPr>
        <w:t>Thye</w:t>
      </w:r>
      <w:proofErr w:type="spellEnd"/>
      <w:r w:rsidRPr="00B031A0">
        <w:rPr>
          <w:rFonts w:ascii="Arial" w:hAnsi="Arial" w:cs="Arial"/>
          <w:color w:val="000000" w:themeColor="text1"/>
        </w:rPr>
        <w:t xml:space="preserve">, J., </w:t>
      </w:r>
      <w:proofErr w:type="spellStart"/>
      <w:r w:rsidRPr="00B031A0">
        <w:rPr>
          <w:rFonts w:ascii="Arial" w:hAnsi="Arial" w:cs="Arial"/>
          <w:color w:val="000000" w:themeColor="text1"/>
        </w:rPr>
        <w:t>Esdar</w:t>
      </w:r>
      <w:proofErr w:type="spellEnd"/>
      <w:r w:rsidRPr="00B031A0">
        <w:rPr>
          <w:rFonts w:ascii="Arial" w:hAnsi="Arial" w:cs="Arial"/>
          <w:color w:val="000000" w:themeColor="text1"/>
        </w:rPr>
        <w:t xml:space="preserve">, M., Hübner, U.H. and Liebe, J.-D. (2026). PICO-based assessment and categorization of evidence for digital health interventions: An inductive framework development. </w:t>
      </w:r>
      <w:r w:rsidRPr="00B031A0">
        <w:rPr>
          <w:rFonts w:ascii="Arial" w:hAnsi="Arial" w:cs="Arial"/>
          <w:i/>
          <w:iCs/>
          <w:color w:val="000000" w:themeColor="text1"/>
        </w:rPr>
        <w:t>Frontiers in Digital Health</w:t>
      </w:r>
      <w:r w:rsidRPr="00B031A0">
        <w:rPr>
          <w:rFonts w:ascii="Arial" w:hAnsi="Arial" w:cs="Arial"/>
          <w:color w:val="000000" w:themeColor="text1"/>
        </w:rPr>
        <w:t>, 8. doi:10.3389/fdgth.2026.1755598.</w:t>
      </w:r>
    </w:p>
    <w:p w14:paraId="31E4A22F" w14:textId="77777777" w:rsidR="00791D18" w:rsidRDefault="00791D18" w:rsidP="00D44D36">
      <w:pPr>
        <w:spacing w:before="240" w:after="240"/>
        <w:rPr>
          <w:rFonts w:ascii="Arial" w:hAnsi="Arial" w:cs="Arial"/>
          <w:color w:val="000000" w:themeColor="text1"/>
        </w:rPr>
      </w:pPr>
      <w:proofErr w:type="spellStart"/>
      <w:r w:rsidRPr="00791D18">
        <w:rPr>
          <w:rFonts w:ascii="Arial" w:hAnsi="Arial" w:cs="Arial"/>
          <w:color w:val="000000" w:themeColor="text1"/>
        </w:rPr>
        <w:t>Büchter</w:t>
      </w:r>
      <w:proofErr w:type="spellEnd"/>
      <w:r w:rsidRPr="00791D18">
        <w:rPr>
          <w:rFonts w:ascii="Arial" w:hAnsi="Arial" w:cs="Arial"/>
          <w:color w:val="000000" w:themeColor="text1"/>
        </w:rPr>
        <w:t>, R.B., Weise, A. and Pieper, D., 2020. Development, testing and use of data extraction forms in systematic reviews: a review of methodological guidance. </w:t>
      </w:r>
      <w:r w:rsidRPr="00791D18">
        <w:rPr>
          <w:rFonts w:ascii="Arial" w:hAnsi="Arial" w:cs="Arial"/>
          <w:i/>
          <w:iCs/>
          <w:color w:val="000000" w:themeColor="text1"/>
        </w:rPr>
        <w:t>BMC medical research methodology</w:t>
      </w:r>
      <w:r w:rsidRPr="00791D18">
        <w:rPr>
          <w:rFonts w:ascii="Arial" w:hAnsi="Arial" w:cs="Arial"/>
          <w:color w:val="000000" w:themeColor="text1"/>
        </w:rPr>
        <w:t>, </w:t>
      </w:r>
      <w:r w:rsidRPr="00791D18">
        <w:rPr>
          <w:rFonts w:ascii="Arial" w:hAnsi="Arial" w:cs="Arial"/>
          <w:i/>
          <w:iCs/>
          <w:color w:val="000000" w:themeColor="text1"/>
        </w:rPr>
        <w:t>20</w:t>
      </w:r>
      <w:r w:rsidRPr="00791D18">
        <w:rPr>
          <w:rFonts w:ascii="Arial" w:hAnsi="Arial" w:cs="Arial"/>
          <w:color w:val="000000" w:themeColor="text1"/>
        </w:rPr>
        <w:t>(1), p.259.</w:t>
      </w:r>
    </w:p>
    <w:p w14:paraId="4428C84C" w14:textId="77777777" w:rsidR="003A68B1" w:rsidRPr="00850089" w:rsidRDefault="003A68B1" w:rsidP="003A68B1">
      <w:pPr>
        <w:rPr>
          <w:rFonts w:ascii="Arial" w:hAnsi="Arial" w:cs="Arial"/>
        </w:rPr>
      </w:pPr>
      <w:r w:rsidRPr="00850089">
        <w:rPr>
          <w:rFonts w:ascii="Arial" w:hAnsi="Arial" w:cs="Arial"/>
        </w:rPr>
        <w:t>Cawthorne, K.R. and Cooke, R.P.D., 2020. Healthcare workers' attitudes to how hand hygiene performance is currently monitored and assessed. </w:t>
      </w:r>
      <w:r w:rsidRPr="00850089">
        <w:rPr>
          <w:rFonts w:ascii="Arial" w:hAnsi="Arial" w:cs="Arial"/>
          <w:i/>
          <w:iCs/>
        </w:rPr>
        <w:t>Journal of Hospital Infection</w:t>
      </w:r>
      <w:r w:rsidRPr="00850089">
        <w:rPr>
          <w:rFonts w:ascii="Arial" w:hAnsi="Arial" w:cs="Arial"/>
        </w:rPr>
        <w:t>, </w:t>
      </w:r>
      <w:r w:rsidRPr="00850089">
        <w:rPr>
          <w:rFonts w:ascii="Arial" w:hAnsi="Arial" w:cs="Arial"/>
          <w:i/>
          <w:iCs/>
        </w:rPr>
        <w:t>105</w:t>
      </w:r>
      <w:r w:rsidRPr="00850089">
        <w:rPr>
          <w:rFonts w:ascii="Arial" w:hAnsi="Arial" w:cs="Arial"/>
        </w:rPr>
        <w:t>(4), pp.705-709.</w:t>
      </w:r>
    </w:p>
    <w:p w14:paraId="6010DE2E" w14:textId="0C624B04" w:rsidR="00776C49" w:rsidRPr="00B031A0" w:rsidRDefault="00776C49" w:rsidP="00D44D36">
      <w:pPr>
        <w:spacing w:before="240" w:after="240"/>
        <w:rPr>
          <w:rFonts w:ascii="Arial" w:hAnsi="Arial" w:cs="Arial"/>
          <w:color w:val="000000" w:themeColor="text1"/>
        </w:rPr>
      </w:pPr>
      <w:r w:rsidRPr="00B031A0">
        <w:rPr>
          <w:rFonts w:ascii="Arial" w:hAnsi="Arial" w:cs="Arial"/>
          <w:color w:val="000000" w:themeColor="text1"/>
        </w:rPr>
        <w:t xml:space="preserve">Chakma, S.K., Hossen, S., Rakib, T.M., Hoque, S., Islam, R., Biswas, T., Islam, Z. and Islam, M.M. (2024). Effectiveness of a hand hygiene training intervention in improving knowledge and compliance rate among healthcare workers in a respiratory disease hospital. </w:t>
      </w:r>
      <w:proofErr w:type="spellStart"/>
      <w:r w:rsidRPr="00B031A0">
        <w:rPr>
          <w:rFonts w:ascii="Arial" w:hAnsi="Arial" w:cs="Arial"/>
          <w:i/>
          <w:iCs/>
          <w:color w:val="000000" w:themeColor="text1"/>
        </w:rPr>
        <w:t>Heliyon</w:t>
      </w:r>
      <w:proofErr w:type="spellEnd"/>
      <w:r w:rsidRPr="00B031A0">
        <w:rPr>
          <w:rFonts w:ascii="Arial" w:hAnsi="Arial" w:cs="Arial"/>
          <w:color w:val="000000" w:themeColor="text1"/>
        </w:rPr>
        <w:t xml:space="preserve">, 10(5), </w:t>
      </w:r>
      <w:proofErr w:type="gramStart"/>
      <w:r w:rsidRPr="00B031A0">
        <w:rPr>
          <w:rFonts w:ascii="Arial" w:hAnsi="Arial" w:cs="Arial"/>
          <w:color w:val="000000" w:themeColor="text1"/>
        </w:rPr>
        <w:t>pp.e</w:t>
      </w:r>
      <w:proofErr w:type="gramEnd"/>
      <w:r w:rsidRPr="00B031A0">
        <w:rPr>
          <w:rFonts w:ascii="Arial" w:hAnsi="Arial" w:cs="Arial"/>
          <w:color w:val="000000" w:themeColor="text1"/>
        </w:rPr>
        <w:t xml:space="preserve">27286-e27286. </w:t>
      </w:r>
      <w:proofErr w:type="gramStart"/>
      <w:r w:rsidRPr="00B031A0">
        <w:rPr>
          <w:rFonts w:ascii="Arial" w:hAnsi="Arial" w:cs="Arial"/>
          <w:color w:val="000000" w:themeColor="text1"/>
        </w:rPr>
        <w:t>doi:10.1016/j.heliyon</w:t>
      </w:r>
      <w:proofErr w:type="gramEnd"/>
      <w:r w:rsidRPr="00B031A0">
        <w:rPr>
          <w:rFonts w:ascii="Arial" w:hAnsi="Arial" w:cs="Arial"/>
          <w:color w:val="000000" w:themeColor="text1"/>
        </w:rPr>
        <w:t>.2024.e27286.</w:t>
      </w:r>
    </w:p>
    <w:p w14:paraId="02286CCC" w14:textId="77777777" w:rsidR="00776C49" w:rsidRPr="00B031A0" w:rsidRDefault="00776C49" w:rsidP="00D44D36">
      <w:pPr>
        <w:spacing w:before="240" w:after="240"/>
        <w:rPr>
          <w:rFonts w:ascii="Arial" w:hAnsi="Arial" w:cs="Arial"/>
          <w:color w:val="000000" w:themeColor="text1"/>
        </w:rPr>
      </w:pPr>
      <w:r w:rsidRPr="00B031A0">
        <w:rPr>
          <w:rFonts w:ascii="Arial" w:hAnsi="Arial" w:cs="Arial"/>
          <w:color w:val="000000" w:themeColor="text1"/>
        </w:rPr>
        <w:lastRenderedPageBreak/>
        <w:t xml:space="preserve">Chang, N.-C., Jones, M., Reisinger, H.S., Schweizer, M.L., Chrischilles, E., </w:t>
      </w:r>
      <w:proofErr w:type="spellStart"/>
      <w:r w:rsidRPr="00B031A0">
        <w:rPr>
          <w:rFonts w:ascii="Arial" w:hAnsi="Arial" w:cs="Arial"/>
          <w:color w:val="000000" w:themeColor="text1"/>
        </w:rPr>
        <w:t>Chorazy</w:t>
      </w:r>
      <w:proofErr w:type="spellEnd"/>
      <w:r w:rsidRPr="00B031A0">
        <w:rPr>
          <w:rFonts w:ascii="Arial" w:hAnsi="Arial" w:cs="Arial"/>
          <w:color w:val="000000" w:themeColor="text1"/>
        </w:rPr>
        <w:t xml:space="preserve">, M., Huskins, W.C. and Herwaldt, L. (2022). Hand hygiene and the sequence of patient care. </w:t>
      </w:r>
      <w:r w:rsidRPr="00B031A0">
        <w:rPr>
          <w:rFonts w:ascii="Arial" w:hAnsi="Arial" w:cs="Arial"/>
          <w:i/>
          <w:iCs/>
          <w:color w:val="000000" w:themeColor="text1"/>
        </w:rPr>
        <w:t>Infection Control &amp; Hospital Epidemiology</w:t>
      </w:r>
      <w:r w:rsidRPr="00B031A0">
        <w:rPr>
          <w:rFonts w:ascii="Arial" w:hAnsi="Arial" w:cs="Arial"/>
          <w:color w:val="000000" w:themeColor="text1"/>
        </w:rPr>
        <w:t>, [online] 43(2), pp.218–223. doi:10.1017/ice.2021.82.</w:t>
      </w:r>
    </w:p>
    <w:p w14:paraId="63E278AB" w14:textId="77777777" w:rsidR="00776C49" w:rsidRPr="00B031A0" w:rsidRDefault="00776C49" w:rsidP="00776C49">
      <w:pPr>
        <w:spacing w:after="240"/>
        <w:rPr>
          <w:rFonts w:ascii="Arial" w:hAnsi="Arial" w:cs="Arial"/>
          <w:color w:val="000000" w:themeColor="text1"/>
        </w:rPr>
      </w:pPr>
      <w:r w:rsidRPr="00B031A0">
        <w:rPr>
          <w:rFonts w:ascii="Arial" w:hAnsi="Arial" w:cs="Arial"/>
          <w:color w:val="000000" w:themeColor="text1"/>
        </w:rPr>
        <w:t xml:space="preserve">Chen, J., Yang, L., Mak, Y.-W., O’Donoghue, M., Shi, C., Tsang, H., Lu, S., Zou, J., Qin, J., Xie, Y.J., Lai, T., Li, C., Cao, J. and Pittet, D. (2024). Hand Hygiene Education components among first-year nursing students: A cluster randomized clinical trial. </w:t>
      </w:r>
      <w:r w:rsidRPr="00B031A0">
        <w:rPr>
          <w:rFonts w:ascii="Arial" w:hAnsi="Arial" w:cs="Arial"/>
          <w:i/>
          <w:iCs/>
          <w:color w:val="000000" w:themeColor="text1"/>
        </w:rPr>
        <w:t>JAMA network open</w:t>
      </w:r>
      <w:r w:rsidRPr="00B031A0">
        <w:rPr>
          <w:rFonts w:ascii="Arial" w:hAnsi="Arial" w:cs="Arial"/>
          <w:color w:val="000000" w:themeColor="text1"/>
        </w:rPr>
        <w:t>, [online] 7(6), p.e2413835. doi:10.1001/jamanetworkopen.2024.13835.</w:t>
      </w:r>
    </w:p>
    <w:p w14:paraId="023C188F" w14:textId="77777777" w:rsidR="00776C49" w:rsidRPr="00B031A0" w:rsidRDefault="00776C49" w:rsidP="00D44D36">
      <w:pPr>
        <w:spacing w:before="240"/>
        <w:rPr>
          <w:rFonts w:ascii="Arial" w:hAnsi="Arial" w:cs="Arial"/>
          <w:color w:val="000000" w:themeColor="text1"/>
        </w:rPr>
      </w:pPr>
      <w:r w:rsidRPr="00B031A0">
        <w:rPr>
          <w:rFonts w:ascii="Arial" w:hAnsi="Arial" w:cs="Arial"/>
          <w:color w:val="000000" w:themeColor="text1"/>
        </w:rPr>
        <w:t xml:space="preserve">Clancy, C., </w:t>
      </w:r>
      <w:proofErr w:type="spellStart"/>
      <w:r w:rsidRPr="00B031A0">
        <w:rPr>
          <w:rFonts w:ascii="Arial" w:hAnsi="Arial" w:cs="Arial"/>
          <w:color w:val="000000" w:themeColor="text1"/>
        </w:rPr>
        <w:t>Delungahawatta</w:t>
      </w:r>
      <w:proofErr w:type="spellEnd"/>
      <w:r w:rsidRPr="00B031A0">
        <w:rPr>
          <w:rFonts w:ascii="Arial" w:hAnsi="Arial" w:cs="Arial"/>
          <w:color w:val="000000" w:themeColor="text1"/>
        </w:rPr>
        <w:t xml:space="preserve">, T. and Dunne, C.P. (2021). Hand hygiene-related clinical trials reported between 2014 and 2020: A comprehensive systematic review. </w:t>
      </w:r>
      <w:r w:rsidRPr="00B031A0">
        <w:rPr>
          <w:rFonts w:ascii="Arial" w:hAnsi="Arial" w:cs="Arial"/>
          <w:i/>
          <w:iCs/>
          <w:color w:val="000000" w:themeColor="text1"/>
        </w:rPr>
        <w:t>Journal of Hospital Infection</w:t>
      </w:r>
      <w:r w:rsidRPr="00B031A0">
        <w:rPr>
          <w:rFonts w:ascii="Arial" w:hAnsi="Arial" w:cs="Arial"/>
          <w:color w:val="000000" w:themeColor="text1"/>
        </w:rPr>
        <w:t xml:space="preserve">, [online] 111(1), pp.6–26. </w:t>
      </w:r>
      <w:proofErr w:type="gramStart"/>
      <w:r w:rsidRPr="00B031A0">
        <w:rPr>
          <w:rFonts w:ascii="Arial" w:hAnsi="Arial" w:cs="Arial"/>
          <w:color w:val="000000" w:themeColor="text1"/>
        </w:rPr>
        <w:t>doi:10.1016/j.jhin</w:t>
      </w:r>
      <w:proofErr w:type="gramEnd"/>
      <w:r w:rsidRPr="00B031A0">
        <w:rPr>
          <w:rFonts w:ascii="Arial" w:hAnsi="Arial" w:cs="Arial"/>
          <w:color w:val="000000" w:themeColor="text1"/>
        </w:rPr>
        <w:t>.2021.03.007.</w:t>
      </w:r>
    </w:p>
    <w:p w14:paraId="5686E7A9" w14:textId="77777777" w:rsidR="00776C49" w:rsidRPr="00B031A0" w:rsidRDefault="00776C49" w:rsidP="00D44D36">
      <w:pPr>
        <w:spacing w:before="240" w:after="240"/>
        <w:rPr>
          <w:rFonts w:ascii="Arial" w:hAnsi="Arial" w:cs="Arial"/>
          <w:color w:val="000000" w:themeColor="text1"/>
        </w:rPr>
      </w:pPr>
      <w:r w:rsidRPr="00B031A0">
        <w:rPr>
          <w:rFonts w:ascii="Arial" w:hAnsi="Arial" w:cs="Arial"/>
          <w:color w:val="000000" w:themeColor="text1"/>
        </w:rPr>
        <w:t xml:space="preserve">Covvey, J.R., McClendon, C. and Gionfriddo, M.R. (2023). Back to the basics: Guidance for formulating good research questions. </w:t>
      </w:r>
      <w:r w:rsidRPr="00B031A0">
        <w:rPr>
          <w:rFonts w:ascii="Arial" w:hAnsi="Arial" w:cs="Arial"/>
          <w:i/>
          <w:iCs/>
          <w:color w:val="000000" w:themeColor="text1"/>
        </w:rPr>
        <w:t>Research in Social and Administrative Pharmacy</w:t>
      </w:r>
      <w:r w:rsidRPr="00B031A0">
        <w:rPr>
          <w:rFonts w:ascii="Arial" w:hAnsi="Arial" w:cs="Arial"/>
          <w:color w:val="000000" w:themeColor="text1"/>
        </w:rPr>
        <w:t xml:space="preserve">, [online] 20(1), pp.66–69. </w:t>
      </w:r>
      <w:proofErr w:type="gramStart"/>
      <w:r w:rsidRPr="00B031A0">
        <w:rPr>
          <w:rFonts w:ascii="Arial" w:hAnsi="Arial" w:cs="Arial"/>
          <w:color w:val="000000" w:themeColor="text1"/>
        </w:rPr>
        <w:t>doi:10.1016/j.sapharm</w:t>
      </w:r>
      <w:proofErr w:type="gramEnd"/>
      <w:r w:rsidRPr="00B031A0">
        <w:rPr>
          <w:rFonts w:ascii="Arial" w:hAnsi="Arial" w:cs="Arial"/>
          <w:color w:val="000000" w:themeColor="text1"/>
        </w:rPr>
        <w:t>.2023.09.009.</w:t>
      </w:r>
    </w:p>
    <w:p w14:paraId="05D06AB0" w14:textId="77777777" w:rsidR="00776C49" w:rsidRPr="00B031A0" w:rsidRDefault="00776C49" w:rsidP="00D44D36">
      <w:pPr>
        <w:spacing w:before="240" w:after="240"/>
        <w:rPr>
          <w:rFonts w:ascii="Arial" w:hAnsi="Arial" w:cs="Arial"/>
          <w:color w:val="000000" w:themeColor="text1"/>
        </w:rPr>
      </w:pPr>
      <w:r w:rsidRPr="00B031A0">
        <w:rPr>
          <w:rFonts w:ascii="Arial" w:hAnsi="Arial" w:cs="Arial"/>
          <w:color w:val="000000" w:themeColor="text1"/>
        </w:rPr>
        <w:t xml:space="preserve">Drolet, M.-J., Rose-Derouin, E., Leblanc, J.-C., Ruest, M. and </w:t>
      </w:r>
      <w:proofErr w:type="gramStart"/>
      <w:r w:rsidRPr="00B031A0">
        <w:rPr>
          <w:rFonts w:ascii="Arial" w:hAnsi="Arial" w:cs="Arial"/>
          <w:color w:val="000000" w:themeColor="text1"/>
        </w:rPr>
        <w:t>Williams-Jones</w:t>
      </w:r>
      <w:proofErr w:type="gramEnd"/>
      <w:r w:rsidRPr="00B031A0">
        <w:rPr>
          <w:rFonts w:ascii="Arial" w:hAnsi="Arial" w:cs="Arial"/>
          <w:color w:val="000000" w:themeColor="text1"/>
        </w:rPr>
        <w:t xml:space="preserve">, B. (2022). Ethical issues in research: Perceptions of researchers, Research Ethics Board members and research ethics experts. </w:t>
      </w:r>
      <w:r w:rsidRPr="00B031A0">
        <w:rPr>
          <w:rFonts w:ascii="Arial" w:hAnsi="Arial" w:cs="Arial"/>
          <w:i/>
          <w:iCs/>
          <w:color w:val="000000" w:themeColor="text1"/>
        </w:rPr>
        <w:t>Journal of Academic Ethics</w:t>
      </w:r>
      <w:r w:rsidRPr="00B031A0">
        <w:rPr>
          <w:rFonts w:ascii="Arial" w:hAnsi="Arial" w:cs="Arial"/>
          <w:color w:val="000000" w:themeColor="text1"/>
        </w:rPr>
        <w:t>, 21(2), pp.269–292. doi:10.1007/s10805-022-09455-3.</w:t>
      </w:r>
    </w:p>
    <w:p w14:paraId="2799A18E" w14:textId="77777777" w:rsidR="00776C49" w:rsidRPr="00B031A0" w:rsidRDefault="00776C49" w:rsidP="00D44D36">
      <w:pPr>
        <w:spacing w:before="240" w:after="240"/>
        <w:rPr>
          <w:rFonts w:ascii="Arial" w:hAnsi="Arial" w:cs="Arial"/>
          <w:color w:val="000000" w:themeColor="text1"/>
        </w:rPr>
      </w:pPr>
      <w:r w:rsidRPr="00B031A0">
        <w:rPr>
          <w:rFonts w:ascii="Arial" w:hAnsi="Arial" w:cs="Arial"/>
          <w:color w:val="000000" w:themeColor="text1"/>
        </w:rPr>
        <w:t xml:space="preserve">Dulal, T.D. (2025). Overview of various types of research philosophies and their importance. </w:t>
      </w:r>
      <w:r w:rsidRPr="00B031A0">
        <w:rPr>
          <w:rFonts w:ascii="Arial" w:hAnsi="Arial" w:cs="Arial"/>
          <w:i/>
          <w:iCs/>
          <w:color w:val="000000" w:themeColor="text1"/>
        </w:rPr>
        <w:t>Patan Pragya</w:t>
      </w:r>
      <w:r w:rsidRPr="00B031A0">
        <w:rPr>
          <w:rFonts w:ascii="Arial" w:hAnsi="Arial" w:cs="Arial"/>
          <w:color w:val="000000" w:themeColor="text1"/>
        </w:rPr>
        <w:t>, 14(1), pp.99–113. doi:10.3126/</w:t>
      </w:r>
      <w:proofErr w:type="gramStart"/>
      <w:r w:rsidRPr="00B031A0">
        <w:rPr>
          <w:rFonts w:ascii="Arial" w:hAnsi="Arial" w:cs="Arial"/>
          <w:color w:val="000000" w:themeColor="text1"/>
        </w:rPr>
        <w:t>pragya.v</w:t>
      </w:r>
      <w:proofErr w:type="gramEnd"/>
      <w:r w:rsidRPr="00B031A0">
        <w:rPr>
          <w:rFonts w:ascii="Arial" w:hAnsi="Arial" w:cs="Arial"/>
          <w:color w:val="000000" w:themeColor="text1"/>
        </w:rPr>
        <w:t>14i1.90727.</w:t>
      </w:r>
    </w:p>
    <w:p w14:paraId="4BD7803A" w14:textId="77777777" w:rsidR="00776C49" w:rsidRPr="00B031A0" w:rsidRDefault="00776C49" w:rsidP="00D44D36">
      <w:pPr>
        <w:spacing w:before="240"/>
        <w:rPr>
          <w:rFonts w:ascii="Arial" w:hAnsi="Arial" w:cs="Arial"/>
          <w:color w:val="000000" w:themeColor="text1"/>
        </w:rPr>
      </w:pPr>
      <w:r w:rsidRPr="00B031A0">
        <w:rPr>
          <w:rFonts w:ascii="Arial" w:hAnsi="Arial" w:cs="Arial"/>
          <w:color w:val="000000" w:themeColor="text1"/>
        </w:rPr>
        <w:t xml:space="preserve">Fabre, V., Secaira, C., Herzig, C., Bancroft, E., </w:t>
      </w:r>
      <w:proofErr w:type="spellStart"/>
      <w:r w:rsidRPr="00B031A0">
        <w:rPr>
          <w:rFonts w:ascii="Arial" w:hAnsi="Arial" w:cs="Arial"/>
          <w:color w:val="000000" w:themeColor="text1"/>
        </w:rPr>
        <w:t>Bernachea</w:t>
      </w:r>
      <w:proofErr w:type="spellEnd"/>
      <w:r w:rsidRPr="00B031A0">
        <w:rPr>
          <w:rFonts w:ascii="Arial" w:hAnsi="Arial" w:cs="Arial"/>
          <w:color w:val="000000" w:themeColor="text1"/>
        </w:rPr>
        <w:t xml:space="preserve">, M.P., Galarza, L.A., Bowen Aquiles, Arauz, A.B., Del, M., </w:t>
      </w:r>
      <w:proofErr w:type="spellStart"/>
      <w:r w:rsidRPr="00B031A0">
        <w:rPr>
          <w:rFonts w:ascii="Arial" w:hAnsi="Arial" w:cs="Arial"/>
          <w:color w:val="000000" w:themeColor="text1"/>
        </w:rPr>
        <w:t>Bernan</w:t>
      </w:r>
      <w:proofErr w:type="spellEnd"/>
      <w:r w:rsidRPr="00B031A0">
        <w:rPr>
          <w:rFonts w:ascii="Arial" w:hAnsi="Arial" w:cs="Arial"/>
          <w:color w:val="000000" w:themeColor="text1"/>
        </w:rPr>
        <w:t xml:space="preserve">, M.L., Burokas, S., Canton, A., </w:t>
      </w:r>
      <w:proofErr w:type="spellStart"/>
      <w:r w:rsidRPr="00B031A0">
        <w:rPr>
          <w:rFonts w:ascii="Arial" w:hAnsi="Arial" w:cs="Arial"/>
          <w:color w:val="000000" w:themeColor="text1"/>
        </w:rPr>
        <w:t>Cazali</w:t>
      </w:r>
      <w:proofErr w:type="spellEnd"/>
      <w:r w:rsidRPr="00B031A0">
        <w:rPr>
          <w:rFonts w:ascii="Arial" w:hAnsi="Arial" w:cs="Arial"/>
          <w:color w:val="000000" w:themeColor="text1"/>
        </w:rPr>
        <w:t xml:space="preserve">, I.L., Colque, A., Comas, M., Contreras, R.V., </w:t>
      </w:r>
      <w:proofErr w:type="spellStart"/>
      <w:r w:rsidRPr="00B031A0">
        <w:rPr>
          <w:rFonts w:ascii="Arial" w:hAnsi="Arial" w:cs="Arial"/>
          <w:color w:val="000000" w:themeColor="text1"/>
        </w:rPr>
        <w:t>Cornistein</w:t>
      </w:r>
      <w:proofErr w:type="spellEnd"/>
      <w:r w:rsidRPr="00B031A0">
        <w:rPr>
          <w:rFonts w:ascii="Arial" w:hAnsi="Arial" w:cs="Arial"/>
          <w:color w:val="000000" w:themeColor="text1"/>
        </w:rPr>
        <w:t xml:space="preserve">, W., Cordoba, M.G., Correa, S.M., Campero, G.C., Isabel, M., Chavez, N., </w:t>
      </w:r>
      <w:proofErr w:type="spellStart"/>
      <w:r w:rsidRPr="00B031A0">
        <w:rPr>
          <w:rFonts w:ascii="Arial" w:hAnsi="Arial" w:cs="Arial"/>
          <w:color w:val="000000" w:themeColor="text1"/>
        </w:rPr>
        <w:t>Ascencao</w:t>
      </w:r>
      <w:proofErr w:type="spellEnd"/>
      <w:r w:rsidRPr="00B031A0">
        <w:rPr>
          <w:rFonts w:ascii="Arial" w:hAnsi="Arial" w:cs="Arial"/>
          <w:color w:val="000000" w:themeColor="text1"/>
        </w:rPr>
        <w:t xml:space="preserve">, G. De, García, C.C., Esquivel, C., </w:t>
      </w:r>
      <w:proofErr w:type="spellStart"/>
      <w:r w:rsidRPr="00B031A0">
        <w:rPr>
          <w:rFonts w:ascii="Arial" w:hAnsi="Arial" w:cs="Arial"/>
          <w:color w:val="000000" w:themeColor="text1"/>
        </w:rPr>
        <w:t>Ezcurra</w:t>
      </w:r>
      <w:proofErr w:type="spellEnd"/>
      <w:r w:rsidRPr="00B031A0">
        <w:rPr>
          <w:rFonts w:ascii="Arial" w:hAnsi="Arial" w:cs="Arial"/>
          <w:color w:val="000000" w:themeColor="text1"/>
        </w:rPr>
        <w:t xml:space="preserve">, C., Fabbro, L., </w:t>
      </w:r>
      <w:proofErr w:type="spellStart"/>
      <w:r w:rsidRPr="00B031A0">
        <w:rPr>
          <w:rFonts w:ascii="Arial" w:hAnsi="Arial" w:cs="Arial"/>
          <w:color w:val="000000" w:themeColor="text1"/>
        </w:rPr>
        <w:t>Falleroni</w:t>
      </w:r>
      <w:proofErr w:type="spellEnd"/>
      <w:r w:rsidRPr="00B031A0">
        <w:rPr>
          <w:rFonts w:ascii="Arial" w:hAnsi="Arial" w:cs="Arial"/>
          <w:color w:val="000000" w:themeColor="text1"/>
        </w:rPr>
        <w:t xml:space="preserve">, L., Fernandez, J., Ferrari, S., Freire, V., Garzón, M.I., Gonzales, J.A., Guaymas, L., Guerrero-Toapanta, F., Laplume, D., Lambert, S., César Guillermo Lemir, Lazarte, P.R., Lopez, I.L., Maldonado, H., Martínez, G., Maurizi, D.M., </w:t>
      </w:r>
      <w:proofErr w:type="spellStart"/>
      <w:r w:rsidRPr="00B031A0">
        <w:rPr>
          <w:rFonts w:ascii="Arial" w:hAnsi="Arial" w:cs="Arial"/>
          <w:color w:val="000000" w:themeColor="text1"/>
        </w:rPr>
        <w:t>Mesplet</w:t>
      </w:r>
      <w:proofErr w:type="spellEnd"/>
      <w:r w:rsidRPr="00B031A0">
        <w:rPr>
          <w:rFonts w:ascii="Arial" w:hAnsi="Arial" w:cs="Arial"/>
          <w:color w:val="000000" w:themeColor="text1"/>
        </w:rPr>
        <w:t xml:space="preserve">, F., Izquierdo, C.M., Moya, G.L., Nájera, M., Yanina Nuccetelli, </w:t>
      </w:r>
      <w:r w:rsidRPr="00B031A0">
        <w:rPr>
          <w:rFonts w:ascii="Arial" w:hAnsi="Arial" w:cs="Arial"/>
          <w:color w:val="000000" w:themeColor="text1"/>
        </w:rPr>
        <w:lastRenderedPageBreak/>
        <w:t xml:space="preserve">Olmedo, A., Palacio, B., </w:t>
      </w:r>
      <w:proofErr w:type="spellStart"/>
      <w:r w:rsidRPr="00B031A0">
        <w:rPr>
          <w:rFonts w:ascii="Arial" w:hAnsi="Arial" w:cs="Arial"/>
          <w:color w:val="000000" w:themeColor="text1"/>
        </w:rPr>
        <w:t>Pellice</w:t>
      </w:r>
      <w:proofErr w:type="spellEnd"/>
      <w:r w:rsidRPr="00B031A0">
        <w:rPr>
          <w:rFonts w:ascii="Arial" w:hAnsi="Arial" w:cs="Arial"/>
          <w:color w:val="000000" w:themeColor="text1"/>
        </w:rPr>
        <w:t xml:space="preserve">, F., Raffo, C.L., Ramos, C., Reino, F., Rodriguez, V., Romero, F., Romero, J.J., Sadino, G., Sandoval, N., Suarez, M., </w:t>
      </w:r>
      <w:proofErr w:type="spellStart"/>
      <w:r w:rsidRPr="00B031A0">
        <w:rPr>
          <w:rFonts w:ascii="Arial" w:hAnsi="Arial" w:cs="Arial"/>
          <w:color w:val="000000" w:themeColor="text1"/>
        </w:rPr>
        <w:t>Suayter</w:t>
      </w:r>
      <w:proofErr w:type="spellEnd"/>
      <w:r w:rsidRPr="00B031A0">
        <w:rPr>
          <w:rFonts w:ascii="Arial" w:hAnsi="Arial" w:cs="Arial"/>
          <w:color w:val="000000" w:themeColor="text1"/>
        </w:rPr>
        <w:t xml:space="preserve">, M.V., Ureña, M.A., Valle, M., Reyes, L.V., Vera, S., Videla, H., Silvina </w:t>
      </w:r>
      <w:proofErr w:type="spellStart"/>
      <w:r w:rsidRPr="00B031A0">
        <w:rPr>
          <w:rFonts w:ascii="Arial" w:hAnsi="Arial" w:cs="Arial"/>
          <w:color w:val="000000" w:themeColor="text1"/>
        </w:rPr>
        <w:t>Villamandos</w:t>
      </w:r>
      <w:proofErr w:type="spellEnd"/>
      <w:r w:rsidRPr="00B031A0">
        <w:rPr>
          <w:rFonts w:ascii="Arial" w:hAnsi="Arial" w:cs="Arial"/>
          <w:color w:val="000000" w:themeColor="text1"/>
        </w:rPr>
        <w:t xml:space="preserve">, Villarreal, O., Viteri, M.A., Warley, E. and Quiros, R.E. (2024). Contextual barriers to infection prevention and control program implementation in hospitals in Latin America: A mixed methods evaluation. </w:t>
      </w:r>
      <w:r w:rsidRPr="00B031A0">
        <w:rPr>
          <w:rFonts w:ascii="Arial" w:hAnsi="Arial" w:cs="Arial"/>
          <w:i/>
          <w:iCs/>
          <w:color w:val="000000" w:themeColor="text1"/>
        </w:rPr>
        <w:t>Antimicrobial Resistance and Infection Control</w:t>
      </w:r>
      <w:r w:rsidRPr="00B031A0">
        <w:rPr>
          <w:rFonts w:ascii="Arial" w:hAnsi="Arial" w:cs="Arial"/>
          <w:color w:val="000000" w:themeColor="text1"/>
        </w:rPr>
        <w:t>, 13(1). doi:10.1186/s13756-024-01484-4.</w:t>
      </w:r>
    </w:p>
    <w:p w14:paraId="0306A0E1" w14:textId="77777777" w:rsidR="00B1135D" w:rsidRDefault="00B1135D" w:rsidP="00B1135D">
      <w:pPr>
        <w:rPr>
          <w:rFonts w:ascii="Arial" w:hAnsi="Arial" w:cs="Arial"/>
          <w:color w:val="000000" w:themeColor="text1"/>
        </w:rPr>
      </w:pPr>
      <w:r w:rsidRPr="00AE5573">
        <w:rPr>
          <w:rFonts w:ascii="Arial" w:hAnsi="Arial" w:cs="Arial"/>
          <w:color w:val="000000" w:themeColor="text1"/>
        </w:rPr>
        <w:t>Fuller, C., Michie, S., Savage, J., McAteer, J., Besser, S., Charlett, A., Hayward, A., Cookson, B.D., Cooper, B.S., Duckworth, G. and Jeanes, A., 2012. The Feedback Intervention Trial (FIT)—improving hand-hygiene compliance in UK healthcare workers: a stepped wedge cluster randomised controlled trial. </w:t>
      </w:r>
      <w:proofErr w:type="spellStart"/>
      <w:r w:rsidRPr="00AE5573">
        <w:rPr>
          <w:rFonts w:ascii="Arial" w:hAnsi="Arial" w:cs="Arial"/>
          <w:i/>
          <w:iCs/>
          <w:color w:val="000000" w:themeColor="text1"/>
        </w:rPr>
        <w:t>PloS</w:t>
      </w:r>
      <w:proofErr w:type="spellEnd"/>
      <w:r w:rsidRPr="00AE5573">
        <w:rPr>
          <w:rFonts w:ascii="Arial" w:hAnsi="Arial" w:cs="Arial"/>
          <w:i/>
          <w:iCs/>
          <w:color w:val="000000" w:themeColor="text1"/>
        </w:rPr>
        <w:t xml:space="preserve"> one</w:t>
      </w:r>
      <w:r w:rsidRPr="00AE5573">
        <w:rPr>
          <w:rFonts w:ascii="Arial" w:hAnsi="Arial" w:cs="Arial"/>
          <w:color w:val="000000" w:themeColor="text1"/>
        </w:rPr>
        <w:t>, </w:t>
      </w:r>
      <w:r w:rsidRPr="00AE5573">
        <w:rPr>
          <w:rFonts w:ascii="Arial" w:hAnsi="Arial" w:cs="Arial"/>
          <w:i/>
          <w:iCs/>
          <w:color w:val="000000" w:themeColor="text1"/>
        </w:rPr>
        <w:t>7</w:t>
      </w:r>
      <w:r w:rsidRPr="00AE5573">
        <w:rPr>
          <w:rFonts w:ascii="Arial" w:hAnsi="Arial" w:cs="Arial"/>
          <w:color w:val="000000" w:themeColor="text1"/>
        </w:rPr>
        <w:t>(10), p.e41617.</w:t>
      </w:r>
    </w:p>
    <w:p w14:paraId="255F2164" w14:textId="77777777" w:rsidR="00776C49" w:rsidRPr="00B031A0" w:rsidRDefault="00776C49" w:rsidP="00D44D36">
      <w:pPr>
        <w:spacing w:before="240"/>
        <w:rPr>
          <w:rFonts w:ascii="Arial" w:hAnsi="Arial" w:cs="Arial"/>
          <w:color w:val="000000" w:themeColor="text1"/>
        </w:rPr>
      </w:pPr>
      <w:r w:rsidRPr="00B031A0">
        <w:rPr>
          <w:rFonts w:ascii="Arial" w:hAnsi="Arial" w:cs="Arial"/>
          <w:color w:val="000000" w:themeColor="text1"/>
        </w:rPr>
        <w:t xml:space="preserve">Gad, M.H. and </w:t>
      </w:r>
      <w:proofErr w:type="spellStart"/>
      <w:r w:rsidRPr="00B031A0">
        <w:rPr>
          <w:rFonts w:ascii="Arial" w:hAnsi="Arial" w:cs="Arial"/>
          <w:color w:val="000000" w:themeColor="text1"/>
        </w:rPr>
        <w:t>AbdelAziz</w:t>
      </w:r>
      <w:proofErr w:type="spellEnd"/>
      <w:r w:rsidRPr="00B031A0">
        <w:rPr>
          <w:rFonts w:ascii="Arial" w:hAnsi="Arial" w:cs="Arial"/>
          <w:color w:val="000000" w:themeColor="text1"/>
        </w:rPr>
        <w:t xml:space="preserve">, H.H. (2021). Catheter-associated urinary tract infections in the adult patient group: A qualitative systematic review on the adopted preventative and interventional protocols from the literature. </w:t>
      </w:r>
      <w:r w:rsidRPr="00B031A0">
        <w:rPr>
          <w:rFonts w:ascii="Arial" w:hAnsi="Arial" w:cs="Arial"/>
          <w:i/>
          <w:iCs/>
          <w:color w:val="000000" w:themeColor="text1"/>
        </w:rPr>
        <w:t>Cureus</w:t>
      </w:r>
      <w:r w:rsidRPr="00B031A0">
        <w:rPr>
          <w:rFonts w:ascii="Arial" w:hAnsi="Arial" w:cs="Arial"/>
          <w:color w:val="000000" w:themeColor="text1"/>
        </w:rPr>
        <w:t>, 13(7). doi:10.7759/cureus.16284.</w:t>
      </w:r>
    </w:p>
    <w:p w14:paraId="43DD3A04" w14:textId="77777777" w:rsidR="00776C49" w:rsidRPr="00B031A0" w:rsidRDefault="00776C49" w:rsidP="00D44D36">
      <w:pPr>
        <w:spacing w:before="240" w:after="240"/>
        <w:rPr>
          <w:rFonts w:ascii="Arial" w:hAnsi="Arial" w:cs="Arial"/>
          <w:color w:val="000000" w:themeColor="text1"/>
        </w:rPr>
      </w:pPr>
      <w:r w:rsidRPr="00B031A0">
        <w:rPr>
          <w:rFonts w:ascii="Arial" w:hAnsi="Arial" w:cs="Arial"/>
          <w:color w:val="000000" w:themeColor="text1"/>
        </w:rPr>
        <w:t xml:space="preserve">Ghosh, A. and Choudhury, S. (2025). Understanding different types of review articles: A primer for early career researchers. </w:t>
      </w:r>
      <w:r w:rsidRPr="00B031A0">
        <w:rPr>
          <w:rFonts w:ascii="Arial" w:hAnsi="Arial" w:cs="Arial"/>
          <w:i/>
          <w:iCs/>
          <w:color w:val="000000" w:themeColor="text1"/>
        </w:rPr>
        <w:t>Indian Journal of Psychiatry</w:t>
      </w:r>
      <w:r w:rsidRPr="00B031A0">
        <w:rPr>
          <w:rFonts w:ascii="Arial" w:hAnsi="Arial" w:cs="Arial"/>
          <w:color w:val="000000" w:themeColor="text1"/>
        </w:rPr>
        <w:t xml:space="preserve">, [online] 67(5), pp.535–541. </w:t>
      </w:r>
      <w:proofErr w:type="gramStart"/>
      <w:r w:rsidRPr="00B031A0">
        <w:rPr>
          <w:rFonts w:ascii="Arial" w:hAnsi="Arial" w:cs="Arial"/>
          <w:color w:val="000000" w:themeColor="text1"/>
        </w:rPr>
        <w:t>doi:10.4103/indianjpsychiatry.indianjpsychiatry</w:t>
      </w:r>
      <w:proofErr w:type="gramEnd"/>
      <w:r w:rsidRPr="00B031A0">
        <w:rPr>
          <w:rFonts w:ascii="Arial" w:hAnsi="Arial" w:cs="Arial"/>
          <w:color w:val="000000" w:themeColor="text1"/>
        </w:rPr>
        <w:t>_373_25.</w:t>
      </w:r>
    </w:p>
    <w:p w14:paraId="190776FC" w14:textId="77777777" w:rsidR="00776C49" w:rsidRPr="00B031A0" w:rsidRDefault="00776C49" w:rsidP="00D44D36">
      <w:pPr>
        <w:spacing w:before="240" w:after="240"/>
        <w:rPr>
          <w:rFonts w:ascii="Arial" w:hAnsi="Arial" w:cs="Arial"/>
          <w:color w:val="000000" w:themeColor="text1"/>
        </w:rPr>
      </w:pPr>
      <w:r w:rsidRPr="00B031A0">
        <w:rPr>
          <w:rFonts w:ascii="Arial" w:hAnsi="Arial" w:cs="Arial"/>
          <w:color w:val="000000" w:themeColor="text1"/>
        </w:rPr>
        <w:t xml:space="preserve">Golli, A.-L., Cristea, O.M., </w:t>
      </w:r>
      <w:proofErr w:type="spellStart"/>
      <w:r w:rsidRPr="00B031A0">
        <w:rPr>
          <w:rFonts w:ascii="Arial" w:hAnsi="Arial" w:cs="Arial"/>
          <w:color w:val="000000" w:themeColor="text1"/>
        </w:rPr>
        <w:t>Zlatian</w:t>
      </w:r>
      <w:proofErr w:type="spellEnd"/>
      <w:r w:rsidRPr="00B031A0">
        <w:rPr>
          <w:rFonts w:ascii="Arial" w:hAnsi="Arial" w:cs="Arial"/>
          <w:color w:val="000000" w:themeColor="text1"/>
        </w:rPr>
        <w:t xml:space="preserve">, O., Glodeanu, A.-D., </w:t>
      </w:r>
      <w:proofErr w:type="spellStart"/>
      <w:r w:rsidRPr="00B031A0">
        <w:rPr>
          <w:rFonts w:ascii="Arial" w:hAnsi="Arial" w:cs="Arial"/>
          <w:color w:val="000000" w:themeColor="text1"/>
        </w:rPr>
        <w:t>Balasoiu</w:t>
      </w:r>
      <w:proofErr w:type="spellEnd"/>
      <w:r w:rsidRPr="00B031A0">
        <w:rPr>
          <w:rFonts w:ascii="Arial" w:hAnsi="Arial" w:cs="Arial"/>
          <w:color w:val="000000" w:themeColor="text1"/>
        </w:rPr>
        <w:t xml:space="preserve">, A.T., Ionescu, M. and Popa, S. (2022). Prevalence of multidrug-resistant pathogens causing bloodstream infections in an intensive care unit. </w:t>
      </w:r>
      <w:r w:rsidRPr="00B031A0">
        <w:rPr>
          <w:rFonts w:ascii="Arial" w:hAnsi="Arial" w:cs="Arial"/>
          <w:i/>
          <w:iCs/>
          <w:color w:val="000000" w:themeColor="text1"/>
        </w:rPr>
        <w:t>Infection and Drug Resistance</w:t>
      </w:r>
      <w:r w:rsidRPr="00B031A0">
        <w:rPr>
          <w:rFonts w:ascii="Arial" w:hAnsi="Arial" w:cs="Arial"/>
          <w:color w:val="000000" w:themeColor="text1"/>
        </w:rPr>
        <w:t>, Volume 15, pp.5981–5992. doi:10.2147/</w:t>
      </w:r>
      <w:proofErr w:type="gramStart"/>
      <w:r w:rsidRPr="00B031A0">
        <w:rPr>
          <w:rFonts w:ascii="Arial" w:hAnsi="Arial" w:cs="Arial"/>
          <w:color w:val="000000" w:themeColor="text1"/>
        </w:rPr>
        <w:t>idr.s</w:t>
      </w:r>
      <w:proofErr w:type="gramEnd"/>
      <w:r w:rsidRPr="00B031A0">
        <w:rPr>
          <w:rFonts w:ascii="Arial" w:hAnsi="Arial" w:cs="Arial"/>
          <w:color w:val="000000" w:themeColor="text1"/>
        </w:rPr>
        <w:t>383285.</w:t>
      </w:r>
    </w:p>
    <w:p w14:paraId="7C7B50D1" w14:textId="77777777" w:rsidR="003A68B1" w:rsidRPr="00850089" w:rsidRDefault="003A68B1" w:rsidP="003A68B1">
      <w:pPr>
        <w:rPr>
          <w:rFonts w:ascii="Arial" w:hAnsi="Arial" w:cs="Arial"/>
        </w:rPr>
      </w:pPr>
      <w:r w:rsidRPr="00850089">
        <w:rPr>
          <w:rFonts w:ascii="Arial" w:hAnsi="Arial" w:cs="Arial"/>
        </w:rPr>
        <w:t>Guest, J.F., Keating, T., Gould, D. and Wigglesworth, N., 2019. Modelling the costs and consequences of reducing healthcare-associated infections by improving hand hygiene in an average hospital in England. </w:t>
      </w:r>
      <w:r w:rsidRPr="00850089">
        <w:rPr>
          <w:rFonts w:ascii="Arial" w:hAnsi="Arial" w:cs="Arial"/>
          <w:i/>
          <w:iCs/>
        </w:rPr>
        <w:t>BMJ open</w:t>
      </w:r>
      <w:r w:rsidRPr="00850089">
        <w:rPr>
          <w:rFonts w:ascii="Arial" w:hAnsi="Arial" w:cs="Arial"/>
        </w:rPr>
        <w:t>, </w:t>
      </w:r>
      <w:r w:rsidRPr="00850089">
        <w:rPr>
          <w:rFonts w:ascii="Arial" w:hAnsi="Arial" w:cs="Arial"/>
          <w:i/>
          <w:iCs/>
        </w:rPr>
        <w:t>9</w:t>
      </w:r>
      <w:r w:rsidRPr="00850089">
        <w:rPr>
          <w:rFonts w:ascii="Arial" w:hAnsi="Arial" w:cs="Arial"/>
        </w:rPr>
        <w:t>(10), p.e029971.</w:t>
      </w:r>
    </w:p>
    <w:p w14:paraId="21D8620E" w14:textId="77777777" w:rsidR="003A68B1" w:rsidRPr="00850089" w:rsidRDefault="003A68B1" w:rsidP="003A68B1">
      <w:pPr>
        <w:rPr>
          <w:rFonts w:ascii="Arial" w:hAnsi="Arial" w:cs="Arial"/>
        </w:rPr>
      </w:pPr>
      <w:r w:rsidRPr="00850089">
        <w:rPr>
          <w:rFonts w:ascii="Arial" w:hAnsi="Arial" w:cs="Arial"/>
        </w:rPr>
        <w:t xml:space="preserve">Gould, D., Lindström, H., </w:t>
      </w:r>
      <w:proofErr w:type="spellStart"/>
      <w:r w:rsidRPr="00850089">
        <w:rPr>
          <w:rFonts w:ascii="Arial" w:hAnsi="Arial" w:cs="Arial"/>
        </w:rPr>
        <w:t>Purssell</w:t>
      </w:r>
      <w:proofErr w:type="spellEnd"/>
      <w:r w:rsidRPr="00850089">
        <w:rPr>
          <w:rFonts w:ascii="Arial" w:hAnsi="Arial" w:cs="Arial"/>
        </w:rPr>
        <w:t>, E. and Wigglesworth, N., 2020. Electronic hand hygiene monitoring: accuracy, impact on the Hawthorne effect and efficiency. </w:t>
      </w:r>
      <w:r w:rsidRPr="00850089">
        <w:rPr>
          <w:rFonts w:ascii="Arial" w:hAnsi="Arial" w:cs="Arial"/>
          <w:i/>
          <w:iCs/>
        </w:rPr>
        <w:t>Journal of infection prevention</w:t>
      </w:r>
      <w:r w:rsidRPr="00850089">
        <w:rPr>
          <w:rFonts w:ascii="Arial" w:hAnsi="Arial" w:cs="Arial"/>
        </w:rPr>
        <w:t>, </w:t>
      </w:r>
      <w:r w:rsidRPr="00850089">
        <w:rPr>
          <w:rFonts w:ascii="Arial" w:hAnsi="Arial" w:cs="Arial"/>
          <w:i/>
          <w:iCs/>
        </w:rPr>
        <w:t>21</w:t>
      </w:r>
      <w:r w:rsidRPr="00850089">
        <w:rPr>
          <w:rFonts w:ascii="Arial" w:hAnsi="Arial" w:cs="Arial"/>
        </w:rPr>
        <w:t>(4), pp.136-143.</w:t>
      </w:r>
    </w:p>
    <w:p w14:paraId="0FADEC3D" w14:textId="77777777" w:rsidR="00261247" w:rsidRDefault="00261247" w:rsidP="00261247">
      <w:pPr>
        <w:rPr>
          <w:rFonts w:ascii="Arial" w:hAnsi="Arial" w:cs="Arial"/>
          <w:color w:val="000000" w:themeColor="text1"/>
        </w:rPr>
      </w:pPr>
      <w:r w:rsidRPr="008D347C">
        <w:rPr>
          <w:rFonts w:ascii="Arial" w:hAnsi="Arial" w:cs="Arial"/>
          <w:color w:val="000000" w:themeColor="text1"/>
        </w:rPr>
        <w:lastRenderedPageBreak/>
        <w:t xml:space="preserve">Ghafouri, R., Kermani, R.T. and </w:t>
      </w:r>
      <w:proofErr w:type="spellStart"/>
      <w:r w:rsidRPr="008D347C">
        <w:rPr>
          <w:rFonts w:ascii="Arial" w:hAnsi="Arial" w:cs="Arial"/>
          <w:color w:val="000000" w:themeColor="text1"/>
        </w:rPr>
        <w:t>Namaghi</w:t>
      </w:r>
      <w:proofErr w:type="spellEnd"/>
      <w:r w:rsidRPr="008D347C">
        <w:rPr>
          <w:rFonts w:ascii="Arial" w:hAnsi="Arial" w:cs="Arial"/>
          <w:color w:val="000000" w:themeColor="text1"/>
        </w:rPr>
        <w:t>, S.G., 2026. Patient Safety Improvement Via Reducing Health Care–Associated Infections (HCAIs): An Action Research. </w:t>
      </w:r>
      <w:r w:rsidRPr="008D347C">
        <w:rPr>
          <w:rFonts w:ascii="Arial" w:hAnsi="Arial" w:cs="Arial"/>
          <w:i/>
          <w:iCs/>
          <w:color w:val="000000" w:themeColor="text1"/>
        </w:rPr>
        <w:t>Infectious Diseases in Clinical Practice</w:t>
      </w:r>
      <w:r w:rsidRPr="008D347C">
        <w:rPr>
          <w:rFonts w:ascii="Arial" w:hAnsi="Arial" w:cs="Arial"/>
          <w:color w:val="000000" w:themeColor="text1"/>
        </w:rPr>
        <w:t>, </w:t>
      </w:r>
      <w:r w:rsidRPr="008D347C">
        <w:rPr>
          <w:rFonts w:ascii="Arial" w:hAnsi="Arial" w:cs="Arial"/>
          <w:i/>
          <w:iCs/>
          <w:color w:val="000000" w:themeColor="text1"/>
        </w:rPr>
        <w:t>34</w:t>
      </w:r>
      <w:r w:rsidRPr="008D347C">
        <w:rPr>
          <w:rFonts w:ascii="Arial" w:hAnsi="Arial" w:cs="Arial"/>
          <w:color w:val="000000" w:themeColor="text1"/>
        </w:rPr>
        <w:t>(4), p.e1623.</w:t>
      </w:r>
    </w:p>
    <w:p w14:paraId="2EE3844F"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 xml:space="preserve">Hammerschmidt, J. and Manser, T. (2019). Nurses’ knowledge, behaviour and compliance concerning hand hygiene in nursing homes: A cross-sectional mixed-methods study. </w:t>
      </w:r>
      <w:r w:rsidRPr="00B031A0">
        <w:rPr>
          <w:rFonts w:ascii="Arial" w:hAnsi="Arial" w:cs="Arial"/>
          <w:i/>
          <w:iCs/>
          <w:color w:val="000000"/>
        </w:rPr>
        <w:t>BMC Health Services Research</w:t>
      </w:r>
      <w:r w:rsidRPr="00B031A0">
        <w:rPr>
          <w:rFonts w:ascii="Arial" w:hAnsi="Arial" w:cs="Arial"/>
          <w:color w:val="000000"/>
        </w:rPr>
        <w:t>, [online] 19(1), pp.1–13. doi:10.1186/s12913-019-4347-z.</w:t>
      </w:r>
    </w:p>
    <w:p w14:paraId="69579F24" w14:textId="77777777" w:rsidR="00776C49" w:rsidRPr="00B031A0" w:rsidRDefault="00776C49" w:rsidP="00D44D36">
      <w:pPr>
        <w:spacing w:before="240"/>
        <w:rPr>
          <w:rFonts w:ascii="Arial" w:hAnsi="Arial" w:cs="Arial"/>
          <w:color w:val="000000"/>
        </w:rPr>
      </w:pPr>
      <w:r w:rsidRPr="00B031A0">
        <w:rPr>
          <w:rFonts w:ascii="Arial" w:hAnsi="Arial" w:cs="Arial"/>
          <w:color w:val="000000"/>
        </w:rPr>
        <w:t xml:space="preserve">Haque, M., McKimm, J., </w:t>
      </w:r>
      <w:proofErr w:type="spellStart"/>
      <w:r w:rsidRPr="00B031A0">
        <w:rPr>
          <w:rFonts w:ascii="Arial" w:hAnsi="Arial" w:cs="Arial"/>
          <w:color w:val="000000"/>
        </w:rPr>
        <w:t>Sartelli</w:t>
      </w:r>
      <w:proofErr w:type="spellEnd"/>
      <w:r w:rsidRPr="00B031A0">
        <w:rPr>
          <w:rFonts w:ascii="Arial" w:hAnsi="Arial" w:cs="Arial"/>
          <w:color w:val="000000"/>
        </w:rPr>
        <w:t xml:space="preserve">, M., Dhingra, S., </w:t>
      </w:r>
      <w:proofErr w:type="spellStart"/>
      <w:r w:rsidRPr="00B031A0">
        <w:rPr>
          <w:rFonts w:ascii="Arial" w:hAnsi="Arial" w:cs="Arial"/>
          <w:color w:val="000000"/>
        </w:rPr>
        <w:t>Labricciosa</w:t>
      </w:r>
      <w:proofErr w:type="spellEnd"/>
      <w:r w:rsidRPr="00B031A0">
        <w:rPr>
          <w:rFonts w:ascii="Arial" w:hAnsi="Arial" w:cs="Arial"/>
          <w:color w:val="000000"/>
        </w:rPr>
        <w:t xml:space="preserve">, F.M., Islam, S., Jahan, D., Nusrat, T., Chowdhury, T.S., </w:t>
      </w:r>
      <w:proofErr w:type="spellStart"/>
      <w:r w:rsidRPr="00B031A0">
        <w:rPr>
          <w:rFonts w:ascii="Arial" w:hAnsi="Arial" w:cs="Arial"/>
          <w:color w:val="000000"/>
        </w:rPr>
        <w:t>Coccolini</w:t>
      </w:r>
      <w:proofErr w:type="spellEnd"/>
      <w:r w:rsidRPr="00B031A0">
        <w:rPr>
          <w:rFonts w:ascii="Arial" w:hAnsi="Arial" w:cs="Arial"/>
          <w:color w:val="000000"/>
        </w:rPr>
        <w:t xml:space="preserve">, F., Iskandar, K., Catena, F. and Charan, J. (2020). Strategies to prevent healthcare-associated infections: A narrative overview. </w:t>
      </w:r>
      <w:r w:rsidRPr="00B031A0">
        <w:rPr>
          <w:rFonts w:ascii="Arial" w:hAnsi="Arial" w:cs="Arial"/>
          <w:i/>
          <w:iCs/>
          <w:color w:val="000000"/>
        </w:rPr>
        <w:t>Risk Management and Healthcare Policy</w:t>
      </w:r>
      <w:r w:rsidRPr="00B031A0">
        <w:rPr>
          <w:rFonts w:ascii="Arial" w:hAnsi="Arial" w:cs="Arial"/>
          <w:color w:val="000000"/>
        </w:rPr>
        <w:t>, [online] 13(1), pp.1765–1780. doi:10.2147/RMHP.S269315.</w:t>
      </w:r>
    </w:p>
    <w:p w14:paraId="61811D1D" w14:textId="77777777" w:rsidR="00776C49" w:rsidRPr="00B031A0" w:rsidRDefault="00776C49" w:rsidP="00D44D36">
      <w:pPr>
        <w:spacing w:before="240"/>
        <w:rPr>
          <w:rFonts w:ascii="Arial" w:hAnsi="Arial" w:cs="Arial"/>
          <w:color w:val="000000"/>
        </w:rPr>
      </w:pPr>
      <w:r w:rsidRPr="00B031A0">
        <w:rPr>
          <w:rFonts w:ascii="Arial" w:hAnsi="Arial" w:cs="Arial"/>
          <w:color w:val="000000"/>
        </w:rPr>
        <w:t xml:space="preserve">Harb, S., Ghada Abu </w:t>
      </w:r>
      <w:proofErr w:type="spellStart"/>
      <w:r w:rsidRPr="00B031A0">
        <w:rPr>
          <w:rFonts w:ascii="Arial" w:hAnsi="Arial" w:cs="Arial"/>
          <w:color w:val="000000"/>
        </w:rPr>
        <w:t>Shosha</w:t>
      </w:r>
      <w:proofErr w:type="spellEnd"/>
      <w:r w:rsidRPr="00B031A0">
        <w:rPr>
          <w:rFonts w:ascii="Arial" w:hAnsi="Arial" w:cs="Arial"/>
          <w:color w:val="000000"/>
        </w:rPr>
        <w:t>, Islam Ali Oweidat, Khalid Al-</w:t>
      </w:r>
      <w:proofErr w:type="spellStart"/>
      <w:r w:rsidRPr="00B031A0">
        <w:rPr>
          <w:rFonts w:ascii="Arial" w:hAnsi="Arial" w:cs="Arial"/>
          <w:color w:val="000000"/>
        </w:rPr>
        <w:t>Mugheed</w:t>
      </w:r>
      <w:proofErr w:type="spellEnd"/>
      <w:r w:rsidRPr="00B031A0">
        <w:rPr>
          <w:rFonts w:ascii="Arial" w:hAnsi="Arial" w:cs="Arial"/>
          <w:color w:val="000000"/>
        </w:rPr>
        <w:t xml:space="preserve">, Alzoubi, M.M. and Mohammed, S. (2025). Compliance of infection control practices among registered nurses: A cross-sectional study. </w:t>
      </w:r>
      <w:r w:rsidRPr="00B031A0">
        <w:rPr>
          <w:rFonts w:ascii="Arial" w:hAnsi="Arial" w:cs="Arial"/>
          <w:i/>
          <w:iCs/>
          <w:color w:val="000000"/>
        </w:rPr>
        <w:t>PubMed</w:t>
      </w:r>
      <w:r w:rsidRPr="00B031A0">
        <w:rPr>
          <w:rFonts w:ascii="Arial" w:hAnsi="Arial" w:cs="Arial"/>
          <w:color w:val="000000"/>
        </w:rPr>
        <w:t xml:space="preserve">, [online] 104(14), </w:t>
      </w:r>
      <w:proofErr w:type="gramStart"/>
      <w:r w:rsidRPr="00B031A0">
        <w:rPr>
          <w:rFonts w:ascii="Arial" w:hAnsi="Arial" w:cs="Arial"/>
          <w:color w:val="000000"/>
        </w:rPr>
        <w:t>pp.e</w:t>
      </w:r>
      <w:proofErr w:type="gramEnd"/>
      <w:r w:rsidRPr="00B031A0">
        <w:rPr>
          <w:rFonts w:ascii="Arial" w:hAnsi="Arial" w:cs="Arial"/>
          <w:color w:val="000000"/>
        </w:rPr>
        <w:t>42062-e42062. doi:10.1097/md.0000000000042062.</w:t>
      </w:r>
    </w:p>
    <w:p w14:paraId="7E26FF16" w14:textId="77777777" w:rsidR="00261247" w:rsidRDefault="00261247" w:rsidP="00261247">
      <w:pPr>
        <w:rPr>
          <w:rFonts w:ascii="Arial" w:hAnsi="Arial" w:cs="Arial"/>
          <w:color w:val="000000" w:themeColor="text1"/>
        </w:rPr>
      </w:pPr>
      <w:r w:rsidRPr="008D347C">
        <w:rPr>
          <w:rFonts w:ascii="Arial" w:hAnsi="Arial" w:cs="Arial"/>
          <w:color w:val="000000" w:themeColor="text1"/>
        </w:rPr>
        <w:t xml:space="preserve">Haque, M., McKimm, J., </w:t>
      </w:r>
      <w:proofErr w:type="spellStart"/>
      <w:r w:rsidRPr="008D347C">
        <w:rPr>
          <w:rFonts w:ascii="Arial" w:hAnsi="Arial" w:cs="Arial"/>
          <w:color w:val="000000" w:themeColor="text1"/>
        </w:rPr>
        <w:t>Sartelli</w:t>
      </w:r>
      <w:proofErr w:type="spellEnd"/>
      <w:r w:rsidRPr="008D347C">
        <w:rPr>
          <w:rFonts w:ascii="Arial" w:hAnsi="Arial" w:cs="Arial"/>
          <w:color w:val="000000" w:themeColor="text1"/>
        </w:rPr>
        <w:t xml:space="preserve">, M., Dhingra, S., </w:t>
      </w:r>
      <w:proofErr w:type="spellStart"/>
      <w:r w:rsidRPr="008D347C">
        <w:rPr>
          <w:rFonts w:ascii="Arial" w:hAnsi="Arial" w:cs="Arial"/>
          <w:color w:val="000000" w:themeColor="text1"/>
        </w:rPr>
        <w:t>Labricciosa</w:t>
      </w:r>
      <w:proofErr w:type="spellEnd"/>
      <w:r w:rsidRPr="008D347C">
        <w:rPr>
          <w:rFonts w:ascii="Arial" w:hAnsi="Arial" w:cs="Arial"/>
          <w:color w:val="000000" w:themeColor="text1"/>
        </w:rPr>
        <w:t xml:space="preserve">, F.M., Islam, S., Jahan, D., Nusrat, T., Chowdhury, T.S., </w:t>
      </w:r>
      <w:proofErr w:type="spellStart"/>
      <w:r w:rsidRPr="008D347C">
        <w:rPr>
          <w:rFonts w:ascii="Arial" w:hAnsi="Arial" w:cs="Arial"/>
          <w:color w:val="000000" w:themeColor="text1"/>
        </w:rPr>
        <w:t>Coccolini</w:t>
      </w:r>
      <w:proofErr w:type="spellEnd"/>
      <w:r w:rsidRPr="008D347C">
        <w:rPr>
          <w:rFonts w:ascii="Arial" w:hAnsi="Arial" w:cs="Arial"/>
          <w:color w:val="000000" w:themeColor="text1"/>
        </w:rPr>
        <w:t>, F. and Iskandar, K., 2020. Strategies to prevent healthcare-associated infections: a narrative overview. </w:t>
      </w:r>
      <w:r w:rsidRPr="008D347C">
        <w:rPr>
          <w:rFonts w:ascii="Arial" w:hAnsi="Arial" w:cs="Arial"/>
          <w:i/>
          <w:iCs/>
          <w:color w:val="000000" w:themeColor="text1"/>
        </w:rPr>
        <w:t>Risk management and healthcare policy</w:t>
      </w:r>
      <w:r w:rsidRPr="008D347C">
        <w:rPr>
          <w:rFonts w:ascii="Arial" w:hAnsi="Arial" w:cs="Arial"/>
          <w:color w:val="000000" w:themeColor="text1"/>
        </w:rPr>
        <w:t>, pp.1765-1780.</w:t>
      </w:r>
    </w:p>
    <w:p w14:paraId="4D1896CB"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 xml:space="preserve">Hodgson, K.L., Lamport, D.J. and Laville, A. (2024). “Are you OK doctor?” An expanded health belief model exploration of doctors’ experiences and perspectives of on-shift health behaviour. </w:t>
      </w:r>
      <w:r w:rsidRPr="00B031A0">
        <w:rPr>
          <w:rFonts w:ascii="Arial" w:hAnsi="Arial" w:cs="Arial"/>
          <w:i/>
          <w:iCs/>
          <w:color w:val="000000"/>
        </w:rPr>
        <w:t>International Journal of Qualitative Studies on Health and Well-Being</w:t>
      </w:r>
      <w:r w:rsidRPr="00B031A0">
        <w:rPr>
          <w:rFonts w:ascii="Arial" w:hAnsi="Arial" w:cs="Arial"/>
          <w:color w:val="000000"/>
        </w:rPr>
        <w:t>, 19(1). doi:10.1080/17482631.2024.2388795.</w:t>
      </w:r>
    </w:p>
    <w:p w14:paraId="435DCF80" w14:textId="77777777" w:rsidR="00776C49" w:rsidRPr="00B031A0" w:rsidRDefault="00776C49" w:rsidP="00D44D36">
      <w:pPr>
        <w:spacing w:before="240"/>
        <w:rPr>
          <w:rFonts w:ascii="Arial" w:hAnsi="Arial" w:cs="Arial"/>
          <w:color w:val="000000"/>
        </w:rPr>
      </w:pPr>
      <w:r w:rsidRPr="00B031A0">
        <w:rPr>
          <w:rFonts w:ascii="Arial" w:hAnsi="Arial" w:cs="Arial"/>
          <w:color w:val="000000"/>
        </w:rPr>
        <w:t xml:space="preserve">Hoe GAN, W., Wah LIM, J. and KOH, D. (2020). Preventing intra-hospital infection and transmission of COVID-19 in healthcare workers. </w:t>
      </w:r>
      <w:r w:rsidRPr="00B031A0">
        <w:rPr>
          <w:rFonts w:ascii="Arial" w:hAnsi="Arial" w:cs="Arial"/>
          <w:i/>
          <w:iCs/>
          <w:color w:val="000000"/>
        </w:rPr>
        <w:t>Safety and Health at Work</w:t>
      </w:r>
      <w:r w:rsidRPr="00B031A0">
        <w:rPr>
          <w:rFonts w:ascii="Arial" w:hAnsi="Arial" w:cs="Arial"/>
          <w:color w:val="000000"/>
        </w:rPr>
        <w:t xml:space="preserve">, 11(2), pp.241–243. </w:t>
      </w:r>
      <w:proofErr w:type="gramStart"/>
      <w:r w:rsidRPr="00B031A0">
        <w:rPr>
          <w:rFonts w:ascii="Arial" w:hAnsi="Arial" w:cs="Arial"/>
          <w:color w:val="000000"/>
        </w:rPr>
        <w:t>doi:10.1016/j.shaw</w:t>
      </w:r>
      <w:proofErr w:type="gramEnd"/>
      <w:r w:rsidRPr="00B031A0">
        <w:rPr>
          <w:rFonts w:ascii="Arial" w:hAnsi="Arial" w:cs="Arial"/>
          <w:color w:val="000000"/>
        </w:rPr>
        <w:t>.2020.03.001.</w:t>
      </w:r>
    </w:p>
    <w:p w14:paraId="00EE2E9B"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Hosseini, M.-S., Jahanshahlou, F., Akbarzadeh, M.-A., Zarei, M. and Vaez-</w:t>
      </w:r>
      <w:proofErr w:type="spellStart"/>
      <w:r w:rsidRPr="00B031A0">
        <w:rPr>
          <w:rFonts w:ascii="Arial" w:hAnsi="Arial" w:cs="Arial"/>
          <w:color w:val="000000"/>
        </w:rPr>
        <w:t>Gharamaleki</w:t>
      </w:r>
      <w:proofErr w:type="spellEnd"/>
      <w:r w:rsidRPr="00B031A0">
        <w:rPr>
          <w:rFonts w:ascii="Arial" w:hAnsi="Arial" w:cs="Arial"/>
          <w:color w:val="000000"/>
        </w:rPr>
        <w:t xml:space="preserve">, Y. (2024). Formulating research questions for evidence-based studies. </w:t>
      </w:r>
      <w:r w:rsidRPr="00B031A0">
        <w:rPr>
          <w:rFonts w:ascii="Arial" w:hAnsi="Arial" w:cs="Arial"/>
          <w:i/>
          <w:iCs/>
          <w:color w:val="000000"/>
        </w:rPr>
        <w:lastRenderedPageBreak/>
        <w:t>Journal of Medicine, Surgery, and Public Health</w:t>
      </w:r>
      <w:r w:rsidRPr="00B031A0">
        <w:rPr>
          <w:rFonts w:ascii="Arial" w:hAnsi="Arial" w:cs="Arial"/>
          <w:color w:val="000000"/>
        </w:rPr>
        <w:t xml:space="preserve">, [online] 2(2), pp.1–5. </w:t>
      </w:r>
      <w:proofErr w:type="spellStart"/>
      <w:proofErr w:type="gramStart"/>
      <w:r w:rsidRPr="00B031A0">
        <w:rPr>
          <w:rFonts w:ascii="Arial" w:hAnsi="Arial" w:cs="Arial"/>
          <w:color w:val="000000"/>
        </w:rPr>
        <w:t>doi:https</w:t>
      </w:r>
      <w:proofErr w:type="spellEnd"/>
      <w:r w:rsidRPr="00B031A0">
        <w:rPr>
          <w:rFonts w:ascii="Arial" w:hAnsi="Arial" w:cs="Arial"/>
          <w:color w:val="000000"/>
        </w:rPr>
        <w:t>://doi.org/10.1016/j.glmedi.2023.100046</w:t>
      </w:r>
      <w:proofErr w:type="gramEnd"/>
      <w:r w:rsidRPr="00B031A0">
        <w:rPr>
          <w:rFonts w:ascii="Arial" w:hAnsi="Arial" w:cs="Arial"/>
          <w:color w:val="000000"/>
        </w:rPr>
        <w:t>.</w:t>
      </w:r>
    </w:p>
    <w:p w14:paraId="4C7EA043" w14:textId="77777777" w:rsidR="00776C49" w:rsidRPr="00B031A0" w:rsidRDefault="00776C49" w:rsidP="00D44D36">
      <w:pPr>
        <w:spacing w:before="240"/>
        <w:rPr>
          <w:rFonts w:ascii="Arial" w:hAnsi="Arial" w:cs="Arial"/>
          <w:color w:val="000000"/>
        </w:rPr>
      </w:pPr>
      <w:r w:rsidRPr="00B031A0">
        <w:rPr>
          <w:rFonts w:ascii="Arial" w:hAnsi="Arial" w:cs="Arial"/>
          <w:color w:val="000000"/>
        </w:rPr>
        <w:t xml:space="preserve">Hunter Jackson Smith, Earl, J. and Dawson, L. (2023). The Ethics of Personal </w:t>
      </w:r>
      <w:proofErr w:type="spellStart"/>
      <w:r w:rsidRPr="00B031A0">
        <w:rPr>
          <w:rFonts w:ascii="Arial" w:hAnsi="Arial" w:cs="Arial"/>
          <w:color w:val="000000"/>
        </w:rPr>
        <w:t>Behaviors</w:t>
      </w:r>
      <w:proofErr w:type="spellEnd"/>
      <w:r w:rsidRPr="00B031A0">
        <w:rPr>
          <w:rFonts w:ascii="Arial" w:hAnsi="Arial" w:cs="Arial"/>
          <w:color w:val="000000"/>
        </w:rPr>
        <w:t xml:space="preserve"> for Preventing Infectious Diseases in a Post–COVID-19 Pandemic World. </w:t>
      </w:r>
      <w:r w:rsidRPr="00B031A0">
        <w:rPr>
          <w:rFonts w:ascii="Arial" w:hAnsi="Arial" w:cs="Arial"/>
          <w:i/>
          <w:iCs/>
          <w:color w:val="000000"/>
        </w:rPr>
        <w:t>Public Health Reports</w:t>
      </w:r>
      <w:r w:rsidRPr="00B031A0">
        <w:rPr>
          <w:rFonts w:ascii="Arial" w:hAnsi="Arial" w:cs="Arial"/>
          <w:color w:val="000000"/>
        </w:rPr>
        <w:t>, [online] 138(5), pp.822–828. doi:10.1177/00333549231184931.</w:t>
      </w:r>
    </w:p>
    <w:p w14:paraId="30D70DC6" w14:textId="77777777" w:rsidR="00776C49" w:rsidRPr="00B031A0" w:rsidRDefault="00776C49" w:rsidP="00D44D36">
      <w:pPr>
        <w:spacing w:before="240"/>
        <w:rPr>
          <w:rFonts w:ascii="Arial" w:hAnsi="Arial" w:cs="Arial"/>
          <w:color w:val="000000"/>
        </w:rPr>
      </w:pPr>
      <w:r w:rsidRPr="00B031A0">
        <w:rPr>
          <w:rFonts w:ascii="Arial" w:hAnsi="Arial" w:cs="Arial"/>
          <w:color w:val="000000"/>
        </w:rPr>
        <w:t xml:space="preserve">Issa, M., Dunne, S. and Dunne, C. (2022). Hand Hygiene Practices for Prevention of Health care-associated Infections Associated with Admitted Infectious Patients in the Emergency department: A Systematic Review. </w:t>
      </w:r>
      <w:r w:rsidRPr="00B031A0">
        <w:rPr>
          <w:rFonts w:ascii="Arial" w:hAnsi="Arial" w:cs="Arial"/>
          <w:i/>
          <w:iCs/>
          <w:color w:val="000000"/>
        </w:rPr>
        <w:t>Irish Journal of Medical Science (1971 -)</w:t>
      </w:r>
      <w:r w:rsidRPr="00B031A0">
        <w:rPr>
          <w:rFonts w:ascii="Arial" w:hAnsi="Arial" w:cs="Arial"/>
          <w:color w:val="000000"/>
        </w:rPr>
        <w:t>, 192(2). doi:10.1007/s11845-022-03004-y.</w:t>
      </w:r>
    </w:p>
    <w:p w14:paraId="71CA72B0" w14:textId="77777777" w:rsidR="00261247" w:rsidRDefault="00261247" w:rsidP="00261247">
      <w:pPr>
        <w:rPr>
          <w:rFonts w:ascii="Arial" w:hAnsi="Arial" w:cs="Arial"/>
          <w:color w:val="000000" w:themeColor="text1"/>
        </w:rPr>
      </w:pPr>
      <w:r w:rsidRPr="000F0265">
        <w:rPr>
          <w:rFonts w:ascii="Arial" w:hAnsi="Arial" w:cs="Arial"/>
          <w:color w:val="000000" w:themeColor="text1"/>
        </w:rPr>
        <w:t>Issac, A., Nayak, S.G., George, R., Priyadarshini, T. and Jacob, J., 2026. Facilitators and barriers to hand hygiene compliance among health care providers in hospital settings: a qualitative systematic review. </w:t>
      </w:r>
      <w:r w:rsidRPr="000F0265">
        <w:rPr>
          <w:rFonts w:ascii="Arial" w:hAnsi="Arial" w:cs="Arial"/>
          <w:i/>
          <w:iCs/>
          <w:color w:val="000000" w:themeColor="text1"/>
        </w:rPr>
        <w:t>Nursing &amp; Health Sciences</w:t>
      </w:r>
      <w:r w:rsidRPr="000F0265">
        <w:rPr>
          <w:rFonts w:ascii="Arial" w:hAnsi="Arial" w:cs="Arial"/>
          <w:color w:val="000000" w:themeColor="text1"/>
        </w:rPr>
        <w:t>, </w:t>
      </w:r>
      <w:r w:rsidRPr="000F0265">
        <w:rPr>
          <w:rFonts w:ascii="Arial" w:hAnsi="Arial" w:cs="Arial"/>
          <w:i/>
          <w:iCs/>
          <w:color w:val="000000" w:themeColor="text1"/>
        </w:rPr>
        <w:t>28</w:t>
      </w:r>
      <w:r w:rsidRPr="000F0265">
        <w:rPr>
          <w:rFonts w:ascii="Arial" w:hAnsi="Arial" w:cs="Arial"/>
          <w:color w:val="000000" w:themeColor="text1"/>
        </w:rPr>
        <w:t>(1), p.e70297.</w:t>
      </w:r>
    </w:p>
    <w:p w14:paraId="168A4BA3" w14:textId="77777777" w:rsidR="003A68B1" w:rsidRPr="00850089" w:rsidRDefault="003A68B1" w:rsidP="003A68B1">
      <w:pPr>
        <w:rPr>
          <w:rFonts w:ascii="Arial" w:hAnsi="Arial" w:cs="Arial"/>
        </w:rPr>
      </w:pPr>
      <w:r w:rsidRPr="00850089">
        <w:rPr>
          <w:rFonts w:ascii="Arial" w:hAnsi="Arial" w:cs="Arial"/>
        </w:rPr>
        <w:t>Jeanes, A., Coen, P.G., Drey, N.S. and Gould, D.J., 2018. The development of hand hygiene compliance imperatives in an emergency department. </w:t>
      </w:r>
      <w:r w:rsidRPr="00850089">
        <w:rPr>
          <w:rFonts w:ascii="Arial" w:hAnsi="Arial" w:cs="Arial"/>
          <w:i/>
          <w:iCs/>
        </w:rPr>
        <w:t>American journal of infection control</w:t>
      </w:r>
      <w:r w:rsidRPr="00850089">
        <w:rPr>
          <w:rFonts w:ascii="Arial" w:hAnsi="Arial" w:cs="Arial"/>
        </w:rPr>
        <w:t>, </w:t>
      </w:r>
      <w:r w:rsidRPr="00850089">
        <w:rPr>
          <w:rFonts w:ascii="Arial" w:hAnsi="Arial" w:cs="Arial"/>
          <w:i/>
          <w:iCs/>
        </w:rPr>
        <w:t>46</w:t>
      </w:r>
      <w:r w:rsidRPr="00850089">
        <w:rPr>
          <w:rFonts w:ascii="Arial" w:hAnsi="Arial" w:cs="Arial"/>
        </w:rPr>
        <w:t>(4), pp.441-447.</w:t>
      </w:r>
    </w:p>
    <w:p w14:paraId="10BA77A1" w14:textId="5C8C16E8" w:rsidR="00A66163" w:rsidRDefault="00A66163" w:rsidP="00D44D36">
      <w:pPr>
        <w:spacing w:before="240"/>
        <w:rPr>
          <w:rFonts w:ascii="Arial" w:hAnsi="Arial" w:cs="Arial"/>
          <w:color w:val="000000"/>
        </w:rPr>
      </w:pPr>
      <w:r w:rsidRPr="00A66163">
        <w:rPr>
          <w:rFonts w:ascii="Arial" w:hAnsi="Arial" w:cs="Arial"/>
          <w:color w:val="000000"/>
        </w:rPr>
        <w:t>Johnston, A., Kelly, S.E., Hsieh, S.C., Skidmore, B. and Wells, G.A., 2019. Systematic reviews of clinical practice guidelines: a methodological guide. </w:t>
      </w:r>
      <w:r w:rsidRPr="00A66163">
        <w:rPr>
          <w:rFonts w:ascii="Arial" w:hAnsi="Arial" w:cs="Arial"/>
          <w:i/>
          <w:iCs/>
          <w:color w:val="000000"/>
        </w:rPr>
        <w:t>Journal of clinical epidemiology</w:t>
      </w:r>
      <w:r w:rsidRPr="00A66163">
        <w:rPr>
          <w:rFonts w:ascii="Arial" w:hAnsi="Arial" w:cs="Arial"/>
          <w:color w:val="000000"/>
        </w:rPr>
        <w:t>, </w:t>
      </w:r>
      <w:r w:rsidRPr="00A66163">
        <w:rPr>
          <w:rFonts w:ascii="Arial" w:hAnsi="Arial" w:cs="Arial"/>
          <w:i/>
          <w:iCs/>
          <w:color w:val="000000"/>
        </w:rPr>
        <w:t>108</w:t>
      </w:r>
      <w:r w:rsidRPr="00A66163">
        <w:rPr>
          <w:rFonts w:ascii="Arial" w:hAnsi="Arial" w:cs="Arial"/>
          <w:color w:val="000000"/>
        </w:rPr>
        <w:t>, pp.64-76.</w:t>
      </w:r>
    </w:p>
    <w:p w14:paraId="268C3321" w14:textId="77777777" w:rsidR="003A68B1" w:rsidRPr="00850089" w:rsidRDefault="003A68B1" w:rsidP="003A68B1">
      <w:pPr>
        <w:rPr>
          <w:rFonts w:ascii="Arial" w:hAnsi="Arial" w:cs="Arial"/>
        </w:rPr>
      </w:pPr>
      <w:r w:rsidRPr="00850089">
        <w:rPr>
          <w:rFonts w:ascii="Arial" w:hAnsi="Arial" w:cs="Arial"/>
        </w:rPr>
        <w:t>Kaye, G. and Marais, D., 2025. Why do staff comply? A study to determine factors influencing staff adherence to PPE and hand hygiene policy and standards within an acute healthcare setting. </w:t>
      </w:r>
      <w:r w:rsidRPr="00850089">
        <w:rPr>
          <w:rFonts w:ascii="Arial" w:hAnsi="Arial" w:cs="Arial"/>
          <w:i/>
          <w:iCs/>
        </w:rPr>
        <w:t>Journal of infection prevention</w:t>
      </w:r>
      <w:r w:rsidRPr="00850089">
        <w:rPr>
          <w:rFonts w:ascii="Arial" w:hAnsi="Arial" w:cs="Arial"/>
        </w:rPr>
        <w:t>, </w:t>
      </w:r>
      <w:r w:rsidRPr="00850089">
        <w:rPr>
          <w:rFonts w:ascii="Arial" w:hAnsi="Arial" w:cs="Arial"/>
          <w:i/>
          <w:iCs/>
        </w:rPr>
        <w:t>26</w:t>
      </w:r>
      <w:r w:rsidRPr="00850089">
        <w:rPr>
          <w:rFonts w:ascii="Arial" w:hAnsi="Arial" w:cs="Arial"/>
        </w:rPr>
        <w:t>(4), pp.161-166.</w:t>
      </w:r>
    </w:p>
    <w:p w14:paraId="6B923CA5" w14:textId="77777777" w:rsidR="003A68B1" w:rsidRPr="00850089" w:rsidRDefault="003A68B1" w:rsidP="003A68B1">
      <w:pPr>
        <w:rPr>
          <w:rFonts w:ascii="Arial" w:hAnsi="Arial" w:cs="Arial"/>
        </w:rPr>
      </w:pPr>
      <w:r w:rsidRPr="00850089">
        <w:rPr>
          <w:rFonts w:ascii="Arial" w:hAnsi="Arial" w:cs="Arial"/>
        </w:rPr>
        <w:t xml:space="preserve">Kelly, D., </w:t>
      </w:r>
      <w:proofErr w:type="spellStart"/>
      <w:r w:rsidRPr="00850089">
        <w:rPr>
          <w:rFonts w:ascii="Arial" w:hAnsi="Arial" w:cs="Arial"/>
        </w:rPr>
        <w:t>Purssell</w:t>
      </w:r>
      <w:proofErr w:type="spellEnd"/>
      <w:r w:rsidRPr="00850089">
        <w:rPr>
          <w:rFonts w:ascii="Arial" w:hAnsi="Arial" w:cs="Arial"/>
        </w:rPr>
        <w:t>, E., Wigglesworth, N. and Gould, D.J., 2021. Electronic hand hygiene monitoring systems can be well-tolerated by health workers: findings of a qualitative study. </w:t>
      </w:r>
      <w:r w:rsidRPr="00850089">
        <w:rPr>
          <w:rFonts w:ascii="Arial" w:hAnsi="Arial" w:cs="Arial"/>
          <w:i/>
          <w:iCs/>
        </w:rPr>
        <w:t>Journal of infection prevention</w:t>
      </w:r>
      <w:r w:rsidRPr="00850089">
        <w:rPr>
          <w:rFonts w:ascii="Arial" w:hAnsi="Arial" w:cs="Arial"/>
        </w:rPr>
        <w:t>, </w:t>
      </w:r>
      <w:r w:rsidRPr="00850089">
        <w:rPr>
          <w:rFonts w:ascii="Arial" w:hAnsi="Arial" w:cs="Arial"/>
          <w:i/>
          <w:iCs/>
        </w:rPr>
        <w:t>22</w:t>
      </w:r>
      <w:r w:rsidRPr="00850089">
        <w:rPr>
          <w:rFonts w:ascii="Arial" w:hAnsi="Arial" w:cs="Arial"/>
        </w:rPr>
        <w:t>(6), pp.246-251.</w:t>
      </w:r>
    </w:p>
    <w:p w14:paraId="642D86F7" w14:textId="77777777" w:rsidR="003A68B1" w:rsidRPr="00850089" w:rsidRDefault="003A68B1" w:rsidP="003A68B1">
      <w:pPr>
        <w:rPr>
          <w:rFonts w:ascii="Arial" w:hAnsi="Arial" w:cs="Arial"/>
          <w:color w:val="000000" w:themeColor="text1"/>
        </w:rPr>
      </w:pPr>
      <w:r w:rsidRPr="00850089">
        <w:rPr>
          <w:rFonts w:ascii="Arial" w:hAnsi="Arial" w:cs="Arial"/>
        </w:rPr>
        <w:t>King, M.F., Noakes, C.J., Sleigh, P.A., Bale, S. and Waters, L., 2016. Relationship between healthcare worker surface contacts, care type and hand hygiene: an observational study in a single-bed hospital ward. </w:t>
      </w:r>
      <w:r w:rsidRPr="00850089">
        <w:rPr>
          <w:rFonts w:ascii="Arial" w:hAnsi="Arial" w:cs="Arial"/>
          <w:i/>
          <w:iCs/>
        </w:rPr>
        <w:t>Journal of Hospital Infection</w:t>
      </w:r>
      <w:r w:rsidRPr="00850089">
        <w:rPr>
          <w:rFonts w:ascii="Arial" w:hAnsi="Arial" w:cs="Arial"/>
        </w:rPr>
        <w:t>, </w:t>
      </w:r>
      <w:r w:rsidRPr="00850089">
        <w:rPr>
          <w:rFonts w:ascii="Arial" w:hAnsi="Arial" w:cs="Arial"/>
          <w:i/>
          <w:iCs/>
        </w:rPr>
        <w:t>94</w:t>
      </w:r>
      <w:r w:rsidRPr="00850089">
        <w:rPr>
          <w:rFonts w:ascii="Arial" w:hAnsi="Arial" w:cs="Arial"/>
        </w:rPr>
        <w:t>(1), pp.48-51.</w:t>
      </w:r>
    </w:p>
    <w:p w14:paraId="4538254B" w14:textId="6140DF11" w:rsidR="00776C49" w:rsidRPr="00B031A0" w:rsidRDefault="00776C49" w:rsidP="00D44D36">
      <w:pPr>
        <w:spacing w:before="240"/>
        <w:rPr>
          <w:rFonts w:ascii="Arial" w:hAnsi="Arial" w:cs="Arial"/>
          <w:color w:val="000000"/>
        </w:rPr>
      </w:pPr>
      <w:r w:rsidRPr="005A3F47">
        <w:rPr>
          <w:rFonts w:ascii="Arial" w:hAnsi="Arial" w:cs="Arial"/>
          <w:color w:val="000000"/>
          <w:lang w:val="sv-SE"/>
        </w:rPr>
        <w:lastRenderedPageBreak/>
        <w:t xml:space="preserve">Knudsen, A.R., Hansen, M.B. and Møller, J.K. (2023). </w:t>
      </w:r>
      <w:r w:rsidRPr="00B031A0">
        <w:rPr>
          <w:rFonts w:ascii="Arial" w:hAnsi="Arial" w:cs="Arial"/>
          <w:color w:val="000000"/>
        </w:rPr>
        <w:t xml:space="preserve">Individual hand hygiene improvements and effects on healthcare-associated infections: A long-term follow-up study using an electronic hand hygiene monitoring system. </w:t>
      </w:r>
      <w:r w:rsidRPr="00B031A0">
        <w:rPr>
          <w:rFonts w:ascii="Arial" w:hAnsi="Arial" w:cs="Arial"/>
          <w:i/>
          <w:iCs/>
          <w:color w:val="000000"/>
        </w:rPr>
        <w:t>Journal of Hospital Infection</w:t>
      </w:r>
      <w:r w:rsidRPr="00B031A0">
        <w:rPr>
          <w:rFonts w:ascii="Arial" w:hAnsi="Arial" w:cs="Arial"/>
          <w:color w:val="000000"/>
        </w:rPr>
        <w:t xml:space="preserve">, 135, pp.179–185. </w:t>
      </w:r>
      <w:proofErr w:type="gramStart"/>
      <w:r w:rsidRPr="00B031A0">
        <w:rPr>
          <w:rFonts w:ascii="Arial" w:hAnsi="Arial" w:cs="Arial"/>
          <w:color w:val="000000"/>
        </w:rPr>
        <w:t>doi:10.1016/j.jhin</w:t>
      </w:r>
      <w:proofErr w:type="gramEnd"/>
      <w:r w:rsidRPr="00B031A0">
        <w:rPr>
          <w:rFonts w:ascii="Arial" w:hAnsi="Arial" w:cs="Arial"/>
          <w:color w:val="000000"/>
        </w:rPr>
        <w:t>.2023.02.017.</w:t>
      </w:r>
    </w:p>
    <w:p w14:paraId="15FB8936" w14:textId="77777777" w:rsidR="00776C49" w:rsidRPr="00B031A0" w:rsidRDefault="00776C49" w:rsidP="00776C49">
      <w:pPr>
        <w:spacing w:after="240"/>
        <w:rPr>
          <w:rFonts w:ascii="Arial" w:hAnsi="Arial" w:cs="Arial"/>
          <w:color w:val="000000" w:themeColor="text1"/>
        </w:rPr>
      </w:pPr>
      <w:r w:rsidRPr="00B031A0">
        <w:rPr>
          <w:rFonts w:ascii="Arial" w:hAnsi="Arial" w:cs="Arial"/>
          <w:color w:val="000000" w:themeColor="text1"/>
        </w:rPr>
        <w:t xml:space="preserve">Koh, E.Y.H., Koh, K.K., Renganathan, Y. and Krishna, L. (2023). Role modelling in professional identity formation: A systematic scoping review. </w:t>
      </w:r>
      <w:r w:rsidRPr="00B031A0">
        <w:rPr>
          <w:rFonts w:ascii="Arial" w:hAnsi="Arial" w:cs="Arial"/>
          <w:i/>
          <w:iCs/>
          <w:color w:val="000000" w:themeColor="text1"/>
        </w:rPr>
        <w:t>BMC Medical Education</w:t>
      </w:r>
      <w:r w:rsidRPr="00B031A0">
        <w:rPr>
          <w:rFonts w:ascii="Arial" w:hAnsi="Arial" w:cs="Arial"/>
          <w:color w:val="000000" w:themeColor="text1"/>
        </w:rPr>
        <w:t>, [online] 23(1). doi:10.1186/s12909-023-04144-0.</w:t>
      </w:r>
    </w:p>
    <w:p w14:paraId="6DCBA3B9"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themeColor="text1"/>
        </w:rPr>
        <w:t xml:space="preserve">Kousha, K., Thelwall, M. and Bickley, M. (2022). The high </w:t>
      </w:r>
      <w:r w:rsidRPr="00B031A0">
        <w:rPr>
          <w:rFonts w:ascii="Arial" w:hAnsi="Arial" w:cs="Arial"/>
          <w:color w:val="000000"/>
        </w:rPr>
        <w:t xml:space="preserve">scholarly value of grey literature before and during Covid-19. </w:t>
      </w:r>
      <w:proofErr w:type="spellStart"/>
      <w:r w:rsidRPr="00B031A0">
        <w:rPr>
          <w:rFonts w:ascii="Arial" w:hAnsi="Arial" w:cs="Arial"/>
          <w:i/>
          <w:iCs/>
          <w:color w:val="000000"/>
        </w:rPr>
        <w:t>Scientometrics</w:t>
      </w:r>
      <w:proofErr w:type="spellEnd"/>
      <w:r w:rsidRPr="00B031A0">
        <w:rPr>
          <w:rFonts w:ascii="Arial" w:hAnsi="Arial" w:cs="Arial"/>
          <w:color w:val="000000"/>
        </w:rPr>
        <w:t>. doi:10.1007/s11192-022-04398-3.</w:t>
      </w:r>
    </w:p>
    <w:p w14:paraId="3854D882" w14:textId="77777777" w:rsidR="00776C49" w:rsidRPr="00B031A0" w:rsidRDefault="00000000" w:rsidP="00D44D36">
      <w:pPr>
        <w:spacing w:before="240" w:after="240"/>
        <w:rPr>
          <w:rFonts w:ascii="Arial" w:hAnsi="Arial" w:cs="Arial"/>
          <w:color w:val="000000"/>
        </w:rPr>
      </w:pPr>
      <w:sdt>
        <w:sdtPr>
          <w:rPr>
            <w:rFonts w:ascii="Arial" w:hAnsi="Arial" w:cs="Arial"/>
          </w:rPr>
          <w:tag w:val="goog_rdk_18"/>
          <w:id w:val="-26179814"/>
        </w:sdtPr>
        <w:sdtContent>
          <w:r w:rsidR="00776C49" w:rsidRPr="00B031A0">
            <w:rPr>
              <w:rFonts w:ascii="Arial" w:eastAsia="Gungsuh" w:hAnsi="Arial" w:cs="Arial"/>
              <w:color w:val="000000"/>
            </w:rPr>
            <w:t xml:space="preserve">Kumar, A., Kumar, A., Tyagi, A., Singh, R. and Charaya, M.U. (2026). A review of bloodstream infections−pathogens, pathogenesis, diagnostic strategies, treatment methods−challenges and future aspects. </w:t>
          </w:r>
        </w:sdtContent>
      </w:sdt>
      <w:r w:rsidR="00776C49" w:rsidRPr="00B031A0">
        <w:rPr>
          <w:rFonts w:ascii="Arial" w:hAnsi="Arial" w:cs="Arial"/>
          <w:i/>
          <w:iCs/>
          <w:color w:val="000000"/>
        </w:rPr>
        <w:t>European Journal of Clinical Microbiology &amp; Infectious Diseases</w:t>
      </w:r>
      <w:r w:rsidR="00776C49" w:rsidRPr="00B031A0">
        <w:rPr>
          <w:rFonts w:ascii="Arial" w:hAnsi="Arial" w:cs="Arial"/>
          <w:color w:val="000000"/>
        </w:rPr>
        <w:t>. doi:10.1007/s10096-026-05577-3.</w:t>
      </w:r>
    </w:p>
    <w:p w14:paraId="2A02C713"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Kumar, S. (2024). Inductive and deductive approaches to qualitative research. [online] Available at: http://ijmer.s3.amazonaws.com/pdf/volume13/volume13-issue1(4)/9.pdf [Accessed 5 Aug. 2026].</w:t>
      </w:r>
    </w:p>
    <w:p w14:paraId="479BE132"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lang w:val="sv-SE"/>
        </w:rPr>
        <w:t xml:space="preserve">Kumar, S., Kumar, S., Singh, A., Singh, B., Amit Vasant Mahuli and Awanindra Kumar Jha (2023). </w:t>
      </w:r>
      <w:r w:rsidRPr="00B031A0">
        <w:rPr>
          <w:rFonts w:ascii="Arial" w:hAnsi="Arial" w:cs="Arial"/>
          <w:color w:val="000000"/>
        </w:rPr>
        <w:t xml:space="preserve">Assessment of nursing staff\’s knowledge, attitude and practice regarding oral hygiene care in intensive care unit patients: A </w:t>
      </w:r>
      <w:proofErr w:type="spellStart"/>
      <w:r w:rsidRPr="00B031A0">
        <w:rPr>
          <w:rFonts w:ascii="Arial" w:hAnsi="Arial" w:cs="Arial"/>
          <w:color w:val="000000"/>
        </w:rPr>
        <w:t>multicenter</w:t>
      </w:r>
      <w:proofErr w:type="spellEnd"/>
      <w:r w:rsidRPr="00B031A0">
        <w:rPr>
          <w:rFonts w:ascii="Arial" w:hAnsi="Arial" w:cs="Arial"/>
          <w:color w:val="000000"/>
        </w:rPr>
        <w:t xml:space="preserve"> cross-sectional study. </w:t>
      </w:r>
      <w:r w:rsidRPr="00B031A0">
        <w:rPr>
          <w:rFonts w:ascii="Arial" w:hAnsi="Arial" w:cs="Arial"/>
          <w:i/>
          <w:iCs/>
          <w:color w:val="000000"/>
        </w:rPr>
        <w:t>Indian Journal of Critical Care Medicine</w:t>
      </w:r>
      <w:r w:rsidRPr="00B031A0">
        <w:rPr>
          <w:rFonts w:ascii="Arial" w:hAnsi="Arial" w:cs="Arial"/>
          <w:color w:val="000000"/>
        </w:rPr>
        <w:t>, 28(1), pp.48–57. doi:10.5005/jp-journals-10071-24601.</w:t>
      </w:r>
    </w:p>
    <w:p w14:paraId="421B04F8"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 xml:space="preserve">Kutter, J.S., </w:t>
      </w:r>
      <w:proofErr w:type="spellStart"/>
      <w:r w:rsidRPr="00B031A0">
        <w:rPr>
          <w:rFonts w:ascii="Arial" w:hAnsi="Arial" w:cs="Arial"/>
          <w:color w:val="000000"/>
        </w:rPr>
        <w:t>Spronken</w:t>
      </w:r>
      <w:proofErr w:type="spellEnd"/>
      <w:r w:rsidRPr="00B031A0">
        <w:rPr>
          <w:rFonts w:ascii="Arial" w:hAnsi="Arial" w:cs="Arial"/>
          <w:color w:val="000000"/>
        </w:rPr>
        <w:t xml:space="preserve">, M.I., Fraaij, P.L., Fouchier, R.A. and </w:t>
      </w:r>
      <w:proofErr w:type="spellStart"/>
      <w:r w:rsidRPr="00B031A0">
        <w:rPr>
          <w:rFonts w:ascii="Arial" w:hAnsi="Arial" w:cs="Arial"/>
          <w:color w:val="000000"/>
        </w:rPr>
        <w:t>Herfst</w:t>
      </w:r>
      <w:proofErr w:type="spellEnd"/>
      <w:r w:rsidRPr="00B031A0">
        <w:rPr>
          <w:rFonts w:ascii="Arial" w:hAnsi="Arial" w:cs="Arial"/>
          <w:color w:val="000000"/>
        </w:rPr>
        <w:t xml:space="preserve">, S. (2018). Transmission routes of respiratory viruses among humans. </w:t>
      </w:r>
      <w:r w:rsidRPr="00B031A0">
        <w:rPr>
          <w:rFonts w:ascii="Arial" w:hAnsi="Arial" w:cs="Arial"/>
          <w:i/>
          <w:iCs/>
          <w:color w:val="000000"/>
        </w:rPr>
        <w:t>Current Opinion in Virology</w:t>
      </w:r>
      <w:r w:rsidRPr="00B031A0">
        <w:rPr>
          <w:rFonts w:ascii="Arial" w:hAnsi="Arial" w:cs="Arial"/>
          <w:color w:val="000000"/>
        </w:rPr>
        <w:t xml:space="preserve">, [online] 28, pp.142–151. </w:t>
      </w:r>
      <w:proofErr w:type="gramStart"/>
      <w:r w:rsidRPr="00B031A0">
        <w:rPr>
          <w:rFonts w:ascii="Arial" w:hAnsi="Arial" w:cs="Arial"/>
          <w:color w:val="000000"/>
        </w:rPr>
        <w:t>doi:10.1016/j.coviro</w:t>
      </w:r>
      <w:proofErr w:type="gramEnd"/>
      <w:r w:rsidRPr="00B031A0">
        <w:rPr>
          <w:rFonts w:ascii="Arial" w:hAnsi="Arial" w:cs="Arial"/>
          <w:color w:val="000000"/>
        </w:rPr>
        <w:t>.2018.01.001.</w:t>
      </w:r>
    </w:p>
    <w:p w14:paraId="219A74B7"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 xml:space="preserve">Laari, L. (2025). Inductive-deductive qualitative data analysis logic in health sciences research: A framework for analysing qualitative data. </w:t>
      </w:r>
      <w:r w:rsidRPr="00B031A0">
        <w:rPr>
          <w:rFonts w:ascii="Arial" w:hAnsi="Arial" w:cs="Arial"/>
          <w:i/>
          <w:iCs/>
          <w:color w:val="000000"/>
        </w:rPr>
        <w:t>International Journal of Qualitative Methods</w:t>
      </w:r>
      <w:r w:rsidRPr="00B031A0">
        <w:rPr>
          <w:rFonts w:ascii="Arial" w:hAnsi="Arial" w:cs="Arial"/>
          <w:color w:val="000000"/>
        </w:rPr>
        <w:t>, 24. doi:10.1177/16094069251381706.</w:t>
      </w:r>
    </w:p>
    <w:p w14:paraId="6325613A"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lastRenderedPageBreak/>
        <w:t xml:space="preserve">Letellier, S., Boyer, F., </w:t>
      </w:r>
      <w:proofErr w:type="spellStart"/>
      <w:r w:rsidRPr="00B031A0">
        <w:rPr>
          <w:rFonts w:ascii="Arial" w:hAnsi="Arial" w:cs="Arial"/>
          <w:color w:val="000000"/>
        </w:rPr>
        <w:t>Bacqueville</w:t>
      </w:r>
      <w:proofErr w:type="spellEnd"/>
      <w:r w:rsidRPr="00B031A0">
        <w:rPr>
          <w:rFonts w:ascii="Arial" w:hAnsi="Arial" w:cs="Arial"/>
          <w:color w:val="000000"/>
        </w:rPr>
        <w:t xml:space="preserve">, D., Duplan, H., Perrin, L. and </w:t>
      </w:r>
      <w:proofErr w:type="spellStart"/>
      <w:r w:rsidRPr="00B031A0">
        <w:rPr>
          <w:rFonts w:ascii="Arial" w:hAnsi="Arial" w:cs="Arial"/>
          <w:color w:val="000000"/>
        </w:rPr>
        <w:t>Lapalud</w:t>
      </w:r>
      <w:proofErr w:type="spellEnd"/>
      <w:r w:rsidRPr="00B031A0">
        <w:rPr>
          <w:rFonts w:ascii="Arial" w:hAnsi="Arial" w:cs="Arial"/>
          <w:color w:val="000000"/>
        </w:rPr>
        <w:t xml:space="preserve">, P. (2022). How to ensure consumers will be satisfied with a new sustainable sun care product developed for extreme environmental conditions. </w:t>
      </w:r>
      <w:r w:rsidRPr="00B031A0">
        <w:rPr>
          <w:rFonts w:ascii="Arial" w:hAnsi="Arial" w:cs="Arial"/>
          <w:i/>
          <w:iCs/>
          <w:color w:val="000000"/>
        </w:rPr>
        <w:t>Food Quality and Preference</w:t>
      </w:r>
      <w:r w:rsidRPr="00B031A0">
        <w:rPr>
          <w:rFonts w:ascii="Arial" w:hAnsi="Arial" w:cs="Arial"/>
          <w:color w:val="000000"/>
        </w:rPr>
        <w:t xml:space="preserve">, 102, p.104661. </w:t>
      </w:r>
      <w:proofErr w:type="gramStart"/>
      <w:r w:rsidRPr="00B031A0">
        <w:rPr>
          <w:rFonts w:ascii="Arial" w:hAnsi="Arial" w:cs="Arial"/>
          <w:color w:val="000000"/>
        </w:rPr>
        <w:t>doi:10.1016/j.foodqual</w:t>
      </w:r>
      <w:proofErr w:type="gramEnd"/>
      <w:r w:rsidRPr="00B031A0">
        <w:rPr>
          <w:rFonts w:ascii="Arial" w:hAnsi="Arial" w:cs="Arial"/>
          <w:color w:val="000000"/>
        </w:rPr>
        <w:t>.2022.104661.</w:t>
      </w:r>
    </w:p>
    <w:p w14:paraId="03A45D3F" w14:textId="77777777" w:rsidR="00027DAE" w:rsidRDefault="00027DAE" w:rsidP="00027DAE">
      <w:pPr>
        <w:rPr>
          <w:rFonts w:ascii="Arial" w:hAnsi="Arial" w:cs="Arial"/>
          <w:color w:val="000000" w:themeColor="text1"/>
        </w:rPr>
      </w:pPr>
      <w:r w:rsidRPr="00AA0674">
        <w:rPr>
          <w:rFonts w:ascii="Arial" w:hAnsi="Arial" w:cs="Arial"/>
          <w:color w:val="000000" w:themeColor="text1"/>
        </w:rPr>
        <w:t xml:space="preserve">Laskar, A.M., </w:t>
      </w:r>
      <w:proofErr w:type="spellStart"/>
      <w:r w:rsidRPr="00AA0674">
        <w:rPr>
          <w:rFonts w:ascii="Arial" w:hAnsi="Arial" w:cs="Arial"/>
          <w:color w:val="000000" w:themeColor="text1"/>
        </w:rPr>
        <w:t>Deepashree</w:t>
      </w:r>
      <w:proofErr w:type="spellEnd"/>
      <w:r w:rsidRPr="00AA0674">
        <w:rPr>
          <w:rFonts w:ascii="Arial" w:hAnsi="Arial" w:cs="Arial"/>
          <w:color w:val="000000" w:themeColor="text1"/>
        </w:rPr>
        <w:t xml:space="preserve">, R., Bhat, P., </w:t>
      </w:r>
      <w:proofErr w:type="spellStart"/>
      <w:r w:rsidRPr="00AA0674">
        <w:rPr>
          <w:rFonts w:ascii="Arial" w:hAnsi="Arial" w:cs="Arial"/>
          <w:color w:val="000000" w:themeColor="text1"/>
        </w:rPr>
        <w:t>Pottakkat</w:t>
      </w:r>
      <w:proofErr w:type="spellEnd"/>
      <w:r w:rsidRPr="00AA0674">
        <w:rPr>
          <w:rFonts w:ascii="Arial" w:hAnsi="Arial" w:cs="Arial"/>
          <w:color w:val="000000" w:themeColor="text1"/>
        </w:rPr>
        <w:t xml:space="preserve">, B., Narayan, S., Sastry, A.S. and Sneha, R., 2018. A multimodal intervention to improve hand hygiene compliance in a tertiary care </w:t>
      </w:r>
      <w:proofErr w:type="spellStart"/>
      <w:r w:rsidRPr="00AA0674">
        <w:rPr>
          <w:rFonts w:ascii="Arial" w:hAnsi="Arial" w:cs="Arial"/>
          <w:color w:val="000000" w:themeColor="text1"/>
        </w:rPr>
        <w:t>center</w:t>
      </w:r>
      <w:proofErr w:type="spellEnd"/>
      <w:r w:rsidRPr="00AA0674">
        <w:rPr>
          <w:rFonts w:ascii="Arial" w:hAnsi="Arial" w:cs="Arial"/>
          <w:color w:val="000000" w:themeColor="text1"/>
        </w:rPr>
        <w:t>. </w:t>
      </w:r>
      <w:r w:rsidRPr="00AA0674">
        <w:rPr>
          <w:rFonts w:ascii="Arial" w:hAnsi="Arial" w:cs="Arial"/>
          <w:i/>
          <w:iCs/>
          <w:color w:val="000000" w:themeColor="text1"/>
        </w:rPr>
        <w:t>American Journal of Infection Control</w:t>
      </w:r>
      <w:r w:rsidRPr="00AA0674">
        <w:rPr>
          <w:rFonts w:ascii="Arial" w:hAnsi="Arial" w:cs="Arial"/>
          <w:color w:val="000000" w:themeColor="text1"/>
        </w:rPr>
        <w:t>, </w:t>
      </w:r>
      <w:r w:rsidRPr="00AA0674">
        <w:rPr>
          <w:rFonts w:ascii="Arial" w:hAnsi="Arial" w:cs="Arial"/>
          <w:i/>
          <w:iCs/>
          <w:color w:val="000000" w:themeColor="text1"/>
        </w:rPr>
        <w:t>46</w:t>
      </w:r>
      <w:r w:rsidRPr="00AA0674">
        <w:rPr>
          <w:rFonts w:ascii="Arial" w:hAnsi="Arial" w:cs="Arial"/>
          <w:color w:val="000000" w:themeColor="text1"/>
        </w:rPr>
        <w:t>(7), pp.775-780.</w:t>
      </w:r>
    </w:p>
    <w:p w14:paraId="5399EAD0" w14:textId="77777777" w:rsidR="00027DAE" w:rsidRDefault="00027DAE" w:rsidP="00027DAE">
      <w:pPr>
        <w:rPr>
          <w:rFonts w:ascii="Arial" w:hAnsi="Arial" w:cs="Arial"/>
          <w:color w:val="000000" w:themeColor="text1"/>
        </w:rPr>
      </w:pPr>
      <w:proofErr w:type="spellStart"/>
      <w:r w:rsidRPr="00AA0674">
        <w:rPr>
          <w:rFonts w:ascii="Arial" w:hAnsi="Arial" w:cs="Arial"/>
          <w:color w:val="000000" w:themeColor="text1"/>
        </w:rPr>
        <w:t>Lotfinejad</w:t>
      </w:r>
      <w:proofErr w:type="spellEnd"/>
      <w:r w:rsidRPr="00AA0674">
        <w:rPr>
          <w:rFonts w:ascii="Arial" w:hAnsi="Arial" w:cs="Arial"/>
          <w:color w:val="000000" w:themeColor="text1"/>
        </w:rPr>
        <w:t>, N., Peters, A., Tartari, E., Fankhauser-Rodriguez, C., Pires, D. and Pittet, D., 2021. Hand hygiene in health care: 20 years of ongoing advances and perspectives. </w:t>
      </w:r>
      <w:r w:rsidRPr="00AA0674">
        <w:rPr>
          <w:rFonts w:ascii="Arial" w:hAnsi="Arial" w:cs="Arial"/>
          <w:i/>
          <w:iCs/>
          <w:color w:val="000000" w:themeColor="text1"/>
        </w:rPr>
        <w:t>The Lancet infectious diseases</w:t>
      </w:r>
      <w:r w:rsidRPr="00AA0674">
        <w:rPr>
          <w:rFonts w:ascii="Arial" w:hAnsi="Arial" w:cs="Arial"/>
          <w:color w:val="000000" w:themeColor="text1"/>
        </w:rPr>
        <w:t>, </w:t>
      </w:r>
      <w:r w:rsidRPr="00AA0674">
        <w:rPr>
          <w:rFonts w:ascii="Arial" w:hAnsi="Arial" w:cs="Arial"/>
          <w:i/>
          <w:iCs/>
          <w:color w:val="000000" w:themeColor="text1"/>
        </w:rPr>
        <w:t>21</w:t>
      </w:r>
      <w:r w:rsidRPr="00AA0674">
        <w:rPr>
          <w:rFonts w:ascii="Arial" w:hAnsi="Arial" w:cs="Arial"/>
          <w:color w:val="000000" w:themeColor="text1"/>
        </w:rPr>
        <w:t xml:space="preserve">(8), </w:t>
      </w:r>
      <w:proofErr w:type="gramStart"/>
      <w:r w:rsidRPr="00AA0674">
        <w:rPr>
          <w:rFonts w:ascii="Arial" w:hAnsi="Arial" w:cs="Arial"/>
          <w:color w:val="000000" w:themeColor="text1"/>
        </w:rPr>
        <w:t>pp.e</w:t>
      </w:r>
      <w:proofErr w:type="gramEnd"/>
      <w:r w:rsidRPr="00AA0674">
        <w:rPr>
          <w:rFonts w:ascii="Arial" w:hAnsi="Arial" w:cs="Arial"/>
          <w:color w:val="000000" w:themeColor="text1"/>
        </w:rPr>
        <w:t>209-e221.</w:t>
      </w:r>
    </w:p>
    <w:p w14:paraId="52D21EDA" w14:textId="77777777" w:rsidR="00027DAE" w:rsidRDefault="00027DAE" w:rsidP="00027DAE">
      <w:pPr>
        <w:rPr>
          <w:rFonts w:ascii="Arial" w:hAnsi="Arial" w:cs="Arial"/>
          <w:color w:val="000000" w:themeColor="text1"/>
        </w:rPr>
      </w:pPr>
      <w:proofErr w:type="spellStart"/>
      <w:r w:rsidRPr="00AA0674">
        <w:rPr>
          <w:rFonts w:ascii="Arial" w:hAnsi="Arial" w:cs="Arial"/>
          <w:color w:val="000000" w:themeColor="text1"/>
        </w:rPr>
        <w:t>Luangasanatip</w:t>
      </w:r>
      <w:proofErr w:type="spellEnd"/>
      <w:r w:rsidRPr="00AA0674">
        <w:rPr>
          <w:rFonts w:ascii="Arial" w:hAnsi="Arial" w:cs="Arial"/>
          <w:color w:val="000000" w:themeColor="text1"/>
        </w:rPr>
        <w:t xml:space="preserve">, N., </w:t>
      </w:r>
      <w:proofErr w:type="spellStart"/>
      <w:r w:rsidRPr="00AA0674">
        <w:rPr>
          <w:rFonts w:ascii="Arial" w:hAnsi="Arial" w:cs="Arial"/>
          <w:color w:val="000000" w:themeColor="text1"/>
        </w:rPr>
        <w:t>Hongsuwan</w:t>
      </w:r>
      <w:proofErr w:type="spellEnd"/>
      <w:r w:rsidRPr="00AA0674">
        <w:rPr>
          <w:rFonts w:ascii="Arial" w:hAnsi="Arial" w:cs="Arial"/>
          <w:color w:val="000000" w:themeColor="text1"/>
        </w:rPr>
        <w:t xml:space="preserve">, M., </w:t>
      </w:r>
      <w:proofErr w:type="spellStart"/>
      <w:r w:rsidRPr="00AA0674">
        <w:rPr>
          <w:rFonts w:ascii="Arial" w:hAnsi="Arial" w:cs="Arial"/>
          <w:color w:val="000000" w:themeColor="text1"/>
        </w:rPr>
        <w:t>Limmathurotsakul</w:t>
      </w:r>
      <w:proofErr w:type="spellEnd"/>
      <w:r w:rsidRPr="00AA0674">
        <w:rPr>
          <w:rFonts w:ascii="Arial" w:hAnsi="Arial" w:cs="Arial"/>
          <w:color w:val="000000" w:themeColor="text1"/>
        </w:rPr>
        <w:t xml:space="preserve">, D., Lubell, Y., Lee, A.S., </w:t>
      </w:r>
      <w:proofErr w:type="spellStart"/>
      <w:r w:rsidRPr="00AA0674">
        <w:rPr>
          <w:rFonts w:ascii="Arial" w:hAnsi="Arial" w:cs="Arial"/>
          <w:color w:val="000000" w:themeColor="text1"/>
        </w:rPr>
        <w:t>Harbarth</w:t>
      </w:r>
      <w:proofErr w:type="spellEnd"/>
      <w:r w:rsidRPr="00AA0674">
        <w:rPr>
          <w:rFonts w:ascii="Arial" w:hAnsi="Arial" w:cs="Arial"/>
          <w:color w:val="000000" w:themeColor="text1"/>
        </w:rPr>
        <w:t>, S., Day, N.P., Graves, N. and Cooper, B.S., 2015. Comparative efficacy of interventions to promote hand hygiene in hospital: systematic review and network meta-analysis. </w:t>
      </w:r>
      <w:proofErr w:type="spellStart"/>
      <w:r w:rsidRPr="00AA0674">
        <w:rPr>
          <w:rFonts w:ascii="Arial" w:hAnsi="Arial" w:cs="Arial"/>
          <w:i/>
          <w:iCs/>
          <w:color w:val="000000" w:themeColor="text1"/>
        </w:rPr>
        <w:t>Bmj</w:t>
      </w:r>
      <w:proofErr w:type="spellEnd"/>
      <w:r w:rsidRPr="00AA0674">
        <w:rPr>
          <w:rFonts w:ascii="Arial" w:hAnsi="Arial" w:cs="Arial"/>
          <w:color w:val="000000" w:themeColor="text1"/>
        </w:rPr>
        <w:t>, </w:t>
      </w:r>
      <w:r w:rsidRPr="00AA0674">
        <w:rPr>
          <w:rFonts w:ascii="Arial" w:hAnsi="Arial" w:cs="Arial"/>
          <w:i/>
          <w:iCs/>
          <w:color w:val="000000" w:themeColor="text1"/>
        </w:rPr>
        <w:t>351</w:t>
      </w:r>
      <w:r w:rsidRPr="00AA0674">
        <w:rPr>
          <w:rFonts w:ascii="Arial" w:hAnsi="Arial" w:cs="Arial"/>
          <w:color w:val="000000" w:themeColor="text1"/>
        </w:rPr>
        <w:t>.</w:t>
      </w:r>
    </w:p>
    <w:p w14:paraId="760D34F3" w14:textId="77777777" w:rsidR="00776C49" w:rsidRPr="00B031A0" w:rsidRDefault="00776C49" w:rsidP="00D44D36">
      <w:pPr>
        <w:spacing w:before="240"/>
        <w:rPr>
          <w:rFonts w:ascii="Arial" w:hAnsi="Arial" w:cs="Arial"/>
          <w:color w:val="000000"/>
        </w:rPr>
      </w:pPr>
      <w:r w:rsidRPr="00B031A0">
        <w:rPr>
          <w:rFonts w:ascii="Arial" w:hAnsi="Arial" w:cs="Arial"/>
          <w:color w:val="000000"/>
        </w:rPr>
        <w:t xml:space="preserve">Loftus, M.J., Guitart, C., Tartari, E., Stewardson, A.J., Amer, F., Bellissimo-Rodrigues, F., Lee, Y.F., </w:t>
      </w:r>
      <w:proofErr w:type="spellStart"/>
      <w:r w:rsidRPr="00B031A0">
        <w:rPr>
          <w:rFonts w:ascii="Arial" w:hAnsi="Arial" w:cs="Arial"/>
          <w:color w:val="000000"/>
        </w:rPr>
        <w:t>Mehtar</w:t>
      </w:r>
      <w:proofErr w:type="spellEnd"/>
      <w:r w:rsidRPr="00B031A0">
        <w:rPr>
          <w:rFonts w:ascii="Arial" w:hAnsi="Arial" w:cs="Arial"/>
          <w:color w:val="000000"/>
        </w:rPr>
        <w:t xml:space="preserve">, S., Sithole, B.L. and Pittet, D. (2019). Hand hygiene in low- and middle-income countries. </w:t>
      </w:r>
      <w:r w:rsidRPr="00B031A0">
        <w:rPr>
          <w:rFonts w:ascii="Arial" w:hAnsi="Arial" w:cs="Arial"/>
          <w:i/>
          <w:iCs/>
          <w:color w:val="000000"/>
        </w:rPr>
        <w:t>International Journal of Infectious Diseases</w:t>
      </w:r>
      <w:r w:rsidRPr="00B031A0">
        <w:rPr>
          <w:rFonts w:ascii="Arial" w:hAnsi="Arial" w:cs="Arial"/>
          <w:color w:val="000000"/>
        </w:rPr>
        <w:t>, [online] 86(86), pp.25–30. doi:10.1016/j.ijid.2019.06.002.</w:t>
      </w:r>
    </w:p>
    <w:p w14:paraId="29310856" w14:textId="77777777" w:rsidR="003A68B1" w:rsidRPr="00850089" w:rsidRDefault="003A68B1" w:rsidP="003A68B1">
      <w:pPr>
        <w:rPr>
          <w:rFonts w:ascii="Arial" w:hAnsi="Arial" w:cs="Arial"/>
          <w:color w:val="000000" w:themeColor="text1"/>
        </w:rPr>
      </w:pPr>
      <w:r w:rsidRPr="00850089">
        <w:rPr>
          <w:rFonts w:ascii="Arial" w:hAnsi="Arial" w:cs="Arial"/>
          <w:color w:val="000000" w:themeColor="text1"/>
        </w:rPr>
        <w:t xml:space="preserve">Mandal, A., Nursiah, K., Jamal, M., Conway, L., Thomson, H. and </w:t>
      </w:r>
      <w:proofErr w:type="spellStart"/>
      <w:r w:rsidRPr="00850089">
        <w:rPr>
          <w:rFonts w:ascii="Arial" w:hAnsi="Arial" w:cs="Arial"/>
          <w:color w:val="000000" w:themeColor="text1"/>
        </w:rPr>
        <w:t>Snashall</w:t>
      </w:r>
      <w:proofErr w:type="spellEnd"/>
      <w:r w:rsidRPr="00850089">
        <w:rPr>
          <w:rFonts w:ascii="Arial" w:hAnsi="Arial" w:cs="Arial"/>
          <w:color w:val="000000" w:themeColor="text1"/>
        </w:rPr>
        <w:t>, E., 2025. Handwashing by healthcare staff using a modified Ayliffe technique to prevent infection transmission. </w:t>
      </w:r>
      <w:r w:rsidRPr="00850089">
        <w:rPr>
          <w:rFonts w:ascii="Arial" w:hAnsi="Arial" w:cs="Arial"/>
          <w:i/>
          <w:iCs/>
          <w:color w:val="000000" w:themeColor="text1"/>
        </w:rPr>
        <w:t>British Journal of Nursing</w:t>
      </w:r>
      <w:r w:rsidRPr="00850089">
        <w:rPr>
          <w:rFonts w:ascii="Arial" w:hAnsi="Arial" w:cs="Arial"/>
          <w:color w:val="000000" w:themeColor="text1"/>
        </w:rPr>
        <w:t>, </w:t>
      </w:r>
      <w:r w:rsidRPr="00850089">
        <w:rPr>
          <w:rFonts w:ascii="Arial" w:hAnsi="Arial" w:cs="Arial"/>
          <w:i/>
          <w:iCs/>
          <w:color w:val="000000" w:themeColor="text1"/>
        </w:rPr>
        <w:t>34</w:t>
      </w:r>
      <w:r w:rsidRPr="00850089">
        <w:rPr>
          <w:rFonts w:ascii="Arial" w:hAnsi="Arial" w:cs="Arial"/>
          <w:color w:val="000000" w:themeColor="text1"/>
        </w:rPr>
        <w:t>(17), pp.868-876.</w:t>
      </w:r>
    </w:p>
    <w:p w14:paraId="5919975E" w14:textId="77777777" w:rsidR="003A68B1" w:rsidRPr="00850089" w:rsidRDefault="003A68B1" w:rsidP="003A68B1">
      <w:pPr>
        <w:rPr>
          <w:rFonts w:ascii="Arial" w:hAnsi="Arial" w:cs="Arial"/>
          <w:color w:val="000000" w:themeColor="text1"/>
        </w:rPr>
      </w:pPr>
      <w:r w:rsidRPr="00850089">
        <w:rPr>
          <w:rFonts w:ascii="Arial" w:hAnsi="Arial" w:cs="Arial"/>
          <w:color w:val="000000" w:themeColor="text1"/>
        </w:rPr>
        <w:t>Mohammadi-</w:t>
      </w:r>
      <w:proofErr w:type="spellStart"/>
      <w:r w:rsidRPr="00850089">
        <w:rPr>
          <w:rFonts w:ascii="Arial" w:hAnsi="Arial" w:cs="Arial"/>
          <w:color w:val="000000" w:themeColor="text1"/>
        </w:rPr>
        <w:t>Zaniani</w:t>
      </w:r>
      <w:proofErr w:type="spellEnd"/>
      <w:r w:rsidRPr="00850089">
        <w:rPr>
          <w:rFonts w:ascii="Arial" w:hAnsi="Arial" w:cs="Arial"/>
          <w:color w:val="000000" w:themeColor="text1"/>
        </w:rPr>
        <w:t>, G. and Wales, L., 2020. The power is in our hands: a QI project for sustainable hand hygiene.</w:t>
      </w:r>
    </w:p>
    <w:p w14:paraId="73B54449"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 xml:space="preserve">Madden, A.D., Rutter, S., Stones, C. and Ai, W. (2022). Smart hand sanitisers in the workplace: A survey of attitudes towards an internet of things technology. </w:t>
      </w:r>
      <w:r w:rsidRPr="00B031A0">
        <w:rPr>
          <w:rFonts w:ascii="Arial" w:hAnsi="Arial" w:cs="Arial"/>
          <w:i/>
          <w:iCs/>
          <w:color w:val="000000"/>
        </w:rPr>
        <w:t>International Journal of Environmental Research and Public Health</w:t>
      </w:r>
      <w:r w:rsidRPr="00B031A0">
        <w:rPr>
          <w:rFonts w:ascii="Arial" w:hAnsi="Arial" w:cs="Arial"/>
          <w:color w:val="000000"/>
        </w:rPr>
        <w:t>, 19(15), p.9531. doi:10.3390/ijerph19159531.</w:t>
      </w:r>
    </w:p>
    <w:p w14:paraId="697F9943" w14:textId="77777777" w:rsidR="00776C49" w:rsidRPr="00B031A0" w:rsidRDefault="00776C49" w:rsidP="00D44D36">
      <w:pPr>
        <w:spacing w:before="240" w:after="240"/>
        <w:rPr>
          <w:rFonts w:ascii="Arial" w:hAnsi="Arial" w:cs="Arial"/>
          <w:color w:val="000000"/>
        </w:rPr>
      </w:pPr>
      <w:r w:rsidRPr="00574D9F">
        <w:rPr>
          <w:rFonts w:ascii="Arial" w:hAnsi="Arial" w:cs="Arial"/>
          <w:color w:val="000000"/>
          <w:lang w:val="sv-SE"/>
        </w:rPr>
        <w:t xml:space="preserve">Martelli, M., Rosa, A., Miranda, M., Simone, R., Scarpati Cioffari di Castiglione, M., De Falco, F., Gargari, M., Bollero, P. and Gianfreda, F. (2026). </w:t>
      </w:r>
      <w:r w:rsidRPr="00B031A0">
        <w:rPr>
          <w:rFonts w:ascii="Arial" w:hAnsi="Arial" w:cs="Arial"/>
          <w:color w:val="000000"/>
        </w:rPr>
        <w:t xml:space="preserve">Oral hygiene management </w:t>
      </w:r>
      <w:r w:rsidRPr="00B031A0">
        <w:rPr>
          <w:rFonts w:ascii="Arial" w:hAnsi="Arial" w:cs="Arial"/>
          <w:color w:val="000000"/>
        </w:rPr>
        <w:lastRenderedPageBreak/>
        <w:t xml:space="preserve">in critically ill patients: Prevention of ventilator-associated pneumonia. </w:t>
      </w:r>
      <w:r w:rsidRPr="00B031A0">
        <w:rPr>
          <w:rFonts w:ascii="Arial" w:hAnsi="Arial" w:cs="Arial"/>
          <w:i/>
          <w:iCs/>
          <w:color w:val="000000"/>
        </w:rPr>
        <w:t>Frontiers in Dental Medicine</w:t>
      </w:r>
      <w:r w:rsidRPr="00B031A0">
        <w:rPr>
          <w:rFonts w:ascii="Arial" w:hAnsi="Arial" w:cs="Arial"/>
          <w:color w:val="000000"/>
        </w:rPr>
        <w:t>, 7. doi:10.3389/fdmed.2026.1748329.</w:t>
      </w:r>
    </w:p>
    <w:p w14:paraId="34ABBAE5" w14:textId="2E749E60" w:rsidR="00D03C69" w:rsidRDefault="00D03C69" w:rsidP="00D44D36">
      <w:pPr>
        <w:spacing w:before="240" w:after="240"/>
        <w:rPr>
          <w:rFonts w:ascii="Arial" w:hAnsi="Arial" w:cs="Arial"/>
          <w:color w:val="000000"/>
        </w:rPr>
      </w:pPr>
      <w:r w:rsidRPr="00D03C69">
        <w:rPr>
          <w:rFonts w:ascii="Arial" w:hAnsi="Arial" w:cs="Arial"/>
          <w:color w:val="000000"/>
        </w:rPr>
        <w:t xml:space="preserve">Mandrik, P.O.L., </w:t>
      </w:r>
      <w:proofErr w:type="spellStart"/>
      <w:r w:rsidRPr="00D03C69">
        <w:rPr>
          <w:rFonts w:ascii="Arial" w:hAnsi="Arial" w:cs="Arial"/>
          <w:color w:val="000000"/>
        </w:rPr>
        <w:t>Severens</w:t>
      </w:r>
      <w:proofErr w:type="spellEnd"/>
      <w:r w:rsidRPr="00D03C69">
        <w:rPr>
          <w:rFonts w:ascii="Arial" w:hAnsi="Arial" w:cs="Arial"/>
          <w:color w:val="000000"/>
        </w:rPr>
        <w:t xml:space="preserve">, P.J.H., Bardach, P.A., </w:t>
      </w:r>
      <w:proofErr w:type="spellStart"/>
      <w:r w:rsidRPr="00D03C69">
        <w:rPr>
          <w:rFonts w:ascii="Arial" w:hAnsi="Arial" w:cs="Arial"/>
          <w:color w:val="000000"/>
        </w:rPr>
        <w:t>Ghabri</w:t>
      </w:r>
      <w:proofErr w:type="spellEnd"/>
      <w:r w:rsidRPr="00D03C69">
        <w:rPr>
          <w:rFonts w:ascii="Arial" w:hAnsi="Arial" w:cs="Arial"/>
          <w:color w:val="000000"/>
        </w:rPr>
        <w:t>, P.S., Hamel, P.C., Mathes, P.T., Vale, P.L., Wisløff, P.T. and Goldhaber-Fiebert, P.J.D., 2021. Critical appraisal of systematic reviews with costs and cost-effectiveness outcomes: an ISPOR good practices task force report. </w:t>
      </w:r>
      <w:r w:rsidRPr="00D03C69">
        <w:rPr>
          <w:rFonts w:ascii="Arial" w:hAnsi="Arial" w:cs="Arial"/>
          <w:i/>
          <w:iCs/>
          <w:color w:val="000000"/>
        </w:rPr>
        <w:t>Value in Health</w:t>
      </w:r>
      <w:r w:rsidRPr="00D03C69">
        <w:rPr>
          <w:rFonts w:ascii="Arial" w:hAnsi="Arial" w:cs="Arial"/>
          <w:color w:val="000000"/>
        </w:rPr>
        <w:t>, </w:t>
      </w:r>
      <w:r w:rsidRPr="00D03C69">
        <w:rPr>
          <w:rFonts w:ascii="Arial" w:hAnsi="Arial" w:cs="Arial"/>
          <w:i/>
          <w:iCs/>
          <w:color w:val="000000"/>
        </w:rPr>
        <w:t>24</w:t>
      </w:r>
      <w:r w:rsidRPr="00D03C69">
        <w:rPr>
          <w:rFonts w:ascii="Arial" w:hAnsi="Arial" w:cs="Arial"/>
          <w:color w:val="000000"/>
        </w:rPr>
        <w:t>(4), pp.463-472.</w:t>
      </w:r>
    </w:p>
    <w:p w14:paraId="5F278A30" w14:textId="4F20B424" w:rsidR="00776C49" w:rsidRPr="00B031A0" w:rsidRDefault="00776C49" w:rsidP="00D44D36">
      <w:pPr>
        <w:spacing w:before="240" w:after="240"/>
        <w:rPr>
          <w:rFonts w:ascii="Arial" w:hAnsi="Arial" w:cs="Arial"/>
          <w:color w:val="000000"/>
        </w:rPr>
      </w:pPr>
      <w:r w:rsidRPr="00B031A0">
        <w:rPr>
          <w:rFonts w:ascii="Arial" w:hAnsi="Arial" w:cs="Arial"/>
          <w:color w:val="000000"/>
        </w:rPr>
        <w:t xml:space="preserve">Mensah, J., Amoah, J.O., </w:t>
      </w:r>
      <w:proofErr w:type="spellStart"/>
      <w:r w:rsidRPr="00B031A0">
        <w:rPr>
          <w:rFonts w:ascii="Arial" w:hAnsi="Arial" w:cs="Arial"/>
          <w:color w:val="000000"/>
        </w:rPr>
        <w:t>Mattah</w:t>
      </w:r>
      <w:proofErr w:type="spellEnd"/>
      <w:r w:rsidRPr="00B031A0">
        <w:rPr>
          <w:rFonts w:ascii="Arial" w:hAnsi="Arial" w:cs="Arial"/>
          <w:color w:val="000000"/>
        </w:rPr>
        <w:t xml:space="preserve">, P.A.D. and Mensah, A. (2022). Causes and effects of weak enforcement of environmental sanitation laws in Ghana. </w:t>
      </w:r>
      <w:r w:rsidRPr="00B031A0">
        <w:rPr>
          <w:rFonts w:ascii="Arial" w:hAnsi="Arial" w:cs="Arial"/>
          <w:i/>
          <w:iCs/>
          <w:color w:val="000000"/>
        </w:rPr>
        <w:t xml:space="preserve">Journal of Human </w:t>
      </w:r>
      <w:proofErr w:type="spellStart"/>
      <w:r w:rsidRPr="00B031A0">
        <w:rPr>
          <w:rFonts w:ascii="Arial" w:hAnsi="Arial" w:cs="Arial"/>
          <w:i/>
          <w:iCs/>
          <w:color w:val="000000"/>
        </w:rPr>
        <w:t>Behavior</w:t>
      </w:r>
      <w:proofErr w:type="spellEnd"/>
      <w:r w:rsidRPr="00B031A0">
        <w:rPr>
          <w:rFonts w:ascii="Arial" w:hAnsi="Arial" w:cs="Arial"/>
          <w:i/>
          <w:iCs/>
          <w:color w:val="000000"/>
        </w:rPr>
        <w:t xml:space="preserve"> in the Social Environment</w:t>
      </w:r>
      <w:r w:rsidRPr="00B031A0">
        <w:rPr>
          <w:rFonts w:ascii="Arial" w:hAnsi="Arial" w:cs="Arial"/>
          <w:color w:val="000000"/>
        </w:rPr>
        <w:t>, pp.1–22. doi:10.1080/10911359.2022.2080146.</w:t>
      </w:r>
    </w:p>
    <w:p w14:paraId="2F12BED7" w14:textId="77777777" w:rsidR="00A9696A" w:rsidRDefault="00A9696A" w:rsidP="00D44D36">
      <w:pPr>
        <w:spacing w:before="240"/>
        <w:rPr>
          <w:rFonts w:ascii="Arial" w:hAnsi="Arial" w:cs="Arial"/>
          <w:color w:val="000000"/>
        </w:rPr>
      </w:pPr>
      <w:proofErr w:type="spellStart"/>
      <w:r w:rsidRPr="00A9696A">
        <w:rPr>
          <w:rFonts w:ascii="Arial" w:hAnsi="Arial" w:cs="Arial"/>
          <w:color w:val="000000"/>
        </w:rPr>
        <w:t>Migliavaca</w:t>
      </w:r>
      <w:proofErr w:type="spellEnd"/>
      <w:r w:rsidRPr="00A9696A">
        <w:rPr>
          <w:rFonts w:ascii="Arial" w:hAnsi="Arial" w:cs="Arial"/>
          <w:color w:val="000000"/>
        </w:rPr>
        <w:t xml:space="preserve">, C.B., Stein, C., </w:t>
      </w:r>
      <w:proofErr w:type="spellStart"/>
      <w:r w:rsidRPr="00A9696A">
        <w:rPr>
          <w:rFonts w:ascii="Arial" w:hAnsi="Arial" w:cs="Arial"/>
          <w:color w:val="000000"/>
        </w:rPr>
        <w:t>Colpani</w:t>
      </w:r>
      <w:proofErr w:type="spellEnd"/>
      <w:r w:rsidRPr="00A9696A">
        <w:rPr>
          <w:rFonts w:ascii="Arial" w:hAnsi="Arial" w:cs="Arial"/>
          <w:color w:val="000000"/>
        </w:rPr>
        <w:t xml:space="preserve">, V., Munn, Z. and </w:t>
      </w:r>
      <w:proofErr w:type="spellStart"/>
      <w:r w:rsidRPr="00A9696A">
        <w:rPr>
          <w:rFonts w:ascii="Arial" w:hAnsi="Arial" w:cs="Arial"/>
          <w:color w:val="000000"/>
        </w:rPr>
        <w:t>Falavigna</w:t>
      </w:r>
      <w:proofErr w:type="spellEnd"/>
      <w:r w:rsidRPr="00A9696A">
        <w:rPr>
          <w:rFonts w:ascii="Arial" w:hAnsi="Arial" w:cs="Arial"/>
          <w:color w:val="000000"/>
        </w:rPr>
        <w:t>, M., 2020. Quality assessment of prevalence studies: a systematic review. </w:t>
      </w:r>
      <w:r w:rsidRPr="00A9696A">
        <w:rPr>
          <w:rFonts w:ascii="Arial" w:hAnsi="Arial" w:cs="Arial"/>
          <w:i/>
          <w:iCs/>
          <w:color w:val="000000"/>
        </w:rPr>
        <w:t>Journal of clinical epidemiology</w:t>
      </w:r>
      <w:r w:rsidRPr="00A9696A">
        <w:rPr>
          <w:rFonts w:ascii="Arial" w:hAnsi="Arial" w:cs="Arial"/>
          <w:color w:val="000000"/>
        </w:rPr>
        <w:t>, </w:t>
      </w:r>
      <w:r w:rsidRPr="00A9696A">
        <w:rPr>
          <w:rFonts w:ascii="Arial" w:hAnsi="Arial" w:cs="Arial"/>
          <w:i/>
          <w:iCs/>
          <w:color w:val="000000"/>
        </w:rPr>
        <w:t>127</w:t>
      </w:r>
      <w:r w:rsidRPr="00A9696A">
        <w:rPr>
          <w:rFonts w:ascii="Arial" w:hAnsi="Arial" w:cs="Arial"/>
          <w:color w:val="000000"/>
        </w:rPr>
        <w:t>, pp.59-68.</w:t>
      </w:r>
    </w:p>
    <w:p w14:paraId="0AED2E08" w14:textId="59C32942" w:rsidR="00776C49" w:rsidRPr="00B031A0" w:rsidRDefault="00776C49" w:rsidP="00D44D36">
      <w:pPr>
        <w:spacing w:before="240"/>
        <w:rPr>
          <w:rFonts w:ascii="Arial" w:hAnsi="Arial" w:cs="Arial"/>
          <w:color w:val="000000"/>
        </w:rPr>
      </w:pPr>
      <w:r w:rsidRPr="00B031A0">
        <w:rPr>
          <w:rFonts w:ascii="Arial" w:hAnsi="Arial" w:cs="Arial"/>
          <w:color w:val="000000"/>
        </w:rPr>
        <w:t xml:space="preserve">Miron, M., Mihaela Blaj, Anca Irina Ristescu, Iosep, G., Andrei-Nicolae </w:t>
      </w:r>
      <w:proofErr w:type="spellStart"/>
      <w:r w:rsidRPr="00B031A0">
        <w:rPr>
          <w:rFonts w:ascii="Arial" w:hAnsi="Arial" w:cs="Arial"/>
          <w:color w:val="000000"/>
        </w:rPr>
        <w:t>Avădanei</w:t>
      </w:r>
      <w:proofErr w:type="spellEnd"/>
      <w:r w:rsidRPr="00B031A0">
        <w:rPr>
          <w:rFonts w:ascii="Arial" w:hAnsi="Arial" w:cs="Arial"/>
          <w:color w:val="000000"/>
        </w:rPr>
        <w:t xml:space="preserve">, Diana-Gabriela Iosep, Radu </w:t>
      </w:r>
      <w:proofErr w:type="spellStart"/>
      <w:r w:rsidRPr="00B031A0">
        <w:rPr>
          <w:rFonts w:ascii="Arial" w:hAnsi="Arial" w:cs="Arial"/>
          <w:color w:val="000000"/>
        </w:rPr>
        <w:t>Crișan</w:t>
      </w:r>
      <w:proofErr w:type="spellEnd"/>
      <w:r w:rsidRPr="00B031A0">
        <w:rPr>
          <w:rFonts w:ascii="Arial" w:hAnsi="Arial" w:cs="Arial"/>
          <w:color w:val="000000"/>
        </w:rPr>
        <w:t xml:space="preserve">-Dabija, Ciocan, A., Mihaela Perțea, Carmen Doina Manciuc, Luca, Ș., Grigorescu, C. and Mihaela Cătălina Luca (2024). Hospital-Acquired Pneumonia and Ventilator-Associated Pneumonia: A Literature Review. </w:t>
      </w:r>
      <w:r w:rsidRPr="00B031A0">
        <w:rPr>
          <w:rFonts w:ascii="Arial" w:hAnsi="Arial" w:cs="Arial"/>
          <w:i/>
          <w:iCs/>
          <w:color w:val="000000"/>
        </w:rPr>
        <w:t>Microorganisms</w:t>
      </w:r>
      <w:r w:rsidRPr="00B031A0">
        <w:rPr>
          <w:rFonts w:ascii="Arial" w:hAnsi="Arial" w:cs="Arial"/>
          <w:color w:val="000000"/>
        </w:rPr>
        <w:t>, 12(1), pp.213–213. doi:10.3390/microorganisms12010213.</w:t>
      </w:r>
    </w:p>
    <w:p w14:paraId="7E33A786"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themeColor="text1"/>
        </w:rPr>
        <w:t xml:space="preserve">Mitev, A.Z., Tóth, R. and </w:t>
      </w:r>
      <w:proofErr w:type="spellStart"/>
      <w:r w:rsidRPr="00B031A0">
        <w:rPr>
          <w:rFonts w:ascii="Arial" w:hAnsi="Arial" w:cs="Arial"/>
          <w:color w:val="000000" w:themeColor="text1"/>
        </w:rPr>
        <w:t>Vaszkun</w:t>
      </w:r>
      <w:proofErr w:type="spellEnd"/>
      <w:r w:rsidRPr="00B031A0">
        <w:rPr>
          <w:rFonts w:ascii="Arial" w:hAnsi="Arial" w:cs="Arial"/>
          <w:color w:val="000000" w:themeColor="text1"/>
        </w:rPr>
        <w:t xml:space="preserve">, B. (2024). Role transition of higher education teachers due to disruptive technological change: Identity </w:t>
      </w:r>
      <w:r w:rsidRPr="00B031A0">
        <w:rPr>
          <w:rFonts w:ascii="Arial" w:hAnsi="Arial" w:cs="Arial"/>
          <w:color w:val="000000"/>
        </w:rPr>
        <w:t xml:space="preserve">reconstruction for a better teacher-student relationship. </w:t>
      </w:r>
      <w:r w:rsidRPr="00B031A0">
        <w:rPr>
          <w:rFonts w:ascii="Arial" w:hAnsi="Arial" w:cs="Arial"/>
          <w:i/>
          <w:iCs/>
          <w:color w:val="000000"/>
        </w:rPr>
        <w:t>The International Journal of Management Education</w:t>
      </w:r>
      <w:r w:rsidRPr="00B031A0">
        <w:rPr>
          <w:rFonts w:ascii="Arial" w:hAnsi="Arial" w:cs="Arial"/>
          <w:color w:val="000000"/>
        </w:rPr>
        <w:t>, [online] 22(2), p.100978. doi:10.1016/j.ijme.2024.100978.</w:t>
      </w:r>
    </w:p>
    <w:p w14:paraId="1EAEB804"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 xml:space="preserve">Momeni, A., Rahmani, B., </w:t>
      </w:r>
      <w:proofErr w:type="spellStart"/>
      <w:r w:rsidRPr="00B031A0">
        <w:rPr>
          <w:rFonts w:ascii="Arial" w:hAnsi="Arial" w:cs="Arial"/>
          <w:color w:val="000000"/>
        </w:rPr>
        <w:t>Scellier</w:t>
      </w:r>
      <w:proofErr w:type="spellEnd"/>
      <w:r w:rsidRPr="00B031A0">
        <w:rPr>
          <w:rFonts w:ascii="Arial" w:hAnsi="Arial" w:cs="Arial"/>
          <w:color w:val="000000"/>
        </w:rPr>
        <w:t xml:space="preserve">, B., Wright, L.G., McMahon, P.L., </w:t>
      </w:r>
      <w:proofErr w:type="spellStart"/>
      <w:r w:rsidRPr="00B031A0">
        <w:rPr>
          <w:rFonts w:ascii="Arial" w:hAnsi="Arial" w:cs="Arial"/>
          <w:color w:val="000000"/>
        </w:rPr>
        <w:t>Wanjura</w:t>
      </w:r>
      <w:proofErr w:type="spellEnd"/>
      <w:r w:rsidRPr="00B031A0">
        <w:rPr>
          <w:rFonts w:ascii="Arial" w:hAnsi="Arial" w:cs="Arial"/>
          <w:color w:val="000000"/>
        </w:rPr>
        <w:t xml:space="preserve">, C.C., Li, Y., Anas Skalli, Berloff, N.G., Onodera, T., Oguz, I., </w:t>
      </w:r>
      <w:proofErr w:type="spellStart"/>
      <w:r w:rsidRPr="00B031A0">
        <w:rPr>
          <w:rFonts w:ascii="Arial" w:hAnsi="Arial" w:cs="Arial"/>
          <w:color w:val="000000"/>
        </w:rPr>
        <w:t>Morichetti</w:t>
      </w:r>
      <w:proofErr w:type="spellEnd"/>
      <w:r w:rsidRPr="00B031A0">
        <w:rPr>
          <w:rFonts w:ascii="Arial" w:hAnsi="Arial" w:cs="Arial"/>
          <w:color w:val="000000"/>
        </w:rPr>
        <w:t xml:space="preserve">, F., Philipp del </w:t>
      </w:r>
      <w:proofErr w:type="spellStart"/>
      <w:r w:rsidRPr="00B031A0">
        <w:rPr>
          <w:rFonts w:ascii="Arial" w:hAnsi="Arial" w:cs="Arial"/>
          <w:color w:val="000000"/>
        </w:rPr>
        <w:t>Hougne</w:t>
      </w:r>
      <w:proofErr w:type="spellEnd"/>
      <w:r w:rsidRPr="00B031A0">
        <w:rPr>
          <w:rFonts w:ascii="Arial" w:hAnsi="Arial" w:cs="Arial"/>
          <w:color w:val="000000"/>
        </w:rPr>
        <w:t xml:space="preserve">, Gallo, M. Le, Sebastian, A., Azalia Mirhoseini, Zhang, C., Danijela Marković, Brunner, D., Moser, C., Sylvain Gigan, Marquardt, F., Ozcan, A., </w:t>
      </w:r>
      <w:proofErr w:type="spellStart"/>
      <w:r w:rsidRPr="00B031A0">
        <w:rPr>
          <w:rFonts w:ascii="Arial" w:hAnsi="Arial" w:cs="Arial"/>
          <w:color w:val="000000"/>
        </w:rPr>
        <w:t>Grollier</w:t>
      </w:r>
      <w:proofErr w:type="spellEnd"/>
      <w:r w:rsidRPr="00B031A0">
        <w:rPr>
          <w:rFonts w:ascii="Arial" w:hAnsi="Arial" w:cs="Arial"/>
          <w:color w:val="000000"/>
        </w:rPr>
        <w:t xml:space="preserve">, J., Liu, A.J., Psaltis, D., </w:t>
      </w:r>
      <w:proofErr w:type="spellStart"/>
      <w:r w:rsidRPr="00B031A0">
        <w:rPr>
          <w:rFonts w:ascii="Arial" w:hAnsi="Arial" w:cs="Arial"/>
          <w:color w:val="000000"/>
        </w:rPr>
        <w:t>Alù</w:t>
      </w:r>
      <w:proofErr w:type="spellEnd"/>
      <w:r w:rsidRPr="00B031A0">
        <w:rPr>
          <w:rFonts w:ascii="Arial" w:hAnsi="Arial" w:cs="Arial"/>
          <w:color w:val="000000"/>
        </w:rPr>
        <w:t xml:space="preserve">, A. and Fleury, R. (2025). Training of physical neural networks. </w:t>
      </w:r>
      <w:r w:rsidRPr="00B031A0">
        <w:rPr>
          <w:rFonts w:ascii="Arial" w:hAnsi="Arial" w:cs="Arial"/>
          <w:i/>
          <w:iCs/>
          <w:color w:val="000000"/>
        </w:rPr>
        <w:t>Nature</w:t>
      </w:r>
      <w:r w:rsidRPr="00B031A0">
        <w:rPr>
          <w:rFonts w:ascii="Arial" w:hAnsi="Arial" w:cs="Arial"/>
          <w:color w:val="000000"/>
        </w:rPr>
        <w:t>, 645(8079), pp.53–61. doi:10.1038/s41586-025-09384-2.</w:t>
      </w:r>
    </w:p>
    <w:p w14:paraId="52DE4CE7" w14:textId="77777777" w:rsidR="005501CA" w:rsidRDefault="005501CA" w:rsidP="005501CA">
      <w:pPr>
        <w:rPr>
          <w:rFonts w:ascii="Arial" w:hAnsi="Arial" w:cs="Arial"/>
          <w:color w:val="000000" w:themeColor="text1"/>
        </w:rPr>
      </w:pPr>
      <w:proofErr w:type="spellStart"/>
      <w:r w:rsidRPr="008D347C">
        <w:rPr>
          <w:rFonts w:ascii="Arial" w:hAnsi="Arial" w:cs="Arial"/>
          <w:color w:val="000000" w:themeColor="text1"/>
        </w:rPr>
        <w:lastRenderedPageBreak/>
        <w:t>Mouajou</w:t>
      </w:r>
      <w:proofErr w:type="spellEnd"/>
      <w:r w:rsidRPr="008D347C">
        <w:rPr>
          <w:rFonts w:ascii="Arial" w:hAnsi="Arial" w:cs="Arial"/>
          <w:color w:val="000000" w:themeColor="text1"/>
        </w:rPr>
        <w:t>, V., Adams, K., DeLisle, G. and Quach, C., 2022. Hand hygiene compliance in the prevention of hospital-acquired infections: a systematic review. </w:t>
      </w:r>
      <w:r w:rsidRPr="008D347C">
        <w:rPr>
          <w:rFonts w:ascii="Arial" w:hAnsi="Arial" w:cs="Arial"/>
          <w:i/>
          <w:iCs/>
          <w:color w:val="000000" w:themeColor="text1"/>
        </w:rPr>
        <w:t>Journal of Hospital Infection</w:t>
      </w:r>
      <w:r w:rsidRPr="008D347C">
        <w:rPr>
          <w:rFonts w:ascii="Arial" w:hAnsi="Arial" w:cs="Arial"/>
          <w:color w:val="000000" w:themeColor="text1"/>
        </w:rPr>
        <w:t>, </w:t>
      </w:r>
      <w:r w:rsidRPr="008D347C">
        <w:rPr>
          <w:rFonts w:ascii="Arial" w:hAnsi="Arial" w:cs="Arial"/>
          <w:i/>
          <w:iCs/>
          <w:color w:val="000000" w:themeColor="text1"/>
        </w:rPr>
        <w:t>119</w:t>
      </w:r>
      <w:r w:rsidRPr="008D347C">
        <w:rPr>
          <w:rFonts w:ascii="Arial" w:hAnsi="Arial" w:cs="Arial"/>
          <w:color w:val="000000" w:themeColor="text1"/>
        </w:rPr>
        <w:t>, pp.33-48.</w:t>
      </w:r>
    </w:p>
    <w:p w14:paraId="4975608A" w14:textId="77777777" w:rsidR="00776C49" w:rsidRPr="00B031A0" w:rsidRDefault="00776C49" w:rsidP="00D44D36">
      <w:pPr>
        <w:spacing w:before="240"/>
        <w:rPr>
          <w:rFonts w:ascii="Arial" w:hAnsi="Arial" w:cs="Arial"/>
          <w:color w:val="000000"/>
        </w:rPr>
      </w:pPr>
      <w:r w:rsidRPr="00B031A0">
        <w:rPr>
          <w:rFonts w:ascii="Arial" w:hAnsi="Arial" w:cs="Arial"/>
          <w:color w:val="000000"/>
        </w:rPr>
        <w:t xml:space="preserve">National Health Service England (2023). </w:t>
      </w:r>
      <w:r w:rsidRPr="00B031A0">
        <w:rPr>
          <w:rFonts w:ascii="Arial" w:hAnsi="Arial" w:cs="Arial"/>
          <w:i/>
          <w:iCs/>
          <w:color w:val="000000"/>
        </w:rPr>
        <w:t>NHS England » Healthcare associated infections</w:t>
      </w:r>
      <w:r w:rsidRPr="00B031A0">
        <w:rPr>
          <w:rFonts w:ascii="Arial" w:hAnsi="Arial" w:cs="Arial"/>
          <w:color w:val="000000"/>
        </w:rPr>
        <w:t>. [online] National Health Service England. Available at: https://www.england.nhs.uk/patient-safety/healthcare-associated-infections/ [Accessed 14 July 2026].</w:t>
      </w:r>
    </w:p>
    <w:p w14:paraId="42F9CECB" w14:textId="77777777" w:rsidR="00776C49" w:rsidRPr="00B031A0" w:rsidRDefault="00776C49" w:rsidP="00D44D36">
      <w:pPr>
        <w:spacing w:before="240"/>
        <w:rPr>
          <w:rFonts w:ascii="Arial" w:hAnsi="Arial" w:cs="Arial"/>
          <w:color w:val="000000"/>
        </w:rPr>
      </w:pPr>
      <w:proofErr w:type="spellStart"/>
      <w:r w:rsidRPr="00B031A0">
        <w:rPr>
          <w:rFonts w:ascii="Arial" w:hAnsi="Arial" w:cs="Arial"/>
          <w:color w:val="000000" w:themeColor="text1"/>
        </w:rPr>
        <w:t>Olisaeloka</w:t>
      </w:r>
      <w:proofErr w:type="spellEnd"/>
      <w:r w:rsidRPr="00B031A0">
        <w:rPr>
          <w:rFonts w:ascii="Arial" w:hAnsi="Arial" w:cs="Arial"/>
          <w:color w:val="000000" w:themeColor="text1"/>
        </w:rPr>
        <w:t xml:space="preserve"> Nsonwu, Thelwall, S., Gerver</w:t>
      </w:r>
      <w:r w:rsidRPr="00B031A0">
        <w:rPr>
          <w:rFonts w:ascii="Arial" w:hAnsi="Arial" w:cs="Arial"/>
          <w:color w:val="000000"/>
        </w:rPr>
        <w:t>, S., Guy, R.L., Chudasama, D. and Hope, R. (2025). Incidence, case-fatality rates and risk factors of bloodstream infections caused by Escherichia coli, Klebsiella species and Pseudomonas aeruginosa, England, April 2017 to March 2022. Eurosurveillance, [online] 30(17). doi:10.2807/1560-7917.es.2025.30.17.2400430.</w:t>
      </w:r>
    </w:p>
    <w:p w14:paraId="047F1AEA"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 xml:space="preserve">Oluwatoyin Ayo-Farai, </w:t>
      </w:r>
      <w:proofErr w:type="spellStart"/>
      <w:r w:rsidRPr="00B031A0">
        <w:rPr>
          <w:rFonts w:ascii="Arial" w:hAnsi="Arial" w:cs="Arial"/>
          <w:color w:val="000000"/>
        </w:rPr>
        <w:t>Nenrot</w:t>
      </w:r>
      <w:proofErr w:type="spellEnd"/>
      <w:r w:rsidRPr="00B031A0">
        <w:rPr>
          <w:rFonts w:ascii="Arial" w:hAnsi="Arial" w:cs="Arial"/>
          <w:color w:val="000000"/>
        </w:rPr>
        <w:t xml:space="preserve"> Gopep, Okorie, J., Chika, C. and </w:t>
      </w:r>
      <w:proofErr w:type="spellStart"/>
      <w:r w:rsidRPr="00B031A0">
        <w:rPr>
          <w:rFonts w:ascii="Arial" w:hAnsi="Arial" w:cs="Arial"/>
          <w:color w:val="000000"/>
        </w:rPr>
        <w:t>Ogochi</w:t>
      </w:r>
      <w:proofErr w:type="spellEnd"/>
      <w:r w:rsidRPr="00B031A0">
        <w:rPr>
          <w:rFonts w:ascii="Arial" w:hAnsi="Arial" w:cs="Arial"/>
          <w:color w:val="000000"/>
        </w:rPr>
        <w:t xml:space="preserve"> Blessing </w:t>
      </w:r>
      <w:proofErr w:type="spellStart"/>
      <w:r w:rsidRPr="00B031A0">
        <w:rPr>
          <w:rFonts w:ascii="Arial" w:hAnsi="Arial" w:cs="Arial"/>
          <w:color w:val="000000"/>
        </w:rPr>
        <w:t>Chukwuneke</w:t>
      </w:r>
      <w:proofErr w:type="spellEnd"/>
      <w:r w:rsidRPr="00B031A0">
        <w:rPr>
          <w:rFonts w:ascii="Arial" w:hAnsi="Arial" w:cs="Arial"/>
          <w:color w:val="000000"/>
        </w:rPr>
        <w:t xml:space="preserve"> (2024). </w:t>
      </w:r>
      <w:r w:rsidRPr="00B031A0">
        <w:rPr>
          <w:rFonts w:ascii="Arial" w:hAnsi="Arial" w:cs="Arial"/>
          <w:i/>
          <w:iCs/>
          <w:color w:val="000000"/>
        </w:rPr>
        <w:t>Post-operative infections: Risk factors, prevention and management strategies</w:t>
      </w:r>
      <w:r w:rsidRPr="00B031A0">
        <w:rPr>
          <w:rFonts w:ascii="Arial" w:hAnsi="Arial" w:cs="Arial"/>
          <w:color w:val="000000"/>
        </w:rPr>
        <w:t>. [online] Available at: https://www.researchgate.net/publication/382881596_Post-operative_infections_risk_factors_prevention_and_management_strategies [Accessed 4 Aug. 2026].</w:t>
      </w:r>
    </w:p>
    <w:p w14:paraId="1B383C55" w14:textId="77777777" w:rsidR="00776C49" w:rsidRPr="00B031A0" w:rsidRDefault="00776C49" w:rsidP="00D44D36">
      <w:pPr>
        <w:spacing w:before="240" w:after="240"/>
        <w:rPr>
          <w:rFonts w:ascii="Arial" w:hAnsi="Arial" w:cs="Arial"/>
          <w:color w:val="000000"/>
        </w:rPr>
      </w:pPr>
      <w:proofErr w:type="spellStart"/>
      <w:r w:rsidRPr="00B031A0">
        <w:rPr>
          <w:rFonts w:ascii="Arial" w:hAnsi="Arial" w:cs="Arial"/>
          <w:color w:val="000000"/>
        </w:rPr>
        <w:t>Pallath</w:t>
      </w:r>
      <w:proofErr w:type="spellEnd"/>
      <w:r w:rsidRPr="00B031A0">
        <w:rPr>
          <w:rFonts w:ascii="Arial" w:hAnsi="Arial" w:cs="Arial"/>
          <w:color w:val="000000"/>
        </w:rPr>
        <w:t xml:space="preserve">, A. and Zhang, Q. (2022). </w:t>
      </w:r>
      <w:proofErr w:type="spellStart"/>
      <w:r w:rsidRPr="00B031A0">
        <w:rPr>
          <w:rFonts w:ascii="Arial" w:hAnsi="Arial" w:cs="Arial"/>
          <w:color w:val="000000"/>
        </w:rPr>
        <w:t>Paperfetcher</w:t>
      </w:r>
      <w:proofErr w:type="spellEnd"/>
      <w:r w:rsidRPr="00B031A0">
        <w:rPr>
          <w:rFonts w:ascii="Arial" w:hAnsi="Arial" w:cs="Arial"/>
          <w:color w:val="000000"/>
        </w:rPr>
        <w:t xml:space="preserve">: A tool to automate handsearching and citation searching for systematic reviews. </w:t>
      </w:r>
      <w:r w:rsidRPr="00B031A0">
        <w:rPr>
          <w:rFonts w:ascii="Arial" w:hAnsi="Arial" w:cs="Arial"/>
          <w:i/>
          <w:iCs/>
          <w:color w:val="000000"/>
        </w:rPr>
        <w:t>Research Synthesis Methods</w:t>
      </w:r>
      <w:r w:rsidRPr="00B031A0">
        <w:rPr>
          <w:rFonts w:ascii="Arial" w:hAnsi="Arial" w:cs="Arial"/>
          <w:color w:val="000000"/>
        </w:rPr>
        <w:t>, 14(2). doi:10.1002/jrsm.1604.</w:t>
      </w:r>
    </w:p>
    <w:p w14:paraId="612923B4" w14:textId="77777777" w:rsidR="00776C49" w:rsidRPr="00B031A0" w:rsidRDefault="00776C49" w:rsidP="00D44D36">
      <w:pPr>
        <w:spacing w:before="240"/>
        <w:rPr>
          <w:rFonts w:ascii="Arial" w:hAnsi="Arial" w:cs="Arial"/>
          <w:color w:val="000000"/>
        </w:rPr>
      </w:pPr>
      <w:r w:rsidRPr="00B031A0">
        <w:rPr>
          <w:rFonts w:ascii="Arial" w:hAnsi="Arial" w:cs="Arial"/>
          <w:color w:val="000000"/>
        </w:rPr>
        <w:t xml:space="preserve">Potthoff, S., Rasul, O., Sniehotta, F.F., Marques, M., Beyer, F., Thomson, R., Avery, L. and </w:t>
      </w:r>
      <w:proofErr w:type="spellStart"/>
      <w:r w:rsidRPr="00B031A0">
        <w:rPr>
          <w:rFonts w:ascii="Arial" w:hAnsi="Arial" w:cs="Arial"/>
          <w:color w:val="000000"/>
        </w:rPr>
        <w:t>Presseau</w:t>
      </w:r>
      <w:proofErr w:type="spellEnd"/>
      <w:r w:rsidRPr="00B031A0">
        <w:rPr>
          <w:rFonts w:ascii="Arial" w:hAnsi="Arial" w:cs="Arial"/>
          <w:color w:val="000000"/>
        </w:rPr>
        <w:t xml:space="preserve">, J. (2019). The relationship between habit and healthcare professional behaviour in clinical practice: A systematic review and meta-analysis. </w:t>
      </w:r>
      <w:r w:rsidRPr="00B031A0">
        <w:rPr>
          <w:rFonts w:ascii="Arial" w:hAnsi="Arial" w:cs="Arial"/>
          <w:i/>
          <w:iCs/>
          <w:color w:val="000000"/>
        </w:rPr>
        <w:t>Health Psychology Review</w:t>
      </w:r>
      <w:r w:rsidRPr="00B031A0">
        <w:rPr>
          <w:rFonts w:ascii="Arial" w:hAnsi="Arial" w:cs="Arial"/>
          <w:color w:val="000000"/>
        </w:rPr>
        <w:t>, 13(1), pp.73–90. doi:10.1080/17437199.2018.1547119.</w:t>
      </w:r>
    </w:p>
    <w:p w14:paraId="024B9BD8"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 xml:space="preserve">Pruna, E.D., Davidescu, L., </w:t>
      </w:r>
      <w:proofErr w:type="spellStart"/>
      <w:r w:rsidRPr="00B031A0">
        <w:rPr>
          <w:rFonts w:ascii="Arial" w:hAnsi="Arial" w:cs="Arial"/>
          <w:color w:val="000000"/>
        </w:rPr>
        <w:t>Sorop</w:t>
      </w:r>
      <w:proofErr w:type="spellEnd"/>
      <w:r w:rsidRPr="00B031A0">
        <w:rPr>
          <w:rFonts w:ascii="Arial" w:hAnsi="Arial" w:cs="Arial"/>
          <w:color w:val="000000"/>
        </w:rPr>
        <w:t xml:space="preserve">-Florea, M., Demeter, I., Stela Iurciuc, Varga, N.-I., David, V.L., Florina </w:t>
      </w:r>
      <w:proofErr w:type="spellStart"/>
      <w:r w:rsidRPr="00B031A0">
        <w:rPr>
          <w:rFonts w:ascii="Arial" w:hAnsi="Arial" w:cs="Arial"/>
          <w:color w:val="000000"/>
        </w:rPr>
        <w:t>Buleu</w:t>
      </w:r>
      <w:proofErr w:type="spellEnd"/>
      <w:r w:rsidRPr="00B031A0">
        <w:rPr>
          <w:rFonts w:ascii="Arial" w:hAnsi="Arial" w:cs="Arial"/>
          <w:color w:val="000000"/>
        </w:rPr>
        <w:t xml:space="preserve"> and Florin George </w:t>
      </w:r>
      <w:proofErr w:type="spellStart"/>
      <w:r w:rsidRPr="00B031A0">
        <w:rPr>
          <w:rFonts w:ascii="Arial" w:hAnsi="Arial" w:cs="Arial"/>
          <w:color w:val="000000"/>
        </w:rPr>
        <w:t>Horhat</w:t>
      </w:r>
      <w:proofErr w:type="spellEnd"/>
      <w:r w:rsidRPr="00B031A0">
        <w:rPr>
          <w:rFonts w:ascii="Arial" w:hAnsi="Arial" w:cs="Arial"/>
          <w:color w:val="000000"/>
        </w:rPr>
        <w:t xml:space="preserve"> (2026). Multimodal Hand Hygiene Interventions and clinical healthcare-associated infection outcomes in acute care hospitals: A systematic review of quasi-experimental studies. </w:t>
      </w:r>
      <w:r w:rsidRPr="00B031A0">
        <w:rPr>
          <w:rFonts w:ascii="Arial" w:hAnsi="Arial" w:cs="Arial"/>
          <w:i/>
          <w:iCs/>
          <w:color w:val="000000"/>
        </w:rPr>
        <w:t>Journal of Clinical Medicine</w:t>
      </w:r>
      <w:r w:rsidRPr="00B031A0">
        <w:rPr>
          <w:rFonts w:ascii="Arial" w:hAnsi="Arial" w:cs="Arial"/>
          <w:color w:val="000000"/>
        </w:rPr>
        <w:t>, 15(10), pp.3882–3882. doi:10.3390/jcm15103882.</w:t>
      </w:r>
    </w:p>
    <w:p w14:paraId="29A64CB7" w14:textId="77777777" w:rsidR="00776C49" w:rsidRPr="00B031A0" w:rsidRDefault="00776C49" w:rsidP="00D44D36">
      <w:pPr>
        <w:spacing w:before="240"/>
        <w:rPr>
          <w:rFonts w:ascii="Arial" w:hAnsi="Arial" w:cs="Arial"/>
          <w:color w:val="000000"/>
        </w:rPr>
      </w:pPr>
      <w:r w:rsidRPr="00B031A0">
        <w:rPr>
          <w:rFonts w:ascii="Arial" w:hAnsi="Arial" w:cs="Arial"/>
          <w:color w:val="000000"/>
        </w:rPr>
        <w:lastRenderedPageBreak/>
        <w:t xml:space="preserve">Raghad Batran, Ayed, A., </w:t>
      </w:r>
      <w:proofErr w:type="spellStart"/>
      <w:r w:rsidRPr="00B031A0">
        <w:rPr>
          <w:rFonts w:ascii="Arial" w:hAnsi="Arial" w:cs="Arial"/>
          <w:color w:val="000000"/>
        </w:rPr>
        <w:t>Batran</w:t>
      </w:r>
      <w:proofErr w:type="spellEnd"/>
      <w:r w:rsidRPr="00B031A0">
        <w:rPr>
          <w:rFonts w:ascii="Arial" w:hAnsi="Arial" w:cs="Arial"/>
          <w:color w:val="000000"/>
        </w:rPr>
        <w:t xml:space="preserve">, A., Moath Abu Ejheisheh, Bahaa </w:t>
      </w:r>
      <w:proofErr w:type="spellStart"/>
      <w:r w:rsidRPr="00B031A0">
        <w:rPr>
          <w:rFonts w:ascii="Arial" w:hAnsi="Arial" w:cs="Arial"/>
          <w:color w:val="000000"/>
        </w:rPr>
        <w:t>Alassoud</w:t>
      </w:r>
      <w:proofErr w:type="spellEnd"/>
      <w:r w:rsidRPr="00B031A0">
        <w:rPr>
          <w:rFonts w:ascii="Arial" w:hAnsi="Arial" w:cs="Arial"/>
          <w:color w:val="000000"/>
        </w:rPr>
        <w:t xml:space="preserve">, Hayek, M.F. and Batran, A. (2025). Determinants of Nurses’ Compliance with Infection Prevention and Control Practices in Critical Care Units. </w:t>
      </w:r>
      <w:r w:rsidRPr="00B031A0">
        <w:rPr>
          <w:rFonts w:ascii="Arial" w:hAnsi="Arial" w:cs="Arial"/>
          <w:i/>
          <w:iCs/>
          <w:color w:val="000000"/>
        </w:rPr>
        <w:t>SAGE Open Nursing</w:t>
      </w:r>
      <w:r w:rsidRPr="00B031A0">
        <w:rPr>
          <w:rFonts w:ascii="Arial" w:hAnsi="Arial" w:cs="Arial"/>
          <w:color w:val="000000"/>
        </w:rPr>
        <w:t>, 11. doi:10.1177/23779608251339193.</w:t>
      </w:r>
    </w:p>
    <w:p w14:paraId="1F53BD68" w14:textId="77777777" w:rsidR="00776C49" w:rsidRPr="00B031A0" w:rsidRDefault="00776C49" w:rsidP="00D44D36">
      <w:pPr>
        <w:spacing w:before="240" w:after="240"/>
        <w:rPr>
          <w:rFonts w:ascii="Arial" w:hAnsi="Arial" w:cs="Arial"/>
          <w:color w:val="000000"/>
        </w:rPr>
      </w:pPr>
      <w:proofErr w:type="spellStart"/>
      <w:r w:rsidRPr="00B031A0">
        <w:rPr>
          <w:rFonts w:ascii="Arial" w:hAnsi="Arial" w:cs="Arial"/>
          <w:color w:val="000000"/>
        </w:rPr>
        <w:t>Religioni</w:t>
      </w:r>
      <w:proofErr w:type="spellEnd"/>
      <w:r w:rsidRPr="00B031A0">
        <w:rPr>
          <w:rFonts w:ascii="Arial" w:hAnsi="Arial" w:cs="Arial"/>
          <w:color w:val="000000"/>
        </w:rPr>
        <w:t xml:space="preserve">, U., Barrios-Rodríguez, R., Requena, P., Borowska, M. and Ostrowski, J. (2025). Enhancing therapy adherence: Impact on clinical outcomes, healthcare costs, and patient quality of life. </w:t>
      </w:r>
      <w:r w:rsidRPr="00B031A0">
        <w:rPr>
          <w:rFonts w:ascii="Arial" w:hAnsi="Arial" w:cs="Arial"/>
          <w:i/>
          <w:iCs/>
          <w:color w:val="000000"/>
        </w:rPr>
        <w:t>Medicina</w:t>
      </w:r>
      <w:r w:rsidRPr="00B031A0">
        <w:rPr>
          <w:rFonts w:ascii="Arial" w:hAnsi="Arial" w:cs="Arial"/>
          <w:color w:val="000000"/>
        </w:rPr>
        <w:t>, [online] 61(1), pp.153–153. doi:10.3390/medicina61010153.</w:t>
      </w:r>
    </w:p>
    <w:p w14:paraId="6A961206" w14:textId="77777777" w:rsidR="00776C49" w:rsidRPr="00B031A0" w:rsidRDefault="00776C49" w:rsidP="00D44D36">
      <w:pPr>
        <w:spacing w:before="240"/>
        <w:rPr>
          <w:rFonts w:ascii="Arial" w:hAnsi="Arial" w:cs="Arial"/>
          <w:color w:val="000000"/>
        </w:rPr>
      </w:pPr>
      <w:r w:rsidRPr="00B031A0">
        <w:rPr>
          <w:rFonts w:ascii="Arial" w:hAnsi="Arial" w:cs="Arial"/>
          <w:color w:val="000000"/>
        </w:rPr>
        <w:t xml:space="preserve">Rezaei, A.R., Zienkiewicz, D. and Rezaei, A.R. (2025). Surgical site infections: A comprehensive review. </w:t>
      </w:r>
      <w:r w:rsidRPr="00B031A0">
        <w:rPr>
          <w:rFonts w:ascii="Arial" w:hAnsi="Arial" w:cs="Arial"/>
          <w:i/>
          <w:iCs/>
          <w:color w:val="000000"/>
        </w:rPr>
        <w:t>Journal of Trauma and Injury</w:t>
      </w:r>
      <w:r w:rsidRPr="00B031A0">
        <w:rPr>
          <w:rFonts w:ascii="Arial" w:hAnsi="Arial" w:cs="Arial"/>
          <w:color w:val="000000"/>
        </w:rPr>
        <w:t>, 38(2), pp.71–81. doi:10.20408/jti.2025.0019.</w:t>
      </w:r>
    </w:p>
    <w:p w14:paraId="1A3E68D1"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 xml:space="preserve">Rosida, R.F., Amaliah, L.N., Mahardika, I.K. and Suratno, S. (2023). The process of forming knowledge: In the study of ontology, epistemology, and axiology. </w:t>
      </w:r>
      <w:r w:rsidRPr="00B031A0">
        <w:rPr>
          <w:rFonts w:ascii="Arial" w:hAnsi="Arial" w:cs="Arial"/>
          <w:i/>
          <w:iCs/>
          <w:color w:val="000000"/>
        </w:rPr>
        <w:t>International Journal for Educational and Vocational Studies</w:t>
      </w:r>
      <w:r w:rsidRPr="00B031A0">
        <w:rPr>
          <w:rFonts w:ascii="Arial" w:hAnsi="Arial" w:cs="Arial"/>
          <w:color w:val="000000"/>
        </w:rPr>
        <w:t>, 5(1), pp.13–13. doi:10.29103/ijevs.v5i1.12980.</w:t>
      </w:r>
    </w:p>
    <w:p w14:paraId="6747DE55"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 xml:space="preserve">Saliya, C.A. (2023). Research philosophy. </w:t>
      </w:r>
      <w:r w:rsidRPr="00B031A0">
        <w:rPr>
          <w:rFonts w:ascii="Arial" w:hAnsi="Arial" w:cs="Arial"/>
          <w:i/>
          <w:iCs/>
          <w:color w:val="000000"/>
        </w:rPr>
        <w:t>IGI Global</w:t>
      </w:r>
      <w:r w:rsidRPr="00B031A0">
        <w:rPr>
          <w:rFonts w:ascii="Arial" w:hAnsi="Arial" w:cs="Arial"/>
          <w:color w:val="000000"/>
        </w:rPr>
        <w:t>, pp.35–51. doi:10.4018/978-1-6684-6859-3.ch004.</w:t>
      </w:r>
    </w:p>
    <w:p w14:paraId="4B295CDD" w14:textId="77777777" w:rsidR="00776C49" w:rsidRPr="00B031A0" w:rsidRDefault="00776C49" w:rsidP="00D44D36">
      <w:pPr>
        <w:spacing w:before="240"/>
        <w:rPr>
          <w:rFonts w:ascii="Arial" w:hAnsi="Arial" w:cs="Arial"/>
          <w:color w:val="000000"/>
        </w:rPr>
      </w:pPr>
      <w:r w:rsidRPr="00B031A0">
        <w:rPr>
          <w:rFonts w:ascii="Arial" w:hAnsi="Arial" w:cs="Arial"/>
          <w:color w:val="000000"/>
        </w:rPr>
        <w:t xml:space="preserve">Sandu, A.M., </w:t>
      </w:r>
      <w:proofErr w:type="spellStart"/>
      <w:r w:rsidRPr="00B031A0">
        <w:rPr>
          <w:rFonts w:ascii="Arial" w:hAnsi="Arial" w:cs="Arial"/>
          <w:color w:val="000000"/>
        </w:rPr>
        <w:t>Chifiriuc</w:t>
      </w:r>
      <w:proofErr w:type="spellEnd"/>
      <w:r w:rsidRPr="00B031A0">
        <w:rPr>
          <w:rFonts w:ascii="Arial" w:hAnsi="Arial" w:cs="Arial"/>
          <w:color w:val="000000"/>
        </w:rPr>
        <w:t xml:space="preserve">, M.C., Vrancianu, C.O., Cristian, R.-E., Alistar, C.F., Constantin, M., Paun, M., Alexandru Alistar, Popa, L.G., Popa, M.I., Tantu, A.C., </w:t>
      </w:r>
      <w:proofErr w:type="spellStart"/>
      <w:r w:rsidRPr="00B031A0">
        <w:rPr>
          <w:rFonts w:ascii="Arial" w:hAnsi="Arial" w:cs="Arial"/>
          <w:color w:val="000000"/>
        </w:rPr>
        <w:t>Sidoroff</w:t>
      </w:r>
      <w:proofErr w:type="spellEnd"/>
      <w:r w:rsidRPr="00B031A0">
        <w:rPr>
          <w:rFonts w:ascii="Arial" w:hAnsi="Arial" w:cs="Arial"/>
          <w:color w:val="000000"/>
        </w:rPr>
        <w:t xml:space="preserve">, M.E., Mihai, M.M., Marcu, A., Popescu, G. and Tantu, M.M. (2025). Healthcare-Associated Infections: The Role of Microbial and Environmental Factors in Infection Control—A Narrative Review. </w:t>
      </w:r>
      <w:r w:rsidRPr="00B031A0">
        <w:rPr>
          <w:rFonts w:ascii="Arial" w:hAnsi="Arial" w:cs="Arial"/>
          <w:i/>
          <w:iCs/>
          <w:color w:val="000000"/>
        </w:rPr>
        <w:t>Infectious Diseases and Therapy</w:t>
      </w:r>
      <w:r w:rsidRPr="00B031A0">
        <w:rPr>
          <w:rFonts w:ascii="Arial" w:hAnsi="Arial" w:cs="Arial"/>
          <w:color w:val="000000"/>
        </w:rPr>
        <w:t>. doi:10.1007/s40121-025-01143-0.</w:t>
      </w:r>
    </w:p>
    <w:p w14:paraId="0CDC590A"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 xml:space="preserve">Sanvitti, M., </w:t>
      </w:r>
      <w:proofErr w:type="spellStart"/>
      <w:r w:rsidRPr="00B031A0">
        <w:rPr>
          <w:rFonts w:ascii="Arial" w:hAnsi="Arial" w:cs="Arial"/>
          <w:color w:val="000000"/>
        </w:rPr>
        <w:t>Kanapeckas</w:t>
      </w:r>
      <w:proofErr w:type="spellEnd"/>
      <w:r w:rsidRPr="00B031A0">
        <w:rPr>
          <w:rFonts w:ascii="Arial" w:hAnsi="Arial" w:cs="Arial"/>
          <w:color w:val="000000"/>
        </w:rPr>
        <w:t xml:space="preserve">, L. and Bilotta, F. (2026). Minimizing hospital acquired intensive care unit infections: A focus on prevention. </w:t>
      </w:r>
      <w:r w:rsidRPr="00B031A0">
        <w:rPr>
          <w:rFonts w:ascii="Arial" w:hAnsi="Arial" w:cs="Arial"/>
          <w:i/>
          <w:iCs/>
          <w:color w:val="000000"/>
        </w:rPr>
        <w:t>World Journal of Critical Care Medicine</w:t>
      </w:r>
      <w:r w:rsidRPr="00B031A0">
        <w:rPr>
          <w:rFonts w:ascii="Arial" w:hAnsi="Arial" w:cs="Arial"/>
          <w:color w:val="000000"/>
        </w:rPr>
        <w:t>, 15(1). doi:10.5492/wjccm.v15.i1.113252.</w:t>
      </w:r>
    </w:p>
    <w:p w14:paraId="37F5922E" w14:textId="77777777" w:rsidR="00776C49" w:rsidRPr="00B031A0" w:rsidRDefault="00776C49" w:rsidP="00D44D36">
      <w:pPr>
        <w:spacing w:before="240" w:after="240"/>
        <w:rPr>
          <w:rFonts w:ascii="Arial" w:hAnsi="Arial" w:cs="Arial"/>
          <w:color w:val="000000" w:themeColor="text1"/>
        </w:rPr>
      </w:pPr>
      <w:r w:rsidRPr="00B031A0">
        <w:rPr>
          <w:rFonts w:ascii="Arial" w:hAnsi="Arial" w:cs="Arial"/>
          <w:color w:val="000000" w:themeColor="text1"/>
        </w:rPr>
        <w:t xml:space="preserve">Sartini, M., Carbone, A., </w:t>
      </w:r>
      <w:proofErr w:type="spellStart"/>
      <w:r w:rsidRPr="00B031A0">
        <w:rPr>
          <w:rFonts w:ascii="Arial" w:hAnsi="Arial" w:cs="Arial"/>
          <w:color w:val="000000" w:themeColor="text1"/>
        </w:rPr>
        <w:t>Demartini</w:t>
      </w:r>
      <w:proofErr w:type="spellEnd"/>
      <w:r w:rsidRPr="00B031A0">
        <w:rPr>
          <w:rFonts w:ascii="Arial" w:hAnsi="Arial" w:cs="Arial"/>
          <w:color w:val="000000" w:themeColor="text1"/>
        </w:rPr>
        <w:t xml:space="preserve">, A., </w:t>
      </w:r>
      <w:proofErr w:type="spellStart"/>
      <w:r w:rsidRPr="00B031A0">
        <w:rPr>
          <w:rFonts w:ascii="Arial" w:hAnsi="Arial" w:cs="Arial"/>
          <w:color w:val="000000" w:themeColor="text1"/>
        </w:rPr>
        <w:t>Giribone</w:t>
      </w:r>
      <w:proofErr w:type="spellEnd"/>
      <w:r w:rsidRPr="00B031A0">
        <w:rPr>
          <w:rFonts w:ascii="Arial" w:hAnsi="Arial" w:cs="Arial"/>
          <w:color w:val="000000" w:themeColor="text1"/>
        </w:rPr>
        <w:t xml:space="preserve">, L., Oliva, M., Spagnolo, A.M., Cremonesi, P., Canale, F. and Cristina, M.L. (2022). Overcrowding in emergency </w:t>
      </w:r>
      <w:r w:rsidRPr="00B031A0">
        <w:rPr>
          <w:rFonts w:ascii="Arial" w:hAnsi="Arial" w:cs="Arial"/>
          <w:color w:val="000000" w:themeColor="text1"/>
        </w:rPr>
        <w:lastRenderedPageBreak/>
        <w:t xml:space="preserve">department: Causes, consequences, and solutions—A narrative review. </w:t>
      </w:r>
      <w:r w:rsidRPr="00B031A0">
        <w:rPr>
          <w:rFonts w:ascii="Arial" w:hAnsi="Arial" w:cs="Arial"/>
          <w:i/>
          <w:iCs/>
          <w:color w:val="000000" w:themeColor="text1"/>
        </w:rPr>
        <w:t>Healthcare</w:t>
      </w:r>
      <w:r w:rsidRPr="00B031A0">
        <w:rPr>
          <w:rFonts w:ascii="Arial" w:hAnsi="Arial" w:cs="Arial"/>
          <w:color w:val="000000" w:themeColor="text1"/>
        </w:rPr>
        <w:t>, [online] 10(9), p.1625. doi:10.3390/healthcare10091625.</w:t>
      </w:r>
    </w:p>
    <w:p w14:paraId="62F5D24A" w14:textId="77777777" w:rsidR="00776C49" w:rsidRPr="00B031A0" w:rsidRDefault="00776C49" w:rsidP="00D44D36">
      <w:pPr>
        <w:spacing w:before="240" w:after="240"/>
        <w:rPr>
          <w:rFonts w:ascii="Arial" w:hAnsi="Arial" w:cs="Arial"/>
          <w:color w:val="000000" w:themeColor="text1"/>
        </w:rPr>
      </w:pPr>
      <w:r w:rsidRPr="00B031A0">
        <w:rPr>
          <w:rFonts w:ascii="Arial" w:hAnsi="Arial" w:cs="Arial"/>
          <w:color w:val="000000" w:themeColor="text1"/>
        </w:rPr>
        <w:t xml:space="preserve">Sauer, P.C. and Seuring, S. (2023). How to conduct systematic literature reviews in management research: A guide in 6 steps and 14 decisions. </w:t>
      </w:r>
      <w:r w:rsidRPr="00B031A0">
        <w:rPr>
          <w:rFonts w:ascii="Arial" w:hAnsi="Arial" w:cs="Arial"/>
          <w:i/>
          <w:iCs/>
          <w:color w:val="000000" w:themeColor="text1"/>
        </w:rPr>
        <w:t>How to conduct systematic literature reviews in management research: a guide in 6 steps and 14 decisions</w:t>
      </w:r>
      <w:r w:rsidRPr="00B031A0">
        <w:rPr>
          <w:rFonts w:ascii="Arial" w:hAnsi="Arial" w:cs="Arial"/>
          <w:color w:val="000000" w:themeColor="text1"/>
        </w:rPr>
        <w:t>, [online] 17(5). doi:10.1007/s11846-023-00668-3.</w:t>
      </w:r>
    </w:p>
    <w:p w14:paraId="5FD3E25E" w14:textId="77777777" w:rsidR="00776C49" w:rsidRPr="00B031A0" w:rsidRDefault="00776C49" w:rsidP="00D44D36">
      <w:pPr>
        <w:spacing w:before="240" w:after="240"/>
        <w:rPr>
          <w:rFonts w:ascii="Arial" w:hAnsi="Arial" w:cs="Arial"/>
          <w:color w:val="000000" w:themeColor="text1"/>
        </w:rPr>
      </w:pPr>
      <w:r w:rsidRPr="00B031A0">
        <w:rPr>
          <w:rFonts w:ascii="Arial" w:hAnsi="Arial" w:cs="Arial"/>
          <w:color w:val="000000" w:themeColor="text1"/>
        </w:rPr>
        <w:t xml:space="preserve">Schwabe, D., Becker, K., Seyferth, M., </w:t>
      </w:r>
      <w:proofErr w:type="spellStart"/>
      <w:r w:rsidRPr="00B031A0">
        <w:rPr>
          <w:rFonts w:ascii="Arial" w:hAnsi="Arial" w:cs="Arial"/>
          <w:color w:val="000000" w:themeColor="text1"/>
        </w:rPr>
        <w:t>Klaß</w:t>
      </w:r>
      <w:proofErr w:type="spellEnd"/>
      <w:r w:rsidRPr="00B031A0">
        <w:rPr>
          <w:rFonts w:ascii="Arial" w:hAnsi="Arial" w:cs="Arial"/>
          <w:color w:val="000000" w:themeColor="text1"/>
        </w:rPr>
        <w:t xml:space="preserve">, A. and </w:t>
      </w:r>
      <w:proofErr w:type="spellStart"/>
      <w:r w:rsidRPr="00B031A0">
        <w:rPr>
          <w:rFonts w:ascii="Arial" w:hAnsi="Arial" w:cs="Arial"/>
          <w:color w:val="000000" w:themeColor="text1"/>
        </w:rPr>
        <w:t>Schaeffter</w:t>
      </w:r>
      <w:proofErr w:type="spellEnd"/>
      <w:r w:rsidRPr="00B031A0">
        <w:rPr>
          <w:rFonts w:ascii="Arial" w:hAnsi="Arial" w:cs="Arial"/>
          <w:color w:val="000000" w:themeColor="text1"/>
        </w:rPr>
        <w:t xml:space="preserve">, T. (2024). The METRIC-framework for assessing data quality for trustworthy AI in medicine: A systematic review. </w:t>
      </w:r>
      <w:r w:rsidRPr="00B031A0">
        <w:rPr>
          <w:rFonts w:ascii="Arial" w:hAnsi="Arial" w:cs="Arial"/>
          <w:i/>
          <w:iCs/>
          <w:color w:val="000000" w:themeColor="text1"/>
        </w:rPr>
        <w:t>npj Digital Medicine</w:t>
      </w:r>
      <w:r w:rsidRPr="00B031A0">
        <w:rPr>
          <w:rFonts w:ascii="Arial" w:hAnsi="Arial" w:cs="Arial"/>
          <w:color w:val="000000" w:themeColor="text1"/>
        </w:rPr>
        <w:t>, [online] 7(1). doi:10.1038/s41746-024-01196-4.</w:t>
      </w:r>
    </w:p>
    <w:p w14:paraId="6AC5FEFD" w14:textId="77777777" w:rsidR="005501CA" w:rsidRDefault="005501CA" w:rsidP="005501CA">
      <w:pPr>
        <w:rPr>
          <w:rFonts w:ascii="Arial" w:hAnsi="Arial" w:cs="Arial"/>
          <w:color w:val="000000" w:themeColor="text1"/>
          <w:lang w:val="en-US"/>
        </w:rPr>
      </w:pPr>
      <w:r w:rsidRPr="00AE5573">
        <w:rPr>
          <w:rFonts w:ascii="Arial" w:hAnsi="Arial" w:cs="Arial"/>
          <w:color w:val="000000" w:themeColor="text1"/>
        </w:rPr>
        <w:t xml:space="preserve">Srigley, J.A., Corace, K., Hargadon, D.P., Yu, D., MacDonald, T., </w:t>
      </w:r>
      <w:proofErr w:type="spellStart"/>
      <w:r w:rsidRPr="00AE5573">
        <w:rPr>
          <w:rFonts w:ascii="Arial" w:hAnsi="Arial" w:cs="Arial"/>
          <w:color w:val="000000" w:themeColor="text1"/>
        </w:rPr>
        <w:t>Fabrigar</w:t>
      </w:r>
      <w:proofErr w:type="spellEnd"/>
      <w:r w:rsidRPr="00AE5573">
        <w:rPr>
          <w:rFonts w:ascii="Arial" w:hAnsi="Arial" w:cs="Arial"/>
          <w:color w:val="000000" w:themeColor="text1"/>
        </w:rPr>
        <w:t>, L. and Garber, G., 2015. Applying psychological frameworks of behaviour change to improve healthcare worker hand hygiene: a systematic review. </w:t>
      </w:r>
      <w:r w:rsidRPr="00AE5573">
        <w:rPr>
          <w:rFonts w:ascii="Arial" w:hAnsi="Arial" w:cs="Arial"/>
          <w:i/>
          <w:iCs/>
          <w:color w:val="000000" w:themeColor="text1"/>
        </w:rPr>
        <w:t>Journal of Hospital Infection</w:t>
      </w:r>
      <w:r w:rsidRPr="00AE5573">
        <w:rPr>
          <w:rFonts w:ascii="Arial" w:hAnsi="Arial" w:cs="Arial"/>
          <w:color w:val="000000" w:themeColor="text1"/>
        </w:rPr>
        <w:t>, </w:t>
      </w:r>
      <w:r w:rsidRPr="00AE5573">
        <w:rPr>
          <w:rFonts w:ascii="Arial" w:hAnsi="Arial" w:cs="Arial"/>
          <w:i/>
          <w:iCs/>
          <w:color w:val="000000" w:themeColor="text1"/>
        </w:rPr>
        <w:t>91</w:t>
      </w:r>
      <w:r w:rsidRPr="00AE5573">
        <w:rPr>
          <w:rFonts w:ascii="Arial" w:hAnsi="Arial" w:cs="Arial"/>
          <w:color w:val="000000" w:themeColor="text1"/>
        </w:rPr>
        <w:t>(3), pp.202-210.</w:t>
      </w:r>
    </w:p>
    <w:p w14:paraId="1690C219" w14:textId="77777777" w:rsidR="00776C49" w:rsidRPr="00B031A0" w:rsidRDefault="00776C49" w:rsidP="00D44D36">
      <w:pPr>
        <w:spacing w:before="240" w:after="240"/>
        <w:rPr>
          <w:rFonts w:ascii="Arial" w:hAnsi="Arial" w:cs="Arial"/>
          <w:color w:val="000000" w:themeColor="text1"/>
        </w:rPr>
      </w:pPr>
      <w:r w:rsidRPr="00B031A0">
        <w:rPr>
          <w:rFonts w:ascii="Arial" w:hAnsi="Arial" w:cs="Arial"/>
          <w:color w:val="000000" w:themeColor="text1"/>
        </w:rPr>
        <w:t xml:space="preserve">Skok, K., Bele, U., Pintar, Š., </w:t>
      </w:r>
      <w:proofErr w:type="spellStart"/>
      <w:r w:rsidRPr="00B031A0">
        <w:rPr>
          <w:rFonts w:ascii="Arial" w:hAnsi="Arial" w:cs="Arial"/>
          <w:color w:val="000000" w:themeColor="text1"/>
        </w:rPr>
        <w:t>Peršin</w:t>
      </w:r>
      <w:proofErr w:type="spellEnd"/>
      <w:r w:rsidRPr="00B031A0">
        <w:rPr>
          <w:rFonts w:ascii="Arial" w:hAnsi="Arial" w:cs="Arial"/>
          <w:color w:val="000000" w:themeColor="text1"/>
        </w:rPr>
        <w:t xml:space="preserve">, Z., Kuzmič, K., Bračič, M., Fras Zemljič, L. and Maver, U. (2025). Urinary catheters: State of the art and future perspectives – A narrative review. </w:t>
      </w:r>
      <w:r w:rsidRPr="00B031A0">
        <w:rPr>
          <w:rFonts w:ascii="Arial" w:hAnsi="Arial" w:cs="Arial"/>
          <w:i/>
          <w:iCs/>
          <w:color w:val="000000" w:themeColor="text1"/>
        </w:rPr>
        <w:t>Materials Today Bio</w:t>
      </w:r>
      <w:r w:rsidRPr="00B031A0">
        <w:rPr>
          <w:rFonts w:ascii="Arial" w:hAnsi="Arial" w:cs="Arial"/>
          <w:color w:val="000000" w:themeColor="text1"/>
        </w:rPr>
        <w:t>, [online] 34, p.102225. doi:10.1016/j.mtbio.2025.102225.</w:t>
      </w:r>
    </w:p>
    <w:p w14:paraId="4A72F3FA" w14:textId="77777777" w:rsidR="00776C49" w:rsidRPr="00B031A0" w:rsidRDefault="00776C49" w:rsidP="00D44D36">
      <w:pPr>
        <w:spacing w:before="240" w:after="240"/>
        <w:rPr>
          <w:rFonts w:ascii="Arial" w:hAnsi="Arial" w:cs="Arial"/>
          <w:color w:val="000000"/>
        </w:rPr>
      </w:pPr>
      <w:bookmarkStart w:id="61" w:name="_heading=h.1xryf43sxcmz" w:colFirst="0" w:colLast="0"/>
      <w:bookmarkEnd w:id="61"/>
      <w:r w:rsidRPr="00B031A0">
        <w:rPr>
          <w:rFonts w:ascii="Arial" w:hAnsi="Arial" w:cs="Arial"/>
          <w:color w:val="000000" w:themeColor="text1"/>
        </w:rPr>
        <w:t xml:space="preserve">Sonni, A.F., </w:t>
      </w:r>
      <w:proofErr w:type="spellStart"/>
      <w:r w:rsidRPr="00B031A0">
        <w:rPr>
          <w:rFonts w:ascii="Arial" w:hAnsi="Arial" w:cs="Arial"/>
          <w:color w:val="000000" w:themeColor="text1"/>
        </w:rPr>
        <w:t>Hafied</w:t>
      </w:r>
      <w:proofErr w:type="spellEnd"/>
      <w:r w:rsidRPr="00B031A0">
        <w:rPr>
          <w:rFonts w:ascii="Arial" w:hAnsi="Arial" w:cs="Arial"/>
          <w:color w:val="000000" w:themeColor="text1"/>
        </w:rPr>
        <w:t xml:space="preserve">, H., Irwanto, I. and Latuheru, R. (2024). Digital Newsroom Transformation: A systematic review of the impact </w:t>
      </w:r>
      <w:r w:rsidRPr="00B031A0">
        <w:rPr>
          <w:rFonts w:ascii="Arial" w:hAnsi="Arial" w:cs="Arial"/>
          <w:color w:val="000000"/>
        </w:rPr>
        <w:t xml:space="preserve">of artificial intelligence on journalistic practices, news narratives, and ethical challenges. </w:t>
      </w:r>
      <w:r w:rsidRPr="00B031A0">
        <w:rPr>
          <w:rFonts w:ascii="Arial" w:hAnsi="Arial" w:cs="Arial"/>
          <w:i/>
          <w:iCs/>
          <w:color w:val="000000"/>
        </w:rPr>
        <w:t>Journalism and Media</w:t>
      </w:r>
      <w:r w:rsidRPr="00B031A0">
        <w:rPr>
          <w:rFonts w:ascii="Arial" w:hAnsi="Arial" w:cs="Arial"/>
          <w:color w:val="000000"/>
        </w:rPr>
        <w:t>, 5(4), pp.1554–1570. doi:10.3390/journalmedia5040097.</w:t>
      </w:r>
    </w:p>
    <w:p w14:paraId="37068ED2"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 xml:space="preserve">Stewart, S., Robertson, C., Kennedy, S., Kavanagh, K., Haahr, L., Manoukian, S., Mason, H., Dancer, S., Cook, B. and Reilly, J. (2021). Personalized infection prevention and control: Identifying patients at risk of healthcare-associated infection. </w:t>
      </w:r>
      <w:r w:rsidRPr="00B031A0">
        <w:rPr>
          <w:rFonts w:ascii="Arial" w:hAnsi="Arial" w:cs="Arial"/>
          <w:i/>
          <w:iCs/>
          <w:color w:val="000000"/>
        </w:rPr>
        <w:t>Journal of Hospital Infection</w:t>
      </w:r>
      <w:r w:rsidRPr="00B031A0">
        <w:rPr>
          <w:rFonts w:ascii="Arial" w:hAnsi="Arial" w:cs="Arial"/>
          <w:color w:val="000000"/>
        </w:rPr>
        <w:t>, [online] 114, pp.32–42. doi:10.1016/j.jhin.2021.03.032.</w:t>
      </w:r>
    </w:p>
    <w:p w14:paraId="11A1CF54"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 xml:space="preserve">Taherdoost, H. (2022). What are different research approaches? Comprehensive review of qualitative, quantitative, and mixed method research, their applications, types, and limitations. </w:t>
      </w:r>
      <w:r w:rsidRPr="00B031A0">
        <w:rPr>
          <w:rFonts w:ascii="Arial" w:hAnsi="Arial" w:cs="Arial"/>
          <w:i/>
          <w:iCs/>
          <w:color w:val="000000"/>
        </w:rPr>
        <w:t>Journal of Management Science &amp; Engineering Research</w:t>
      </w:r>
      <w:r w:rsidRPr="00B031A0">
        <w:rPr>
          <w:rFonts w:ascii="Arial" w:hAnsi="Arial" w:cs="Arial"/>
          <w:color w:val="000000"/>
        </w:rPr>
        <w:t xml:space="preserve">, </w:t>
      </w:r>
      <w:r w:rsidRPr="00B031A0">
        <w:rPr>
          <w:rFonts w:ascii="Arial" w:hAnsi="Arial" w:cs="Arial"/>
          <w:color w:val="000000"/>
        </w:rPr>
        <w:lastRenderedPageBreak/>
        <w:t>[online] 5(1), pp.53–63. Available at: https://hal.science/hal-03741840/document [Accessed 4 Aug. 2026].</w:t>
      </w:r>
    </w:p>
    <w:p w14:paraId="76E841F9"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 xml:space="preserve">Tonny Ssekamatte, </w:t>
      </w:r>
      <w:proofErr w:type="spellStart"/>
      <w:r w:rsidRPr="00B031A0">
        <w:rPr>
          <w:rFonts w:ascii="Arial" w:hAnsi="Arial" w:cs="Arial"/>
          <w:color w:val="000000"/>
        </w:rPr>
        <w:t>Mugambe</w:t>
      </w:r>
      <w:proofErr w:type="spellEnd"/>
      <w:r w:rsidRPr="00B031A0">
        <w:rPr>
          <w:rFonts w:ascii="Arial" w:hAnsi="Arial" w:cs="Arial"/>
          <w:color w:val="000000"/>
        </w:rPr>
        <w:t xml:space="preserve">, R.K., John Bosco Isunju, Wanyenze, R.K., </w:t>
      </w:r>
      <w:proofErr w:type="spellStart"/>
      <w:r w:rsidRPr="00B031A0">
        <w:rPr>
          <w:rFonts w:ascii="Arial" w:hAnsi="Arial" w:cs="Arial"/>
          <w:color w:val="000000"/>
        </w:rPr>
        <w:t>Nalugya</w:t>
      </w:r>
      <w:proofErr w:type="spellEnd"/>
      <w:r w:rsidRPr="00B031A0">
        <w:rPr>
          <w:rFonts w:ascii="Arial" w:hAnsi="Arial" w:cs="Arial"/>
          <w:color w:val="000000"/>
        </w:rPr>
        <w:t xml:space="preserve">, A., </w:t>
      </w:r>
      <w:proofErr w:type="spellStart"/>
      <w:r w:rsidRPr="00B031A0">
        <w:rPr>
          <w:rFonts w:ascii="Arial" w:hAnsi="Arial" w:cs="Arial"/>
          <w:color w:val="000000"/>
        </w:rPr>
        <w:t>Adyedo</w:t>
      </w:r>
      <w:proofErr w:type="spellEnd"/>
      <w:r w:rsidRPr="00B031A0">
        <w:rPr>
          <w:rFonts w:ascii="Arial" w:hAnsi="Arial" w:cs="Arial"/>
          <w:color w:val="000000"/>
        </w:rPr>
        <w:t xml:space="preserve">, C., Wafula, S.T., </w:t>
      </w:r>
      <w:proofErr w:type="spellStart"/>
      <w:r w:rsidRPr="00B031A0">
        <w:rPr>
          <w:rFonts w:ascii="Arial" w:hAnsi="Arial" w:cs="Arial"/>
          <w:color w:val="000000"/>
        </w:rPr>
        <w:t>Buregyeya</w:t>
      </w:r>
      <w:proofErr w:type="spellEnd"/>
      <w:r w:rsidRPr="00B031A0">
        <w:rPr>
          <w:rFonts w:ascii="Arial" w:hAnsi="Arial" w:cs="Arial"/>
          <w:color w:val="000000"/>
        </w:rPr>
        <w:t xml:space="preserve">, E., </w:t>
      </w:r>
      <w:proofErr w:type="spellStart"/>
      <w:r w:rsidRPr="00B031A0">
        <w:rPr>
          <w:rFonts w:ascii="Arial" w:hAnsi="Arial" w:cs="Arial"/>
          <w:color w:val="000000"/>
        </w:rPr>
        <w:t>Nuwematsiko</w:t>
      </w:r>
      <w:proofErr w:type="spellEnd"/>
      <w:r w:rsidRPr="00B031A0">
        <w:rPr>
          <w:rFonts w:ascii="Arial" w:hAnsi="Arial" w:cs="Arial"/>
          <w:color w:val="000000"/>
        </w:rPr>
        <w:t xml:space="preserve">, R., Bateman, J., Balen, J., </w:t>
      </w:r>
      <w:proofErr w:type="spellStart"/>
      <w:r w:rsidRPr="00B031A0">
        <w:rPr>
          <w:rFonts w:ascii="Arial" w:hAnsi="Arial" w:cs="Arial"/>
          <w:color w:val="000000"/>
        </w:rPr>
        <w:t>Lusenaka</w:t>
      </w:r>
      <w:proofErr w:type="spellEnd"/>
      <w:r w:rsidRPr="00B031A0">
        <w:rPr>
          <w:rFonts w:ascii="Arial" w:hAnsi="Arial" w:cs="Arial"/>
          <w:color w:val="000000"/>
        </w:rPr>
        <w:t xml:space="preserve">, L., Habib Yakubu and Moe, C.L. (2024). Application of the behaviour-centred design to understand facilitators and deterrents of hand hygiene among healthcare providers: Findings from a formative phase of a cluster randomised trial in the Kampala Metropolitan Area. </w:t>
      </w:r>
      <w:r w:rsidRPr="00B031A0">
        <w:rPr>
          <w:rFonts w:ascii="Arial" w:hAnsi="Arial" w:cs="Arial"/>
          <w:i/>
          <w:iCs/>
          <w:color w:val="000000"/>
        </w:rPr>
        <w:t>BMC Health Services Research</w:t>
      </w:r>
      <w:r w:rsidRPr="00B031A0">
        <w:rPr>
          <w:rFonts w:ascii="Arial" w:hAnsi="Arial" w:cs="Arial"/>
          <w:color w:val="000000"/>
        </w:rPr>
        <w:t>, [online] 24(1). doi:10.1186/s12913-024-11512-z.</w:t>
      </w:r>
    </w:p>
    <w:p w14:paraId="21F07565" w14:textId="77777777" w:rsidR="00776C49" w:rsidRPr="00B031A0" w:rsidRDefault="00776C49" w:rsidP="00D44D36">
      <w:pPr>
        <w:spacing w:before="240"/>
        <w:rPr>
          <w:rFonts w:ascii="Arial" w:hAnsi="Arial" w:cs="Arial"/>
          <w:color w:val="000000"/>
        </w:rPr>
      </w:pPr>
      <w:r w:rsidRPr="00B031A0">
        <w:rPr>
          <w:rFonts w:ascii="Arial" w:hAnsi="Arial" w:cs="Arial"/>
          <w:color w:val="000000"/>
        </w:rPr>
        <w:t xml:space="preserve">UK Health Security Agency (2025). </w:t>
      </w:r>
      <w:r w:rsidRPr="00B031A0">
        <w:rPr>
          <w:rFonts w:ascii="Arial" w:hAnsi="Arial" w:cs="Arial"/>
          <w:i/>
          <w:iCs/>
          <w:color w:val="000000"/>
        </w:rPr>
        <w:t>Surveillance of surgical site infections in NHS hospitals in England April 2024 to March 2025</w:t>
      </w:r>
      <w:r w:rsidRPr="00B031A0">
        <w:rPr>
          <w:rFonts w:ascii="Arial" w:hAnsi="Arial" w:cs="Arial"/>
          <w:color w:val="000000"/>
        </w:rPr>
        <w:t xml:space="preserve">. [online] </w:t>
      </w:r>
      <w:r w:rsidRPr="00B031A0">
        <w:rPr>
          <w:rFonts w:ascii="Arial" w:hAnsi="Arial" w:cs="Arial"/>
          <w:i/>
          <w:iCs/>
          <w:color w:val="000000"/>
        </w:rPr>
        <w:t>UK Health Security Agency</w:t>
      </w:r>
      <w:r w:rsidRPr="00B031A0">
        <w:rPr>
          <w:rFonts w:ascii="Arial" w:hAnsi="Arial" w:cs="Arial"/>
          <w:color w:val="000000"/>
        </w:rPr>
        <w:t>. UK Health Security Agency. Available at: https://assets.publishing.service.gov.uk/media/69383a867a605b2d61cd8fa0/SSISS-annual-report-2024-to-2025.pdf [Accessed 14 July 2026].</w:t>
      </w:r>
    </w:p>
    <w:p w14:paraId="20D47A3C"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UKHSA (2023). UKHSA Annual Report and Accounts 2023-24 HC 427. [online] Available at: https://assets.publishing.service.gov.uk/media/67605075d18ee49eb35b5b43/UKHSA_Annual_Report_2023_24.pdf [Accessed 4 Aug. 2026].</w:t>
      </w:r>
    </w:p>
    <w:p w14:paraId="42602656" w14:textId="77777777" w:rsidR="00776C49" w:rsidRPr="00B031A0" w:rsidRDefault="00776C49" w:rsidP="00D44D36">
      <w:pPr>
        <w:spacing w:before="240" w:after="240"/>
        <w:rPr>
          <w:rFonts w:ascii="Arial" w:hAnsi="Arial" w:cs="Arial"/>
          <w:color w:val="000000"/>
        </w:rPr>
      </w:pPr>
      <w:proofErr w:type="spellStart"/>
      <w:r w:rsidRPr="00B031A0">
        <w:rPr>
          <w:rFonts w:ascii="Arial" w:hAnsi="Arial" w:cs="Arial"/>
          <w:color w:val="000000"/>
        </w:rPr>
        <w:t>Violato</w:t>
      </w:r>
      <w:proofErr w:type="spellEnd"/>
      <w:r w:rsidRPr="00B031A0">
        <w:rPr>
          <w:rFonts w:ascii="Arial" w:hAnsi="Arial" w:cs="Arial"/>
          <w:color w:val="000000"/>
        </w:rPr>
        <w:t xml:space="preserve">, E., Witschen, B., </w:t>
      </w:r>
      <w:proofErr w:type="spellStart"/>
      <w:r w:rsidRPr="00B031A0">
        <w:rPr>
          <w:rFonts w:ascii="Arial" w:hAnsi="Arial" w:cs="Arial"/>
          <w:color w:val="000000"/>
        </w:rPr>
        <w:t>Violato</w:t>
      </w:r>
      <w:proofErr w:type="spellEnd"/>
      <w:r w:rsidRPr="00B031A0">
        <w:rPr>
          <w:rFonts w:ascii="Arial" w:hAnsi="Arial" w:cs="Arial"/>
          <w:color w:val="000000"/>
        </w:rPr>
        <w:t xml:space="preserve">, E. and King, S. (2021). A behavioural study of obedience in health professional students. </w:t>
      </w:r>
      <w:r w:rsidRPr="00B031A0">
        <w:rPr>
          <w:rFonts w:ascii="Arial" w:hAnsi="Arial" w:cs="Arial"/>
          <w:i/>
          <w:iCs/>
          <w:color w:val="000000"/>
        </w:rPr>
        <w:t>Advances in Health Sciences Education</w:t>
      </w:r>
      <w:r w:rsidRPr="00B031A0">
        <w:rPr>
          <w:rFonts w:ascii="Arial" w:hAnsi="Arial" w:cs="Arial"/>
          <w:color w:val="000000"/>
        </w:rPr>
        <w:t>, 27(2). doi:10.1007/s10459-021-10085-4.</w:t>
      </w:r>
    </w:p>
    <w:p w14:paraId="37208C07" w14:textId="77777777" w:rsidR="00776C49" w:rsidRPr="00B031A0" w:rsidRDefault="00776C49" w:rsidP="00D44D36">
      <w:pPr>
        <w:spacing w:before="240"/>
        <w:rPr>
          <w:rFonts w:ascii="Arial" w:hAnsi="Arial" w:cs="Arial"/>
          <w:color w:val="000000"/>
        </w:rPr>
      </w:pPr>
      <w:r w:rsidRPr="00B031A0">
        <w:rPr>
          <w:rFonts w:ascii="Arial" w:hAnsi="Arial" w:cs="Arial"/>
          <w:color w:val="000000"/>
        </w:rPr>
        <w:t xml:space="preserve">White, K.M., Jimmieson, N.L., Obst, P.L., Graves, N., Barnett, A., Cockshaw, W., Gee, P., Haneman, L., Page, K., Campbell, M., Martin, E. and Paterson, D. (2015). Using a theory of planned behaviour framework to explore hand hygiene beliefs at the ‘5 critical moments’ among Australian hospital-based nurses. </w:t>
      </w:r>
      <w:r w:rsidRPr="00B031A0">
        <w:rPr>
          <w:rFonts w:ascii="Arial" w:hAnsi="Arial" w:cs="Arial"/>
          <w:i/>
          <w:iCs/>
          <w:color w:val="000000"/>
        </w:rPr>
        <w:t>BMC Health Services Research</w:t>
      </w:r>
      <w:r w:rsidRPr="00B031A0">
        <w:rPr>
          <w:rFonts w:ascii="Arial" w:hAnsi="Arial" w:cs="Arial"/>
          <w:color w:val="000000"/>
        </w:rPr>
        <w:t>, 15(1). doi:10.1186/s12913-015-0718-2.</w:t>
      </w:r>
    </w:p>
    <w:p w14:paraId="0EA5A187" w14:textId="77777777" w:rsidR="005501CA" w:rsidRPr="004764CC" w:rsidRDefault="005501CA" w:rsidP="005501CA">
      <w:pPr>
        <w:rPr>
          <w:rFonts w:ascii="Arial" w:hAnsi="Arial" w:cs="Arial"/>
          <w:color w:val="000000" w:themeColor="text1"/>
          <w:lang w:val="en-US"/>
        </w:rPr>
      </w:pPr>
      <w:r w:rsidRPr="000F0265">
        <w:rPr>
          <w:rFonts w:ascii="Arial" w:hAnsi="Arial" w:cs="Arial"/>
          <w:color w:val="000000" w:themeColor="text1"/>
        </w:rPr>
        <w:t xml:space="preserve">Winship, S. and </w:t>
      </w:r>
      <w:proofErr w:type="spellStart"/>
      <w:r w:rsidRPr="000F0265">
        <w:rPr>
          <w:rFonts w:ascii="Arial" w:hAnsi="Arial" w:cs="Arial"/>
          <w:color w:val="000000" w:themeColor="text1"/>
        </w:rPr>
        <w:t>McClunie</w:t>
      </w:r>
      <w:proofErr w:type="spellEnd"/>
      <w:r w:rsidRPr="000F0265">
        <w:rPr>
          <w:rFonts w:ascii="Arial" w:hAnsi="Arial" w:cs="Arial"/>
          <w:color w:val="000000" w:themeColor="text1"/>
        </w:rPr>
        <w:t>-Trust, P., 2016. Factors influencing hand hygiene compliance among nurses: An integrative review. </w:t>
      </w:r>
      <w:proofErr w:type="spellStart"/>
      <w:r w:rsidRPr="000F0265">
        <w:rPr>
          <w:rFonts w:ascii="Arial" w:hAnsi="Arial" w:cs="Arial"/>
          <w:i/>
          <w:iCs/>
          <w:color w:val="000000" w:themeColor="text1"/>
        </w:rPr>
        <w:t>KaiTiaki</w:t>
      </w:r>
      <w:proofErr w:type="spellEnd"/>
      <w:r w:rsidRPr="000F0265">
        <w:rPr>
          <w:rFonts w:ascii="Arial" w:hAnsi="Arial" w:cs="Arial"/>
          <w:i/>
          <w:iCs/>
          <w:color w:val="000000" w:themeColor="text1"/>
        </w:rPr>
        <w:t xml:space="preserve"> Nursing Research</w:t>
      </w:r>
      <w:r w:rsidRPr="000F0265">
        <w:rPr>
          <w:rFonts w:ascii="Arial" w:hAnsi="Arial" w:cs="Arial"/>
          <w:color w:val="000000" w:themeColor="text1"/>
        </w:rPr>
        <w:t>, </w:t>
      </w:r>
      <w:r w:rsidRPr="000F0265">
        <w:rPr>
          <w:rFonts w:ascii="Arial" w:hAnsi="Arial" w:cs="Arial"/>
          <w:i/>
          <w:iCs/>
          <w:color w:val="000000" w:themeColor="text1"/>
        </w:rPr>
        <w:t>7</w:t>
      </w:r>
      <w:r w:rsidRPr="000F0265">
        <w:rPr>
          <w:rFonts w:ascii="Arial" w:hAnsi="Arial" w:cs="Arial"/>
          <w:color w:val="000000" w:themeColor="text1"/>
        </w:rPr>
        <w:t>(1), pp.19-26.</w:t>
      </w:r>
    </w:p>
    <w:p w14:paraId="76A8C3E1" w14:textId="77777777" w:rsidR="00776C49" w:rsidRPr="00B031A0" w:rsidRDefault="00776C49" w:rsidP="00D44D36">
      <w:pPr>
        <w:spacing w:before="240"/>
        <w:rPr>
          <w:rFonts w:ascii="Arial" w:hAnsi="Arial" w:cs="Arial"/>
          <w:color w:val="000000"/>
        </w:rPr>
      </w:pPr>
      <w:r w:rsidRPr="00B031A0">
        <w:rPr>
          <w:rFonts w:ascii="Arial" w:hAnsi="Arial" w:cs="Arial"/>
          <w:color w:val="000000"/>
        </w:rPr>
        <w:lastRenderedPageBreak/>
        <w:t xml:space="preserve">Worku, A.D. and Melaku, A. (2025). Barriers to hand hygiene practice among healthcare workers in health centres of Kirkos and Akaki </w:t>
      </w:r>
      <w:proofErr w:type="spellStart"/>
      <w:r w:rsidRPr="00B031A0">
        <w:rPr>
          <w:rFonts w:ascii="Arial" w:hAnsi="Arial" w:cs="Arial"/>
          <w:color w:val="000000"/>
        </w:rPr>
        <w:t>Kality</w:t>
      </w:r>
      <w:proofErr w:type="spellEnd"/>
      <w:r w:rsidRPr="00B031A0">
        <w:rPr>
          <w:rFonts w:ascii="Arial" w:hAnsi="Arial" w:cs="Arial"/>
          <w:color w:val="000000"/>
        </w:rPr>
        <w:t xml:space="preserve"> sub-cities, Addis Ababa, Ethiopia: A qualitative study. </w:t>
      </w:r>
      <w:r w:rsidRPr="00B031A0">
        <w:rPr>
          <w:rFonts w:ascii="Arial" w:hAnsi="Arial" w:cs="Arial"/>
          <w:i/>
          <w:iCs/>
          <w:color w:val="000000"/>
        </w:rPr>
        <w:t>Infection Prevention in Practice</w:t>
      </w:r>
      <w:r w:rsidRPr="00B031A0">
        <w:rPr>
          <w:rFonts w:ascii="Arial" w:hAnsi="Arial" w:cs="Arial"/>
          <w:color w:val="000000"/>
        </w:rPr>
        <w:t>, [online] 7(2), p.100450. doi:10.1016/j.infpip.2025.100450.</w:t>
      </w:r>
    </w:p>
    <w:p w14:paraId="436F78B0" w14:textId="77777777" w:rsidR="00776C49" w:rsidRPr="00B031A0" w:rsidRDefault="00776C49" w:rsidP="00D44D36">
      <w:pPr>
        <w:spacing w:before="240"/>
        <w:rPr>
          <w:rFonts w:ascii="Arial" w:hAnsi="Arial" w:cs="Arial"/>
          <w:color w:val="000000"/>
        </w:rPr>
      </w:pPr>
      <w:r w:rsidRPr="00B031A0">
        <w:rPr>
          <w:rFonts w:ascii="Arial" w:hAnsi="Arial" w:cs="Arial"/>
          <w:color w:val="000000"/>
        </w:rPr>
        <w:t xml:space="preserve">World Health Organization (2022). </w:t>
      </w:r>
      <w:r w:rsidRPr="00B031A0">
        <w:rPr>
          <w:rFonts w:ascii="Arial" w:hAnsi="Arial" w:cs="Arial"/>
          <w:i/>
          <w:iCs/>
          <w:color w:val="000000"/>
        </w:rPr>
        <w:t>Hand Hygiene</w:t>
      </w:r>
      <w:r w:rsidRPr="00B031A0">
        <w:rPr>
          <w:rFonts w:ascii="Arial" w:hAnsi="Arial" w:cs="Arial"/>
          <w:color w:val="000000"/>
        </w:rPr>
        <w:t>. [online] Www.who.int. Available at: https://www.who.int/teams/integrated-health-services/infection-prevention-control/hand-hygiene [Accessed 14 July 2026].</w:t>
      </w:r>
    </w:p>
    <w:p w14:paraId="2675CBC9"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 xml:space="preserve">Yadav, V., Trushna, T., Mandal, U.K., Singh, M., Goel, A.D., Bairwa, M., </w:t>
      </w:r>
      <w:proofErr w:type="spellStart"/>
      <w:r w:rsidRPr="00B031A0">
        <w:rPr>
          <w:rFonts w:ascii="Arial" w:hAnsi="Arial" w:cs="Arial"/>
          <w:color w:val="000000"/>
        </w:rPr>
        <w:t>Dabar</w:t>
      </w:r>
      <w:proofErr w:type="spellEnd"/>
      <w:r w:rsidRPr="00B031A0">
        <w:rPr>
          <w:rFonts w:ascii="Arial" w:hAnsi="Arial" w:cs="Arial"/>
          <w:color w:val="000000"/>
        </w:rPr>
        <w:t xml:space="preserve">, D. and Sabde, Y.D. (2025). AI-assisted search strategy construction with step-by-step instructions to execute and manage searches across major databases. </w:t>
      </w:r>
      <w:r w:rsidRPr="00B031A0">
        <w:rPr>
          <w:rFonts w:ascii="Arial" w:hAnsi="Arial" w:cs="Arial"/>
          <w:i/>
          <w:iCs/>
          <w:color w:val="000000"/>
        </w:rPr>
        <w:t>Medical Reference Services Quarterly</w:t>
      </w:r>
      <w:r w:rsidRPr="00B031A0">
        <w:rPr>
          <w:rFonts w:ascii="Arial" w:hAnsi="Arial" w:cs="Arial"/>
          <w:color w:val="000000"/>
        </w:rPr>
        <w:t>, 45(1), pp.1–26. doi:10.1080/02763869.2025.2595567.</w:t>
      </w:r>
    </w:p>
    <w:p w14:paraId="74AE15DD" w14:textId="77777777" w:rsidR="00776C49" w:rsidRPr="00B031A0" w:rsidRDefault="00776C49" w:rsidP="00D44D36">
      <w:pPr>
        <w:spacing w:before="240"/>
        <w:rPr>
          <w:rFonts w:ascii="Arial" w:hAnsi="Arial" w:cs="Arial"/>
          <w:color w:val="000000"/>
        </w:rPr>
      </w:pPr>
      <w:r w:rsidRPr="009807F5">
        <w:rPr>
          <w:rFonts w:ascii="Arial" w:hAnsi="Arial" w:cs="Arial"/>
          <w:color w:val="000000"/>
          <w:lang w:val="en-US"/>
        </w:rPr>
        <w:t xml:space="preserve">Yi, Y., Wu, T., Jing, C., Du, X., Shan, Y., Jiang, Q., Hou, L. and Tao, L. (2026). </w:t>
      </w:r>
      <w:r w:rsidRPr="00B031A0">
        <w:rPr>
          <w:rFonts w:ascii="Arial" w:hAnsi="Arial" w:cs="Arial"/>
          <w:color w:val="000000"/>
        </w:rPr>
        <w:t xml:space="preserve">Barriers to hand hygiene practices and improvement expectations among awake ICU patients: A qualitative study. </w:t>
      </w:r>
      <w:r w:rsidRPr="00B031A0">
        <w:rPr>
          <w:rFonts w:ascii="Arial" w:hAnsi="Arial" w:cs="Arial"/>
          <w:i/>
          <w:iCs/>
          <w:color w:val="000000"/>
        </w:rPr>
        <w:t>Frontiers in Public Health</w:t>
      </w:r>
      <w:r w:rsidRPr="00B031A0">
        <w:rPr>
          <w:rFonts w:ascii="Arial" w:hAnsi="Arial" w:cs="Arial"/>
          <w:color w:val="000000"/>
        </w:rPr>
        <w:t>, 14. doi:10.3389/fpubh.2026.1814268.</w:t>
      </w:r>
    </w:p>
    <w:p w14:paraId="5589BC44" w14:textId="77777777" w:rsidR="00776C49" w:rsidRPr="00B031A0" w:rsidRDefault="00776C49" w:rsidP="00D44D36">
      <w:pPr>
        <w:spacing w:before="240"/>
        <w:rPr>
          <w:rFonts w:ascii="Arial" w:hAnsi="Arial" w:cs="Arial"/>
          <w:color w:val="000000"/>
        </w:rPr>
      </w:pPr>
      <w:proofErr w:type="spellStart"/>
      <w:r w:rsidRPr="00B031A0">
        <w:rPr>
          <w:rFonts w:ascii="Arial" w:hAnsi="Arial" w:cs="Arial"/>
          <w:color w:val="000000"/>
        </w:rPr>
        <w:t>Ystaas</w:t>
      </w:r>
      <w:proofErr w:type="spellEnd"/>
      <w:r w:rsidRPr="00B031A0">
        <w:rPr>
          <w:rFonts w:ascii="Arial" w:hAnsi="Arial" w:cs="Arial"/>
          <w:color w:val="000000"/>
        </w:rPr>
        <w:t xml:space="preserve">, L.M.K., </w:t>
      </w:r>
      <w:proofErr w:type="spellStart"/>
      <w:r w:rsidRPr="00B031A0">
        <w:rPr>
          <w:rFonts w:ascii="Arial" w:hAnsi="Arial" w:cs="Arial"/>
          <w:color w:val="000000"/>
        </w:rPr>
        <w:t>Nikitara</w:t>
      </w:r>
      <w:proofErr w:type="spellEnd"/>
      <w:r w:rsidRPr="00B031A0">
        <w:rPr>
          <w:rFonts w:ascii="Arial" w:hAnsi="Arial" w:cs="Arial"/>
          <w:color w:val="000000"/>
        </w:rPr>
        <w:t xml:space="preserve">, M., Ghobrial, S., </w:t>
      </w:r>
      <w:proofErr w:type="spellStart"/>
      <w:r w:rsidRPr="00B031A0">
        <w:rPr>
          <w:rFonts w:ascii="Arial" w:hAnsi="Arial" w:cs="Arial"/>
          <w:color w:val="000000"/>
        </w:rPr>
        <w:t>Latzourakis</w:t>
      </w:r>
      <w:proofErr w:type="spellEnd"/>
      <w:r w:rsidRPr="00B031A0">
        <w:rPr>
          <w:rFonts w:ascii="Arial" w:hAnsi="Arial" w:cs="Arial"/>
          <w:color w:val="000000"/>
        </w:rPr>
        <w:t xml:space="preserve">, E., Polychronis, G. and </w:t>
      </w:r>
      <w:proofErr w:type="spellStart"/>
      <w:r w:rsidRPr="00B031A0">
        <w:rPr>
          <w:rFonts w:ascii="Arial" w:hAnsi="Arial" w:cs="Arial"/>
          <w:color w:val="000000"/>
        </w:rPr>
        <w:t>ConstantinouCrosbie</w:t>
      </w:r>
      <w:proofErr w:type="spellEnd"/>
      <w:r w:rsidRPr="00B031A0">
        <w:rPr>
          <w:rFonts w:ascii="Arial" w:hAnsi="Arial" w:cs="Arial"/>
          <w:color w:val="000000"/>
        </w:rPr>
        <w:t xml:space="preserve"> , C.S. (2023). The impact of transformational leadership in the nursing work environment and patients’ outcomes: A systematic review. </w:t>
      </w:r>
      <w:r w:rsidRPr="00B031A0">
        <w:rPr>
          <w:rFonts w:ascii="Arial" w:hAnsi="Arial" w:cs="Arial"/>
          <w:i/>
          <w:iCs/>
          <w:color w:val="000000"/>
        </w:rPr>
        <w:t>Nursing Reports</w:t>
      </w:r>
      <w:r w:rsidRPr="00B031A0">
        <w:rPr>
          <w:rFonts w:ascii="Arial" w:hAnsi="Arial" w:cs="Arial"/>
          <w:color w:val="000000"/>
        </w:rPr>
        <w:t>, [online] 13(3), pp.1271–1290. doi:10.3390/nursrep13030108.</w:t>
      </w:r>
    </w:p>
    <w:p w14:paraId="200855A5"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 xml:space="preserve">Yue, J. and Pan, H. (2025). Enhancing hand hygiene compliance in healthcare settings: A long time intervention study. </w:t>
      </w:r>
      <w:r w:rsidRPr="00B031A0">
        <w:rPr>
          <w:rFonts w:ascii="Arial" w:hAnsi="Arial" w:cs="Arial"/>
          <w:i/>
          <w:iCs/>
          <w:color w:val="000000"/>
        </w:rPr>
        <w:t>Frontiers in Public Health</w:t>
      </w:r>
      <w:r w:rsidRPr="00B031A0">
        <w:rPr>
          <w:rFonts w:ascii="Arial" w:hAnsi="Arial" w:cs="Arial"/>
          <w:color w:val="000000"/>
        </w:rPr>
        <w:t>, 13. doi:10.3389/fpubh.2025.1588336.</w:t>
      </w:r>
    </w:p>
    <w:p w14:paraId="7ACA65B7"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 xml:space="preserve">Zeki Simsek, Fox, B.C., Heavey, C. and Liu, S. (2024). Methodological rigor in management research reviews. </w:t>
      </w:r>
      <w:r w:rsidRPr="00B031A0">
        <w:rPr>
          <w:rFonts w:ascii="Arial" w:hAnsi="Arial" w:cs="Arial"/>
          <w:i/>
          <w:iCs/>
          <w:color w:val="000000"/>
        </w:rPr>
        <w:t>Journal of management</w:t>
      </w:r>
      <w:r w:rsidRPr="00B031A0">
        <w:rPr>
          <w:rFonts w:ascii="Arial" w:hAnsi="Arial" w:cs="Arial"/>
          <w:color w:val="000000"/>
        </w:rPr>
        <w:t>. doi:10.1177/01492063241237222.</w:t>
      </w:r>
    </w:p>
    <w:p w14:paraId="41AD2853" w14:textId="77777777" w:rsidR="00776C49" w:rsidRPr="00B031A0" w:rsidRDefault="00776C49" w:rsidP="00D44D36">
      <w:pPr>
        <w:spacing w:before="240" w:after="240"/>
        <w:rPr>
          <w:rFonts w:ascii="Arial" w:hAnsi="Arial" w:cs="Arial"/>
          <w:color w:val="000000"/>
        </w:rPr>
      </w:pPr>
      <w:r w:rsidRPr="00B031A0">
        <w:rPr>
          <w:rFonts w:ascii="Arial" w:hAnsi="Arial" w:cs="Arial"/>
          <w:color w:val="000000"/>
        </w:rPr>
        <w:t xml:space="preserve">Zhaksylyk, A., Zimba, O., Yessirkepov, M. and Koçyiğit, B.F. (2023). Research integrity: Where we are and where we are heading. </w:t>
      </w:r>
      <w:r w:rsidRPr="00B031A0">
        <w:rPr>
          <w:rFonts w:ascii="Arial" w:hAnsi="Arial" w:cs="Arial"/>
          <w:i/>
          <w:iCs/>
          <w:color w:val="000000"/>
        </w:rPr>
        <w:t>Journal of Korean Medical Science</w:t>
      </w:r>
      <w:r w:rsidRPr="00B031A0">
        <w:rPr>
          <w:rFonts w:ascii="Arial" w:hAnsi="Arial" w:cs="Arial"/>
          <w:color w:val="000000"/>
        </w:rPr>
        <w:t>, [online] 38(47). doi:10.3346/jkms.2023.38.e405.</w:t>
      </w:r>
    </w:p>
    <w:p w14:paraId="2AF0C1F5" w14:textId="77777777" w:rsidR="00776C49" w:rsidRPr="00B031A0" w:rsidRDefault="00776C49" w:rsidP="00D44D36">
      <w:pPr>
        <w:spacing w:after="240"/>
        <w:rPr>
          <w:rFonts w:ascii="Arial" w:hAnsi="Arial" w:cs="Arial"/>
          <w:color w:val="000000"/>
        </w:rPr>
      </w:pPr>
      <w:r w:rsidRPr="00B031A0">
        <w:rPr>
          <w:rFonts w:ascii="Arial" w:hAnsi="Arial" w:cs="Arial"/>
          <w:color w:val="000000"/>
        </w:rPr>
        <w:t xml:space="preserve">Zheng, S., Yang, Q., Wang, X., Zhang, X. and Zhou, Q. (2022). Capability, opportunity, motivation, and hand hygiene behavior in healthcare workers: A structural equation </w:t>
      </w:r>
      <w:r w:rsidRPr="00B031A0">
        <w:rPr>
          <w:rFonts w:ascii="Arial" w:hAnsi="Arial" w:cs="Arial"/>
          <w:color w:val="000000"/>
        </w:rPr>
        <w:lastRenderedPageBreak/>
        <w:t xml:space="preserve">modeling. </w:t>
      </w:r>
      <w:r w:rsidRPr="00B031A0">
        <w:rPr>
          <w:rFonts w:ascii="Arial" w:hAnsi="Arial" w:cs="Arial"/>
          <w:i/>
          <w:iCs/>
          <w:color w:val="000000"/>
        </w:rPr>
        <w:t>Psychology Research and Behavior Management</w:t>
      </w:r>
      <w:r w:rsidRPr="00B031A0">
        <w:rPr>
          <w:rFonts w:ascii="Arial" w:hAnsi="Arial" w:cs="Arial"/>
          <w:color w:val="000000"/>
        </w:rPr>
        <w:t>, Volume 15, pp.2219–2228. doi:10.2147/prbm.s373287.</w:t>
      </w:r>
    </w:p>
    <w:p w14:paraId="197EEFD5" w14:textId="77777777" w:rsidR="00776C49" w:rsidRPr="00B031A0" w:rsidRDefault="00776C49" w:rsidP="00D44D36">
      <w:pPr>
        <w:spacing w:after="240"/>
        <w:rPr>
          <w:rFonts w:ascii="Arial" w:hAnsi="Arial" w:cs="Arial"/>
          <w:color w:val="000000" w:themeColor="text1"/>
        </w:rPr>
      </w:pPr>
    </w:p>
    <w:p w14:paraId="4473E1C6" w14:textId="3F94A84D" w:rsidR="00900D75" w:rsidRPr="00471BB0" w:rsidRDefault="00115699" w:rsidP="00471BB0">
      <w:pPr>
        <w:rPr>
          <w:rFonts w:ascii="Arial" w:hAnsi="Arial" w:cs="Arial"/>
          <w:b/>
          <w:bCs/>
          <w:color w:val="000000" w:themeColor="text1"/>
        </w:rPr>
        <w:sectPr w:rsidR="00900D75" w:rsidRPr="00471BB0">
          <w:footerReference w:type="even" r:id="rId16"/>
          <w:footerReference w:type="default" r:id="rId17"/>
          <w:footerReference w:type="first" r:id="rId18"/>
          <w:pgSz w:w="11906" w:h="16838"/>
          <w:pgMar w:top="1440" w:right="1440" w:bottom="1440" w:left="1440" w:header="708" w:footer="708" w:gutter="0"/>
          <w:pgNumType w:start="1"/>
          <w:cols w:space="720"/>
        </w:sectPr>
      </w:pPr>
      <w:r w:rsidRPr="00B031A0">
        <w:rPr>
          <w:rFonts w:ascii="Arial" w:hAnsi="Arial" w:cs="Arial"/>
          <w:color w:val="000000" w:themeColor="text1"/>
        </w:rPr>
        <w:br w:type="page"/>
      </w:r>
    </w:p>
    <w:p w14:paraId="306E87A0" w14:textId="77777777" w:rsidR="00B12FCF" w:rsidRPr="00B031A0" w:rsidRDefault="00B12FCF" w:rsidP="00471BB0">
      <w:pPr>
        <w:pStyle w:val="NoSpacing"/>
      </w:pPr>
    </w:p>
    <w:sectPr w:rsidR="00B12FCF" w:rsidRPr="00B031A0" w:rsidSect="00900D75">
      <w:pgSz w:w="16838" w:h="11906" w:orient="landscape"/>
      <w:pgMar w:top="1440" w:right="1440" w:bottom="1440" w:left="1440" w:header="708" w:footer="708"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1DA41D" w14:textId="77777777" w:rsidR="004235A2" w:rsidRDefault="004235A2">
      <w:pPr>
        <w:spacing w:after="0" w:line="240" w:lineRule="auto"/>
      </w:pPr>
      <w:r>
        <w:separator/>
      </w:r>
    </w:p>
  </w:endnote>
  <w:endnote w:type="continuationSeparator" w:id="0">
    <w:p w14:paraId="0FE92DFD" w14:textId="77777777" w:rsidR="004235A2" w:rsidRDefault="00423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F2E5744-1156-4F4C-9112-849FA4CF3B3C}"/>
  </w:font>
  <w:font w:name="Vrinda">
    <w:panose1 w:val="00000400000000000000"/>
    <w:charset w:val="00"/>
    <w:family w:val="swiss"/>
    <w:pitch w:val="variable"/>
    <w:sig w:usb0="00010003" w:usb1="00000000" w:usb2="00000000" w:usb3="00000000" w:csb0="00000001" w:csb1="00000000"/>
  </w:font>
  <w:font w:name="Georgia">
    <w:panose1 w:val="02040502050405020303"/>
    <w:charset w:val="00"/>
    <w:family w:val="roman"/>
    <w:pitch w:val="variable"/>
    <w:sig w:usb0="00000287" w:usb1="00000000" w:usb2="00000000" w:usb3="00000000" w:csb0="0000009F" w:csb1="00000000"/>
    <w:embedItalic r:id="rId2" w:fontKey="{4C721E28-7D18-4836-8E95-8F5D902F4E05}"/>
  </w:font>
  <w:font w:name="Cambria">
    <w:panose1 w:val="02040503050406030204"/>
    <w:charset w:val="00"/>
    <w:family w:val="roman"/>
    <w:pitch w:val="variable"/>
    <w:sig w:usb0="E00006FF" w:usb1="420024FF" w:usb2="02000000" w:usb3="00000000" w:csb0="0000019F" w:csb1="00000000"/>
    <w:embedRegular r:id="rId3" w:fontKey="{5EDFDC00-2033-4F1A-81A9-D8BCE1A836A2}"/>
  </w:font>
  <w:font w:name="Tahoma">
    <w:panose1 w:val="020B0604030504040204"/>
    <w:charset w:val="00"/>
    <w:family w:val="swiss"/>
    <w:pitch w:val="variable"/>
    <w:sig w:usb0="E1002EFF" w:usb1="C000605B" w:usb2="00000029" w:usb3="00000000" w:csb0="000101FF" w:csb1="00000000"/>
    <w:embedRegular r:id="rId4" w:fontKey="{3678F6CB-D5AB-4924-BE5E-244E3FD81D74}"/>
    <w:embedBold r:id="rId5" w:fontKey="{E730F36A-368C-4C37-B481-1B61A3E2F5FF}"/>
  </w:font>
  <w:font w:name="Cambria Math">
    <w:panose1 w:val="02040503050406030204"/>
    <w:charset w:val="00"/>
    <w:family w:val="roman"/>
    <w:pitch w:val="variable"/>
    <w:sig w:usb0="E00006FF" w:usb1="420024FF" w:usb2="02000000" w:usb3="00000000" w:csb0="0000019F" w:csb1="00000000"/>
    <w:embedRegular r:id="rId6" w:fontKey="{8C4C16AF-9405-408F-B9D4-F1161D302F06}"/>
  </w:font>
  <w:font w:name="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B10DD4" w14:textId="77777777" w:rsidR="00C77BF3" w:rsidRDefault="00115699">
    <w:pPr>
      <w:spacing w:after="0"/>
      <w:ind w:right="-3"/>
      <w:jc w:val="right"/>
    </w:pPr>
    <w:r>
      <w:rPr>
        <w:rFonts w:ascii="Calibri" w:eastAsia="Calibri" w:hAnsi="Calibri" w:cs="Calibri"/>
      </w:rPr>
      <w:fldChar w:fldCharType="begin"/>
    </w:r>
    <w:r>
      <w:rPr>
        <w:rFonts w:ascii="Calibri" w:eastAsia="Calibri" w:hAnsi="Calibri" w:cs="Calibri"/>
      </w:rPr>
      <w:instrText>PAGE</w:instrText>
    </w:r>
    <w:r>
      <w:rPr>
        <w:rFonts w:ascii="Calibri" w:eastAsia="Calibri" w:hAnsi="Calibri" w:cs="Calibri"/>
      </w:rPr>
      <w:fldChar w:fldCharType="end"/>
    </w:r>
    <w:r>
      <w:rPr>
        <w:rFonts w:ascii="Calibri" w:eastAsia="Calibri" w:hAnsi="Calibri" w:cs="Calibri"/>
      </w:rPr>
      <w:t xml:space="preserve"> </w:t>
    </w:r>
  </w:p>
  <w:p w14:paraId="466C754D" w14:textId="77777777" w:rsidR="00C77BF3" w:rsidRDefault="00115699">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3FC5DB" w14:textId="77777777" w:rsidR="00C77BF3" w:rsidRDefault="00115699">
    <w:pPr>
      <w:spacing w:after="0"/>
      <w:ind w:right="-3"/>
      <w:jc w:val="right"/>
    </w:pPr>
    <w:r>
      <w:rPr>
        <w:rFonts w:ascii="Calibri" w:eastAsia="Calibri" w:hAnsi="Calibri" w:cs="Calibri"/>
      </w:rPr>
      <w:fldChar w:fldCharType="begin"/>
    </w:r>
    <w:r>
      <w:rPr>
        <w:rFonts w:ascii="Calibri" w:eastAsia="Calibri" w:hAnsi="Calibri" w:cs="Calibri"/>
      </w:rPr>
      <w:instrText>PAGE</w:instrText>
    </w:r>
    <w:r>
      <w:rPr>
        <w:rFonts w:ascii="Calibri" w:eastAsia="Calibri" w:hAnsi="Calibri" w:cs="Calibri"/>
      </w:rPr>
      <w:fldChar w:fldCharType="separate"/>
    </w:r>
    <w:r w:rsidR="00CF6155">
      <w:rPr>
        <w:rFonts w:ascii="Calibri" w:eastAsia="Calibri" w:hAnsi="Calibri" w:cs="Calibri"/>
        <w:noProof/>
      </w:rPr>
      <w:t>55</w:t>
    </w:r>
    <w:r>
      <w:rPr>
        <w:rFonts w:ascii="Calibri" w:eastAsia="Calibri" w:hAnsi="Calibri" w:cs="Calibri"/>
      </w:rPr>
      <w:fldChar w:fldCharType="end"/>
    </w:r>
    <w:r>
      <w:rPr>
        <w:rFonts w:ascii="Calibri" w:eastAsia="Calibri" w:hAnsi="Calibri" w:cs="Calibri"/>
      </w:rPr>
      <w:t xml:space="preserve"> </w:t>
    </w:r>
  </w:p>
  <w:p w14:paraId="18962A91" w14:textId="6B8624B9" w:rsidR="00C77BF3" w:rsidRDefault="0023299E">
    <w:pPr>
      <w:tabs>
        <w:tab w:val="center" w:pos="4405"/>
      </w:tabs>
      <w:spacing w:after="0"/>
    </w:pPr>
    <w:r>
      <w:rPr>
        <w:rFonts w:ascii="Calibri" w:eastAsia="Calibri" w:hAnsi="Calibri" w:cs="Calibri"/>
      </w:rPr>
      <w:t>Shruti Patel</w:t>
    </w:r>
    <w:r w:rsidR="00115699">
      <w:rPr>
        <w:rFonts w:ascii="Calibri" w:eastAsia="Calibri" w:hAnsi="Calibri" w:cs="Calibri"/>
      </w:rPr>
      <w:t xml:space="preserve"> </w:t>
    </w:r>
    <w:r w:rsidR="00115699">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4D4FC" w14:textId="77777777" w:rsidR="00C77BF3" w:rsidRDefault="00115699">
    <w:pPr>
      <w:spacing w:after="0"/>
      <w:ind w:right="-3"/>
      <w:jc w:val="right"/>
    </w:pPr>
    <w:r>
      <w:rPr>
        <w:rFonts w:ascii="Calibri" w:eastAsia="Calibri" w:hAnsi="Calibri" w:cs="Calibri"/>
      </w:rPr>
      <w:fldChar w:fldCharType="begin"/>
    </w:r>
    <w:r>
      <w:rPr>
        <w:rFonts w:ascii="Calibri" w:eastAsia="Calibri" w:hAnsi="Calibri" w:cs="Calibri"/>
      </w:rPr>
      <w:instrText>PAGE</w:instrText>
    </w:r>
    <w:r>
      <w:rPr>
        <w:rFonts w:ascii="Calibri" w:eastAsia="Calibri" w:hAnsi="Calibri" w:cs="Calibri"/>
      </w:rPr>
      <w:fldChar w:fldCharType="end"/>
    </w:r>
    <w:r>
      <w:rPr>
        <w:rFonts w:ascii="Calibri" w:eastAsia="Calibri" w:hAnsi="Calibri" w:cs="Calibri"/>
      </w:rPr>
      <w:t xml:space="preserve"> </w:t>
    </w:r>
  </w:p>
  <w:p w14:paraId="2F6B8956" w14:textId="77777777" w:rsidR="00C77BF3" w:rsidRDefault="00115699">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7C1DD7" w14:textId="77777777" w:rsidR="004235A2" w:rsidRDefault="004235A2">
      <w:pPr>
        <w:spacing w:after="0" w:line="240" w:lineRule="auto"/>
      </w:pPr>
      <w:r>
        <w:separator/>
      </w:r>
    </w:p>
  </w:footnote>
  <w:footnote w:type="continuationSeparator" w:id="0">
    <w:p w14:paraId="5A45BADB" w14:textId="77777777" w:rsidR="004235A2" w:rsidRDefault="004235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D90BA6"/>
    <w:multiLevelType w:val="multilevel"/>
    <w:tmpl w:val="7AE40BE2"/>
    <w:lvl w:ilvl="0">
      <w:start w:val="1"/>
      <w:numFmt w:val="decimal"/>
      <w:lvlText w:val="%1."/>
      <w:lvlJc w:val="left"/>
      <w:pPr>
        <w:ind w:left="501" w:hanging="360"/>
      </w:pPr>
      <w:rPr>
        <w:u w:val="none"/>
      </w:rPr>
    </w:lvl>
    <w:lvl w:ilvl="1">
      <w:start w:val="1"/>
      <w:numFmt w:val="bullet"/>
      <w:lvlText w:val="○"/>
      <w:lvlJc w:val="left"/>
      <w:pPr>
        <w:ind w:left="1221" w:hanging="360"/>
      </w:pPr>
      <w:rPr>
        <w:u w:val="none"/>
      </w:rPr>
    </w:lvl>
    <w:lvl w:ilvl="2">
      <w:start w:val="1"/>
      <w:numFmt w:val="bullet"/>
      <w:lvlText w:val="■"/>
      <w:lvlJc w:val="left"/>
      <w:pPr>
        <w:ind w:left="1941" w:hanging="360"/>
      </w:pPr>
      <w:rPr>
        <w:u w:val="none"/>
      </w:rPr>
    </w:lvl>
    <w:lvl w:ilvl="3">
      <w:start w:val="1"/>
      <w:numFmt w:val="bullet"/>
      <w:lvlText w:val="●"/>
      <w:lvlJc w:val="left"/>
      <w:pPr>
        <w:ind w:left="2661" w:hanging="360"/>
      </w:pPr>
      <w:rPr>
        <w:u w:val="none"/>
      </w:rPr>
    </w:lvl>
    <w:lvl w:ilvl="4">
      <w:start w:val="1"/>
      <w:numFmt w:val="bullet"/>
      <w:lvlText w:val="○"/>
      <w:lvlJc w:val="left"/>
      <w:pPr>
        <w:ind w:left="3381" w:hanging="360"/>
      </w:pPr>
      <w:rPr>
        <w:u w:val="none"/>
      </w:rPr>
    </w:lvl>
    <w:lvl w:ilvl="5">
      <w:start w:val="1"/>
      <w:numFmt w:val="bullet"/>
      <w:lvlText w:val="■"/>
      <w:lvlJc w:val="left"/>
      <w:pPr>
        <w:ind w:left="4101" w:hanging="360"/>
      </w:pPr>
      <w:rPr>
        <w:u w:val="none"/>
      </w:rPr>
    </w:lvl>
    <w:lvl w:ilvl="6">
      <w:start w:val="1"/>
      <w:numFmt w:val="bullet"/>
      <w:lvlText w:val="●"/>
      <w:lvlJc w:val="left"/>
      <w:pPr>
        <w:ind w:left="4821" w:hanging="360"/>
      </w:pPr>
      <w:rPr>
        <w:u w:val="none"/>
      </w:rPr>
    </w:lvl>
    <w:lvl w:ilvl="7">
      <w:start w:val="1"/>
      <w:numFmt w:val="bullet"/>
      <w:lvlText w:val="○"/>
      <w:lvlJc w:val="left"/>
      <w:pPr>
        <w:ind w:left="5541" w:hanging="360"/>
      </w:pPr>
      <w:rPr>
        <w:u w:val="none"/>
      </w:rPr>
    </w:lvl>
    <w:lvl w:ilvl="8">
      <w:start w:val="1"/>
      <w:numFmt w:val="bullet"/>
      <w:lvlText w:val="■"/>
      <w:lvlJc w:val="left"/>
      <w:pPr>
        <w:ind w:left="6261" w:hanging="360"/>
      </w:pPr>
      <w:rPr>
        <w:u w:val="none"/>
      </w:rPr>
    </w:lvl>
  </w:abstractNum>
  <w:num w:numId="1" w16cid:durableId="1188102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7BF3"/>
    <w:rsid w:val="0000352A"/>
    <w:rsid w:val="00025353"/>
    <w:rsid w:val="00027DAE"/>
    <w:rsid w:val="00034729"/>
    <w:rsid w:val="00037F15"/>
    <w:rsid w:val="0004283E"/>
    <w:rsid w:val="000520FD"/>
    <w:rsid w:val="000855C9"/>
    <w:rsid w:val="00087938"/>
    <w:rsid w:val="000A1A1F"/>
    <w:rsid w:val="000A56C2"/>
    <w:rsid w:val="000B5593"/>
    <w:rsid w:val="000D25BF"/>
    <w:rsid w:val="000E488E"/>
    <w:rsid w:val="000F0265"/>
    <w:rsid w:val="000F3B04"/>
    <w:rsid w:val="000F4FAF"/>
    <w:rsid w:val="00115699"/>
    <w:rsid w:val="001231E4"/>
    <w:rsid w:val="001535FA"/>
    <w:rsid w:val="0018443B"/>
    <w:rsid w:val="001C4918"/>
    <w:rsid w:val="001D6CF1"/>
    <w:rsid w:val="002066A1"/>
    <w:rsid w:val="00207AC1"/>
    <w:rsid w:val="00212ED1"/>
    <w:rsid w:val="00214123"/>
    <w:rsid w:val="00216CEB"/>
    <w:rsid w:val="00216DC0"/>
    <w:rsid w:val="002246B1"/>
    <w:rsid w:val="002324FE"/>
    <w:rsid w:val="0023299E"/>
    <w:rsid w:val="00261247"/>
    <w:rsid w:val="00273F4C"/>
    <w:rsid w:val="002B5BD3"/>
    <w:rsid w:val="002E1234"/>
    <w:rsid w:val="002F17CD"/>
    <w:rsid w:val="00302E6D"/>
    <w:rsid w:val="00340394"/>
    <w:rsid w:val="00342436"/>
    <w:rsid w:val="003A68B1"/>
    <w:rsid w:val="003B4837"/>
    <w:rsid w:val="003C4667"/>
    <w:rsid w:val="003C53B6"/>
    <w:rsid w:val="003D6F4A"/>
    <w:rsid w:val="003D7433"/>
    <w:rsid w:val="00406D36"/>
    <w:rsid w:val="004144C4"/>
    <w:rsid w:val="004235A2"/>
    <w:rsid w:val="004406A9"/>
    <w:rsid w:val="00454DA3"/>
    <w:rsid w:val="004553F0"/>
    <w:rsid w:val="00471BB0"/>
    <w:rsid w:val="004764CC"/>
    <w:rsid w:val="00490CD4"/>
    <w:rsid w:val="004B537B"/>
    <w:rsid w:val="004E129D"/>
    <w:rsid w:val="004E2B90"/>
    <w:rsid w:val="00506C1E"/>
    <w:rsid w:val="00507EB7"/>
    <w:rsid w:val="00520027"/>
    <w:rsid w:val="005328C8"/>
    <w:rsid w:val="00544EAC"/>
    <w:rsid w:val="00546E69"/>
    <w:rsid w:val="005501CA"/>
    <w:rsid w:val="0057059A"/>
    <w:rsid w:val="00574D9F"/>
    <w:rsid w:val="0059333B"/>
    <w:rsid w:val="005A3F47"/>
    <w:rsid w:val="005B7976"/>
    <w:rsid w:val="005C43B6"/>
    <w:rsid w:val="005E163D"/>
    <w:rsid w:val="005E387E"/>
    <w:rsid w:val="006005C2"/>
    <w:rsid w:val="00613939"/>
    <w:rsid w:val="00615885"/>
    <w:rsid w:val="00622E30"/>
    <w:rsid w:val="0063120A"/>
    <w:rsid w:val="00654037"/>
    <w:rsid w:val="00664081"/>
    <w:rsid w:val="00675D93"/>
    <w:rsid w:val="00682362"/>
    <w:rsid w:val="006E049D"/>
    <w:rsid w:val="006F485D"/>
    <w:rsid w:val="00775610"/>
    <w:rsid w:val="00776C49"/>
    <w:rsid w:val="007851E0"/>
    <w:rsid w:val="00790600"/>
    <w:rsid w:val="00791D18"/>
    <w:rsid w:val="00792247"/>
    <w:rsid w:val="007C25F7"/>
    <w:rsid w:val="007F5072"/>
    <w:rsid w:val="00817BBE"/>
    <w:rsid w:val="00817C17"/>
    <w:rsid w:val="00850089"/>
    <w:rsid w:val="008926C5"/>
    <w:rsid w:val="008B7668"/>
    <w:rsid w:val="008C19DF"/>
    <w:rsid w:val="008C38FB"/>
    <w:rsid w:val="008C491C"/>
    <w:rsid w:val="008C68F7"/>
    <w:rsid w:val="008D347C"/>
    <w:rsid w:val="008E2952"/>
    <w:rsid w:val="009000CD"/>
    <w:rsid w:val="00900D75"/>
    <w:rsid w:val="009100D2"/>
    <w:rsid w:val="009222DD"/>
    <w:rsid w:val="0096190A"/>
    <w:rsid w:val="009807F5"/>
    <w:rsid w:val="009A0698"/>
    <w:rsid w:val="009A1371"/>
    <w:rsid w:val="00A17FF8"/>
    <w:rsid w:val="00A6289C"/>
    <w:rsid w:val="00A64506"/>
    <w:rsid w:val="00A64866"/>
    <w:rsid w:val="00A66163"/>
    <w:rsid w:val="00A742D9"/>
    <w:rsid w:val="00A80F38"/>
    <w:rsid w:val="00A85E6B"/>
    <w:rsid w:val="00A9696A"/>
    <w:rsid w:val="00AA0674"/>
    <w:rsid w:val="00AB5DBC"/>
    <w:rsid w:val="00AC13F2"/>
    <w:rsid w:val="00AC5C77"/>
    <w:rsid w:val="00AE5573"/>
    <w:rsid w:val="00AF1219"/>
    <w:rsid w:val="00B031A0"/>
    <w:rsid w:val="00B052D6"/>
    <w:rsid w:val="00B1135D"/>
    <w:rsid w:val="00B12FCF"/>
    <w:rsid w:val="00B16B37"/>
    <w:rsid w:val="00B25273"/>
    <w:rsid w:val="00B3038C"/>
    <w:rsid w:val="00B379CA"/>
    <w:rsid w:val="00B4329A"/>
    <w:rsid w:val="00B4702B"/>
    <w:rsid w:val="00B51F5E"/>
    <w:rsid w:val="00B51FD1"/>
    <w:rsid w:val="00B6320E"/>
    <w:rsid w:val="00B94047"/>
    <w:rsid w:val="00BA2396"/>
    <w:rsid w:val="00BB7F17"/>
    <w:rsid w:val="00BC6769"/>
    <w:rsid w:val="00BE4A7F"/>
    <w:rsid w:val="00C114B7"/>
    <w:rsid w:val="00C35735"/>
    <w:rsid w:val="00C4432E"/>
    <w:rsid w:val="00C50A97"/>
    <w:rsid w:val="00C52BBA"/>
    <w:rsid w:val="00C668C4"/>
    <w:rsid w:val="00C77BF3"/>
    <w:rsid w:val="00C83A0C"/>
    <w:rsid w:val="00CE151E"/>
    <w:rsid w:val="00CF15B6"/>
    <w:rsid w:val="00CF6155"/>
    <w:rsid w:val="00D03C69"/>
    <w:rsid w:val="00D40ADB"/>
    <w:rsid w:val="00D44D36"/>
    <w:rsid w:val="00D63CDD"/>
    <w:rsid w:val="00D948E0"/>
    <w:rsid w:val="00D95566"/>
    <w:rsid w:val="00D97F86"/>
    <w:rsid w:val="00DA04C4"/>
    <w:rsid w:val="00DB1FF7"/>
    <w:rsid w:val="00DC566B"/>
    <w:rsid w:val="00E0210C"/>
    <w:rsid w:val="00E12C0B"/>
    <w:rsid w:val="00E274F6"/>
    <w:rsid w:val="00E44D37"/>
    <w:rsid w:val="00E541A1"/>
    <w:rsid w:val="00E64EBD"/>
    <w:rsid w:val="00E76548"/>
    <w:rsid w:val="00E858B2"/>
    <w:rsid w:val="00E90C92"/>
    <w:rsid w:val="00E96480"/>
    <w:rsid w:val="00EA3140"/>
    <w:rsid w:val="00EC5ABE"/>
    <w:rsid w:val="00EC78FB"/>
    <w:rsid w:val="00F0194B"/>
    <w:rsid w:val="00F32743"/>
    <w:rsid w:val="00F50420"/>
    <w:rsid w:val="00F74F31"/>
    <w:rsid w:val="00F95AA4"/>
    <w:rsid w:val="00F978C9"/>
    <w:rsid w:val="00FA1376"/>
    <w:rsid w:val="00FB0293"/>
    <w:rsid w:val="00FB5D6C"/>
    <w:rsid w:val="00FB7391"/>
    <w:rsid w:val="00FE3F9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E04969"/>
  <w15:docId w15:val="{36C9F57C-4EA3-4BAC-89CE-12FDA0BD2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bn-IN"/>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autoRedefine/>
    <w:qFormat/>
    <w:rsid w:val="002066A1"/>
    <w:pPr>
      <w:keepNext/>
      <w:keepLines/>
      <w:pBdr>
        <w:top w:val="nil"/>
        <w:left w:val="nil"/>
        <w:bottom w:val="nil"/>
        <w:right w:val="nil"/>
        <w:between w:val="nil"/>
      </w:pBdr>
      <w:spacing w:after="152"/>
      <w:ind w:left="10" w:right="2" w:hanging="10"/>
      <w:jc w:val="center"/>
      <w:outlineLvl w:val="0"/>
    </w:pPr>
    <w:rPr>
      <w:rFonts w:ascii="Arial" w:hAnsi="Arial" w:cs="Arial"/>
      <w:b/>
      <w:bCs/>
      <w:color w:val="000000"/>
      <w:sz w:val="28"/>
      <w:szCs w:val="28"/>
    </w:rPr>
  </w:style>
  <w:style w:type="paragraph" w:styleId="Heading2">
    <w:name w:val="heading 2"/>
    <w:basedOn w:val="Normal"/>
    <w:next w:val="Normal"/>
    <w:link w:val="Heading2Char"/>
    <w:autoRedefine/>
    <w:qFormat/>
    <w:rsid w:val="00F74F31"/>
    <w:pPr>
      <w:keepNext/>
      <w:keepLines/>
      <w:pBdr>
        <w:top w:val="nil"/>
        <w:left w:val="nil"/>
        <w:bottom w:val="nil"/>
        <w:right w:val="nil"/>
        <w:between w:val="nil"/>
      </w:pBdr>
      <w:spacing w:after="152"/>
      <w:ind w:left="10" w:right="2" w:hanging="10"/>
      <w:outlineLvl w:val="1"/>
    </w:pPr>
    <w:rPr>
      <w:rFonts w:ascii="Arial" w:hAnsi="Arial" w:cs="Arial"/>
      <w:b/>
      <w:bCs/>
      <w:color w:val="000000"/>
    </w:rPr>
  </w:style>
  <w:style w:type="paragraph" w:styleId="Heading3">
    <w:name w:val="heading 3"/>
    <w:basedOn w:val="Normal"/>
    <w:next w:val="Normal"/>
    <w:link w:val="Heading3Char"/>
    <w:qFormat/>
    <w:pPr>
      <w:keepNext/>
      <w:keepLines/>
      <w:pBdr>
        <w:top w:val="nil"/>
        <w:left w:val="nil"/>
        <w:bottom w:val="nil"/>
        <w:right w:val="nil"/>
        <w:between w:val="nil"/>
      </w:pBdr>
      <w:spacing w:after="181" w:line="259" w:lineRule="auto"/>
      <w:jc w:val="left"/>
      <w:outlineLvl w:val="2"/>
    </w:pPr>
    <w:rPr>
      <w:b/>
      <w:bCs/>
      <w:color w:val="000000"/>
    </w:rPr>
  </w:style>
  <w:style w:type="paragraph" w:styleId="Heading4">
    <w:name w:val="heading 4"/>
    <w:basedOn w:val="Normal"/>
    <w:next w:val="Normal"/>
    <w:pPr>
      <w:keepNext/>
      <w:keepLines/>
      <w:spacing w:before="240" w:after="40"/>
      <w:outlineLvl w:val="3"/>
    </w:pPr>
    <w:rPr>
      <w:b/>
      <w:bCs/>
    </w:rPr>
  </w:style>
  <w:style w:type="paragraph" w:styleId="Heading5">
    <w:name w:val="heading 5"/>
    <w:basedOn w:val="Normal"/>
    <w:next w:val="Normal"/>
    <w:pPr>
      <w:keepNext/>
      <w:keepLines/>
      <w:spacing w:before="220" w:after="40"/>
      <w:outlineLvl w:val="4"/>
    </w:pPr>
    <w:rPr>
      <w:b/>
      <w:bCs/>
      <w:sz w:val="22"/>
      <w:szCs w:val="22"/>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paragraph" w:styleId="TOC1">
    <w:name w:val="toc 1"/>
    <w:basedOn w:val="Normal"/>
    <w:next w:val="Normal"/>
    <w:autoRedefine/>
    <w:uiPriority w:val="39"/>
    <w:unhideWhenUsed/>
    <w:rsid w:val="00254D55"/>
    <w:pPr>
      <w:spacing w:after="100"/>
    </w:pPr>
  </w:style>
  <w:style w:type="character" w:styleId="Hyperlink">
    <w:name w:val="Hyperlink"/>
    <w:basedOn w:val="DefaultParagraphFont"/>
    <w:uiPriority w:val="99"/>
    <w:unhideWhenUsed/>
    <w:rsid w:val="00254D55"/>
    <w:rPr>
      <w:color w:val="0000FF" w:themeColor="hyperlink"/>
      <w:u w:val="single"/>
    </w:rPr>
  </w:style>
  <w:style w:type="paragraph" w:styleId="TOCHeading">
    <w:name w:val="TOC Heading"/>
    <w:basedOn w:val="Heading1"/>
    <w:next w:val="Normal"/>
    <w:uiPriority w:val="39"/>
    <w:unhideWhenUsed/>
    <w:qFormat/>
    <w:rsid w:val="00254D55"/>
    <w:pPr>
      <w:pBdr>
        <w:top w:val="none" w:sz="0" w:space="0" w:color="auto"/>
        <w:left w:val="none" w:sz="0" w:space="0" w:color="auto"/>
        <w:bottom w:val="none" w:sz="0" w:space="0" w:color="auto"/>
        <w:right w:val="none" w:sz="0" w:space="0" w:color="auto"/>
        <w:between w:val="none" w:sz="0" w:space="0" w:color="auto"/>
      </w:pBdr>
      <w:spacing w:before="240" w:after="0" w:line="259" w:lineRule="auto"/>
      <w:ind w:left="0" w:right="0" w:firstLine="0"/>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2">
    <w:name w:val="toc 2"/>
    <w:basedOn w:val="Normal"/>
    <w:next w:val="Normal"/>
    <w:autoRedefine/>
    <w:uiPriority w:val="39"/>
    <w:unhideWhenUsed/>
    <w:rsid w:val="00254D55"/>
    <w:pPr>
      <w:spacing w:after="100"/>
      <w:ind w:left="240"/>
    </w:pPr>
  </w:style>
  <w:style w:type="paragraph" w:styleId="TOC3">
    <w:name w:val="toc 3"/>
    <w:basedOn w:val="Normal"/>
    <w:next w:val="Normal"/>
    <w:autoRedefine/>
    <w:uiPriority w:val="39"/>
    <w:unhideWhenUsed/>
    <w:rsid w:val="00254D55"/>
    <w:pPr>
      <w:spacing w:after="100"/>
      <w:ind w:left="480"/>
    </w:p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Pr>
  </w:style>
  <w:style w:type="character" w:customStyle="1" w:styleId="Heading1Char">
    <w:name w:val="Heading 1 Char"/>
    <w:basedOn w:val="DefaultParagraphFont"/>
    <w:link w:val="Heading1"/>
    <w:rsid w:val="002066A1"/>
    <w:rPr>
      <w:rFonts w:ascii="Arial" w:hAnsi="Arial" w:cs="Arial"/>
      <w:b/>
      <w:bCs/>
      <w:color w:val="000000"/>
      <w:sz w:val="28"/>
      <w:szCs w:val="28"/>
    </w:rPr>
  </w:style>
  <w:style w:type="character" w:customStyle="1" w:styleId="Heading2Char">
    <w:name w:val="Heading 2 Char"/>
    <w:basedOn w:val="DefaultParagraphFont"/>
    <w:link w:val="Heading2"/>
    <w:rsid w:val="00F74F31"/>
    <w:rPr>
      <w:rFonts w:ascii="Arial" w:hAnsi="Arial" w:cs="Arial"/>
      <w:b/>
      <w:bCs/>
      <w:color w:val="000000"/>
    </w:rPr>
  </w:style>
  <w:style w:type="character" w:customStyle="1" w:styleId="Heading3Char">
    <w:name w:val="Heading 3 Char"/>
    <w:basedOn w:val="DefaultParagraphFont"/>
    <w:link w:val="Heading3"/>
    <w:rsid w:val="00034729"/>
    <w:rPr>
      <w:b/>
      <w:bCs/>
      <w:color w:val="000000"/>
    </w:rPr>
  </w:style>
  <w:style w:type="table" w:styleId="TableGrid">
    <w:name w:val="Table Grid"/>
    <w:basedOn w:val="TableNormal"/>
    <w:uiPriority w:val="39"/>
    <w:rsid w:val="00B12F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031A0"/>
    <w:pPr>
      <w:spacing w:after="0" w:line="240" w:lineRule="auto"/>
    </w:pPr>
    <w:rPr>
      <w:szCs w:val="30"/>
    </w:rPr>
  </w:style>
  <w:style w:type="paragraph" w:customStyle="1" w:styleId="TableParagraph">
    <w:name w:val="Table Paragraph"/>
    <w:basedOn w:val="Normal"/>
    <w:rsid w:val="0018443B"/>
    <w:pPr>
      <w:widowControl w:val="0"/>
      <w:autoSpaceDE w:val="0"/>
      <w:autoSpaceDN w:val="0"/>
      <w:spacing w:before="100" w:beforeAutospacing="1" w:after="100" w:afterAutospacing="1" w:line="240" w:lineRule="auto"/>
      <w:ind w:left="108"/>
      <w:jc w:val="left"/>
    </w:pPr>
    <w:rPr>
      <w:rFonts w:ascii="Arial" w:hAnsi="Arial" w:cs="Arial"/>
      <w:sz w:val="22"/>
      <w:szCs w:val="22"/>
      <w:lang w:bidi="as-IN"/>
      <w14:ligatures w14:val="standardContextual"/>
    </w:rPr>
  </w:style>
  <w:style w:type="paragraph" w:styleId="Header">
    <w:name w:val="header"/>
    <w:basedOn w:val="Normal"/>
    <w:link w:val="HeaderChar"/>
    <w:uiPriority w:val="99"/>
    <w:unhideWhenUsed/>
    <w:rsid w:val="0023299E"/>
    <w:pPr>
      <w:tabs>
        <w:tab w:val="center" w:pos="4513"/>
        <w:tab w:val="right" w:pos="9026"/>
      </w:tabs>
      <w:spacing w:after="0" w:line="240" w:lineRule="auto"/>
    </w:pPr>
    <w:rPr>
      <w:szCs w:val="30"/>
    </w:rPr>
  </w:style>
  <w:style w:type="character" w:customStyle="1" w:styleId="HeaderChar">
    <w:name w:val="Header Char"/>
    <w:basedOn w:val="DefaultParagraphFont"/>
    <w:link w:val="Header"/>
    <w:uiPriority w:val="99"/>
    <w:rsid w:val="0023299E"/>
    <w:rPr>
      <w:szCs w:val="30"/>
    </w:rPr>
  </w:style>
  <w:style w:type="paragraph" w:styleId="ListParagraph">
    <w:name w:val="List Paragraph"/>
    <w:basedOn w:val="Normal"/>
    <w:uiPriority w:val="34"/>
    <w:qFormat/>
    <w:rsid w:val="00B51F5E"/>
    <w:pPr>
      <w:ind w:left="720"/>
      <w:contextualSpacing/>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00469580231218421" TargetMode="Externa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1016/j.jhin.2022.08.013"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4103/ijnmr.ijnmr_143_23"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qRRbPb5uWDvv/yjTmt2R+rZSVbg==">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1637</TotalTime>
  <Pages>75</Pages>
  <Words>23652</Words>
  <Characters>134822</Characters>
  <Application>Microsoft Office Word</Application>
  <DocSecurity>0</DocSecurity>
  <Lines>1123</Lines>
  <Paragraphs>316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GAZALA SHAHJADA</cp:lastModifiedBy>
  <cp:revision>146</cp:revision>
  <dcterms:created xsi:type="dcterms:W3CDTF">2026-08-14T13:11:00Z</dcterms:created>
  <dcterms:modified xsi:type="dcterms:W3CDTF">2026-09-14T12:17:00Z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b80d5897-e292-469c-82cd-f394491f8169</vt:lpwstr>
  </property>
</Properties>
</file>