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BBE" w:rsidRDefault="009B0BBE" w:rsidP="009B0BBE">
      <w:pPr>
        <w:spacing w:after="0"/>
        <w:rPr>
          <w:b/>
          <w:i/>
        </w:rPr>
      </w:pPr>
      <w:r w:rsidRPr="00986C58">
        <w:rPr>
          <w:b/>
          <w:i/>
        </w:rPr>
        <w:t>In 200 wor</w:t>
      </w:r>
      <w:r>
        <w:rPr>
          <w:b/>
          <w:i/>
        </w:rPr>
        <w:t>ds write the storytellers story</w:t>
      </w:r>
    </w:p>
    <w:p w:rsidR="00833F5C" w:rsidRDefault="00833F5C" w:rsidP="00833F5C">
      <w:pPr>
        <w:spacing w:after="0"/>
      </w:pPr>
      <w:r>
        <w:t>One day as the sun shone brightly in the sky, Persephone, beautiful daughter to Zeus and the spring goddess Demeter was stolen away by Hades. Terrified of her fate she wailed for help but no one but her mother could seem to sense her distress.</w:t>
      </w:r>
    </w:p>
    <w:p w:rsidR="00833F5C" w:rsidRDefault="00833F5C" w:rsidP="00833F5C">
      <w:pPr>
        <w:spacing w:after="0"/>
      </w:pPr>
      <w:r>
        <w:t>Demeter raved to find her daughter but when she arrived there was no sign of her and no one could offer her any information. For nine whole days she searched for Persephone before finally she was approached by Hecate who offered her assistance. Together they sought out Helios who sees both gods and mortals through his rays of light. With a heavy heart he told her that with permission from</w:t>
      </w:r>
      <w:r w:rsidR="00D84B2C">
        <w:t xml:space="preserve"> his </w:t>
      </w:r>
      <w:r w:rsidR="00AF1EDF">
        <w:t>brother</w:t>
      </w:r>
      <w:r>
        <w:t xml:space="preserve"> Zeus, Hades had taken the younger goddess to become his bride.</w:t>
      </w:r>
    </w:p>
    <w:p w:rsidR="00833F5C" w:rsidRDefault="00833F5C" w:rsidP="00833F5C">
      <w:pPr>
        <w:spacing w:after="0"/>
      </w:pPr>
      <w:r>
        <w:t xml:space="preserve">With these words grief consumed Demeter and so she vowed that until she was reunited with her daughter she would not let the fruit of men grow, nor would she return to Olympus. </w:t>
      </w:r>
    </w:p>
    <w:p w:rsidR="00833F5C" w:rsidRDefault="00833F5C" w:rsidP="00833F5C">
      <w:pPr>
        <w:spacing w:after="0"/>
      </w:pPr>
      <w:r>
        <w:t xml:space="preserve">Hearing of the famine spreading across the land, Zeus relented and sent forth Hermes in hopes of Hades’ releasing his bride. </w:t>
      </w:r>
    </w:p>
    <w:p w:rsidR="00833F5C" w:rsidRDefault="00833F5C" w:rsidP="00833F5C">
      <w:pPr>
        <w:spacing w:after="0"/>
      </w:pPr>
      <w:r>
        <w:t>Hades agreed to let Persephone return but she would not leave before ingesting pomegranate seeds, thus tying her to the Underworld and to him for a third of the year.</w:t>
      </w:r>
    </w:p>
    <w:p w:rsidR="00833F5C" w:rsidRPr="009B0BBE" w:rsidRDefault="00833F5C" w:rsidP="00833F5C">
      <w:pPr>
        <w:spacing w:after="0"/>
      </w:pPr>
      <w:r>
        <w:t>Upon seeing her daughter Demeter relented in her anger and allowed for the fruit of men to bear again.</w:t>
      </w:r>
    </w:p>
    <w:p w:rsidR="009B0BBE" w:rsidRPr="009B0BBE" w:rsidRDefault="009B0BBE" w:rsidP="009B0BBE">
      <w:pPr>
        <w:spacing w:after="0"/>
      </w:pPr>
    </w:p>
    <w:p w:rsidR="009C590A" w:rsidRDefault="009B0BBE" w:rsidP="009B0BBE">
      <w:pPr>
        <w:spacing w:after="0"/>
        <w:rPr>
          <w:b/>
          <w:i/>
        </w:rPr>
      </w:pPr>
      <w:r>
        <w:rPr>
          <w:b/>
          <w:i/>
        </w:rPr>
        <w:t>I</w:t>
      </w:r>
      <w:r w:rsidRPr="00986C58">
        <w:rPr>
          <w:b/>
          <w:i/>
        </w:rPr>
        <w:t>n 300 words explain, using appropriate evidence, whether the story supports or subverts Athenian more</w:t>
      </w:r>
      <w:r>
        <w:rPr>
          <w:b/>
          <w:i/>
        </w:rPr>
        <w:t>s.</w:t>
      </w:r>
    </w:p>
    <w:p w:rsidR="00AF1EDF" w:rsidRDefault="00AF1EDF" w:rsidP="00AF1EDF">
      <w:pPr>
        <w:spacing w:after="0"/>
      </w:pPr>
      <w:r>
        <w:t>Within this essay I will be identifying how and why this story, based off of the Homeric Hymn ‘To Demeter’</w:t>
      </w:r>
      <w:r w:rsidR="007F4DA8">
        <w:rPr>
          <w:rStyle w:val="FootnoteReference"/>
        </w:rPr>
        <w:footnoteReference w:id="1"/>
      </w:r>
      <w:r>
        <w:t xml:space="preserve">, either supports Athenian mores or subverts them. In doing this I will be using outside sources to provide an insight as to what some Athenian mores were and explain their parallels or difference to the story. </w:t>
      </w:r>
    </w:p>
    <w:p w:rsidR="007F4DA8" w:rsidRDefault="007F4DA8" w:rsidP="00AF1EDF">
      <w:pPr>
        <w:spacing w:after="0"/>
      </w:pPr>
      <w:r>
        <w:t xml:space="preserve">I believe that the story is in support of Athenian mores as it demonstrates parallels to Athenian customs and when they are adhered to </w:t>
      </w:r>
      <w:r w:rsidR="00DD7225">
        <w:t xml:space="preserve">there are </w:t>
      </w:r>
      <w:r>
        <w:t xml:space="preserve">positive outcomes. </w:t>
      </w:r>
      <w:bookmarkStart w:id="0" w:name="_GoBack"/>
      <w:bookmarkEnd w:id="0"/>
    </w:p>
    <w:p w:rsidR="00717721" w:rsidRDefault="00717721" w:rsidP="00AF1EDF">
      <w:pPr>
        <w:spacing w:after="0"/>
      </w:pPr>
      <w:r>
        <w:t xml:space="preserve">An example of a parallel is that </w:t>
      </w:r>
      <w:r w:rsidR="00AF1EDF">
        <w:t>the story tells of how Persephone was married off to Hades by Zeus without her consent; during classical Athens marriages were arranged by the father or male guardian of a girl and</w:t>
      </w:r>
      <w:r w:rsidR="00DD7225">
        <w:t xml:space="preserve"> she had to abide</w:t>
      </w:r>
      <w:r w:rsidR="00AF1EDF">
        <w:t xml:space="preserve"> their decision</w:t>
      </w:r>
      <w:r w:rsidR="00AF1EDF">
        <w:rPr>
          <w:rStyle w:val="FootnoteReference"/>
        </w:rPr>
        <w:footnoteReference w:id="2"/>
      </w:r>
      <w:r w:rsidR="00AF1EDF">
        <w:t>.</w:t>
      </w:r>
      <w:r>
        <w:t xml:space="preserve"> Although reluctant at first Persephone does in fact obey her father’s wishes to be bride to Hades and as such she is rewarded by being able to see her mother again.</w:t>
      </w:r>
    </w:p>
    <w:p w:rsidR="00717721" w:rsidRDefault="00717721" w:rsidP="00AF1EDF">
      <w:pPr>
        <w:spacing w:after="0"/>
      </w:pPr>
      <w:r>
        <w:t>Moreover, Demeter’s wish to be reunited with her daughter comes to fruition as she demonstrates her love and her devotion for her daughter; this would be a supporting factor as Athenians had very strong belief</w:t>
      </w:r>
      <w:r w:rsidR="00DD7225">
        <w:t>s</w:t>
      </w:r>
      <w:r>
        <w:t xml:space="preserve"> in regards to the importance of the </w:t>
      </w:r>
      <w:proofErr w:type="spellStart"/>
      <w:r>
        <w:t>Oikos</w:t>
      </w:r>
      <w:proofErr w:type="spellEnd"/>
      <w:r w:rsidR="00DD7225">
        <w:rPr>
          <w:rStyle w:val="FootnoteReference"/>
        </w:rPr>
        <w:footnoteReference w:id="3"/>
      </w:r>
      <w:r>
        <w:t>.</w:t>
      </w:r>
    </w:p>
    <w:p w:rsidR="00AF1EDF" w:rsidRDefault="00DD7225" w:rsidP="00AF1EDF">
      <w:pPr>
        <w:spacing w:after="0"/>
      </w:pPr>
      <w:r>
        <w:t xml:space="preserve">The story itself seems to be about the importance of compromise and the importance of treating a wife as a partner. For example although Zeus and Demeter had different thoughts as to the fate of their daughter they found a way to fit the situation to suit everyone. This idea of a partnership was also an aspect of the </w:t>
      </w:r>
      <w:proofErr w:type="spellStart"/>
      <w:r>
        <w:t>Oikos</w:t>
      </w:r>
      <w:proofErr w:type="spellEnd"/>
      <w:r>
        <w:t xml:space="preserve"> as women were often their husbands’ most trusted confidants</w:t>
      </w:r>
      <w:r>
        <w:rPr>
          <w:rStyle w:val="FootnoteReference"/>
        </w:rPr>
        <w:footnoteReference w:id="4"/>
      </w:r>
      <w:r>
        <w:t>.</w:t>
      </w:r>
    </w:p>
    <w:p w:rsidR="00060F85" w:rsidRDefault="00060F85" w:rsidP="009B0BBE">
      <w:pPr>
        <w:spacing w:after="0"/>
      </w:pPr>
    </w:p>
    <w:p w:rsidR="007F4DA8" w:rsidRDefault="007F4DA8" w:rsidP="009B0BBE">
      <w:pPr>
        <w:spacing w:after="0"/>
      </w:pPr>
    </w:p>
    <w:p w:rsidR="007F4DA8" w:rsidRDefault="007F4DA8" w:rsidP="009B0BBE">
      <w:pPr>
        <w:spacing w:after="0"/>
      </w:pPr>
    </w:p>
    <w:tbl>
      <w:tblPr>
        <w:tblStyle w:val="TableGrid"/>
        <w:tblW w:w="0" w:type="auto"/>
        <w:tblLook w:val="04A0" w:firstRow="1" w:lastRow="0" w:firstColumn="1" w:lastColumn="0" w:noHBand="0" w:noVBand="1"/>
      </w:tblPr>
      <w:tblGrid>
        <w:gridCol w:w="3080"/>
        <w:gridCol w:w="3081"/>
        <w:gridCol w:w="3081"/>
      </w:tblGrid>
      <w:tr w:rsidR="007F4DA8" w:rsidTr="007F4DA8">
        <w:tc>
          <w:tcPr>
            <w:tcW w:w="3080" w:type="dxa"/>
          </w:tcPr>
          <w:p w:rsidR="007F4DA8" w:rsidRDefault="007F4DA8" w:rsidP="009B0BBE">
            <w:r>
              <w:lastRenderedPageBreak/>
              <w:t>Name</w:t>
            </w:r>
          </w:p>
        </w:tc>
        <w:tc>
          <w:tcPr>
            <w:tcW w:w="3081" w:type="dxa"/>
          </w:tcPr>
          <w:p w:rsidR="007F4DA8" w:rsidRDefault="007F4DA8" w:rsidP="009B0BBE">
            <w:r>
              <w:t>Abbreviation</w:t>
            </w:r>
          </w:p>
        </w:tc>
        <w:tc>
          <w:tcPr>
            <w:tcW w:w="3081" w:type="dxa"/>
          </w:tcPr>
          <w:p w:rsidR="007F4DA8" w:rsidRDefault="007F4DA8" w:rsidP="009B0BBE">
            <w:r>
              <w:t>Work</w:t>
            </w:r>
          </w:p>
        </w:tc>
      </w:tr>
      <w:tr w:rsidR="007F4DA8" w:rsidTr="007F4DA8">
        <w:tc>
          <w:tcPr>
            <w:tcW w:w="3080" w:type="dxa"/>
          </w:tcPr>
          <w:p w:rsidR="007F4DA8" w:rsidRDefault="007F4DA8" w:rsidP="009B0BBE">
            <w:r>
              <w:t>Homer</w:t>
            </w:r>
          </w:p>
        </w:tc>
        <w:tc>
          <w:tcPr>
            <w:tcW w:w="3081" w:type="dxa"/>
          </w:tcPr>
          <w:p w:rsidR="007F4DA8" w:rsidRDefault="007F4DA8" w:rsidP="009B0BBE">
            <w:proofErr w:type="spellStart"/>
            <w:r>
              <w:t>H.Hom</w:t>
            </w:r>
            <w:proofErr w:type="spellEnd"/>
          </w:p>
        </w:tc>
        <w:tc>
          <w:tcPr>
            <w:tcW w:w="3081" w:type="dxa"/>
          </w:tcPr>
          <w:p w:rsidR="007F4DA8" w:rsidRDefault="007F4DA8" w:rsidP="009B0BBE">
            <w:r>
              <w:t>Homeric Hymns: To Demeter</w:t>
            </w:r>
          </w:p>
        </w:tc>
      </w:tr>
      <w:tr w:rsidR="007F4DA8" w:rsidTr="007F4DA8">
        <w:tc>
          <w:tcPr>
            <w:tcW w:w="3080" w:type="dxa"/>
          </w:tcPr>
          <w:p w:rsidR="007F4DA8" w:rsidRDefault="007F4DA8" w:rsidP="009B0BBE">
            <w:proofErr w:type="spellStart"/>
            <w:r>
              <w:t>Lysias</w:t>
            </w:r>
            <w:proofErr w:type="spellEnd"/>
          </w:p>
        </w:tc>
        <w:tc>
          <w:tcPr>
            <w:tcW w:w="3081" w:type="dxa"/>
          </w:tcPr>
          <w:p w:rsidR="007F4DA8" w:rsidRDefault="007F4DA8" w:rsidP="009B0BBE">
            <w:r>
              <w:t>Lys.</w:t>
            </w:r>
          </w:p>
        </w:tc>
        <w:tc>
          <w:tcPr>
            <w:tcW w:w="3081" w:type="dxa"/>
          </w:tcPr>
          <w:p w:rsidR="007F4DA8" w:rsidRDefault="007F4DA8" w:rsidP="009B0BBE">
            <w:r>
              <w:t>On the Murder of Eratosthenes</w:t>
            </w:r>
          </w:p>
        </w:tc>
      </w:tr>
    </w:tbl>
    <w:p w:rsidR="007F4DA8" w:rsidRDefault="007F4DA8" w:rsidP="009B0BBE">
      <w:pPr>
        <w:spacing w:after="0"/>
      </w:pPr>
    </w:p>
    <w:p w:rsidR="00060F85" w:rsidRPr="00060F85" w:rsidRDefault="00060F85" w:rsidP="00060F85">
      <w:pPr>
        <w:spacing w:after="0"/>
        <w:jc w:val="center"/>
        <w:rPr>
          <w:b/>
          <w:u w:val="single"/>
        </w:rPr>
      </w:pPr>
      <w:r w:rsidRPr="00060F85">
        <w:rPr>
          <w:b/>
          <w:u w:val="single"/>
        </w:rPr>
        <w:t>Bibliography</w:t>
      </w:r>
    </w:p>
    <w:p w:rsidR="00060F85" w:rsidRPr="00060F85" w:rsidRDefault="00060F85" w:rsidP="009B0BBE">
      <w:pPr>
        <w:spacing w:after="0"/>
        <w:rPr>
          <w:b/>
        </w:rPr>
      </w:pPr>
      <w:r w:rsidRPr="00060F85">
        <w:rPr>
          <w:b/>
        </w:rPr>
        <w:t>Modern Sources:</w:t>
      </w:r>
    </w:p>
    <w:p w:rsidR="00060F85" w:rsidRDefault="00DC462A" w:rsidP="009B0BBE">
      <w:pPr>
        <w:spacing w:after="0"/>
        <w:rPr>
          <w:rFonts w:cs="Helvetica"/>
          <w:color w:val="3A3A3A"/>
          <w:shd w:val="clear" w:color="auto" w:fill="FFFFFF"/>
        </w:rPr>
      </w:pPr>
      <w:proofErr w:type="gramStart"/>
      <w:r w:rsidRPr="00DC462A">
        <w:rPr>
          <w:rFonts w:cs="Helvetica"/>
          <w:color w:val="3A3A3A"/>
          <w:shd w:val="clear" w:color="auto" w:fill="FFFFFF"/>
        </w:rPr>
        <w:t>Pomeroy, S., &amp; American Council of Learned Societies.</w:t>
      </w:r>
      <w:proofErr w:type="gramEnd"/>
      <w:r w:rsidRPr="00DC462A">
        <w:rPr>
          <w:rFonts w:cs="Helvetica"/>
          <w:color w:val="3A3A3A"/>
          <w:shd w:val="clear" w:color="auto" w:fill="FFFFFF"/>
        </w:rPr>
        <w:t xml:space="preserve"> </w:t>
      </w:r>
      <w:proofErr w:type="gramStart"/>
      <w:r w:rsidRPr="00DC462A">
        <w:rPr>
          <w:rFonts w:cs="Helvetica"/>
          <w:color w:val="3A3A3A"/>
          <w:shd w:val="clear" w:color="auto" w:fill="FFFFFF"/>
        </w:rPr>
        <w:t>(1995). </w:t>
      </w:r>
      <w:r w:rsidRPr="00DC462A">
        <w:rPr>
          <w:rFonts w:cs="Helvetica"/>
          <w:i/>
          <w:iCs/>
          <w:color w:val="3A3A3A"/>
          <w:shd w:val="clear" w:color="auto" w:fill="FFFFFF"/>
        </w:rPr>
        <w:t>Goddesses, whores, wives, and slaves women in classical antiquity</w:t>
      </w:r>
      <w:r w:rsidRPr="00DC462A">
        <w:rPr>
          <w:rFonts w:cs="Helvetica"/>
          <w:color w:val="3A3A3A"/>
          <w:shd w:val="clear" w:color="auto" w:fill="FFFFFF"/>
        </w:rPr>
        <w:t> (ACLS Humanities E-Book).</w:t>
      </w:r>
      <w:proofErr w:type="gramEnd"/>
      <w:r w:rsidRPr="00DC462A">
        <w:rPr>
          <w:rFonts w:cs="Helvetica"/>
          <w:color w:val="3A3A3A"/>
          <w:shd w:val="clear" w:color="auto" w:fill="FFFFFF"/>
        </w:rPr>
        <w:t xml:space="preserve"> New York: </w:t>
      </w:r>
      <w:proofErr w:type="spellStart"/>
      <w:r w:rsidRPr="00DC462A">
        <w:rPr>
          <w:rFonts w:cs="Helvetica"/>
          <w:color w:val="3A3A3A"/>
          <w:shd w:val="clear" w:color="auto" w:fill="FFFFFF"/>
        </w:rPr>
        <w:t>Schocken</w:t>
      </w:r>
      <w:proofErr w:type="spellEnd"/>
      <w:r w:rsidRPr="00DC462A">
        <w:rPr>
          <w:rFonts w:cs="Helvetica"/>
          <w:color w:val="3A3A3A"/>
          <w:shd w:val="clear" w:color="auto" w:fill="FFFFFF"/>
        </w:rPr>
        <w:t xml:space="preserve"> Books.</w:t>
      </w:r>
    </w:p>
    <w:p w:rsidR="00BA2E22" w:rsidRPr="00BA2E22" w:rsidRDefault="00BA2E22" w:rsidP="00BA2E22">
      <w:pPr>
        <w:spacing w:after="0"/>
      </w:pPr>
      <w:r w:rsidRPr="00BA2E22">
        <w:rPr>
          <w:rFonts w:cs="Arial"/>
          <w:shd w:val="clear" w:color="auto" w:fill="FFFFFF"/>
        </w:rPr>
        <w:t>Roy, J. “'Polis' and '</w:t>
      </w:r>
      <w:proofErr w:type="spellStart"/>
      <w:r w:rsidRPr="00BA2E22">
        <w:rPr>
          <w:rFonts w:cs="Arial"/>
          <w:shd w:val="clear" w:color="auto" w:fill="FFFFFF"/>
        </w:rPr>
        <w:t>Oikos</w:t>
      </w:r>
      <w:proofErr w:type="spellEnd"/>
      <w:r w:rsidRPr="00BA2E22">
        <w:rPr>
          <w:rFonts w:cs="Arial"/>
          <w:shd w:val="clear" w:color="auto" w:fill="FFFFFF"/>
        </w:rPr>
        <w:t>' in Classical Athens.” </w:t>
      </w:r>
      <w:proofErr w:type="gramStart"/>
      <w:r w:rsidRPr="00BA2E22">
        <w:rPr>
          <w:rFonts w:cs="Arial"/>
          <w:i/>
          <w:iCs/>
          <w:shd w:val="clear" w:color="auto" w:fill="FFFFFF"/>
        </w:rPr>
        <w:t>Greece &amp; Rome</w:t>
      </w:r>
      <w:r w:rsidR="00DD7225">
        <w:rPr>
          <w:rFonts w:cs="Arial"/>
          <w:shd w:val="clear" w:color="auto" w:fill="FFFFFF"/>
        </w:rPr>
        <w:t>, vol. 46, no. 1.</w:t>
      </w:r>
      <w:proofErr w:type="gramEnd"/>
      <w:r w:rsidRPr="00BA2E22">
        <w:rPr>
          <w:rFonts w:cs="Arial"/>
          <w:shd w:val="clear" w:color="auto" w:fill="FFFFFF"/>
        </w:rPr>
        <w:t xml:space="preserve"> </w:t>
      </w:r>
      <w:r w:rsidR="00DD7225">
        <w:rPr>
          <w:rFonts w:cs="Arial"/>
          <w:shd w:val="clear" w:color="auto" w:fill="FFFFFF"/>
        </w:rPr>
        <w:t>(</w:t>
      </w:r>
      <w:r w:rsidRPr="00BA2E22">
        <w:rPr>
          <w:rFonts w:cs="Arial"/>
          <w:shd w:val="clear" w:color="auto" w:fill="FFFFFF"/>
        </w:rPr>
        <w:t>1999</w:t>
      </w:r>
      <w:r w:rsidR="00DD7225">
        <w:rPr>
          <w:rFonts w:cs="Arial"/>
          <w:shd w:val="clear" w:color="auto" w:fill="FFFFFF"/>
        </w:rPr>
        <w:t>)</w:t>
      </w:r>
      <w:r w:rsidRPr="00BA2E22">
        <w:rPr>
          <w:rFonts w:cs="Arial"/>
          <w:shd w:val="clear" w:color="auto" w:fill="FFFFFF"/>
        </w:rPr>
        <w:t>, pp. 1–18. </w:t>
      </w:r>
      <w:r w:rsidRPr="00BA2E22">
        <w:rPr>
          <w:rFonts w:cs="Arial"/>
          <w:i/>
          <w:iCs/>
          <w:shd w:val="clear" w:color="auto" w:fill="FFFFFF"/>
        </w:rPr>
        <w:t>JSTOR</w:t>
      </w:r>
      <w:r w:rsidRPr="00BA2E22">
        <w:rPr>
          <w:rFonts w:cs="Arial"/>
          <w:shd w:val="clear" w:color="auto" w:fill="FFFFFF"/>
        </w:rPr>
        <w:t xml:space="preserve">, JSTOR, </w:t>
      </w:r>
      <w:hyperlink r:id="rId8" w:history="1">
        <w:r w:rsidR="00DD7225" w:rsidRPr="00B04EBC">
          <w:rPr>
            <w:rStyle w:val="Hyperlink"/>
            <w:rFonts w:cs="Arial"/>
            <w:shd w:val="clear" w:color="auto" w:fill="FFFFFF"/>
          </w:rPr>
          <w:t>www.jstor.org/stable/643032</w:t>
        </w:r>
      </w:hyperlink>
      <w:r w:rsidR="00DD7225">
        <w:rPr>
          <w:rFonts w:cs="Arial"/>
          <w:shd w:val="clear" w:color="auto" w:fill="FFFFFF"/>
        </w:rPr>
        <w:t xml:space="preserve"> </w:t>
      </w:r>
    </w:p>
    <w:p w:rsidR="00060F85" w:rsidRDefault="00060F85" w:rsidP="009B0BBE">
      <w:pPr>
        <w:spacing w:after="0"/>
      </w:pPr>
    </w:p>
    <w:p w:rsidR="00060F85" w:rsidRDefault="00060F85" w:rsidP="009B0BBE">
      <w:pPr>
        <w:spacing w:after="0"/>
        <w:rPr>
          <w:b/>
        </w:rPr>
      </w:pPr>
      <w:r w:rsidRPr="00060F85">
        <w:rPr>
          <w:b/>
        </w:rPr>
        <w:t>Ancient Sources:</w:t>
      </w:r>
    </w:p>
    <w:p w:rsidR="00060F85" w:rsidRPr="000513CB" w:rsidRDefault="000513CB" w:rsidP="009B0BBE">
      <w:pPr>
        <w:spacing w:after="0"/>
      </w:pPr>
      <w:r>
        <w:t xml:space="preserve">Homer, </w:t>
      </w:r>
      <w:r>
        <w:rPr>
          <w:i/>
        </w:rPr>
        <w:t xml:space="preserve">Homeric Hymns, Homeric Apocrypha, Lives of Homer. </w:t>
      </w:r>
      <w:r>
        <w:t>M. West (trans.) 2013. Cambridge, Mass; London: Harvard University Press</w:t>
      </w:r>
    </w:p>
    <w:p w:rsidR="00060F85" w:rsidRDefault="00BA6277" w:rsidP="009B0BBE">
      <w:pPr>
        <w:spacing w:after="0"/>
      </w:pPr>
      <w:proofErr w:type="spellStart"/>
      <w:r>
        <w:t>Lysias</w:t>
      </w:r>
      <w:proofErr w:type="spellEnd"/>
      <w:r>
        <w:t xml:space="preserve">, </w:t>
      </w:r>
      <w:proofErr w:type="spellStart"/>
      <w:r>
        <w:rPr>
          <w:i/>
        </w:rPr>
        <w:t>Lysias</w:t>
      </w:r>
      <w:proofErr w:type="spellEnd"/>
      <w:r>
        <w:rPr>
          <w:i/>
        </w:rPr>
        <w:t xml:space="preserve">. </w:t>
      </w:r>
      <w:r>
        <w:t>W. Lamb (trans.) 1930. Cambridge, Mass; London: Harvard University Press Heinemann</w:t>
      </w:r>
    </w:p>
    <w:p w:rsidR="00BA6277" w:rsidRDefault="00BA6277" w:rsidP="009B0BBE">
      <w:pPr>
        <w:spacing w:after="0"/>
      </w:pPr>
    </w:p>
    <w:p w:rsidR="00717721" w:rsidRPr="00BA2E22" w:rsidRDefault="00717721" w:rsidP="009B0BBE">
      <w:pPr>
        <w:spacing w:after="0"/>
      </w:pPr>
    </w:p>
    <w:sectPr w:rsidR="00717721" w:rsidRPr="00BA2E2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372" w:rsidRDefault="007D0372" w:rsidP="009B0BBE">
      <w:pPr>
        <w:spacing w:after="0" w:line="240" w:lineRule="auto"/>
      </w:pPr>
      <w:r>
        <w:separator/>
      </w:r>
    </w:p>
  </w:endnote>
  <w:endnote w:type="continuationSeparator" w:id="0">
    <w:p w:rsidR="007D0372" w:rsidRDefault="007D0372" w:rsidP="009B0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372" w:rsidRDefault="007D0372" w:rsidP="009B0BBE">
      <w:pPr>
        <w:spacing w:after="0" w:line="240" w:lineRule="auto"/>
      </w:pPr>
      <w:r>
        <w:separator/>
      </w:r>
    </w:p>
  </w:footnote>
  <w:footnote w:type="continuationSeparator" w:id="0">
    <w:p w:rsidR="007D0372" w:rsidRDefault="007D0372" w:rsidP="009B0BBE">
      <w:pPr>
        <w:spacing w:after="0" w:line="240" w:lineRule="auto"/>
      </w:pPr>
      <w:r>
        <w:continuationSeparator/>
      </w:r>
    </w:p>
  </w:footnote>
  <w:footnote w:id="1">
    <w:p w:rsidR="007F4DA8" w:rsidRDefault="007F4DA8">
      <w:pPr>
        <w:pStyle w:val="FootnoteText"/>
      </w:pPr>
      <w:r>
        <w:rPr>
          <w:rStyle w:val="FootnoteReference"/>
        </w:rPr>
        <w:footnoteRef/>
      </w:r>
      <w:r>
        <w:t xml:space="preserve"> </w:t>
      </w:r>
      <w:proofErr w:type="spellStart"/>
      <w:r>
        <w:t>H.Hom</w:t>
      </w:r>
      <w:proofErr w:type="spellEnd"/>
    </w:p>
  </w:footnote>
  <w:footnote w:id="2">
    <w:p w:rsidR="00AF1EDF" w:rsidRDefault="00AF1EDF">
      <w:pPr>
        <w:pStyle w:val="FootnoteText"/>
      </w:pPr>
      <w:r>
        <w:rPr>
          <w:rStyle w:val="FootnoteReference"/>
        </w:rPr>
        <w:footnoteRef/>
      </w:r>
      <w:r>
        <w:t xml:space="preserve"> </w:t>
      </w:r>
      <w:r>
        <w:t>Pomeroy, 1995, pp.63-64</w:t>
      </w:r>
    </w:p>
  </w:footnote>
  <w:footnote w:id="3">
    <w:p w:rsidR="00DD7225" w:rsidRDefault="00DD7225">
      <w:pPr>
        <w:pStyle w:val="FootnoteText"/>
      </w:pPr>
      <w:r>
        <w:rPr>
          <w:rStyle w:val="FootnoteReference"/>
        </w:rPr>
        <w:footnoteRef/>
      </w:r>
      <w:r>
        <w:t xml:space="preserve"> Roy, 1999, p.2</w:t>
      </w:r>
    </w:p>
  </w:footnote>
  <w:footnote w:id="4">
    <w:p w:rsidR="00DD7225" w:rsidRDefault="00DD7225">
      <w:pPr>
        <w:pStyle w:val="FootnoteText"/>
      </w:pPr>
      <w:r>
        <w:rPr>
          <w:rStyle w:val="FootnoteReference"/>
        </w:rPr>
        <w:footnoteRef/>
      </w:r>
      <w:r>
        <w:t xml:space="preserve"> Lys.1.6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BE" w:rsidRDefault="009B0B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BBE"/>
    <w:rsid w:val="000513CB"/>
    <w:rsid w:val="00060F85"/>
    <w:rsid w:val="00315217"/>
    <w:rsid w:val="00391853"/>
    <w:rsid w:val="003A380F"/>
    <w:rsid w:val="00717721"/>
    <w:rsid w:val="007B59DB"/>
    <w:rsid w:val="007D0372"/>
    <w:rsid w:val="007F4DA8"/>
    <w:rsid w:val="00833F5C"/>
    <w:rsid w:val="009B0BBE"/>
    <w:rsid w:val="009C590A"/>
    <w:rsid w:val="00AF1EDF"/>
    <w:rsid w:val="00BA2E22"/>
    <w:rsid w:val="00BA6277"/>
    <w:rsid w:val="00D84B2C"/>
    <w:rsid w:val="00DC462A"/>
    <w:rsid w:val="00DD7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BBE"/>
  </w:style>
  <w:style w:type="paragraph" w:styleId="Footer">
    <w:name w:val="footer"/>
    <w:basedOn w:val="Normal"/>
    <w:link w:val="FooterChar"/>
    <w:uiPriority w:val="99"/>
    <w:unhideWhenUsed/>
    <w:rsid w:val="009B0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BBE"/>
  </w:style>
  <w:style w:type="paragraph" w:styleId="BalloonText">
    <w:name w:val="Balloon Text"/>
    <w:basedOn w:val="Normal"/>
    <w:link w:val="BalloonTextChar"/>
    <w:uiPriority w:val="99"/>
    <w:semiHidden/>
    <w:unhideWhenUsed/>
    <w:rsid w:val="009B0B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0BBE"/>
    <w:rPr>
      <w:rFonts w:ascii="Tahoma" w:hAnsi="Tahoma" w:cs="Tahoma"/>
      <w:sz w:val="16"/>
      <w:szCs w:val="16"/>
    </w:rPr>
  </w:style>
  <w:style w:type="paragraph" w:styleId="FootnoteText">
    <w:name w:val="footnote text"/>
    <w:basedOn w:val="Normal"/>
    <w:link w:val="FootnoteTextChar"/>
    <w:uiPriority w:val="99"/>
    <w:semiHidden/>
    <w:unhideWhenUsed/>
    <w:rsid w:val="00AF1E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1EDF"/>
    <w:rPr>
      <w:sz w:val="20"/>
      <w:szCs w:val="20"/>
    </w:rPr>
  </w:style>
  <w:style w:type="character" w:styleId="FootnoteReference">
    <w:name w:val="footnote reference"/>
    <w:basedOn w:val="DefaultParagraphFont"/>
    <w:uiPriority w:val="99"/>
    <w:semiHidden/>
    <w:unhideWhenUsed/>
    <w:rsid w:val="00AF1EDF"/>
    <w:rPr>
      <w:vertAlign w:val="superscript"/>
    </w:rPr>
  </w:style>
  <w:style w:type="table" w:styleId="TableGrid">
    <w:name w:val="Table Grid"/>
    <w:basedOn w:val="TableNormal"/>
    <w:uiPriority w:val="59"/>
    <w:rsid w:val="007F4D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D72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BBE"/>
  </w:style>
  <w:style w:type="paragraph" w:styleId="Footer">
    <w:name w:val="footer"/>
    <w:basedOn w:val="Normal"/>
    <w:link w:val="FooterChar"/>
    <w:uiPriority w:val="99"/>
    <w:unhideWhenUsed/>
    <w:rsid w:val="009B0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BBE"/>
  </w:style>
  <w:style w:type="paragraph" w:styleId="BalloonText">
    <w:name w:val="Balloon Text"/>
    <w:basedOn w:val="Normal"/>
    <w:link w:val="BalloonTextChar"/>
    <w:uiPriority w:val="99"/>
    <w:semiHidden/>
    <w:unhideWhenUsed/>
    <w:rsid w:val="009B0B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0BBE"/>
    <w:rPr>
      <w:rFonts w:ascii="Tahoma" w:hAnsi="Tahoma" w:cs="Tahoma"/>
      <w:sz w:val="16"/>
      <w:szCs w:val="16"/>
    </w:rPr>
  </w:style>
  <w:style w:type="paragraph" w:styleId="FootnoteText">
    <w:name w:val="footnote text"/>
    <w:basedOn w:val="Normal"/>
    <w:link w:val="FootnoteTextChar"/>
    <w:uiPriority w:val="99"/>
    <w:semiHidden/>
    <w:unhideWhenUsed/>
    <w:rsid w:val="00AF1E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1EDF"/>
    <w:rPr>
      <w:sz w:val="20"/>
      <w:szCs w:val="20"/>
    </w:rPr>
  </w:style>
  <w:style w:type="character" w:styleId="FootnoteReference">
    <w:name w:val="footnote reference"/>
    <w:basedOn w:val="DefaultParagraphFont"/>
    <w:uiPriority w:val="99"/>
    <w:semiHidden/>
    <w:unhideWhenUsed/>
    <w:rsid w:val="00AF1EDF"/>
    <w:rPr>
      <w:vertAlign w:val="superscript"/>
    </w:rPr>
  </w:style>
  <w:style w:type="table" w:styleId="TableGrid">
    <w:name w:val="Table Grid"/>
    <w:basedOn w:val="TableNormal"/>
    <w:uiPriority w:val="59"/>
    <w:rsid w:val="007F4D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D72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643032"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67E17-93A4-4E3F-AF6E-EDA50CDF1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2</Pages>
  <Words>557</Words>
  <Characters>3177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Hadie</dc:creator>
  <cp:lastModifiedBy>Hadie</cp:lastModifiedBy>
  <cp:revision>4</cp:revision>
  <dcterms:created xsi:type="dcterms:W3CDTF">2018-10-10T11:24:00Z</dcterms:created>
  <dcterms:modified xsi:type="dcterms:W3CDTF">2018-10-10T20:10:00Z</dcterms:modified>
</cp:coreProperties>
</file>