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85317D" w14:textId="7AE003C5" w:rsidR="00D01911" w:rsidRDefault="00D01911" w:rsidP="00D01911">
      <w:pPr>
        <w:spacing w:after="100" w:afterAutospacing="1" w:line="240" w:lineRule="auto"/>
        <w:jc w:val="right"/>
        <w:rPr>
          <w:rFonts w:ascii="Segoe UI" w:eastAsia="Times New Roman" w:hAnsi="Segoe UI" w:cs="Segoe UI"/>
          <w:b/>
          <w:color w:val="373A3C"/>
          <w:sz w:val="27"/>
          <w:szCs w:val="27"/>
          <w:u w:val="single"/>
          <w:lang w:eastAsia="en-GB"/>
        </w:rPr>
      </w:pPr>
      <w:r>
        <w:rPr>
          <w:rFonts w:ascii="Segoe UI" w:eastAsia="Times New Roman" w:hAnsi="Segoe UI" w:cs="Segoe UI"/>
          <w:b/>
          <w:color w:val="373A3C"/>
          <w:sz w:val="27"/>
          <w:szCs w:val="27"/>
          <w:u w:val="single"/>
          <w:lang w:eastAsia="en-GB"/>
        </w:rPr>
        <w:t>Lucy-Jane Michel</w:t>
      </w:r>
    </w:p>
    <w:p w14:paraId="34FAA6AB" w14:textId="2649C131" w:rsidR="00C306D1" w:rsidRDefault="00C306D1" w:rsidP="00C306D1">
      <w:pPr>
        <w:spacing w:after="100" w:afterAutospacing="1" w:line="240" w:lineRule="auto"/>
        <w:rPr>
          <w:rFonts w:ascii="Segoe UI" w:eastAsia="Times New Roman" w:hAnsi="Segoe UI" w:cs="Segoe UI"/>
          <w:color w:val="373A3C"/>
          <w:sz w:val="27"/>
          <w:szCs w:val="27"/>
          <w:lang w:eastAsia="en-GB"/>
        </w:rPr>
      </w:pPr>
      <w:r w:rsidRPr="00D01911">
        <w:rPr>
          <w:rFonts w:ascii="Segoe UI" w:eastAsia="Times New Roman" w:hAnsi="Segoe UI" w:cs="Segoe UI"/>
          <w:b/>
          <w:color w:val="373A3C"/>
          <w:sz w:val="27"/>
          <w:szCs w:val="27"/>
          <w:u w:val="single"/>
          <w:lang w:eastAsia="en-GB"/>
        </w:rPr>
        <w:t>Translation from the Latin for submission: RL G&amp;E: Reading Exercise 5A (p. 228</w:t>
      </w:r>
      <w:r w:rsidRPr="00C306D1">
        <w:rPr>
          <w:rFonts w:ascii="Segoe UI" w:eastAsia="Times New Roman" w:hAnsi="Segoe UI" w:cs="Segoe UI"/>
          <w:color w:val="373A3C"/>
          <w:sz w:val="27"/>
          <w:szCs w:val="27"/>
          <w:lang w:eastAsia="en-GB"/>
        </w:rPr>
        <w:t>)</w:t>
      </w:r>
    </w:p>
    <w:p w14:paraId="0ED8AF03" w14:textId="77777777" w:rsidR="00C306D1" w:rsidRPr="00D01911" w:rsidRDefault="00C306D1" w:rsidP="00C306D1">
      <w:pPr>
        <w:rPr>
          <w:rFonts w:cstheme="minorHAnsi"/>
        </w:rPr>
      </w:pPr>
      <w:r>
        <w:t>postquam accēpēre ea hominēs, quibus mala abundē omnia erant, sed neque rēs neque spēs bona ūlla, tametsī illīs quiēta mouēre magna mercēs uidēbatur, tamen postulāuēre plērīque ut prōpōneret condiciōnēs bellī et praemia. tum Catilīna pollicērī tabulās nouās, prōscrīptiōnem locuplētium, magistrātūs, sacerdōtia, ra</w:t>
      </w:r>
      <w:r w:rsidRPr="00D01911">
        <w:rPr>
          <w:rFonts w:cstheme="minorHAnsi"/>
        </w:rPr>
        <w:t>pīnās, alia omnia, quae bellum atque libīdō uictōrum fert.</w:t>
      </w:r>
    </w:p>
    <w:p w14:paraId="29BEC51B" w14:textId="7E239A4B" w:rsidR="00C306D1" w:rsidRPr="00D01911" w:rsidRDefault="00323A5B" w:rsidP="00C306D1">
      <w:pPr>
        <w:spacing w:after="100" w:afterAutospacing="1" w:line="240" w:lineRule="auto"/>
        <w:rPr>
          <w:rFonts w:eastAsia="Times New Roman" w:cstheme="minorHAnsi"/>
          <w:color w:val="3399FF"/>
          <w:lang w:eastAsia="en-GB"/>
        </w:rPr>
      </w:pPr>
      <w:r w:rsidRPr="00D01911">
        <w:rPr>
          <w:rFonts w:eastAsia="Times New Roman" w:cstheme="minorHAnsi"/>
          <w:color w:val="3399FF"/>
          <w:lang w:eastAsia="en-GB"/>
        </w:rPr>
        <w:t>When</w:t>
      </w:r>
      <w:r w:rsidR="00CD6063" w:rsidRPr="00D01911">
        <w:rPr>
          <w:rFonts w:eastAsia="Times New Roman" w:cstheme="minorHAnsi"/>
          <w:color w:val="3399FF"/>
          <w:lang w:eastAsia="en-GB"/>
        </w:rPr>
        <w:t xml:space="preserve"> the men</w:t>
      </w:r>
      <w:r w:rsidR="00C306D1" w:rsidRPr="00D01911">
        <w:rPr>
          <w:rFonts w:eastAsia="Times New Roman" w:cstheme="minorHAnsi"/>
          <w:color w:val="3399FF"/>
          <w:lang w:eastAsia="en-GB"/>
        </w:rPr>
        <w:t xml:space="preserve"> heard this, to whom </w:t>
      </w:r>
      <w:r w:rsidRPr="00D01911">
        <w:rPr>
          <w:rFonts w:eastAsia="Times New Roman" w:cstheme="minorHAnsi"/>
          <w:color w:val="3399FF"/>
          <w:lang w:eastAsia="en-GB"/>
        </w:rPr>
        <w:t xml:space="preserve">were all misfortunes </w:t>
      </w:r>
      <w:r w:rsidR="00C306D1" w:rsidRPr="00D01911">
        <w:rPr>
          <w:rFonts w:eastAsia="Times New Roman" w:cstheme="minorHAnsi"/>
          <w:color w:val="3399FF"/>
          <w:lang w:eastAsia="en-GB"/>
        </w:rPr>
        <w:t>abundantly,</w:t>
      </w:r>
      <w:r w:rsidR="006D71CD" w:rsidRPr="00D01911">
        <w:rPr>
          <w:rFonts w:eastAsia="Times New Roman" w:cstheme="minorHAnsi"/>
          <w:color w:val="3399FF"/>
          <w:lang w:eastAsia="en-GB"/>
        </w:rPr>
        <w:t xml:space="preserve"> </w:t>
      </w:r>
      <w:r w:rsidR="006D71CD" w:rsidRPr="00D01911">
        <w:rPr>
          <w:rFonts w:eastAsia="Times New Roman" w:cstheme="minorHAnsi"/>
          <w:color w:val="3399FF"/>
          <w:highlight w:val="yellow"/>
          <w:lang w:eastAsia="en-GB"/>
        </w:rPr>
        <w:t>(who had all kinds of misfortune in abundance)</w:t>
      </w:r>
      <w:r w:rsidR="00C306D1" w:rsidRPr="00D01911">
        <w:rPr>
          <w:rFonts w:eastAsia="Times New Roman" w:cstheme="minorHAnsi"/>
          <w:color w:val="3399FF"/>
          <w:lang w:eastAsia="en-GB"/>
        </w:rPr>
        <w:t xml:space="preserve"> but neither property nor any good hope, although to create havoc seemed a great reward</w:t>
      </w:r>
      <w:r w:rsidR="006D71CD" w:rsidRPr="00D01911">
        <w:rPr>
          <w:rFonts w:eastAsia="Times New Roman" w:cstheme="minorHAnsi"/>
          <w:color w:val="3399FF"/>
          <w:lang w:eastAsia="en-GB"/>
        </w:rPr>
        <w:t xml:space="preserve"> to them</w:t>
      </w:r>
      <w:r w:rsidR="00C306D1" w:rsidRPr="00D01911">
        <w:rPr>
          <w:rFonts w:eastAsia="Times New Roman" w:cstheme="minorHAnsi"/>
          <w:color w:val="3399FF"/>
          <w:lang w:eastAsia="en-GB"/>
        </w:rPr>
        <w:t xml:space="preserve">, </w:t>
      </w:r>
      <w:r w:rsidRPr="00D01911">
        <w:rPr>
          <w:rFonts w:eastAsia="Times New Roman" w:cstheme="minorHAnsi"/>
          <w:color w:val="3399FF"/>
          <w:lang w:eastAsia="en-GB"/>
        </w:rPr>
        <w:t>yet</w:t>
      </w:r>
      <w:r w:rsidR="00C306D1" w:rsidRPr="00D01911">
        <w:rPr>
          <w:rFonts w:eastAsia="Times New Roman" w:cstheme="minorHAnsi"/>
          <w:color w:val="3399FF"/>
          <w:lang w:eastAsia="en-GB"/>
        </w:rPr>
        <w:t xml:space="preserve"> the majority demanded that he set out the </w:t>
      </w:r>
      <w:commentRangeStart w:id="0"/>
      <w:r w:rsidR="00C306D1" w:rsidRPr="00D01911">
        <w:rPr>
          <w:rFonts w:eastAsia="Times New Roman" w:cstheme="minorHAnsi"/>
          <w:color w:val="3399FF"/>
          <w:lang w:eastAsia="en-GB"/>
        </w:rPr>
        <w:t xml:space="preserve">conditions </w:t>
      </w:r>
      <w:commentRangeEnd w:id="0"/>
      <w:r w:rsidR="0025586D">
        <w:rPr>
          <w:rStyle w:val="CommentReference"/>
        </w:rPr>
        <w:commentReference w:id="0"/>
      </w:r>
      <w:r w:rsidR="006D71CD" w:rsidRPr="00D01911">
        <w:rPr>
          <w:rFonts w:eastAsia="Times New Roman" w:cstheme="minorHAnsi"/>
          <w:color w:val="3399FF"/>
          <w:lang w:eastAsia="en-GB"/>
        </w:rPr>
        <w:t>of ware and booty. Then Catiline</w:t>
      </w:r>
      <w:r w:rsidR="00C306D1" w:rsidRPr="00D01911">
        <w:rPr>
          <w:rFonts w:eastAsia="Times New Roman" w:cstheme="minorHAnsi"/>
          <w:color w:val="3399FF"/>
          <w:lang w:eastAsia="en-GB"/>
        </w:rPr>
        <w:t xml:space="preserve"> promised the cancellation of debts, the proscription of the rich, </w:t>
      </w:r>
      <w:r w:rsidRPr="00D01911">
        <w:rPr>
          <w:rFonts w:eastAsia="Times New Roman" w:cstheme="minorHAnsi"/>
          <w:color w:val="3399FF"/>
          <w:lang w:eastAsia="en-GB"/>
        </w:rPr>
        <w:t>office</w:t>
      </w:r>
      <w:r w:rsidR="006D71CD" w:rsidRPr="00D01911">
        <w:rPr>
          <w:rFonts w:eastAsia="Times New Roman" w:cstheme="minorHAnsi"/>
          <w:color w:val="3399FF"/>
          <w:lang w:eastAsia="en-GB"/>
        </w:rPr>
        <w:t>s, priesthoods</w:t>
      </w:r>
      <w:r w:rsidR="00C306D1" w:rsidRPr="00D01911">
        <w:rPr>
          <w:rFonts w:eastAsia="Times New Roman" w:cstheme="minorHAnsi"/>
          <w:color w:val="3399FF"/>
          <w:lang w:eastAsia="en-GB"/>
        </w:rPr>
        <w:t>, plunder and e</w:t>
      </w:r>
      <w:r w:rsidR="006D71CD" w:rsidRPr="00D01911">
        <w:rPr>
          <w:rFonts w:eastAsia="Times New Roman" w:cstheme="minorHAnsi"/>
          <w:color w:val="3399FF"/>
          <w:lang w:eastAsia="en-GB"/>
        </w:rPr>
        <w:t>verything else that war and the inclination of victors</w:t>
      </w:r>
      <w:r w:rsidR="00C306D1" w:rsidRPr="00D01911">
        <w:rPr>
          <w:rFonts w:eastAsia="Times New Roman" w:cstheme="minorHAnsi"/>
          <w:color w:val="3399FF"/>
          <w:lang w:eastAsia="en-GB"/>
        </w:rPr>
        <w:t xml:space="preserve"> </w:t>
      </w:r>
      <w:r w:rsidR="006D71CD" w:rsidRPr="00D01911">
        <w:rPr>
          <w:rFonts w:eastAsia="Times New Roman" w:cstheme="minorHAnsi"/>
          <w:color w:val="3399FF"/>
          <w:lang w:eastAsia="en-GB"/>
        </w:rPr>
        <w:t>brings</w:t>
      </w:r>
      <w:r w:rsidR="00C306D1" w:rsidRPr="00D01911">
        <w:rPr>
          <w:rFonts w:eastAsia="Times New Roman" w:cstheme="minorHAnsi"/>
          <w:color w:val="3399FF"/>
          <w:lang w:eastAsia="en-GB"/>
        </w:rPr>
        <w:t xml:space="preserve">. </w:t>
      </w:r>
    </w:p>
    <w:p w14:paraId="75F50B34" w14:textId="77777777" w:rsidR="00CA0168" w:rsidRPr="00C306D1" w:rsidRDefault="00CA0168" w:rsidP="00CA0168">
      <w:pPr>
        <w:spacing w:after="100" w:afterAutospacing="1" w:line="240" w:lineRule="auto"/>
        <w:rPr>
          <w:rFonts w:ascii="Segoe UI" w:eastAsia="Times New Roman" w:hAnsi="Segoe UI" w:cs="Segoe UI"/>
          <w:color w:val="373A3C"/>
          <w:sz w:val="23"/>
          <w:szCs w:val="23"/>
          <w:lang w:eastAsia="en-GB"/>
        </w:rPr>
      </w:pPr>
      <w:r w:rsidRPr="00D01911">
        <w:rPr>
          <w:rFonts w:ascii="Segoe UI" w:eastAsia="Times New Roman" w:hAnsi="Segoe UI" w:cs="Segoe UI"/>
          <w:b/>
          <w:color w:val="373A3C"/>
          <w:sz w:val="27"/>
          <w:szCs w:val="27"/>
          <w:u w:val="single"/>
          <w:lang w:eastAsia="en-GB"/>
        </w:rPr>
        <w:t>Translation into Latin for submission</w:t>
      </w:r>
      <w:r w:rsidRPr="00C306D1">
        <w:rPr>
          <w:rFonts w:ascii="Segoe UI" w:eastAsia="Times New Roman" w:hAnsi="Segoe UI" w:cs="Segoe UI"/>
          <w:color w:val="373A3C"/>
          <w:sz w:val="27"/>
          <w:szCs w:val="27"/>
          <w:lang w:eastAsia="en-GB"/>
        </w:rPr>
        <w:t>:</w:t>
      </w:r>
    </w:p>
    <w:p w14:paraId="4036EFA4" w14:textId="387D66D3" w:rsidR="00CA0168" w:rsidRPr="00D01911" w:rsidRDefault="00CA0168" w:rsidP="00D01911">
      <w:pPr>
        <w:rPr>
          <w:rFonts w:cstheme="minorHAnsi"/>
        </w:rPr>
      </w:pPr>
      <w:r w:rsidRPr="00D01911">
        <w:t>•</w:t>
      </w:r>
      <w:r w:rsidRPr="00D01911">
        <w:tab/>
        <w:t xml:space="preserve">I shall </w:t>
      </w:r>
      <w:r w:rsidRPr="00D01911">
        <w:rPr>
          <w:rFonts w:cstheme="minorHAnsi"/>
        </w:rPr>
        <w:t>make all these things which have lain hidden in long-lasting obscurity so clear that you may seem to see them with your own eyes.</w:t>
      </w:r>
    </w:p>
    <w:p w14:paraId="3DDE7FC0" w14:textId="11058A87" w:rsidR="00CA0168" w:rsidRPr="00D01911" w:rsidRDefault="00D01911" w:rsidP="00CA0168">
      <w:pPr>
        <w:spacing w:after="100" w:afterAutospacing="1" w:line="240" w:lineRule="auto"/>
        <w:rPr>
          <w:rFonts w:eastAsia="Times New Roman" w:cstheme="minorHAnsi"/>
          <w:color w:val="3399FF"/>
          <w:lang w:eastAsia="en-GB"/>
        </w:rPr>
      </w:pPr>
      <w:commentRangeStart w:id="1"/>
      <w:r w:rsidRPr="00D01911">
        <w:rPr>
          <w:rFonts w:eastAsia="Times New Roman" w:cstheme="minorHAnsi"/>
          <w:color w:val="3399FF"/>
          <w:lang w:eastAsia="en-GB"/>
        </w:rPr>
        <w:t>has res omnia</w:t>
      </w:r>
      <w:commentRangeEnd w:id="1"/>
      <w:r w:rsidR="00BE62BC">
        <w:rPr>
          <w:rStyle w:val="CommentReference"/>
        </w:rPr>
        <w:commentReference w:id="1"/>
      </w:r>
      <w:r w:rsidRPr="00D01911">
        <w:rPr>
          <w:rFonts w:eastAsia="Times New Roman" w:cstheme="minorHAnsi"/>
          <w:color w:val="3399FF"/>
          <w:lang w:eastAsia="en-GB"/>
        </w:rPr>
        <w:t xml:space="preserve"> quae in longa obscuritate </w:t>
      </w:r>
      <w:commentRangeStart w:id="2"/>
      <w:r w:rsidRPr="00D01911">
        <w:rPr>
          <w:rFonts w:eastAsia="Times New Roman" w:cstheme="minorHAnsi"/>
          <w:color w:val="3399FF"/>
          <w:lang w:eastAsia="en-GB"/>
        </w:rPr>
        <w:t>celabantur</w:t>
      </w:r>
      <w:commentRangeEnd w:id="2"/>
      <w:r w:rsidR="00BE62BC">
        <w:rPr>
          <w:rStyle w:val="CommentReference"/>
        </w:rPr>
        <w:commentReference w:id="2"/>
      </w:r>
      <w:r w:rsidRPr="00D01911">
        <w:rPr>
          <w:rFonts w:eastAsia="Times New Roman" w:cstheme="minorHAnsi"/>
          <w:color w:val="3399FF"/>
          <w:lang w:eastAsia="en-GB"/>
        </w:rPr>
        <w:t xml:space="preserve"> tam </w:t>
      </w:r>
      <w:commentRangeStart w:id="3"/>
      <w:r w:rsidRPr="00D01911">
        <w:rPr>
          <w:rFonts w:eastAsia="Times New Roman" w:cstheme="minorHAnsi"/>
          <w:color w:val="3399FF"/>
          <w:lang w:eastAsia="en-GB"/>
        </w:rPr>
        <w:t xml:space="preserve">claras </w:t>
      </w:r>
      <w:commentRangeEnd w:id="3"/>
      <w:r w:rsidR="00BE62BC">
        <w:rPr>
          <w:rStyle w:val="CommentReference"/>
        </w:rPr>
        <w:commentReference w:id="3"/>
      </w:r>
      <w:r w:rsidRPr="00D01911">
        <w:rPr>
          <w:rFonts w:eastAsia="Times New Roman" w:cstheme="minorHAnsi"/>
          <w:color w:val="3399FF"/>
          <w:lang w:eastAsia="en-GB"/>
        </w:rPr>
        <w:t>faciam ut tuis oculis eas videre videaris.</w:t>
      </w:r>
    </w:p>
    <w:p w14:paraId="635B7020" w14:textId="1BD7AD16" w:rsidR="00CA0168" w:rsidRPr="00D01911" w:rsidRDefault="00CA0168" w:rsidP="00D01911">
      <w:pPr>
        <w:rPr>
          <w:rFonts w:cstheme="minorHAnsi"/>
        </w:rPr>
      </w:pPr>
      <w:r w:rsidRPr="00D01911">
        <w:rPr>
          <w:rFonts w:cstheme="minorHAnsi"/>
        </w:rPr>
        <w:t>•</w:t>
      </w:r>
      <w:r w:rsidRPr="00D01911">
        <w:rPr>
          <w:rFonts w:cstheme="minorHAnsi"/>
        </w:rPr>
        <w:tab/>
        <w:t>Vercingetorix ordered the gates to be closed in order that the camp not be left defenceless. After many were killed, and many horses captured, the Germans retreated.</w:t>
      </w:r>
    </w:p>
    <w:p w14:paraId="3C17F1A5" w14:textId="3A5E7E7F" w:rsidR="00CA0168" w:rsidRPr="0025586D" w:rsidRDefault="00CA0168" w:rsidP="00CA0168">
      <w:pPr>
        <w:spacing w:after="100" w:afterAutospacing="1" w:line="240" w:lineRule="auto"/>
        <w:rPr>
          <w:rFonts w:eastAsia="Times New Roman" w:cstheme="minorHAnsi"/>
          <w:color w:val="3399FF"/>
          <w:lang w:val="fr-FR" w:eastAsia="en-GB"/>
        </w:rPr>
      </w:pPr>
      <w:r w:rsidRPr="0025586D">
        <w:rPr>
          <w:rFonts w:eastAsia="Times New Roman" w:cstheme="minorHAnsi"/>
          <w:color w:val="3399FF"/>
          <w:lang w:val="fr-FR" w:eastAsia="en-GB"/>
        </w:rPr>
        <w:t xml:space="preserve">Vercingetorix imperauit ut portae claudantur, ne castra nermis </w:t>
      </w:r>
      <w:commentRangeStart w:id="4"/>
      <w:r w:rsidRPr="0025586D">
        <w:rPr>
          <w:rFonts w:eastAsia="Times New Roman" w:cstheme="minorHAnsi"/>
          <w:color w:val="3399FF"/>
          <w:lang w:val="fr-FR" w:eastAsia="en-GB"/>
        </w:rPr>
        <w:t>fuit</w:t>
      </w:r>
      <w:commentRangeEnd w:id="4"/>
      <w:r w:rsidR="00F4420E">
        <w:rPr>
          <w:rStyle w:val="CommentReference"/>
        </w:rPr>
        <w:commentReference w:id="4"/>
      </w:r>
      <w:r w:rsidRPr="0025586D">
        <w:rPr>
          <w:rFonts w:eastAsia="Times New Roman" w:cstheme="minorHAnsi"/>
          <w:color w:val="3399FF"/>
          <w:lang w:val="fr-FR" w:eastAsia="en-GB"/>
        </w:rPr>
        <w:t xml:space="preserve">. </w:t>
      </w:r>
      <w:proofErr w:type="gramStart"/>
      <w:r w:rsidRPr="0025586D">
        <w:rPr>
          <w:rFonts w:eastAsia="Times New Roman" w:cstheme="minorHAnsi"/>
          <w:color w:val="3399FF"/>
          <w:lang w:val="fr-FR" w:eastAsia="en-GB"/>
        </w:rPr>
        <w:t>multis</w:t>
      </w:r>
      <w:proofErr w:type="gramEnd"/>
      <w:r w:rsidRPr="0025586D">
        <w:rPr>
          <w:rFonts w:eastAsia="Times New Roman" w:cstheme="minorHAnsi"/>
          <w:color w:val="3399FF"/>
          <w:lang w:val="fr-FR" w:eastAsia="en-GB"/>
        </w:rPr>
        <w:t xml:space="preserve"> interfectis, et </w:t>
      </w:r>
      <w:commentRangeStart w:id="5"/>
      <w:r w:rsidRPr="0025586D">
        <w:rPr>
          <w:rFonts w:eastAsia="Times New Roman" w:cstheme="minorHAnsi"/>
          <w:color w:val="3399FF"/>
          <w:lang w:val="fr-FR" w:eastAsia="en-GB"/>
        </w:rPr>
        <w:t>multis</w:t>
      </w:r>
      <w:commentRangeEnd w:id="5"/>
      <w:r w:rsidR="002D1B48">
        <w:rPr>
          <w:rStyle w:val="CommentReference"/>
        </w:rPr>
        <w:commentReference w:id="5"/>
      </w:r>
      <w:r w:rsidRPr="0025586D">
        <w:rPr>
          <w:rFonts w:eastAsia="Times New Roman" w:cstheme="minorHAnsi"/>
          <w:color w:val="3399FF"/>
          <w:lang w:val="fr-FR" w:eastAsia="en-GB"/>
        </w:rPr>
        <w:t xml:space="preserve"> equis captis, germani </w:t>
      </w:r>
      <w:commentRangeStart w:id="6"/>
      <w:r w:rsidRPr="0025586D">
        <w:rPr>
          <w:rFonts w:eastAsia="Times New Roman" w:cstheme="minorHAnsi"/>
          <w:color w:val="3399FF"/>
          <w:lang w:val="fr-FR" w:eastAsia="en-GB"/>
        </w:rPr>
        <w:t>retraxerunt</w:t>
      </w:r>
      <w:commentRangeEnd w:id="6"/>
      <w:r w:rsidR="002D1B48">
        <w:rPr>
          <w:rStyle w:val="CommentReference"/>
        </w:rPr>
        <w:commentReference w:id="6"/>
      </w:r>
      <w:r w:rsidRPr="0025586D">
        <w:rPr>
          <w:rFonts w:eastAsia="Times New Roman" w:cstheme="minorHAnsi"/>
          <w:color w:val="3399FF"/>
          <w:lang w:val="fr-FR" w:eastAsia="en-GB"/>
        </w:rPr>
        <w:t xml:space="preserve"> </w:t>
      </w:r>
    </w:p>
    <w:p w14:paraId="272F5D7C" w14:textId="481F4D9E" w:rsidR="00CA0168" w:rsidRPr="00D01911" w:rsidRDefault="00CA0168" w:rsidP="00D01911">
      <w:r w:rsidRPr="00D01911">
        <w:rPr>
          <w:highlight w:val="lightGray"/>
        </w:rPr>
        <w:t>Have you come into this city for this reason: in order that you may corrupt the laws and examples of this city?</w:t>
      </w:r>
    </w:p>
    <w:p w14:paraId="0114B3E8" w14:textId="1C6EA709" w:rsidR="00C306D1" w:rsidRDefault="00C306D1" w:rsidP="00C306D1">
      <w:pPr>
        <w:spacing w:after="100" w:afterAutospacing="1" w:line="240" w:lineRule="auto"/>
        <w:rPr>
          <w:rFonts w:ascii="Segoe UI" w:eastAsia="Times New Roman" w:hAnsi="Segoe UI" w:cs="Segoe UI"/>
          <w:color w:val="373A3C"/>
          <w:sz w:val="23"/>
          <w:szCs w:val="23"/>
          <w:lang w:eastAsia="en-GB"/>
        </w:rPr>
      </w:pPr>
    </w:p>
    <w:p w14:paraId="579449A1" w14:textId="0A4426F0" w:rsidR="00C306D1" w:rsidRPr="00D01911" w:rsidRDefault="00C306D1" w:rsidP="00C306D1">
      <w:pPr>
        <w:spacing w:after="100" w:afterAutospacing="1" w:line="240" w:lineRule="auto"/>
        <w:rPr>
          <w:rFonts w:ascii="Segoe UI" w:eastAsia="Times New Roman" w:hAnsi="Segoe UI" w:cs="Segoe UI"/>
          <w:b/>
          <w:color w:val="373A3C"/>
          <w:sz w:val="23"/>
          <w:szCs w:val="23"/>
          <w:u w:val="single"/>
          <w:lang w:eastAsia="en-GB"/>
        </w:rPr>
      </w:pPr>
      <w:r w:rsidRPr="00D01911">
        <w:rPr>
          <w:rFonts w:ascii="Segoe UI" w:eastAsia="Times New Roman" w:hAnsi="Segoe UI" w:cs="Segoe UI"/>
          <w:b/>
          <w:color w:val="373A3C"/>
          <w:sz w:val="27"/>
          <w:szCs w:val="27"/>
          <w:u w:val="single"/>
          <w:lang w:eastAsia="en-GB"/>
        </w:rPr>
        <w:t>Translation from the Latin for submission: RL T&amp;V: 5Cii</w:t>
      </w:r>
    </w:p>
    <w:p w14:paraId="4CD215FB" w14:textId="145C7D8B" w:rsidR="0085710B" w:rsidRPr="00D01911" w:rsidRDefault="001F2728" w:rsidP="00D01911">
      <w:pPr>
        <w:rPr>
          <w:rFonts w:ascii="Calibri" w:hAnsi="Calibri" w:cs="Calibri"/>
        </w:rPr>
      </w:pPr>
      <w:r w:rsidRPr="00D01911">
        <w:t>h</w:t>
      </w:r>
      <w:r w:rsidRPr="0085710B">
        <w:t>ī</w:t>
      </w:r>
      <w:r w:rsidR="00C306D1" w:rsidRPr="00D01911">
        <w:t xml:space="preserve">s rebus ita </w:t>
      </w:r>
      <w:r w:rsidRPr="00D01911">
        <w:t>āctīs, constitū</w:t>
      </w:r>
      <w:r w:rsidR="00C306D1" w:rsidRPr="00D01911">
        <w:t>t</w:t>
      </w:r>
      <w:r w:rsidRPr="00D01911">
        <w:t>ā nocte quā proficīscerentur Allobrogēs,</w:t>
      </w:r>
      <w:r w:rsidR="00CA0168" w:rsidRPr="00D01911">
        <w:t xml:space="preserve"> Cicero, ā lēgātīs cuncta ēdoctus, praetōribus imperat ut in pontē Muluio per īnsidias Allobrogum comitātūs dēprehendant. </w:t>
      </w:r>
      <w:r w:rsidR="00CA0168" w:rsidRPr="0085710B">
        <w:rPr>
          <w:rFonts w:ascii="Segoe UI" w:eastAsia="Times New Roman" w:hAnsi="Segoe UI" w:cs="Segoe UI"/>
          <w:bCs/>
          <w:color w:val="373A3C"/>
          <w:sz w:val="27"/>
          <w:szCs w:val="27"/>
          <w:lang w:eastAsia="en-GB"/>
        </w:rPr>
        <w:br/>
      </w:r>
      <w:proofErr w:type="gramStart"/>
      <w:r w:rsidR="006D71CD" w:rsidRPr="00D01911">
        <w:rPr>
          <w:rFonts w:ascii="Calibri" w:eastAsia="Times New Roman" w:hAnsi="Calibri" w:cs="Calibri"/>
          <w:bCs/>
          <w:color w:val="3399FF"/>
          <w:lang w:eastAsia="en-GB"/>
        </w:rPr>
        <w:t>So</w:t>
      </w:r>
      <w:proofErr w:type="gramEnd"/>
      <w:r w:rsidR="006D71CD" w:rsidRPr="00D01911">
        <w:rPr>
          <w:rFonts w:ascii="Calibri" w:eastAsia="Times New Roman" w:hAnsi="Calibri" w:cs="Calibri"/>
          <w:bCs/>
          <w:color w:val="3399FF"/>
          <w:lang w:eastAsia="en-GB"/>
        </w:rPr>
        <w:t xml:space="preserve"> these things having been done, and the night having been decided on which th</w:t>
      </w:r>
      <w:r w:rsidR="00CA0168" w:rsidRPr="00D01911">
        <w:rPr>
          <w:rFonts w:ascii="Calibri" w:eastAsia="Times New Roman" w:hAnsi="Calibri" w:cs="Calibri"/>
          <w:bCs/>
          <w:color w:val="3399FF"/>
          <w:lang w:eastAsia="en-GB"/>
        </w:rPr>
        <w:t>e Allob</w:t>
      </w:r>
      <w:r w:rsidR="006D71CD" w:rsidRPr="00D01911">
        <w:rPr>
          <w:rFonts w:ascii="Calibri" w:eastAsia="Times New Roman" w:hAnsi="Calibri" w:cs="Calibri"/>
          <w:bCs/>
          <w:color w:val="3399FF"/>
          <w:lang w:eastAsia="en-GB"/>
        </w:rPr>
        <w:t xml:space="preserve">roges would depart, Cicero, having been informed of the whole (whole affair) by the ambassadors, orders the praetors to arrest the Allobrogian retinue </w:t>
      </w:r>
      <w:r w:rsidR="0085710B" w:rsidRPr="00D01911">
        <w:rPr>
          <w:rFonts w:ascii="Calibri" w:eastAsia="Times New Roman" w:hAnsi="Calibri" w:cs="Calibri"/>
          <w:bCs/>
          <w:color w:val="3399FF"/>
          <w:lang w:eastAsia="en-GB"/>
        </w:rPr>
        <w:t>through an ambush.</w:t>
      </w:r>
      <w:r w:rsidR="006D71CD" w:rsidRPr="00D01911">
        <w:rPr>
          <w:rFonts w:ascii="Calibri" w:hAnsi="Calibri" w:cs="Calibri"/>
        </w:rPr>
        <w:br/>
      </w:r>
      <w:r w:rsidRPr="00D01911">
        <w:rPr>
          <w:rFonts w:ascii="Calibri" w:hAnsi="Calibri" w:cs="Calibri"/>
        </w:rPr>
        <w:t>sine morā</w:t>
      </w:r>
      <w:r w:rsidR="0085710B" w:rsidRPr="00D01911">
        <w:rPr>
          <w:rFonts w:ascii="Calibri" w:hAnsi="Calibri" w:cs="Calibri"/>
        </w:rPr>
        <w:t xml:space="preserve"> </w:t>
      </w:r>
      <w:r w:rsidRPr="00D01911">
        <w:rPr>
          <w:rFonts w:ascii="Calibri" w:hAnsi="Calibri" w:cs="Calibri"/>
        </w:rPr>
        <w:t xml:space="preserve">ad </w:t>
      </w:r>
      <w:r w:rsidR="00C306D1" w:rsidRPr="00D01911">
        <w:rPr>
          <w:rFonts w:ascii="Calibri" w:hAnsi="Calibri" w:cs="Calibri"/>
        </w:rPr>
        <w:t>pontem itum͡</w:t>
      </w:r>
      <w:r w:rsidR="0085710B" w:rsidRPr="00D01911">
        <w:rPr>
          <w:rFonts w:ascii="Calibri" w:hAnsi="Calibri" w:cs="Calibri"/>
        </w:rPr>
        <w:t xml:space="preserve"> </w:t>
      </w:r>
      <w:r w:rsidR="00C306D1" w:rsidRPr="00D01911">
        <w:rPr>
          <w:rFonts w:ascii="Calibri" w:hAnsi="Calibri" w:cs="Calibri"/>
        </w:rPr>
        <w:t>est. praetor</w:t>
      </w:r>
      <w:r w:rsidRPr="00D01911">
        <w:rPr>
          <w:rFonts w:ascii="Calibri" w:hAnsi="Calibri" w:cs="Calibri"/>
        </w:rPr>
        <w:t>ēs, hominēs mī</w:t>
      </w:r>
      <w:r w:rsidR="00C306D1" w:rsidRPr="00D01911">
        <w:rPr>
          <w:rFonts w:ascii="Calibri" w:hAnsi="Calibri" w:cs="Calibri"/>
        </w:rPr>
        <w:t>litar</w:t>
      </w:r>
      <w:r w:rsidRPr="00D01911">
        <w:rPr>
          <w:rFonts w:ascii="Calibri" w:hAnsi="Calibri" w:cs="Calibri"/>
        </w:rPr>
        <w:t xml:space="preserve">ēs, sine </w:t>
      </w:r>
      <w:r w:rsidR="00666EFF" w:rsidRPr="00D01911">
        <w:rPr>
          <w:rFonts w:ascii="Calibri" w:hAnsi="Calibri" w:cs="Calibri"/>
        </w:rPr>
        <w:t>tumult</w:t>
      </w:r>
      <w:r w:rsidR="0085710B" w:rsidRPr="00D01911">
        <w:rPr>
          <w:rFonts w:ascii="Calibri" w:hAnsi="Calibri" w:cs="Calibri"/>
        </w:rPr>
        <w:t xml:space="preserve">u </w:t>
      </w:r>
      <w:r w:rsidRPr="00D01911">
        <w:rPr>
          <w:rFonts w:ascii="Calibri" w:hAnsi="Calibri" w:cs="Calibri"/>
        </w:rPr>
        <w:t>praesidiīs collocatī</w:t>
      </w:r>
      <w:r w:rsidR="00C306D1" w:rsidRPr="00D01911">
        <w:rPr>
          <w:rFonts w:ascii="Calibri" w:hAnsi="Calibri" w:cs="Calibri"/>
        </w:rPr>
        <w:t>s, s</w:t>
      </w:r>
      <w:r w:rsidRPr="00D01911">
        <w:rPr>
          <w:rFonts w:ascii="Calibri" w:hAnsi="Calibri" w:cs="Calibri"/>
        </w:rPr>
        <w:t>ī</w:t>
      </w:r>
      <w:r w:rsidR="00C306D1" w:rsidRPr="00D01911">
        <w:rPr>
          <w:rFonts w:ascii="Calibri" w:hAnsi="Calibri" w:cs="Calibri"/>
        </w:rPr>
        <w:t>cut</w:t>
      </w:r>
      <w:r w:rsidRPr="00D01911">
        <w:rPr>
          <w:rFonts w:ascii="Calibri" w:hAnsi="Calibri" w:cs="Calibri"/>
        </w:rPr>
        <w:t>ī</w:t>
      </w:r>
      <w:r w:rsidR="00C306D1" w:rsidRPr="00D01911">
        <w:rPr>
          <w:rFonts w:ascii="Calibri" w:hAnsi="Calibri" w:cs="Calibri"/>
        </w:rPr>
        <w:t xml:space="preserve"> e</w:t>
      </w:r>
      <w:r w:rsidRPr="00D01911">
        <w:rPr>
          <w:rFonts w:ascii="Calibri" w:hAnsi="Calibri" w:cs="Calibri"/>
        </w:rPr>
        <w:t>ī</w:t>
      </w:r>
      <w:r w:rsidR="00C306D1" w:rsidRPr="00D01911">
        <w:rPr>
          <w:rFonts w:ascii="Calibri" w:hAnsi="Calibri" w:cs="Calibri"/>
        </w:rPr>
        <w:t xml:space="preserve">s praeceptum </w:t>
      </w:r>
      <w:r w:rsidRPr="00D01911">
        <w:rPr>
          <w:rFonts w:ascii="Calibri" w:hAnsi="Calibri" w:cs="Calibri"/>
        </w:rPr>
        <w:t>erat, occulte pontem</w:t>
      </w:r>
      <w:r w:rsidR="0085710B" w:rsidRPr="00D01911">
        <w:rPr>
          <w:rFonts w:ascii="Calibri" w:hAnsi="Calibri" w:cs="Calibri"/>
        </w:rPr>
        <w:t xml:space="preserve"> </w:t>
      </w:r>
      <w:r w:rsidRPr="00D01911">
        <w:rPr>
          <w:rFonts w:ascii="Calibri" w:hAnsi="Calibri" w:cs="Calibri"/>
        </w:rPr>
        <w:t>obsident.</w:t>
      </w:r>
      <w:r w:rsidRPr="00D01911">
        <w:rPr>
          <w:rFonts w:ascii="Calibri" w:eastAsia="Times New Roman" w:hAnsi="Calibri" w:cs="Calibri"/>
          <w:bCs/>
          <w:color w:val="373A3C"/>
          <w:lang w:eastAsia="en-GB"/>
        </w:rPr>
        <w:t xml:space="preserve"> </w:t>
      </w:r>
      <w:r w:rsidR="0085710B" w:rsidRPr="00D01911">
        <w:rPr>
          <w:rFonts w:ascii="Calibri" w:eastAsia="Times New Roman" w:hAnsi="Calibri" w:cs="Calibri"/>
          <w:bCs/>
          <w:color w:val="373A3C"/>
          <w:lang w:eastAsia="en-GB"/>
        </w:rPr>
        <w:br/>
      </w:r>
      <w:r w:rsidR="0085710B" w:rsidRPr="00D01911">
        <w:rPr>
          <w:rFonts w:ascii="Calibri" w:eastAsia="Times New Roman" w:hAnsi="Calibri" w:cs="Calibri"/>
          <w:bCs/>
          <w:color w:val="3399FF"/>
          <w:lang w:eastAsia="en-GB"/>
        </w:rPr>
        <w:t xml:space="preserve">Without delay they went to the </w:t>
      </w:r>
      <w:commentRangeStart w:id="7"/>
      <w:r w:rsidR="0085710B" w:rsidRPr="00D01911">
        <w:rPr>
          <w:rFonts w:ascii="Calibri" w:eastAsia="Times New Roman" w:hAnsi="Calibri" w:cs="Calibri"/>
          <w:bCs/>
          <w:color w:val="3399FF"/>
          <w:lang w:eastAsia="en-GB"/>
        </w:rPr>
        <w:t>bridge</w:t>
      </w:r>
      <w:commentRangeEnd w:id="7"/>
      <w:r w:rsidR="002D1B48">
        <w:rPr>
          <w:rStyle w:val="CommentReference"/>
        </w:rPr>
        <w:commentReference w:id="7"/>
      </w:r>
      <w:r w:rsidR="0085710B" w:rsidRPr="00D01911">
        <w:rPr>
          <w:rFonts w:ascii="Calibri" w:eastAsia="Times New Roman" w:hAnsi="Calibri" w:cs="Calibri"/>
          <w:bCs/>
          <w:color w:val="3399FF"/>
          <w:lang w:eastAsia="en-GB"/>
        </w:rPr>
        <w:t xml:space="preserve">. After guards </w:t>
      </w:r>
      <w:r w:rsidR="00CA0168" w:rsidRPr="00D01911">
        <w:rPr>
          <w:rFonts w:ascii="Calibri" w:eastAsia="Times New Roman" w:hAnsi="Calibri" w:cs="Calibri"/>
          <w:bCs/>
          <w:color w:val="3399FF"/>
          <w:lang w:eastAsia="en-GB"/>
        </w:rPr>
        <w:t>were</w:t>
      </w:r>
      <w:r w:rsidR="0085710B" w:rsidRPr="00D01911">
        <w:rPr>
          <w:rFonts w:ascii="Calibri" w:eastAsia="Times New Roman" w:hAnsi="Calibri" w:cs="Calibri"/>
          <w:bCs/>
          <w:color w:val="3399FF"/>
          <w:lang w:eastAsia="en-GB"/>
        </w:rPr>
        <w:t xml:space="preserve"> stationed without noise, the praetors, military men, secretly besieged the bridge just as it had been ordered to them. </w:t>
      </w:r>
    </w:p>
    <w:p w14:paraId="2C75519E" w14:textId="365155DF" w:rsidR="0085710B" w:rsidRPr="00D01911" w:rsidRDefault="00C306D1" w:rsidP="00D01911">
      <w:pPr>
        <w:rPr>
          <w:rFonts w:ascii="Calibri" w:eastAsia="Times New Roman" w:hAnsi="Calibri" w:cs="Calibri"/>
          <w:bCs/>
          <w:color w:val="373A3C"/>
          <w:lang w:eastAsia="en-GB"/>
        </w:rPr>
      </w:pPr>
      <w:r w:rsidRPr="00D01911">
        <w:rPr>
          <w:rFonts w:ascii="Calibri" w:hAnsi="Calibri" w:cs="Calibri"/>
        </w:rPr>
        <w:t>postquam ad id loc</w:t>
      </w:r>
      <w:r w:rsidR="001F2728" w:rsidRPr="00D01911">
        <w:rPr>
          <w:rFonts w:ascii="Calibri" w:hAnsi="Calibri" w:cs="Calibri"/>
        </w:rPr>
        <w:t>ī</w:t>
      </w:r>
      <w:r w:rsidRPr="00D01911">
        <w:rPr>
          <w:rFonts w:ascii="Calibri" w:hAnsi="Calibri" w:cs="Calibri"/>
        </w:rPr>
        <w:t xml:space="preserve"> leg</w:t>
      </w:r>
      <w:r w:rsidR="001F2728" w:rsidRPr="00D01911">
        <w:rPr>
          <w:rFonts w:ascii="Calibri" w:hAnsi="Calibri" w:cs="Calibri"/>
        </w:rPr>
        <w:t>ātī cum Volturciō peruē</w:t>
      </w:r>
      <w:r w:rsidRPr="00D01911">
        <w:rPr>
          <w:rFonts w:ascii="Calibri" w:hAnsi="Calibri" w:cs="Calibri"/>
        </w:rPr>
        <w:t>n</w:t>
      </w:r>
      <w:r w:rsidR="001F2728" w:rsidRPr="00D01911">
        <w:rPr>
          <w:rFonts w:ascii="Calibri" w:hAnsi="Calibri" w:cs="Calibri"/>
        </w:rPr>
        <w:t>ē</w:t>
      </w:r>
      <w:r w:rsidRPr="00D01911">
        <w:rPr>
          <w:rFonts w:ascii="Calibri" w:hAnsi="Calibri" w:cs="Calibri"/>
        </w:rPr>
        <w:t>runt et</w:t>
      </w:r>
      <w:r w:rsidR="0085710B" w:rsidRPr="00D01911">
        <w:rPr>
          <w:rFonts w:ascii="Calibri" w:hAnsi="Calibri" w:cs="Calibri"/>
        </w:rPr>
        <w:t xml:space="preserve"> </w:t>
      </w:r>
      <w:r w:rsidRPr="00D01911">
        <w:rPr>
          <w:rFonts w:ascii="Calibri" w:hAnsi="Calibri" w:cs="Calibri"/>
        </w:rPr>
        <w:t xml:space="preserve">simul </w:t>
      </w:r>
      <w:r w:rsidR="001F2728" w:rsidRPr="00D01911">
        <w:rPr>
          <w:rFonts w:ascii="Calibri" w:hAnsi="Calibri" w:cs="Calibri"/>
        </w:rPr>
        <w:t>ū</w:t>
      </w:r>
      <w:r w:rsidRPr="00D01911">
        <w:rPr>
          <w:rFonts w:ascii="Calibri" w:hAnsi="Calibri" w:cs="Calibri"/>
        </w:rPr>
        <w:t>tri</w:t>
      </w:r>
      <w:r w:rsidR="001F2728" w:rsidRPr="00D01911">
        <w:rPr>
          <w:rFonts w:ascii="Calibri" w:hAnsi="Calibri" w:cs="Calibri"/>
        </w:rPr>
        <w:t>mque clamor exortus est, Gallī, citō cognitō cōnsiliō, sine morā praetoribus sē</w:t>
      </w:r>
      <w:r w:rsidR="00D01911">
        <w:rPr>
          <w:rFonts w:ascii="Calibri" w:hAnsi="Calibri" w:cs="Calibri"/>
        </w:rPr>
        <w:t xml:space="preserve"> </w:t>
      </w:r>
      <w:r w:rsidR="001F2728" w:rsidRPr="00D01911">
        <w:rPr>
          <w:rFonts w:ascii="Calibri" w:hAnsi="Calibri" w:cs="Calibri"/>
        </w:rPr>
        <w:t xml:space="preserve">trādunt; </w:t>
      </w:r>
      <w:r w:rsidR="00CA0168" w:rsidRPr="00D01911">
        <w:rPr>
          <w:rFonts w:ascii="Calibri" w:eastAsia="Times New Roman" w:hAnsi="Calibri" w:cs="Calibri"/>
          <w:bCs/>
          <w:color w:val="373A3C"/>
          <w:lang w:eastAsia="en-GB"/>
        </w:rPr>
        <w:br/>
      </w:r>
      <w:r w:rsidR="0085710B" w:rsidRPr="00D01911">
        <w:rPr>
          <w:rFonts w:ascii="Calibri" w:eastAsia="Times New Roman" w:hAnsi="Calibri" w:cs="Calibri"/>
          <w:bCs/>
          <w:color w:val="3399FF"/>
          <w:lang w:eastAsia="en-GB"/>
        </w:rPr>
        <w:t>After the am</w:t>
      </w:r>
      <w:r w:rsidR="00CA0168" w:rsidRPr="00D01911">
        <w:rPr>
          <w:rFonts w:ascii="Calibri" w:eastAsia="Times New Roman" w:hAnsi="Calibri" w:cs="Calibri"/>
          <w:bCs/>
          <w:color w:val="3399FF"/>
          <w:lang w:eastAsia="en-GB"/>
        </w:rPr>
        <w:t>b</w:t>
      </w:r>
      <w:r w:rsidR="0085710B" w:rsidRPr="00D01911">
        <w:rPr>
          <w:rFonts w:ascii="Calibri" w:eastAsia="Times New Roman" w:hAnsi="Calibri" w:cs="Calibri"/>
          <w:bCs/>
          <w:color w:val="3399FF"/>
          <w:lang w:eastAsia="en-GB"/>
        </w:rPr>
        <w:t xml:space="preserve">assadors arrived at that place with Volturcius and at the same time a clamour having </w:t>
      </w:r>
      <w:r w:rsidR="0085710B" w:rsidRPr="00D01911">
        <w:rPr>
          <w:rFonts w:ascii="Calibri" w:eastAsia="Times New Roman" w:hAnsi="Calibri" w:cs="Calibri"/>
          <w:bCs/>
          <w:color w:val="3399FF"/>
          <w:lang w:eastAsia="en-GB"/>
        </w:rPr>
        <w:lastRenderedPageBreak/>
        <w:t>arisen on both sides, the Gauls, having quickly realised the plot, handed themselves over without delay to the praetors;</w:t>
      </w:r>
    </w:p>
    <w:p w14:paraId="72D0F425" w14:textId="17BC8E19" w:rsidR="00666EFF" w:rsidRPr="00D01911" w:rsidRDefault="001F2728" w:rsidP="00C306D1">
      <w:pPr>
        <w:spacing w:after="100" w:afterAutospacing="1" w:line="240" w:lineRule="auto"/>
        <w:rPr>
          <w:rFonts w:ascii="Calibri" w:eastAsia="Times New Roman" w:hAnsi="Calibri" w:cs="Calibri"/>
          <w:bCs/>
          <w:color w:val="373A3C"/>
          <w:lang w:eastAsia="en-GB"/>
        </w:rPr>
      </w:pPr>
      <w:r w:rsidRPr="00D01911">
        <w:rPr>
          <w:rFonts w:ascii="Calibri" w:hAnsi="Calibri" w:cs="Calibri"/>
        </w:rPr>
        <w:t>Volturcius prīmo, cohortātus cēterōs, gladiō</w:t>
      </w:r>
      <w:r w:rsidR="004827E7" w:rsidRPr="00D01911">
        <w:rPr>
          <w:rFonts w:ascii="Calibri" w:hAnsi="Calibri" w:cs="Calibri"/>
        </w:rPr>
        <w:t xml:space="preserve"> s</w:t>
      </w:r>
      <w:r w:rsidRPr="00D01911">
        <w:rPr>
          <w:rFonts w:ascii="Calibri" w:hAnsi="Calibri" w:cs="Calibri"/>
        </w:rPr>
        <w:t>ē</w:t>
      </w:r>
      <w:r w:rsidR="004827E7" w:rsidRPr="00D01911">
        <w:rPr>
          <w:rFonts w:ascii="Calibri" w:hAnsi="Calibri" w:cs="Calibri"/>
        </w:rPr>
        <w:t xml:space="preserve"> </w:t>
      </w:r>
      <w:r w:rsidRPr="00D01911">
        <w:rPr>
          <w:rFonts w:ascii="Calibri" w:hAnsi="Calibri" w:cs="Calibri"/>
        </w:rPr>
        <w:t xml:space="preserve">ā </w:t>
      </w:r>
      <w:r w:rsidR="004827E7" w:rsidRPr="00D01911">
        <w:rPr>
          <w:rFonts w:ascii="Calibri" w:hAnsi="Calibri" w:cs="Calibri"/>
        </w:rPr>
        <w:t>multitudine d</w:t>
      </w:r>
      <w:r w:rsidRPr="00D01911">
        <w:rPr>
          <w:rFonts w:ascii="Calibri" w:hAnsi="Calibri" w:cs="Calibri"/>
        </w:rPr>
        <w:t>ē</w:t>
      </w:r>
      <w:r w:rsidR="00C306D1" w:rsidRPr="00D01911">
        <w:rPr>
          <w:rFonts w:ascii="Calibri" w:hAnsi="Calibri" w:cs="Calibri"/>
        </w:rPr>
        <w:t xml:space="preserve">fendit. </w:t>
      </w:r>
      <w:r w:rsidR="00CA0168" w:rsidRPr="00D01911">
        <w:rPr>
          <w:rFonts w:ascii="Calibri" w:hAnsi="Calibri" w:cs="Calibri"/>
        </w:rPr>
        <w:br/>
      </w:r>
      <w:r w:rsidR="0085710B" w:rsidRPr="00D01911">
        <w:rPr>
          <w:rFonts w:ascii="Calibri" w:eastAsia="Times New Roman" w:hAnsi="Calibri" w:cs="Calibri"/>
          <w:bCs/>
          <w:color w:val="3399FF"/>
          <w:lang w:eastAsia="en-GB"/>
        </w:rPr>
        <w:t xml:space="preserve">At first Volturcius, having encouraged the others, defends himself with the sword from the multitude. </w:t>
      </w:r>
    </w:p>
    <w:p w14:paraId="71A75260" w14:textId="6ECF91A7" w:rsidR="0085710B" w:rsidRPr="00D01911" w:rsidRDefault="0085710B" w:rsidP="00C306D1">
      <w:pPr>
        <w:spacing w:after="100" w:afterAutospacing="1" w:line="240" w:lineRule="auto"/>
        <w:rPr>
          <w:rFonts w:ascii="Calibri" w:eastAsia="Times New Roman" w:hAnsi="Calibri" w:cs="Calibri"/>
          <w:bCs/>
          <w:color w:val="373A3C"/>
          <w:lang w:eastAsia="en-GB"/>
        </w:rPr>
      </w:pPr>
      <w:r w:rsidRPr="00D01911">
        <w:rPr>
          <w:rFonts w:ascii="Calibri" w:hAnsi="Calibri" w:cs="Calibri"/>
        </w:rPr>
        <w:t>deinde, ubi ā lēgātīs desertus est, timidus ac uītae diffīdens, uelut hostibus sēsē praetōribus dēdit.</w:t>
      </w:r>
      <w:r w:rsidR="00CA0168" w:rsidRPr="00D01911">
        <w:rPr>
          <w:rFonts w:ascii="Calibri" w:hAnsi="Calibri" w:cs="Calibri"/>
        </w:rPr>
        <w:br/>
      </w:r>
      <w:r w:rsidRPr="00D01911">
        <w:rPr>
          <w:rFonts w:ascii="Calibri" w:eastAsia="Times New Roman" w:hAnsi="Calibri" w:cs="Calibri"/>
          <w:bCs/>
          <w:color w:val="3399FF"/>
          <w:lang w:eastAsia="en-GB"/>
        </w:rPr>
        <w:t xml:space="preserve">Then, when he was deserted by the ambassadors, (he was) afraid and fearful for his life as he gave himself to the enemy </w:t>
      </w:r>
      <w:commentRangeStart w:id="8"/>
      <w:r w:rsidRPr="00D01911">
        <w:rPr>
          <w:rFonts w:ascii="Calibri" w:eastAsia="Times New Roman" w:hAnsi="Calibri" w:cs="Calibri"/>
          <w:bCs/>
          <w:color w:val="3399FF"/>
          <w:lang w:eastAsia="en-GB"/>
        </w:rPr>
        <w:t>praetors</w:t>
      </w:r>
      <w:commentRangeEnd w:id="8"/>
      <w:r w:rsidR="002D1B48">
        <w:rPr>
          <w:rStyle w:val="CommentReference"/>
        </w:rPr>
        <w:commentReference w:id="8"/>
      </w:r>
      <w:r w:rsidRPr="00D01911">
        <w:rPr>
          <w:rFonts w:ascii="Calibri" w:eastAsia="Times New Roman" w:hAnsi="Calibri" w:cs="Calibri"/>
          <w:bCs/>
          <w:color w:val="3399FF"/>
          <w:lang w:eastAsia="en-GB"/>
        </w:rPr>
        <w:t>.</w:t>
      </w:r>
    </w:p>
    <w:p w14:paraId="44AF0417" w14:textId="77777777" w:rsidR="00D01911" w:rsidRPr="00D01911" w:rsidRDefault="00D01911" w:rsidP="00C306D1">
      <w:pPr>
        <w:spacing w:after="100" w:afterAutospacing="1" w:line="240" w:lineRule="auto"/>
        <w:rPr>
          <w:rFonts w:ascii="Calibri" w:eastAsia="Times New Roman" w:hAnsi="Calibri" w:cs="Calibri"/>
          <w:color w:val="373A3C"/>
          <w:lang w:eastAsia="en-GB"/>
        </w:rPr>
      </w:pPr>
    </w:p>
    <w:p w14:paraId="7B4148D9" w14:textId="77777777" w:rsidR="00D01911" w:rsidRDefault="00D01911" w:rsidP="00C306D1">
      <w:pPr>
        <w:spacing w:after="100" w:afterAutospacing="1" w:line="240" w:lineRule="auto"/>
        <w:rPr>
          <w:rFonts w:ascii="Segoe UI" w:eastAsia="Times New Roman" w:hAnsi="Segoe UI" w:cs="Segoe UI"/>
          <w:color w:val="373A3C"/>
          <w:sz w:val="27"/>
          <w:szCs w:val="27"/>
          <w:lang w:eastAsia="en-GB"/>
        </w:rPr>
      </w:pPr>
    </w:p>
    <w:p w14:paraId="1EE81B55" w14:textId="093CC43F" w:rsidR="00C306D1" w:rsidRPr="00C306D1" w:rsidRDefault="00C306D1" w:rsidP="00C306D1">
      <w:pPr>
        <w:spacing w:after="100" w:afterAutospacing="1" w:line="240" w:lineRule="auto"/>
        <w:rPr>
          <w:rFonts w:ascii="Segoe UI" w:eastAsia="Times New Roman" w:hAnsi="Segoe UI" w:cs="Segoe UI"/>
          <w:color w:val="373A3C"/>
          <w:sz w:val="23"/>
          <w:szCs w:val="23"/>
          <w:lang w:eastAsia="en-GB"/>
        </w:rPr>
      </w:pPr>
      <w:r w:rsidRPr="00C306D1">
        <w:rPr>
          <w:rFonts w:ascii="Segoe UI" w:eastAsia="Times New Roman" w:hAnsi="Segoe UI" w:cs="Segoe UI"/>
          <w:color w:val="373A3C"/>
          <w:sz w:val="27"/>
          <w:szCs w:val="27"/>
          <w:lang w:eastAsia="en-GB"/>
        </w:rPr>
        <w:t>NB: This text is loosely based on Caesar’s </w:t>
      </w:r>
      <w:r w:rsidRPr="00C306D1">
        <w:rPr>
          <w:rFonts w:ascii="Segoe UI" w:eastAsia="Times New Roman" w:hAnsi="Segoe UI" w:cs="Segoe UI"/>
          <w:i/>
          <w:iCs/>
          <w:color w:val="373A3C"/>
          <w:sz w:val="27"/>
          <w:szCs w:val="27"/>
          <w:lang w:eastAsia="en-GB"/>
        </w:rPr>
        <w:t>De Bello Gallico</w:t>
      </w:r>
      <w:r w:rsidRPr="00C306D1">
        <w:rPr>
          <w:rFonts w:ascii="Segoe UI" w:eastAsia="Times New Roman" w:hAnsi="Segoe UI" w:cs="Segoe UI"/>
          <w:color w:val="373A3C"/>
          <w:sz w:val="27"/>
          <w:szCs w:val="27"/>
          <w:lang w:eastAsia="en-GB"/>
        </w:rPr>
        <w:t> Bk 7.35</w:t>
      </w:r>
    </w:p>
    <w:p w14:paraId="496D3F6E" w14:textId="77777777" w:rsidR="00114FF5" w:rsidRDefault="00114FF5"/>
    <w:p w14:paraId="7F273799" w14:textId="7EFD9EA3" w:rsidR="00C306D1" w:rsidRDefault="00C306D1" w:rsidP="00C306D1">
      <w:pPr>
        <w:rPr>
          <w:rFonts w:ascii="Segoe UI" w:eastAsia="Times New Roman" w:hAnsi="Segoe UI" w:cs="Segoe UI"/>
          <w:color w:val="373A3C"/>
          <w:sz w:val="27"/>
          <w:szCs w:val="27"/>
          <w:lang w:eastAsia="en-GB"/>
        </w:rPr>
      </w:pPr>
      <w:r w:rsidRPr="00D01911">
        <w:rPr>
          <w:rFonts w:ascii="Segoe UI" w:eastAsia="Times New Roman" w:hAnsi="Segoe UI" w:cs="Segoe UI"/>
          <w:color w:val="373A3C"/>
          <w:sz w:val="27"/>
          <w:szCs w:val="27"/>
          <w:highlight w:val="lightGray"/>
          <w:lang w:eastAsia="en-GB"/>
        </w:rPr>
        <w:t>News having been brought of Caesar’s approach, the Arverni, fearing that he would invade their territory, resolved to break down all the bridges over the river. Caesar, however, wanted to cross as soon as possible, for he was afraid of being hindered all summer by this river. He accomplished this by the following trick. He sent forward the greater part of his forces, and the enemy followed these, thinking that the whole army had set out. Thereupon Caesar, who had remained with a few men, ordered them to repair one of the bridges with all speed.</w:t>
      </w:r>
    </w:p>
    <w:p w14:paraId="62BBE001" w14:textId="5C8D6BE4" w:rsidR="00D01911" w:rsidRDefault="00D01911" w:rsidP="00C306D1">
      <w:pPr>
        <w:rPr>
          <w:rFonts w:ascii="Segoe UI" w:eastAsia="Times New Roman" w:hAnsi="Segoe UI" w:cs="Segoe UI"/>
          <w:color w:val="373A3C"/>
          <w:sz w:val="27"/>
          <w:szCs w:val="27"/>
          <w:lang w:eastAsia="en-GB"/>
        </w:rPr>
      </w:pPr>
    </w:p>
    <w:p w14:paraId="762D5119" w14:textId="0E8F1D8C" w:rsidR="001A3B36" w:rsidRPr="00D01911" w:rsidRDefault="001A3B36" w:rsidP="001A3B36">
      <w:pPr>
        <w:spacing w:after="100" w:afterAutospacing="1" w:line="240" w:lineRule="auto"/>
        <w:rPr>
          <w:rFonts w:ascii="Segoe UI" w:eastAsia="Times New Roman" w:hAnsi="Segoe UI" w:cs="Segoe UI"/>
          <w:b/>
          <w:color w:val="373A3C"/>
          <w:sz w:val="23"/>
          <w:szCs w:val="23"/>
          <w:u w:val="single"/>
          <w:lang w:eastAsia="en-GB"/>
        </w:rPr>
      </w:pPr>
      <w:r w:rsidRPr="00D01911">
        <w:rPr>
          <w:rFonts w:ascii="Segoe UI" w:eastAsia="Times New Roman" w:hAnsi="Segoe UI" w:cs="Segoe UI"/>
          <w:b/>
          <w:color w:val="373A3C"/>
          <w:sz w:val="27"/>
          <w:szCs w:val="27"/>
          <w:u w:val="single"/>
          <w:lang w:eastAsia="en-GB"/>
        </w:rPr>
        <w:t xml:space="preserve">Translation from </w:t>
      </w:r>
      <w:r>
        <w:rPr>
          <w:rFonts w:ascii="Segoe UI" w:eastAsia="Times New Roman" w:hAnsi="Segoe UI" w:cs="Segoe UI"/>
          <w:b/>
          <w:color w:val="373A3C"/>
          <w:sz w:val="27"/>
          <w:szCs w:val="27"/>
          <w:u w:val="single"/>
          <w:lang w:eastAsia="en-GB"/>
        </w:rPr>
        <w:t>the Latin for submission: RL G&amp;E</w:t>
      </w:r>
      <w:r w:rsidRPr="00D01911">
        <w:rPr>
          <w:rFonts w:ascii="Segoe UI" w:eastAsia="Times New Roman" w:hAnsi="Segoe UI" w:cs="Segoe UI"/>
          <w:b/>
          <w:color w:val="373A3C"/>
          <w:sz w:val="27"/>
          <w:szCs w:val="27"/>
          <w:u w:val="single"/>
          <w:lang w:eastAsia="en-GB"/>
        </w:rPr>
        <w:t>: 5</w:t>
      </w:r>
      <w:r>
        <w:rPr>
          <w:rFonts w:ascii="Segoe UI" w:eastAsia="Times New Roman" w:hAnsi="Segoe UI" w:cs="Segoe UI"/>
          <w:b/>
          <w:color w:val="373A3C"/>
          <w:sz w:val="27"/>
          <w:szCs w:val="27"/>
          <w:u w:val="single"/>
          <w:lang w:eastAsia="en-GB"/>
        </w:rPr>
        <w:t>E (p.248)</w:t>
      </w:r>
    </w:p>
    <w:p w14:paraId="47559B60" w14:textId="236D4EB7" w:rsidR="001A3B36" w:rsidRDefault="001A3B36" w:rsidP="001A3B36">
      <w:r>
        <w:t>post eum diem quīdam L. Tarquinius ad senātum adductus erat, quem ad Catilīnam proficīscentem ex itinere retractum aiēbant. is cum sē dīceret indicātūrum dē coniūrātiōne, sī fidēs pūblica data esset, iussus ā cōnsule quae scīret ēdīcere, eadem ferē quae Volturcius dē parātīs incendiīs, dē caede bonōrum, dē itinere hostium senātum docet; praetereā sē missum quī Catilīnae nūntiāret nē eum Lentulus et Cethēgus aliīque ex coniūrātiōne dēprehēnsī terrērent, eōque magis properāret ad urbem adcedēre, quō et cēterōrum animōs reficeret et illī facilius ē perīculō ēriperentur.</w:t>
      </w:r>
    </w:p>
    <w:p w14:paraId="3870E863" w14:textId="302CBF07" w:rsidR="00D01911" w:rsidRPr="00C53D64" w:rsidRDefault="001A3B36" w:rsidP="001A3B36">
      <w:pPr>
        <w:rPr>
          <w:color w:val="0099FF"/>
        </w:rPr>
      </w:pPr>
      <w:r w:rsidRPr="00C53D64">
        <w:rPr>
          <w:color w:val="0099FF"/>
        </w:rPr>
        <w:t xml:space="preserve">After this </w:t>
      </w:r>
      <w:proofErr w:type="gramStart"/>
      <w:r w:rsidR="003403DE" w:rsidRPr="00C53D64">
        <w:rPr>
          <w:color w:val="0099FF"/>
        </w:rPr>
        <w:t>day</w:t>
      </w:r>
      <w:proofErr w:type="gramEnd"/>
      <w:r w:rsidR="003403DE" w:rsidRPr="00C53D64">
        <w:rPr>
          <w:color w:val="0099FF"/>
        </w:rPr>
        <w:t xml:space="preserve"> a certain L. Tarquinius was</w:t>
      </w:r>
      <w:r w:rsidRPr="00C53D64">
        <w:rPr>
          <w:color w:val="0099FF"/>
        </w:rPr>
        <w:t xml:space="preserve"> brought to the senate, who</w:t>
      </w:r>
      <w:r w:rsidR="000340B9" w:rsidRPr="00C53D64">
        <w:rPr>
          <w:color w:val="0099FF"/>
        </w:rPr>
        <w:t>,</w:t>
      </w:r>
      <w:r w:rsidRPr="00C53D64">
        <w:rPr>
          <w:color w:val="0099FF"/>
        </w:rPr>
        <w:t xml:space="preserve"> they said</w:t>
      </w:r>
      <w:r w:rsidR="000340B9" w:rsidRPr="00C53D64">
        <w:rPr>
          <w:color w:val="0099FF"/>
        </w:rPr>
        <w:t xml:space="preserve">, setting out to Catiline was dragged back </w:t>
      </w:r>
      <w:r w:rsidR="00765AF2">
        <w:rPr>
          <w:color w:val="0099FF"/>
        </w:rPr>
        <w:t>en route</w:t>
      </w:r>
      <w:r w:rsidR="000340B9" w:rsidRPr="00C53D64">
        <w:rPr>
          <w:color w:val="0099FF"/>
        </w:rPr>
        <w:t xml:space="preserve">. </w:t>
      </w:r>
      <w:r w:rsidR="00C53D64">
        <w:rPr>
          <w:color w:val="0099FF"/>
        </w:rPr>
        <w:t>Since he said</w:t>
      </w:r>
      <w:r w:rsidR="000340B9" w:rsidRPr="00C53D64">
        <w:rPr>
          <w:color w:val="0099FF"/>
        </w:rPr>
        <w:t xml:space="preserve"> that he would make a declaration abou</w:t>
      </w:r>
      <w:r w:rsidR="00B8077D" w:rsidRPr="00C53D64">
        <w:rPr>
          <w:color w:val="0099FF"/>
        </w:rPr>
        <w:t xml:space="preserve">t the </w:t>
      </w:r>
      <w:r w:rsidR="000340B9" w:rsidRPr="00C53D64">
        <w:rPr>
          <w:color w:val="0099FF"/>
        </w:rPr>
        <w:t xml:space="preserve">conjuration, if a public pledge of impunity would be given, </w:t>
      </w:r>
      <w:r w:rsidR="00B8077D" w:rsidRPr="00C53D64">
        <w:rPr>
          <w:color w:val="0099FF"/>
        </w:rPr>
        <w:t xml:space="preserve">having been ordered by the consul that he should declare what </w:t>
      </w:r>
      <w:r w:rsidR="00C53D64">
        <w:rPr>
          <w:color w:val="0099FF"/>
        </w:rPr>
        <w:t>he knew</w:t>
      </w:r>
      <w:r w:rsidR="00B8077D" w:rsidRPr="00C53D64">
        <w:rPr>
          <w:color w:val="0099FF"/>
        </w:rPr>
        <w:t xml:space="preserve">, </w:t>
      </w:r>
      <w:r w:rsidR="00C53D64">
        <w:rPr>
          <w:color w:val="0099FF"/>
        </w:rPr>
        <w:t xml:space="preserve">he informs </w:t>
      </w:r>
      <w:r w:rsidR="00B8077D" w:rsidRPr="00C53D64">
        <w:rPr>
          <w:color w:val="0099FF"/>
        </w:rPr>
        <w:t xml:space="preserve">the </w:t>
      </w:r>
      <w:r w:rsidR="00C53D64">
        <w:rPr>
          <w:color w:val="0099FF"/>
        </w:rPr>
        <w:t xml:space="preserve">senate of almost the </w:t>
      </w:r>
      <w:r w:rsidR="00B8077D" w:rsidRPr="00C53D64">
        <w:rPr>
          <w:color w:val="0099FF"/>
        </w:rPr>
        <w:t xml:space="preserve">same </w:t>
      </w:r>
      <w:r w:rsidR="00C53D64">
        <w:rPr>
          <w:color w:val="0099FF"/>
        </w:rPr>
        <w:t xml:space="preserve">(information) </w:t>
      </w:r>
      <w:r w:rsidR="00B8077D" w:rsidRPr="00C53D64">
        <w:rPr>
          <w:color w:val="0099FF"/>
        </w:rPr>
        <w:t>as Volturcius</w:t>
      </w:r>
      <w:r w:rsidR="003403DE" w:rsidRPr="00C53D64">
        <w:rPr>
          <w:color w:val="0099FF"/>
        </w:rPr>
        <w:t xml:space="preserve"> </w:t>
      </w:r>
      <w:r w:rsidR="00B8077D" w:rsidRPr="00C53D64">
        <w:rPr>
          <w:color w:val="0099FF"/>
        </w:rPr>
        <w:t xml:space="preserve">about the </w:t>
      </w:r>
      <w:r w:rsidR="00765AF2">
        <w:rPr>
          <w:color w:val="0099FF"/>
        </w:rPr>
        <w:t>fires that were prepared</w:t>
      </w:r>
      <w:r w:rsidR="00B8077D" w:rsidRPr="00C53D64">
        <w:rPr>
          <w:color w:val="0099FF"/>
        </w:rPr>
        <w:t xml:space="preserve">, about the slaughter of good men, about the </w:t>
      </w:r>
      <w:r w:rsidR="00765AF2">
        <w:rPr>
          <w:color w:val="0099FF"/>
        </w:rPr>
        <w:t>itinerary</w:t>
      </w:r>
      <w:r w:rsidR="00790BC8" w:rsidRPr="00C53D64">
        <w:rPr>
          <w:color w:val="0099FF"/>
        </w:rPr>
        <w:t xml:space="preserve"> of the enemy; moreover </w:t>
      </w:r>
      <w:r w:rsidR="00765AF2">
        <w:rPr>
          <w:color w:val="0099FF"/>
        </w:rPr>
        <w:t xml:space="preserve">that he himself was sent to tell Catiline not to let the capture of </w:t>
      </w:r>
      <w:r w:rsidR="00790BC8" w:rsidRPr="00C53D64">
        <w:rPr>
          <w:color w:val="0099FF"/>
        </w:rPr>
        <w:t xml:space="preserve">Letulus and Cethegus </w:t>
      </w:r>
      <w:r w:rsidR="00765AF2">
        <w:rPr>
          <w:color w:val="0099FF"/>
        </w:rPr>
        <w:t>and the others</w:t>
      </w:r>
      <w:r w:rsidR="00790BC8" w:rsidRPr="00C53D64">
        <w:rPr>
          <w:color w:val="0099FF"/>
        </w:rPr>
        <w:t xml:space="preserve"> from the conjuration </w:t>
      </w:r>
      <w:r w:rsidR="00765AF2">
        <w:rPr>
          <w:color w:val="0099FF"/>
        </w:rPr>
        <w:t>to frighten him</w:t>
      </w:r>
      <w:r w:rsidR="00790BC8" w:rsidRPr="00C53D64">
        <w:rPr>
          <w:color w:val="0099FF"/>
        </w:rPr>
        <w:t xml:space="preserve">, and by that much the more </w:t>
      </w:r>
      <w:r w:rsidR="00765AF2">
        <w:rPr>
          <w:color w:val="0099FF"/>
        </w:rPr>
        <w:t xml:space="preserve">he should make haste </w:t>
      </w:r>
      <w:r w:rsidR="00790BC8" w:rsidRPr="00C53D64">
        <w:rPr>
          <w:color w:val="0099FF"/>
        </w:rPr>
        <w:t xml:space="preserve">to reach the city, </w:t>
      </w:r>
      <w:r w:rsidR="003403DE" w:rsidRPr="00C53D64">
        <w:rPr>
          <w:color w:val="0099FF"/>
        </w:rPr>
        <w:t xml:space="preserve">in order that he might both revive the hearts of the others and that they might be easier rescued from </w:t>
      </w:r>
      <w:commentRangeStart w:id="9"/>
      <w:r w:rsidR="003403DE" w:rsidRPr="00C53D64">
        <w:rPr>
          <w:color w:val="0099FF"/>
        </w:rPr>
        <w:t>danger</w:t>
      </w:r>
      <w:commentRangeEnd w:id="9"/>
      <w:r w:rsidR="005C2C0E">
        <w:rPr>
          <w:rStyle w:val="CommentReference"/>
        </w:rPr>
        <w:commentReference w:id="9"/>
      </w:r>
      <w:r w:rsidR="003403DE" w:rsidRPr="00C53D64">
        <w:rPr>
          <w:color w:val="0099FF"/>
        </w:rPr>
        <w:t xml:space="preserve">. </w:t>
      </w:r>
      <w:r w:rsidR="00790BC8" w:rsidRPr="00C53D64">
        <w:rPr>
          <w:color w:val="0099FF"/>
        </w:rPr>
        <w:t xml:space="preserve"> </w:t>
      </w:r>
    </w:p>
    <w:sectPr w:rsidR="00D01911" w:rsidRPr="00C53D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Magdalena Ohrman" w:date="2019-04-02T15:15:00Z" w:initials="MO">
    <w:p w14:paraId="2701C609" w14:textId="3A003A0F" w:rsidR="0025586D" w:rsidRDefault="0025586D">
      <w:pPr>
        <w:pStyle w:val="CommentText"/>
      </w:pPr>
      <w:r>
        <w:rPr>
          <w:rStyle w:val="CommentReference"/>
        </w:rPr>
        <w:annotationRef/>
      </w:r>
      <w:r>
        <w:t>Condiciones and praemia both in the accusative, so ‘conditions and rewards of [the] war’</w:t>
      </w:r>
    </w:p>
  </w:comment>
  <w:comment w:id="1" w:author="Magdalena Ohrman" w:date="2019-04-02T15:17:00Z" w:initials="MO">
    <w:p w14:paraId="21EFF73C" w14:textId="14F199AE" w:rsidR="00BE62BC" w:rsidRDefault="00BE62BC">
      <w:pPr>
        <w:pStyle w:val="CommentText"/>
      </w:pPr>
      <w:r>
        <w:rPr>
          <w:rStyle w:val="CommentReference"/>
        </w:rPr>
        <w:annotationRef/>
      </w:r>
      <w:r>
        <w:t xml:space="preserve">You need agreement here. The easiest solution is to simply say ‘omnia’ using the general n pl, and leave ‘res’ out. </w:t>
      </w:r>
    </w:p>
  </w:comment>
  <w:comment w:id="2" w:author="Magdalena Ohrman" w:date="2019-04-02T15:18:00Z" w:initials="MO">
    <w:p w14:paraId="13A172EB" w14:textId="1EA4AC51" w:rsidR="00BE62BC" w:rsidRDefault="00BE62BC">
      <w:pPr>
        <w:pStyle w:val="CommentText"/>
      </w:pPr>
      <w:r>
        <w:rPr>
          <w:rStyle w:val="CommentReference"/>
        </w:rPr>
        <w:annotationRef/>
      </w:r>
      <w:r>
        <w:t xml:space="preserve">You could also go for a pluperfect here. </w:t>
      </w:r>
    </w:p>
  </w:comment>
  <w:comment w:id="3" w:author="Magdalena Ohrman" w:date="2019-04-02T15:18:00Z" w:initials="MO">
    <w:p w14:paraId="2E736902" w14:textId="635E3E5E" w:rsidR="00BE62BC" w:rsidRDefault="00BE62BC">
      <w:pPr>
        <w:pStyle w:val="CommentText"/>
      </w:pPr>
      <w:r>
        <w:rPr>
          <w:rStyle w:val="CommentReference"/>
        </w:rPr>
        <w:annotationRef/>
      </w:r>
      <w:r>
        <w:t xml:space="preserve">Claras agrees with res, but not with omnia, as does eas. </w:t>
      </w:r>
    </w:p>
  </w:comment>
  <w:comment w:id="4" w:author="Magdalena Ohrman" w:date="2019-04-02T15:19:00Z" w:initials="MO">
    <w:p w14:paraId="5359AA25" w14:textId="1C63E40F" w:rsidR="00F4420E" w:rsidRDefault="00F4420E">
      <w:pPr>
        <w:pStyle w:val="CommentText"/>
      </w:pPr>
      <w:r>
        <w:rPr>
          <w:rStyle w:val="CommentReference"/>
        </w:rPr>
        <w:annotationRef/>
      </w:r>
      <w:r>
        <w:t xml:space="preserve">You need an imperfect subjunctive in the ne-clause. </w:t>
      </w:r>
    </w:p>
  </w:comment>
  <w:comment w:id="5" w:author="Magdalena Ohrman" w:date="2019-04-02T15:21:00Z" w:initials="MO">
    <w:p w14:paraId="2966873A" w14:textId="73D85185" w:rsidR="002D1B48" w:rsidRDefault="002D1B48">
      <w:pPr>
        <w:pStyle w:val="CommentText"/>
      </w:pPr>
      <w:r>
        <w:rPr>
          <w:rStyle w:val="CommentReference"/>
        </w:rPr>
        <w:annotationRef/>
      </w:r>
      <w:r>
        <w:t>Good use of the abl abs.</w:t>
      </w:r>
    </w:p>
  </w:comment>
  <w:comment w:id="6" w:author="Magdalena Ohrman" w:date="2019-04-02T15:20:00Z" w:initials="MO">
    <w:p w14:paraId="43A19B97" w14:textId="46DD0DC8" w:rsidR="002D1B48" w:rsidRDefault="002D1B48">
      <w:pPr>
        <w:pStyle w:val="CommentText"/>
      </w:pPr>
      <w:r>
        <w:rPr>
          <w:rStyle w:val="CommentReference"/>
        </w:rPr>
        <w:annotationRef/>
      </w:r>
      <w:r>
        <w:t xml:space="preserve">You need an added reflexive ‘se’ here / they withdrew themselves. </w:t>
      </w:r>
    </w:p>
  </w:comment>
  <w:comment w:id="7" w:author="Magdalena Ohrman" w:date="2019-04-02T15:21:00Z" w:initials="MO">
    <w:p w14:paraId="4CBC5659" w14:textId="4D8FCE96" w:rsidR="002D1B48" w:rsidRDefault="002D1B48">
      <w:pPr>
        <w:pStyle w:val="CommentText"/>
      </w:pPr>
      <w:r>
        <w:rPr>
          <w:rStyle w:val="CommentReference"/>
        </w:rPr>
        <w:annotationRef/>
      </w:r>
      <w:r>
        <w:t xml:space="preserve">Yes, indeed. The impersonal construction does not translate, but do note its use. </w:t>
      </w:r>
    </w:p>
  </w:comment>
  <w:comment w:id="8" w:author="Magdalena Ohrman" w:date="2019-04-02T15:22:00Z" w:initials="MO">
    <w:p w14:paraId="20F52324" w14:textId="277A63DF" w:rsidR="002D1B48" w:rsidRDefault="002D1B48">
      <w:pPr>
        <w:pStyle w:val="CommentText"/>
      </w:pPr>
      <w:r>
        <w:rPr>
          <w:rStyle w:val="CommentReference"/>
        </w:rPr>
        <w:annotationRef/>
      </w:r>
      <w:r>
        <w:t>Good work here!!</w:t>
      </w:r>
    </w:p>
  </w:comment>
  <w:comment w:id="9" w:author="Magdalena Ohrman" w:date="2019-04-02T15:28:00Z" w:initials="MO">
    <w:p w14:paraId="5E058AB1" w14:textId="34C957FA" w:rsidR="005C2C0E" w:rsidRDefault="005C2C0E">
      <w:pPr>
        <w:pStyle w:val="CommentText"/>
      </w:pPr>
      <w:r>
        <w:rPr>
          <w:rStyle w:val="CommentReference"/>
        </w:rPr>
        <w:annotationRef/>
      </w:r>
      <w:r>
        <w:t>Good work!</w:t>
      </w:r>
      <w:bookmarkStart w:id="10" w:name="_GoBack"/>
      <w:bookmarkEnd w:id="10"/>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701C609" w15:done="0"/>
  <w15:commentEx w15:paraId="21EFF73C" w15:done="0"/>
  <w15:commentEx w15:paraId="13A172EB" w15:done="0"/>
  <w15:commentEx w15:paraId="2E736902" w15:done="0"/>
  <w15:commentEx w15:paraId="5359AA25" w15:done="0"/>
  <w15:commentEx w15:paraId="2966873A" w15:done="0"/>
  <w15:commentEx w15:paraId="43A19B97" w15:done="0"/>
  <w15:commentEx w15:paraId="4CBC5659" w15:done="0"/>
  <w15:commentEx w15:paraId="20F52324" w15:done="0"/>
  <w15:commentEx w15:paraId="5E058AB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182B69"/>
    <w:multiLevelType w:val="multilevel"/>
    <w:tmpl w:val="435C9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20C2E52"/>
    <w:multiLevelType w:val="multilevel"/>
    <w:tmpl w:val="61E6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agdalena Ohrman">
    <w15:presenceInfo w15:providerId="Windows Live" w15:userId="67ece447b72d7c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6D1"/>
    <w:rsid w:val="000237FD"/>
    <w:rsid w:val="000340B9"/>
    <w:rsid w:val="00114FF5"/>
    <w:rsid w:val="001A3B36"/>
    <w:rsid w:val="001F2728"/>
    <w:rsid w:val="0025586D"/>
    <w:rsid w:val="002D1B48"/>
    <w:rsid w:val="00323A5B"/>
    <w:rsid w:val="003403DE"/>
    <w:rsid w:val="004827E7"/>
    <w:rsid w:val="005C2C0E"/>
    <w:rsid w:val="00666EFF"/>
    <w:rsid w:val="006D71CD"/>
    <w:rsid w:val="00765AF2"/>
    <w:rsid w:val="00790BC8"/>
    <w:rsid w:val="0085710B"/>
    <w:rsid w:val="00B8077D"/>
    <w:rsid w:val="00BE62BC"/>
    <w:rsid w:val="00C306D1"/>
    <w:rsid w:val="00C53D64"/>
    <w:rsid w:val="00CA0168"/>
    <w:rsid w:val="00CD6063"/>
    <w:rsid w:val="00D01911"/>
    <w:rsid w:val="00F4420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D037F"/>
  <w15:chartTrackingRefBased/>
  <w15:docId w15:val="{B4A03AB9-1A43-4FFD-BB81-D8FF6DBE1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06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5586D"/>
    <w:rPr>
      <w:sz w:val="18"/>
      <w:szCs w:val="18"/>
    </w:rPr>
  </w:style>
  <w:style w:type="paragraph" w:styleId="CommentText">
    <w:name w:val="annotation text"/>
    <w:basedOn w:val="Normal"/>
    <w:link w:val="CommentTextChar"/>
    <w:uiPriority w:val="99"/>
    <w:semiHidden/>
    <w:unhideWhenUsed/>
    <w:rsid w:val="0025586D"/>
    <w:pPr>
      <w:spacing w:line="240" w:lineRule="auto"/>
    </w:pPr>
    <w:rPr>
      <w:sz w:val="24"/>
      <w:szCs w:val="24"/>
    </w:rPr>
  </w:style>
  <w:style w:type="character" w:customStyle="1" w:styleId="CommentTextChar">
    <w:name w:val="Comment Text Char"/>
    <w:basedOn w:val="DefaultParagraphFont"/>
    <w:link w:val="CommentText"/>
    <w:uiPriority w:val="99"/>
    <w:semiHidden/>
    <w:rsid w:val="0025586D"/>
    <w:rPr>
      <w:sz w:val="24"/>
      <w:szCs w:val="24"/>
    </w:rPr>
  </w:style>
  <w:style w:type="paragraph" w:styleId="CommentSubject">
    <w:name w:val="annotation subject"/>
    <w:basedOn w:val="CommentText"/>
    <w:next w:val="CommentText"/>
    <w:link w:val="CommentSubjectChar"/>
    <w:uiPriority w:val="99"/>
    <w:semiHidden/>
    <w:unhideWhenUsed/>
    <w:rsid w:val="0025586D"/>
    <w:rPr>
      <w:b/>
      <w:bCs/>
      <w:sz w:val="20"/>
      <w:szCs w:val="20"/>
    </w:rPr>
  </w:style>
  <w:style w:type="character" w:customStyle="1" w:styleId="CommentSubjectChar">
    <w:name w:val="Comment Subject Char"/>
    <w:basedOn w:val="CommentTextChar"/>
    <w:link w:val="CommentSubject"/>
    <w:uiPriority w:val="99"/>
    <w:semiHidden/>
    <w:rsid w:val="0025586D"/>
    <w:rPr>
      <w:b/>
      <w:bCs/>
      <w:sz w:val="20"/>
      <w:szCs w:val="20"/>
    </w:rPr>
  </w:style>
  <w:style w:type="paragraph" w:styleId="BalloonText">
    <w:name w:val="Balloon Text"/>
    <w:basedOn w:val="Normal"/>
    <w:link w:val="BalloonTextChar"/>
    <w:uiPriority w:val="99"/>
    <w:semiHidden/>
    <w:unhideWhenUsed/>
    <w:rsid w:val="0025586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5586D"/>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385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comments" Target="comments.xml"/><Relationship Id="rId6" Type="http://schemas.microsoft.com/office/2011/relationships/commentsExtended" Target="commentsExtended.xml"/><Relationship Id="rId7" Type="http://schemas.openxmlformats.org/officeDocument/2006/relationships/fontTable" Target="fontTable.xml"/><Relationship Id="rId8" Type="http://schemas.microsoft.com/office/2011/relationships/people" Target="peop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790</Words>
  <Characters>4552</Characters>
  <Application>Microsoft Macintosh Word</Application>
  <DocSecurity>0</DocSecurity>
  <Lines>66</Lines>
  <Paragraphs>16</Paragraphs>
  <ScaleCrop>false</ScaleCrop>
  <HeadingPairs>
    <vt:vector size="2" baseType="variant">
      <vt:variant>
        <vt:lpstr>Title</vt:lpstr>
      </vt:variant>
      <vt:variant>
        <vt:i4>1</vt:i4>
      </vt:variant>
    </vt:vector>
  </HeadingPairs>
  <TitlesOfParts>
    <vt:vector size="1" baseType="lpstr">
      <vt:lpstr/>
    </vt:vector>
  </TitlesOfParts>
  <Company>OECD</Company>
  <LinksUpToDate>false</LinksUpToDate>
  <CharactersWithSpaces>5326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 Lucy-Jane, EXD/CSI/TRA</dc:creator>
  <cp:keywords/>
  <dc:description/>
  <cp:lastModifiedBy>Magdalena Ohrman</cp:lastModifiedBy>
  <cp:revision>2</cp:revision>
  <dcterms:created xsi:type="dcterms:W3CDTF">2019-04-02T14:28:00Z</dcterms:created>
  <dcterms:modified xsi:type="dcterms:W3CDTF">2019-04-02T14:28:00Z</dcterms:modified>
</cp:coreProperties>
</file>