
<file path=[Content_Types].xml><?xml version="1.0" encoding="utf-8"?>
<Types xmlns="http://schemas.openxmlformats.org/package/2006/content-types">
  <Default Extension="jpeg" ContentType="image/jpeg"/>
  <Default Extension="JPG" ContentType="image/.jp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50F252B5">
      <w:pPr>
        <w:pStyle w:val="2"/>
        <w:bidi w:val="0"/>
        <w:spacing w:line="600" w:lineRule="auto"/>
        <w:jc w:val="center"/>
        <w:outlineLvl w:val="9"/>
        <w:rPr>
          <w:rFonts w:hint="default" w:ascii="Arial Regular" w:hAnsi="Arial Regular" w:cs="Arial Regular"/>
          <w:sz w:val="24"/>
          <w:szCs w:val="24"/>
          <w:highlight w:val="none"/>
        </w:rPr>
      </w:pPr>
      <w:r>
        <w:rPr>
          <w:rFonts w:hint="default" w:ascii="Arial Regular" w:hAnsi="Arial Regular" w:cs="Arial Regular"/>
          <w:sz w:val="24"/>
          <w:szCs w:val="24"/>
          <w:highlight w:val="none"/>
        </w:rPr>
        <w:drawing>
          <wp:inline distT="0" distB="0" distL="0" distR="0">
            <wp:extent cx="1761490" cy="1066165"/>
            <wp:effectExtent l="0" t="0" r="16510" b="635"/>
            <wp:docPr id="110699166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6991662" name="图片 2"/>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a:xfrm>
                      <a:off x="0" y="0"/>
                      <a:ext cx="1791949" cy="1084746"/>
                    </a:xfrm>
                    <a:prstGeom prst="rect">
                      <a:avLst/>
                    </a:prstGeom>
                    <a:noFill/>
                    <a:ln>
                      <a:noFill/>
                    </a:ln>
                  </pic:spPr>
                </pic:pic>
              </a:graphicData>
            </a:graphic>
          </wp:inline>
        </w:drawing>
      </w:r>
    </w:p>
    <w:p w14:paraId="3F3CCA0D">
      <w:pPr>
        <w:bidi w:val="0"/>
        <w:spacing w:line="600" w:lineRule="auto"/>
        <w:jc w:val="center"/>
        <w:rPr>
          <w:rFonts w:hint="default" w:ascii="Arial Regular" w:hAnsi="Arial Regular" w:cs="Arial Regular"/>
          <w:b/>
          <w:bCs/>
          <w:spacing w:val="-2"/>
          <w:sz w:val="24"/>
          <w:szCs w:val="24"/>
        </w:rPr>
      </w:pPr>
      <w:r>
        <w:rPr>
          <w:rFonts w:hint="default" w:ascii="Arial Regular" w:hAnsi="Arial Regular" w:cs="Arial Regular"/>
          <w:b/>
          <w:bCs/>
          <w:sz w:val="24"/>
          <w:szCs w:val="24"/>
        </w:rPr>
        <w:t>Leading</w:t>
      </w:r>
      <w:r>
        <w:rPr>
          <w:rFonts w:hint="default" w:ascii="Arial Regular" w:hAnsi="Arial Regular" w:cs="Arial Regular"/>
          <w:b/>
          <w:bCs/>
          <w:spacing w:val="-5"/>
          <w:sz w:val="24"/>
          <w:szCs w:val="24"/>
        </w:rPr>
        <w:t xml:space="preserve"> </w:t>
      </w:r>
      <w:r>
        <w:rPr>
          <w:rFonts w:hint="default" w:ascii="Arial Regular" w:hAnsi="Arial Regular" w:cs="Arial Regular"/>
          <w:b/>
          <w:bCs/>
          <w:sz w:val="24"/>
          <w:szCs w:val="24"/>
        </w:rPr>
        <w:t>and</w:t>
      </w:r>
      <w:r>
        <w:rPr>
          <w:rFonts w:hint="default" w:ascii="Arial Regular" w:hAnsi="Arial Regular" w:cs="Arial Regular"/>
          <w:b/>
          <w:bCs/>
          <w:spacing w:val="-7"/>
          <w:sz w:val="24"/>
          <w:szCs w:val="24"/>
        </w:rPr>
        <w:t xml:space="preserve"> </w:t>
      </w:r>
      <w:r>
        <w:rPr>
          <w:rFonts w:hint="default" w:ascii="Arial Regular" w:hAnsi="Arial Regular" w:cs="Arial Regular"/>
          <w:b/>
          <w:bCs/>
          <w:sz w:val="24"/>
          <w:szCs w:val="24"/>
        </w:rPr>
        <w:t>Developing</w:t>
      </w:r>
      <w:r>
        <w:rPr>
          <w:rFonts w:hint="default" w:ascii="Arial Regular" w:hAnsi="Arial Regular" w:cs="Arial Regular"/>
          <w:b/>
          <w:bCs/>
          <w:spacing w:val="-4"/>
          <w:sz w:val="24"/>
          <w:szCs w:val="24"/>
        </w:rPr>
        <w:t xml:space="preserve"> </w:t>
      </w:r>
      <w:r>
        <w:rPr>
          <w:rFonts w:hint="default" w:ascii="Arial Regular" w:hAnsi="Arial Regular" w:cs="Arial Regular"/>
          <w:b/>
          <w:bCs/>
          <w:spacing w:val="-2"/>
          <w:sz w:val="24"/>
          <w:szCs w:val="24"/>
        </w:rPr>
        <w:t>People</w:t>
      </w:r>
    </w:p>
    <w:p w14:paraId="73505B90">
      <w:pPr>
        <w:bidi w:val="0"/>
        <w:spacing w:line="600" w:lineRule="auto"/>
        <w:jc w:val="center"/>
        <w:rPr>
          <w:rFonts w:hint="default" w:ascii="Arial Regular" w:hAnsi="Arial Regular" w:cs="Arial Regular"/>
          <w:b/>
          <w:bCs/>
          <w:spacing w:val="-2"/>
          <w:sz w:val="24"/>
          <w:szCs w:val="24"/>
          <w:lang w:val="en-US" w:eastAsia="zh-CN"/>
        </w:rPr>
      </w:pPr>
    </w:p>
    <w:p w14:paraId="3A1912E9">
      <w:pPr>
        <w:bidi w:val="0"/>
        <w:spacing w:line="600" w:lineRule="auto"/>
        <w:jc w:val="center"/>
        <w:rPr>
          <w:rFonts w:hint="default" w:ascii="Arial Regular" w:hAnsi="Arial Regular" w:cs="Arial Regular"/>
          <w:b/>
          <w:bCs/>
          <w:sz w:val="24"/>
          <w:szCs w:val="24"/>
          <w:lang w:val="en-US" w:eastAsia="zh-CN"/>
        </w:rPr>
      </w:pPr>
      <w:bookmarkStart w:id="0" w:name="_Toc1687777662"/>
      <w:bookmarkStart w:id="1" w:name="_Toc1154311408"/>
      <w:r>
        <w:rPr>
          <w:rFonts w:hint="default" w:ascii="Arial Regular" w:hAnsi="Arial Regular" w:cs="Arial Regular"/>
          <w:b/>
          <w:bCs/>
          <w:sz w:val="24"/>
          <w:szCs w:val="24"/>
          <w:lang w:val="en-US" w:eastAsia="zh-CN"/>
        </w:rPr>
        <w:t>Student name: Kaiyi Yan</w:t>
      </w:r>
      <w:bookmarkEnd w:id="0"/>
      <w:bookmarkEnd w:id="1"/>
    </w:p>
    <w:p w14:paraId="1DD02D60">
      <w:pPr>
        <w:bidi w:val="0"/>
        <w:spacing w:line="600" w:lineRule="auto"/>
        <w:jc w:val="center"/>
        <w:rPr>
          <w:rFonts w:hint="default" w:ascii="Arial Regular" w:hAnsi="Arial Regular" w:cs="Arial Regular"/>
          <w:b/>
          <w:bCs/>
          <w:sz w:val="24"/>
          <w:szCs w:val="24"/>
          <w:lang w:val="en-US" w:eastAsia="zh-CN"/>
        </w:rPr>
      </w:pPr>
    </w:p>
    <w:p w14:paraId="7D13BDE8">
      <w:pPr>
        <w:bidi w:val="0"/>
        <w:spacing w:line="600" w:lineRule="auto"/>
        <w:jc w:val="center"/>
        <w:rPr>
          <w:rFonts w:hint="default" w:ascii="Arial Regular" w:hAnsi="Arial Regular" w:cs="Arial Regular"/>
          <w:b/>
          <w:bCs/>
          <w:sz w:val="24"/>
          <w:szCs w:val="24"/>
          <w:lang w:val="en-US" w:eastAsia="zh-CN"/>
        </w:rPr>
      </w:pPr>
      <w:bookmarkStart w:id="2" w:name="_Toc144567258"/>
      <w:bookmarkStart w:id="3" w:name="_Toc367672011"/>
      <w:r>
        <w:rPr>
          <w:rFonts w:hint="default" w:ascii="Arial Regular" w:hAnsi="Arial Regular" w:cs="Arial Regular"/>
          <w:b/>
          <w:bCs/>
          <w:sz w:val="24"/>
          <w:szCs w:val="24"/>
          <w:lang w:val="en-US" w:eastAsia="zh-CN"/>
        </w:rPr>
        <w:t>Student ID number:2405907</w:t>
      </w:r>
      <w:bookmarkEnd w:id="2"/>
      <w:bookmarkEnd w:id="3"/>
    </w:p>
    <w:p w14:paraId="1F8561EB">
      <w:pPr>
        <w:bidi w:val="0"/>
        <w:spacing w:line="600" w:lineRule="auto"/>
        <w:jc w:val="center"/>
        <w:rPr>
          <w:rFonts w:hint="default" w:ascii="Arial Regular" w:hAnsi="Arial Regular" w:cs="Arial Regular"/>
          <w:b/>
          <w:bCs/>
          <w:sz w:val="24"/>
          <w:szCs w:val="24"/>
          <w:lang w:val="en-US" w:eastAsia="zh-CN"/>
        </w:rPr>
      </w:pPr>
    </w:p>
    <w:p w14:paraId="6880559E">
      <w:pPr>
        <w:bidi w:val="0"/>
        <w:spacing w:line="600" w:lineRule="auto"/>
        <w:jc w:val="center"/>
        <w:rPr>
          <w:rFonts w:hint="default" w:ascii="Arial Regular" w:hAnsi="Arial Regular" w:cs="Arial Regular"/>
          <w:b/>
          <w:bCs/>
          <w:sz w:val="24"/>
          <w:szCs w:val="24"/>
          <w:lang w:val="en-US" w:eastAsia="zh-CN"/>
        </w:rPr>
      </w:pPr>
      <w:bookmarkStart w:id="4" w:name="_Toc937900449"/>
      <w:bookmarkStart w:id="5" w:name="_Toc1153036458"/>
      <w:r>
        <w:rPr>
          <w:rFonts w:hint="default" w:ascii="Arial Regular" w:hAnsi="Arial Regular" w:cs="Arial Regular"/>
          <w:b/>
          <w:bCs/>
          <w:sz w:val="24"/>
          <w:szCs w:val="24"/>
          <w:lang w:val="en-US" w:eastAsia="zh-CN"/>
        </w:rPr>
        <w:t>Lecturer：</w:t>
      </w:r>
      <w:bookmarkEnd w:id="4"/>
      <w:bookmarkEnd w:id="5"/>
      <w:r>
        <w:rPr>
          <w:rFonts w:hint="default" w:ascii="Arial Regular" w:hAnsi="Arial Regular" w:cs="Arial Regular"/>
          <w:b/>
          <w:bCs/>
          <w:sz w:val="24"/>
          <w:szCs w:val="24"/>
          <w:lang w:val="en-US" w:eastAsia="zh-CN"/>
        </w:rPr>
        <w:t>Helen  Evans</w:t>
      </w:r>
    </w:p>
    <w:p w14:paraId="677C3B39">
      <w:pPr>
        <w:bidi w:val="0"/>
        <w:spacing w:line="600" w:lineRule="auto"/>
        <w:jc w:val="center"/>
        <w:rPr>
          <w:rFonts w:hint="default" w:ascii="Arial Regular" w:hAnsi="Arial Regular" w:cs="Arial Regular"/>
          <w:b/>
          <w:bCs/>
          <w:sz w:val="24"/>
          <w:szCs w:val="24"/>
          <w:lang w:val="en-US" w:eastAsia="zh-CN"/>
        </w:rPr>
      </w:pPr>
    </w:p>
    <w:p w14:paraId="0CFB6D95">
      <w:pPr>
        <w:bidi w:val="0"/>
        <w:spacing w:line="600" w:lineRule="auto"/>
        <w:jc w:val="center"/>
        <w:rPr>
          <w:rFonts w:hint="default" w:ascii="Arial Regular" w:hAnsi="Arial Regular" w:cs="Arial Regular"/>
          <w:b/>
          <w:bCs/>
          <w:sz w:val="24"/>
          <w:szCs w:val="24"/>
          <w:lang w:val="en-US" w:eastAsia="zh-CN"/>
        </w:rPr>
      </w:pPr>
      <w:bookmarkStart w:id="6" w:name="_Toc191319078"/>
      <w:bookmarkStart w:id="7" w:name="_Toc762877363"/>
      <w:r>
        <w:rPr>
          <w:rFonts w:hint="default" w:ascii="Arial Regular" w:hAnsi="Arial Regular" w:cs="Arial Regular"/>
          <w:b/>
          <w:bCs/>
          <w:sz w:val="24"/>
          <w:szCs w:val="24"/>
          <w:lang w:val="en-US" w:eastAsia="zh-CN"/>
        </w:rPr>
        <w:t>Module code：BMBM60</w:t>
      </w:r>
      <w:bookmarkEnd w:id="6"/>
      <w:bookmarkEnd w:id="7"/>
      <w:r>
        <w:rPr>
          <w:rFonts w:hint="default" w:ascii="Arial Regular" w:hAnsi="Arial Regular" w:cs="Arial Regular"/>
          <w:b/>
          <w:bCs/>
          <w:sz w:val="24"/>
          <w:szCs w:val="24"/>
          <w:lang w:val="en-US" w:eastAsia="zh-CN"/>
        </w:rPr>
        <w:t>23</w:t>
      </w:r>
    </w:p>
    <w:p w14:paraId="11EFC7A8">
      <w:pPr>
        <w:bidi w:val="0"/>
        <w:spacing w:line="600" w:lineRule="auto"/>
        <w:jc w:val="center"/>
        <w:rPr>
          <w:rFonts w:hint="default" w:ascii="Arial Regular" w:hAnsi="Arial Regular" w:cs="Arial Regular"/>
          <w:b/>
          <w:bCs/>
          <w:sz w:val="24"/>
          <w:szCs w:val="24"/>
          <w:lang w:val="en-US" w:eastAsia="zh-CN"/>
        </w:rPr>
      </w:pPr>
    </w:p>
    <w:p w14:paraId="5D564204">
      <w:pPr>
        <w:bidi w:val="0"/>
        <w:spacing w:line="600" w:lineRule="auto"/>
        <w:jc w:val="center"/>
        <w:rPr>
          <w:rFonts w:hint="default" w:ascii="Arial Regular" w:hAnsi="Arial Regular" w:cs="Arial Regular"/>
          <w:b/>
          <w:bCs/>
          <w:sz w:val="24"/>
          <w:szCs w:val="24"/>
          <w:lang w:val="en-US" w:eastAsia="zh-CN"/>
        </w:rPr>
      </w:pPr>
      <w:bookmarkStart w:id="8" w:name="_Toc716724387"/>
      <w:bookmarkStart w:id="9" w:name="_Toc1202467351"/>
      <w:r>
        <w:rPr>
          <w:rFonts w:hint="default" w:ascii="Arial Regular" w:hAnsi="Arial Regular" w:cs="Arial Regular"/>
          <w:b/>
          <w:bCs/>
          <w:sz w:val="24"/>
          <w:szCs w:val="24"/>
          <w:lang w:val="en-US" w:eastAsia="zh-CN"/>
        </w:rPr>
        <w:t>Word count：2125words</w:t>
      </w:r>
      <w:bookmarkEnd w:id="8"/>
      <w:bookmarkEnd w:id="9"/>
    </w:p>
    <w:p w14:paraId="3C4E3A25">
      <w:pPr>
        <w:bidi w:val="0"/>
        <w:spacing w:line="600" w:lineRule="auto"/>
        <w:jc w:val="center"/>
        <w:rPr>
          <w:rFonts w:hint="default" w:ascii="Arial Regular" w:hAnsi="Arial Regular" w:cs="Arial Regular"/>
          <w:b/>
          <w:bCs/>
          <w:sz w:val="24"/>
          <w:szCs w:val="24"/>
          <w:lang w:val="en-US" w:eastAsia="zh-CN"/>
        </w:rPr>
      </w:pPr>
    </w:p>
    <w:p w14:paraId="02A1E9B0">
      <w:pPr>
        <w:bidi w:val="0"/>
        <w:spacing w:line="600" w:lineRule="auto"/>
        <w:jc w:val="center"/>
        <w:rPr>
          <w:rFonts w:hint="default" w:ascii="Arial Regular" w:hAnsi="Arial Regular" w:cs="Arial Regular"/>
          <w:b/>
          <w:bCs/>
          <w:sz w:val="24"/>
          <w:szCs w:val="24"/>
          <w:lang w:val="en-US" w:eastAsia="zh-CN"/>
        </w:rPr>
      </w:pPr>
    </w:p>
    <w:p w14:paraId="55510827">
      <w:pPr>
        <w:bidi w:val="0"/>
        <w:spacing w:line="600" w:lineRule="auto"/>
        <w:jc w:val="center"/>
        <w:rPr>
          <w:rFonts w:hint="default" w:ascii="Arial Regular" w:hAnsi="Arial Regular" w:cs="Arial Regular"/>
          <w:b/>
          <w:bCs/>
          <w:sz w:val="24"/>
          <w:szCs w:val="24"/>
          <w:lang w:val="en-US" w:eastAsia="zh-CN"/>
        </w:rPr>
      </w:pPr>
    </w:p>
    <w:p w14:paraId="03E81ADA">
      <w:pPr>
        <w:pStyle w:val="2"/>
        <w:bidi w:val="0"/>
        <w:spacing w:line="600" w:lineRule="auto"/>
        <w:rPr>
          <w:rFonts w:hint="default" w:ascii="Arial Regular" w:hAnsi="Arial Regular" w:cs="Arial Regular"/>
          <w:b/>
          <w:bCs/>
          <w:sz w:val="24"/>
          <w:szCs w:val="24"/>
          <w:lang w:val="en-US" w:eastAsia="zh-CN"/>
        </w:rPr>
        <w:sectPr>
          <w:pgSz w:w="11906" w:h="16838"/>
          <w:pgMar w:top="1440" w:right="1800" w:bottom="1440" w:left="1800" w:header="851" w:footer="992" w:gutter="0"/>
          <w:cols w:space="425" w:num="1"/>
          <w:docGrid w:type="lines" w:linePitch="312" w:charSpace="0"/>
        </w:sectPr>
      </w:pPr>
    </w:p>
    <w:p w14:paraId="040B7988">
      <w:pPr>
        <w:pStyle w:val="2"/>
        <w:bidi w:val="0"/>
        <w:spacing w:line="600" w:lineRule="auto"/>
        <w:rPr>
          <w:rFonts w:hint="default" w:ascii="Arial Regular" w:hAnsi="Arial Regular" w:cs="Arial Regular"/>
          <w:b/>
          <w:bCs/>
          <w:sz w:val="24"/>
          <w:szCs w:val="24"/>
          <w:lang w:val="en-US" w:eastAsia="zh-CN"/>
        </w:rPr>
      </w:pPr>
      <w:r>
        <w:rPr>
          <w:rFonts w:hint="default" w:ascii="Arial Regular" w:hAnsi="Arial Regular" w:cs="Arial Regular"/>
          <w:b/>
          <w:bCs/>
          <w:sz w:val="24"/>
          <w:szCs w:val="24"/>
          <w:lang w:val="en-US" w:eastAsia="zh-CN"/>
        </w:rPr>
        <w:t>Introduction</w:t>
      </w:r>
    </w:p>
    <w:p w14:paraId="2E94BD81">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Strategic employee development, a systematic approach to enhancing workforce capabilities and leadership in alignment with long-term organizational goals, has become a cornerstone of modern corporate strategy. By integrating training, mentorship, and practical experiences, it aims to bridge skill gaps, boost productivity, and foster innovation, directly addressing challenges posed by rapid technological evolution and dynamic market demands. Theories such as Expectancy Theory and Operant Conditioning underpin its design, emphasizing motivation, feedback, and incremental skill improvement through models like the 70-20-10 framework. Empirical studies, including McKinsey’s findings on financial losses due to skill inefficiencies, highlight its economic imperative, while tech giants like Google and IBM exemplify its success in driving organizational transformation.  </w:t>
      </w:r>
    </w:p>
    <w:p w14:paraId="6167D185">
      <w:pPr>
        <w:spacing w:line="600" w:lineRule="auto"/>
        <w:rPr>
          <w:rFonts w:hint="default" w:ascii="Arial Regular" w:hAnsi="Arial Regular" w:cs="Arial Regular"/>
          <w:sz w:val="24"/>
          <w:szCs w:val="24"/>
          <w:lang w:val="en-US" w:eastAsia="zh-CN"/>
        </w:rPr>
      </w:pPr>
    </w:p>
    <w:p w14:paraId="4C654106">
      <w:pPr>
        <w:spacing w:line="600" w:lineRule="auto"/>
        <w:rPr>
          <w:rFonts w:hint="default" w:ascii="Arial Regular" w:hAnsi="Arial Regular" w:cs="Arial Regular"/>
          <w:sz w:val="24"/>
          <w:szCs w:val="24"/>
          <w:lang w:val="en-US" w:eastAsia="zh-CN"/>
        </w:rPr>
        <w:sectPr>
          <w:pgSz w:w="11906" w:h="16838"/>
          <w:pgMar w:top="1440" w:right="1800" w:bottom="1440" w:left="1800" w:header="851" w:footer="992" w:gutter="0"/>
          <w:cols w:space="425" w:num="1"/>
          <w:docGrid w:type="lines" w:linePitch="312" w:charSpace="0"/>
        </w:sectPr>
      </w:pPr>
      <w:r>
        <w:rPr>
          <w:rFonts w:hint="default" w:ascii="Arial Regular" w:hAnsi="Arial Regular" w:cs="Arial Regular"/>
          <w:sz w:val="24"/>
          <w:szCs w:val="24"/>
          <w:lang w:val="en-US" w:eastAsia="zh-CN"/>
        </w:rPr>
        <w:t>Despite its benefits, implementation faces hurdles such as resource constraints, low engagement, and outdated training methods. Emerging technologies—AI-driven platforms, virtual reality, and mobile learning—offer solutions by enhancing flexibility, personalization, and cost-efficiency. Additionally, leadership development and organizational culture play pivotal roles, as seen in Kotter’s change management model, which stresses alignment between employee growth and strategic vision. Ultimately, strategic employee development transcends HR functions, serving as a critical driver of competitive advantage by cultivating unique, irreplicable human capital, as evidenced by its correlation with improved innovation, customer satisfaction, and financial performance.</w:t>
      </w:r>
    </w:p>
    <w:p w14:paraId="5BFFA015">
      <w:pPr>
        <w:pStyle w:val="2"/>
        <w:bidi w:val="0"/>
        <w:spacing w:line="600" w:lineRule="auto"/>
        <w:rPr>
          <w:rFonts w:hint="default" w:ascii="Arial Regular" w:hAnsi="Arial Regular" w:cs="Arial Regular"/>
          <w:b/>
          <w:bCs/>
          <w:sz w:val="24"/>
          <w:szCs w:val="24"/>
          <w:lang w:val="en-US" w:eastAsia="zh-CN"/>
        </w:rPr>
      </w:pPr>
      <w:r>
        <w:rPr>
          <w:rFonts w:hint="default" w:ascii="Arial Regular" w:hAnsi="Arial Regular" w:cs="Arial Regular"/>
          <w:b/>
          <w:bCs/>
          <w:sz w:val="24"/>
          <w:szCs w:val="24"/>
          <w:lang w:val="en-US" w:eastAsia="zh-CN"/>
        </w:rPr>
        <w:t>An Analysis of the Importance of Strategic Employee Development in Enhancing the Effectiveness of Employees and Leaders</w:t>
      </w:r>
    </w:p>
    <w:p w14:paraId="78A9715F">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Strategic employee development refers to the activities for enhancing employee skills and cultivating leadership that enterprises systematically plan and implement based on their long-term strategic goals. The core lies in enhancing employees' capabilities and performance through various means such as training, guidance, and practical opportunities, thereby promoting the overall efficiency improvement of the organization (Edstellar, 2024). Employee development not only encompasses the improvement of technical skills, but also includes the cultivation of soft skills such as leadership, communication skills, innovation ability and emotional intelligence. These are all key capabilities for modern enterprises to cope with complex and ever-changing environments. The significance of strategic employee development is first reflected in its direct promotion of the effectiveness of employees and leaders. According to a study by McKinsey, skills gaps and inefficiencies may cause large enterprises to lose hundreds of millions of dollars each year. However, through systematic employee development programs, enterprises can significantly enhance employee engagement and productivity (Great Place to Work, 2025). Furthermore, the integration of employee development and performance management helps establish clear performance expectations and feedback mechanisms, motivating employees to continuously improve and fostering a high-performance culture.</w:t>
      </w:r>
    </w:p>
    <w:p w14:paraId="12B6184C">
      <w:pPr>
        <w:spacing w:line="600" w:lineRule="auto"/>
        <w:rPr>
          <w:rFonts w:hint="default" w:ascii="Arial Regular" w:hAnsi="Arial Regular" w:cs="Arial Regular"/>
          <w:sz w:val="24"/>
          <w:szCs w:val="24"/>
          <w:lang w:val="en-US" w:eastAsia="zh-CN"/>
        </w:rPr>
      </w:pPr>
    </w:p>
    <w:p w14:paraId="39CE8014">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From a theoretical perspective, the Expectancy Theory provides an important framework for understanding employees' motivation. This theory points out that an employee's performance is influenced by their perception of their own abilities, behavioral outcomes, and the value of those outcomes. That is, employees believe that efforts will lead to good performance, good performance will bring rewards, and the rewards are valuable to them (Indeed, 2025). Strategic employee development, by enhancing employees' capabilities and clarifying incentive mechanisms, is precisely an effective means to meet this theoretical condition. Meanwhile, Operant Conditioning theory emphasizes promoting the continuous improvement of employees' behaviors through positive incentives and feedback. The performance feedback mechanism in the employee development plan precisely embodies this theory (Skinner, 1953). The Learning Curve Theory emphasizes that as experience accumulates, employee performance will gradually improve. Employee development plans promote the continuous growth of employees' capabilities by designing progressive training and practical opportunities (Indeed, 2025). Classic models such as the 70-20-10 model also emphasize that 70% of learning comes from practical work experience, 20% from feedback and social learning, and 10% from formal training, reflecting the diverse paths of employee development (Edstellar, 2024). These theories jointly support the theoretical basis of strategic employee development for enhancing employee effectiveness.</w:t>
      </w:r>
    </w:p>
    <w:p w14:paraId="0E3D61F9">
      <w:pPr>
        <w:spacing w:line="600" w:lineRule="auto"/>
        <w:rPr>
          <w:rFonts w:hint="default" w:ascii="Arial Regular" w:hAnsi="Arial Regular" w:cs="Arial Regular"/>
          <w:sz w:val="24"/>
          <w:szCs w:val="24"/>
          <w:lang w:val="en-US" w:eastAsia="zh-CN"/>
        </w:rPr>
      </w:pPr>
    </w:p>
    <w:p w14:paraId="16D2385F">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Strategic employee development plays a significant role in meeting organizational needs and achieving competitive advantages. Firstly, it helps enterprises address skills shortages and rapidly changing market demands, maintaining the modernity and adaptability of employees' skills through continuous training and retraining (Chronus, 2025). Against the backdrop of rapid technological iteration, if employees fail to update their knowledge and skills in a timely manner, enterprises will face the risks of a decline in innovation capabilities and a sluggish market response. Secondly, employee development enhances employee satisfaction and loyalty and reduces the high cost of employee turnover. According to statistics, the cost of employee turnover can be as high as 200% of their annual salary, while providing a clear career development path and growth opportunities can significantly improve the employee retention rate (Great Place to Work, 2025). Employees feel that the organization values their growth and are more willing to contribute to the enterprise in the long term. Thirdly, by fostering internal potential stocks and future leaders, enterprises can reduce their reliance on external recruitment, lower recruitment costs, and at the same time maintain the inheritance of organizational culture and values (WorkRamp, 2023). Internal promotion not only enhances the stability of the leadership, but also strengthens employees' sense of belonging and identity. In addition, strategic employee development promotes innovation and organizational change capabilities, enhancing the enterprise's competitiveness and market response speed in the industry. Through continuous learning and practice, employees can propose innovative solutions, promote process optimization and product upgrading, and support the enterprise to stand out in the fierce competition.</w:t>
      </w:r>
    </w:p>
    <w:p w14:paraId="327A2832">
      <w:pPr>
        <w:spacing w:line="600" w:lineRule="auto"/>
        <w:rPr>
          <w:rFonts w:hint="default" w:ascii="Arial Regular" w:hAnsi="Arial Regular" w:cs="Arial Regular"/>
          <w:sz w:val="24"/>
          <w:szCs w:val="24"/>
          <w:lang w:val="en-US" w:eastAsia="zh-CN"/>
        </w:rPr>
      </w:pPr>
    </w:p>
    <w:p w14:paraId="7CAD0152">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However, implementing a strategic employee development plan faces many challenges. Resource limitations are one of the main obstacles. Especially, small and medium-sized enterprises find it difficult to bear the high training costs and time costs (Moodle, 2025). Training requires a large investment of human, material and financial resources, and the training effect is difficult to be immediate, resulting in insufficient investment in employee development by some enterprises. Insufficient employee participation is also a common problem. Some employees regard training as a burden and lack intrinsic motivation (Moodle, 2025). This might stem from the disconnection between the training content and the actual job requirements, or the lack of an incentive mechanism. Unreasonable design and lack of personalization of the training content will also reduce the learning effect. In addition, factors such as poor communication, inconvenient training time and location, insufficient self-confidence of employees, and physical or mental health problems have all limited the popularity and effectiveness of training (Working Well Trust, 2024). For instance, if employees feel that the training content is overly complex or difficult to understand, they are prone to frustration, which can affect their enthusiasm for learning. To address these challenges, enterprises can leverage modern technological means such as learning management systems (LMS), online learning platforms, virtual reality (VR), and artificial intelligence (AI) to enhance the flexibility, interactivity, and personalization of training, reduce costs, and increase employee engagement (Edstellar, 2024;) WorkRamp, 2023. Introducing gamification elements and social learning mechanisms also helps to stimulate employees' interest in learning and continuous engagement (Moodle, 2025). In addition, enterprises should enhance the analysis of training needs to ensure that the training content is in line with the actual work and career development needs of employees, and improve the pertinence and practicality of the training.</w:t>
      </w:r>
    </w:p>
    <w:p w14:paraId="3BA42D06">
      <w:pPr>
        <w:spacing w:line="600" w:lineRule="auto"/>
        <w:rPr>
          <w:rFonts w:hint="default" w:ascii="Arial Regular" w:hAnsi="Arial Regular" w:cs="Arial Regular"/>
          <w:sz w:val="24"/>
          <w:szCs w:val="24"/>
          <w:lang w:val="en-US" w:eastAsia="zh-CN"/>
        </w:rPr>
      </w:pPr>
    </w:p>
    <w:p w14:paraId="1032DF69">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The role of technology in employee development is becoming increasingly prominent. Traditional face-to-face training has gradually been replaced by emerging technologies such as online learning, virtual reality simulation, and artificial intelligence personalized recommendation (Edstellar, 2024). These technologies not only break through the limitations of time and space, but also achieve real-time monitoring and optimization of training effects through data analysis, enhancing the pertinence and efficiency of training. For instance, AI-driven learning platforms can recommend the most suitable courses and content based on employees' learning progress and interests, enhancing the learning experience and knowledge absorption (Edstellar, 2024). In addition, virtual reality technology provides employees with an immersive practical environment, which is particularly suitable for complex skills and leadership training, enhancing the practical application ability of learning (Edstellar, 2024). Big data analysis technology can also help enterprises identify skill gaps, design personalized development paths, and optimize resource allocation (Chronus, 2025). Mobile learning (m-learning) enables employees to study anytime and anywhere, greatly enhancing the flexibility and coverage of learning (WorkRamp, 2023). However, the application of technology also brings new challenges, such as the digital divide, differences in technology acceptance and privacy and security issues. Enterprises need to formulate corresponding strategies to deal with them.</w:t>
      </w:r>
    </w:p>
    <w:p w14:paraId="6BDB941D">
      <w:pPr>
        <w:spacing w:line="600" w:lineRule="auto"/>
        <w:rPr>
          <w:rFonts w:hint="default" w:ascii="Arial Regular" w:hAnsi="Arial Regular" w:cs="Arial Regular"/>
          <w:sz w:val="24"/>
          <w:szCs w:val="24"/>
          <w:lang w:val="en-US" w:eastAsia="zh-CN"/>
        </w:rPr>
      </w:pPr>
    </w:p>
    <w:p w14:paraId="55638E4E">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The development of leadership is a key component in strategic employee development. Leadership theories such as Transformational Leadership emphasize achieving organizational change and performance improvement by motivating and stimulating the potential of employees (Bass, 1985). Strategic employee development helps leaders master effective communication, motivation, decision-making and conflict management skills through systematic leadership training and practical opportunities, and enhances their ability to lead teams to address complex challenges (Chronus, 2025). Furthermore, the Situational Leadership Theory points out that leaders should adjust their leadership styles according to the abilities and willingness of employees. Strategic development plans enhance the ability of leaders to identify and respond to differences among employees. Promote personalized management (Hersey &amp; Blanchard, 1969). Leaders play the role of a bridge and catalyst in promoting the development of employees. The complexity lies in the need to balance organizational goals with employee needs, coordinate the interests of multiple parties, and stimulate teamwork and innovation. Leadership development not only focuses on skill cultivation but also emphasizes the shaping of values and the transmission of culture, ensuring that leaders possess strategic vision and the ability to change (Edstellar, 2024). For instance, tech giants such as Google and Microsoft have successfully cultivated multiple generations of outstanding leaders through leadership development programs, promoting continuous innovation and global expansion of their enterprises (Chronus, 2025).</w:t>
      </w:r>
    </w:p>
    <w:p w14:paraId="1F8CB8FC">
      <w:pPr>
        <w:spacing w:line="600" w:lineRule="auto"/>
        <w:rPr>
          <w:rFonts w:hint="default" w:ascii="Arial Regular" w:hAnsi="Arial Regular" w:cs="Arial Regular"/>
          <w:sz w:val="24"/>
          <w:szCs w:val="24"/>
          <w:lang w:val="en-US" w:eastAsia="zh-CN"/>
        </w:rPr>
      </w:pPr>
    </w:p>
    <w:p w14:paraId="1F5D1D63">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In addition, the strategic implementation of employee development also needs to take into account organizational culture and change management. Organizational culture has a profound influence on employees' learning attitudes and behaviors. A cultural environment that supports learning and innovation can promote employees' active participation in development activities (Schein, 2010). Change management theories such as Kotter's eight-step change model (Kotter, 1996) emphasize that a successful employee development plan needs to be combined with effective change promotion strategies, including establishing a sense of urgency, forming guidance alliances, formulating visions, communicating visions, empowering actions, creating short-term victories, consolidating achievements and institutionalizing new methods. When enterprises promote employee development, they should focus on cultural shaping and change management to ensure that employees understand and support the development goals, thus forming a virtuous cycle.</w:t>
      </w:r>
    </w:p>
    <w:p w14:paraId="25F22BCF">
      <w:pPr>
        <w:spacing w:line="600" w:lineRule="auto"/>
        <w:rPr>
          <w:rFonts w:hint="default" w:ascii="Arial Regular" w:hAnsi="Arial Regular" w:cs="Arial Regular"/>
          <w:sz w:val="24"/>
          <w:szCs w:val="24"/>
          <w:lang w:val="en-US" w:eastAsia="zh-CN"/>
        </w:rPr>
      </w:pPr>
    </w:p>
    <w:p w14:paraId="3CDF785E">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Strategic employee development is not only the function of human resource management, but also an important component of the enterprise strategy. The Resource-Based View (RBV) theory points out that the competitive advantage of an enterprise stems from its unique and hard-to-imitate resources and capabilities (Barney, 1991). The knowledge, skills and leadership of employees are precisely the most important strategic resources for an enterprise. Through strategic employee development, enterprises can continuously enhance and update these resources, forming core competitiveness that is difficult to replicate. Empirical research shows that a systematic employee development plan is positively correlated with corporate performance and can enhance innovation capabilities, customer satisfaction, and financial performance (Edstellar, 2024). For instance, through its "talent first" strategy, IBM has continuously invested in employee development and successfully transformed from a hardware manufacturer to a provider of services and software solutions (Chronus, 2025).</w:t>
      </w:r>
    </w:p>
    <w:p w14:paraId="0D82FBE6">
      <w:pPr>
        <w:spacing w:line="600" w:lineRule="auto"/>
        <w:rPr>
          <w:rFonts w:hint="default" w:ascii="Arial Regular" w:hAnsi="Arial Regular" w:cs="Arial Regular"/>
          <w:sz w:val="24"/>
          <w:szCs w:val="24"/>
          <w:lang w:val="en-US" w:eastAsia="zh-CN"/>
        </w:rPr>
      </w:pPr>
    </w:p>
    <w:p w14:paraId="6C90CF86">
      <w:pPr>
        <w:spacing w:line="600" w:lineRule="auto"/>
        <w:rPr>
          <w:rFonts w:hint="default" w:ascii="Arial Regular" w:hAnsi="Arial Regular" w:cs="Arial Regular"/>
          <w:sz w:val="24"/>
          <w:szCs w:val="24"/>
          <w:lang w:val="en-US" w:eastAsia="zh-CN"/>
        </w:rPr>
      </w:pPr>
    </w:p>
    <w:p w14:paraId="4885901F">
      <w:pPr>
        <w:pStyle w:val="2"/>
        <w:bidi w:val="0"/>
        <w:spacing w:line="600" w:lineRule="auto"/>
        <w:rPr>
          <w:rFonts w:hint="default" w:ascii="Arial Bold" w:hAnsi="Arial Bold" w:cs="Arial Bold"/>
          <w:b/>
          <w:bCs/>
          <w:sz w:val="24"/>
          <w:szCs w:val="24"/>
          <w:lang w:val="en-US" w:eastAsia="zh-CN"/>
        </w:rPr>
      </w:pPr>
      <w:r>
        <w:rPr>
          <w:rFonts w:hint="default" w:ascii="Arial Bold" w:hAnsi="Arial Bold" w:cs="Arial Bold"/>
          <w:b/>
          <w:bCs/>
          <w:sz w:val="24"/>
          <w:szCs w:val="24"/>
          <w:lang w:val="en-US" w:eastAsia="zh-CN"/>
        </w:rPr>
        <w:t>Conclusion</w:t>
      </w:r>
    </w:p>
    <w:p w14:paraId="30980CF4">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Strategic employee development has emerged as a cornerstone of organizational success in an era defined by technological disruption and evolving market demands. By systematically aligning workforce capabilities with long-term strategic goals, it not only bridges skill gaps and enhances productivity but also cultivates a culture of innovation and adaptability. Theoretical frameworks such as Expectancy Theory, Operant Conditioning, and the 70-20-10 model provide a robust foundation, emphasizing motivation, feedback, and diverse learning pathways to drive employee and leadership effectiveness.</w:t>
      </w:r>
    </w:p>
    <w:p w14:paraId="2E9F87C8">
      <w:pPr>
        <w:spacing w:line="600" w:lineRule="auto"/>
        <w:rPr>
          <w:rFonts w:hint="default" w:ascii="Arial Regular" w:hAnsi="Arial Regular" w:cs="Arial Regular"/>
          <w:sz w:val="24"/>
          <w:szCs w:val="24"/>
          <w:lang w:val="en-US" w:eastAsia="zh-CN"/>
        </w:rPr>
      </w:pPr>
    </w:p>
    <w:p w14:paraId="691F2D1B">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Empirically, the economic imperative is clear: skill inefficiencies cost enterprises billions annually, while structured development programs significantly boost engagement, retention, and financial performance. For example, companies like Google and IBM demonstrate how investing in leadership and employee growth fuels organizational transformation and competitive advantage. Technological innovations—AI-driven platforms, VR simulations, and mobile learning—address implementation challenges like resource constraints and low engagement by enabling personalized, cost-effective training that fits modern work rhythms.</w:t>
      </w:r>
    </w:p>
    <w:p w14:paraId="3E5549A3">
      <w:pPr>
        <w:spacing w:line="600" w:lineRule="auto"/>
        <w:rPr>
          <w:rFonts w:hint="default" w:ascii="Arial Regular" w:hAnsi="Arial Regular" w:cs="Arial Regular"/>
          <w:sz w:val="24"/>
          <w:szCs w:val="24"/>
          <w:lang w:val="en-US" w:eastAsia="zh-CN"/>
        </w:rPr>
      </w:pPr>
    </w:p>
    <w:p w14:paraId="08351DB6">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However, challenges persist, including resource limitations, misaligned training content, and resistance to change. Overcoming these requires integrating leadership development with organizational culture—via models like Kotter’s change management framework—to ensure strategic vision aligns with employee needs. Leadership itself, rooted in theories like Transformational and Situational Leadership, must evolve to balance team dynamics, foster innovation, and embody organizational values.</w:t>
      </w:r>
    </w:p>
    <w:p w14:paraId="0638F67E">
      <w:pPr>
        <w:spacing w:line="600" w:lineRule="auto"/>
        <w:rPr>
          <w:rFonts w:hint="default" w:ascii="Arial Regular" w:hAnsi="Arial Regular" w:cs="Arial Regular"/>
          <w:sz w:val="24"/>
          <w:szCs w:val="24"/>
          <w:lang w:val="en-US" w:eastAsia="zh-CN"/>
        </w:rPr>
      </w:pPr>
    </w:p>
    <w:p w14:paraId="4CE6E340">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Ultimately, strategic employee development transcends traditional HR functions, serving as a driver of sustainable competitive edge. By treating human capital as a unique, irreplaceable asset—consistent with the Resource-Based View theory—enterprises can build resilience, drive continuous improvement, and achieve long-term success. As demonstrated by industry leaders, its impact on innovation, customer satisfaction, and financial resilience underscores its role as a non-negotiable strategic priority.</w:t>
      </w:r>
    </w:p>
    <w:p w14:paraId="60F553D5">
      <w:pPr>
        <w:spacing w:line="600" w:lineRule="auto"/>
        <w:rPr>
          <w:rFonts w:hint="default" w:ascii="Arial Regular" w:hAnsi="Arial Regular" w:cs="Arial Regular"/>
          <w:sz w:val="24"/>
          <w:szCs w:val="24"/>
          <w:lang w:val="en-US" w:eastAsia="zh-CN"/>
        </w:rPr>
      </w:pPr>
    </w:p>
    <w:p w14:paraId="685295C4">
      <w:pPr>
        <w:spacing w:line="600" w:lineRule="auto"/>
        <w:rPr>
          <w:rFonts w:hint="default" w:ascii="Arial Regular" w:hAnsi="Arial Regular" w:cs="Arial Regular"/>
          <w:sz w:val="24"/>
          <w:szCs w:val="24"/>
          <w:lang w:val="en-US" w:eastAsia="zh-CN"/>
        </w:rPr>
      </w:pPr>
    </w:p>
    <w:p w14:paraId="7EEDB4EF">
      <w:pPr>
        <w:spacing w:line="600" w:lineRule="auto"/>
        <w:rPr>
          <w:rFonts w:hint="default" w:ascii="Arial Regular" w:hAnsi="Arial Regular" w:cs="Arial Regular"/>
          <w:sz w:val="24"/>
          <w:szCs w:val="24"/>
          <w:lang w:val="en-US" w:eastAsia="zh-CN"/>
        </w:rPr>
      </w:pPr>
    </w:p>
    <w:p w14:paraId="371FB4F0">
      <w:pPr>
        <w:spacing w:line="600" w:lineRule="auto"/>
        <w:rPr>
          <w:rFonts w:hint="default" w:ascii="Arial Regular" w:hAnsi="Arial Regular" w:cs="Arial Regular"/>
          <w:sz w:val="24"/>
          <w:szCs w:val="24"/>
          <w:lang w:val="en-US" w:eastAsia="zh-CN"/>
        </w:rPr>
      </w:pPr>
    </w:p>
    <w:p w14:paraId="605E357E">
      <w:pPr>
        <w:spacing w:line="600" w:lineRule="auto"/>
        <w:rPr>
          <w:rFonts w:hint="default" w:ascii="Arial Regular" w:hAnsi="Arial Regular" w:cs="Arial Regular"/>
          <w:sz w:val="24"/>
          <w:szCs w:val="24"/>
          <w:lang w:val="en-US" w:eastAsia="zh-CN"/>
        </w:rPr>
      </w:pPr>
    </w:p>
    <w:p w14:paraId="699C7683">
      <w:pPr>
        <w:spacing w:line="600" w:lineRule="auto"/>
        <w:rPr>
          <w:rFonts w:hint="default" w:ascii="Arial Regular" w:hAnsi="Arial Regular" w:cs="Arial Regular"/>
          <w:sz w:val="24"/>
          <w:szCs w:val="24"/>
          <w:lang w:val="en-US" w:eastAsia="zh-CN"/>
        </w:rPr>
      </w:pPr>
    </w:p>
    <w:p w14:paraId="1077D651">
      <w:pPr>
        <w:spacing w:line="600" w:lineRule="auto"/>
        <w:rPr>
          <w:rFonts w:hint="default" w:ascii="Arial Regular" w:hAnsi="Arial Regular" w:cs="Arial Regular"/>
          <w:sz w:val="24"/>
          <w:szCs w:val="24"/>
          <w:lang w:val="en-US" w:eastAsia="zh-CN"/>
        </w:rPr>
      </w:pPr>
    </w:p>
    <w:p w14:paraId="5741EECB">
      <w:pPr>
        <w:spacing w:line="600" w:lineRule="auto"/>
        <w:rPr>
          <w:rFonts w:hint="default" w:ascii="Arial Regular" w:hAnsi="Arial Regular" w:cs="Arial Regular"/>
          <w:sz w:val="24"/>
          <w:szCs w:val="24"/>
          <w:lang w:val="en-US" w:eastAsia="zh-CN"/>
        </w:rPr>
      </w:pPr>
    </w:p>
    <w:p w14:paraId="2DC3B9B3">
      <w:pPr>
        <w:spacing w:line="600" w:lineRule="auto"/>
        <w:rPr>
          <w:rFonts w:hint="default" w:ascii="Arial Regular" w:hAnsi="Arial Regular" w:cs="Arial Regular"/>
          <w:sz w:val="24"/>
          <w:szCs w:val="24"/>
          <w:lang w:val="en-US" w:eastAsia="zh-CN"/>
        </w:rPr>
      </w:pPr>
    </w:p>
    <w:p w14:paraId="01319AD8">
      <w:pPr>
        <w:spacing w:line="600" w:lineRule="auto"/>
        <w:rPr>
          <w:rFonts w:hint="default" w:ascii="Arial Regular" w:hAnsi="Arial Regular" w:cs="Arial Regular"/>
          <w:sz w:val="24"/>
          <w:szCs w:val="24"/>
          <w:lang w:val="en-US" w:eastAsia="zh-CN"/>
        </w:rPr>
      </w:pPr>
    </w:p>
    <w:p w14:paraId="4FFB8400">
      <w:pPr>
        <w:spacing w:line="600" w:lineRule="auto"/>
        <w:rPr>
          <w:rFonts w:hint="default" w:ascii="Arial Regular" w:hAnsi="Arial Regular" w:cs="Arial Regular"/>
          <w:sz w:val="24"/>
          <w:szCs w:val="24"/>
          <w:lang w:val="en-US" w:eastAsia="zh-CN"/>
        </w:rPr>
      </w:pPr>
    </w:p>
    <w:p w14:paraId="2456622A">
      <w:pPr>
        <w:spacing w:line="600" w:lineRule="auto"/>
        <w:rPr>
          <w:rFonts w:hint="default" w:ascii="Arial Regular" w:hAnsi="Arial Regular" w:cs="Arial Regular"/>
          <w:sz w:val="24"/>
          <w:szCs w:val="24"/>
          <w:lang w:val="en-US" w:eastAsia="zh-CN"/>
        </w:rPr>
      </w:pPr>
      <w:bookmarkStart w:id="10" w:name="_GoBack"/>
      <w:bookmarkEnd w:id="10"/>
    </w:p>
    <w:p w14:paraId="6B0A0542">
      <w:pPr>
        <w:spacing w:line="600" w:lineRule="auto"/>
        <w:rPr>
          <w:rFonts w:hint="default" w:ascii="Arial Regular" w:hAnsi="Arial Regular" w:cs="Arial Regular"/>
          <w:sz w:val="24"/>
          <w:szCs w:val="24"/>
          <w:lang w:val="en-US" w:eastAsia="zh-CN"/>
        </w:rPr>
      </w:pPr>
    </w:p>
    <w:p w14:paraId="2D7BAE25">
      <w:pPr>
        <w:spacing w:line="600" w:lineRule="auto"/>
        <w:rPr>
          <w:rFonts w:hint="default" w:ascii="Arial Regular" w:hAnsi="Arial Regular" w:cs="Arial Regular"/>
          <w:sz w:val="24"/>
          <w:szCs w:val="24"/>
          <w:lang w:val="en-US" w:eastAsia="zh-CN"/>
        </w:rPr>
      </w:pPr>
    </w:p>
    <w:p w14:paraId="1D2742B0">
      <w:pPr>
        <w:spacing w:line="600" w:lineRule="auto"/>
        <w:rPr>
          <w:rFonts w:hint="default" w:ascii="Arial Regular" w:hAnsi="Arial Regular" w:cs="Arial Regular"/>
          <w:sz w:val="24"/>
          <w:szCs w:val="24"/>
          <w:lang w:val="en-US" w:eastAsia="zh-CN"/>
        </w:rPr>
      </w:pPr>
    </w:p>
    <w:p w14:paraId="702F4A09">
      <w:pPr>
        <w:pStyle w:val="2"/>
        <w:bidi w:val="0"/>
        <w:spacing w:line="600" w:lineRule="auto"/>
        <w:rPr>
          <w:rFonts w:hint="default" w:ascii="Arial Regular" w:hAnsi="Arial Regular" w:cs="Arial Regular"/>
          <w:sz w:val="24"/>
          <w:szCs w:val="24"/>
          <w:lang w:val="en-US" w:eastAsia="zh-CN"/>
        </w:rPr>
      </w:pPr>
      <w:r>
        <w:rPr>
          <w:rFonts w:hint="default" w:ascii="Arial Regular" w:hAnsi="Arial Regular" w:cs="Arial Regular"/>
          <w:b/>
          <w:bCs/>
          <w:sz w:val="24"/>
          <w:szCs w:val="24"/>
          <w:lang w:val="en-US" w:eastAsia="zh-CN"/>
        </w:rPr>
        <w:t>Reference</w:t>
      </w:r>
    </w:p>
    <w:p w14:paraId="557C31FF">
      <w:pPr>
        <w:spacing w:line="600" w:lineRule="auto"/>
        <w:rPr>
          <w:rFonts w:hint="default" w:ascii="Arial Regular" w:hAnsi="Arial Regular" w:cs="Arial Regular"/>
          <w:sz w:val="24"/>
          <w:szCs w:val="24"/>
          <w:lang w:val="en-US" w:eastAsia="zh-CN"/>
        </w:rPr>
      </w:pPr>
    </w:p>
    <w:p w14:paraId="66A318BE">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Aidara, S., Mamun, A.A., Nasir, N.A.M., Mohiuddin, M., Nawi, N.C. and Zainol, N.R. (2021). Competitive Advantages of the Relationship between Entrepreneurial Competencies and Economic Sustainability Performance. Sustainability, 13(2), p.864. doi:https://doi.org/10.3390/su13020864.</w:t>
      </w:r>
    </w:p>
    <w:p w14:paraId="155EBB5D">
      <w:pPr>
        <w:spacing w:line="600" w:lineRule="auto"/>
        <w:rPr>
          <w:rFonts w:hint="default" w:ascii="Arial Regular" w:hAnsi="Arial Regular" w:cs="Arial Regular"/>
          <w:sz w:val="24"/>
          <w:szCs w:val="24"/>
          <w:lang w:val="en-US" w:eastAsia="zh-CN"/>
        </w:rPr>
      </w:pPr>
    </w:p>
    <w:p w14:paraId="7944F215">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Amjad, F., Abbas, W., Zia-UR-Rehman, M., Baig, S.A., Hashim, M., Khan, A. and Rehman, H. - (2021). Effect of Green Human Resource Management Practices on Organizational sustainability: the Mediating Role of Environmental and Employee Performance. Environmental Science and Pollution Research, 28(22).</w:t>
      </w:r>
    </w:p>
    <w:p w14:paraId="7BFFB36E">
      <w:pPr>
        <w:spacing w:line="600" w:lineRule="auto"/>
        <w:rPr>
          <w:rFonts w:hint="default" w:ascii="Arial Regular" w:hAnsi="Arial Regular" w:cs="Arial Regular"/>
          <w:sz w:val="24"/>
          <w:szCs w:val="24"/>
          <w:lang w:val="en-US" w:eastAsia="zh-CN"/>
        </w:rPr>
      </w:pPr>
    </w:p>
    <w:p w14:paraId="1ED21E7B">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Anwar, A., Thongpapanl, N. (Tek) and Ashraf, A.R. (2020). Strategic imperatives of mobile commerce in developing countries: the influence of consumer innovativeness, ubiquity, perceived value, risk, and cost on usage. Journal of Strategic Marketing, pp.1–21. doi:https://doi.org/10.1080/0965254x.2020.1786847.</w:t>
      </w:r>
    </w:p>
    <w:p w14:paraId="1409CA14">
      <w:pPr>
        <w:spacing w:line="600" w:lineRule="auto"/>
        <w:rPr>
          <w:rFonts w:hint="default" w:ascii="Arial Regular" w:hAnsi="Arial Regular" w:cs="Arial Regular"/>
          <w:sz w:val="24"/>
          <w:szCs w:val="24"/>
          <w:lang w:val="en-US" w:eastAsia="zh-CN"/>
        </w:rPr>
      </w:pPr>
    </w:p>
    <w:p w14:paraId="7AAA443D">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Baker, Z. (2025). Essential Employee Development Models for 2025. [online] Edstellar.com.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"https://www.edstellar.com/blog/employee-development-models." </w:instrText>
      </w:r>
      <w:r>
        <w:rPr>
          <w:rFonts w:hint="default" w:ascii="Arial Regular" w:hAnsi="Arial Regular" w:cs="Arial Regular"/>
          <w:sz w:val="24"/>
          <w:szCs w:val="24"/>
          <w:lang w:val="en-US" w:eastAsia="zh-CN"/>
        </w:rPr>
        <w:fldChar w:fldCharType="separate"/>
      </w:r>
      <w:r>
        <w:rPr>
          <w:rStyle w:val="6"/>
          <w:rFonts w:hint="default" w:ascii="Arial Regular" w:hAnsi="Arial Regular" w:cs="Arial Regular"/>
          <w:sz w:val="24"/>
          <w:szCs w:val="24"/>
          <w:lang w:val="en-US" w:eastAsia="zh-CN"/>
        </w:rPr>
        <w:t>https://www.edstellar.com/blog/employee-development-models.</w:t>
      </w:r>
      <w:r>
        <w:rPr>
          <w:rFonts w:hint="default" w:ascii="Arial Regular" w:hAnsi="Arial Regular" w:cs="Arial Regular"/>
          <w:sz w:val="24"/>
          <w:szCs w:val="24"/>
          <w:lang w:val="en-US" w:eastAsia="zh-CN"/>
        </w:rPr>
        <w:fldChar w:fldCharType="end"/>
      </w:r>
    </w:p>
    <w:p w14:paraId="23B6B28B">
      <w:pPr>
        <w:spacing w:line="600" w:lineRule="auto"/>
        <w:rPr>
          <w:rFonts w:hint="default" w:ascii="Arial Regular" w:hAnsi="Arial Regular" w:cs="Arial Regular"/>
          <w:sz w:val="24"/>
          <w:szCs w:val="24"/>
          <w:lang w:val="en-US" w:eastAsia="zh-CN"/>
        </w:rPr>
      </w:pPr>
    </w:p>
    <w:p w14:paraId="1037CD48">
      <w:pPr>
        <w:spacing w:line="600" w:lineRule="auto"/>
        <w:rPr>
          <w:rFonts w:hint="default" w:ascii="Arial Regular" w:hAnsi="Arial Regular" w:cs="Arial Regular"/>
          <w:sz w:val="24"/>
          <w:szCs w:val="24"/>
          <w:lang w:val="en-US" w:eastAsia="zh-CN"/>
        </w:rPr>
      </w:pPr>
    </w:p>
    <w:p w14:paraId="1C24844D">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Casey, A. (2025). Gain Competitive Advantage Through Employee Development. [online] eLearning Industry.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"https://elearningindustry.com/gain-competitive-advantage-employee-development." </w:instrText>
      </w:r>
      <w:r>
        <w:rPr>
          <w:rFonts w:hint="default" w:ascii="Arial Regular" w:hAnsi="Arial Regular" w:cs="Arial Regular"/>
          <w:sz w:val="24"/>
          <w:szCs w:val="24"/>
          <w:lang w:val="en-US" w:eastAsia="zh-CN"/>
        </w:rPr>
        <w:fldChar w:fldCharType="separate"/>
      </w:r>
      <w:r>
        <w:rPr>
          <w:rStyle w:val="6"/>
          <w:rFonts w:hint="default" w:ascii="Arial Regular" w:hAnsi="Arial Regular" w:cs="Arial Regular"/>
          <w:sz w:val="24"/>
          <w:szCs w:val="24"/>
          <w:lang w:val="en-US" w:eastAsia="zh-CN"/>
        </w:rPr>
        <w:t>https://elearningindustry.com/gain-competitive-advantage-employee-development.</w:t>
      </w:r>
      <w:r>
        <w:rPr>
          <w:rFonts w:hint="default" w:ascii="Arial Regular" w:hAnsi="Arial Regular" w:cs="Arial Regular"/>
          <w:sz w:val="24"/>
          <w:szCs w:val="24"/>
          <w:lang w:val="en-US" w:eastAsia="zh-CN"/>
        </w:rPr>
        <w:fldChar w:fldCharType="end"/>
      </w:r>
    </w:p>
    <w:p w14:paraId="56297ED6">
      <w:pPr>
        <w:spacing w:line="600" w:lineRule="auto"/>
        <w:rPr>
          <w:rFonts w:hint="default" w:ascii="Arial Regular" w:hAnsi="Arial Regular" w:cs="Arial Regular"/>
          <w:sz w:val="24"/>
          <w:szCs w:val="24"/>
          <w:lang w:val="en-US" w:eastAsia="zh-CN"/>
        </w:rPr>
      </w:pPr>
    </w:p>
    <w:p w14:paraId="2E344836">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Dachner, A.M., Ellingson, J.E., Noe, R.A. and Saxton, B.M. (2021). The Future of Employee Development. Human Resource Management Review, 31(2), p.100732.</w:t>
      </w:r>
    </w:p>
    <w:p w14:paraId="292EABE2">
      <w:pPr>
        <w:spacing w:line="600" w:lineRule="auto"/>
        <w:rPr>
          <w:rFonts w:hint="default" w:ascii="Arial Regular" w:hAnsi="Arial Regular" w:cs="Arial Regular"/>
          <w:sz w:val="24"/>
          <w:szCs w:val="24"/>
          <w:lang w:val="en-US" w:eastAsia="zh-CN"/>
        </w:rPr>
      </w:pPr>
    </w:p>
    <w:p w14:paraId="029C5816">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Germeroth, K. (2024). Common challenges of employee development and how to overcome them. [online] Moodle US.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"https://moodle.com/us/news/employee-development-challenges/." </w:instrText>
      </w:r>
      <w:r>
        <w:rPr>
          <w:rFonts w:hint="default" w:ascii="Arial Regular" w:hAnsi="Arial Regular" w:cs="Arial Regular"/>
          <w:sz w:val="24"/>
          <w:szCs w:val="24"/>
          <w:lang w:val="en-US" w:eastAsia="zh-CN"/>
        </w:rPr>
        <w:fldChar w:fldCharType="separate"/>
      </w:r>
      <w:r>
        <w:rPr>
          <w:rStyle w:val="6"/>
          <w:rFonts w:hint="default" w:ascii="Arial Regular" w:hAnsi="Arial Regular" w:cs="Arial Regular"/>
          <w:sz w:val="24"/>
          <w:szCs w:val="24"/>
          <w:lang w:val="en-US" w:eastAsia="zh-CN"/>
        </w:rPr>
        <w:t>https://moodle.com/us/news/employee-development-challenges/.</w:t>
      </w:r>
      <w:r>
        <w:rPr>
          <w:rFonts w:hint="default" w:ascii="Arial Regular" w:hAnsi="Arial Regular" w:cs="Arial Regular"/>
          <w:sz w:val="24"/>
          <w:szCs w:val="24"/>
          <w:lang w:val="en-US" w:eastAsia="zh-CN"/>
        </w:rPr>
        <w:fldChar w:fldCharType="end"/>
      </w:r>
    </w:p>
    <w:p w14:paraId="4038FFDF">
      <w:pPr>
        <w:spacing w:line="600" w:lineRule="auto"/>
        <w:rPr>
          <w:rFonts w:hint="default" w:ascii="Arial Regular" w:hAnsi="Arial Regular" w:cs="Arial Regular"/>
          <w:sz w:val="24"/>
          <w:szCs w:val="24"/>
          <w:lang w:val="en-US" w:eastAsia="zh-CN"/>
        </w:rPr>
      </w:pPr>
    </w:p>
    <w:p w14:paraId="4649E53C">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Hannah Wren (2024). What is employee development, and why is it important? [online] Zendesk.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"https://www.zendesk.co.uk/blog/employee-development/#." </w:instrText>
      </w:r>
      <w:r>
        <w:rPr>
          <w:rFonts w:hint="default" w:ascii="Arial Regular" w:hAnsi="Arial Regular" w:cs="Arial Regular"/>
          <w:sz w:val="24"/>
          <w:szCs w:val="24"/>
          <w:lang w:val="en-US" w:eastAsia="zh-CN"/>
        </w:rPr>
        <w:fldChar w:fldCharType="separate"/>
      </w:r>
      <w:r>
        <w:rPr>
          <w:rStyle w:val="6"/>
          <w:rFonts w:hint="default" w:ascii="Arial Regular" w:hAnsi="Arial Regular" w:cs="Arial Regular"/>
          <w:sz w:val="24"/>
          <w:szCs w:val="24"/>
          <w:lang w:val="en-US" w:eastAsia="zh-CN"/>
        </w:rPr>
        <w:t>https://www.zendesk.co.uk/blog/employee-development/#.</w:t>
      </w:r>
      <w:r>
        <w:rPr>
          <w:rFonts w:hint="default" w:ascii="Arial Regular" w:hAnsi="Arial Regular" w:cs="Arial Regular"/>
          <w:sz w:val="24"/>
          <w:szCs w:val="24"/>
          <w:lang w:val="en-US" w:eastAsia="zh-CN"/>
        </w:rPr>
        <w:fldChar w:fldCharType="end"/>
      </w:r>
    </w:p>
    <w:p w14:paraId="6D7867EB">
      <w:pPr>
        <w:spacing w:line="600" w:lineRule="auto"/>
        <w:rPr>
          <w:rFonts w:hint="default" w:ascii="Arial Regular" w:hAnsi="Arial Regular" w:cs="Arial Regular"/>
          <w:sz w:val="24"/>
          <w:szCs w:val="24"/>
          <w:lang w:val="en-US" w:eastAsia="zh-CN"/>
        </w:rPr>
      </w:pPr>
    </w:p>
    <w:p w14:paraId="0D3C9C67">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Hastwell, C. (2025). The Link Between Employee Development and Performance Management: Creating a Culture of Growth. [online] Great Place To Work®.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"https://www.greatplacetowork.com/resources/blog/the-link-between-employee-development-and-performance-management." </w:instrText>
      </w:r>
      <w:r>
        <w:rPr>
          <w:rFonts w:hint="default" w:ascii="Arial Regular" w:hAnsi="Arial Regular" w:cs="Arial Regular"/>
          <w:sz w:val="24"/>
          <w:szCs w:val="24"/>
          <w:lang w:val="en-US" w:eastAsia="zh-CN"/>
        </w:rPr>
        <w:fldChar w:fldCharType="separate"/>
      </w:r>
      <w:r>
        <w:rPr>
          <w:rStyle w:val="6"/>
          <w:rFonts w:hint="default" w:ascii="Arial Regular" w:hAnsi="Arial Regular" w:cs="Arial Regular"/>
          <w:sz w:val="24"/>
          <w:szCs w:val="24"/>
          <w:lang w:val="en-US" w:eastAsia="zh-CN"/>
        </w:rPr>
        <w:t>https://www.greatplacetowork.com/resources/blog/the-link-between-employee-development-and-performance-management.</w:t>
      </w:r>
      <w:r>
        <w:rPr>
          <w:rFonts w:hint="default" w:ascii="Arial Regular" w:hAnsi="Arial Regular" w:cs="Arial Regular"/>
          <w:sz w:val="24"/>
          <w:szCs w:val="24"/>
          <w:lang w:val="en-US" w:eastAsia="zh-CN"/>
        </w:rPr>
        <w:fldChar w:fldCharType="end"/>
      </w:r>
    </w:p>
    <w:p w14:paraId="24F8EA89">
      <w:pPr>
        <w:spacing w:line="600" w:lineRule="auto"/>
        <w:rPr>
          <w:rFonts w:hint="default" w:ascii="Arial Regular" w:hAnsi="Arial Regular" w:cs="Arial Regular"/>
          <w:sz w:val="24"/>
          <w:szCs w:val="24"/>
          <w:lang w:val="en-US" w:eastAsia="zh-CN"/>
        </w:rPr>
      </w:pPr>
    </w:p>
    <w:p w14:paraId="76801ABF">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Homrok, E. (2023). Creating Strategic Employee Development Programs. [online] WorkRamp.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"https://www.workramp.com/blog/employee-development-programs/." </w:instrText>
      </w:r>
      <w:r>
        <w:rPr>
          <w:rFonts w:hint="default" w:ascii="Arial Regular" w:hAnsi="Arial Regular" w:cs="Arial Regular"/>
          <w:sz w:val="24"/>
          <w:szCs w:val="24"/>
          <w:lang w:val="en-US" w:eastAsia="zh-CN"/>
        </w:rPr>
        <w:fldChar w:fldCharType="separate"/>
      </w:r>
      <w:r>
        <w:rPr>
          <w:rStyle w:val="6"/>
          <w:rFonts w:hint="default" w:ascii="Arial Regular" w:hAnsi="Arial Regular" w:cs="Arial Regular"/>
          <w:sz w:val="24"/>
          <w:szCs w:val="24"/>
          <w:lang w:val="en-US" w:eastAsia="zh-CN"/>
        </w:rPr>
        <w:t>https://www.workramp.com/blog/employee-development-programs/.</w:t>
      </w:r>
      <w:r>
        <w:rPr>
          <w:rFonts w:hint="default" w:ascii="Arial Regular" w:hAnsi="Arial Regular" w:cs="Arial Regular"/>
          <w:sz w:val="24"/>
          <w:szCs w:val="24"/>
          <w:lang w:val="en-US" w:eastAsia="zh-CN"/>
        </w:rPr>
        <w:fldChar w:fldCharType="end"/>
      </w:r>
    </w:p>
    <w:p w14:paraId="00BA6C41">
      <w:pPr>
        <w:spacing w:line="600" w:lineRule="auto"/>
        <w:rPr>
          <w:rFonts w:hint="default" w:ascii="Arial Regular" w:hAnsi="Arial Regular" w:cs="Arial Regular"/>
          <w:sz w:val="24"/>
          <w:szCs w:val="24"/>
          <w:lang w:val="en-US" w:eastAsia="zh-CN"/>
        </w:rPr>
      </w:pPr>
    </w:p>
    <w:p w14:paraId="58751F01">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Indeed (2024). What are theories of performance management? (With benefits). [online] Indeed Career Guide.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"https://uk.indeed.com/career-advice/career-development/theories-of-performance-management." </w:instrText>
      </w:r>
      <w:r>
        <w:rPr>
          <w:rFonts w:hint="default" w:ascii="Arial Regular" w:hAnsi="Arial Regular" w:cs="Arial Regular"/>
          <w:sz w:val="24"/>
          <w:szCs w:val="24"/>
          <w:lang w:val="en-US" w:eastAsia="zh-CN"/>
        </w:rPr>
        <w:fldChar w:fldCharType="separate"/>
      </w:r>
      <w:r>
        <w:rPr>
          <w:rStyle w:val="6"/>
          <w:rFonts w:hint="default" w:ascii="Arial Regular" w:hAnsi="Arial Regular" w:cs="Arial Regular"/>
          <w:sz w:val="24"/>
          <w:szCs w:val="24"/>
          <w:lang w:val="en-US" w:eastAsia="zh-CN"/>
        </w:rPr>
        <w:t>https://uk.indeed.com/career-advice/career-development/theories-of-performance-management.</w:t>
      </w:r>
      <w:r>
        <w:rPr>
          <w:rFonts w:hint="default" w:ascii="Arial Regular" w:hAnsi="Arial Regular" w:cs="Arial Regular"/>
          <w:sz w:val="24"/>
          <w:szCs w:val="24"/>
          <w:lang w:val="en-US" w:eastAsia="zh-CN"/>
        </w:rPr>
        <w:fldChar w:fldCharType="end"/>
      </w:r>
    </w:p>
    <w:p w14:paraId="0496FB3D">
      <w:pPr>
        <w:spacing w:line="600" w:lineRule="auto"/>
        <w:rPr>
          <w:rFonts w:hint="default" w:ascii="Arial Regular" w:hAnsi="Arial Regular" w:cs="Arial Regular"/>
          <w:sz w:val="24"/>
          <w:szCs w:val="24"/>
          <w:lang w:val="en-US" w:eastAsia="zh-CN"/>
        </w:rPr>
      </w:pPr>
    </w:p>
    <w:p w14:paraId="40E4061C">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Malhotra, N., Zietsma, C., Morris, T. and Smets, M. (2020). Handling Resistance to Change When Societal and Workplace Logics Conflict. Administrative Science Quarterly, 66(2), pp.475–520. doi:https://doi.org/10.1177/0001839220962760.</w:t>
      </w:r>
    </w:p>
    <w:p w14:paraId="323DABB4">
      <w:pPr>
        <w:spacing w:line="600" w:lineRule="auto"/>
        <w:rPr>
          <w:rFonts w:hint="default" w:ascii="Arial Regular" w:hAnsi="Arial Regular" w:cs="Arial Regular"/>
          <w:sz w:val="24"/>
          <w:szCs w:val="24"/>
          <w:lang w:val="en-US" w:eastAsia="zh-CN"/>
        </w:rPr>
      </w:pPr>
    </w:p>
    <w:p w14:paraId="7C5085B0">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Mazzetti, G. and Schaufeli, W.B. (2022). The Impact of Engaging Leadership on Employee Engagement and Team effectiveness: a longitudinal, multi-level Study on the Mediating Role of personal- and Team Resources. PLOS ONE, 17(6), pp.1–25. doi:https://doi.org/10.1371/journal.pone.0269433.</w:t>
      </w:r>
    </w:p>
    <w:p w14:paraId="3D2C3F18">
      <w:pPr>
        <w:spacing w:line="600" w:lineRule="auto"/>
        <w:rPr>
          <w:rFonts w:hint="default" w:ascii="Arial Regular" w:hAnsi="Arial Regular" w:cs="Arial Regular"/>
          <w:sz w:val="24"/>
          <w:szCs w:val="24"/>
          <w:lang w:val="en-US" w:eastAsia="zh-CN"/>
        </w:rPr>
      </w:pPr>
    </w:p>
    <w:p w14:paraId="61D3DCE6">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Mitchel, H. (2023). Role of Modern Technology in Employee Training | Edstellar. [online] www.edstellar.com.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"https://www.edstellar.com/blog/role-of-modern-technology-in-employee-training." </w:instrText>
      </w:r>
      <w:r>
        <w:rPr>
          <w:rFonts w:hint="default" w:ascii="Arial Regular" w:hAnsi="Arial Regular" w:cs="Arial Regular"/>
          <w:sz w:val="24"/>
          <w:szCs w:val="24"/>
          <w:lang w:val="en-US" w:eastAsia="zh-CN"/>
        </w:rPr>
        <w:fldChar w:fldCharType="separate"/>
      </w:r>
      <w:r>
        <w:rPr>
          <w:rStyle w:val="6"/>
          <w:rFonts w:hint="default" w:ascii="Arial Regular" w:hAnsi="Arial Regular" w:cs="Arial Regular"/>
          <w:sz w:val="24"/>
          <w:szCs w:val="24"/>
          <w:lang w:val="en-US" w:eastAsia="zh-CN"/>
        </w:rPr>
        <w:t>https://www.edstellar.com/blog/role-of-modern-technology-in-employee-training.</w:t>
      </w:r>
      <w:r>
        <w:rPr>
          <w:rFonts w:hint="default" w:ascii="Arial Regular" w:hAnsi="Arial Regular" w:cs="Arial Regular"/>
          <w:sz w:val="24"/>
          <w:szCs w:val="24"/>
          <w:lang w:val="en-US" w:eastAsia="zh-CN"/>
        </w:rPr>
        <w:fldChar w:fldCharType="end"/>
      </w:r>
    </w:p>
    <w:p w14:paraId="1FCE5B21">
      <w:pPr>
        <w:spacing w:line="600" w:lineRule="auto"/>
        <w:rPr>
          <w:rFonts w:hint="default" w:ascii="Arial Regular" w:hAnsi="Arial Regular" w:cs="Arial Regular"/>
          <w:sz w:val="24"/>
          <w:szCs w:val="24"/>
          <w:lang w:val="en-US" w:eastAsia="zh-CN"/>
        </w:rPr>
      </w:pPr>
    </w:p>
    <w:p w14:paraId="64096C07">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Pappas, C. (2025). 24 eLearning Case Studies That Demonstrate The Power Of L&amp;D. [online] eLearning Industry. Available at: https://elearningindustry.com/elearning-case-studies-that-demonstrate-the-power-of-ld [Accessed 20 Apr. 2025].</w:t>
      </w:r>
    </w:p>
    <w:p w14:paraId="47C5ACBD">
      <w:pPr>
        <w:spacing w:line="600" w:lineRule="auto"/>
        <w:rPr>
          <w:rFonts w:hint="default" w:ascii="Arial Regular" w:hAnsi="Arial Regular" w:cs="Arial Regular"/>
          <w:sz w:val="24"/>
          <w:szCs w:val="24"/>
          <w:lang w:val="en-US" w:eastAsia="zh-CN"/>
        </w:rPr>
      </w:pPr>
    </w:p>
    <w:p w14:paraId="396057C4">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Paul, A. (2024). Employee development programs are well-structured activities implemented by companies to enhance the skills, knowledge, and performance of their employees, to support the organization’s goals. These are designed to help employees grow professionally and personally, contributing, in turn to job satis. [online] Linkedin.com. Available at: https://www.linkedin.com/pulse/employee-development-programs-structure-benefits-evaluation-paul-w8xpf [Accessed 20 Apr. 2025].</w:t>
      </w:r>
    </w:p>
    <w:p w14:paraId="2B7EC7D1">
      <w:pPr>
        <w:spacing w:line="600" w:lineRule="auto"/>
        <w:rPr>
          <w:rFonts w:hint="default" w:ascii="Arial Regular" w:hAnsi="Arial Regular" w:cs="Arial Regular"/>
          <w:sz w:val="24"/>
          <w:szCs w:val="24"/>
          <w:lang w:val="en-US" w:eastAsia="zh-CN"/>
        </w:rPr>
      </w:pPr>
    </w:p>
    <w:p w14:paraId="40520097">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Perrone, F. (2022). Why a Diverse Leadership Pipeline Matters: The Empirical Evidence. Leadership and Policy in Schools, 21(1), pp.5–18. doi:https://doi.org/10.1080/15700763.2021.2022707.</w:t>
      </w:r>
    </w:p>
    <w:p w14:paraId="3E2D4BDE">
      <w:pPr>
        <w:spacing w:line="600" w:lineRule="auto"/>
        <w:rPr>
          <w:rFonts w:hint="default" w:ascii="Arial Regular" w:hAnsi="Arial Regular" w:cs="Arial Regular"/>
          <w:sz w:val="24"/>
          <w:szCs w:val="24"/>
          <w:lang w:val="en-US" w:eastAsia="zh-CN"/>
        </w:rPr>
      </w:pPr>
    </w:p>
    <w:p w14:paraId="0730E040">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Saks, A.M. (2022). Caring human resources management and employee engagement. Human Resource Management Review, 32(3), p.100835.</w:t>
      </w:r>
    </w:p>
    <w:p w14:paraId="10E22F05">
      <w:pPr>
        <w:spacing w:line="600" w:lineRule="auto"/>
        <w:rPr>
          <w:rFonts w:hint="default" w:ascii="Arial Regular" w:hAnsi="Arial Regular" w:cs="Arial Regular"/>
          <w:sz w:val="24"/>
          <w:szCs w:val="24"/>
          <w:lang w:val="en-US" w:eastAsia="zh-CN"/>
        </w:rPr>
      </w:pPr>
    </w:p>
    <w:p w14:paraId="036553EE">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Sunkari, S. (2022). A Brief Review on CRM, Salesforce and Reasons Stating Salesforce as One of the Top CRM’s. [online] papers.ssrn.com.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"https://papers.ssrn.com/sol3/Papers.cfm?abstract_id=4158451." </w:instrText>
      </w:r>
      <w:r>
        <w:rPr>
          <w:rFonts w:hint="default" w:ascii="Arial Regular" w:hAnsi="Arial Regular" w:cs="Arial Regular"/>
          <w:sz w:val="24"/>
          <w:szCs w:val="24"/>
          <w:lang w:val="en-US" w:eastAsia="zh-CN"/>
        </w:rPr>
        <w:fldChar w:fldCharType="separate"/>
      </w:r>
      <w:r>
        <w:rPr>
          <w:rStyle w:val="6"/>
          <w:rFonts w:hint="default" w:ascii="Arial Regular" w:hAnsi="Arial Regular" w:cs="Arial Regular"/>
          <w:sz w:val="24"/>
          <w:szCs w:val="24"/>
          <w:lang w:val="en-US" w:eastAsia="zh-CN"/>
        </w:rPr>
        <w:t>https://papers.ssrn.com/sol3/Papers.cfm?abstract_id=4158451.</w:t>
      </w:r>
      <w:r>
        <w:rPr>
          <w:rFonts w:hint="default" w:ascii="Arial Regular" w:hAnsi="Arial Regular" w:cs="Arial Regular"/>
          <w:sz w:val="24"/>
          <w:szCs w:val="24"/>
          <w:lang w:val="en-US" w:eastAsia="zh-CN"/>
        </w:rPr>
        <w:fldChar w:fldCharType="end"/>
      </w:r>
    </w:p>
    <w:p w14:paraId="2AB66B18">
      <w:pPr>
        <w:spacing w:line="600" w:lineRule="auto"/>
        <w:rPr>
          <w:rFonts w:hint="default" w:ascii="Arial Regular" w:hAnsi="Arial Regular" w:cs="Arial Regular"/>
          <w:sz w:val="24"/>
          <w:szCs w:val="24"/>
          <w:lang w:val="en-US" w:eastAsia="zh-CN"/>
        </w:rPr>
      </w:pPr>
    </w:p>
    <w:p w14:paraId="437910C1">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Team 6Q (2023). What Is Leadership Theory: An Essential Guide. [online] 6Q Employee Feedback System.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"https://6q.io/blog/what-is-leadership-theory-an-essential-guide/." </w:instrText>
      </w:r>
      <w:r>
        <w:rPr>
          <w:rFonts w:hint="default" w:ascii="Arial Regular" w:hAnsi="Arial Regular" w:cs="Arial Regular"/>
          <w:sz w:val="24"/>
          <w:szCs w:val="24"/>
          <w:lang w:val="en-US" w:eastAsia="zh-CN"/>
        </w:rPr>
        <w:fldChar w:fldCharType="separate"/>
      </w:r>
      <w:r>
        <w:rPr>
          <w:rStyle w:val="6"/>
          <w:rFonts w:hint="default" w:ascii="Arial Regular" w:hAnsi="Arial Regular" w:cs="Arial Regular"/>
          <w:sz w:val="24"/>
          <w:szCs w:val="24"/>
          <w:lang w:val="en-US" w:eastAsia="zh-CN"/>
        </w:rPr>
        <w:t>https://6q.io/blog/what-is-leadership-theory-an-essential-guide/.</w:t>
      </w:r>
      <w:r>
        <w:rPr>
          <w:rFonts w:hint="default" w:ascii="Arial Regular" w:hAnsi="Arial Regular" w:cs="Arial Regular"/>
          <w:sz w:val="24"/>
          <w:szCs w:val="24"/>
          <w:lang w:val="en-US" w:eastAsia="zh-CN"/>
        </w:rPr>
        <w:fldChar w:fldCharType="end"/>
      </w:r>
    </w:p>
    <w:p w14:paraId="692CCE26">
      <w:pPr>
        <w:spacing w:line="600" w:lineRule="auto"/>
        <w:rPr>
          <w:rFonts w:hint="default" w:ascii="Arial Regular" w:hAnsi="Arial Regular" w:cs="Arial Regular"/>
          <w:sz w:val="24"/>
          <w:szCs w:val="24"/>
          <w:lang w:val="en-US" w:eastAsia="zh-CN"/>
        </w:rPr>
      </w:pPr>
    </w:p>
    <w:p w14:paraId="0C8C38E6">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Tiao, S. (2025). Employee Development Plans: Importance and Examples. [online] Chronus.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"https://chronus.com/blog/employee-development-plan." </w:instrText>
      </w:r>
      <w:r>
        <w:rPr>
          <w:rFonts w:hint="default" w:ascii="Arial Regular" w:hAnsi="Arial Regular" w:cs="Arial Regular"/>
          <w:sz w:val="24"/>
          <w:szCs w:val="24"/>
          <w:lang w:val="en-US" w:eastAsia="zh-CN"/>
        </w:rPr>
        <w:fldChar w:fldCharType="separate"/>
      </w:r>
      <w:r>
        <w:rPr>
          <w:rStyle w:val="6"/>
          <w:rFonts w:hint="default" w:ascii="Arial Regular" w:hAnsi="Arial Regular" w:cs="Arial Regular"/>
          <w:sz w:val="24"/>
          <w:szCs w:val="24"/>
          <w:lang w:val="en-US" w:eastAsia="zh-CN"/>
        </w:rPr>
        <w:t>https://chronus.com/blog/employee-development-plan.</w:t>
      </w:r>
      <w:r>
        <w:rPr>
          <w:rFonts w:hint="default" w:ascii="Arial Regular" w:hAnsi="Arial Regular" w:cs="Arial Regular"/>
          <w:sz w:val="24"/>
          <w:szCs w:val="24"/>
          <w:lang w:val="en-US" w:eastAsia="zh-CN"/>
        </w:rPr>
        <w:fldChar w:fldCharType="end"/>
      </w:r>
    </w:p>
    <w:p w14:paraId="5BE81D88">
      <w:pPr>
        <w:spacing w:line="600" w:lineRule="auto"/>
        <w:rPr>
          <w:rFonts w:hint="default" w:ascii="Arial Regular" w:hAnsi="Arial Regular" w:cs="Arial Regular"/>
          <w:sz w:val="24"/>
          <w:szCs w:val="24"/>
          <w:lang w:val="en-US" w:eastAsia="zh-CN"/>
        </w:rPr>
      </w:pPr>
    </w:p>
    <w:p w14:paraId="16BCEB76">
      <w:pPr>
        <w:spacing w:line="600" w:lineRule="auto"/>
        <w:rPr>
          <w:rFonts w:hint="default" w:ascii="Arial Regular" w:hAnsi="Arial Regular" w:cs="Arial Regular"/>
          <w:sz w:val="24"/>
          <w:szCs w:val="24"/>
          <w:lang w:val="en-US" w:eastAsia="zh-CN"/>
        </w:rPr>
      </w:pPr>
      <w:r>
        <w:rPr>
          <w:rFonts w:hint="default" w:ascii="Arial Regular" w:hAnsi="Arial Regular" w:cs="Arial Regular"/>
          <w:sz w:val="24"/>
          <w:szCs w:val="24"/>
          <w:lang w:val="en-US" w:eastAsia="zh-CN"/>
        </w:rPr>
        <w:t xml:space="preserve">UPCEA (2024). How to Use Technology to Enhance Leadership Development. [online] UPCEA. Available at: </w:t>
      </w:r>
      <w:r>
        <w:rPr>
          <w:rFonts w:hint="default" w:ascii="Arial Regular" w:hAnsi="Arial Regular" w:cs="Arial Regular"/>
          <w:sz w:val="24"/>
          <w:szCs w:val="24"/>
          <w:lang w:val="en-US" w:eastAsia="zh-CN"/>
        </w:rPr>
        <w:fldChar w:fldCharType="begin"/>
      </w:r>
      <w:r>
        <w:rPr>
          <w:rFonts w:hint="default" w:ascii="Arial Regular" w:hAnsi="Arial Regular" w:cs="Arial Regular"/>
          <w:sz w:val="24"/>
          <w:szCs w:val="24"/>
          <w:lang w:val="en-US" w:eastAsia="zh-CN"/>
        </w:rPr>
        <w:instrText xml:space="preserve"> HYPERLINK "https://upcea.edu/how-to-use-technology-enhance-leadership-workforce-development/." </w:instrText>
      </w:r>
      <w:r>
        <w:rPr>
          <w:rFonts w:hint="default" w:ascii="Arial Regular" w:hAnsi="Arial Regular" w:cs="Arial Regular"/>
          <w:sz w:val="24"/>
          <w:szCs w:val="24"/>
          <w:lang w:val="en-US" w:eastAsia="zh-CN"/>
        </w:rPr>
        <w:fldChar w:fldCharType="separate"/>
      </w:r>
      <w:r>
        <w:rPr>
          <w:rStyle w:val="6"/>
          <w:rFonts w:hint="default" w:ascii="Arial Regular" w:hAnsi="Arial Regular" w:cs="Arial Regular"/>
          <w:sz w:val="24"/>
          <w:szCs w:val="24"/>
          <w:lang w:val="en-US" w:eastAsia="zh-CN"/>
        </w:rPr>
        <w:t>https://upcea.edu/how-to-use-technology-enhance-leadership-workforce-development/.</w:t>
      </w:r>
      <w:r>
        <w:rPr>
          <w:rFonts w:hint="default" w:ascii="Arial Regular" w:hAnsi="Arial Regular" w:cs="Arial Regular"/>
          <w:sz w:val="24"/>
          <w:szCs w:val="24"/>
          <w:lang w:val="en-US" w:eastAsia="zh-CN"/>
        </w:rPr>
        <w:fldChar w:fldCharType="end"/>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Calibri Light">
    <w:altName w:val="Helvetica Neue"/>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Arial Regular">
    <w:panose1 w:val="020B0604020202090204"/>
    <w:charset w:val="00"/>
    <w:family w:val="auto"/>
    <w:pitch w:val="default"/>
    <w:sig w:usb0="E0000AFF" w:usb1="00007843" w:usb2="00000001" w:usb3="00000000" w:csb0="400001BF" w:csb1="DFF70000"/>
  </w:font>
  <w:font w:name="Arial Bold">
    <w:panose1 w:val="020B0604020202090204"/>
    <w:charset w:val="00"/>
    <w:family w:val="auto"/>
    <w:pitch w:val="default"/>
    <w:sig w:usb0="E0000AFF" w:usb1="00007843" w:usb2="00000001" w:usb3="00000000" w:csb0="400001BF" w:csb1="DFF70000"/>
  </w:font>
  <w:font w:name="PingFang SC">
    <w:panose1 w:val="020B0400000000000000"/>
    <w:charset w:val="86"/>
    <w:family w:val="auto"/>
    <w:pitch w:val="default"/>
    <w:sig w:usb0="A00002FF" w:usb1="7ACFFDFB" w:usb2="00000017" w:usb3="00000000" w:csb0="00040001" w:csb1="00000000"/>
  </w:font>
  <w:font w:name="Times New Roman Regular">
    <w:panose1 w:val="02020503050405090304"/>
    <w:charset w:val="00"/>
    <w:family w:val="auto"/>
    <w:pitch w:val="default"/>
    <w:sig w:usb0="E0000AFF" w:usb1="00007843" w:usb2="00000001" w:usb3="00000000" w:csb0="400001BF" w:csb1="DFF7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DFEF48C"/>
    <w:rsid w:val="3FEA400D"/>
    <w:rsid w:val="5EFA3576"/>
    <w:rsid w:val="5F7F4A0E"/>
    <w:rsid w:val="7DFEF48C"/>
    <w:rsid w:val="E9E3DCDF"/>
    <w:rsid w:val="EBFE1F38"/>
    <w:rsid w:val="EFF9580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spacing w:before="0" w:beforeAutospacing="1" w:after="0" w:afterAutospacing="1"/>
      <w:jc w:val="left"/>
    </w:pPr>
    <w:rPr>
      <w:rFonts w:hint="eastAsia" w:ascii="宋体" w:hAnsi="宋体" w:eastAsia="宋体" w:cs="宋体"/>
      <w:b/>
      <w:bCs/>
      <w:kern w:val="0"/>
      <w:sz w:val="36"/>
      <w:szCs w:val="36"/>
      <w:lang w:val="en-US" w:eastAsia="zh-CN" w:bidi="ar"/>
    </w:rPr>
  </w:style>
  <w:style w:type="character" w:default="1" w:styleId="5">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character" w:styleId="6">
    <w:name w:val="Hyperlink"/>
    <w:basedOn w:val="5"/>
    <w:uiPriority w:val="0"/>
    <w:rPr>
      <w:color w:val="0000FF"/>
      <w:u w:val="single"/>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jpe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22</Pages>
  <Words>0</Words>
  <Characters>0</Characters>
  <Lines>0</Lines>
  <Paragraphs>0</Paragraphs>
  <TotalTime>9</TotalTime>
  <ScaleCrop>false</ScaleCrop>
  <LinksUpToDate>false</LinksUpToDate>
  <CharactersWithSpaces>0</CharactersWithSpaces>
  <Application>WPS Office_6.11.0.8885_F1E327BC-269C-435d-A152-05C5408002CA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2025-04-21T18:42:00Z</dcterms:created>
  <dc:creator>我要0卡的快乐</dc:creator>
  <cp:lastModifiedBy>我要0卡的快乐</cp:lastModifiedBy>
  <dcterms:modified xsi:type="dcterms:W3CDTF">2025-04-22T23:50:59Z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2052-6.11.0.8885</vt:lpwstr>
  </property>
  <property fmtid="{D5CDD505-2E9C-101B-9397-08002B2CF9AE}" pid="3" name="ICV">
    <vt:lpwstr>A7EB84616796381792830668D7EAE687_41</vt:lpwstr>
  </property>
</Properties>
</file>