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50418DF" w:rsidR="00986B43" w:rsidRPr="005A1B84"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A1B84">
              <w:rPr>
                <w:rFonts w:ascii="Times New Roman" w:hAnsi="Times New Roman" w:cs="Times New Roman"/>
                <w:bCs/>
                <w:color w:val="auto"/>
                <w:sz w:val="48"/>
              </w:rPr>
              <w:t>Sioned Gayther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C132B2A" w14:textId="77777777" w:rsidR="005A1B84"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A1B84">
              <w:rPr>
                <w:rFonts w:ascii="Times New Roman" w:hAnsi="Times New Roman" w:cs="Times New Roman"/>
                <w:b/>
                <w:color w:val="auto"/>
                <w:sz w:val="48"/>
              </w:rPr>
              <w:t xml:space="preserve"> </w:t>
            </w:r>
          </w:p>
          <w:p w14:paraId="3A6EAAC7" w14:textId="6191A927" w:rsidR="009C337F" w:rsidRPr="005A1B84" w:rsidRDefault="005A1B84"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Cs/>
                <w:color w:val="auto"/>
                <w:sz w:val="48"/>
              </w:rPr>
              <w:t>sioned.gayther@denbighshire.gov.uk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Cs/>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D495C09" w14:textId="5DCF1CD8" w:rsidR="005A1B84" w:rsidRPr="005A1B84" w:rsidRDefault="005A1B84"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Cs/>
                <w:color w:val="auto"/>
                <w:sz w:val="48"/>
              </w:rPr>
              <w:t>2433665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92812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5A1B84">
              <w:rPr>
                <w:rFonts w:ascii="Times New Roman" w:hAnsi="Times New Roman" w:cs="Times New Roman"/>
                <w:b/>
                <w:color w:val="auto"/>
                <w:sz w:val="48"/>
              </w:rPr>
              <w:t xml:space="preserve"> </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4FF8EBF3" w14:textId="590F8C63" w:rsidR="005A545C" w:rsidRDefault="005A1B84" w:rsidP="00FF7EBB">
            <w:pPr>
              <w:jc w:val="both"/>
              <w:rPr>
                <w:sz w:val="24"/>
                <w:szCs w:val="24"/>
              </w:rPr>
            </w:pPr>
            <w:r>
              <w:rPr>
                <w:i/>
                <w:sz w:val="24"/>
                <w:szCs w:val="24"/>
              </w:rPr>
              <w:t>50</w:t>
            </w:r>
            <w:r w:rsidR="00DA22EC" w:rsidRPr="006108C9">
              <w:rPr>
                <w:i/>
                <w:sz w:val="24"/>
                <w:szCs w:val="24"/>
              </w:rPr>
              <w:t>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6B04982C" w14:textId="77777777" w:rsidR="005A1B84" w:rsidRDefault="005A1B84" w:rsidP="00FF7EBB">
            <w:pPr>
              <w:jc w:val="both"/>
              <w:rPr>
                <w:sz w:val="24"/>
                <w:szCs w:val="24"/>
              </w:rPr>
            </w:pPr>
          </w:p>
          <w:p w14:paraId="27E6E931" w14:textId="77777777" w:rsidR="005A1B84" w:rsidRDefault="005A1B84" w:rsidP="00FF7EBB">
            <w:pPr>
              <w:jc w:val="both"/>
              <w:rPr>
                <w:sz w:val="24"/>
                <w:szCs w:val="24"/>
              </w:rPr>
            </w:pPr>
          </w:p>
          <w:p w14:paraId="3909656C" w14:textId="77777777" w:rsidR="005A1B84" w:rsidRPr="00CC08D9" w:rsidRDefault="005A1B84" w:rsidP="005A1B84">
            <w:pPr>
              <w:pStyle w:val="NoSpacing"/>
              <w:rPr>
                <w:sz w:val="24"/>
                <w:szCs w:val="24"/>
              </w:rPr>
            </w:pPr>
            <w:r w:rsidRPr="00CC08D9">
              <w:rPr>
                <w:sz w:val="24"/>
                <w:szCs w:val="24"/>
              </w:rPr>
              <w:t>Safeguarding children in Wales operates within a distinct statutory framework that differs from adult safeguarding practice. Although my primary area of work focuses on adults, understanding children’s safeguarding systems is essential, particularly where family dynamics intersect with adult vulnerability.</w:t>
            </w:r>
          </w:p>
          <w:p w14:paraId="3884A432" w14:textId="77777777" w:rsidR="005A1B84" w:rsidRPr="00CC08D9" w:rsidRDefault="005A1B84" w:rsidP="005A1B84">
            <w:pPr>
              <w:pStyle w:val="NoSpacing"/>
              <w:rPr>
                <w:sz w:val="24"/>
                <w:szCs w:val="24"/>
              </w:rPr>
            </w:pPr>
          </w:p>
          <w:p w14:paraId="539BE256" w14:textId="77777777" w:rsidR="005A1B84" w:rsidRPr="00CC08D9" w:rsidRDefault="005A1B84" w:rsidP="005A1B84">
            <w:pPr>
              <w:pStyle w:val="NoSpacing"/>
              <w:rPr>
                <w:sz w:val="24"/>
                <w:szCs w:val="24"/>
              </w:rPr>
            </w:pPr>
            <w:r w:rsidRPr="00CC08D9">
              <w:rPr>
                <w:sz w:val="24"/>
                <w:szCs w:val="24"/>
              </w:rPr>
              <w:t>In Wales, the Social Services and Well-being (Wales) Act 2014 (SSWBA) is the principal legislative framework. Part 7</w:t>
            </w:r>
            <w:r>
              <w:rPr>
                <w:sz w:val="24"/>
                <w:szCs w:val="24"/>
              </w:rPr>
              <w:t xml:space="preserve"> of the act</w:t>
            </w:r>
            <w:r w:rsidRPr="00CC08D9">
              <w:rPr>
                <w:sz w:val="24"/>
                <w:szCs w:val="24"/>
              </w:rPr>
              <w:t xml:space="preserve"> is central to child protection, establishing duties to protect children experiencing or at risk of abuse or neglect </w:t>
            </w:r>
            <w:sdt>
              <w:sdtPr>
                <w:rPr>
                  <w:sz w:val="24"/>
                  <w:szCs w:val="24"/>
                </w:rPr>
                <w:id w:val="1457072433"/>
                <w:citation/>
              </w:sdtPr>
              <w:sdtContent>
                <w:r>
                  <w:rPr>
                    <w:sz w:val="24"/>
                    <w:szCs w:val="24"/>
                  </w:rPr>
                  <w:fldChar w:fldCharType="begin"/>
                </w:r>
                <w:r>
                  <w:rPr>
                    <w:sz w:val="24"/>
                    <w:szCs w:val="24"/>
                  </w:rPr>
                  <w:instrText xml:space="preserve"> CITATION Wel141 \l 2057 </w:instrText>
                </w:r>
                <w:r>
                  <w:rPr>
                    <w:sz w:val="24"/>
                    <w:szCs w:val="24"/>
                  </w:rPr>
                  <w:fldChar w:fldCharType="separate"/>
                </w:r>
                <w:r w:rsidRPr="00CC08D9">
                  <w:rPr>
                    <w:noProof/>
                    <w:sz w:val="24"/>
                    <w:szCs w:val="24"/>
                  </w:rPr>
                  <w:t>(Welsh Government, 2014)</w:t>
                </w:r>
                <w:r>
                  <w:rPr>
                    <w:sz w:val="24"/>
                    <w:szCs w:val="24"/>
                  </w:rPr>
                  <w:fldChar w:fldCharType="end"/>
                </w:r>
              </w:sdtContent>
            </w:sdt>
            <w:r>
              <w:rPr>
                <w:sz w:val="24"/>
                <w:szCs w:val="24"/>
              </w:rPr>
              <w:t xml:space="preserve">. </w:t>
            </w:r>
            <w:r w:rsidRPr="00CC08D9">
              <w:rPr>
                <w:sz w:val="24"/>
                <w:szCs w:val="24"/>
              </w:rPr>
              <w:t xml:space="preserve">Section 130 </w:t>
            </w:r>
            <w:r>
              <w:rPr>
                <w:sz w:val="24"/>
                <w:szCs w:val="24"/>
              </w:rPr>
              <w:t xml:space="preserve">of the act </w:t>
            </w:r>
            <w:r w:rsidRPr="00CC08D9">
              <w:rPr>
                <w:sz w:val="24"/>
                <w:szCs w:val="24"/>
              </w:rPr>
              <w:t xml:space="preserve">defines a </w:t>
            </w:r>
            <w:r>
              <w:rPr>
                <w:sz w:val="24"/>
                <w:szCs w:val="24"/>
              </w:rPr>
              <w:t>‘</w:t>
            </w:r>
            <w:r w:rsidRPr="00CC08D9">
              <w:rPr>
                <w:sz w:val="24"/>
                <w:szCs w:val="24"/>
              </w:rPr>
              <w:t>child at risk</w:t>
            </w:r>
            <w:r>
              <w:rPr>
                <w:sz w:val="24"/>
                <w:szCs w:val="24"/>
              </w:rPr>
              <w:t>’</w:t>
            </w:r>
            <w:r w:rsidRPr="00CC08D9">
              <w:rPr>
                <w:sz w:val="24"/>
                <w:szCs w:val="24"/>
              </w:rPr>
              <w:t xml:space="preserve"> and requires local authorities to make enquiries where there is reasonable cause to suspect harm</w:t>
            </w:r>
            <w:sdt>
              <w:sdtPr>
                <w:rPr>
                  <w:sz w:val="24"/>
                  <w:szCs w:val="24"/>
                </w:rPr>
                <w:id w:val="784699599"/>
                <w:citation/>
              </w:sdtPr>
              <w:sdtContent>
                <w:r>
                  <w:rPr>
                    <w:sz w:val="24"/>
                    <w:szCs w:val="24"/>
                  </w:rPr>
                  <w:fldChar w:fldCharType="begin"/>
                </w:r>
                <w:r>
                  <w:rPr>
                    <w:sz w:val="24"/>
                    <w:szCs w:val="24"/>
                  </w:rPr>
                  <w:instrText xml:space="preserve"> CITATION Wel141 \l 2057 </w:instrText>
                </w:r>
                <w:r>
                  <w:rPr>
                    <w:sz w:val="24"/>
                    <w:szCs w:val="24"/>
                  </w:rPr>
                  <w:fldChar w:fldCharType="separate"/>
                </w:r>
                <w:r>
                  <w:rPr>
                    <w:noProof/>
                    <w:sz w:val="24"/>
                    <w:szCs w:val="24"/>
                  </w:rPr>
                  <w:t xml:space="preserve"> </w:t>
                </w:r>
                <w:r w:rsidRPr="00CC08D9">
                  <w:rPr>
                    <w:noProof/>
                    <w:sz w:val="24"/>
                    <w:szCs w:val="24"/>
                  </w:rPr>
                  <w:t>(Welsh Government, 2014)</w:t>
                </w:r>
                <w:r>
                  <w:rPr>
                    <w:sz w:val="24"/>
                    <w:szCs w:val="24"/>
                  </w:rPr>
                  <w:fldChar w:fldCharType="end"/>
                </w:r>
              </w:sdtContent>
            </w:sdt>
            <w:r w:rsidRPr="00CC08D9">
              <w:rPr>
                <w:sz w:val="24"/>
                <w:szCs w:val="24"/>
              </w:rPr>
              <w:t>. Safeguarding is therefore not discretionary; it is a statutory duty triggered by risk. The Act promotes wellbeing but, in child protection, welfare and safety take precedence.</w:t>
            </w:r>
          </w:p>
          <w:p w14:paraId="1E46E4B8" w14:textId="77777777" w:rsidR="005A1B84" w:rsidRPr="00CC08D9" w:rsidRDefault="005A1B84" w:rsidP="005A1B84">
            <w:pPr>
              <w:pStyle w:val="NoSpacing"/>
              <w:rPr>
                <w:sz w:val="24"/>
                <w:szCs w:val="24"/>
              </w:rPr>
            </w:pPr>
          </w:p>
          <w:p w14:paraId="20C13AC4" w14:textId="77777777" w:rsidR="005A1B84" w:rsidRPr="00CC08D9" w:rsidRDefault="005A1B84" w:rsidP="005A1B84">
            <w:pPr>
              <w:pStyle w:val="NoSpacing"/>
              <w:rPr>
                <w:sz w:val="24"/>
                <w:szCs w:val="24"/>
              </w:rPr>
            </w:pPr>
            <w:r w:rsidRPr="00CC08D9">
              <w:rPr>
                <w:sz w:val="24"/>
                <w:szCs w:val="24"/>
              </w:rPr>
              <w:t>The Wales Safeguarding Procedures operationalise Part 7</w:t>
            </w:r>
            <w:r>
              <w:rPr>
                <w:sz w:val="24"/>
                <w:szCs w:val="24"/>
              </w:rPr>
              <w:t xml:space="preserve"> of the SSWBA</w:t>
            </w:r>
            <w:r w:rsidRPr="00CC08D9">
              <w:rPr>
                <w:sz w:val="24"/>
                <w:szCs w:val="24"/>
              </w:rPr>
              <w:t xml:space="preserve"> and provide national guidance on referral pathways, threshold criteria, strategy discussions, child protection conferences and review processes</w:t>
            </w:r>
            <w:sdt>
              <w:sdtPr>
                <w:rPr>
                  <w:sz w:val="24"/>
                  <w:szCs w:val="24"/>
                </w:rPr>
                <w:id w:val="255248432"/>
                <w:citation/>
              </w:sdtPr>
              <w:sdtContent>
                <w:r>
                  <w:rPr>
                    <w:sz w:val="24"/>
                    <w:szCs w:val="24"/>
                  </w:rPr>
                  <w:fldChar w:fldCharType="begin"/>
                </w:r>
                <w:r>
                  <w:rPr>
                    <w:sz w:val="24"/>
                    <w:szCs w:val="24"/>
                  </w:rPr>
                  <w:instrText xml:space="preserve"> CITATION Wel19 \l 2057 </w:instrText>
                </w:r>
                <w:r>
                  <w:rPr>
                    <w:sz w:val="24"/>
                    <w:szCs w:val="24"/>
                  </w:rPr>
                  <w:fldChar w:fldCharType="separate"/>
                </w:r>
                <w:r>
                  <w:rPr>
                    <w:noProof/>
                    <w:sz w:val="24"/>
                    <w:szCs w:val="24"/>
                  </w:rPr>
                  <w:t xml:space="preserve"> </w:t>
                </w:r>
                <w:r w:rsidRPr="00CC08D9">
                  <w:rPr>
                    <w:noProof/>
                    <w:sz w:val="24"/>
                    <w:szCs w:val="24"/>
                  </w:rPr>
                  <w:t>(Welsh Government, 2019)</w:t>
                </w:r>
                <w:r>
                  <w:rPr>
                    <w:sz w:val="24"/>
                    <w:szCs w:val="24"/>
                  </w:rPr>
                  <w:fldChar w:fldCharType="end"/>
                </w:r>
              </w:sdtContent>
            </w:sdt>
            <w:r>
              <w:rPr>
                <w:sz w:val="24"/>
                <w:szCs w:val="24"/>
              </w:rPr>
              <w:t xml:space="preserve">, </w:t>
            </w:r>
            <w:sdt>
              <w:sdtPr>
                <w:rPr>
                  <w:sz w:val="24"/>
                  <w:szCs w:val="24"/>
                </w:rPr>
                <w:id w:val="1176850749"/>
                <w:citation/>
              </w:sdtPr>
              <w:sdtContent>
                <w:r>
                  <w:rPr>
                    <w:sz w:val="24"/>
                    <w:szCs w:val="24"/>
                  </w:rPr>
                  <w:fldChar w:fldCharType="begin"/>
                </w:r>
                <w:r>
                  <w:rPr>
                    <w:sz w:val="24"/>
                    <w:szCs w:val="24"/>
                  </w:rPr>
                  <w:instrText xml:space="preserve"> CITATION Wel141 \l 2057 </w:instrText>
                </w:r>
                <w:r>
                  <w:rPr>
                    <w:sz w:val="24"/>
                    <w:szCs w:val="24"/>
                  </w:rPr>
                  <w:fldChar w:fldCharType="separate"/>
                </w:r>
                <w:r w:rsidRPr="00CC08D9">
                  <w:rPr>
                    <w:noProof/>
                    <w:sz w:val="24"/>
                    <w:szCs w:val="24"/>
                  </w:rPr>
                  <w:t>(Welsh Government, 2014)</w:t>
                </w:r>
                <w:r>
                  <w:rPr>
                    <w:sz w:val="24"/>
                    <w:szCs w:val="24"/>
                  </w:rPr>
                  <w:fldChar w:fldCharType="end"/>
                </w:r>
              </w:sdtContent>
            </w:sdt>
            <w:r w:rsidRPr="00CC08D9">
              <w:rPr>
                <w:sz w:val="24"/>
                <w:szCs w:val="24"/>
              </w:rPr>
              <w:t>. These procedures ensure consistency across Wales and replaced the former All Wales Child Protection Procedures. Social workers must follow them to ensure defensible, proportionate and legally compliant decision-making.</w:t>
            </w:r>
          </w:p>
          <w:p w14:paraId="2FF83577" w14:textId="77777777" w:rsidR="005A1B84" w:rsidRPr="00CC08D9" w:rsidRDefault="005A1B84" w:rsidP="005A1B84">
            <w:pPr>
              <w:pStyle w:val="NoSpacing"/>
              <w:rPr>
                <w:sz w:val="24"/>
                <w:szCs w:val="24"/>
              </w:rPr>
            </w:pPr>
          </w:p>
          <w:p w14:paraId="6027DBEA" w14:textId="77777777" w:rsidR="005A1B84" w:rsidRPr="00CC08D9" w:rsidRDefault="005A1B84" w:rsidP="005A1B84">
            <w:pPr>
              <w:pStyle w:val="NoSpacing"/>
              <w:rPr>
                <w:sz w:val="24"/>
                <w:szCs w:val="24"/>
              </w:rPr>
            </w:pPr>
            <w:r w:rsidRPr="00CC08D9">
              <w:rPr>
                <w:sz w:val="24"/>
                <w:szCs w:val="24"/>
              </w:rPr>
              <w:t xml:space="preserve">The Children Act 1989 </w:t>
            </w:r>
            <w:r>
              <w:rPr>
                <w:sz w:val="24"/>
                <w:szCs w:val="24"/>
              </w:rPr>
              <w:t xml:space="preserve">applies in Wales alongside SSWBA. </w:t>
            </w:r>
            <w:r w:rsidRPr="00CC08D9">
              <w:rPr>
                <w:sz w:val="24"/>
                <w:szCs w:val="24"/>
              </w:rPr>
              <w:t xml:space="preserve">Section 47 provides the legal authority to investigate where significant harm is suspected </w:t>
            </w:r>
            <w:sdt>
              <w:sdtPr>
                <w:rPr>
                  <w:sz w:val="24"/>
                  <w:szCs w:val="24"/>
                </w:rPr>
                <w:id w:val="-1733233946"/>
                <w:citation/>
              </w:sdtPr>
              <w:sdtContent>
                <w:r>
                  <w:rPr>
                    <w:sz w:val="24"/>
                    <w:szCs w:val="24"/>
                  </w:rPr>
                  <w:fldChar w:fldCharType="begin"/>
                </w:r>
                <w:r>
                  <w:rPr>
                    <w:sz w:val="24"/>
                    <w:szCs w:val="24"/>
                  </w:rPr>
                  <w:instrText xml:space="preserve"> CITATION UKG89 \l 2057 </w:instrText>
                </w:r>
                <w:r>
                  <w:rPr>
                    <w:sz w:val="24"/>
                    <w:szCs w:val="24"/>
                  </w:rPr>
                  <w:fldChar w:fldCharType="separate"/>
                </w:r>
                <w:r w:rsidRPr="00C9731B">
                  <w:rPr>
                    <w:noProof/>
                    <w:sz w:val="24"/>
                    <w:szCs w:val="24"/>
                  </w:rPr>
                  <w:t>(UK Government, 1989)</w:t>
                </w:r>
                <w:r>
                  <w:rPr>
                    <w:sz w:val="24"/>
                    <w:szCs w:val="24"/>
                  </w:rPr>
                  <w:fldChar w:fldCharType="end"/>
                </w:r>
              </w:sdtContent>
            </w:sdt>
            <w:r>
              <w:rPr>
                <w:sz w:val="24"/>
                <w:szCs w:val="24"/>
              </w:rPr>
              <w:t xml:space="preserve">. </w:t>
            </w:r>
            <w:r w:rsidRPr="00CC08D9">
              <w:rPr>
                <w:sz w:val="24"/>
                <w:szCs w:val="24"/>
              </w:rPr>
              <w:t>The Children Act 2004 strengthened inter-agency cooperation and information-sharing duties</w:t>
            </w:r>
            <w:sdt>
              <w:sdtPr>
                <w:rPr>
                  <w:sz w:val="24"/>
                  <w:szCs w:val="24"/>
                </w:rPr>
                <w:id w:val="1122420375"/>
                <w:citation/>
              </w:sdtPr>
              <w:sdtContent>
                <w:r>
                  <w:rPr>
                    <w:sz w:val="24"/>
                    <w:szCs w:val="24"/>
                  </w:rPr>
                  <w:fldChar w:fldCharType="begin"/>
                </w:r>
                <w:r>
                  <w:rPr>
                    <w:sz w:val="24"/>
                    <w:szCs w:val="24"/>
                  </w:rPr>
                  <w:instrText xml:space="preserve"> CITATION UKG04 \l 2057 </w:instrText>
                </w:r>
                <w:r>
                  <w:rPr>
                    <w:sz w:val="24"/>
                    <w:szCs w:val="24"/>
                  </w:rPr>
                  <w:fldChar w:fldCharType="separate"/>
                </w:r>
                <w:r>
                  <w:rPr>
                    <w:noProof/>
                    <w:sz w:val="24"/>
                    <w:szCs w:val="24"/>
                  </w:rPr>
                  <w:t xml:space="preserve"> </w:t>
                </w:r>
                <w:r w:rsidRPr="00C9731B">
                  <w:rPr>
                    <w:noProof/>
                    <w:sz w:val="24"/>
                    <w:szCs w:val="24"/>
                  </w:rPr>
                  <w:t>(UK Government, 2004)</w:t>
                </w:r>
                <w:r>
                  <w:rPr>
                    <w:sz w:val="24"/>
                    <w:szCs w:val="24"/>
                  </w:rPr>
                  <w:fldChar w:fldCharType="end"/>
                </w:r>
              </w:sdtContent>
            </w:sdt>
            <w:r w:rsidRPr="00CC08D9">
              <w:rPr>
                <w:sz w:val="24"/>
                <w:szCs w:val="24"/>
              </w:rPr>
              <w:t xml:space="preserve">. In </w:t>
            </w:r>
            <w:r w:rsidRPr="00CC08D9">
              <w:rPr>
                <w:sz w:val="24"/>
                <w:szCs w:val="24"/>
              </w:rPr>
              <w:lastRenderedPageBreak/>
              <w:t>Wales, these duties are embedded within Safeguarding Boards established under the SSWBA framework, creating a unified model of governance</w:t>
            </w:r>
            <w:sdt>
              <w:sdtPr>
                <w:rPr>
                  <w:sz w:val="24"/>
                  <w:szCs w:val="24"/>
                </w:rPr>
                <w:id w:val="-1112972559"/>
                <w:citation/>
              </w:sdtPr>
              <w:sdtContent>
                <w:r>
                  <w:rPr>
                    <w:sz w:val="24"/>
                    <w:szCs w:val="24"/>
                  </w:rPr>
                  <w:fldChar w:fldCharType="begin"/>
                </w:r>
                <w:r>
                  <w:rPr>
                    <w:sz w:val="24"/>
                    <w:szCs w:val="24"/>
                  </w:rPr>
                  <w:instrText xml:space="preserve"> CITATION Saf251 \l 2057 </w:instrText>
                </w:r>
                <w:r>
                  <w:rPr>
                    <w:sz w:val="24"/>
                    <w:szCs w:val="24"/>
                  </w:rPr>
                  <w:fldChar w:fldCharType="separate"/>
                </w:r>
                <w:r>
                  <w:rPr>
                    <w:noProof/>
                    <w:sz w:val="24"/>
                    <w:szCs w:val="24"/>
                  </w:rPr>
                  <w:t xml:space="preserve"> </w:t>
                </w:r>
                <w:r w:rsidRPr="00C9731B">
                  <w:rPr>
                    <w:noProof/>
                    <w:sz w:val="24"/>
                    <w:szCs w:val="24"/>
                  </w:rPr>
                  <w:t>(Safeguarding Wales, 2025)</w:t>
                </w:r>
                <w:r>
                  <w:rPr>
                    <w:sz w:val="24"/>
                    <w:szCs w:val="24"/>
                  </w:rPr>
                  <w:fldChar w:fldCharType="end"/>
                </w:r>
              </w:sdtContent>
            </w:sdt>
            <w:r w:rsidRPr="00CC08D9">
              <w:rPr>
                <w:sz w:val="24"/>
                <w:szCs w:val="24"/>
              </w:rPr>
              <w:t>.</w:t>
            </w:r>
          </w:p>
          <w:p w14:paraId="742C76FF" w14:textId="77777777" w:rsidR="005A1B84" w:rsidRDefault="005A1B84" w:rsidP="005A1B84">
            <w:pPr>
              <w:pStyle w:val="NoSpacing"/>
              <w:rPr>
                <w:sz w:val="24"/>
                <w:szCs w:val="24"/>
              </w:rPr>
            </w:pPr>
          </w:p>
          <w:p w14:paraId="68DE106B" w14:textId="77777777" w:rsidR="005A1B84" w:rsidRDefault="005A1B84" w:rsidP="005A1B84">
            <w:pPr>
              <w:pStyle w:val="NoSpacing"/>
              <w:rPr>
                <w:sz w:val="24"/>
                <w:szCs w:val="24"/>
              </w:rPr>
            </w:pPr>
            <w:r>
              <w:rPr>
                <w:sz w:val="24"/>
                <w:szCs w:val="24"/>
              </w:rPr>
              <w:t xml:space="preserve">In situations where significant harm is suspected, the Children Act 1989 provides statutory powers for intervention. An Emergency Protection Order under Section 44 allows urgent removal to a place of safety, while Police Protection powers under Section 46 enables temporary removal without a court order. Longer-term protection may involve Interim or full Care Orders under Section 31 of the act, granting the local authority parental responsibility. These provisions demonstrate legal mechanisms for state intervention when welfare cannot be secured within the family </w:t>
            </w:r>
            <w:sdt>
              <w:sdtPr>
                <w:rPr>
                  <w:sz w:val="24"/>
                  <w:szCs w:val="24"/>
                </w:rPr>
                <w:id w:val="1385841025"/>
                <w:citation/>
              </w:sdtPr>
              <w:sdtContent>
                <w:r>
                  <w:rPr>
                    <w:sz w:val="24"/>
                    <w:szCs w:val="24"/>
                  </w:rPr>
                  <w:fldChar w:fldCharType="begin"/>
                </w:r>
                <w:r>
                  <w:rPr>
                    <w:sz w:val="24"/>
                    <w:szCs w:val="24"/>
                  </w:rPr>
                  <w:instrText xml:space="preserve"> CITATION UKG89 \l 2057 </w:instrText>
                </w:r>
                <w:r>
                  <w:rPr>
                    <w:sz w:val="24"/>
                    <w:szCs w:val="24"/>
                  </w:rPr>
                  <w:fldChar w:fldCharType="separate"/>
                </w:r>
                <w:r w:rsidRPr="00546D10">
                  <w:rPr>
                    <w:noProof/>
                    <w:sz w:val="24"/>
                    <w:szCs w:val="24"/>
                  </w:rPr>
                  <w:t>(UK Government, 1989)</w:t>
                </w:r>
                <w:r>
                  <w:rPr>
                    <w:sz w:val="24"/>
                    <w:szCs w:val="24"/>
                  </w:rPr>
                  <w:fldChar w:fldCharType="end"/>
                </w:r>
              </w:sdtContent>
            </w:sdt>
            <w:r>
              <w:rPr>
                <w:sz w:val="24"/>
                <w:szCs w:val="24"/>
              </w:rPr>
              <w:t xml:space="preserve">. </w:t>
            </w:r>
          </w:p>
          <w:p w14:paraId="2A28B569" w14:textId="77777777" w:rsidR="005A1B84" w:rsidRPr="00CC08D9" w:rsidRDefault="005A1B84" w:rsidP="005A1B84">
            <w:pPr>
              <w:pStyle w:val="NoSpacing"/>
              <w:rPr>
                <w:sz w:val="24"/>
                <w:szCs w:val="24"/>
              </w:rPr>
            </w:pPr>
          </w:p>
          <w:p w14:paraId="76C43D21" w14:textId="77777777" w:rsidR="005A1B84" w:rsidRPr="00CC08D9" w:rsidRDefault="005A1B84" w:rsidP="005A1B84">
            <w:pPr>
              <w:pStyle w:val="NoSpacing"/>
              <w:rPr>
                <w:sz w:val="24"/>
                <w:szCs w:val="24"/>
              </w:rPr>
            </w:pPr>
            <w:r w:rsidRPr="00CC08D9">
              <w:rPr>
                <w:sz w:val="24"/>
                <w:szCs w:val="24"/>
              </w:rPr>
              <w:t>A key distinction in child safeguarding concerns parental responsibility. Under the Children Act 1989, parents or those with parental responsibility have legal authority to make decisions regarding a child’s welfare</w:t>
            </w:r>
            <w:sdt>
              <w:sdtPr>
                <w:rPr>
                  <w:sz w:val="24"/>
                  <w:szCs w:val="24"/>
                </w:rPr>
                <w:id w:val="1999298781"/>
                <w:citation/>
              </w:sdtPr>
              <w:sdtContent>
                <w:r>
                  <w:rPr>
                    <w:sz w:val="24"/>
                    <w:szCs w:val="24"/>
                  </w:rPr>
                  <w:fldChar w:fldCharType="begin"/>
                </w:r>
                <w:r>
                  <w:rPr>
                    <w:sz w:val="24"/>
                    <w:szCs w:val="24"/>
                  </w:rPr>
                  <w:instrText xml:space="preserve"> CITATION UKG89 \l 2057 </w:instrText>
                </w:r>
                <w:r>
                  <w:rPr>
                    <w:sz w:val="24"/>
                    <w:szCs w:val="24"/>
                  </w:rPr>
                  <w:fldChar w:fldCharType="separate"/>
                </w:r>
                <w:r>
                  <w:rPr>
                    <w:noProof/>
                    <w:sz w:val="24"/>
                    <w:szCs w:val="24"/>
                  </w:rPr>
                  <w:t xml:space="preserve"> </w:t>
                </w:r>
                <w:r w:rsidRPr="00C9731B">
                  <w:rPr>
                    <w:noProof/>
                    <w:sz w:val="24"/>
                    <w:szCs w:val="24"/>
                  </w:rPr>
                  <w:t>(UK Government, 1989)</w:t>
                </w:r>
                <w:r>
                  <w:rPr>
                    <w:sz w:val="24"/>
                    <w:szCs w:val="24"/>
                  </w:rPr>
                  <w:fldChar w:fldCharType="end"/>
                </w:r>
              </w:sdtContent>
            </w:sdt>
            <w:r w:rsidRPr="00CC08D9">
              <w:rPr>
                <w:sz w:val="24"/>
                <w:szCs w:val="24"/>
              </w:rPr>
              <w:t xml:space="preserve">. However, this authority is not absolute. Where risk of significant harm is identified, the state may intervene without parental consent. The Gillick principle further recognises that children under sixteen may consent to specific decisions if they demonstrate sufficient maturity and understanding </w:t>
            </w:r>
            <w:sdt>
              <w:sdtPr>
                <w:rPr>
                  <w:sz w:val="24"/>
                  <w:szCs w:val="24"/>
                </w:rPr>
                <w:id w:val="-1863517323"/>
                <w:citation/>
              </w:sdtPr>
              <w:sdtContent>
                <w:r>
                  <w:rPr>
                    <w:sz w:val="24"/>
                    <w:szCs w:val="24"/>
                  </w:rPr>
                  <w:fldChar w:fldCharType="begin"/>
                </w:r>
                <w:r>
                  <w:rPr>
                    <w:sz w:val="24"/>
                    <w:szCs w:val="24"/>
                  </w:rPr>
                  <w:instrText xml:space="preserve"> CITATION Gil86 \l 2057 </w:instrText>
                </w:r>
                <w:r>
                  <w:rPr>
                    <w:sz w:val="24"/>
                    <w:szCs w:val="24"/>
                  </w:rPr>
                  <w:fldChar w:fldCharType="separate"/>
                </w:r>
                <w:r w:rsidRPr="00C9731B">
                  <w:rPr>
                    <w:noProof/>
                    <w:sz w:val="24"/>
                    <w:szCs w:val="24"/>
                  </w:rPr>
                  <w:t>(Gillick v West Norfolk and Wisbech Area Health Authority, 1986)</w:t>
                </w:r>
                <w:r>
                  <w:rPr>
                    <w:sz w:val="24"/>
                    <w:szCs w:val="24"/>
                  </w:rPr>
                  <w:fldChar w:fldCharType="end"/>
                </w:r>
              </w:sdtContent>
            </w:sdt>
            <w:r>
              <w:rPr>
                <w:sz w:val="24"/>
                <w:szCs w:val="24"/>
              </w:rPr>
              <w:t xml:space="preserve">. </w:t>
            </w:r>
            <w:r w:rsidRPr="00CC08D9">
              <w:rPr>
                <w:sz w:val="24"/>
                <w:szCs w:val="24"/>
              </w:rPr>
              <w:t>Nevertheless, safeguarding decisions remain guided by welfare rather than autonomy.</w:t>
            </w:r>
          </w:p>
          <w:p w14:paraId="616A1FD6" w14:textId="77777777" w:rsidR="005A1B84" w:rsidRPr="00CC08D9" w:rsidRDefault="005A1B84" w:rsidP="005A1B84">
            <w:pPr>
              <w:pStyle w:val="NoSpacing"/>
              <w:rPr>
                <w:sz w:val="24"/>
                <w:szCs w:val="24"/>
              </w:rPr>
            </w:pPr>
          </w:p>
          <w:p w14:paraId="3F543088" w14:textId="77777777" w:rsidR="005A1B84" w:rsidRPr="00CC08D9" w:rsidRDefault="005A1B84" w:rsidP="005A1B84">
            <w:pPr>
              <w:pStyle w:val="NoSpacing"/>
              <w:rPr>
                <w:sz w:val="24"/>
                <w:szCs w:val="24"/>
              </w:rPr>
            </w:pPr>
            <w:r w:rsidRPr="00CC08D9">
              <w:rPr>
                <w:sz w:val="24"/>
                <w:szCs w:val="24"/>
              </w:rPr>
              <w:t>At local level, XXX County Council operates within North Wales Safeguarding Board arrangements</w:t>
            </w:r>
            <w:sdt>
              <w:sdtPr>
                <w:rPr>
                  <w:sz w:val="24"/>
                  <w:szCs w:val="24"/>
                </w:rPr>
                <w:id w:val="-1918241016"/>
                <w:citation/>
              </w:sdtPr>
              <w:sdtContent>
                <w:r>
                  <w:rPr>
                    <w:sz w:val="24"/>
                    <w:szCs w:val="24"/>
                  </w:rPr>
                  <w:fldChar w:fldCharType="begin"/>
                </w:r>
                <w:r>
                  <w:rPr>
                    <w:sz w:val="24"/>
                    <w:szCs w:val="24"/>
                  </w:rPr>
                  <w:instrText xml:space="preserve"> CITATION Nor25 \l 2057 </w:instrText>
                </w:r>
                <w:r>
                  <w:rPr>
                    <w:sz w:val="24"/>
                    <w:szCs w:val="24"/>
                  </w:rPr>
                  <w:fldChar w:fldCharType="separate"/>
                </w:r>
                <w:r>
                  <w:rPr>
                    <w:noProof/>
                    <w:sz w:val="24"/>
                    <w:szCs w:val="24"/>
                  </w:rPr>
                  <w:t xml:space="preserve"> </w:t>
                </w:r>
                <w:r w:rsidRPr="00C9731B">
                  <w:rPr>
                    <w:noProof/>
                    <w:sz w:val="24"/>
                    <w:szCs w:val="24"/>
                  </w:rPr>
                  <w:t>(North Wales Safeguarding Board, 2025)</w:t>
                </w:r>
                <w:r>
                  <w:rPr>
                    <w:sz w:val="24"/>
                    <w:szCs w:val="24"/>
                  </w:rPr>
                  <w:fldChar w:fldCharType="end"/>
                </w:r>
              </w:sdtContent>
            </w:sdt>
            <w:r w:rsidRPr="00CC08D9">
              <w:rPr>
                <w:sz w:val="24"/>
                <w:szCs w:val="24"/>
              </w:rPr>
              <w:t>. Its children’s services procedures and corporate safeguarding policies align with Part 7 SSWBA and the Wales Safeguarding Procedures, outlining referral routes, escalation processes, recording standards and supervision expectations</w:t>
            </w:r>
            <w:sdt>
              <w:sdtPr>
                <w:rPr>
                  <w:sz w:val="24"/>
                  <w:szCs w:val="24"/>
                </w:rPr>
                <w:id w:val="-2113195041"/>
                <w:citation/>
              </w:sdtPr>
              <w:sdtContent>
                <w:r>
                  <w:rPr>
                    <w:sz w:val="24"/>
                    <w:szCs w:val="24"/>
                  </w:rPr>
                  <w:fldChar w:fldCharType="begin"/>
                </w:r>
                <w:r>
                  <w:rPr>
                    <w:sz w:val="24"/>
                    <w:szCs w:val="24"/>
                  </w:rPr>
                  <w:instrText xml:space="preserve"> CITATION Wel141 \l 2057 </w:instrText>
                </w:r>
                <w:r>
                  <w:rPr>
                    <w:sz w:val="24"/>
                    <w:szCs w:val="24"/>
                  </w:rPr>
                  <w:fldChar w:fldCharType="separate"/>
                </w:r>
                <w:r>
                  <w:rPr>
                    <w:noProof/>
                    <w:sz w:val="24"/>
                    <w:szCs w:val="24"/>
                  </w:rPr>
                  <w:t xml:space="preserve"> </w:t>
                </w:r>
                <w:r w:rsidRPr="00C9731B">
                  <w:rPr>
                    <w:noProof/>
                    <w:sz w:val="24"/>
                    <w:szCs w:val="24"/>
                  </w:rPr>
                  <w:t>(Welsh Government, 2014)</w:t>
                </w:r>
                <w:r>
                  <w:rPr>
                    <w:sz w:val="24"/>
                    <w:szCs w:val="24"/>
                  </w:rPr>
                  <w:fldChar w:fldCharType="end"/>
                </w:r>
              </w:sdtContent>
            </w:sdt>
            <w:r w:rsidRPr="00CC08D9">
              <w:rPr>
                <w:sz w:val="24"/>
                <w:szCs w:val="24"/>
              </w:rPr>
              <w:t>. Organisational policies ensure that practitioners follow lawful thresholds and engage in structured multi-agency decision-making.</w:t>
            </w:r>
          </w:p>
          <w:p w14:paraId="1BD69871" w14:textId="77777777" w:rsidR="005A1B84" w:rsidRPr="00CC08D9" w:rsidRDefault="005A1B84" w:rsidP="005A1B84">
            <w:pPr>
              <w:pStyle w:val="NoSpacing"/>
              <w:rPr>
                <w:sz w:val="24"/>
                <w:szCs w:val="24"/>
              </w:rPr>
            </w:pPr>
          </w:p>
          <w:p w14:paraId="12A2E206" w14:textId="77777777" w:rsidR="005A1B84" w:rsidRPr="00CC08D9" w:rsidRDefault="005A1B84" w:rsidP="005A1B84">
            <w:pPr>
              <w:pStyle w:val="NoSpacing"/>
              <w:rPr>
                <w:sz w:val="24"/>
                <w:szCs w:val="24"/>
              </w:rPr>
            </w:pPr>
            <w:r w:rsidRPr="00CC08D9">
              <w:rPr>
                <w:sz w:val="24"/>
                <w:szCs w:val="24"/>
              </w:rPr>
              <w:t>Overall, safeguarding children in Wales is governed by a cohesive statutory and procedural framework that integrates national legislation with local implementation. The emphasis on welfare, parental responsibility and proportionate state intervention distinguishes child safeguarding from adult practice and requires social workers to apply structured professional judgement within clearly defined legal duties.</w:t>
            </w:r>
          </w:p>
          <w:p w14:paraId="0DC5B1C9" w14:textId="77777777" w:rsidR="005A1B84" w:rsidRDefault="005A1B84" w:rsidP="005A1B84">
            <w:pPr>
              <w:pStyle w:val="NoSpacing"/>
              <w:rPr>
                <w:sz w:val="24"/>
                <w:szCs w:val="24"/>
              </w:rPr>
            </w:pPr>
          </w:p>
          <w:p w14:paraId="744228EF" w14:textId="77777777" w:rsidR="005A1B84" w:rsidRDefault="005A1B84" w:rsidP="005A1B84">
            <w:pPr>
              <w:pStyle w:val="NoSpacing"/>
              <w:rPr>
                <w:sz w:val="24"/>
                <w:szCs w:val="24"/>
              </w:rPr>
            </w:pPr>
          </w:p>
          <w:p w14:paraId="29294C84" w14:textId="77777777" w:rsidR="005A1B84" w:rsidRPr="00CE7C05" w:rsidRDefault="005A1B84" w:rsidP="005A1B84">
            <w:pPr>
              <w:pStyle w:val="NoSpacing"/>
              <w:rPr>
                <w:b/>
                <w:bCs/>
                <w:sz w:val="24"/>
                <w:szCs w:val="24"/>
              </w:rPr>
            </w:pPr>
            <w:r w:rsidRPr="00CE7C05">
              <w:rPr>
                <w:b/>
                <w:bCs/>
                <w:sz w:val="24"/>
                <w:szCs w:val="24"/>
              </w:rPr>
              <w:t>Total Word Count: 550</w:t>
            </w:r>
          </w:p>
          <w:p w14:paraId="112AFBC5" w14:textId="77777777" w:rsidR="005A1B84" w:rsidRDefault="005A1B84"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A1E4F26" w14:textId="77777777" w:rsidR="005A1B84" w:rsidRDefault="005A1B84" w:rsidP="00FC0334">
            <w:pPr>
              <w:jc w:val="both"/>
              <w:rPr>
                <w:i/>
                <w:sz w:val="24"/>
                <w:szCs w:val="24"/>
              </w:rPr>
            </w:pPr>
          </w:p>
          <w:p w14:paraId="6EEED34F" w14:textId="77777777" w:rsidR="005A1B84" w:rsidRDefault="005A1B84" w:rsidP="00FC0334">
            <w:pPr>
              <w:jc w:val="both"/>
              <w:rPr>
                <w:i/>
                <w:sz w:val="24"/>
                <w:szCs w:val="24"/>
              </w:rPr>
            </w:pPr>
          </w:p>
          <w:p w14:paraId="1AB256D4" w14:textId="77777777" w:rsidR="005A1B84" w:rsidRPr="00875B7B" w:rsidRDefault="005A1B84" w:rsidP="005A1B84">
            <w:pPr>
              <w:rPr>
                <w:rFonts w:asciiTheme="minorHAnsi" w:hAnsiTheme="minorHAnsi"/>
                <w:sz w:val="24"/>
                <w:szCs w:val="24"/>
              </w:rPr>
            </w:pPr>
            <w:r w:rsidRPr="00875B7B">
              <w:rPr>
                <w:rFonts w:asciiTheme="minorHAnsi" w:hAnsiTheme="minorHAnsi"/>
                <w:sz w:val="24"/>
                <w:szCs w:val="24"/>
              </w:rPr>
              <w:t>Safeguarding in adult and children’s services shares a common ethical foundation of preventing harm and promoting wellbeing, yet the legislative principles and professional thresholds differ significantly. Reflecting on these differences highlights how safeguarding practice is shaped not only by risk but by legal status, autonomy and the role of the state.</w:t>
            </w:r>
          </w:p>
          <w:p w14:paraId="46B9C52D" w14:textId="77777777" w:rsidR="005A1B84" w:rsidRPr="00875B7B" w:rsidRDefault="005A1B84" w:rsidP="005A1B84">
            <w:pPr>
              <w:rPr>
                <w:rFonts w:asciiTheme="minorHAnsi" w:hAnsiTheme="minorHAnsi"/>
                <w:sz w:val="24"/>
                <w:szCs w:val="24"/>
              </w:rPr>
            </w:pPr>
          </w:p>
          <w:p w14:paraId="5FCE3819" w14:textId="77777777" w:rsidR="005A1B84" w:rsidRPr="00875B7B" w:rsidRDefault="005A1B84" w:rsidP="005A1B84">
            <w:pPr>
              <w:rPr>
                <w:rFonts w:asciiTheme="minorHAnsi" w:hAnsiTheme="minorHAnsi"/>
                <w:sz w:val="24"/>
                <w:szCs w:val="24"/>
              </w:rPr>
            </w:pPr>
            <w:r w:rsidRPr="00875B7B">
              <w:rPr>
                <w:rFonts w:asciiTheme="minorHAnsi" w:hAnsiTheme="minorHAnsi"/>
                <w:sz w:val="24"/>
                <w:szCs w:val="24"/>
              </w:rPr>
              <w:t>In children’s safeguarding in Wales, protection is rooted in Part 7 of the Social Services and Well-being (Wales) Act 2014 and supported by the Children Act 1989</w:t>
            </w:r>
            <w:sdt>
              <w:sdtPr>
                <w:rPr>
                  <w:rFonts w:asciiTheme="minorHAnsi" w:hAnsiTheme="minorHAnsi"/>
                  <w:sz w:val="24"/>
                  <w:szCs w:val="24"/>
                </w:rPr>
                <w:id w:val="538089279"/>
                <w:citation/>
              </w:sdtPr>
              <w:sdtContent>
                <w:r>
                  <w:rPr>
                    <w:rFonts w:asciiTheme="minorHAnsi" w:hAnsiTheme="minorHAnsi"/>
                    <w:sz w:val="24"/>
                    <w:szCs w:val="24"/>
                  </w:rPr>
                  <w:fldChar w:fldCharType="begin"/>
                </w:r>
                <w:r>
                  <w:rPr>
                    <w:rFonts w:asciiTheme="minorHAnsi" w:hAnsiTheme="minorHAnsi"/>
                    <w:sz w:val="24"/>
                    <w:szCs w:val="24"/>
                  </w:rPr>
                  <w:instrText xml:space="preserve"> CITATION UKG89 \l 2057 </w:instrText>
                </w:r>
                <w:r>
                  <w:rPr>
                    <w:rFonts w:asciiTheme="minorHAnsi" w:hAnsiTheme="minorHAnsi"/>
                    <w:sz w:val="24"/>
                    <w:szCs w:val="24"/>
                  </w:rPr>
                  <w:fldChar w:fldCharType="separate"/>
                </w:r>
                <w:r>
                  <w:rPr>
                    <w:rFonts w:asciiTheme="minorHAnsi" w:hAnsiTheme="minorHAnsi"/>
                    <w:noProof/>
                    <w:sz w:val="24"/>
                    <w:szCs w:val="24"/>
                  </w:rPr>
                  <w:t xml:space="preserve"> </w:t>
                </w:r>
                <w:r w:rsidRPr="00C9731B">
                  <w:rPr>
                    <w:rFonts w:asciiTheme="minorHAnsi" w:hAnsiTheme="minorHAnsi"/>
                    <w:noProof/>
                    <w:sz w:val="24"/>
                    <w:szCs w:val="24"/>
                  </w:rPr>
                  <w:t>(UK Government, 1989)</w:t>
                </w:r>
                <w:r>
                  <w:rPr>
                    <w:rFonts w:asciiTheme="minorHAnsi" w:hAnsiTheme="minorHAnsi"/>
                    <w:sz w:val="24"/>
                    <w:szCs w:val="24"/>
                  </w:rPr>
                  <w:fldChar w:fldCharType="end"/>
                </w:r>
              </w:sdtContent>
            </w:sdt>
            <w:r w:rsidRPr="00875B7B">
              <w:rPr>
                <w:rFonts w:asciiTheme="minorHAnsi" w:hAnsiTheme="minorHAnsi"/>
                <w:sz w:val="24"/>
                <w:szCs w:val="24"/>
              </w:rPr>
              <w:t>. The child’s welfare is paramount. Unlike adults, children are presumed to lack full legal autonomy, and parental responsibility sits at the centre of decision-making. Parents have legal authority to make decisions about a child’s welfare unless state intervention is justified. However, this authority is not absolute. Where significant harm is suspected, social workers may initiate Section 47 enquiries under the Children Act 1989, even without parental consent</w:t>
            </w:r>
            <w:sdt>
              <w:sdtPr>
                <w:rPr>
                  <w:rFonts w:asciiTheme="minorHAnsi" w:hAnsiTheme="minorHAnsi"/>
                  <w:sz w:val="24"/>
                  <w:szCs w:val="24"/>
                </w:rPr>
                <w:id w:val="756635393"/>
                <w:citation/>
              </w:sdtPr>
              <w:sdtContent>
                <w:r>
                  <w:rPr>
                    <w:rFonts w:asciiTheme="minorHAnsi" w:hAnsiTheme="minorHAnsi"/>
                    <w:sz w:val="24"/>
                    <w:szCs w:val="24"/>
                  </w:rPr>
                  <w:fldChar w:fldCharType="begin"/>
                </w:r>
                <w:r>
                  <w:rPr>
                    <w:rFonts w:asciiTheme="minorHAnsi" w:hAnsiTheme="minorHAnsi"/>
                    <w:sz w:val="24"/>
                    <w:szCs w:val="24"/>
                  </w:rPr>
                  <w:instrText xml:space="preserve"> CITATION HMG25 \l 2057 </w:instrText>
                </w:r>
                <w:r>
                  <w:rPr>
                    <w:rFonts w:asciiTheme="minorHAnsi" w:hAnsiTheme="minorHAnsi"/>
                    <w:sz w:val="24"/>
                    <w:szCs w:val="24"/>
                  </w:rPr>
                  <w:fldChar w:fldCharType="separate"/>
                </w:r>
                <w:r>
                  <w:rPr>
                    <w:rFonts w:asciiTheme="minorHAnsi" w:hAnsiTheme="minorHAnsi"/>
                    <w:noProof/>
                    <w:sz w:val="24"/>
                    <w:szCs w:val="24"/>
                  </w:rPr>
                  <w:t xml:space="preserve"> </w:t>
                </w:r>
                <w:r w:rsidRPr="00C9731B">
                  <w:rPr>
                    <w:rFonts w:asciiTheme="minorHAnsi" w:hAnsiTheme="minorHAnsi"/>
                    <w:noProof/>
                    <w:sz w:val="24"/>
                    <w:szCs w:val="24"/>
                  </w:rPr>
                  <w:t>(HM Government, 2023)</w:t>
                </w:r>
                <w:r>
                  <w:rPr>
                    <w:rFonts w:asciiTheme="minorHAnsi" w:hAnsiTheme="minorHAnsi"/>
                    <w:sz w:val="24"/>
                    <w:szCs w:val="24"/>
                  </w:rPr>
                  <w:fldChar w:fldCharType="end"/>
                </w:r>
              </w:sdtContent>
            </w:sdt>
            <w:r w:rsidRPr="00875B7B">
              <w:rPr>
                <w:rFonts w:asciiTheme="minorHAnsi" w:hAnsiTheme="minorHAnsi"/>
                <w:sz w:val="24"/>
                <w:szCs w:val="24"/>
              </w:rPr>
              <w:t>. This illustrates a more interventionist safeguarding model where the state may override family autonomy to protect the child.</w:t>
            </w:r>
          </w:p>
          <w:p w14:paraId="054AEE61" w14:textId="77777777" w:rsidR="005A1B84" w:rsidRPr="00875B7B" w:rsidRDefault="005A1B84" w:rsidP="005A1B84">
            <w:pPr>
              <w:rPr>
                <w:rFonts w:asciiTheme="minorHAnsi" w:hAnsiTheme="minorHAnsi"/>
                <w:sz w:val="24"/>
                <w:szCs w:val="24"/>
              </w:rPr>
            </w:pPr>
          </w:p>
          <w:p w14:paraId="26A7A3CE" w14:textId="77777777" w:rsidR="005A1B84" w:rsidRPr="00875B7B" w:rsidRDefault="005A1B84" w:rsidP="005A1B84">
            <w:pPr>
              <w:rPr>
                <w:rFonts w:asciiTheme="minorHAnsi" w:hAnsiTheme="minorHAnsi"/>
                <w:sz w:val="24"/>
                <w:szCs w:val="24"/>
              </w:rPr>
            </w:pPr>
            <w:r w:rsidRPr="00875B7B">
              <w:rPr>
                <w:rFonts w:asciiTheme="minorHAnsi" w:hAnsiTheme="minorHAnsi"/>
                <w:sz w:val="24"/>
                <w:szCs w:val="24"/>
              </w:rPr>
              <w:t>The concept of Gillick competence introduces nuance, recognising that some children under sixteen may consent to certain decisions if they demonstrate sufficient understanding</w:t>
            </w:r>
            <w:sdt>
              <w:sdtPr>
                <w:rPr>
                  <w:rFonts w:asciiTheme="minorHAnsi" w:hAnsiTheme="minorHAnsi"/>
                  <w:sz w:val="24"/>
                  <w:szCs w:val="24"/>
                </w:rPr>
                <w:id w:val="-891194854"/>
                <w:citation/>
              </w:sdtPr>
              <w:sdtContent>
                <w:r>
                  <w:rPr>
                    <w:rFonts w:asciiTheme="minorHAnsi" w:hAnsiTheme="minorHAnsi"/>
                    <w:sz w:val="24"/>
                    <w:szCs w:val="24"/>
                  </w:rPr>
                  <w:fldChar w:fldCharType="begin"/>
                </w:r>
                <w:r>
                  <w:rPr>
                    <w:rFonts w:asciiTheme="minorHAnsi" w:hAnsiTheme="minorHAnsi"/>
                    <w:sz w:val="24"/>
                    <w:szCs w:val="24"/>
                  </w:rPr>
                  <w:instrText xml:space="preserve"> CITATION Gil86 \l 2057 </w:instrText>
                </w:r>
                <w:r>
                  <w:rPr>
                    <w:rFonts w:asciiTheme="minorHAnsi" w:hAnsiTheme="minorHAnsi"/>
                    <w:sz w:val="24"/>
                    <w:szCs w:val="24"/>
                  </w:rPr>
                  <w:fldChar w:fldCharType="separate"/>
                </w:r>
                <w:r>
                  <w:rPr>
                    <w:rFonts w:asciiTheme="minorHAnsi" w:hAnsiTheme="minorHAnsi"/>
                    <w:noProof/>
                    <w:sz w:val="24"/>
                    <w:szCs w:val="24"/>
                  </w:rPr>
                  <w:t xml:space="preserve"> </w:t>
                </w:r>
                <w:r w:rsidRPr="00C9731B">
                  <w:rPr>
                    <w:rFonts w:asciiTheme="minorHAnsi" w:hAnsiTheme="minorHAnsi"/>
                    <w:noProof/>
                    <w:sz w:val="24"/>
                    <w:szCs w:val="24"/>
                  </w:rPr>
                  <w:t>(Gillick v West Norfolk and Wisbech Area Health Authority, 1986)</w:t>
                </w:r>
                <w:r>
                  <w:rPr>
                    <w:rFonts w:asciiTheme="minorHAnsi" w:hAnsiTheme="minorHAnsi"/>
                    <w:sz w:val="24"/>
                    <w:szCs w:val="24"/>
                  </w:rPr>
                  <w:fldChar w:fldCharType="end"/>
                </w:r>
              </w:sdtContent>
            </w:sdt>
            <w:r w:rsidRPr="00875B7B">
              <w:rPr>
                <w:rFonts w:asciiTheme="minorHAnsi" w:hAnsiTheme="minorHAnsi"/>
                <w:sz w:val="24"/>
                <w:szCs w:val="24"/>
              </w:rPr>
              <w:t>. Nevertheless, child safeguarding ultimately prioritises protection over autonomy. The professional mindset is therefore more risk-averse and assertive, particularly where thresholds of significant harm are met.</w:t>
            </w:r>
          </w:p>
          <w:p w14:paraId="0843E1E4" w14:textId="77777777" w:rsidR="005A1B84" w:rsidRPr="00875B7B" w:rsidRDefault="005A1B84" w:rsidP="005A1B84">
            <w:pPr>
              <w:rPr>
                <w:rFonts w:asciiTheme="minorHAnsi" w:hAnsiTheme="minorHAnsi"/>
                <w:sz w:val="24"/>
                <w:szCs w:val="24"/>
              </w:rPr>
            </w:pPr>
          </w:p>
          <w:p w14:paraId="2F3DA951" w14:textId="77777777" w:rsidR="005A1B84" w:rsidRPr="00875B7B" w:rsidRDefault="005A1B84" w:rsidP="005A1B84">
            <w:pPr>
              <w:rPr>
                <w:rFonts w:asciiTheme="minorHAnsi" w:hAnsiTheme="minorHAnsi"/>
                <w:sz w:val="24"/>
                <w:szCs w:val="24"/>
              </w:rPr>
            </w:pPr>
            <w:r w:rsidRPr="00875B7B">
              <w:rPr>
                <w:rFonts w:asciiTheme="minorHAnsi" w:hAnsiTheme="minorHAnsi"/>
                <w:sz w:val="24"/>
                <w:szCs w:val="24"/>
              </w:rPr>
              <w:t>In contrast, adult safeguarding under the Social Services and Well-being (Wales) Act 2014 is grounded in empowerment and proportionality. Adults are presumed to have capacity unless assessed otherwise under the Mental Capacity Act 2005</w:t>
            </w:r>
            <w:sdt>
              <w:sdtPr>
                <w:rPr>
                  <w:rFonts w:asciiTheme="minorHAnsi" w:hAnsiTheme="minorHAnsi"/>
                  <w:sz w:val="24"/>
                  <w:szCs w:val="24"/>
                </w:rPr>
                <w:id w:val="-1067640323"/>
                <w:citation/>
              </w:sdtPr>
              <w:sdtContent>
                <w:r>
                  <w:rPr>
                    <w:rFonts w:asciiTheme="minorHAnsi" w:hAnsiTheme="minorHAnsi"/>
                    <w:sz w:val="24"/>
                    <w:szCs w:val="24"/>
                  </w:rPr>
                  <w:fldChar w:fldCharType="begin"/>
                </w:r>
                <w:r>
                  <w:rPr>
                    <w:rFonts w:asciiTheme="minorHAnsi" w:hAnsiTheme="minorHAnsi"/>
                    <w:sz w:val="24"/>
                    <w:szCs w:val="24"/>
                  </w:rPr>
                  <w:instrText xml:space="preserve"> CITATION UKG051 \l 2057 </w:instrText>
                </w:r>
                <w:r>
                  <w:rPr>
                    <w:rFonts w:asciiTheme="minorHAnsi" w:hAnsiTheme="minorHAnsi"/>
                    <w:sz w:val="24"/>
                    <w:szCs w:val="24"/>
                  </w:rPr>
                  <w:fldChar w:fldCharType="separate"/>
                </w:r>
                <w:r>
                  <w:rPr>
                    <w:rFonts w:asciiTheme="minorHAnsi" w:hAnsiTheme="minorHAnsi"/>
                    <w:noProof/>
                    <w:sz w:val="24"/>
                    <w:szCs w:val="24"/>
                  </w:rPr>
                  <w:t xml:space="preserve"> </w:t>
                </w:r>
                <w:r w:rsidRPr="00C9731B">
                  <w:rPr>
                    <w:rFonts w:asciiTheme="minorHAnsi" w:hAnsiTheme="minorHAnsi"/>
                    <w:noProof/>
                    <w:sz w:val="24"/>
                    <w:szCs w:val="24"/>
                  </w:rPr>
                  <w:t>(UK Government, 2005)</w:t>
                </w:r>
                <w:r>
                  <w:rPr>
                    <w:rFonts w:asciiTheme="minorHAnsi" w:hAnsiTheme="minorHAnsi"/>
                    <w:sz w:val="24"/>
                    <w:szCs w:val="24"/>
                  </w:rPr>
                  <w:fldChar w:fldCharType="end"/>
                </w:r>
              </w:sdtContent>
            </w:sdt>
            <w:r w:rsidRPr="00875B7B">
              <w:rPr>
                <w:rFonts w:asciiTheme="minorHAnsi" w:hAnsiTheme="minorHAnsi"/>
                <w:sz w:val="24"/>
                <w:szCs w:val="24"/>
              </w:rPr>
              <w:t>. Even where risk is evident, adults with capacity retain the right to make unwise decisions. This creates a fundamentally different professional stance. Rather than defaulting to protection, adult safeguarding requires negotiation, consent and collaborative safety planning wherever possible.</w:t>
            </w:r>
          </w:p>
          <w:p w14:paraId="6B9558D2" w14:textId="77777777" w:rsidR="005A1B84" w:rsidRPr="00875B7B" w:rsidRDefault="005A1B84" w:rsidP="005A1B84">
            <w:pPr>
              <w:rPr>
                <w:rFonts w:asciiTheme="minorHAnsi" w:hAnsiTheme="minorHAnsi"/>
                <w:sz w:val="24"/>
                <w:szCs w:val="24"/>
              </w:rPr>
            </w:pPr>
          </w:p>
          <w:p w14:paraId="5B7D6CAB" w14:textId="77777777" w:rsidR="005A1B84" w:rsidRPr="00875B7B" w:rsidRDefault="005A1B84" w:rsidP="005A1B84">
            <w:pPr>
              <w:rPr>
                <w:rFonts w:asciiTheme="minorHAnsi" w:hAnsiTheme="minorHAnsi"/>
                <w:sz w:val="24"/>
                <w:szCs w:val="24"/>
              </w:rPr>
            </w:pPr>
            <w:r w:rsidRPr="00875B7B">
              <w:rPr>
                <w:rFonts w:asciiTheme="minorHAnsi" w:hAnsiTheme="minorHAnsi"/>
                <w:sz w:val="24"/>
                <w:szCs w:val="24"/>
              </w:rPr>
              <w:t>Reflecting on my own practice, this distinction requires a deliberate shift in professional reasoning. In adult work, I must guard against paternalism and ensure that intervention is the least restrictive option. In children’s safeguarding, however, delay or excessive deference to parental wishes may increase harm. The ethical tension therefore differs: in adult practice, the dilemma often concerns balancing autonomy and protection; in children’s practice, the tension lies between family autonomy and the child’s right to safety.</w:t>
            </w:r>
          </w:p>
          <w:p w14:paraId="75BECA0A" w14:textId="77777777" w:rsidR="005A1B84" w:rsidRPr="00875B7B" w:rsidRDefault="005A1B84" w:rsidP="005A1B84">
            <w:pPr>
              <w:rPr>
                <w:rFonts w:asciiTheme="minorHAnsi" w:hAnsiTheme="minorHAnsi"/>
                <w:sz w:val="24"/>
                <w:szCs w:val="24"/>
              </w:rPr>
            </w:pPr>
          </w:p>
          <w:p w14:paraId="3359CD61" w14:textId="77777777" w:rsidR="005A1B84" w:rsidRPr="00875B7B" w:rsidRDefault="005A1B84" w:rsidP="005A1B84">
            <w:pPr>
              <w:rPr>
                <w:rFonts w:asciiTheme="minorHAnsi" w:hAnsiTheme="minorHAnsi"/>
                <w:sz w:val="24"/>
                <w:szCs w:val="24"/>
              </w:rPr>
            </w:pPr>
            <w:r w:rsidRPr="00875B7B">
              <w:rPr>
                <w:rFonts w:asciiTheme="minorHAnsi" w:hAnsiTheme="minorHAnsi"/>
                <w:sz w:val="24"/>
                <w:szCs w:val="24"/>
              </w:rPr>
              <w:t xml:space="preserve">Both systems rely on multi-agency collaboration and structured procedural frameworks, yet the threshold for overriding individual or parental wishes is significantly lower in children’s work. Ultimately, safeguarding </w:t>
            </w:r>
            <w:proofErr w:type="gramStart"/>
            <w:r w:rsidRPr="00875B7B">
              <w:rPr>
                <w:rFonts w:asciiTheme="minorHAnsi" w:hAnsiTheme="minorHAnsi"/>
                <w:sz w:val="24"/>
                <w:szCs w:val="24"/>
              </w:rPr>
              <w:t>adults</w:t>
            </w:r>
            <w:proofErr w:type="gramEnd"/>
            <w:r w:rsidRPr="00875B7B">
              <w:rPr>
                <w:rFonts w:asciiTheme="minorHAnsi" w:hAnsiTheme="minorHAnsi"/>
                <w:sz w:val="24"/>
                <w:szCs w:val="24"/>
              </w:rPr>
              <w:t xml:space="preserve"> centres on choice and supported decision-making, while safeguarding children centres on welfare and protective intervention. Recognising these distinctions </w:t>
            </w:r>
            <w:r w:rsidRPr="00875B7B">
              <w:rPr>
                <w:rFonts w:asciiTheme="minorHAnsi" w:hAnsiTheme="minorHAnsi"/>
                <w:sz w:val="24"/>
                <w:szCs w:val="24"/>
              </w:rPr>
              <w:lastRenderedPageBreak/>
              <w:t>strengthens professional judgement and ensures that safeguarding responses remain lawful, proportionate and ethically grounded.</w:t>
            </w:r>
          </w:p>
          <w:p w14:paraId="78BA35E4" w14:textId="77777777" w:rsidR="005A1B84" w:rsidRDefault="005A1B84" w:rsidP="00FC0334">
            <w:pPr>
              <w:jc w:val="both"/>
              <w:rPr>
                <w:i/>
                <w:sz w:val="24"/>
                <w:szCs w:val="24"/>
              </w:rPr>
            </w:pPr>
          </w:p>
          <w:p w14:paraId="07A8810D" w14:textId="77777777" w:rsidR="005A1B84" w:rsidRPr="001C2339" w:rsidRDefault="005A1B84" w:rsidP="005A1B84">
            <w:pPr>
              <w:rPr>
                <w:rFonts w:asciiTheme="minorHAnsi" w:hAnsiTheme="minorHAnsi"/>
                <w:b/>
                <w:bCs/>
                <w:sz w:val="24"/>
                <w:szCs w:val="24"/>
              </w:rPr>
            </w:pPr>
            <w:r>
              <w:rPr>
                <w:rFonts w:asciiTheme="minorHAnsi" w:hAnsiTheme="minorHAnsi"/>
                <w:b/>
                <w:bCs/>
                <w:sz w:val="24"/>
                <w:szCs w:val="24"/>
              </w:rPr>
              <w:t>Total Word Count:</w:t>
            </w:r>
            <w:r w:rsidRPr="001C2339">
              <w:rPr>
                <w:rFonts w:asciiTheme="minorHAnsi" w:hAnsiTheme="minorHAnsi"/>
                <w:b/>
                <w:bCs/>
                <w:sz w:val="24"/>
                <w:szCs w:val="24"/>
              </w:rPr>
              <w:t xml:space="preserve"> 4</w:t>
            </w:r>
            <w:r>
              <w:rPr>
                <w:rFonts w:asciiTheme="minorHAnsi" w:hAnsiTheme="minorHAnsi"/>
                <w:b/>
                <w:bCs/>
                <w:sz w:val="24"/>
                <w:szCs w:val="24"/>
              </w:rPr>
              <w:t>38</w:t>
            </w:r>
          </w:p>
          <w:p w14:paraId="65584DAB" w14:textId="77777777" w:rsidR="005A1B84" w:rsidRDefault="005A1B84" w:rsidP="00FC0334">
            <w:pPr>
              <w:jc w:val="both"/>
              <w:rPr>
                <w:i/>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9737C" w14:textId="77777777" w:rsidR="00DC54F8" w:rsidRDefault="00DC54F8">
      <w:r>
        <w:separator/>
      </w:r>
    </w:p>
  </w:endnote>
  <w:endnote w:type="continuationSeparator" w:id="0">
    <w:p w14:paraId="4D5D0781" w14:textId="77777777" w:rsidR="00DC54F8" w:rsidRDefault="00DC5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A6857" w14:textId="77777777" w:rsidR="00DC54F8" w:rsidRDefault="00DC54F8">
      <w:r>
        <w:separator/>
      </w:r>
    </w:p>
  </w:footnote>
  <w:footnote w:type="continuationSeparator" w:id="0">
    <w:p w14:paraId="44333E20" w14:textId="77777777" w:rsidR="00DC54F8" w:rsidRDefault="00DC54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1B84"/>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9D7"/>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54F8"/>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Spacing">
    <w:name w:val="No Spacing"/>
    <w:uiPriority w:val="1"/>
    <w:qFormat/>
    <w:rsid w:val="005A1B84"/>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1366</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Sioned Alys Gayther</cp:lastModifiedBy>
  <cp:revision>2</cp:revision>
  <cp:lastPrinted>2020-02-11T19:20:00Z</cp:lastPrinted>
  <dcterms:created xsi:type="dcterms:W3CDTF">2026-02-23T15:44:00Z</dcterms:created>
  <dcterms:modified xsi:type="dcterms:W3CDTF">2026-02-23T15:44:00Z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