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67314" w:rsidRPr="00244A04" w:rsidRDefault="00B67314" w:rsidP="00B67314">
      <w:r w:rsidRPr="00244A04">
        <w:t>Table 1 represents the means and standard deviations of the three pet types on each of the six well-being measures.</w:t>
      </w:r>
    </w:p>
    <w:tbl>
      <w:tblPr>
        <w:tblStyle w:val="TableGrid"/>
        <w:tblpPr w:leftFromText="180" w:rightFromText="180" w:vertAnchor="text" w:horzAnchor="margin" w:tblpY="-28"/>
        <w:tblW w:w="869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48"/>
        <w:gridCol w:w="1154"/>
        <w:gridCol w:w="851"/>
        <w:gridCol w:w="1276"/>
        <w:gridCol w:w="850"/>
        <w:gridCol w:w="1418"/>
        <w:gridCol w:w="898"/>
      </w:tblGrid>
      <w:tr w:rsidR="00B67314" w:rsidRPr="00244A04" w:rsidTr="00B67314">
        <w:trPr>
          <w:trHeight w:val="850"/>
        </w:trPr>
        <w:tc>
          <w:tcPr>
            <w:tcW w:w="8695" w:type="dxa"/>
            <w:gridSpan w:val="7"/>
            <w:tcBorders>
              <w:bottom w:val="single" w:sz="18" w:space="0" w:color="auto"/>
              <w:right w:val="single" w:sz="4" w:space="0" w:color="FFFFFF" w:themeColor="background1"/>
            </w:tcBorders>
            <w:vAlign w:val="center"/>
          </w:tcPr>
          <w:p w:rsidR="00B67314" w:rsidRPr="00005B8A" w:rsidRDefault="00B67314" w:rsidP="00B67314">
            <w:pPr>
              <w:spacing w:line="259" w:lineRule="auto"/>
              <w:rPr>
                <w:b/>
              </w:rPr>
            </w:pPr>
            <w:r w:rsidRPr="00005B8A">
              <w:rPr>
                <w:b/>
              </w:rPr>
              <w:t>Table 1</w:t>
            </w:r>
          </w:p>
          <w:p w:rsidR="00B67314" w:rsidRPr="00244A04" w:rsidRDefault="00B67314" w:rsidP="00B67314">
            <w:pPr>
              <w:spacing w:line="259" w:lineRule="auto"/>
              <w:rPr>
                <w:b/>
              </w:rPr>
            </w:pPr>
            <w:r w:rsidRPr="00244A04">
              <w:rPr>
                <w:i/>
              </w:rPr>
              <w:t>Mean differences and standard deviations of pet type on the six well-being scales</w:t>
            </w:r>
          </w:p>
        </w:tc>
      </w:tr>
      <w:tr w:rsidR="00B67314" w:rsidRPr="00244A04" w:rsidTr="00B67314">
        <w:trPr>
          <w:trHeight w:val="567"/>
        </w:trPr>
        <w:tc>
          <w:tcPr>
            <w:tcW w:w="2248" w:type="dxa"/>
            <w:tcBorders>
              <w:top w:val="single" w:sz="18" w:space="0" w:color="auto"/>
              <w:bottom w:val="single" w:sz="8" w:space="0" w:color="auto"/>
            </w:tcBorders>
            <w:vAlign w:val="center"/>
          </w:tcPr>
          <w:p w:rsidR="00B67314" w:rsidRPr="00244A04" w:rsidRDefault="00B67314" w:rsidP="00B67314">
            <w:pPr>
              <w:spacing w:line="259" w:lineRule="auto"/>
            </w:pPr>
          </w:p>
          <w:p w:rsidR="00B67314" w:rsidRPr="00244A04" w:rsidRDefault="00B67314" w:rsidP="00B67314">
            <w:pPr>
              <w:spacing w:line="259" w:lineRule="auto"/>
            </w:pPr>
            <w:r w:rsidRPr="00244A04">
              <w:t>Variable</w:t>
            </w:r>
          </w:p>
        </w:tc>
        <w:tc>
          <w:tcPr>
            <w:tcW w:w="1154" w:type="dxa"/>
            <w:tcBorders>
              <w:bottom w:val="single" w:sz="4" w:space="0" w:color="auto"/>
            </w:tcBorders>
            <w:vAlign w:val="center"/>
          </w:tcPr>
          <w:p w:rsidR="00B67314" w:rsidRPr="00244A04" w:rsidRDefault="00B67314" w:rsidP="00B67314">
            <w:pPr>
              <w:spacing w:line="259" w:lineRule="auto"/>
              <w:rPr>
                <w:sz w:val="20"/>
              </w:rPr>
            </w:pPr>
            <w:r w:rsidRPr="00244A04">
              <w:rPr>
                <w:sz w:val="18"/>
              </w:rPr>
              <w:t>Social P</w:t>
            </w:r>
            <w:r w:rsidRPr="00244A04">
              <w:rPr>
                <w:sz w:val="18"/>
              </w:rPr>
              <w:t>et</w:t>
            </w:r>
            <w:r w:rsidRPr="00244A04">
              <w:rPr>
                <w:sz w:val="18"/>
              </w:rPr>
              <w:t xml:space="preserve"> </w:t>
            </w:r>
            <w:r w:rsidRPr="00244A04">
              <w:rPr>
                <w:i/>
                <w:sz w:val="20"/>
              </w:rPr>
              <w:t>Mean</w:t>
            </w:r>
            <w:r w:rsidRPr="00244A04">
              <w:rPr>
                <w:i/>
                <w:sz w:val="20"/>
              </w:rPr>
              <w:t xml:space="preserve"> </w:t>
            </w:r>
          </w:p>
        </w:tc>
        <w:tc>
          <w:tcPr>
            <w:tcW w:w="851" w:type="dxa"/>
            <w:tcBorders>
              <w:bottom w:val="single" w:sz="4" w:space="0" w:color="auto"/>
            </w:tcBorders>
            <w:vAlign w:val="center"/>
          </w:tcPr>
          <w:p w:rsidR="00B67314" w:rsidRPr="00244A04" w:rsidRDefault="00B67314" w:rsidP="00B67314">
            <w:pPr>
              <w:spacing w:line="259" w:lineRule="auto"/>
              <w:rPr>
                <w:sz w:val="20"/>
              </w:rPr>
            </w:pPr>
          </w:p>
          <w:p w:rsidR="00B67314" w:rsidRPr="00244A04" w:rsidRDefault="00B67314" w:rsidP="00B67314">
            <w:pPr>
              <w:spacing w:line="259" w:lineRule="auto"/>
              <w:rPr>
                <w:i/>
                <w:sz w:val="20"/>
              </w:rPr>
            </w:pPr>
            <w:r w:rsidRPr="00244A04">
              <w:rPr>
                <w:i/>
                <w:sz w:val="20"/>
              </w:rPr>
              <w:t>SD</w:t>
            </w:r>
          </w:p>
        </w:tc>
        <w:tc>
          <w:tcPr>
            <w:tcW w:w="1276" w:type="dxa"/>
            <w:tcBorders>
              <w:bottom w:val="single" w:sz="4" w:space="0" w:color="auto"/>
            </w:tcBorders>
            <w:vAlign w:val="center"/>
          </w:tcPr>
          <w:p w:rsidR="00B67314" w:rsidRPr="00244A04" w:rsidRDefault="00B67314" w:rsidP="00B67314">
            <w:pPr>
              <w:tabs>
                <w:tab w:val="left" w:pos="1060"/>
              </w:tabs>
              <w:spacing w:line="259" w:lineRule="auto"/>
              <w:ind w:left="-108"/>
              <w:rPr>
                <w:sz w:val="20"/>
              </w:rPr>
            </w:pPr>
            <w:r w:rsidRPr="00244A04">
              <w:rPr>
                <w:sz w:val="18"/>
              </w:rPr>
              <w:t>Non-</w:t>
            </w:r>
            <w:r w:rsidRPr="00244A04">
              <w:rPr>
                <w:sz w:val="18"/>
              </w:rPr>
              <w:t>social</w:t>
            </w:r>
            <w:r w:rsidRPr="00244A04">
              <w:rPr>
                <w:sz w:val="18"/>
              </w:rPr>
              <w:t xml:space="preserve"> P</w:t>
            </w:r>
            <w:r w:rsidRPr="00244A04">
              <w:rPr>
                <w:sz w:val="18"/>
              </w:rPr>
              <w:t>et</w:t>
            </w:r>
            <w:r w:rsidRPr="00244A04">
              <w:rPr>
                <w:sz w:val="18"/>
              </w:rPr>
              <w:t xml:space="preserve"> </w:t>
            </w:r>
            <w:r w:rsidRPr="00244A04">
              <w:rPr>
                <w:i/>
                <w:sz w:val="20"/>
              </w:rPr>
              <w:t xml:space="preserve">Mean </w:t>
            </w:r>
          </w:p>
        </w:tc>
        <w:tc>
          <w:tcPr>
            <w:tcW w:w="850" w:type="dxa"/>
            <w:tcBorders>
              <w:bottom w:val="single" w:sz="4" w:space="0" w:color="auto"/>
            </w:tcBorders>
            <w:vAlign w:val="center"/>
          </w:tcPr>
          <w:p w:rsidR="00B67314" w:rsidRPr="00244A04" w:rsidRDefault="00B67314" w:rsidP="00B67314">
            <w:pPr>
              <w:spacing w:line="259" w:lineRule="auto"/>
              <w:ind w:left="-108"/>
              <w:rPr>
                <w:sz w:val="20"/>
              </w:rPr>
            </w:pPr>
            <w:r w:rsidRPr="00244A04">
              <w:rPr>
                <w:sz w:val="20"/>
              </w:rPr>
              <w:t xml:space="preserve">  </w:t>
            </w:r>
          </w:p>
          <w:p w:rsidR="00B67314" w:rsidRPr="00244A04" w:rsidRDefault="00B67314" w:rsidP="00B67314">
            <w:pPr>
              <w:spacing w:line="259" w:lineRule="auto"/>
              <w:ind w:left="-108"/>
              <w:rPr>
                <w:i/>
                <w:sz w:val="20"/>
              </w:rPr>
            </w:pPr>
            <w:r w:rsidRPr="00244A04">
              <w:rPr>
                <w:i/>
                <w:sz w:val="20"/>
              </w:rPr>
              <w:t>SD</w:t>
            </w:r>
          </w:p>
        </w:tc>
        <w:tc>
          <w:tcPr>
            <w:tcW w:w="1418" w:type="dxa"/>
            <w:tcBorders>
              <w:bottom w:val="single" w:sz="4" w:space="0" w:color="auto"/>
            </w:tcBorders>
            <w:vAlign w:val="center"/>
          </w:tcPr>
          <w:p w:rsidR="00B67314" w:rsidRPr="00244A04" w:rsidRDefault="00B67314" w:rsidP="00B67314">
            <w:pPr>
              <w:spacing w:line="259" w:lineRule="auto"/>
              <w:rPr>
                <w:i/>
                <w:sz w:val="20"/>
              </w:rPr>
            </w:pPr>
            <w:r w:rsidRPr="00244A04">
              <w:rPr>
                <w:i/>
                <w:sz w:val="18"/>
              </w:rPr>
              <w:t xml:space="preserve">Non- </w:t>
            </w:r>
            <w:r w:rsidRPr="00244A04">
              <w:rPr>
                <w:i/>
                <w:sz w:val="18"/>
              </w:rPr>
              <w:t>pet owner</w:t>
            </w:r>
            <w:r w:rsidRPr="00244A04">
              <w:rPr>
                <w:i/>
                <w:sz w:val="18"/>
              </w:rPr>
              <w:t xml:space="preserve"> </w:t>
            </w:r>
            <w:r w:rsidRPr="00244A04">
              <w:rPr>
                <w:i/>
                <w:sz w:val="20"/>
              </w:rPr>
              <w:t>Mean</w:t>
            </w:r>
            <w:r w:rsidRPr="00244A04">
              <w:rPr>
                <w:i/>
                <w:sz w:val="20"/>
              </w:rPr>
              <w:t xml:space="preserve"> </w:t>
            </w:r>
          </w:p>
        </w:tc>
        <w:tc>
          <w:tcPr>
            <w:tcW w:w="898" w:type="dxa"/>
            <w:tcBorders>
              <w:bottom w:val="single" w:sz="4" w:space="0" w:color="auto"/>
              <w:right w:val="single" w:sz="4" w:space="0" w:color="FFFFFF" w:themeColor="background1"/>
            </w:tcBorders>
            <w:vAlign w:val="center"/>
          </w:tcPr>
          <w:p w:rsidR="00B67314" w:rsidRPr="00244A04" w:rsidRDefault="00B67314" w:rsidP="00B67314">
            <w:pPr>
              <w:spacing w:line="259" w:lineRule="auto"/>
              <w:ind w:left="-108"/>
              <w:rPr>
                <w:i/>
                <w:sz w:val="20"/>
              </w:rPr>
            </w:pPr>
            <w:r w:rsidRPr="00244A04">
              <w:rPr>
                <w:i/>
                <w:sz w:val="20"/>
              </w:rPr>
              <w:t xml:space="preserve"> </w:t>
            </w:r>
          </w:p>
          <w:p w:rsidR="00B67314" w:rsidRPr="00244A04" w:rsidRDefault="00B67314" w:rsidP="00B67314">
            <w:pPr>
              <w:spacing w:line="259" w:lineRule="auto"/>
              <w:ind w:left="-108"/>
              <w:rPr>
                <w:i/>
                <w:sz w:val="20"/>
              </w:rPr>
            </w:pPr>
            <w:r w:rsidRPr="00244A04">
              <w:rPr>
                <w:i/>
                <w:sz w:val="20"/>
              </w:rPr>
              <w:t>SD</w:t>
            </w:r>
          </w:p>
        </w:tc>
      </w:tr>
      <w:tr w:rsidR="00B67314" w:rsidRPr="00244A04" w:rsidTr="00B67314">
        <w:trPr>
          <w:trHeight w:val="454"/>
        </w:trPr>
        <w:tc>
          <w:tcPr>
            <w:tcW w:w="2248" w:type="dxa"/>
            <w:tcBorders>
              <w:top w:val="single" w:sz="8" w:space="0" w:color="auto"/>
            </w:tcBorders>
            <w:vAlign w:val="bottom"/>
          </w:tcPr>
          <w:p w:rsidR="00B67314" w:rsidRPr="00244A04" w:rsidRDefault="00B67314" w:rsidP="00B67314">
            <w:pPr>
              <w:spacing w:after="160" w:line="259" w:lineRule="auto"/>
            </w:pPr>
            <w:r w:rsidRPr="00244A04">
              <w:t>Depression</w:t>
            </w:r>
          </w:p>
        </w:tc>
        <w:tc>
          <w:tcPr>
            <w:tcW w:w="1154" w:type="dxa"/>
            <w:tcBorders>
              <w:top w:val="single" w:sz="4" w:space="0" w:color="auto"/>
            </w:tcBorders>
            <w:vAlign w:val="bottom"/>
          </w:tcPr>
          <w:p w:rsidR="00B67314" w:rsidRPr="00244A04" w:rsidRDefault="00B67314" w:rsidP="00B67314">
            <w:pPr>
              <w:spacing w:after="160" w:line="259" w:lineRule="auto"/>
            </w:pPr>
            <w:r w:rsidRPr="00244A04">
              <w:t>58.09</w:t>
            </w:r>
          </w:p>
        </w:tc>
        <w:tc>
          <w:tcPr>
            <w:tcW w:w="851" w:type="dxa"/>
            <w:tcBorders>
              <w:top w:val="single" w:sz="4" w:space="0" w:color="auto"/>
            </w:tcBorders>
            <w:vAlign w:val="bottom"/>
          </w:tcPr>
          <w:p w:rsidR="00B67314" w:rsidRPr="00244A04" w:rsidRDefault="00B67314" w:rsidP="00B67314">
            <w:pPr>
              <w:spacing w:after="160" w:line="259" w:lineRule="auto"/>
            </w:pPr>
            <w:r w:rsidRPr="00244A04">
              <w:t>12.46</w:t>
            </w:r>
          </w:p>
        </w:tc>
        <w:tc>
          <w:tcPr>
            <w:tcW w:w="1276" w:type="dxa"/>
            <w:tcBorders>
              <w:top w:val="single" w:sz="4" w:space="0" w:color="auto"/>
            </w:tcBorders>
            <w:vAlign w:val="bottom"/>
          </w:tcPr>
          <w:p w:rsidR="00B67314" w:rsidRPr="00244A04" w:rsidRDefault="00B67314" w:rsidP="00B67314">
            <w:pPr>
              <w:spacing w:after="160" w:line="259" w:lineRule="auto"/>
            </w:pPr>
            <w:r w:rsidRPr="00244A04">
              <w:t>51.17</w:t>
            </w:r>
          </w:p>
        </w:tc>
        <w:tc>
          <w:tcPr>
            <w:tcW w:w="850" w:type="dxa"/>
            <w:tcBorders>
              <w:top w:val="single" w:sz="4" w:space="0" w:color="auto"/>
            </w:tcBorders>
            <w:vAlign w:val="bottom"/>
          </w:tcPr>
          <w:p w:rsidR="00B67314" w:rsidRPr="00244A04" w:rsidRDefault="00B67314" w:rsidP="00B67314">
            <w:pPr>
              <w:spacing w:after="160" w:line="259" w:lineRule="auto"/>
              <w:ind w:left="-108"/>
            </w:pPr>
            <w:r w:rsidRPr="00244A04">
              <w:t>14.01</w:t>
            </w:r>
          </w:p>
        </w:tc>
        <w:tc>
          <w:tcPr>
            <w:tcW w:w="1418" w:type="dxa"/>
            <w:tcBorders>
              <w:top w:val="single" w:sz="4" w:space="0" w:color="auto"/>
            </w:tcBorders>
            <w:vAlign w:val="bottom"/>
          </w:tcPr>
          <w:p w:rsidR="00B67314" w:rsidRPr="00244A04" w:rsidRDefault="00B67314" w:rsidP="00B67314">
            <w:pPr>
              <w:spacing w:after="160" w:line="259" w:lineRule="auto"/>
            </w:pPr>
            <w:r w:rsidRPr="00244A04">
              <w:t>48.67</w:t>
            </w:r>
          </w:p>
        </w:tc>
        <w:tc>
          <w:tcPr>
            <w:tcW w:w="898" w:type="dxa"/>
            <w:tcBorders>
              <w:top w:val="single" w:sz="4" w:space="0" w:color="auto"/>
              <w:right w:val="single" w:sz="4" w:space="0" w:color="FFFFFF" w:themeColor="background1"/>
            </w:tcBorders>
            <w:vAlign w:val="bottom"/>
          </w:tcPr>
          <w:p w:rsidR="00B67314" w:rsidRPr="00244A04" w:rsidRDefault="00B67314" w:rsidP="00B67314">
            <w:pPr>
              <w:spacing w:after="160" w:line="259" w:lineRule="auto"/>
              <w:ind w:left="-108"/>
            </w:pPr>
            <w:r w:rsidRPr="00244A04">
              <w:t>19.74</w:t>
            </w:r>
          </w:p>
        </w:tc>
      </w:tr>
      <w:tr w:rsidR="00B67314" w:rsidRPr="00244A04" w:rsidTr="00B67314">
        <w:trPr>
          <w:trHeight w:val="283"/>
        </w:trPr>
        <w:tc>
          <w:tcPr>
            <w:tcW w:w="2248" w:type="dxa"/>
            <w:vAlign w:val="center"/>
          </w:tcPr>
          <w:p w:rsidR="00B67314" w:rsidRPr="00244A04" w:rsidRDefault="00B67314" w:rsidP="00B67314">
            <w:pPr>
              <w:spacing w:after="160" w:line="259" w:lineRule="auto"/>
            </w:pPr>
            <w:r w:rsidRPr="00244A04">
              <w:t>Loneliness</w:t>
            </w:r>
          </w:p>
        </w:tc>
        <w:tc>
          <w:tcPr>
            <w:tcW w:w="1154" w:type="dxa"/>
            <w:vAlign w:val="center"/>
          </w:tcPr>
          <w:p w:rsidR="00B67314" w:rsidRPr="00244A04" w:rsidRDefault="00B67314" w:rsidP="00B67314">
            <w:pPr>
              <w:spacing w:after="160" w:line="259" w:lineRule="auto"/>
            </w:pPr>
            <w:r w:rsidRPr="00244A04">
              <w:t>42.34</w:t>
            </w:r>
          </w:p>
        </w:tc>
        <w:tc>
          <w:tcPr>
            <w:tcW w:w="851" w:type="dxa"/>
            <w:vAlign w:val="center"/>
          </w:tcPr>
          <w:p w:rsidR="00B67314" w:rsidRPr="00244A04" w:rsidRDefault="00B67314" w:rsidP="00B67314">
            <w:pPr>
              <w:spacing w:after="160" w:line="259" w:lineRule="auto"/>
            </w:pPr>
            <w:r w:rsidRPr="00244A04">
              <w:t>11.71</w:t>
            </w:r>
          </w:p>
        </w:tc>
        <w:tc>
          <w:tcPr>
            <w:tcW w:w="1276" w:type="dxa"/>
            <w:vAlign w:val="center"/>
          </w:tcPr>
          <w:p w:rsidR="00B67314" w:rsidRPr="00244A04" w:rsidRDefault="00B67314" w:rsidP="00B67314">
            <w:pPr>
              <w:spacing w:after="160" w:line="259" w:lineRule="auto"/>
            </w:pPr>
            <w:r w:rsidRPr="00244A04">
              <w:t>40.56</w:t>
            </w:r>
          </w:p>
        </w:tc>
        <w:tc>
          <w:tcPr>
            <w:tcW w:w="850" w:type="dxa"/>
            <w:vAlign w:val="center"/>
          </w:tcPr>
          <w:p w:rsidR="00B67314" w:rsidRPr="00244A04" w:rsidRDefault="00B67314" w:rsidP="00B67314">
            <w:pPr>
              <w:spacing w:after="160" w:line="259" w:lineRule="auto"/>
              <w:ind w:left="-108"/>
            </w:pPr>
            <w:r w:rsidRPr="00244A04">
              <w:t>11.28</w:t>
            </w:r>
          </w:p>
        </w:tc>
        <w:tc>
          <w:tcPr>
            <w:tcW w:w="1418" w:type="dxa"/>
            <w:vAlign w:val="center"/>
          </w:tcPr>
          <w:p w:rsidR="00B67314" w:rsidRPr="00244A04" w:rsidRDefault="00B67314" w:rsidP="00B67314">
            <w:pPr>
              <w:spacing w:after="160" w:line="259" w:lineRule="auto"/>
            </w:pPr>
            <w:r w:rsidRPr="00244A04">
              <w:t>32.35</w:t>
            </w:r>
          </w:p>
        </w:tc>
        <w:tc>
          <w:tcPr>
            <w:tcW w:w="898" w:type="dxa"/>
            <w:tcBorders>
              <w:right w:val="single" w:sz="4" w:space="0" w:color="FFFFFF" w:themeColor="background1"/>
            </w:tcBorders>
            <w:vAlign w:val="center"/>
          </w:tcPr>
          <w:p w:rsidR="00B67314" w:rsidRPr="00244A04" w:rsidRDefault="00B67314" w:rsidP="00B67314">
            <w:pPr>
              <w:spacing w:after="160" w:line="259" w:lineRule="auto"/>
              <w:ind w:left="-108"/>
            </w:pPr>
            <w:r w:rsidRPr="00244A04">
              <w:t>15.30</w:t>
            </w:r>
          </w:p>
        </w:tc>
      </w:tr>
      <w:tr w:rsidR="00B67314" w:rsidRPr="00244A04" w:rsidTr="00B67314">
        <w:trPr>
          <w:trHeight w:val="283"/>
        </w:trPr>
        <w:tc>
          <w:tcPr>
            <w:tcW w:w="2248" w:type="dxa"/>
            <w:vAlign w:val="center"/>
          </w:tcPr>
          <w:p w:rsidR="00B67314" w:rsidRPr="00244A04" w:rsidRDefault="00B67314" w:rsidP="00B67314">
            <w:pPr>
              <w:spacing w:after="160" w:line="259" w:lineRule="auto"/>
            </w:pPr>
            <w:r w:rsidRPr="00244A04">
              <w:t>Self-esteem</w:t>
            </w:r>
          </w:p>
        </w:tc>
        <w:tc>
          <w:tcPr>
            <w:tcW w:w="1154" w:type="dxa"/>
            <w:vAlign w:val="center"/>
          </w:tcPr>
          <w:p w:rsidR="00B67314" w:rsidRPr="00244A04" w:rsidRDefault="00B67314" w:rsidP="00B67314">
            <w:pPr>
              <w:spacing w:after="160" w:line="259" w:lineRule="auto"/>
            </w:pPr>
            <w:r w:rsidRPr="00244A04">
              <w:t>18.30</w:t>
            </w:r>
          </w:p>
        </w:tc>
        <w:tc>
          <w:tcPr>
            <w:tcW w:w="851" w:type="dxa"/>
            <w:vAlign w:val="center"/>
          </w:tcPr>
          <w:p w:rsidR="00B67314" w:rsidRPr="00244A04" w:rsidRDefault="00B67314" w:rsidP="00B67314">
            <w:pPr>
              <w:spacing w:after="160" w:line="259" w:lineRule="auto"/>
            </w:pPr>
            <w:r w:rsidRPr="00244A04">
              <w:t>5.61</w:t>
            </w:r>
          </w:p>
        </w:tc>
        <w:tc>
          <w:tcPr>
            <w:tcW w:w="1276" w:type="dxa"/>
            <w:vAlign w:val="center"/>
          </w:tcPr>
          <w:p w:rsidR="00B67314" w:rsidRPr="00244A04" w:rsidRDefault="00B67314" w:rsidP="00B67314">
            <w:pPr>
              <w:spacing w:after="160" w:line="259" w:lineRule="auto"/>
            </w:pPr>
            <w:r w:rsidRPr="00244A04">
              <w:t>20.87</w:t>
            </w:r>
          </w:p>
        </w:tc>
        <w:tc>
          <w:tcPr>
            <w:tcW w:w="850" w:type="dxa"/>
            <w:vAlign w:val="center"/>
          </w:tcPr>
          <w:p w:rsidR="00B67314" w:rsidRPr="00244A04" w:rsidRDefault="00B67314" w:rsidP="00B67314">
            <w:pPr>
              <w:spacing w:after="160" w:line="259" w:lineRule="auto"/>
              <w:ind w:left="-108"/>
            </w:pPr>
            <w:r w:rsidRPr="00244A04">
              <w:t>4.93</w:t>
            </w:r>
          </w:p>
        </w:tc>
        <w:tc>
          <w:tcPr>
            <w:tcW w:w="1418" w:type="dxa"/>
            <w:vAlign w:val="center"/>
          </w:tcPr>
          <w:p w:rsidR="00B67314" w:rsidRPr="00244A04" w:rsidRDefault="00B67314" w:rsidP="00B67314">
            <w:pPr>
              <w:spacing w:after="160" w:line="259" w:lineRule="auto"/>
            </w:pPr>
            <w:r w:rsidRPr="00244A04">
              <w:t>18.94</w:t>
            </w:r>
          </w:p>
        </w:tc>
        <w:tc>
          <w:tcPr>
            <w:tcW w:w="898" w:type="dxa"/>
            <w:tcBorders>
              <w:right w:val="single" w:sz="4" w:space="0" w:color="FFFFFF" w:themeColor="background1"/>
            </w:tcBorders>
            <w:vAlign w:val="center"/>
          </w:tcPr>
          <w:p w:rsidR="00B67314" w:rsidRPr="00244A04" w:rsidRDefault="00B67314" w:rsidP="00B67314">
            <w:pPr>
              <w:spacing w:after="160" w:line="259" w:lineRule="auto"/>
              <w:ind w:left="-108"/>
            </w:pPr>
            <w:r w:rsidRPr="00244A04">
              <w:t>7.58</w:t>
            </w:r>
          </w:p>
        </w:tc>
      </w:tr>
      <w:tr w:rsidR="00B67314" w:rsidRPr="00244A04" w:rsidTr="00B67314">
        <w:trPr>
          <w:trHeight w:val="283"/>
        </w:trPr>
        <w:tc>
          <w:tcPr>
            <w:tcW w:w="2248" w:type="dxa"/>
            <w:vAlign w:val="center"/>
          </w:tcPr>
          <w:p w:rsidR="00B67314" w:rsidRPr="00244A04" w:rsidRDefault="00B67314" w:rsidP="00B67314">
            <w:pPr>
              <w:spacing w:after="160" w:line="259" w:lineRule="auto"/>
            </w:pPr>
            <w:r w:rsidRPr="00244A04">
              <w:t>Physical illness</w:t>
            </w:r>
          </w:p>
        </w:tc>
        <w:tc>
          <w:tcPr>
            <w:tcW w:w="1154" w:type="dxa"/>
            <w:vAlign w:val="center"/>
          </w:tcPr>
          <w:p w:rsidR="00B67314" w:rsidRPr="00244A04" w:rsidRDefault="00B67314" w:rsidP="00B67314">
            <w:pPr>
              <w:spacing w:after="160" w:line="259" w:lineRule="auto"/>
            </w:pPr>
            <w:r w:rsidRPr="00244A04">
              <w:t>94.18</w:t>
            </w:r>
          </w:p>
        </w:tc>
        <w:tc>
          <w:tcPr>
            <w:tcW w:w="851" w:type="dxa"/>
            <w:vAlign w:val="center"/>
          </w:tcPr>
          <w:p w:rsidR="00B67314" w:rsidRPr="00244A04" w:rsidRDefault="00B67314" w:rsidP="00B67314">
            <w:pPr>
              <w:spacing w:after="160" w:line="259" w:lineRule="auto"/>
            </w:pPr>
            <w:r w:rsidRPr="00244A04">
              <w:t>24.93</w:t>
            </w:r>
          </w:p>
        </w:tc>
        <w:tc>
          <w:tcPr>
            <w:tcW w:w="1276" w:type="dxa"/>
            <w:vAlign w:val="center"/>
          </w:tcPr>
          <w:p w:rsidR="00B67314" w:rsidRPr="00244A04" w:rsidRDefault="00B67314" w:rsidP="00B67314">
            <w:pPr>
              <w:spacing w:after="160" w:line="259" w:lineRule="auto"/>
            </w:pPr>
            <w:r w:rsidRPr="00244A04">
              <w:t>92.19</w:t>
            </w:r>
          </w:p>
        </w:tc>
        <w:tc>
          <w:tcPr>
            <w:tcW w:w="850" w:type="dxa"/>
            <w:vAlign w:val="center"/>
          </w:tcPr>
          <w:p w:rsidR="00B67314" w:rsidRPr="00244A04" w:rsidRDefault="00B67314" w:rsidP="00B67314">
            <w:pPr>
              <w:spacing w:after="160" w:line="259" w:lineRule="auto"/>
              <w:ind w:left="-108"/>
            </w:pPr>
            <w:r w:rsidRPr="00244A04">
              <w:t>18.72</w:t>
            </w:r>
          </w:p>
        </w:tc>
        <w:tc>
          <w:tcPr>
            <w:tcW w:w="1418" w:type="dxa"/>
            <w:vAlign w:val="center"/>
          </w:tcPr>
          <w:p w:rsidR="00B67314" w:rsidRPr="00244A04" w:rsidRDefault="00B67314" w:rsidP="00B67314">
            <w:pPr>
              <w:spacing w:after="160" w:line="259" w:lineRule="auto"/>
            </w:pPr>
            <w:r w:rsidRPr="00244A04">
              <w:t>93.00</w:t>
            </w:r>
          </w:p>
        </w:tc>
        <w:tc>
          <w:tcPr>
            <w:tcW w:w="898" w:type="dxa"/>
            <w:tcBorders>
              <w:right w:val="single" w:sz="4" w:space="0" w:color="FFFFFF" w:themeColor="background1"/>
            </w:tcBorders>
            <w:vAlign w:val="center"/>
          </w:tcPr>
          <w:p w:rsidR="00B67314" w:rsidRPr="00244A04" w:rsidRDefault="00B67314" w:rsidP="00B67314">
            <w:pPr>
              <w:spacing w:after="160" w:line="259" w:lineRule="auto"/>
              <w:ind w:left="-138"/>
            </w:pPr>
            <w:r w:rsidRPr="00244A04">
              <w:t>24.06</w:t>
            </w:r>
          </w:p>
        </w:tc>
      </w:tr>
      <w:tr w:rsidR="00B67314" w:rsidRPr="00244A04" w:rsidTr="00B67314">
        <w:trPr>
          <w:trHeight w:val="283"/>
        </w:trPr>
        <w:tc>
          <w:tcPr>
            <w:tcW w:w="2248" w:type="dxa"/>
            <w:vAlign w:val="center"/>
          </w:tcPr>
          <w:p w:rsidR="00B67314" w:rsidRPr="00244A04" w:rsidRDefault="00B67314" w:rsidP="00B67314">
            <w:pPr>
              <w:spacing w:after="160" w:line="259" w:lineRule="auto"/>
            </w:pPr>
            <w:r w:rsidRPr="00244A04">
              <w:t xml:space="preserve">Subjective happiness </w:t>
            </w:r>
          </w:p>
        </w:tc>
        <w:tc>
          <w:tcPr>
            <w:tcW w:w="1154" w:type="dxa"/>
            <w:vAlign w:val="center"/>
          </w:tcPr>
          <w:p w:rsidR="00B67314" w:rsidRPr="00244A04" w:rsidRDefault="00B67314" w:rsidP="00B67314">
            <w:pPr>
              <w:spacing w:after="160" w:line="259" w:lineRule="auto"/>
            </w:pPr>
            <w:r w:rsidRPr="00244A04">
              <w:t>18.12</w:t>
            </w:r>
          </w:p>
        </w:tc>
        <w:tc>
          <w:tcPr>
            <w:tcW w:w="851" w:type="dxa"/>
            <w:vAlign w:val="center"/>
          </w:tcPr>
          <w:p w:rsidR="00B67314" w:rsidRPr="00244A04" w:rsidRDefault="00B67314" w:rsidP="00B67314">
            <w:pPr>
              <w:spacing w:after="160" w:line="259" w:lineRule="auto"/>
            </w:pPr>
            <w:r w:rsidRPr="00244A04">
              <w:t>8.13</w:t>
            </w:r>
          </w:p>
        </w:tc>
        <w:tc>
          <w:tcPr>
            <w:tcW w:w="1276" w:type="dxa"/>
            <w:vAlign w:val="center"/>
          </w:tcPr>
          <w:p w:rsidR="00B67314" w:rsidRPr="00244A04" w:rsidRDefault="00B67314" w:rsidP="00B67314">
            <w:pPr>
              <w:spacing w:after="160" w:line="259" w:lineRule="auto"/>
            </w:pPr>
            <w:r w:rsidRPr="00244A04">
              <w:t>18.77</w:t>
            </w:r>
          </w:p>
        </w:tc>
        <w:tc>
          <w:tcPr>
            <w:tcW w:w="850" w:type="dxa"/>
            <w:vAlign w:val="center"/>
          </w:tcPr>
          <w:p w:rsidR="00B67314" w:rsidRPr="00244A04" w:rsidRDefault="00B67314" w:rsidP="00B67314">
            <w:pPr>
              <w:spacing w:after="160" w:line="259" w:lineRule="auto"/>
              <w:ind w:left="-108"/>
            </w:pPr>
            <w:r w:rsidRPr="00244A04">
              <w:t>4.38</w:t>
            </w:r>
          </w:p>
        </w:tc>
        <w:tc>
          <w:tcPr>
            <w:tcW w:w="1418" w:type="dxa"/>
            <w:vAlign w:val="center"/>
          </w:tcPr>
          <w:p w:rsidR="00B67314" w:rsidRPr="00244A04" w:rsidRDefault="00B67314" w:rsidP="00B67314">
            <w:pPr>
              <w:spacing w:after="160" w:line="259" w:lineRule="auto"/>
            </w:pPr>
            <w:r w:rsidRPr="00244A04">
              <w:t>17.75</w:t>
            </w:r>
          </w:p>
        </w:tc>
        <w:tc>
          <w:tcPr>
            <w:tcW w:w="898" w:type="dxa"/>
            <w:tcBorders>
              <w:right w:val="single" w:sz="4" w:space="0" w:color="FFFFFF" w:themeColor="background1"/>
            </w:tcBorders>
            <w:vAlign w:val="center"/>
          </w:tcPr>
          <w:p w:rsidR="00B67314" w:rsidRPr="00244A04" w:rsidRDefault="00B67314" w:rsidP="00B67314">
            <w:pPr>
              <w:spacing w:after="160" w:line="259" w:lineRule="auto"/>
              <w:ind w:left="-108"/>
            </w:pPr>
            <w:r w:rsidRPr="00244A04">
              <w:t>6.08</w:t>
            </w:r>
          </w:p>
        </w:tc>
      </w:tr>
      <w:tr w:rsidR="00B67314" w:rsidRPr="00244A04" w:rsidTr="00B67314">
        <w:trPr>
          <w:trHeight w:val="454"/>
        </w:trPr>
        <w:tc>
          <w:tcPr>
            <w:tcW w:w="2248" w:type="dxa"/>
            <w:tcBorders>
              <w:bottom w:val="single" w:sz="4" w:space="0" w:color="auto"/>
            </w:tcBorders>
          </w:tcPr>
          <w:p w:rsidR="00B67314" w:rsidRPr="00244A04" w:rsidRDefault="00B67314" w:rsidP="00B67314">
            <w:pPr>
              <w:spacing w:after="160" w:line="259" w:lineRule="auto"/>
            </w:pPr>
            <w:r w:rsidRPr="00244A04">
              <w:t>Exercise and fitness</w:t>
            </w:r>
          </w:p>
        </w:tc>
        <w:tc>
          <w:tcPr>
            <w:tcW w:w="1154" w:type="dxa"/>
            <w:tcBorders>
              <w:bottom w:val="single" w:sz="4" w:space="0" w:color="auto"/>
            </w:tcBorders>
          </w:tcPr>
          <w:p w:rsidR="00B67314" w:rsidRPr="00244A04" w:rsidRDefault="00B67314" w:rsidP="00B67314">
            <w:pPr>
              <w:spacing w:after="160" w:line="259" w:lineRule="auto"/>
            </w:pPr>
            <w:r w:rsidRPr="00244A04">
              <w:t>4.68</w:t>
            </w:r>
          </w:p>
        </w:tc>
        <w:tc>
          <w:tcPr>
            <w:tcW w:w="851" w:type="dxa"/>
            <w:tcBorders>
              <w:bottom w:val="single" w:sz="4" w:space="0" w:color="auto"/>
            </w:tcBorders>
          </w:tcPr>
          <w:p w:rsidR="00B67314" w:rsidRPr="00244A04" w:rsidRDefault="00B67314" w:rsidP="00B67314">
            <w:pPr>
              <w:spacing w:after="160" w:line="259" w:lineRule="auto"/>
            </w:pPr>
            <w:r w:rsidRPr="00244A04">
              <w:t>2.06</w:t>
            </w:r>
          </w:p>
        </w:tc>
        <w:tc>
          <w:tcPr>
            <w:tcW w:w="1276" w:type="dxa"/>
            <w:tcBorders>
              <w:bottom w:val="single" w:sz="4" w:space="0" w:color="auto"/>
            </w:tcBorders>
          </w:tcPr>
          <w:p w:rsidR="00B67314" w:rsidRPr="00244A04" w:rsidRDefault="00B67314" w:rsidP="00B67314">
            <w:pPr>
              <w:spacing w:after="160" w:line="259" w:lineRule="auto"/>
            </w:pPr>
            <w:r w:rsidRPr="00244A04">
              <w:t>3.38</w:t>
            </w:r>
          </w:p>
        </w:tc>
        <w:tc>
          <w:tcPr>
            <w:tcW w:w="850" w:type="dxa"/>
            <w:tcBorders>
              <w:bottom w:val="single" w:sz="4" w:space="0" w:color="auto"/>
            </w:tcBorders>
          </w:tcPr>
          <w:p w:rsidR="00B67314" w:rsidRPr="00244A04" w:rsidRDefault="00B67314" w:rsidP="00B67314">
            <w:pPr>
              <w:spacing w:after="160" w:line="259" w:lineRule="auto"/>
              <w:ind w:left="-108"/>
            </w:pPr>
            <w:r w:rsidRPr="00244A04">
              <w:t>1.84</w:t>
            </w:r>
          </w:p>
        </w:tc>
        <w:tc>
          <w:tcPr>
            <w:tcW w:w="1418" w:type="dxa"/>
            <w:tcBorders>
              <w:bottom w:val="single" w:sz="4" w:space="0" w:color="auto"/>
            </w:tcBorders>
          </w:tcPr>
          <w:p w:rsidR="00B67314" w:rsidRPr="00244A04" w:rsidRDefault="00B67314" w:rsidP="00B67314">
            <w:pPr>
              <w:spacing w:after="160" w:line="259" w:lineRule="auto"/>
            </w:pPr>
            <w:r w:rsidRPr="00244A04">
              <w:t>4.44</w:t>
            </w:r>
          </w:p>
        </w:tc>
        <w:tc>
          <w:tcPr>
            <w:tcW w:w="898" w:type="dxa"/>
            <w:tcBorders>
              <w:bottom w:val="single" w:sz="4" w:space="0" w:color="auto"/>
              <w:right w:val="single" w:sz="4" w:space="0" w:color="FFFFFF" w:themeColor="background1"/>
            </w:tcBorders>
          </w:tcPr>
          <w:p w:rsidR="00B67314" w:rsidRPr="00244A04" w:rsidRDefault="00B67314" w:rsidP="00B67314">
            <w:pPr>
              <w:spacing w:after="160" w:line="259" w:lineRule="auto"/>
              <w:ind w:left="-108"/>
            </w:pPr>
            <w:r w:rsidRPr="00244A04">
              <w:t>3.55</w:t>
            </w:r>
          </w:p>
        </w:tc>
      </w:tr>
    </w:tbl>
    <w:p w:rsidR="00B67314" w:rsidRPr="00244A04" w:rsidRDefault="00B67314" w:rsidP="00B67314"/>
    <w:p w:rsidR="00B67314" w:rsidRPr="00244A04" w:rsidRDefault="00B67314" w:rsidP="00244A04">
      <w:pPr>
        <w:spacing w:line="276" w:lineRule="auto"/>
      </w:pPr>
      <w:r w:rsidRPr="00244A04">
        <w:t>When looking at depression, it can be seen that the greatest mean is for individuals owning a social pet, non-pet owners having the lowest mean. For loneliness, the same pattern can be observed as for depression. Mean scores for self-esteem, physical illness, subjective happiness, and exercise and fitness are similar, with no significant differences. In order to explore whether these differences are significant, a two-way mixed ANOVA was used. A significant pet type x depression interaction was found (</w:t>
      </w:r>
      <w:proofErr w:type="gramStart"/>
      <w:r w:rsidRPr="00244A04">
        <w:t>F(</w:t>
      </w:r>
      <w:proofErr w:type="gramEnd"/>
      <w:r w:rsidRPr="00244A04">
        <w:t xml:space="preserve">2,149) = 5.187, </w:t>
      </w:r>
      <w:r w:rsidRPr="00244A04">
        <w:rPr>
          <w:i/>
        </w:rPr>
        <w:t>p</w:t>
      </w:r>
      <w:r w:rsidRPr="00244A04">
        <w:t xml:space="preserve"> &lt; .05), significant pet type x loneliness interaction was found (F(2,149) = 8.633, </w:t>
      </w:r>
      <w:r w:rsidRPr="00244A04">
        <w:rPr>
          <w:i/>
        </w:rPr>
        <w:t>p</w:t>
      </w:r>
      <w:r w:rsidRPr="00244A04">
        <w:t xml:space="preserve"> &lt; .05), as well as a pet type x exercise interaction was found (F(2,149) = 3.636, </w:t>
      </w:r>
      <w:r w:rsidRPr="00244A04">
        <w:rPr>
          <w:i/>
        </w:rPr>
        <w:t>p</w:t>
      </w:r>
      <w:r w:rsidRPr="00244A04">
        <w:t xml:space="preserve"> &lt; .05). </w:t>
      </w:r>
    </w:p>
    <w:p w:rsidR="00B67314" w:rsidRPr="00244A04" w:rsidRDefault="00B67314" w:rsidP="00244A04">
      <w:pPr>
        <w:spacing w:line="276" w:lineRule="auto"/>
      </w:pPr>
      <w:r w:rsidRPr="00244A04">
        <w:t>Employing the Bonferroni post-hoc test, when looking at depression, significant differences were found between social pet owners and non-pet owners (</w:t>
      </w:r>
      <w:r w:rsidRPr="00244A04">
        <w:rPr>
          <w:i/>
        </w:rPr>
        <w:t>p</w:t>
      </w:r>
      <w:r w:rsidRPr="00244A04">
        <w:t xml:space="preserve"> &lt; .05). This means that depression in social pet owners was significantly lower than non-pet owners. Also, significant differences were found between social and non-social pet owners (</w:t>
      </w:r>
      <w:r w:rsidRPr="00244A04">
        <w:rPr>
          <w:i/>
        </w:rPr>
        <w:t>p</w:t>
      </w:r>
      <w:r w:rsidRPr="00244A04">
        <w:t xml:space="preserve"> &lt; .05), social owners having higher well-being than non-social pet owners, however, no significant differences were found between non-social pet owners and non-pet owners (</w:t>
      </w:r>
      <w:r w:rsidRPr="00244A04">
        <w:rPr>
          <w:i/>
        </w:rPr>
        <w:t>p</w:t>
      </w:r>
      <w:r w:rsidRPr="00244A04">
        <w:t xml:space="preserve"> &gt; .05). Post hoc results for loneliness revealed significant differences between non-pet owners and social pet owners (</w:t>
      </w:r>
      <w:r w:rsidRPr="00244A04">
        <w:rPr>
          <w:i/>
        </w:rPr>
        <w:t>p</w:t>
      </w:r>
      <w:r w:rsidRPr="00244A04">
        <w:t xml:space="preserve"> &lt; .05), meaning that social pet owners reported lower loneliness than non-pet owners, as well as between non-pet owners and non-social pet owners (</w:t>
      </w:r>
      <w:r w:rsidRPr="00244A04">
        <w:rPr>
          <w:i/>
        </w:rPr>
        <w:t>p</w:t>
      </w:r>
      <w:r w:rsidRPr="00244A04">
        <w:t xml:space="preserve"> &lt; .05), meaning that loneliness was higher for non-pet owners than for non-social pet owners, however, no significant differences were found between social and non-social pet owners (</w:t>
      </w:r>
      <w:r w:rsidRPr="00244A04">
        <w:rPr>
          <w:i/>
        </w:rPr>
        <w:t>p</w:t>
      </w:r>
      <w:r w:rsidRPr="00244A04">
        <w:t xml:space="preserve"> &gt; .05). Finally, post hoc tests on the exercise and fitness scale revealed a significant difference between social and non-social pet owners (</w:t>
      </w:r>
      <w:r w:rsidRPr="00244A04">
        <w:rPr>
          <w:i/>
        </w:rPr>
        <w:t>p</w:t>
      </w:r>
      <w:r w:rsidRPr="00244A04">
        <w:t xml:space="preserve"> &lt; .05), meaning that social owners exercise more frequently and have higher fitness levels than non-social pet owners, however, no significant differences were found between non-pet owners and social pet owners (</w:t>
      </w:r>
      <w:r w:rsidRPr="00244A04">
        <w:rPr>
          <w:i/>
        </w:rPr>
        <w:t>p</w:t>
      </w:r>
      <w:r w:rsidRPr="00244A04">
        <w:t xml:space="preserve"> &gt; .05), and non-pet owners and non-social pet owners (</w:t>
      </w:r>
      <w:r w:rsidRPr="00244A04">
        <w:rPr>
          <w:i/>
        </w:rPr>
        <w:t>p</w:t>
      </w:r>
      <w:r w:rsidRPr="00244A04">
        <w:t xml:space="preserve"> &gt; .05).</w:t>
      </w:r>
    </w:p>
    <w:p w:rsidR="00244A04" w:rsidRPr="00244A04" w:rsidRDefault="00244A04" w:rsidP="00B67314"/>
    <w:p w:rsidR="00244A04" w:rsidRPr="00244A04" w:rsidRDefault="00244A04" w:rsidP="00B67314"/>
    <w:p w:rsidR="00244A04" w:rsidRPr="00244A04" w:rsidRDefault="00244A04" w:rsidP="00B67314"/>
    <w:p w:rsidR="00005B8A" w:rsidRDefault="00244A04" w:rsidP="00005B8A">
      <w:pPr>
        <w:spacing w:after="0" w:line="276" w:lineRule="auto"/>
        <w:rPr>
          <w:rFonts w:eastAsia="Calibri" w:cs="Times New Roman"/>
          <w:b/>
          <w:szCs w:val="24"/>
        </w:rPr>
      </w:pPr>
      <w:r w:rsidRPr="00244A04">
        <w:rPr>
          <w:rFonts w:eastAsia="Calibri" w:cs="Times New Roman"/>
          <w:sz w:val="24"/>
          <w:szCs w:val="24"/>
        </w:rPr>
        <w:lastRenderedPageBreak/>
        <w:t xml:space="preserve">Table </w:t>
      </w:r>
      <w:r>
        <w:rPr>
          <w:rFonts w:eastAsia="Calibri" w:cs="Times New Roman"/>
          <w:sz w:val="24"/>
          <w:szCs w:val="24"/>
        </w:rPr>
        <w:t>2</w:t>
      </w:r>
      <w:r w:rsidRPr="00244A04">
        <w:rPr>
          <w:rFonts w:eastAsia="Calibri" w:cs="Times New Roman"/>
          <w:sz w:val="24"/>
          <w:szCs w:val="24"/>
        </w:rPr>
        <w:t xml:space="preserve"> shows the mean scores and standard deviation for the interactions between cognition and task length within the ADHD group.  </w:t>
      </w:r>
      <w:r w:rsidRPr="00244A04">
        <w:rPr>
          <w:rFonts w:eastAsia="Calibri" w:cs="Times New Roman"/>
          <w:sz w:val="24"/>
          <w:szCs w:val="24"/>
        </w:rPr>
        <w:br/>
      </w:r>
    </w:p>
    <w:p w:rsidR="00244A04" w:rsidRPr="00244A04" w:rsidRDefault="00244A04" w:rsidP="00005B8A">
      <w:pPr>
        <w:spacing w:after="0" w:line="276" w:lineRule="auto"/>
        <w:rPr>
          <w:rFonts w:eastAsia="Calibri" w:cs="Times New Roman"/>
          <w:b/>
          <w:szCs w:val="24"/>
        </w:rPr>
      </w:pPr>
      <w:r w:rsidRPr="00244A04">
        <w:rPr>
          <w:rFonts w:eastAsia="Calibri" w:cs="Times New Roman"/>
          <w:b/>
          <w:szCs w:val="24"/>
        </w:rPr>
        <w:t xml:space="preserve">Table </w:t>
      </w:r>
      <w:r w:rsidRPr="00244A04">
        <w:rPr>
          <w:rFonts w:eastAsia="Calibri" w:cs="Times New Roman"/>
          <w:b/>
          <w:szCs w:val="24"/>
        </w:rPr>
        <w:t>2</w:t>
      </w:r>
    </w:p>
    <w:p w:rsidR="00244A04" w:rsidRPr="00244A04" w:rsidRDefault="00244A04" w:rsidP="00005B8A">
      <w:pPr>
        <w:spacing w:after="0" w:line="276" w:lineRule="auto"/>
        <w:rPr>
          <w:rFonts w:eastAsia="Calibri" w:cs="Times New Roman"/>
          <w:i/>
          <w:szCs w:val="24"/>
        </w:rPr>
      </w:pPr>
      <w:r w:rsidRPr="00244A04">
        <w:rPr>
          <w:rFonts w:eastAsia="Calibri" w:cs="Times New Roman"/>
          <w:i/>
          <w:szCs w:val="24"/>
        </w:rPr>
        <w:t>Mean scores and standard deviation for the interactions between cognition and task length in the ADHD group</w:t>
      </w:r>
    </w:p>
    <w:p w:rsidR="00244A04" w:rsidRPr="00244A04" w:rsidRDefault="00244A04" w:rsidP="00244A04">
      <w:pPr>
        <w:spacing w:after="0" w:line="276" w:lineRule="auto"/>
        <w:rPr>
          <w:rFonts w:eastAsia="Calibri" w:cs="Times New Roman"/>
          <w:sz w:val="18"/>
          <w:szCs w:val="24"/>
        </w:rPr>
      </w:pPr>
    </w:p>
    <w:tbl>
      <w:tblPr>
        <w:tblStyle w:val="TableGrid"/>
        <w:tblW w:w="0" w:type="auto"/>
        <w:tblInd w:w="53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85"/>
        <w:gridCol w:w="1985"/>
        <w:gridCol w:w="1985"/>
        <w:gridCol w:w="1985"/>
      </w:tblGrid>
      <w:tr w:rsidR="00244A04" w:rsidRPr="00244A04" w:rsidTr="008E14CE">
        <w:trPr>
          <w:trHeight w:val="454"/>
        </w:trPr>
        <w:tc>
          <w:tcPr>
            <w:tcW w:w="1985" w:type="dxa"/>
            <w:tcBorders>
              <w:top w:val="single" w:sz="4" w:space="0" w:color="auto"/>
              <w:bottom w:val="single" w:sz="4" w:space="0" w:color="auto"/>
            </w:tcBorders>
          </w:tcPr>
          <w:p w:rsidR="00244A04" w:rsidRPr="00244A04" w:rsidRDefault="00244A04" w:rsidP="00727C60">
            <w:pPr>
              <w:rPr>
                <w:rFonts w:eastAsia="Calibri" w:cs="Times New Roman"/>
                <w:i/>
                <w:sz w:val="24"/>
                <w:szCs w:val="24"/>
              </w:rPr>
            </w:pPr>
            <w:r w:rsidRPr="00244A04">
              <w:rPr>
                <w:rFonts w:eastAsia="Calibri" w:cs="Times New Roman"/>
                <w:i/>
                <w:sz w:val="24"/>
                <w:szCs w:val="24"/>
              </w:rPr>
              <w:t>Cognition</w:t>
            </w:r>
          </w:p>
        </w:tc>
        <w:tc>
          <w:tcPr>
            <w:tcW w:w="1985" w:type="dxa"/>
            <w:tcBorders>
              <w:top w:val="single" w:sz="4" w:space="0" w:color="auto"/>
              <w:bottom w:val="single" w:sz="4" w:space="0" w:color="auto"/>
            </w:tcBorders>
          </w:tcPr>
          <w:p w:rsidR="00244A04" w:rsidRPr="00244A04" w:rsidRDefault="00244A04" w:rsidP="00727C60">
            <w:pPr>
              <w:rPr>
                <w:rFonts w:eastAsia="Calibri" w:cs="Times New Roman"/>
                <w:i/>
                <w:sz w:val="24"/>
                <w:szCs w:val="24"/>
              </w:rPr>
            </w:pPr>
            <w:r w:rsidRPr="00244A04">
              <w:rPr>
                <w:rFonts w:eastAsia="Calibri" w:cs="Times New Roman"/>
                <w:i/>
                <w:sz w:val="24"/>
                <w:szCs w:val="24"/>
              </w:rPr>
              <w:t>Task length</w:t>
            </w:r>
          </w:p>
        </w:tc>
        <w:tc>
          <w:tcPr>
            <w:tcW w:w="1985" w:type="dxa"/>
            <w:tcBorders>
              <w:top w:val="single" w:sz="4" w:space="0" w:color="auto"/>
              <w:bottom w:val="single" w:sz="4" w:space="0" w:color="auto"/>
            </w:tcBorders>
          </w:tcPr>
          <w:p w:rsidR="00244A04" w:rsidRPr="00244A04" w:rsidRDefault="00244A04" w:rsidP="00727C60">
            <w:pPr>
              <w:rPr>
                <w:rFonts w:eastAsia="Calibri" w:cs="Times New Roman"/>
                <w:i/>
                <w:sz w:val="24"/>
                <w:szCs w:val="24"/>
              </w:rPr>
            </w:pPr>
            <w:r w:rsidRPr="00244A04">
              <w:rPr>
                <w:rFonts w:eastAsia="Calibri" w:cs="Times New Roman"/>
                <w:i/>
                <w:sz w:val="24"/>
                <w:szCs w:val="24"/>
              </w:rPr>
              <w:t xml:space="preserve">Mean </w:t>
            </w:r>
          </w:p>
        </w:tc>
        <w:tc>
          <w:tcPr>
            <w:tcW w:w="1985" w:type="dxa"/>
            <w:tcBorders>
              <w:top w:val="single" w:sz="4" w:space="0" w:color="auto"/>
              <w:bottom w:val="single" w:sz="4" w:space="0" w:color="auto"/>
            </w:tcBorders>
          </w:tcPr>
          <w:p w:rsidR="00244A04" w:rsidRPr="00244A04" w:rsidRDefault="00244A04" w:rsidP="00727C60">
            <w:pPr>
              <w:rPr>
                <w:rFonts w:eastAsia="Calibri" w:cs="Times New Roman"/>
                <w:i/>
                <w:sz w:val="24"/>
                <w:szCs w:val="24"/>
              </w:rPr>
            </w:pPr>
            <w:r w:rsidRPr="00244A04">
              <w:rPr>
                <w:rFonts w:eastAsia="Calibri" w:cs="Times New Roman"/>
                <w:i/>
                <w:sz w:val="24"/>
                <w:szCs w:val="24"/>
              </w:rPr>
              <w:t>SD</w:t>
            </w:r>
          </w:p>
        </w:tc>
      </w:tr>
      <w:tr w:rsidR="00244A04" w:rsidRPr="00244A04" w:rsidTr="008E14CE">
        <w:trPr>
          <w:trHeight w:val="454"/>
        </w:trPr>
        <w:tc>
          <w:tcPr>
            <w:tcW w:w="1985" w:type="dxa"/>
            <w:tcBorders>
              <w:top w:val="single" w:sz="4" w:space="0" w:color="auto"/>
            </w:tcBorders>
          </w:tcPr>
          <w:p w:rsidR="00244A04" w:rsidRPr="00244A04" w:rsidRDefault="00244A04" w:rsidP="00727C60">
            <w:pPr>
              <w:rPr>
                <w:rFonts w:eastAsia="Calibri" w:cs="Times New Roman"/>
                <w:sz w:val="24"/>
                <w:szCs w:val="24"/>
              </w:rPr>
            </w:pPr>
            <w:r w:rsidRPr="00244A04">
              <w:rPr>
                <w:rFonts w:eastAsia="Calibri" w:cs="Times New Roman"/>
                <w:sz w:val="24"/>
                <w:szCs w:val="24"/>
              </w:rPr>
              <w:t>Memory</w:t>
            </w:r>
          </w:p>
        </w:tc>
        <w:tc>
          <w:tcPr>
            <w:tcW w:w="1985" w:type="dxa"/>
            <w:tcBorders>
              <w:top w:val="single" w:sz="4" w:space="0" w:color="auto"/>
            </w:tcBorders>
          </w:tcPr>
          <w:p w:rsidR="00244A04" w:rsidRPr="00244A04" w:rsidRDefault="00244A04" w:rsidP="00727C60">
            <w:pPr>
              <w:rPr>
                <w:rFonts w:eastAsia="Calibri" w:cs="Times New Roman"/>
                <w:sz w:val="24"/>
                <w:szCs w:val="24"/>
              </w:rPr>
            </w:pPr>
            <w:r w:rsidRPr="00244A04">
              <w:rPr>
                <w:rFonts w:eastAsia="Calibri" w:cs="Times New Roman"/>
                <w:sz w:val="24"/>
                <w:szCs w:val="24"/>
              </w:rPr>
              <w:t>Short</w:t>
            </w:r>
          </w:p>
        </w:tc>
        <w:tc>
          <w:tcPr>
            <w:tcW w:w="1985" w:type="dxa"/>
            <w:tcBorders>
              <w:top w:val="single" w:sz="4" w:space="0" w:color="auto"/>
            </w:tcBorders>
          </w:tcPr>
          <w:p w:rsidR="00244A04" w:rsidRPr="00244A04" w:rsidRDefault="00244A04" w:rsidP="00727C60">
            <w:pPr>
              <w:rPr>
                <w:rFonts w:eastAsia="Calibri" w:cs="Times New Roman"/>
                <w:sz w:val="24"/>
                <w:szCs w:val="24"/>
              </w:rPr>
            </w:pPr>
            <w:r w:rsidRPr="00244A04">
              <w:rPr>
                <w:rFonts w:eastAsia="Calibri" w:cs="Times New Roman"/>
                <w:sz w:val="24"/>
                <w:szCs w:val="24"/>
              </w:rPr>
              <w:t>4.78</w:t>
            </w:r>
          </w:p>
        </w:tc>
        <w:tc>
          <w:tcPr>
            <w:tcW w:w="1985" w:type="dxa"/>
            <w:tcBorders>
              <w:top w:val="single" w:sz="4" w:space="0" w:color="auto"/>
            </w:tcBorders>
          </w:tcPr>
          <w:p w:rsidR="00244A04" w:rsidRPr="00244A04" w:rsidRDefault="00244A04" w:rsidP="00727C60">
            <w:pPr>
              <w:rPr>
                <w:rFonts w:eastAsia="Calibri" w:cs="Times New Roman"/>
                <w:sz w:val="24"/>
                <w:szCs w:val="24"/>
              </w:rPr>
            </w:pPr>
            <w:r w:rsidRPr="00244A04">
              <w:rPr>
                <w:rFonts w:eastAsia="Calibri" w:cs="Times New Roman"/>
                <w:sz w:val="24"/>
                <w:szCs w:val="24"/>
              </w:rPr>
              <w:t>2.85</w:t>
            </w:r>
          </w:p>
        </w:tc>
      </w:tr>
      <w:tr w:rsidR="00244A04" w:rsidRPr="00244A04" w:rsidTr="008E14CE">
        <w:trPr>
          <w:trHeight w:val="454"/>
        </w:trPr>
        <w:tc>
          <w:tcPr>
            <w:tcW w:w="1985" w:type="dxa"/>
          </w:tcPr>
          <w:p w:rsidR="00244A04" w:rsidRPr="00244A04" w:rsidRDefault="00244A04" w:rsidP="00727C60">
            <w:pPr>
              <w:rPr>
                <w:rFonts w:eastAsia="Calibri" w:cs="Times New Roman"/>
                <w:sz w:val="24"/>
                <w:szCs w:val="24"/>
              </w:rPr>
            </w:pPr>
            <w:r w:rsidRPr="00244A04">
              <w:rPr>
                <w:rFonts w:eastAsia="Calibri" w:cs="Times New Roman"/>
                <w:sz w:val="24"/>
                <w:szCs w:val="24"/>
              </w:rPr>
              <w:t>Memory</w:t>
            </w:r>
          </w:p>
        </w:tc>
        <w:tc>
          <w:tcPr>
            <w:tcW w:w="1985" w:type="dxa"/>
          </w:tcPr>
          <w:p w:rsidR="00244A04" w:rsidRPr="00244A04" w:rsidRDefault="00244A04" w:rsidP="00727C60">
            <w:pPr>
              <w:rPr>
                <w:rFonts w:eastAsia="Calibri" w:cs="Times New Roman"/>
                <w:sz w:val="24"/>
                <w:szCs w:val="24"/>
              </w:rPr>
            </w:pPr>
            <w:r w:rsidRPr="00244A04">
              <w:rPr>
                <w:rFonts w:eastAsia="Calibri" w:cs="Times New Roman"/>
                <w:sz w:val="24"/>
                <w:szCs w:val="24"/>
              </w:rPr>
              <w:t>Long</w:t>
            </w:r>
          </w:p>
        </w:tc>
        <w:tc>
          <w:tcPr>
            <w:tcW w:w="1985" w:type="dxa"/>
          </w:tcPr>
          <w:p w:rsidR="00244A04" w:rsidRPr="00244A04" w:rsidRDefault="00244A04" w:rsidP="00727C60">
            <w:pPr>
              <w:rPr>
                <w:rFonts w:eastAsia="Calibri" w:cs="Times New Roman"/>
                <w:sz w:val="24"/>
                <w:szCs w:val="24"/>
              </w:rPr>
            </w:pPr>
            <w:r w:rsidRPr="00244A04">
              <w:rPr>
                <w:rFonts w:eastAsia="Calibri" w:cs="Times New Roman"/>
                <w:sz w:val="24"/>
                <w:szCs w:val="24"/>
              </w:rPr>
              <w:t>6.85</w:t>
            </w:r>
          </w:p>
        </w:tc>
        <w:tc>
          <w:tcPr>
            <w:tcW w:w="1985" w:type="dxa"/>
          </w:tcPr>
          <w:p w:rsidR="00244A04" w:rsidRPr="00244A04" w:rsidRDefault="00244A04" w:rsidP="00727C60">
            <w:pPr>
              <w:rPr>
                <w:rFonts w:eastAsia="Calibri" w:cs="Times New Roman"/>
                <w:sz w:val="24"/>
                <w:szCs w:val="24"/>
              </w:rPr>
            </w:pPr>
            <w:r w:rsidRPr="00244A04">
              <w:rPr>
                <w:rFonts w:eastAsia="Calibri" w:cs="Times New Roman"/>
                <w:sz w:val="24"/>
                <w:szCs w:val="24"/>
              </w:rPr>
              <w:t>2.79</w:t>
            </w:r>
          </w:p>
        </w:tc>
      </w:tr>
      <w:tr w:rsidR="00244A04" w:rsidRPr="00244A04" w:rsidTr="008E14CE">
        <w:trPr>
          <w:trHeight w:val="454"/>
        </w:trPr>
        <w:tc>
          <w:tcPr>
            <w:tcW w:w="1985" w:type="dxa"/>
          </w:tcPr>
          <w:p w:rsidR="00244A04" w:rsidRPr="00244A04" w:rsidRDefault="00244A04" w:rsidP="00727C60">
            <w:pPr>
              <w:rPr>
                <w:rFonts w:eastAsia="Calibri" w:cs="Times New Roman"/>
                <w:sz w:val="24"/>
                <w:szCs w:val="24"/>
              </w:rPr>
            </w:pPr>
            <w:r w:rsidRPr="00244A04">
              <w:rPr>
                <w:rFonts w:eastAsia="Calibri" w:cs="Times New Roman"/>
                <w:sz w:val="24"/>
                <w:szCs w:val="24"/>
              </w:rPr>
              <w:t>Attention</w:t>
            </w:r>
          </w:p>
        </w:tc>
        <w:tc>
          <w:tcPr>
            <w:tcW w:w="1985" w:type="dxa"/>
          </w:tcPr>
          <w:p w:rsidR="00244A04" w:rsidRPr="00244A04" w:rsidRDefault="00244A04" w:rsidP="00727C60">
            <w:pPr>
              <w:rPr>
                <w:rFonts w:eastAsia="Calibri" w:cs="Times New Roman"/>
                <w:sz w:val="24"/>
                <w:szCs w:val="24"/>
              </w:rPr>
            </w:pPr>
            <w:r w:rsidRPr="00244A04">
              <w:rPr>
                <w:rFonts w:eastAsia="Calibri" w:cs="Times New Roman"/>
                <w:sz w:val="24"/>
                <w:szCs w:val="24"/>
              </w:rPr>
              <w:t>Short</w:t>
            </w:r>
          </w:p>
        </w:tc>
        <w:tc>
          <w:tcPr>
            <w:tcW w:w="1985" w:type="dxa"/>
          </w:tcPr>
          <w:p w:rsidR="00244A04" w:rsidRPr="00244A04" w:rsidRDefault="00244A04" w:rsidP="00727C60">
            <w:pPr>
              <w:rPr>
                <w:rFonts w:eastAsia="Calibri" w:cs="Times New Roman"/>
                <w:sz w:val="24"/>
                <w:szCs w:val="24"/>
              </w:rPr>
            </w:pPr>
            <w:r w:rsidRPr="00244A04">
              <w:rPr>
                <w:rFonts w:eastAsia="Calibri" w:cs="Times New Roman"/>
                <w:sz w:val="24"/>
                <w:szCs w:val="24"/>
              </w:rPr>
              <w:t>6.00</w:t>
            </w:r>
          </w:p>
        </w:tc>
        <w:tc>
          <w:tcPr>
            <w:tcW w:w="1985" w:type="dxa"/>
          </w:tcPr>
          <w:p w:rsidR="00244A04" w:rsidRPr="00244A04" w:rsidRDefault="00244A04" w:rsidP="00727C60">
            <w:pPr>
              <w:rPr>
                <w:rFonts w:eastAsia="Calibri" w:cs="Times New Roman"/>
                <w:sz w:val="24"/>
                <w:szCs w:val="24"/>
              </w:rPr>
            </w:pPr>
            <w:r w:rsidRPr="00244A04">
              <w:rPr>
                <w:rFonts w:eastAsia="Calibri" w:cs="Times New Roman"/>
                <w:sz w:val="24"/>
                <w:szCs w:val="24"/>
              </w:rPr>
              <w:t>3.92</w:t>
            </w:r>
          </w:p>
        </w:tc>
      </w:tr>
      <w:tr w:rsidR="00244A04" w:rsidRPr="00244A04" w:rsidTr="008E14CE">
        <w:trPr>
          <w:trHeight w:val="454"/>
        </w:trPr>
        <w:tc>
          <w:tcPr>
            <w:tcW w:w="1985" w:type="dxa"/>
            <w:tcBorders>
              <w:bottom w:val="single" w:sz="4" w:space="0" w:color="auto"/>
            </w:tcBorders>
          </w:tcPr>
          <w:p w:rsidR="00244A04" w:rsidRPr="00244A04" w:rsidRDefault="00244A04" w:rsidP="00727C60">
            <w:pPr>
              <w:rPr>
                <w:rFonts w:eastAsia="Calibri" w:cs="Times New Roman"/>
                <w:sz w:val="24"/>
                <w:szCs w:val="24"/>
              </w:rPr>
            </w:pPr>
            <w:r w:rsidRPr="00244A04">
              <w:rPr>
                <w:rFonts w:eastAsia="Calibri" w:cs="Times New Roman"/>
                <w:sz w:val="24"/>
                <w:szCs w:val="24"/>
              </w:rPr>
              <w:t>Attention</w:t>
            </w:r>
          </w:p>
        </w:tc>
        <w:tc>
          <w:tcPr>
            <w:tcW w:w="1985" w:type="dxa"/>
            <w:tcBorders>
              <w:bottom w:val="single" w:sz="4" w:space="0" w:color="auto"/>
            </w:tcBorders>
          </w:tcPr>
          <w:p w:rsidR="00244A04" w:rsidRPr="00244A04" w:rsidRDefault="00244A04" w:rsidP="00727C60">
            <w:pPr>
              <w:rPr>
                <w:rFonts w:eastAsia="Calibri" w:cs="Times New Roman"/>
                <w:sz w:val="24"/>
                <w:szCs w:val="24"/>
              </w:rPr>
            </w:pPr>
            <w:r w:rsidRPr="00244A04">
              <w:rPr>
                <w:rFonts w:eastAsia="Calibri" w:cs="Times New Roman"/>
                <w:sz w:val="24"/>
                <w:szCs w:val="24"/>
              </w:rPr>
              <w:t>Long</w:t>
            </w:r>
          </w:p>
        </w:tc>
        <w:tc>
          <w:tcPr>
            <w:tcW w:w="1985" w:type="dxa"/>
            <w:tcBorders>
              <w:bottom w:val="single" w:sz="4" w:space="0" w:color="auto"/>
            </w:tcBorders>
          </w:tcPr>
          <w:p w:rsidR="00244A04" w:rsidRPr="00244A04" w:rsidRDefault="00244A04" w:rsidP="00727C60">
            <w:pPr>
              <w:rPr>
                <w:rFonts w:eastAsia="Calibri" w:cs="Times New Roman"/>
                <w:sz w:val="24"/>
                <w:szCs w:val="24"/>
              </w:rPr>
            </w:pPr>
            <w:r w:rsidRPr="00244A04">
              <w:rPr>
                <w:rFonts w:eastAsia="Calibri" w:cs="Times New Roman"/>
                <w:sz w:val="24"/>
                <w:szCs w:val="24"/>
              </w:rPr>
              <w:t>1.90</w:t>
            </w:r>
          </w:p>
        </w:tc>
        <w:tc>
          <w:tcPr>
            <w:tcW w:w="1985" w:type="dxa"/>
            <w:tcBorders>
              <w:bottom w:val="single" w:sz="4" w:space="0" w:color="auto"/>
            </w:tcBorders>
          </w:tcPr>
          <w:p w:rsidR="00244A04" w:rsidRPr="00244A04" w:rsidRDefault="00244A04" w:rsidP="00727C60">
            <w:pPr>
              <w:rPr>
                <w:rFonts w:eastAsia="Calibri" w:cs="Times New Roman"/>
                <w:sz w:val="24"/>
                <w:szCs w:val="24"/>
              </w:rPr>
            </w:pPr>
            <w:r w:rsidRPr="00244A04">
              <w:rPr>
                <w:rFonts w:eastAsia="Calibri" w:cs="Times New Roman"/>
                <w:sz w:val="24"/>
                <w:szCs w:val="24"/>
              </w:rPr>
              <w:t>3.12</w:t>
            </w:r>
          </w:p>
        </w:tc>
      </w:tr>
    </w:tbl>
    <w:p w:rsidR="00244A04" w:rsidRDefault="00244A04" w:rsidP="00727C60">
      <w:pPr>
        <w:spacing w:after="0" w:line="276" w:lineRule="auto"/>
        <w:rPr>
          <w:rFonts w:eastAsia="Calibri" w:cs="Times New Roman"/>
          <w:sz w:val="24"/>
          <w:szCs w:val="24"/>
        </w:rPr>
      </w:pPr>
    </w:p>
    <w:p w:rsidR="00005B8A" w:rsidRDefault="00244A04" w:rsidP="00005B8A">
      <w:pPr>
        <w:spacing w:after="0" w:line="276" w:lineRule="auto"/>
        <w:rPr>
          <w:rFonts w:eastAsia="Times New Roman" w:cs="Times New Roman"/>
          <w:szCs w:val="24"/>
        </w:rPr>
      </w:pPr>
      <w:r w:rsidRPr="00244A04">
        <w:rPr>
          <w:rFonts w:eastAsia="Calibri" w:cs="Times New Roman"/>
          <w:szCs w:val="24"/>
        </w:rPr>
        <w:t xml:space="preserve">Performance was better in the short attention tasks compared to the long attention tasks, however the mean in the long memory tasks was higher than the mean in the short memory tasks.  Data was analysed using a 2 x 2 ANOVA, showing significant interactions between cognition and task length: </w:t>
      </w:r>
      <w:proofErr w:type="gramStart"/>
      <w:r w:rsidRPr="00244A04">
        <w:rPr>
          <w:rFonts w:eastAsia="Calibri" w:cs="Times New Roman"/>
          <w:i/>
          <w:szCs w:val="24"/>
        </w:rPr>
        <w:t>F</w:t>
      </w:r>
      <w:r w:rsidRPr="00244A04">
        <w:rPr>
          <w:rFonts w:eastAsia="Calibri" w:cs="Times New Roman"/>
          <w:szCs w:val="24"/>
        </w:rPr>
        <w:t>(</w:t>
      </w:r>
      <w:proofErr w:type="gramEnd"/>
      <w:r w:rsidRPr="00244A04">
        <w:rPr>
          <w:rFonts w:eastAsia="Calibri" w:cs="Times New Roman"/>
          <w:szCs w:val="24"/>
        </w:rPr>
        <w:t xml:space="preserve">1,41) = 58.372, </w:t>
      </w:r>
      <w:r w:rsidRPr="00244A04">
        <w:rPr>
          <w:rFonts w:eastAsia="Calibri" w:cs="Times New Roman"/>
          <w:i/>
          <w:szCs w:val="24"/>
        </w:rPr>
        <w:t>p</w:t>
      </w:r>
      <w:r w:rsidRPr="00244A04">
        <w:rPr>
          <w:rFonts w:eastAsia="Calibri" w:cs="Times New Roman"/>
          <w:szCs w:val="24"/>
        </w:rPr>
        <w:t xml:space="preserve"> &lt; 0.05.  Further analysis was carried out using related </w:t>
      </w:r>
      <w:r w:rsidRPr="00244A04">
        <w:rPr>
          <w:rFonts w:eastAsia="Calibri" w:cs="Times New Roman"/>
          <w:i/>
          <w:szCs w:val="24"/>
        </w:rPr>
        <w:t>t-</w:t>
      </w:r>
      <w:r w:rsidRPr="00244A04">
        <w:rPr>
          <w:rFonts w:eastAsia="Calibri" w:cs="Times New Roman"/>
          <w:szCs w:val="24"/>
        </w:rPr>
        <w:t>tests to examine the differences between cognition and task length.  Analysis showed that there was a significant difference between performance in short memory tasks and long memory tasks (</w:t>
      </w:r>
      <w:proofErr w:type="gramStart"/>
      <w:r w:rsidRPr="00244A04">
        <w:rPr>
          <w:rFonts w:eastAsia="Calibri" w:cs="Times New Roman"/>
          <w:i/>
          <w:szCs w:val="24"/>
        </w:rPr>
        <w:t>t</w:t>
      </w:r>
      <w:r w:rsidRPr="00244A04">
        <w:rPr>
          <w:rFonts w:eastAsia="Calibri" w:cs="Times New Roman"/>
          <w:szCs w:val="24"/>
        </w:rPr>
        <w:t>(</w:t>
      </w:r>
      <w:proofErr w:type="gramEnd"/>
      <w:r w:rsidRPr="00244A04">
        <w:rPr>
          <w:rFonts w:eastAsia="Calibri" w:cs="Times New Roman"/>
          <w:szCs w:val="24"/>
        </w:rPr>
        <w:t xml:space="preserve">41) = 4.231, </w:t>
      </w:r>
      <w:r w:rsidRPr="00244A04">
        <w:rPr>
          <w:rFonts w:eastAsia="Calibri" w:cs="Times New Roman"/>
          <w:i/>
          <w:szCs w:val="24"/>
        </w:rPr>
        <w:t>p</w:t>
      </w:r>
      <w:r w:rsidRPr="00244A04">
        <w:rPr>
          <w:rFonts w:eastAsia="Calibri" w:cs="Times New Roman"/>
          <w:szCs w:val="24"/>
        </w:rPr>
        <w:t xml:space="preserve"> &lt; 0.05), with higher mean scores in long memory tasks (6.85) than short memory tasks (4.78).  There was a significant difference between performance in short attention tasks and long attention tasks (</w:t>
      </w:r>
      <w:proofErr w:type="gramStart"/>
      <w:r w:rsidRPr="00244A04">
        <w:rPr>
          <w:rFonts w:eastAsia="Calibri" w:cs="Times New Roman"/>
          <w:i/>
          <w:szCs w:val="24"/>
        </w:rPr>
        <w:t>t</w:t>
      </w:r>
      <w:r w:rsidRPr="00244A04">
        <w:rPr>
          <w:rFonts w:eastAsia="Calibri" w:cs="Times New Roman"/>
          <w:szCs w:val="24"/>
        </w:rPr>
        <w:t>(</w:t>
      </w:r>
      <w:proofErr w:type="gramEnd"/>
      <w:r w:rsidRPr="00244A04">
        <w:rPr>
          <w:rFonts w:eastAsia="Calibri" w:cs="Times New Roman"/>
          <w:szCs w:val="24"/>
        </w:rPr>
        <w:t xml:space="preserve">41) = 6.462, </w:t>
      </w:r>
      <w:r w:rsidRPr="00244A04">
        <w:rPr>
          <w:rFonts w:eastAsia="Calibri" w:cs="Times New Roman"/>
          <w:i/>
          <w:szCs w:val="24"/>
        </w:rPr>
        <w:t>p</w:t>
      </w:r>
      <w:r w:rsidRPr="00244A04">
        <w:rPr>
          <w:rFonts w:eastAsia="Calibri" w:cs="Times New Roman"/>
          <w:szCs w:val="24"/>
        </w:rPr>
        <w:t xml:space="preserve"> &lt; 0.05), with higher mean scores for short attention tasks than long attention tasks (6.00 and 1.90, respectively).</w:t>
      </w:r>
      <w:r w:rsidR="00DA306D">
        <w:rPr>
          <w:rFonts w:eastAsia="Calibri" w:cs="Times New Roman"/>
          <w:szCs w:val="24"/>
        </w:rPr>
        <w:t xml:space="preserve">  </w:t>
      </w:r>
      <w:r w:rsidR="00005B8A" w:rsidRPr="00005B8A">
        <w:rPr>
          <w:rFonts w:eastAsia="Times New Roman" w:cs="Times New Roman"/>
          <w:szCs w:val="24"/>
        </w:rPr>
        <w:t xml:space="preserve">Independent variables entered into the second multiple regression were self-esteem, family </w:t>
      </w:r>
      <w:r w:rsidR="00005B8A">
        <w:rPr>
          <w:rFonts w:eastAsia="Times New Roman" w:cs="Times New Roman"/>
          <w:szCs w:val="24"/>
        </w:rPr>
        <w:t>r</w:t>
      </w:r>
      <w:r w:rsidR="00005B8A" w:rsidRPr="00005B8A">
        <w:rPr>
          <w:rFonts w:eastAsia="Times New Roman" w:cs="Times New Roman"/>
          <w:szCs w:val="24"/>
        </w:rPr>
        <w:t xml:space="preserve">elationships and self-efficacy to see if they were significant predictors of SWB. </w:t>
      </w:r>
      <w:r w:rsidR="00005B8A">
        <w:rPr>
          <w:rFonts w:eastAsia="Times New Roman" w:cs="Times New Roman"/>
          <w:szCs w:val="24"/>
        </w:rPr>
        <w:t xml:space="preserve"> </w:t>
      </w:r>
      <w:r w:rsidR="00005B8A" w:rsidRPr="00005B8A">
        <w:rPr>
          <w:rFonts w:eastAsia="Times New Roman" w:cs="Times New Roman"/>
          <w:szCs w:val="24"/>
        </w:rPr>
        <w:t xml:space="preserve">Using the enter method it was found that self-esteem, family relationships and self-efficacy explain a significant amount of the variance in SWB, </w:t>
      </w:r>
      <w:proofErr w:type="gramStart"/>
      <w:r w:rsidR="00005B8A" w:rsidRPr="00005B8A">
        <w:rPr>
          <w:rFonts w:eastAsia="Times New Roman" w:cs="Times New Roman"/>
          <w:i/>
          <w:szCs w:val="24"/>
        </w:rPr>
        <w:t>F</w:t>
      </w:r>
      <w:r w:rsidR="00005B8A" w:rsidRPr="00005B8A">
        <w:rPr>
          <w:rFonts w:eastAsia="Times New Roman" w:cs="Times New Roman"/>
          <w:szCs w:val="24"/>
        </w:rPr>
        <w:t>(</w:t>
      </w:r>
      <w:proofErr w:type="gramEnd"/>
      <w:r w:rsidR="00005B8A" w:rsidRPr="00005B8A">
        <w:rPr>
          <w:rFonts w:eastAsia="Times New Roman" w:cs="Times New Roman"/>
          <w:szCs w:val="24"/>
        </w:rPr>
        <w:t>3)=45.102, P&lt;.05. The model explains 39% of the variance in SWB (</w:t>
      </w:r>
      <w:r w:rsidR="00005B8A" w:rsidRPr="00005B8A">
        <w:rPr>
          <w:rFonts w:eastAsia="Times New Roman" w:cs="Times New Roman"/>
          <w:i/>
          <w:szCs w:val="24"/>
        </w:rPr>
        <w:t>Adjusted R² = .385</w:t>
      </w:r>
      <w:r w:rsidR="00005B8A" w:rsidRPr="00005B8A">
        <w:rPr>
          <w:rFonts w:eastAsia="Times New Roman" w:cs="Times New Roman"/>
          <w:szCs w:val="24"/>
        </w:rPr>
        <w:t xml:space="preserve">). According to Cohen (1988), this is a medium effect. </w:t>
      </w:r>
    </w:p>
    <w:p w:rsidR="00005B8A" w:rsidRPr="00005B8A" w:rsidRDefault="00005B8A" w:rsidP="00005B8A">
      <w:pPr>
        <w:spacing w:after="0" w:line="276" w:lineRule="auto"/>
        <w:rPr>
          <w:rFonts w:eastAsia="Times New Roman" w:cs="Times New Roman"/>
          <w:szCs w:val="24"/>
        </w:rPr>
      </w:pPr>
      <w:r>
        <w:rPr>
          <w:rFonts w:eastAsia="Times New Roman" w:cs="Times New Roman"/>
          <w:szCs w:val="24"/>
        </w:rPr>
        <w:t>Table 3</w:t>
      </w:r>
      <w:r w:rsidRPr="00005B8A">
        <w:rPr>
          <w:rFonts w:eastAsia="Times New Roman" w:cs="Times New Roman"/>
          <w:szCs w:val="24"/>
        </w:rPr>
        <w:t xml:space="preserve"> shows the coefficients of the variables. </w:t>
      </w:r>
    </w:p>
    <w:p w:rsidR="00005B8A" w:rsidRPr="00005B8A" w:rsidRDefault="00005B8A" w:rsidP="00005B8A">
      <w:pPr>
        <w:spacing w:after="0" w:line="276" w:lineRule="auto"/>
        <w:rPr>
          <w:rFonts w:eastAsia="Times New Roman" w:cs="Times New Roman"/>
          <w:b/>
          <w:szCs w:val="24"/>
          <w:u w:val="single"/>
        </w:rPr>
      </w:pPr>
    </w:p>
    <w:p w:rsidR="00005B8A" w:rsidRPr="00005B8A" w:rsidRDefault="00005B8A" w:rsidP="00005B8A">
      <w:pPr>
        <w:spacing w:after="0" w:line="276" w:lineRule="auto"/>
        <w:rPr>
          <w:rFonts w:eastAsia="Times New Roman" w:cs="Times New Roman"/>
          <w:b/>
          <w:szCs w:val="24"/>
        </w:rPr>
      </w:pPr>
      <w:r w:rsidRPr="00005B8A">
        <w:rPr>
          <w:rFonts w:eastAsia="Times New Roman" w:cs="Times New Roman"/>
          <w:b/>
          <w:szCs w:val="24"/>
        </w:rPr>
        <w:t>Table 3</w:t>
      </w:r>
    </w:p>
    <w:p w:rsidR="00005B8A" w:rsidRDefault="00005B8A" w:rsidP="00005B8A">
      <w:pPr>
        <w:spacing w:after="0" w:line="276" w:lineRule="auto"/>
        <w:rPr>
          <w:rFonts w:eastAsia="Times New Roman" w:cs="Times New Roman"/>
          <w:i/>
          <w:szCs w:val="24"/>
        </w:rPr>
      </w:pPr>
      <w:r>
        <w:rPr>
          <w:rFonts w:eastAsia="Times New Roman" w:cs="Times New Roman"/>
          <w:i/>
          <w:szCs w:val="24"/>
        </w:rPr>
        <w:t xml:space="preserve">Coefficients of the variables: Self-esteem, family relationships and self-efficacy </w:t>
      </w:r>
    </w:p>
    <w:p w:rsidR="00005B8A" w:rsidRPr="00005B8A" w:rsidRDefault="00005B8A" w:rsidP="00005B8A">
      <w:pPr>
        <w:spacing w:after="0" w:line="276" w:lineRule="auto"/>
        <w:rPr>
          <w:rFonts w:eastAsia="Times New Roman" w:cs="Times New Roman"/>
          <w:i/>
          <w:sz w:val="14"/>
          <w:szCs w:val="24"/>
        </w:rPr>
      </w:pPr>
    </w:p>
    <w:tbl>
      <w:tblPr>
        <w:tblStyle w:val="PlainTable2"/>
        <w:tblW w:w="0" w:type="auto"/>
        <w:tblInd w:w="0" w:type="dxa"/>
        <w:tblLook w:val="04A0" w:firstRow="1" w:lastRow="0" w:firstColumn="1" w:lastColumn="0" w:noHBand="0" w:noVBand="1"/>
      </w:tblPr>
      <w:tblGrid>
        <w:gridCol w:w="2202"/>
        <w:gridCol w:w="1426"/>
        <w:gridCol w:w="1800"/>
        <w:gridCol w:w="1799"/>
        <w:gridCol w:w="1799"/>
      </w:tblGrid>
      <w:tr w:rsidR="00005B8A" w:rsidRPr="00005B8A" w:rsidTr="00005B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5" w:type="dxa"/>
            <w:tcBorders>
              <w:top w:val="single" w:sz="4" w:space="0" w:color="7F7F7F" w:themeColor="text1" w:themeTint="80"/>
              <w:left w:val="nil"/>
              <w:right w:val="nil"/>
            </w:tcBorders>
            <w:hideMark/>
          </w:tcPr>
          <w:p w:rsidR="00005B8A" w:rsidRPr="00005B8A" w:rsidRDefault="00005B8A" w:rsidP="00005B8A">
            <w:pPr>
              <w:spacing w:line="276" w:lineRule="auto"/>
              <w:rPr>
                <w:rFonts w:asciiTheme="minorHAnsi" w:hAnsiTheme="minorHAnsi" w:cs="Times New Roman"/>
                <w:b w:val="0"/>
                <w:i/>
                <w:szCs w:val="24"/>
              </w:rPr>
            </w:pPr>
            <w:r w:rsidRPr="00005B8A">
              <w:rPr>
                <w:rFonts w:asciiTheme="minorHAnsi" w:hAnsiTheme="minorHAnsi" w:cs="Times New Roman"/>
                <w:b w:val="0"/>
                <w:i/>
                <w:szCs w:val="24"/>
              </w:rPr>
              <w:t>Variable</w:t>
            </w:r>
          </w:p>
        </w:tc>
        <w:tc>
          <w:tcPr>
            <w:tcW w:w="1461" w:type="dxa"/>
            <w:tcBorders>
              <w:top w:val="single" w:sz="4" w:space="0" w:color="7F7F7F" w:themeColor="text1" w:themeTint="80"/>
              <w:left w:val="nil"/>
              <w:right w:val="nil"/>
            </w:tcBorders>
            <w:hideMark/>
          </w:tcPr>
          <w:p w:rsidR="00005B8A" w:rsidRPr="00005B8A" w:rsidRDefault="00005B8A" w:rsidP="00005B8A">
            <w:pPr>
              <w:spacing w:line="276"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imes New Roman"/>
                <w:b w:val="0"/>
                <w:i/>
                <w:szCs w:val="24"/>
              </w:rPr>
            </w:pPr>
            <w:r w:rsidRPr="00005B8A">
              <w:rPr>
                <w:rFonts w:asciiTheme="minorHAnsi" w:hAnsiTheme="minorHAnsi" w:cs="Times New Roman"/>
                <w:b w:val="0"/>
                <w:i/>
                <w:szCs w:val="24"/>
              </w:rPr>
              <w:t>B</w:t>
            </w:r>
          </w:p>
        </w:tc>
        <w:tc>
          <w:tcPr>
            <w:tcW w:w="1848" w:type="dxa"/>
            <w:tcBorders>
              <w:top w:val="single" w:sz="4" w:space="0" w:color="7F7F7F" w:themeColor="text1" w:themeTint="80"/>
              <w:left w:val="nil"/>
              <w:right w:val="nil"/>
            </w:tcBorders>
            <w:hideMark/>
          </w:tcPr>
          <w:p w:rsidR="00005B8A" w:rsidRPr="00005B8A" w:rsidRDefault="00005B8A" w:rsidP="00005B8A">
            <w:pPr>
              <w:spacing w:line="276"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imes New Roman"/>
                <w:b w:val="0"/>
                <w:i/>
                <w:szCs w:val="24"/>
              </w:rPr>
            </w:pPr>
            <w:r w:rsidRPr="00005B8A">
              <w:rPr>
                <w:rFonts w:asciiTheme="minorHAnsi" w:hAnsiTheme="minorHAnsi" w:cs="Times New Roman"/>
                <w:b w:val="0"/>
                <w:i/>
                <w:szCs w:val="24"/>
              </w:rPr>
              <w:t>Std. Error</w:t>
            </w:r>
          </w:p>
        </w:tc>
        <w:tc>
          <w:tcPr>
            <w:tcW w:w="1849" w:type="dxa"/>
            <w:tcBorders>
              <w:top w:val="single" w:sz="4" w:space="0" w:color="7F7F7F" w:themeColor="text1" w:themeTint="80"/>
              <w:left w:val="nil"/>
              <w:right w:val="nil"/>
            </w:tcBorders>
            <w:hideMark/>
          </w:tcPr>
          <w:p w:rsidR="00005B8A" w:rsidRPr="00005B8A" w:rsidRDefault="00005B8A" w:rsidP="00005B8A">
            <w:pPr>
              <w:spacing w:line="276"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imes New Roman"/>
                <w:b w:val="0"/>
                <w:i/>
                <w:szCs w:val="24"/>
              </w:rPr>
            </w:pPr>
            <w:r w:rsidRPr="00005B8A">
              <w:rPr>
                <w:rFonts w:asciiTheme="minorHAnsi" w:hAnsiTheme="minorHAnsi" w:cs="Times New Roman"/>
                <w:b w:val="0"/>
                <w:i/>
                <w:szCs w:val="24"/>
              </w:rPr>
              <w:t>Beta</w:t>
            </w:r>
          </w:p>
        </w:tc>
        <w:tc>
          <w:tcPr>
            <w:tcW w:w="1849" w:type="dxa"/>
            <w:tcBorders>
              <w:top w:val="single" w:sz="4" w:space="0" w:color="7F7F7F" w:themeColor="text1" w:themeTint="80"/>
              <w:left w:val="nil"/>
              <w:right w:val="nil"/>
            </w:tcBorders>
            <w:hideMark/>
          </w:tcPr>
          <w:p w:rsidR="00005B8A" w:rsidRPr="00005B8A" w:rsidRDefault="00005B8A" w:rsidP="00005B8A">
            <w:pPr>
              <w:spacing w:line="276"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imes New Roman"/>
                <w:b w:val="0"/>
                <w:i/>
                <w:szCs w:val="24"/>
              </w:rPr>
            </w:pPr>
            <w:r w:rsidRPr="00005B8A">
              <w:rPr>
                <w:rFonts w:asciiTheme="minorHAnsi" w:hAnsiTheme="minorHAnsi" w:cs="Times New Roman"/>
                <w:b w:val="0"/>
                <w:i/>
                <w:szCs w:val="24"/>
              </w:rPr>
              <w:t>P.</w:t>
            </w:r>
          </w:p>
        </w:tc>
      </w:tr>
      <w:tr w:rsidR="00005B8A" w:rsidRPr="00005B8A" w:rsidTr="00005B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5" w:type="dxa"/>
            <w:tcBorders>
              <w:left w:val="nil"/>
              <w:right w:val="nil"/>
            </w:tcBorders>
            <w:hideMark/>
          </w:tcPr>
          <w:p w:rsidR="00005B8A" w:rsidRPr="00005B8A" w:rsidRDefault="00005B8A" w:rsidP="00005B8A">
            <w:pPr>
              <w:spacing w:line="276" w:lineRule="auto"/>
              <w:rPr>
                <w:rFonts w:asciiTheme="minorHAnsi" w:hAnsiTheme="minorHAnsi" w:cs="Times New Roman"/>
                <w:b w:val="0"/>
                <w:szCs w:val="24"/>
              </w:rPr>
            </w:pPr>
            <w:r w:rsidRPr="00005B8A">
              <w:rPr>
                <w:rFonts w:asciiTheme="minorHAnsi" w:hAnsiTheme="minorHAnsi" w:cs="Times New Roman"/>
                <w:b w:val="0"/>
                <w:szCs w:val="24"/>
              </w:rPr>
              <w:t>Self-Esteem</w:t>
            </w:r>
          </w:p>
          <w:p w:rsidR="00005B8A" w:rsidRPr="00005B8A" w:rsidRDefault="00005B8A" w:rsidP="00005B8A">
            <w:pPr>
              <w:spacing w:line="276" w:lineRule="auto"/>
              <w:rPr>
                <w:rFonts w:asciiTheme="minorHAnsi" w:hAnsiTheme="minorHAnsi" w:cs="Times New Roman"/>
                <w:b w:val="0"/>
                <w:szCs w:val="24"/>
              </w:rPr>
            </w:pPr>
            <w:r w:rsidRPr="00005B8A">
              <w:rPr>
                <w:rFonts w:asciiTheme="minorHAnsi" w:hAnsiTheme="minorHAnsi" w:cs="Times New Roman"/>
                <w:b w:val="0"/>
                <w:szCs w:val="24"/>
              </w:rPr>
              <w:t>Family Relationships</w:t>
            </w:r>
          </w:p>
          <w:p w:rsidR="00005B8A" w:rsidRPr="00005B8A" w:rsidRDefault="00005B8A" w:rsidP="00005B8A">
            <w:pPr>
              <w:spacing w:line="276" w:lineRule="auto"/>
              <w:rPr>
                <w:rFonts w:asciiTheme="minorHAnsi" w:hAnsiTheme="minorHAnsi" w:cs="Times New Roman"/>
                <w:b w:val="0"/>
                <w:szCs w:val="24"/>
              </w:rPr>
            </w:pPr>
            <w:r w:rsidRPr="00005B8A">
              <w:rPr>
                <w:rFonts w:asciiTheme="minorHAnsi" w:hAnsiTheme="minorHAnsi" w:cs="Times New Roman"/>
                <w:b w:val="0"/>
                <w:szCs w:val="24"/>
              </w:rPr>
              <w:t>Self-Efficacy</w:t>
            </w:r>
          </w:p>
        </w:tc>
        <w:tc>
          <w:tcPr>
            <w:tcW w:w="1461" w:type="dxa"/>
            <w:tcBorders>
              <w:left w:val="nil"/>
              <w:right w:val="nil"/>
            </w:tcBorders>
            <w:hideMark/>
          </w:tcPr>
          <w:p w:rsidR="00005B8A" w:rsidRPr="00005B8A" w:rsidRDefault="00005B8A" w:rsidP="00005B8A">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imes New Roman"/>
                <w:szCs w:val="24"/>
              </w:rPr>
            </w:pPr>
            <w:r w:rsidRPr="00005B8A">
              <w:rPr>
                <w:rFonts w:asciiTheme="minorHAnsi" w:hAnsiTheme="minorHAnsi" w:cs="Times New Roman"/>
                <w:szCs w:val="24"/>
              </w:rPr>
              <w:t>.768</w:t>
            </w:r>
          </w:p>
          <w:p w:rsidR="00005B8A" w:rsidRPr="00005B8A" w:rsidRDefault="00005B8A" w:rsidP="00005B8A">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imes New Roman"/>
                <w:szCs w:val="24"/>
              </w:rPr>
            </w:pPr>
            <w:r w:rsidRPr="00005B8A">
              <w:rPr>
                <w:rFonts w:asciiTheme="minorHAnsi" w:hAnsiTheme="minorHAnsi" w:cs="Times New Roman"/>
                <w:szCs w:val="24"/>
              </w:rPr>
              <w:t>-.030</w:t>
            </w:r>
          </w:p>
          <w:p w:rsidR="00005B8A" w:rsidRPr="00005B8A" w:rsidRDefault="00005B8A" w:rsidP="00005B8A">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imes New Roman"/>
                <w:szCs w:val="24"/>
              </w:rPr>
            </w:pPr>
            <w:r w:rsidRPr="00005B8A">
              <w:rPr>
                <w:rFonts w:asciiTheme="minorHAnsi" w:hAnsiTheme="minorHAnsi" w:cs="Times New Roman"/>
                <w:szCs w:val="24"/>
              </w:rPr>
              <w:t>.233</w:t>
            </w:r>
          </w:p>
        </w:tc>
        <w:tc>
          <w:tcPr>
            <w:tcW w:w="1848" w:type="dxa"/>
            <w:tcBorders>
              <w:left w:val="nil"/>
              <w:right w:val="nil"/>
            </w:tcBorders>
            <w:hideMark/>
          </w:tcPr>
          <w:p w:rsidR="00005B8A" w:rsidRPr="00005B8A" w:rsidRDefault="00005B8A" w:rsidP="00005B8A">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imes New Roman"/>
                <w:szCs w:val="24"/>
              </w:rPr>
            </w:pPr>
            <w:r w:rsidRPr="00005B8A">
              <w:rPr>
                <w:rFonts w:asciiTheme="minorHAnsi" w:hAnsiTheme="minorHAnsi" w:cs="Times New Roman"/>
                <w:szCs w:val="24"/>
              </w:rPr>
              <w:t>.102</w:t>
            </w:r>
          </w:p>
          <w:p w:rsidR="00005B8A" w:rsidRPr="00005B8A" w:rsidRDefault="00005B8A" w:rsidP="00005B8A">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imes New Roman"/>
                <w:szCs w:val="24"/>
              </w:rPr>
            </w:pPr>
            <w:r w:rsidRPr="00005B8A">
              <w:rPr>
                <w:rFonts w:asciiTheme="minorHAnsi" w:hAnsiTheme="minorHAnsi" w:cs="Times New Roman"/>
                <w:szCs w:val="24"/>
              </w:rPr>
              <w:t>.054</w:t>
            </w:r>
          </w:p>
          <w:p w:rsidR="00005B8A" w:rsidRPr="00005B8A" w:rsidRDefault="00005B8A" w:rsidP="00005B8A">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imes New Roman"/>
                <w:szCs w:val="24"/>
              </w:rPr>
            </w:pPr>
            <w:r w:rsidRPr="00005B8A">
              <w:rPr>
                <w:rFonts w:asciiTheme="minorHAnsi" w:hAnsiTheme="minorHAnsi" w:cs="Times New Roman"/>
                <w:szCs w:val="24"/>
              </w:rPr>
              <w:t>.115</w:t>
            </w:r>
          </w:p>
        </w:tc>
        <w:tc>
          <w:tcPr>
            <w:tcW w:w="1849" w:type="dxa"/>
            <w:tcBorders>
              <w:left w:val="nil"/>
              <w:right w:val="nil"/>
            </w:tcBorders>
            <w:hideMark/>
          </w:tcPr>
          <w:p w:rsidR="00005B8A" w:rsidRPr="00005B8A" w:rsidRDefault="00005B8A" w:rsidP="00005B8A">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imes New Roman"/>
                <w:szCs w:val="24"/>
              </w:rPr>
            </w:pPr>
            <w:r w:rsidRPr="00005B8A">
              <w:rPr>
                <w:rFonts w:asciiTheme="minorHAnsi" w:hAnsiTheme="minorHAnsi" w:cs="Times New Roman"/>
                <w:szCs w:val="24"/>
              </w:rPr>
              <w:t>.541</w:t>
            </w:r>
          </w:p>
          <w:p w:rsidR="00005B8A" w:rsidRPr="00005B8A" w:rsidRDefault="00005B8A" w:rsidP="00005B8A">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imes New Roman"/>
                <w:szCs w:val="24"/>
              </w:rPr>
            </w:pPr>
            <w:r w:rsidRPr="00005B8A">
              <w:rPr>
                <w:rFonts w:asciiTheme="minorHAnsi" w:hAnsiTheme="minorHAnsi" w:cs="Times New Roman"/>
                <w:szCs w:val="24"/>
              </w:rPr>
              <w:t>-.032</w:t>
            </w:r>
          </w:p>
          <w:p w:rsidR="00005B8A" w:rsidRPr="00005B8A" w:rsidRDefault="00005B8A" w:rsidP="00005B8A">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imes New Roman"/>
                <w:szCs w:val="24"/>
              </w:rPr>
            </w:pPr>
            <w:r w:rsidRPr="00005B8A">
              <w:rPr>
                <w:rFonts w:asciiTheme="minorHAnsi" w:hAnsiTheme="minorHAnsi" w:cs="Times New Roman"/>
                <w:szCs w:val="24"/>
              </w:rPr>
              <w:t>.140</w:t>
            </w:r>
          </w:p>
        </w:tc>
        <w:tc>
          <w:tcPr>
            <w:tcW w:w="1849" w:type="dxa"/>
            <w:tcBorders>
              <w:left w:val="nil"/>
              <w:right w:val="nil"/>
            </w:tcBorders>
            <w:hideMark/>
          </w:tcPr>
          <w:p w:rsidR="00005B8A" w:rsidRPr="00005B8A" w:rsidRDefault="00005B8A" w:rsidP="00005B8A">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imes New Roman"/>
                <w:szCs w:val="24"/>
              </w:rPr>
            </w:pPr>
            <w:r w:rsidRPr="00005B8A">
              <w:rPr>
                <w:rFonts w:asciiTheme="minorHAnsi" w:hAnsiTheme="minorHAnsi" w:cs="Times New Roman"/>
                <w:szCs w:val="24"/>
              </w:rPr>
              <w:t>.000</w:t>
            </w:r>
          </w:p>
          <w:p w:rsidR="00005B8A" w:rsidRPr="00005B8A" w:rsidRDefault="00005B8A" w:rsidP="00005B8A">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imes New Roman"/>
                <w:szCs w:val="24"/>
              </w:rPr>
            </w:pPr>
            <w:r w:rsidRPr="00005B8A">
              <w:rPr>
                <w:rFonts w:asciiTheme="minorHAnsi" w:hAnsiTheme="minorHAnsi" w:cs="Times New Roman"/>
                <w:szCs w:val="24"/>
              </w:rPr>
              <w:t>.579</w:t>
            </w:r>
          </w:p>
          <w:p w:rsidR="00005B8A" w:rsidRPr="00005B8A" w:rsidRDefault="00005B8A" w:rsidP="00005B8A">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imes New Roman"/>
                <w:szCs w:val="24"/>
              </w:rPr>
            </w:pPr>
            <w:r w:rsidRPr="00005B8A">
              <w:rPr>
                <w:rFonts w:asciiTheme="minorHAnsi" w:hAnsiTheme="minorHAnsi" w:cs="Times New Roman"/>
                <w:szCs w:val="24"/>
              </w:rPr>
              <w:t>.044</w:t>
            </w:r>
          </w:p>
        </w:tc>
      </w:tr>
    </w:tbl>
    <w:p w:rsidR="00005B8A" w:rsidRPr="00005B8A" w:rsidRDefault="00005B8A" w:rsidP="00005B8A">
      <w:pPr>
        <w:spacing w:after="0" w:line="276" w:lineRule="auto"/>
        <w:rPr>
          <w:rFonts w:eastAsia="Times New Roman" w:cs="Times New Roman"/>
          <w:szCs w:val="24"/>
        </w:rPr>
      </w:pPr>
      <w:r w:rsidRPr="00005B8A">
        <w:rPr>
          <w:rFonts w:eastAsia="Times New Roman" w:cs="Times New Roman"/>
          <w:szCs w:val="24"/>
        </w:rPr>
        <w:t xml:space="preserve">The beta </w:t>
      </w:r>
      <w:r>
        <w:rPr>
          <w:rFonts w:eastAsia="Times New Roman" w:cs="Times New Roman"/>
          <w:szCs w:val="24"/>
        </w:rPr>
        <w:t>value</w:t>
      </w:r>
      <w:r w:rsidRPr="00005B8A">
        <w:rPr>
          <w:rFonts w:eastAsia="Times New Roman" w:cs="Times New Roman"/>
          <w:szCs w:val="24"/>
        </w:rPr>
        <w:t>s presented above indicate that self-esteem and self-efficacy contribute the most to predicting SWB. Table 3 shows that only two of the three life domains significantly predicted SWB. The total self-esteem scores significantly predicted SWB scores (</w:t>
      </w:r>
      <w:r w:rsidRPr="00727C60">
        <w:rPr>
          <w:rFonts w:eastAsia="Times New Roman" w:cs="Times New Roman"/>
          <w:i/>
          <w:szCs w:val="24"/>
        </w:rPr>
        <w:t>B=.541</w:t>
      </w:r>
      <w:r w:rsidRPr="00005B8A">
        <w:rPr>
          <w:rFonts w:eastAsia="Times New Roman" w:cs="Times New Roman"/>
          <w:szCs w:val="24"/>
        </w:rPr>
        <w:t>) and the total self-efficacy scores significantly predicted SWB scores (</w:t>
      </w:r>
      <w:r w:rsidRPr="00727C60">
        <w:rPr>
          <w:rFonts w:eastAsia="Times New Roman" w:cs="Times New Roman"/>
          <w:i/>
          <w:szCs w:val="24"/>
        </w:rPr>
        <w:t>B=.140</w:t>
      </w:r>
      <w:r w:rsidRPr="00005B8A">
        <w:rPr>
          <w:rFonts w:eastAsia="Times New Roman" w:cs="Times New Roman"/>
          <w:szCs w:val="24"/>
        </w:rPr>
        <w:t>).</w:t>
      </w:r>
      <w:r>
        <w:rPr>
          <w:rFonts w:eastAsia="Times New Roman" w:cs="Times New Roman"/>
          <w:szCs w:val="24"/>
        </w:rPr>
        <w:t xml:space="preserve"> </w:t>
      </w:r>
      <w:r w:rsidRPr="00005B8A">
        <w:rPr>
          <w:rFonts w:eastAsia="Times New Roman" w:cs="Times New Roman"/>
          <w:szCs w:val="24"/>
        </w:rPr>
        <w:t xml:space="preserve">Family relationships </w:t>
      </w:r>
      <w:r>
        <w:rPr>
          <w:rFonts w:eastAsia="Times New Roman" w:cs="Times New Roman"/>
          <w:szCs w:val="24"/>
        </w:rPr>
        <w:t>was</w:t>
      </w:r>
      <w:r w:rsidRPr="00005B8A">
        <w:rPr>
          <w:rFonts w:eastAsia="Times New Roman" w:cs="Times New Roman"/>
          <w:szCs w:val="24"/>
        </w:rPr>
        <w:t xml:space="preserve"> not</w:t>
      </w:r>
      <w:r>
        <w:rPr>
          <w:rFonts w:eastAsia="Times New Roman" w:cs="Times New Roman"/>
          <w:szCs w:val="24"/>
        </w:rPr>
        <w:t xml:space="preserve"> a</w:t>
      </w:r>
      <w:r w:rsidRPr="00005B8A">
        <w:rPr>
          <w:rFonts w:eastAsia="Times New Roman" w:cs="Times New Roman"/>
          <w:szCs w:val="24"/>
        </w:rPr>
        <w:t xml:space="preserve"> significant </w:t>
      </w:r>
      <w:r>
        <w:rPr>
          <w:rFonts w:eastAsia="Times New Roman" w:cs="Times New Roman"/>
          <w:szCs w:val="24"/>
        </w:rPr>
        <w:t>contributor to the model of SWB</w:t>
      </w:r>
      <w:r w:rsidRPr="00005B8A">
        <w:rPr>
          <w:rFonts w:eastAsia="Times New Roman" w:cs="Times New Roman"/>
          <w:szCs w:val="24"/>
        </w:rPr>
        <w:t xml:space="preserve">.  </w:t>
      </w:r>
      <w:r w:rsidRPr="00005B8A">
        <w:rPr>
          <w:rFonts w:eastAsia="Times New Roman" w:cs="Times New Roman"/>
          <w:szCs w:val="24"/>
        </w:rPr>
        <w:t xml:space="preserve">The beta values indicate that </w:t>
      </w:r>
      <w:r w:rsidRPr="00005B8A">
        <w:rPr>
          <w:rFonts w:eastAsia="Times New Roman" w:cs="Times New Roman"/>
          <w:szCs w:val="24"/>
        </w:rPr>
        <w:t>for</w:t>
      </w:r>
      <w:r>
        <w:rPr>
          <w:rFonts w:eastAsia="Times New Roman" w:cs="Times New Roman"/>
          <w:szCs w:val="24"/>
        </w:rPr>
        <w:t xml:space="preserve"> every 1 point increase on the </w:t>
      </w:r>
      <w:r w:rsidRPr="00005B8A">
        <w:rPr>
          <w:rFonts w:eastAsia="Times New Roman" w:cs="Times New Roman"/>
          <w:szCs w:val="24"/>
        </w:rPr>
        <w:t>self-esteem</w:t>
      </w:r>
      <w:r>
        <w:rPr>
          <w:rFonts w:eastAsia="Times New Roman" w:cs="Times New Roman"/>
          <w:szCs w:val="24"/>
        </w:rPr>
        <w:t xml:space="preserve"> scale, SWB increases by 7</w:t>
      </w:r>
      <w:r w:rsidR="00727C60">
        <w:rPr>
          <w:rFonts w:eastAsia="Times New Roman" w:cs="Times New Roman"/>
          <w:szCs w:val="24"/>
        </w:rPr>
        <w:t xml:space="preserve"> points on the scale. Similarly, for every 1 point increase on the self-efficacy scale, SWB increases by 2 points on the scale.  </w:t>
      </w:r>
    </w:p>
    <w:p w:rsidR="00005B8A" w:rsidRPr="00005B8A" w:rsidRDefault="00005B8A" w:rsidP="00005B8A">
      <w:pPr>
        <w:spacing w:after="0" w:line="276" w:lineRule="auto"/>
        <w:rPr>
          <w:rFonts w:eastAsia="Times New Roman" w:cs="Times New Roman"/>
          <w:szCs w:val="24"/>
        </w:rPr>
      </w:pPr>
    </w:p>
    <w:p w:rsidR="00533857" w:rsidRPr="00533857" w:rsidRDefault="00533857" w:rsidP="00533857">
      <w:pPr>
        <w:spacing w:after="0" w:line="240" w:lineRule="auto"/>
        <w:rPr>
          <w:rFonts w:eastAsia="Calibri" w:cs="Times New Roman"/>
          <w:b/>
          <w:sz w:val="24"/>
          <w:szCs w:val="24"/>
        </w:rPr>
      </w:pPr>
      <w:r>
        <w:rPr>
          <w:rFonts w:eastAsia="Calibri" w:cs="Times New Roman"/>
          <w:b/>
          <w:sz w:val="24"/>
          <w:szCs w:val="24"/>
        </w:rPr>
        <w:t>Table 4</w:t>
      </w:r>
    </w:p>
    <w:p w:rsidR="00533857" w:rsidRPr="00533857" w:rsidRDefault="00533857" w:rsidP="00533857">
      <w:pPr>
        <w:rPr>
          <w:rFonts w:eastAsia="Calibri" w:cs="Times New Roman"/>
          <w:sz w:val="24"/>
          <w:szCs w:val="24"/>
        </w:rPr>
      </w:pPr>
      <w:r>
        <w:rPr>
          <w:rFonts w:eastAsia="Calibri" w:cs="Times New Roman"/>
          <w:i/>
          <w:sz w:val="24"/>
          <w:szCs w:val="24"/>
        </w:rPr>
        <w:t>M</w:t>
      </w:r>
      <w:r w:rsidRPr="00533857">
        <w:rPr>
          <w:rFonts w:eastAsia="Calibri" w:cs="Times New Roman"/>
          <w:i/>
          <w:sz w:val="24"/>
          <w:szCs w:val="24"/>
        </w:rPr>
        <w:t>ean</w:t>
      </w:r>
      <w:r>
        <w:rPr>
          <w:rFonts w:eastAsia="Calibri" w:cs="Times New Roman"/>
          <w:i/>
          <w:sz w:val="24"/>
          <w:szCs w:val="24"/>
        </w:rPr>
        <w:t xml:space="preserve">s </w:t>
      </w:r>
      <w:r w:rsidRPr="00533857">
        <w:rPr>
          <w:rFonts w:eastAsia="Calibri" w:cs="Times New Roman"/>
          <w:i/>
          <w:sz w:val="24"/>
          <w:szCs w:val="24"/>
        </w:rPr>
        <w:t xml:space="preserve">and standard deviations </w:t>
      </w:r>
      <w:r>
        <w:rPr>
          <w:rFonts w:eastAsia="Calibri" w:cs="Times New Roman"/>
          <w:i/>
          <w:sz w:val="24"/>
          <w:szCs w:val="24"/>
        </w:rPr>
        <w:t xml:space="preserve">for </w:t>
      </w:r>
      <w:r w:rsidRPr="00533857">
        <w:rPr>
          <w:rFonts w:eastAsia="Calibri" w:cs="Times New Roman"/>
          <w:i/>
          <w:sz w:val="24"/>
          <w:szCs w:val="24"/>
        </w:rPr>
        <w:t>Motivation</w:t>
      </w:r>
      <w:r w:rsidRPr="00533857">
        <w:rPr>
          <w:rFonts w:eastAsia="Calibri" w:cs="Times New Roman"/>
          <w:i/>
          <w:sz w:val="24"/>
          <w:szCs w:val="24"/>
        </w:rPr>
        <w:t xml:space="preserve"> (intrinsic/extrinsic) </w:t>
      </w:r>
      <w:r>
        <w:rPr>
          <w:rFonts w:eastAsia="Calibri" w:cs="Times New Roman"/>
          <w:i/>
          <w:sz w:val="24"/>
          <w:szCs w:val="24"/>
        </w:rPr>
        <w:t>across</w:t>
      </w:r>
      <w:r w:rsidRPr="00533857">
        <w:rPr>
          <w:rFonts w:eastAsia="Calibri" w:cs="Times New Roman"/>
          <w:i/>
          <w:sz w:val="24"/>
          <w:szCs w:val="24"/>
        </w:rPr>
        <w:t xml:space="preserve"> gender sporting category and engagement levels </w:t>
      </w:r>
    </w:p>
    <w:tbl>
      <w:tblPr>
        <w:tblStyle w:val="PlainTable41"/>
        <w:tblW w:w="0" w:type="auto"/>
        <w:tblLook w:val="04A0" w:firstRow="1" w:lastRow="0" w:firstColumn="1" w:lastColumn="0" w:noHBand="0" w:noVBand="1"/>
      </w:tblPr>
      <w:tblGrid>
        <w:gridCol w:w="3686"/>
        <w:gridCol w:w="2551"/>
        <w:gridCol w:w="1803"/>
      </w:tblGrid>
      <w:tr w:rsidR="00533857" w:rsidRPr="00533857" w:rsidTr="00DA30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6" w:type="dxa"/>
            <w:tcBorders>
              <w:top w:val="single" w:sz="4" w:space="0" w:color="auto"/>
              <w:bottom w:val="single" w:sz="4" w:space="0" w:color="auto"/>
            </w:tcBorders>
            <w:shd w:val="clear" w:color="auto" w:fill="auto"/>
          </w:tcPr>
          <w:p w:rsidR="00533857" w:rsidRPr="00533857" w:rsidRDefault="00533857" w:rsidP="00533857">
            <w:pPr>
              <w:rPr>
                <w:rFonts w:eastAsia="Calibri" w:cs="Times New Roman"/>
                <w:b w:val="0"/>
                <w:sz w:val="24"/>
                <w:szCs w:val="24"/>
              </w:rPr>
            </w:pPr>
            <w:r>
              <w:rPr>
                <w:rFonts w:eastAsia="Calibri" w:cs="Times New Roman"/>
                <w:b w:val="0"/>
                <w:sz w:val="24"/>
                <w:szCs w:val="24"/>
              </w:rPr>
              <w:t>Motivation</w:t>
            </w:r>
          </w:p>
        </w:tc>
        <w:tc>
          <w:tcPr>
            <w:tcW w:w="2551" w:type="dxa"/>
            <w:tcBorders>
              <w:top w:val="single" w:sz="4" w:space="0" w:color="auto"/>
              <w:bottom w:val="single" w:sz="4" w:space="0" w:color="auto"/>
            </w:tcBorders>
            <w:shd w:val="clear" w:color="auto" w:fill="auto"/>
          </w:tcPr>
          <w:p w:rsidR="00533857" w:rsidRDefault="00533857" w:rsidP="00533857">
            <w:pPr>
              <w:cnfStyle w:val="100000000000" w:firstRow="1" w:lastRow="0" w:firstColumn="0" w:lastColumn="0" w:oddVBand="0" w:evenVBand="0" w:oddHBand="0" w:evenHBand="0" w:firstRowFirstColumn="0" w:firstRowLastColumn="0" w:lastRowFirstColumn="0" w:lastRowLastColumn="0"/>
              <w:rPr>
                <w:rFonts w:eastAsia="Calibri" w:cs="Times New Roman"/>
                <w:b w:val="0"/>
                <w:sz w:val="24"/>
                <w:szCs w:val="24"/>
              </w:rPr>
            </w:pPr>
            <w:r w:rsidRPr="00533857">
              <w:rPr>
                <w:rFonts w:eastAsia="Calibri" w:cs="Times New Roman"/>
                <w:b w:val="0"/>
                <w:sz w:val="24"/>
                <w:szCs w:val="24"/>
              </w:rPr>
              <w:t xml:space="preserve">Intrinsic </w:t>
            </w:r>
          </w:p>
          <w:p w:rsidR="00533857" w:rsidRPr="00533857" w:rsidRDefault="00533857" w:rsidP="00533857">
            <w:pPr>
              <w:cnfStyle w:val="100000000000" w:firstRow="1" w:lastRow="0" w:firstColumn="0" w:lastColumn="0" w:oddVBand="0" w:evenVBand="0" w:oddHBand="0" w:evenHBand="0" w:firstRowFirstColumn="0" w:firstRowLastColumn="0" w:lastRowFirstColumn="0" w:lastRowLastColumn="0"/>
              <w:rPr>
                <w:rFonts w:eastAsia="Calibri" w:cs="Times New Roman"/>
                <w:b w:val="0"/>
                <w:sz w:val="24"/>
                <w:szCs w:val="24"/>
              </w:rPr>
            </w:pPr>
            <w:r w:rsidRPr="00533857">
              <w:rPr>
                <w:rFonts w:eastAsia="Calibri" w:cs="Times New Roman"/>
                <w:b w:val="0"/>
                <w:sz w:val="24"/>
                <w:szCs w:val="24"/>
              </w:rPr>
              <w:t xml:space="preserve">Mean </w:t>
            </w:r>
          </w:p>
        </w:tc>
        <w:tc>
          <w:tcPr>
            <w:tcW w:w="1803" w:type="dxa"/>
            <w:tcBorders>
              <w:top w:val="single" w:sz="4" w:space="0" w:color="auto"/>
              <w:bottom w:val="single" w:sz="4" w:space="0" w:color="auto"/>
            </w:tcBorders>
            <w:shd w:val="clear" w:color="auto" w:fill="auto"/>
          </w:tcPr>
          <w:p w:rsidR="00533857" w:rsidRDefault="00533857" w:rsidP="00533857">
            <w:pPr>
              <w:cnfStyle w:val="100000000000" w:firstRow="1" w:lastRow="0" w:firstColumn="0" w:lastColumn="0" w:oddVBand="0" w:evenVBand="0" w:oddHBand="0" w:evenHBand="0" w:firstRowFirstColumn="0" w:firstRowLastColumn="0" w:lastRowFirstColumn="0" w:lastRowLastColumn="0"/>
              <w:rPr>
                <w:rFonts w:eastAsia="Calibri" w:cs="Times New Roman"/>
                <w:b w:val="0"/>
                <w:sz w:val="24"/>
                <w:szCs w:val="24"/>
              </w:rPr>
            </w:pPr>
            <w:r w:rsidRPr="00533857">
              <w:rPr>
                <w:rFonts w:eastAsia="Calibri" w:cs="Times New Roman"/>
                <w:b w:val="0"/>
                <w:sz w:val="24"/>
                <w:szCs w:val="24"/>
              </w:rPr>
              <w:t xml:space="preserve">Intrinsic </w:t>
            </w:r>
          </w:p>
          <w:p w:rsidR="00533857" w:rsidRPr="00533857" w:rsidRDefault="00533857" w:rsidP="00533857">
            <w:pPr>
              <w:cnfStyle w:val="100000000000" w:firstRow="1" w:lastRow="0" w:firstColumn="0" w:lastColumn="0" w:oddVBand="0" w:evenVBand="0" w:oddHBand="0" w:evenHBand="0" w:firstRowFirstColumn="0" w:firstRowLastColumn="0" w:lastRowFirstColumn="0" w:lastRowLastColumn="0"/>
              <w:rPr>
                <w:rFonts w:eastAsia="Calibri" w:cs="Times New Roman"/>
                <w:b w:val="0"/>
                <w:i/>
                <w:sz w:val="24"/>
                <w:szCs w:val="24"/>
              </w:rPr>
            </w:pPr>
            <w:r w:rsidRPr="00533857">
              <w:rPr>
                <w:rFonts w:eastAsia="Calibri" w:cs="Times New Roman"/>
                <w:b w:val="0"/>
                <w:i/>
                <w:sz w:val="24"/>
                <w:szCs w:val="24"/>
              </w:rPr>
              <w:t>SD</w:t>
            </w:r>
          </w:p>
        </w:tc>
      </w:tr>
      <w:tr w:rsidR="00533857" w:rsidRPr="00533857" w:rsidTr="00DA30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6" w:type="dxa"/>
            <w:tcBorders>
              <w:top w:val="single" w:sz="4" w:space="0" w:color="auto"/>
            </w:tcBorders>
            <w:shd w:val="clear" w:color="auto" w:fill="auto"/>
          </w:tcPr>
          <w:p w:rsidR="00533857" w:rsidRPr="00533857" w:rsidRDefault="00533857" w:rsidP="00DA306D">
            <w:pPr>
              <w:rPr>
                <w:rFonts w:eastAsia="Calibri" w:cs="Times New Roman"/>
                <w:b w:val="0"/>
                <w:sz w:val="24"/>
                <w:szCs w:val="24"/>
              </w:rPr>
            </w:pPr>
            <w:r w:rsidRPr="00533857">
              <w:rPr>
                <w:rFonts w:eastAsia="Calibri" w:cs="Times New Roman"/>
                <w:b w:val="0"/>
                <w:sz w:val="24"/>
                <w:szCs w:val="24"/>
              </w:rPr>
              <w:t>Males</w:t>
            </w:r>
          </w:p>
        </w:tc>
        <w:tc>
          <w:tcPr>
            <w:tcW w:w="2551" w:type="dxa"/>
            <w:tcBorders>
              <w:top w:val="single" w:sz="4" w:space="0" w:color="auto"/>
            </w:tcBorders>
            <w:shd w:val="clear" w:color="auto" w:fill="auto"/>
          </w:tcPr>
          <w:p w:rsidR="00533857" w:rsidRPr="00533857" w:rsidRDefault="00533857" w:rsidP="00DA306D">
            <w:pPr>
              <w:cnfStyle w:val="000000100000" w:firstRow="0" w:lastRow="0" w:firstColumn="0" w:lastColumn="0" w:oddVBand="0" w:evenVBand="0" w:oddHBand="1" w:evenHBand="0" w:firstRowFirstColumn="0" w:firstRowLastColumn="0" w:lastRowFirstColumn="0" w:lastRowLastColumn="0"/>
              <w:rPr>
                <w:rFonts w:eastAsia="Calibri" w:cs="Times New Roman"/>
                <w:sz w:val="24"/>
                <w:szCs w:val="24"/>
              </w:rPr>
            </w:pPr>
            <w:r w:rsidRPr="00533857">
              <w:rPr>
                <w:rFonts w:eastAsia="Calibri" w:cs="Times New Roman"/>
                <w:sz w:val="24"/>
                <w:szCs w:val="24"/>
              </w:rPr>
              <w:t>49.79</w:t>
            </w:r>
          </w:p>
        </w:tc>
        <w:tc>
          <w:tcPr>
            <w:tcW w:w="1803" w:type="dxa"/>
            <w:tcBorders>
              <w:top w:val="single" w:sz="4" w:space="0" w:color="auto"/>
            </w:tcBorders>
            <w:shd w:val="clear" w:color="auto" w:fill="auto"/>
          </w:tcPr>
          <w:p w:rsidR="00533857" w:rsidRPr="00533857" w:rsidRDefault="00533857" w:rsidP="00DA306D">
            <w:pPr>
              <w:cnfStyle w:val="000000100000" w:firstRow="0" w:lastRow="0" w:firstColumn="0" w:lastColumn="0" w:oddVBand="0" w:evenVBand="0" w:oddHBand="1" w:evenHBand="0" w:firstRowFirstColumn="0" w:firstRowLastColumn="0" w:lastRowFirstColumn="0" w:lastRowLastColumn="0"/>
              <w:rPr>
                <w:rFonts w:eastAsia="Calibri" w:cs="Times New Roman"/>
                <w:sz w:val="24"/>
                <w:szCs w:val="24"/>
              </w:rPr>
            </w:pPr>
            <w:r w:rsidRPr="00533857">
              <w:rPr>
                <w:rFonts w:eastAsia="Calibri" w:cs="Times New Roman"/>
                <w:sz w:val="24"/>
                <w:szCs w:val="24"/>
              </w:rPr>
              <w:t>7.42</w:t>
            </w:r>
          </w:p>
        </w:tc>
      </w:tr>
      <w:tr w:rsidR="00533857" w:rsidRPr="00533857" w:rsidTr="00DA306D">
        <w:tc>
          <w:tcPr>
            <w:cnfStyle w:val="001000000000" w:firstRow="0" w:lastRow="0" w:firstColumn="1" w:lastColumn="0" w:oddVBand="0" w:evenVBand="0" w:oddHBand="0" w:evenHBand="0" w:firstRowFirstColumn="0" w:firstRowLastColumn="0" w:lastRowFirstColumn="0" w:lastRowLastColumn="0"/>
            <w:tcW w:w="3686" w:type="dxa"/>
            <w:shd w:val="clear" w:color="auto" w:fill="auto"/>
          </w:tcPr>
          <w:p w:rsidR="00533857" w:rsidRPr="00533857" w:rsidRDefault="00533857" w:rsidP="00DA306D">
            <w:pPr>
              <w:rPr>
                <w:rFonts w:eastAsia="Calibri" w:cs="Times New Roman"/>
                <w:b w:val="0"/>
                <w:sz w:val="24"/>
                <w:szCs w:val="24"/>
              </w:rPr>
            </w:pPr>
            <w:r w:rsidRPr="00533857">
              <w:rPr>
                <w:rFonts w:eastAsia="Calibri" w:cs="Times New Roman"/>
                <w:b w:val="0"/>
                <w:sz w:val="24"/>
                <w:szCs w:val="24"/>
              </w:rPr>
              <w:t>Females</w:t>
            </w:r>
          </w:p>
          <w:p w:rsidR="00533857" w:rsidRPr="00533857" w:rsidRDefault="00533857" w:rsidP="00DA306D">
            <w:pPr>
              <w:rPr>
                <w:rFonts w:eastAsia="Calibri" w:cs="Times New Roman"/>
                <w:b w:val="0"/>
                <w:sz w:val="8"/>
                <w:szCs w:val="24"/>
              </w:rPr>
            </w:pPr>
          </w:p>
        </w:tc>
        <w:tc>
          <w:tcPr>
            <w:tcW w:w="2551" w:type="dxa"/>
            <w:shd w:val="clear" w:color="auto" w:fill="auto"/>
          </w:tcPr>
          <w:p w:rsidR="00533857" w:rsidRPr="00533857" w:rsidRDefault="00533857" w:rsidP="00DA306D">
            <w:pPr>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533857">
              <w:rPr>
                <w:rFonts w:eastAsia="Calibri" w:cs="Times New Roman"/>
                <w:sz w:val="24"/>
                <w:szCs w:val="24"/>
              </w:rPr>
              <w:t>51.96</w:t>
            </w:r>
          </w:p>
        </w:tc>
        <w:tc>
          <w:tcPr>
            <w:tcW w:w="1803" w:type="dxa"/>
            <w:shd w:val="clear" w:color="auto" w:fill="auto"/>
          </w:tcPr>
          <w:p w:rsidR="00533857" w:rsidRPr="00533857" w:rsidRDefault="00533857" w:rsidP="00DA306D">
            <w:pPr>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533857">
              <w:rPr>
                <w:rFonts w:eastAsia="Calibri" w:cs="Times New Roman"/>
                <w:sz w:val="24"/>
                <w:szCs w:val="24"/>
              </w:rPr>
              <w:t>6.97</w:t>
            </w:r>
          </w:p>
        </w:tc>
      </w:tr>
      <w:tr w:rsidR="00533857" w:rsidRPr="00533857" w:rsidTr="00DA30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6" w:type="dxa"/>
            <w:shd w:val="clear" w:color="auto" w:fill="auto"/>
          </w:tcPr>
          <w:p w:rsidR="00533857" w:rsidRPr="00533857" w:rsidRDefault="00533857" w:rsidP="00DA306D">
            <w:pPr>
              <w:rPr>
                <w:rFonts w:eastAsia="Calibri" w:cs="Times New Roman"/>
                <w:b w:val="0"/>
                <w:sz w:val="24"/>
                <w:szCs w:val="24"/>
              </w:rPr>
            </w:pPr>
            <w:r w:rsidRPr="00533857">
              <w:rPr>
                <w:rFonts w:eastAsia="Calibri" w:cs="Times New Roman"/>
                <w:b w:val="0"/>
                <w:sz w:val="24"/>
                <w:szCs w:val="24"/>
              </w:rPr>
              <w:t>Individual Sports</w:t>
            </w:r>
          </w:p>
        </w:tc>
        <w:tc>
          <w:tcPr>
            <w:tcW w:w="2551" w:type="dxa"/>
            <w:shd w:val="clear" w:color="auto" w:fill="auto"/>
          </w:tcPr>
          <w:p w:rsidR="00533857" w:rsidRPr="00533857" w:rsidRDefault="00533857" w:rsidP="00DA306D">
            <w:pPr>
              <w:cnfStyle w:val="000000100000" w:firstRow="0" w:lastRow="0" w:firstColumn="0" w:lastColumn="0" w:oddVBand="0" w:evenVBand="0" w:oddHBand="1" w:evenHBand="0" w:firstRowFirstColumn="0" w:firstRowLastColumn="0" w:lastRowFirstColumn="0" w:lastRowLastColumn="0"/>
              <w:rPr>
                <w:rFonts w:eastAsia="Calibri" w:cs="Times New Roman"/>
                <w:sz w:val="24"/>
                <w:szCs w:val="24"/>
              </w:rPr>
            </w:pPr>
            <w:r w:rsidRPr="00533857">
              <w:rPr>
                <w:rFonts w:eastAsia="Calibri" w:cs="Times New Roman"/>
                <w:sz w:val="24"/>
                <w:szCs w:val="24"/>
              </w:rPr>
              <w:t>51.66</w:t>
            </w:r>
          </w:p>
        </w:tc>
        <w:tc>
          <w:tcPr>
            <w:tcW w:w="1803" w:type="dxa"/>
            <w:shd w:val="clear" w:color="auto" w:fill="auto"/>
          </w:tcPr>
          <w:p w:rsidR="00533857" w:rsidRPr="00533857" w:rsidRDefault="00533857" w:rsidP="00DA306D">
            <w:pPr>
              <w:cnfStyle w:val="000000100000" w:firstRow="0" w:lastRow="0" w:firstColumn="0" w:lastColumn="0" w:oddVBand="0" w:evenVBand="0" w:oddHBand="1" w:evenHBand="0" w:firstRowFirstColumn="0" w:firstRowLastColumn="0" w:lastRowFirstColumn="0" w:lastRowLastColumn="0"/>
              <w:rPr>
                <w:rFonts w:eastAsia="Calibri" w:cs="Times New Roman"/>
                <w:sz w:val="24"/>
                <w:szCs w:val="24"/>
              </w:rPr>
            </w:pPr>
            <w:r w:rsidRPr="00533857">
              <w:rPr>
                <w:rFonts w:eastAsia="Calibri" w:cs="Times New Roman"/>
                <w:sz w:val="24"/>
                <w:szCs w:val="24"/>
              </w:rPr>
              <w:t>7.61</w:t>
            </w:r>
          </w:p>
        </w:tc>
      </w:tr>
      <w:tr w:rsidR="00533857" w:rsidRPr="00533857" w:rsidTr="00DA306D">
        <w:tc>
          <w:tcPr>
            <w:cnfStyle w:val="001000000000" w:firstRow="0" w:lastRow="0" w:firstColumn="1" w:lastColumn="0" w:oddVBand="0" w:evenVBand="0" w:oddHBand="0" w:evenHBand="0" w:firstRowFirstColumn="0" w:firstRowLastColumn="0" w:lastRowFirstColumn="0" w:lastRowLastColumn="0"/>
            <w:tcW w:w="3686" w:type="dxa"/>
            <w:shd w:val="clear" w:color="auto" w:fill="auto"/>
          </w:tcPr>
          <w:p w:rsidR="00533857" w:rsidRPr="00533857" w:rsidRDefault="00533857" w:rsidP="00DA306D">
            <w:pPr>
              <w:rPr>
                <w:rFonts w:eastAsia="Calibri" w:cs="Times New Roman"/>
                <w:b w:val="0"/>
                <w:sz w:val="24"/>
                <w:szCs w:val="24"/>
              </w:rPr>
            </w:pPr>
            <w:r w:rsidRPr="00533857">
              <w:rPr>
                <w:rFonts w:eastAsia="Calibri" w:cs="Times New Roman"/>
                <w:b w:val="0"/>
                <w:sz w:val="24"/>
                <w:szCs w:val="24"/>
              </w:rPr>
              <w:t>Team Sports</w:t>
            </w:r>
          </w:p>
          <w:p w:rsidR="00533857" w:rsidRPr="00533857" w:rsidRDefault="00533857" w:rsidP="00DA306D">
            <w:pPr>
              <w:rPr>
                <w:rFonts w:eastAsia="Calibri" w:cs="Times New Roman"/>
                <w:b w:val="0"/>
                <w:sz w:val="8"/>
                <w:szCs w:val="24"/>
              </w:rPr>
            </w:pPr>
          </w:p>
        </w:tc>
        <w:tc>
          <w:tcPr>
            <w:tcW w:w="2551" w:type="dxa"/>
            <w:shd w:val="clear" w:color="auto" w:fill="auto"/>
          </w:tcPr>
          <w:p w:rsidR="00533857" w:rsidRPr="00533857" w:rsidRDefault="00533857" w:rsidP="00DA306D">
            <w:pPr>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533857">
              <w:rPr>
                <w:rFonts w:eastAsia="Calibri" w:cs="Times New Roman"/>
                <w:sz w:val="24"/>
                <w:szCs w:val="24"/>
              </w:rPr>
              <w:t>50.02</w:t>
            </w:r>
          </w:p>
        </w:tc>
        <w:tc>
          <w:tcPr>
            <w:tcW w:w="1803" w:type="dxa"/>
            <w:shd w:val="clear" w:color="auto" w:fill="auto"/>
          </w:tcPr>
          <w:p w:rsidR="00533857" w:rsidRPr="00533857" w:rsidRDefault="00533857" w:rsidP="00DA306D">
            <w:pPr>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533857">
              <w:rPr>
                <w:rFonts w:eastAsia="Calibri" w:cs="Times New Roman"/>
                <w:sz w:val="24"/>
                <w:szCs w:val="24"/>
              </w:rPr>
              <w:t>6.88</w:t>
            </w:r>
          </w:p>
        </w:tc>
      </w:tr>
      <w:tr w:rsidR="00533857" w:rsidRPr="00533857" w:rsidTr="00DA30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6" w:type="dxa"/>
            <w:shd w:val="clear" w:color="auto" w:fill="auto"/>
          </w:tcPr>
          <w:p w:rsidR="00533857" w:rsidRPr="00533857" w:rsidRDefault="00533857" w:rsidP="00DA306D">
            <w:pPr>
              <w:rPr>
                <w:rFonts w:eastAsia="Calibri" w:cs="Times New Roman"/>
                <w:b w:val="0"/>
                <w:sz w:val="24"/>
                <w:szCs w:val="24"/>
              </w:rPr>
            </w:pPr>
            <w:r w:rsidRPr="00533857">
              <w:rPr>
                <w:rFonts w:eastAsia="Calibri" w:cs="Times New Roman"/>
                <w:b w:val="0"/>
                <w:sz w:val="24"/>
                <w:szCs w:val="24"/>
              </w:rPr>
              <w:t>High</w:t>
            </w:r>
            <w:r w:rsidR="00DA306D">
              <w:rPr>
                <w:rFonts w:eastAsia="Calibri" w:cs="Times New Roman"/>
                <w:b w:val="0"/>
                <w:sz w:val="24"/>
                <w:szCs w:val="24"/>
              </w:rPr>
              <w:t xml:space="preserve"> </w:t>
            </w:r>
            <w:r w:rsidRPr="00533857">
              <w:rPr>
                <w:rFonts w:eastAsia="Calibri" w:cs="Times New Roman"/>
                <w:b w:val="0"/>
                <w:sz w:val="24"/>
                <w:szCs w:val="24"/>
              </w:rPr>
              <w:t>Engagements</w:t>
            </w:r>
            <w:r w:rsidR="00DA306D">
              <w:rPr>
                <w:rFonts w:eastAsia="Calibri" w:cs="Times New Roman"/>
                <w:b w:val="0"/>
                <w:sz w:val="24"/>
                <w:szCs w:val="24"/>
              </w:rPr>
              <w:t xml:space="preserve"> </w:t>
            </w:r>
            <w:r w:rsidR="00DA306D" w:rsidRPr="00533857">
              <w:rPr>
                <w:rFonts w:eastAsia="Calibri" w:cs="Times New Roman"/>
                <w:b w:val="0"/>
                <w:sz w:val="24"/>
                <w:szCs w:val="24"/>
              </w:rPr>
              <w:t>(1-2 hours)</w:t>
            </w:r>
          </w:p>
        </w:tc>
        <w:tc>
          <w:tcPr>
            <w:tcW w:w="2551" w:type="dxa"/>
            <w:shd w:val="clear" w:color="auto" w:fill="auto"/>
          </w:tcPr>
          <w:p w:rsidR="00533857" w:rsidRPr="00533857" w:rsidRDefault="00533857" w:rsidP="00DA306D">
            <w:pPr>
              <w:cnfStyle w:val="000000100000" w:firstRow="0" w:lastRow="0" w:firstColumn="0" w:lastColumn="0" w:oddVBand="0" w:evenVBand="0" w:oddHBand="1" w:evenHBand="0" w:firstRowFirstColumn="0" w:firstRowLastColumn="0" w:lastRowFirstColumn="0" w:lastRowLastColumn="0"/>
              <w:rPr>
                <w:rFonts w:eastAsia="Calibri" w:cs="Times New Roman"/>
                <w:sz w:val="24"/>
                <w:szCs w:val="24"/>
              </w:rPr>
            </w:pPr>
            <w:r w:rsidRPr="00533857">
              <w:rPr>
                <w:rFonts w:eastAsia="Calibri" w:cs="Times New Roman"/>
                <w:sz w:val="24"/>
                <w:szCs w:val="24"/>
              </w:rPr>
              <w:t>52.98</w:t>
            </w:r>
          </w:p>
        </w:tc>
        <w:tc>
          <w:tcPr>
            <w:tcW w:w="1803" w:type="dxa"/>
            <w:shd w:val="clear" w:color="auto" w:fill="auto"/>
          </w:tcPr>
          <w:p w:rsidR="00533857" w:rsidRPr="00533857" w:rsidRDefault="00533857" w:rsidP="00DA306D">
            <w:pPr>
              <w:cnfStyle w:val="000000100000" w:firstRow="0" w:lastRow="0" w:firstColumn="0" w:lastColumn="0" w:oddVBand="0" w:evenVBand="0" w:oddHBand="1" w:evenHBand="0" w:firstRowFirstColumn="0" w:firstRowLastColumn="0" w:lastRowFirstColumn="0" w:lastRowLastColumn="0"/>
              <w:rPr>
                <w:rFonts w:eastAsia="Calibri" w:cs="Times New Roman"/>
                <w:sz w:val="24"/>
                <w:szCs w:val="24"/>
              </w:rPr>
            </w:pPr>
            <w:r w:rsidRPr="00533857">
              <w:rPr>
                <w:rFonts w:eastAsia="Calibri" w:cs="Times New Roman"/>
                <w:sz w:val="24"/>
                <w:szCs w:val="24"/>
              </w:rPr>
              <w:t>6.99</w:t>
            </w:r>
          </w:p>
        </w:tc>
      </w:tr>
      <w:tr w:rsidR="00533857" w:rsidRPr="00533857" w:rsidTr="00DA306D">
        <w:tc>
          <w:tcPr>
            <w:cnfStyle w:val="001000000000" w:firstRow="0" w:lastRow="0" w:firstColumn="1" w:lastColumn="0" w:oddVBand="0" w:evenVBand="0" w:oddHBand="0" w:evenHBand="0" w:firstRowFirstColumn="0" w:firstRowLastColumn="0" w:lastRowFirstColumn="0" w:lastRowLastColumn="0"/>
            <w:tcW w:w="3686" w:type="dxa"/>
            <w:shd w:val="clear" w:color="auto" w:fill="auto"/>
          </w:tcPr>
          <w:p w:rsidR="00533857" w:rsidRPr="00533857" w:rsidRDefault="00533857" w:rsidP="00DA306D">
            <w:pPr>
              <w:rPr>
                <w:rFonts w:eastAsia="Calibri" w:cs="Times New Roman"/>
                <w:b w:val="0"/>
                <w:sz w:val="24"/>
                <w:szCs w:val="24"/>
              </w:rPr>
            </w:pPr>
            <w:r w:rsidRPr="00533857">
              <w:rPr>
                <w:rFonts w:eastAsia="Calibri" w:cs="Times New Roman"/>
                <w:b w:val="0"/>
                <w:sz w:val="24"/>
                <w:szCs w:val="24"/>
              </w:rPr>
              <w:t xml:space="preserve">Low Engagements (3+ hours) </w:t>
            </w:r>
          </w:p>
        </w:tc>
        <w:tc>
          <w:tcPr>
            <w:tcW w:w="2551" w:type="dxa"/>
            <w:shd w:val="clear" w:color="auto" w:fill="auto"/>
          </w:tcPr>
          <w:p w:rsidR="00533857" w:rsidRPr="00533857" w:rsidRDefault="00533857" w:rsidP="00DA306D">
            <w:pPr>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533857">
              <w:rPr>
                <w:rFonts w:eastAsia="Calibri" w:cs="Times New Roman"/>
                <w:sz w:val="24"/>
                <w:szCs w:val="24"/>
              </w:rPr>
              <w:t>48.48</w:t>
            </w:r>
          </w:p>
        </w:tc>
        <w:tc>
          <w:tcPr>
            <w:tcW w:w="1803" w:type="dxa"/>
            <w:shd w:val="clear" w:color="auto" w:fill="auto"/>
          </w:tcPr>
          <w:p w:rsidR="00533857" w:rsidRPr="00533857" w:rsidRDefault="00533857" w:rsidP="00DA306D">
            <w:pPr>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533857">
              <w:rPr>
                <w:rFonts w:eastAsia="Calibri" w:cs="Times New Roman"/>
                <w:sz w:val="24"/>
                <w:szCs w:val="24"/>
              </w:rPr>
              <w:t>6.88</w:t>
            </w:r>
          </w:p>
        </w:tc>
      </w:tr>
    </w:tbl>
    <w:p w:rsidR="00533857" w:rsidRDefault="00533857" w:rsidP="00533857">
      <w:pPr>
        <w:spacing w:after="0" w:line="240" w:lineRule="auto"/>
        <w:rPr>
          <w:rFonts w:eastAsia="Calibri" w:cs="Times New Roman"/>
          <w:sz w:val="24"/>
          <w:szCs w:val="24"/>
        </w:rPr>
      </w:pPr>
      <w:r>
        <w:rPr>
          <w:rFonts w:eastAsia="Calibri" w:cs="Times New Roman"/>
          <w:sz w:val="24"/>
          <w:szCs w:val="24"/>
        </w:rPr>
        <w:t>______________________________________________</w:t>
      </w:r>
      <w:r w:rsidR="00DA306D">
        <w:rPr>
          <w:rFonts w:eastAsia="Calibri" w:cs="Times New Roman"/>
          <w:sz w:val="24"/>
          <w:szCs w:val="24"/>
        </w:rPr>
        <w:t>____________________</w:t>
      </w:r>
      <w:r>
        <w:rPr>
          <w:rFonts w:eastAsia="Calibri" w:cs="Times New Roman"/>
          <w:sz w:val="24"/>
          <w:szCs w:val="24"/>
        </w:rPr>
        <w:t>_</w:t>
      </w:r>
    </w:p>
    <w:p w:rsidR="004409CC" w:rsidRDefault="004409CC" w:rsidP="00533857">
      <w:pPr>
        <w:spacing w:after="0" w:line="240" w:lineRule="auto"/>
        <w:rPr>
          <w:rFonts w:eastAsia="Calibri" w:cs="Times New Roman"/>
          <w:sz w:val="24"/>
          <w:szCs w:val="24"/>
        </w:rPr>
      </w:pPr>
    </w:p>
    <w:p w:rsidR="004409CC" w:rsidRPr="004409CC" w:rsidRDefault="004409CC" w:rsidP="004409CC">
      <w:pPr>
        <w:spacing w:after="0" w:line="240" w:lineRule="auto"/>
        <w:rPr>
          <w:rFonts w:eastAsia="Calibri" w:cs="Times New Roman"/>
          <w:sz w:val="24"/>
          <w:szCs w:val="24"/>
        </w:rPr>
      </w:pPr>
      <w:r w:rsidRPr="004409CC">
        <w:rPr>
          <w:rFonts w:eastAsia="Calibri" w:cs="Times New Roman"/>
          <w:sz w:val="24"/>
          <w:szCs w:val="24"/>
        </w:rPr>
        <w:t>Table 3</w:t>
      </w:r>
      <w:r w:rsidR="00DA306D">
        <w:rPr>
          <w:rFonts w:eastAsia="Calibri" w:cs="Times New Roman"/>
          <w:sz w:val="24"/>
          <w:szCs w:val="24"/>
        </w:rPr>
        <w:t xml:space="preserve"> p</w:t>
      </w:r>
      <w:r w:rsidRPr="004409CC">
        <w:rPr>
          <w:rFonts w:eastAsia="Calibri" w:cs="Times New Roman"/>
          <w:sz w:val="24"/>
          <w:szCs w:val="24"/>
        </w:rPr>
        <w:t>resents the results of mean scores and standard deviations for int</w:t>
      </w:r>
      <w:r w:rsidR="00DA306D">
        <w:rPr>
          <w:rFonts w:eastAsia="Calibri" w:cs="Times New Roman"/>
          <w:sz w:val="24"/>
          <w:szCs w:val="24"/>
        </w:rPr>
        <w:t xml:space="preserve">rinsic and extrinsic motivation. </w:t>
      </w:r>
      <w:r w:rsidRPr="004409CC">
        <w:rPr>
          <w:rFonts w:eastAsia="Calibri" w:cs="Times New Roman"/>
          <w:sz w:val="24"/>
          <w:szCs w:val="24"/>
        </w:rPr>
        <w:t>High engagement levels determined the highest mean scores of intrinsic values, whereas low engagement determined the lowest. Regarding extrinsic mean scores, males scored the highest and individual sport scored the lowest. Standard deviations displayed also demonstrate that all groups fell within an acceptable distribution between each other. A 2x2x2 between subject’s ANOVA was then separately carried out for both intrinsic and extrinsic scores to examine whether results were significantly different between independent variables of sporting type, engagement levels and gender (P&lt;0.05).</w:t>
      </w:r>
    </w:p>
    <w:p w:rsidR="004409CC" w:rsidRPr="004409CC" w:rsidRDefault="004409CC" w:rsidP="004409CC">
      <w:pPr>
        <w:spacing w:after="0" w:line="240" w:lineRule="auto"/>
        <w:rPr>
          <w:rFonts w:eastAsia="Calibri" w:cs="Times New Roman"/>
          <w:sz w:val="24"/>
          <w:szCs w:val="24"/>
        </w:rPr>
      </w:pPr>
      <w:bookmarkStart w:id="0" w:name="_Toc477460114"/>
      <w:r w:rsidRPr="004409CC">
        <w:rPr>
          <w:rFonts w:eastAsia="Calibri" w:cs="Times New Roman"/>
          <w:sz w:val="24"/>
          <w:szCs w:val="24"/>
        </w:rPr>
        <w:t>It was predicted that participants in individual sport would score higher levels of intrinsic motivation compared to team participants</w:t>
      </w:r>
      <w:bookmarkEnd w:id="0"/>
      <w:r w:rsidRPr="004409CC">
        <w:rPr>
          <w:rFonts w:eastAsia="Calibri" w:cs="Times New Roman"/>
          <w:sz w:val="24"/>
          <w:szCs w:val="24"/>
        </w:rPr>
        <w:t xml:space="preserve">. However, significant differences were not found between sporting types and intrinsic motivation, </w:t>
      </w:r>
      <w:proofErr w:type="gramStart"/>
      <w:r w:rsidRPr="00DA306D">
        <w:rPr>
          <w:rFonts w:eastAsia="Calibri" w:cs="Times New Roman"/>
          <w:i/>
          <w:sz w:val="24"/>
          <w:szCs w:val="24"/>
        </w:rPr>
        <w:t>F</w:t>
      </w:r>
      <w:r w:rsidRPr="004409CC">
        <w:rPr>
          <w:rFonts w:eastAsia="Calibri" w:cs="Times New Roman"/>
          <w:sz w:val="24"/>
          <w:szCs w:val="24"/>
        </w:rPr>
        <w:t>(</w:t>
      </w:r>
      <w:proofErr w:type="gramEnd"/>
      <w:r w:rsidRPr="004409CC">
        <w:rPr>
          <w:rFonts w:eastAsia="Calibri" w:cs="Times New Roman"/>
          <w:sz w:val="24"/>
          <w:szCs w:val="24"/>
        </w:rPr>
        <w:t xml:space="preserve">1, 130) =2.59 </w:t>
      </w:r>
      <w:r w:rsidRPr="00DA306D">
        <w:rPr>
          <w:rFonts w:eastAsia="Calibri" w:cs="Times New Roman"/>
          <w:i/>
          <w:sz w:val="24"/>
          <w:szCs w:val="24"/>
        </w:rPr>
        <w:t>p=.109</w:t>
      </w:r>
      <w:r w:rsidRPr="004409CC">
        <w:rPr>
          <w:rFonts w:eastAsia="Calibri" w:cs="Times New Roman"/>
          <w:sz w:val="24"/>
          <w:szCs w:val="24"/>
        </w:rPr>
        <w:t xml:space="preserve">, resulting in this element was rejected. </w:t>
      </w:r>
      <w:bookmarkStart w:id="1" w:name="_Toc477460115"/>
      <w:r w:rsidRPr="004409CC">
        <w:rPr>
          <w:rFonts w:eastAsia="Calibri" w:cs="Times New Roman"/>
          <w:sz w:val="24"/>
          <w:szCs w:val="24"/>
        </w:rPr>
        <w:t xml:space="preserve">Although </w:t>
      </w:r>
      <w:bookmarkEnd w:id="1"/>
      <w:r w:rsidRPr="004409CC">
        <w:rPr>
          <w:rFonts w:eastAsia="Calibri" w:cs="Times New Roman"/>
          <w:sz w:val="24"/>
          <w:szCs w:val="24"/>
        </w:rPr>
        <w:t xml:space="preserve">significances were found between sporting types and extrinsic motivation </w:t>
      </w:r>
      <w:proofErr w:type="gramStart"/>
      <w:r w:rsidRPr="00DA306D">
        <w:rPr>
          <w:rFonts w:eastAsia="Calibri" w:cs="Times New Roman"/>
          <w:i/>
          <w:sz w:val="24"/>
          <w:szCs w:val="24"/>
        </w:rPr>
        <w:t>F</w:t>
      </w:r>
      <w:r w:rsidRPr="004409CC">
        <w:rPr>
          <w:rFonts w:eastAsia="Calibri" w:cs="Times New Roman"/>
          <w:sz w:val="24"/>
          <w:szCs w:val="24"/>
        </w:rPr>
        <w:t>(</w:t>
      </w:r>
      <w:proofErr w:type="gramEnd"/>
      <w:r w:rsidRPr="004409CC">
        <w:rPr>
          <w:rFonts w:eastAsia="Calibri" w:cs="Times New Roman"/>
          <w:sz w:val="24"/>
          <w:szCs w:val="24"/>
        </w:rPr>
        <w:t xml:space="preserve">1, 130) =17.080, </w:t>
      </w:r>
      <w:r w:rsidRPr="00DA306D">
        <w:rPr>
          <w:rFonts w:eastAsia="Calibri" w:cs="Times New Roman"/>
          <w:i/>
          <w:sz w:val="24"/>
          <w:szCs w:val="24"/>
        </w:rPr>
        <w:t>p=.001</w:t>
      </w:r>
      <w:r w:rsidRPr="004409CC">
        <w:rPr>
          <w:rFonts w:eastAsia="Calibri" w:cs="Times New Roman"/>
          <w:sz w:val="24"/>
          <w:szCs w:val="24"/>
        </w:rPr>
        <w:t xml:space="preserve">. Therefore, with validation from main effects also, </w:t>
      </w:r>
      <w:r w:rsidR="00DA306D">
        <w:rPr>
          <w:rFonts w:eastAsia="Calibri" w:cs="Times New Roman"/>
          <w:sz w:val="24"/>
          <w:szCs w:val="24"/>
        </w:rPr>
        <w:t>hypothesis 1</w:t>
      </w:r>
      <w:r w:rsidRPr="004409CC">
        <w:rPr>
          <w:rFonts w:eastAsia="Calibri" w:cs="Times New Roman"/>
          <w:sz w:val="24"/>
          <w:szCs w:val="24"/>
        </w:rPr>
        <w:t xml:space="preserve"> was partially accepted in that team sport scored higher in levels of extrinsic motivation compared to lower levels in individual sport.  </w:t>
      </w:r>
    </w:p>
    <w:p w:rsidR="004409CC" w:rsidRPr="004409CC" w:rsidRDefault="004409CC" w:rsidP="004409CC">
      <w:pPr>
        <w:spacing w:after="0" w:line="240" w:lineRule="auto"/>
        <w:rPr>
          <w:rFonts w:eastAsia="Calibri" w:cs="Times New Roman"/>
          <w:sz w:val="24"/>
          <w:szCs w:val="24"/>
        </w:rPr>
      </w:pPr>
    </w:p>
    <w:p w:rsidR="004409CC" w:rsidRPr="004409CC" w:rsidRDefault="004409CC" w:rsidP="004409CC">
      <w:pPr>
        <w:spacing w:after="0" w:line="240" w:lineRule="auto"/>
        <w:rPr>
          <w:rFonts w:eastAsia="Calibri" w:cs="Times New Roman"/>
          <w:sz w:val="24"/>
          <w:szCs w:val="24"/>
        </w:rPr>
      </w:pPr>
      <w:bookmarkStart w:id="2" w:name="_Toc477460116"/>
      <w:r w:rsidRPr="004409CC">
        <w:rPr>
          <w:rFonts w:eastAsia="Calibri" w:cs="Times New Roman"/>
          <w:sz w:val="24"/>
          <w:szCs w:val="24"/>
        </w:rPr>
        <w:t>It was predicted that highly engaged participants would score higher levels of intrinsic motivation compared with lower engaged participants</w:t>
      </w:r>
      <w:bookmarkEnd w:id="2"/>
      <w:r w:rsidRPr="004409CC">
        <w:rPr>
          <w:rFonts w:eastAsia="Calibri" w:cs="Times New Roman"/>
          <w:sz w:val="24"/>
          <w:szCs w:val="24"/>
        </w:rPr>
        <w:t xml:space="preserve">. Significant differences were found between engagement levels and intrinsic motivation, </w:t>
      </w:r>
      <w:proofErr w:type="gramStart"/>
      <w:r w:rsidRPr="00DA306D">
        <w:rPr>
          <w:rFonts w:eastAsia="Calibri" w:cs="Times New Roman"/>
          <w:i/>
          <w:sz w:val="24"/>
          <w:szCs w:val="24"/>
        </w:rPr>
        <w:t>F</w:t>
      </w:r>
      <w:r w:rsidRPr="004409CC">
        <w:rPr>
          <w:rFonts w:eastAsia="Calibri" w:cs="Times New Roman"/>
          <w:sz w:val="24"/>
          <w:szCs w:val="24"/>
        </w:rPr>
        <w:t>(</w:t>
      </w:r>
      <w:proofErr w:type="gramEnd"/>
      <w:r w:rsidRPr="004409CC">
        <w:rPr>
          <w:rFonts w:eastAsia="Calibri" w:cs="Times New Roman"/>
          <w:sz w:val="24"/>
          <w:szCs w:val="24"/>
        </w:rPr>
        <w:t xml:space="preserve">1,130) =14.69, </w:t>
      </w:r>
      <w:r w:rsidRPr="00DA306D">
        <w:rPr>
          <w:rFonts w:eastAsia="Calibri" w:cs="Times New Roman"/>
          <w:i/>
          <w:sz w:val="24"/>
          <w:szCs w:val="24"/>
        </w:rPr>
        <w:t>p=.001</w:t>
      </w:r>
      <w:r w:rsidRPr="004409CC">
        <w:rPr>
          <w:rFonts w:eastAsia="Calibri" w:cs="Times New Roman"/>
          <w:sz w:val="24"/>
          <w:szCs w:val="24"/>
        </w:rPr>
        <w:t xml:space="preserve">, therefore </w:t>
      </w:r>
      <w:r w:rsidR="00DA306D">
        <w:rPr>
          <w:rFonts w:eastAsia="Calibri" w:cs="Times New Roman"/>
          <w:sz w:val="24"/>
          <w:szCs w:val="24"/>
        </w:rPr>
        <w:t>hypothesis 3</w:t>
      </w:r>
      <w:r w:rsidRPr="004409CC">
        <w:rPr>
          <w:rFonts w:eastAsia="Calibri" w:cs="Times New Roman"/>
          <w:sz w:val="24"/>
          <w:szCs w:val="24"/>
        </w:rPr>
        <w:t xml:space="preserve"> was partially accepted</w:t>
      </w:r>
      <w:bookmarkStart w:id="3" w:name="_Toc477460117"/>
      <w:r w:rsidRPr="004409CC">
        <w:rPr>
          <w:rFonts w:eastAsia="Calibri" w:cs="Times New Roman"/>
          <w:sz w:val="24"/>
          <w:szCs w:val="24"/>
        </w:rPr>
        <w:t xml:space="preserve"> with validation of main effects. However, </w:t>
      </w:r>
      <w:bookmarkEnd w:id="3"/>
      <w:r w:rsidRPr="004409CC">
        <w:rPr>
          <w:rFonts w:eastAsia="Calibri" w:cs="Times New Roman"/>
          <w:sz w:val="24"/>
          <w:szCs w:val="24"/>
        </w:rPr>
        <w:t xml:space="preserve">significant differences were not supported between engagement levels and extrinsic motivation, </w:t>
      </w:r>
      <w:proofErr w:type="gramStart"/>
      <w:r w:rsidRPr="00DA306D">
        <w:rPr>
          <w:rFonts w:eastAsia="Calibri" w:cs="Times New Roman"/>
          <w:i/>
          <w:sz w:val="24"/>
          <w:szCs w:val="24"/>
        </w:rPr>
        <w:t>F</w:t>
      </w:r>
      <w:r w:rsidRPr="004409CC">
        <w:rPr>
          <w:rFonts w:eastAsia="Calibri" w:cs="Times New Roman"/>
          <w:sz w:val="24"/>
          <w:szCs w:val="24"/>
        </w:rPr>
        <w:t>(</w:t>
      </w:r>
      <w:proofErr w:type="gramEnd"/>
      <w:r w:rsidRPr="004409CC">
        <w:rPr>
          <w:rFonts w:eastAsia="Calibri" w:cs="Times New Roman"/>
          <w:sz w:val="24"/>
          <w:szCs w:val="24"/>
        </w:rPr>
        <w:t xml:space="preserve">1,130) =2.27, </w:t>
      </w:r>
      <w:r w:rsidRPr="00DA306D">
        <w:rPr>
          <w:rFonts w:eastAsia="Calibri" w:cs="Times New Roman"/>
          <w:i/>
          <w:sz w:val="24"/>
          <w:szCs w:val="24"/>
        </w:rPr>
        <w:t>p=.134</w:t>
      </w:r>
      <w:r w:rsidRPr="004409CC">
        <w:rPr>
          <w:rFonts w:eastAsia="Calibri" w:cs="Times New Roman"/>
          <w:sz w:val="24"/>
          <w:szCs w:val="24"/>
        </w:rPr>
        <w:t xml:space="preserve">, therefore this element was rejected. </w:t>
      </w:r>
      <w:bookmarkStart w:id="4" w:name="_Toc477460118"/>
      <w:r w:rsidRPr="004409CC">
        <w:rPr>
          <w:rFonts w:eastAsia="Calibri" w:cs="Times New Roman"/>
          <w:sz w:val="24"/>
          <w:szCs w:val="24"/>
        </w:rPr>
        <w:t>It was predicted that female participants would score higher levels of intrinsic motivation than male participants.</w:t>
      </w:r>
      <w:bookmarkEnd w:id="4"/>
      <w:r w:rsidRPr="004409CC">
        <w:rPr>
          <w:rFonts w:eastAsia="Calibri" w:cs="Times New Roman"/>
          <w:sz w:val="24"/>
          <w:szCs w:val="24"/>
        </w:rPr>
        <w:t xml:space="preserve"> Such significances were found between gender and intrinsic motivation, </w:t>
      </w:r>
      <w:proofErr w:type="gramStart"/>
      <w:r w:rsidRPr="00DA306D">
        <w:rPr>
          <w:rFonts w:eastAsia="Calibri" w:cs="Times New Roman"/>
          <w:i/>
          <w:sz w:val="24"/>
          <w:szCs w:val="24"/>
        </w:rPr>
        <w:t>F</w:t>
      </w:r>
      <w:r w:rsidRPr="004409CC">
        <w:rPr>
          <w:rFonts w:eastAsia="Calibri" w:cs="Times New Roman"/>
          <w:sz w:val="24"/>
          <w:szCs w:val="24"/>
        </w:rPr>
        <w:t>(</w:t>
      </w:r>
      <w:proofErr w:type="gramEnd"/>
      <w:r w:rsidRPr="004409CC">
        <w:rPr>
          <w:rFonts w:eastAsia="Calibri" w:cs="Times New Roman"/>
          <w:sz w:val="24"/>
          <w:szCs w:val="24"/>
        </w:rPr>
        <w:t>1, 130) =4.61</w:t>
      </w:r>
      <w:r w:rsidRPr="00DA306D">
        <w:rPr>
          <w:rFonts w:eastAsia="Calibri" w:cs="Times New Roman"/>
          <w:i/>
          <w:sz w:val="24"/>
          <w:szCs w:val="24"/>
        </w:rPr>
        <w:t>, p=.034</w:t>
      </w:r>
      <w:r w:rsidRPr="004409CC">
        <w:rPr>
          <w:rFonts w:eastAsia="Calibri" w:cs="Times New Roman"/>
          <w:sz w:val="24"/>
          <w:szCs w:val="24"/>
        </w:rPr>
        <w:t xml:space="preserve">. </w:t>
      </w:r>
      <w:bookmarkStart w:id="5" w:name="_Toc477460119"/>
      <w:r w:rsidRPr="004409CC">
        <w:rPr>
          <w:rFonts w:eastAsia="Calibri" w:cs="Times New Roman"/>
          <w:sz w:val="24"/>
          <w:szCs w:val="24"/>
        </w:rPr>
        <w:t>Females would also score lower levels of extrinsic motivation than male participants. These differences were also significant for gender</w:t>
      </w:r>
      <w:bookmarkEnd w:id="5"/>
      <w:r w:rsidRPr="004409CC">
        <w:rPr>
          <w:rFonts w:eastAsia="Calibri" w:cs="Times New Roman"/>
          <w:sz w:val="24"/>
          <w:szCs w:val="24"/>
        </w:rPr>
        <w:t xml:space="preserve"> and extrinsic motivation </w:t>
      </w:r>
      <w:proofErr w:type="gramStart"/>
      <w:r w:rsidRPr="00DA306D">
        <w:rPr>
          <w:rFonts w:eastAsia="Calibri" w:cs="Times New Roman"/>
          <w:i/>
          <w:sz w:val="24"/>
          <w:szCs w:val="24"/>
        </w:rPr>
        <w:t>F</w:t>
      </w:r>
      <w:r w:rsidRPr="004409CC">
        <w:rPr>
          <w:rFonts w:eastAsia="Calibri" w:cs="Times New Roman"/>
          <w:sz w:val="24"/>
          <w:szCs w:val="24"/>
        </w:rPr>
        <w:t>(</w:t>
      </w:r>
      <w:proofErr w:type="gramEnd"/>
      <w:r w:rsidRPr="004409CC">
        <w:rPr>
          <w:rFonts w:eastAsia="Calibri" w:cs="Times New Roman"/>
          <w:sz w:val="24"/>
          <w:szCs w:val="24"/>
        </w:rPr>
        <w:t xml:space="preserve">1, 130) =9.44, </w:t>
      </w:r>
      <w:r w:rsidRPr="00DA306D">
        <w:rPr>
          <w:rFonts w:eastAsia="Calibri" w:cs="Times New Roman"/>
          <w:i/>
          <w:sz w:val="24"/>
          <w:szCs w:val="24"/>
        </w:rPr>
        <w:t>p=.003</w:t>
      </w:r>
      <w:r w:rsidRPr="004409CC">
        <w:rPr>
          <w:rFonts w:eastAsia="Calibri" w:cs="Times New Roman"/>
          <w:sz w:val="24"/>
          <w:szCs w:val="24"/>
        </w:rPr>
        <w:t xml:space="preserve">. With validation from main effects additionally, this fully supported </w:t>
      </w:r>
      <w:r w:rsidR="00DA306D">
        <w:rPr>
          <w:rFonts w:eastAsia="Calibri" w:cs="Times New Roman"/>
          <w:sz w:val="24"/>
          <w:szCs w:val="24"/>
        </w:rPr>
        <w:t>hypothesis 4</w:t>
      </w:r>
      <w:r w:rsidRPr="004409CC">
        <w:rPr>
          <w:rFonts w:eastAsia="Calibri" w:cs="Times New Roman"/>
          <w:sz w:val="24"/>
          <w:szCs w:val="24"/>
        </w:rPr>
        <w:t xml:space="preserve"> gender differences across both motivation types. </w:t>
      </w:r>
    </w:p>
    <w:p w:rsidR="004409CC" w:rsidRPr="004409CC" w:rsidRDefault="004409CC" w:rsidP="004409CC">
      <w:pPr>
        <w:spacing w:after="0" w:line="240" w:lineRule="auto"/>
        <w:rPr>
          <w:rFonts w:eastAsia="Calibri" w:cs="Times New Roman"/>
          <w:sz w:val="24"/>
          <w:szCs w:val="24"/>
        </w:rPr>
      </w:pPr>
      <w:bookmarkStart w:id="6" w:name="_GoBack"/>
      <w:bookmarkEnd w:id="6"/>
    </w:p>
    <w:p w:rsidR="004409CC" w:rsidRDefault="004409CC" w:rsidP="00533857">
      <w:pPr>
        <w:spacing w:after="0" w:line="240" w:lineRule="auto"/>
        <w:rPr>
          <w:rFonts w:eastAsia="Calibri" w:cs="Times New Roman"/>
          <w:sz w:val="24"/>
          <w:szCs w:val="24"/>
        </w:rPr>
      </w:pPr>
    </w:p>
    <w:p w:rsidR="004409CC" w:rsidRPr="00533857" w:rsidRDefault="004409CC" w:rsidP="00533857">
      <w:pPr>
        <w:spacing w:after="0" w:line="240" w:lineRule="auto"/>
        <w:rPr>
          <w:rFonts w:eastAsia="Calibri" w:cs="Times New Roman"/>
          <w:sz w:val="24"/>
          <w:szCs w:val="24"/>
        </w:rPr>
      </w:pPr>
    </w:p>
    <w:sectPr w:rsidR="004409CC" w:rsidRPr="005338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7314"/>
    <w:rsid w:val="00005B8A"/>
    <w:rsid w:val="002278C9"/>
    <w:rsid w:val="00244A04"/>
    <w:rsid w:val="004409CC"/>
    <w:rsid w:val="00533857"/>
    <w:rsid w:val="00727C60"/>
    <w:rsid w:val="00B67314"/>
    <w:rsid w:val="00BC0670"/>
    <w:rsid w:val="00DA306D"/>
    <w:rsid w:val="00ED5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E857D9E-47D6-4845-90D3-5BC9E6838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673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005B8A"/>
    <w:pPr>
      <w:spacing w:after="0" w:line="240" w:lineRule="auto"/>
    </w:pPr>
    <w:rPr>
      <w:rFonts w:eastAsia="Times New Roman" w:cs="Calibri"/>
    </w:r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rFonts w:ascii="Calibri" w:hAnsi="Calibri" w:cs="Calibri" w:hint="default"/>
        <w:b/>
        <w:bCs/>
      </w:rPr>
      <w:tblPr/>
      <w:tcPr>
        <w:tcBorders>
          <w:bottom w:val="single" w:sz="4" w:space="0" w:color="7F7F7F" w:themeColor="text1" w:themeTint="80"/>
        </w:tcBorders>
      </w:tcPr>
    </w:tblStylePr>
    <w:tblStylePr w:type="lastRow">
      <w:rPr>
        <w:rFonts w:ascii="Calibri" w:hAnsi="Calibri" w:cs="Calibri" w:hint="default"/>
        <w:b/>
        <w:bCs/>
      </w:rPr>
      <w:tblPr/>
      <w:tcPr>
        <w:tcBorders>
          <w:top w:val="single" w:sz="4" w:space="0" w:color="7F7F7F" w:themeColor="text1" w:themeTint="80"/>
        </w:tcBorders>
      </w:tcPr>
    </w:tblStylePr>
    <w:tblStylePr w:type="firstCol">
      <w:rPr>
        <w:rFonts w:ascii="Calibri" w:hAnsi="Calibri" w:cs="Calibri" w:hint="default"/>
        <w:b/>
        <w:bCs/>
      </w:rPr>
    </w:tblStylePr>
    <w:tblStylePr w:type="lastCol">
      <w:rPr>
        <w:rFonts w:ascii="Calibri" w:hAnsi="Calibri" w:cs="Calibri" w:hint="default"/>
        <w:b/>
        <w:bCs/>
      </w:rPr>
    </w:tblStylePr>
    <w:tblStylePr w:type="band1Vert">
      <w:rPr>
        <w:rFonts w:ascii="Calibri" w:hAnsi="Calibri" w:cs="Calibri" w:hint="default"/>
      </w:rPr>
      <w:tblPr/>
      <w:tcPr>
        <w:tcBorders>
          <w:left w:val="single" w:sz="4" w:space="0" w:color="7F7F7F" w:themeColor="text1" w:themeTint="80"/>
          <w:right w:val="single" w:sz="4" w:space="0" w:color="7F7F7F" w:themeColor="text1" w:themeTint="80"/>
        </w:tcBorders>
      </w:tcPr>
    </w:tblStylePr>
    <w:tblStylePr w:type="band2Vert">
      <w:rPr>
        <w:rFonts w:ascii="Calibri" w:hAnsi="Calibri" w:cs="Calibri" w:hint="default"/>
      </w:rPr>
      <w:tblPr/>
      <w:tcPr>
        <w:tcBorders>
          <w:left w:val="single" w:sz="4" w:space="0" w:color="7F7F7F" w:themeColor="text1" w:themeTint="80"/>
          <w:right w:val="single" w:sz="4" w:space="0" w:color="7F7F7F" w:themeColor="text1" w:themeTint="80"/>
        </w:tcBorders>
      </w:tcPr>
    </w:tblStylePr>
    <w:tblStylePr w:type="band1Horz">
      <w:rPr>
        <w:rFonts w:ascii="Calibri" w:hAnsi="Calibri" w:cs="Calibri" w:hint="default"/>
      </w:rPr>
      <w:tblPr/>
      <w:tcPr>
        <w:tcBorders>
          <w:top w:val="single" w:sz="4" w:space="0" w:color="7F7F7F" w:themeColor="text1" w:themeTint="80"/>
          <w:bottom w:val="single" w:sz="4" w:space="0" w:color="7F7F7F" w:themeColor="text1" w:themeTint="80"/>
        </w:tcBorders>
      </w:tcPr>
    </w:tblStylePr>
  </w:style>
  <w:style w:type="table" w:customStyle="1" w:styleId="PlainTable41">
    <w:name w:val="Plain Table 41"/>
    <w:basedOn w:val="TableNormal"/>
    <w:next w:val="PlainTable4"/>
    <w:uiPriority w:val="44"/>
    <w:rsid w:val="0053385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PlainTable4">
    <w:name w:val="Plain Table 4"/>
    <w:basedOn w:val="TableNormal"/>
    <w:uiPriority w:val="44"/>
    <w:rsid w:val="0053385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038005">
      <w:bodyDiv w:val="1"/>
      <w:marLeft w:val="0"/>
      <w:marRight w:val="0"/>
      <w:marTop w:val="0"/>
      <w:marBottom w:val="0"/>
      <w:divBdr>
        <w:top w:val="none" w:sz="0" w:space="0" w:color="auto"/>
        <w:left w:val="none" w:sz="0" w:space="0" w:color="auto"/>
        <w:bottom w:val="none" w:sz="0" w:space="0" w:color="auto"/>
        <w:right w:val="none" w:sz="0" w:space="0" w:color="auto"/>
      </w:divBdr>
    </w:div>
    <w:div w:id="900678135">
      <w:bodyDiv w:val="1"/>
      <w:marLeft w:val="0"/>
      <w:marRight w:val="0"/>
      <w:marTop w:val="0"/>
      <w:marBottom w:val="0"/>
      <w:divBdr>
        <w:top w:val="none" w:sz="0" w:space="0" w:color="auto"/>
        <w:left w:val="none" w:sz="0" w:space="0" w:color="auto"/>
        <w:bottom w:val="none" w:sz="0" w:space="0" w:color="auto"/>
        <w:right w:val="none" w:sz="0" w:space="0" w:color="auto"/>
      </w:divBdr>
    </w:div>
    <w:div w:id="1908030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3</Pages>
  <Words>1216</Words>
  <Characters>6937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Charlotte Greenway</cp:lastModifiedBy>
  <cp:revision>5</cp:revision>
  <dcterms:created xsi:type="dcterms:W3CDTF">2018-02-05T11:02:00Z</dcterms:created>
  <dcterms:modified xsi:type="dcterms:W3CDTF">2018-02-05T11:49:00Z</dcterms:modified>
</cp:coreProperties>
</file>