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AD876F" w14:textId="77777777" w:rsidR="00CD0817" w:rsidRDefault="00CD0817" w:rsidP="00CD0817">
      <w:pPr>
        <w:jc w:val="center"/>
        <w:rPr>
          <w:b/>
          <w:bCs/>
          <w:sz w:val="32"/>
          <w:szCs w:val="32"/>
        </w:rPr>
      </w:pPr>
    </w:p>
    <w:p w14:paraId="3B9AD2CF" w14:textId="77777777" w:rsidR="00CD0817" w:rsidRDefault="00CD0817" w:rsidP="00CD0817">
      <w:pPr>
        <w:jc w:val="center"/>
        <w:rPr>
          <w:b/>
          <w:bCs/>
          <w:sz w:val="32"/>
          <w:szCs w:val="32"/>
        </w:rPr>
      </w:pPr>
    </w:p>
    <w:p w14:paraId="45C529E4" w14:textId="77777777" w:rsidR="00CD0817" w:rsidRDefault="00CD0817" w:rsidP="00CD0817">
      <w:pPr>
        <w:jc w:val="center"/>
        <w:rPr>
          <w:b/>
          <w:bCs/>
          <w:sz w:val="32"/>
          <w:szCs w:val="32"/>
        </w:rPr>
      </w:pPr>
    </w:p>
    <w:p w14:paraId="6207EC42" w14:textId="77777777" w:rsidR="00CD0817" w:rsidRDefault="00CD0817" w:rsidP="00CD0817">
      <w:pPr>
        <w:jc w:val="center"/>
        <w:rPr>
          <w:b/>
          <w:bCs/>
          <w:sz w:val="32"/>
          <w:szCs w:val="32"/>
        </w:rPr>
      </w:pPr>
    </w:p>
    <w:p w14:paraId="3CA86248" w14:textId="77777777" w:rsidR="00CD0817" w:rsidRDefault="00CD0817" w:rsidP="00CD0817">
      <w:pPr>
        <w:jc w:val="center"/>
        <w:rPr>
          <w:b/>
          <w:bCs/>
          <w:sz w:val="32"/>
          <w:szCs w:val="32"/>
        </w:rPr>
      </w:pPr>
    </w:p>
    <w:p w14:paraId="02CC79D9" w14:textId="77777777" w:rsidR="00CD0817" w:rsidRDefault="00CD0817" w:rsidP="00CD0817">
      <w:pPr>
        <w:jc w:val="center"/>
        <w:rPr>
          <w:b/>
          <w:bCs/>
          <w:sz w:val="32"/>
          <w:szCs w:val="32"/>
        </w:rPr>
      </w:pPr>
    </w:p>
    <w:p w14:paraId="2028FC34" w14:textId="77777777" w:rsidR="00CD0817" w:rsidRDefault="00CD0817" w:rsidP="00CD0817">
      <w:pPr>
        <w:jc w:val="center"/>
        <w:rPr>
          <w:b/>
          <w:bCs/>
          <w:sz w:val="32"/>
          <w:szCs w:val="32"/>
        </w:rPr>
      </w:pPr>
    </w:p>
    <w:p w14:paraId="0429B66D" w14:textId="77777777" w:rsidR="00CD0817" w:rsidRDefault="00CD0817" w:rsidP="00CD0817">
      <w:pPr>
        <w:jc w:val="center"/>
        <w:rPr>
          <w:b/>
          <w:bCs/>
          <w:sz w:val="32"/>
          <w:szCs w:val="32"/>
        </w:rPr>
      </w:pPr>
    </w:p>
    <w:p w14:paraId="06B1C9FF" w14:textId="77777777" w:rsidR="00CD0817" w:rsidRDefault="00CD0817" w:rsidP="00F752EB">
      <w:pPr>
        <w:rPr>
          <w:b/>
          <w:bCs/>
          <w:sz w:val="32"/>
          <w:szCs w:val="32"/>
        </w:rPr>
      </w:pPr>
    </w:p>
    <w:p w14:paraId="08335B96" w14:textId="77777777" w:rsidR="00CD0817" w:rsidRDefault="00CD0817" w:rsidP="00CD0817">
      <w:pPr>
        <w:jc w:val="center"/>
        <w:rPr>
          <w:b/>
          <w:bCs/>
          <w:sz w:val="32"/>
          <w:szCs w:val="32"/>
        </w:rPr>
      </w:pPr>
    </w:p>
    <w:p w14:paraId="6F84C3A0" w14:textId="77777777" w:rsidR="00CD0817" w:rsidRDefault="00CD0817" w:rsidP="00CD0817">
      <w:pPr>
        <w:jc w:val="center"/>
        <w:rPr>
          <w:b/>
          <w:bCs/>
          <w:sz w:val="32"/>
          <w:szCs w:val="32"/>
        </w:rPr>
      </w:pPr>
    </w:p>
    <w:p w14:paraId="13B13B70" w14:textId="6708A8D8" w:rsidR="00CD0817" w:rsidRDefault="00CD0817" w:rsidP="00CD0817">
      <w:pPr>
        <w:jc w:val="center"/>
        <w:rPr>
          <w:b/>
          <w:bCs/>
          <w:sz w:val="32"/>
          <w:szCs w:val="32"/>
        </w:rPr>
      </w:pPr>
      <w:r w:rsidRPr="00CD0817">
        <w:rPr>
          <w:b/>
          <w:bCs/>
          <w:sz w:val="32"/>
          <w:szCs w:val="32"/>
        </w:rPr>
        <w:t>IS THE DEFENCE OF INSANITY STILL FIT FOR PURPOSE IN TODAY’S SOCIETY?</w:t>
      </w:r>
    </w:p>
    <w:p w14:paraId="52424D7F" w14:textId="54A3E89D" w:rsidR="00CD0817" w:rsidRDefault="00CD0817" w:rsidP="00CD0817">
      <w:pPr>
        <w:jc w:val="center"/>
        <w:rPr>
          <w:b/>
          <w:bCs/>
          <w:sz w:val="32"/>
          <w:szCs w:val="32"/>
        </w:rPr>
      </w:pPr>
    </w:p>
    <w:p w14:paraId="2F1FA2F5" w14:textId="7F9C5968" w:rsidR="00CD0817" w:rsidRPr="0055522D" w:rsidRDefault="00CD0817" w:rsidP="00AF4CD5">
      <w:pPr>
        <w:jc w:val="center"/>
        <w:rPr>
          <w:b/>
          <w:bCs/>
          <w:sz w:val="32"/>
          <w:szCs w:val="32"/>
        </w:rPr>
      </w:pPr>
      <w:r w:rsidRPr="0055522D">
        <w:rPr>
          <w:i/>
          <w:iCs/>
          <w:sz w:val="32"/>
          <w:szCs w:val="32"/>
        </w:rPr>
        <w:t>Jack Roberts</w:t>
      </w:r>
      <w:r w:rsidR="00054227">
        <w:rPr>
          <w:sz w:val="32"/>
          <w:szCs w:val="32"/>
        </w:rPr>
        <w:t xml:space="preserve"> </w:t>
      </w:r>
      <w:r w:rsidR="00054227" w:rsidRPr="0055522D">
        <w:rPr>
          <w:b/>
          <w:bCs/>
          <w:sz w:val="32"/>
          <w:szCs w:val="32"/>
        </w:rPr>
        <w:t>2003821</w:t>
      </w:r>
    </w:p>
    <w:p w14:paraId="6B3C80AA" w14:textId="460C8FD5" w:rsidR="00CD0817" w:rsidRDefault="003E470F" w:rsidP="00CD0817">
      <w:pPr>
        <w:rPr>
          <w:b/>
          <w:bCs/>
          <w:sz w:val="32"/>
          <w:szCs w:val="32"/>
        </w:rPr>
      </w:pPr>
      <w:r>
        <w:rPr>
          <w:b/>
          <w:bCs/>
          <w:sz w:val="32"/>
          <w:szCs w:val="32"/>
        </w:rPr>
        <w:t xml:space="preserve"> </w:t>
      </w:r>
    </w:p>
    <w:p w14:paraId="07FD4854" w14:textId="1ACC7B83" w:rsidR="00CD0817" w:rsidRDefault="00CD0817" w:rsidP="00CD0817">
      <w:pPr>
        <w:rPr>
          <w:b/>
          <w:bCs/>
          <w:sz w:val="32"/>
          <w:szCs w:val="32"/>
        </w:rPr>
      </w:pPr>
    </w:p>
    <w:p w14:paraId="007603FA" w14:textId="3009A8EE" w:rsidR="00CD0817" w:rsidRDefault="00CD0817" w:rsidP="00CD0817">
      <w:pPr>
        <w:rPr>
          <w:b/>
          <w:bCs/>
          <w:sz w:val="28"/>
          <w:szCs w:val="28"/>
        </w:rPr>
      </w:pPr>
    </w:p>
    <w:p w14:paraId="7DA27CB6" w14:textId="5D97528B" w:rsidR="00D36131" w:rsidRDefault="00D36131" w:rsidP="00CD0817">
      <w:pPr>
        <w:rPr>
          <w:b/>
          <w:bCs/>
          <w:sz w:val="28"/>
          <w:szCs w:val="28"/>
        </w:rPr>
      </w:pPr>
    </w:p>
    <w:p w14:paraId="1146853A" w14:textId="5971B6AB" w:rsidR="00D36131" w:rsidRDefault="00D36131" w:rsidP="00CD0817">
      <w:pPr>
        <w:rPr>
          <w:b/>
          <w:bCs/>
          <w:sz w:val="28"/>
          <w:szCs w:val="28"/>
        </w:rPr>
      </w:pPr>
    </w:p>
    <w:p w14:paraId="7A79AB97" w14:textId="28B8A828" w:rsidR="00D36131" w:rsidRDefault="00D36131" w:rsidP="00CD0817">
      <w:pPr>
        <w:rPr>
          <w:b/>
          <w:bCs/>
          <w:sz w:val="28"/>
          <w:szCs w:val="28"/>
        </w:rPr>
      </w:pPr>
    </w:p>
    <w:p w14:paraId="4F17DA60" w14:textId="61217887" w:rsidR="00D36131" w:rsidRDefault="00D36131" w:rsidP="00CD0817">
      <w:pPr>
        <w:rPr>
          <w:b/>
          <w:bCs/>
          <w:sz w:val="28"/>
          <w:szCs w:val="28"/>
        </w:rPr>
      </w:pPr>
    </w:p>
    <w:p w14:paraId="5C19C336" w14:textId="6362C53C" w:rsidR="00D36131" w:rsidRDefault="00D36131" w:rsidP="00CD0817">
      <w:pPr>
        <w:rPr>
          <w:b/>
          <w:bCs/>
          <w:sz w:val="28"/>
          <w:szCs w:val="28"/>
        </w:rPr>
      </w:pPr>
    </w:p>
    <w:p w14:paraId="5F3567BC" w14:textId="1ED98871" w:rsidR="00D36131" w:rsidRDefault="00D36131" w:rsidP="00CD0817">
      <w:pPr>
        <w:rPr>
          <w:b/>
          <w:bCs/>
          <w:sz w:val="28"/>
          <w:szCs w:val="28"/>
        </w:rPr>
      </w:pPr>
    </w:p>
    <w:p w14:paraId="1A54152B" w14:textId="26BCDC5A" w:rsidR="00D36131" w:rsidRDefault="00D36131" w:rsidP="00CD0817">
      <w:pPr>
        <w:rPr>
          <w:b/>
          <w:bCs/>
          <w:sz w:val="28"/>
          <w:szCs w:val="28"/>
        </w:rPr>
      </w:pPr>
    </w:p>
    <w:p w14:paraId="365E3858" w14:textId="57A46507" w:rsidR="00D36131" w:rsidRDefault="00D36131" w:rsidP="00CD0817">
      <w:pPr>
        <w:rPr>
          <w:b/>
          <w:bCs/>
          <w:sz w:val="28"/>
          <w:szCs w:val="28"/>
        </w:rPr>
      </w:pPr>
    </w:p>
    <w:p w14:paraId="58C4AE4F" w14:textId="0C5FF4B4" w:rsidR="00D36131" w:rsidRDefault="00D36131" w:rsidP="00CD0817">
      <w:pPr>
        <w:rPr>
          <w:b/>
          <w:bCs/>
          <w:sz w:val="28"/>
          <w:szCs w:val="28"/>
        </w:rPr>
      </w:pPr>
    </w:p>
    <w:p w14:paraId="583B555C" w14:textId="77469E8F" w:rsidR="00D36131" w:rsidRDefault="00D36131" w:rsidP="00CD0817">
      <w:pPr>
        <w:rPr>
          <w:b/>
          <w:bCs/>
          <w:sz w:val="28"/>
          <w:szCs w:val="28"/>
        </w:rPr>
      </w:pPr>
    </w:p>
    <w:p w14:paraId="6B3DC29E" w14:textId="3B600C2D" w:rsidR="00D36131" w:rsidRDefault="00D36131" w:rsidP="00CD0817">
      <w:pPr>
        <w:rPr>
          <w:b/>
          <w:bCs/>
          <w:sz w:val="28"/>
          <w:szCs w:val="28"/>
        </w:rPr>
      </w:pPr>
    </w:p>
    <w:p w14:paraId="6EC00006" w14:textId="56CDD2AD" w:rsidR="00D36131" w:rsidRDefault="00D36131" w:rsidP="00CD0817">
      <w:pPr>
        <w:rPr>
          <w:b/>
          <w:bCs/>
          <w:sz w:val="28"/>
          <w:szCs w:val="28"/>
        </w:rPr>
      </w:pPr>
    </w:p>
    <w:p w14:paraId="3118114A" w14:textId="035C0094" w:rsidR="00D36131" w:rsidRDefault="00D36131" w:rsidP="00CD0817">
      <w:pPr>
        <w:rPr>
          <w:b/>
          <w:bCs/>
          <w:sz w:val="28"/>
          <w:szCs w:val="28"/>
        </w:rPr>
      </w:pPr>
    </w:p>
    <w:p w14:paraId="7B8EE62F" w14:textId="342190A9" w:rsidR="00D36131" w:rsidRDefault="00D36131" w:rsidP="00CD0817">
      <w:pPr>
        <w:rPr>
          <w:b/>
          <w:bCs/>
          <w:sz w:val="28"/>
          <w:szCs w:val="28"/>
        </w:rPr>
      </w:pPr>
    </w:p>
    <w:p w14:paraId="06B77957" w14:textId="47B6BF32" w:rsidR="00D36131" w:rsidRDefault="00D36131" w:rsidP="00CD0817">
      <w:pPr>
        <w:rPr>
          <w:b/>
          <w:bCs/>
          <w:sz w:val="28"/>
          <w:szCs w:val="28"/>
        </w:rPr>
      </w:pPr>
    </w:p>
    <w:p w14:paraId="48D1AAAB" w14:textId="2E8D433B" w:rsidR="00D36131" w:rsidRDefault="00D36131" w:rsidP="00CD0817">
      <w:pPr>
        <w:rPr>
          <w:b/>
          <w:bCs/>
          <w:sz w:val="28"/>
          <w:szCs w:val="28"/>
        </w:rPr>
      </w:pPr>
    </w:p>
    <w:p w14:paraId="7C58F17E" w14:textId="7B355E6A" w:rsidR="00D36131" w:rsidRDefault="00D36131" w:rsidP="00CD0817">
      <w:pPr>
        <w:rPr>
          <w:b/>
          <w:bCs/>
          <w:sz w:val="28"/>
          <w:szCs w:val="28"/>
        </w:rPr>
      </w:pPr>
    </w:p>
    <w:p w14:paraId="4973FB39" w14:textId="77777777" w:rsidR="00D36131" w:rsidRPr="00D36131" w:rsidRDefault="00D36131" w:rsidP="00CD0817">
      <w:pPr>
        <w:rPr>
          <w:b/>
          <w:bCs/>
          <w:sz w:val="28"/>
          <w:szCs w:val="28"/>
        </w:rPr>
      </w:pPr>
    </w:p>
    <w:p w14:paraId="3BA202A6" w14:textId="77777777" w:rsidR="00F752EB" w:rsidRDefault="00CD0817" w:rsidP="00CD0817">
      <w:r>
        <w:t xml:space="preserve">        </w:t>
      </w:r>
    </w:p>
    <w:p w14:paraId="4C5977A0" w14:textId="6D1F45B9" w:rsidR="00CD0817" w:rsidRDefault="00F752EB" w:rsidP="00CD0817">
      <w:r>
        <w:lastRenderedPageBreak/>
        <w:t xml:space="preserve">        </w:t>
      </w:r>
      <w:r w:rsidR="00CD0817">
        <w:t>The defence of insanity is one of the most discussed areas of criminal law</w:t>
      </w:r>
      <w:r w:rsidR="00C439A6">
        <w:t xml:space="preserve"> for many reasons</w:t>
      </w:r>
      <w:r w:rsidR="00CD0817">
        <w:t xml:space="preserve">. People have been pondering whether its application to criminal cases is still fit for </w:t>
      </w:r>
      <w:r w:rsidR="00031A83">
        <w:t>purpose</w:t>
      </w:r>
      <w:r w:rsidR="00CD0817">
        <w:t xml:space="preserve"> in today’s society</w:t>
      </w:r>
      <w:r w:rsidR="00E52129">
        <w:t xml:space="preserve">. </w:t>
      </w:r>
      <w:r w:rsidR="00CD0817">
        <w:t>Man’s actions to another can sometimes question whether a person is mentally sane, and if they should be admitted to a mental health institute for their sentence over a standard correctional facility (Goldstein, 1967). Statistics show that the number of insanity pleas that are successful in the UK</w:t>
      </w:r>
      <w:r w:rsidR="00C439A6">
        <w:t xml:space="preserve"> are</w:t>
      </w:r>
      <w:r w:rsidR="00CD0817">
        <w:t xml:space="preserve"> very low, around 30 per year in crown courts, (Law Commission, 2013). In the United States, only one percent of criminal cases see the application of the defence of insanity and only 25 percent of these are successful (Schouten, </w:t>
      </w:r>
      <w:r w:rsidR="00701905">
        <w:t>2012).</w:t>
      </w:r>
    </w:p>
    <w:p w14:paraId="0BB00AC8" w14:textId="7B9A5D0A" w:rsidR="00C660EE" w:rsidRDefault="00C660EE" w:rsidP="00CD0817"/>
    <w:p w14:paraId="72BA445E" w14:textId="77777777" w:rsidR="00613FFD" w:rsidRDefault="00613FFD" w:rsidP="00CD0817"/>
    <w:p w14:paraId="5B968A8F" w14:textId="478411AA" w:rsidR="00C660EE" w:rsidRDefault="00613FFD" w:rsidP="00CD0817">
      <w:r>
        <w:t xml:space="preserve">        </w:t>
      </w:r>
      <w:r w:rsidR="00C660EE" w:rsidRPr="00613FFD">
        <w:t xml:space="preserve">Firstly, it is clear that people’s perception of ‘insane’ has changed over the years. This can be linked to the fact that </w:t>
      </w:r>
      <w:r w:rsidRPr="00613FFD">
        <w:t>the understanding of mental health and the issues that surround it were very shallow and only understood at the tip of the iceberg</w:t>
      </w:r>
      <w:r w:rsidR="005C1291">
        <w:t xml:space="preserve"> (Hogg, 2015). </w:t>
      </w:r>
      <w:r>
        <w:t>If a person is insane, it should present itself to a lay person in one way or another</w:t>
      </w:r>
      <w:r w:rsidR="005C1291">
        <w:t xml:space="preserve">. </w:t>
      </w:r>
      <w:r w:rsidR="00E05168">
        <w:t>Very little analysis is often needed when determining whether someone who committed an offence that very few persons could, is clinically insane</w:t>
      </w:r>
      <w:r>
        <w:t xml:space="preserve"> (Loughnan, 2007).</w:t>
      </w:r>
      <w:r w:rsidR="00E05168">
        <w:t xml:space="preserve"> The insanity defence should be removed from </w:t>
      </w:r>
      <w:r w:rsidR="00AF4CD5">
        <w:t>B</w:t>
      </w:r>
      <w:r w:rsidR="00E05168">
        <w:t>ritish law, other defen</w:t>
      </w:r>
      <w:r w:rsidR="00AF4CD5">
        <w:t xml:space="preserve">ces that are more </w:t>
      </w:r>
      <w:r w:rsidR="00031A83">
        <w:t>specialised</w:t>
      </w:r>
      <w:r w:rsidR="00AF4CD5">
        <w:t xml:space="preserve"> can deal with mentally ill people during trials, the insanity defence is quite simply outdated and needs to be evicted. </w:t>
      </w:r>
      <w:r w:rsidR="00594097">
        <w:t>Having said this, e</w:t>
      </w:r>
      <w:r w:rsidR="00AF4CD5">
        <w:t>viction may not even be required, as it is estimated that the defence w</w:t>
      </w:r>
      <w:r w:rsidR="003C2F0A">
        <w:t>i</w:t>
      </w:r>
      <w:r w:rsidR="00AF4CD5">
        <w:t>ll simply run its course and render itself useless</w:t>
      </w:r>
      <w:r w:rsidR="00D36131">
        <w:t xml:space="preserve"> over</w:t>
      </w:r>
      <w:r w:rsidR="00AF4CD5">
        <w:t xml:space="preserve"> time (Hogg, 2015).</w:t>
      </w:r>
    </w:p>
    <w:p w14:paraId="4AF13605" w14:textId="30789C37" w:rsidR="005C1291" w:rsidRDefault="005C1291" w:rsidP="00CD0817"/>
    <w:p w14:paraId="1E0DBFA0" w14:textId="3F266470" w:rsidR="00F07FD8" w:rsidRDefault="00F07FD8" w:rsidP="00CD0817">
      <w:r>
        <w:t xml:space="preserve">        When traced back to its origins, the insanity defence was a way of showing pity to criminals as in these earlier times</w:t>
      </w:r>
      <w:r w:rsidR="00886638">
        <w:t>,</w:t>
      </w:r>
      <w:r w:rsidR="007A0534">
        <w:t xml:space="preserve"> </w:t>
      </w:r>
      <w:r>
        <w:t xml:space="preserve">criminal behaivour commonly resulted in </w:t>
      </w:r>
      <w:r w:rsidR="00031A83">
        <w:t>execution</w:t>
      </w:r>
      <w:r>
        <w:t xml:space="preserve"> as a penalty. Compared to modern times, when a defendant is successful in their plead for insanity, they are housed in a mental health institution over a traditional correctional facility</w:t>
      </w:r>
      <w:r w:rsidR="00673FE3">
        <w:t xml:space="preserve"> and given a shorter sentence</w:t>
      </w:r>
      <w:r w:rsidR="009D6E49">
        <w:t>.</w:t>
      </w:r>
      <w:r w:rsidR="00594097">
        <w:t xml:space="preserve"> </w:t>
      </w:r>
      <w:r>
        <w:t>To many</w:t>
      </w:r>
      <w:r w:rsidR="00673FE3">
        <w:t xml:space="preserve"> convicts</w:t>
      </w:r>
      <w:r>
        <w:t xml:space="preserve">, this is still a better alternative than prison. </w:t>
      </w:r>
      <w:r w:rsidR="00673FE3">
        <w:t xml:space="preserve">Therefore, the method of thinking since the origins of the defence have not changed. </w:t>
      </w:r>
      <w:r>
        <w:t>Hence why many plead this defence when convicted at the highest severity</w:t>
      </w:r>
      <w:r w:rsidR="00155789">
        <w:t xml:space="preserve"> of</w:t>
      </w:r>
      <w:r>
        <w:t xml:space="preserve"> </w:t>
      </w:r>
      <w:r w:rsidR="00673FE3">
        <w:t>crime in a criminal court, (</w:t>
      </w:r>
      <w:r w:rsidR="00031A83">
        <w:t>Caesar</w:t>
      </w:r>
      <w:r w:rsidR="00673FE3">
        <w:t>, 1979).</w:t>
      </w:r>
    </w:p>
    <w:p w14:paraId="4D2F7F44" w14:textId="32322693" w:rsidR="00A61FE4" w:rsidRDefault="00A61FE4" w:rsidP="00CD0817"/>
    <w:p w14:paraId="347A2187" w14:textId="74682DAC" w:rsidR="00F4395B" w:rsidRDefault="00F4395B" w:rsidP="00F4395B">
      <w:pPr>
        <w:rPr>
          <w:rFonts w:eastAsia="Times New Roman" w:cs="Segoe UI"/>
          <w:color w:val="212529"/>
          <w:shd w:val="clear" w:color="auto" w:fill="FFFFFF"/>
          <w:lang w:eastAsia="en-GB"/>
        </w:rPr>
      </w:pPr>
      <w:r>
        <w:t xml:space="preserve">        </w:t>
      </w:r>
      <w:r w:rsidR="00A61FE4">
        <w:t>The language used in the M’Naugt</w:t>
      </w:r>
      <w:r>
        <w:t>e</w:t>
      </w:r>
      <w:r w:rsidR="00A61FE4">
        <w:t>n rule</w:t>
      </w:r>
      <w:r>
        <w:t>s</w:t>
      </w:r>
      <w:r w:rsidR="00A61FE4">
        <w:t xml:space="preserve"> also indicates that the insanity defence is no longer fit for purpose.</w:t>
      </w:r>
      <w:r>
        <w:t xml:space="preserve"> These rules were established in the House of Lords in 1843. Its purpose was to define the legal terminology to describe insanity.</w:t>
      </w:r>
      <w:r w:rsidR="00A61FE4">
        <w:t xml:space="preserve"> ‘Disease of the mind’,</w:t>
      </w:r>
      <w:r>
        <w:t xml:space="preserve"> is a term used, however</w:t>
      </w:r>
      <w:r w:rsidR="00A61FE4">
        <w:t xml:space="preserve"> </w:t>
      </w:r>
      <w:r>
        <w:t xml:space="preserve">this </w:t>
      </w:r>
      <w:r w:rsidR="00A61FE4">
        <w:t>is no longer an appropriate</w:t>
      </w:r>
      <w:r>
        <w:t xml:space="preserve"> use of language</w:t>
      </w:r>
      <w:r w:rsidR="00A61FE4">
        <w:t xml:space="preserve"> and should be </w:t>
      </w:r>
      <w:r>
        <w:t>an indication that the</w:t>
      </w:r>
      <w:r w:rsidRPr="00F4395B">
        <w:rPr>
          <w:rFonts w:ascii="Segoe UI" w:eastAsia="Times New Roman" w:hAnsi="Segoe UI" w:cs="Segoe UI"/>
          <w:color w:val="212529"/>
          <w:shd w:val="clear" w:color="auto" w:fill="FFFFFF"/>
          <w:lang w:eastAsia="en-GB"/>
        </w:rPr>
        <w:t> </w:t>
      </w:r>
      <w:r w:rsidRPr="00F4395B">
        <w:rPr>
          <w:rFonts w:eastAsia="Times New Roman" w:cs="Segoe UI"/>
          <w:color w:val="212529"/>
          <w:shd w:val="clear" w:color="auto" w:fill="FFFFFF"/>
          <w:lang w:eastAsia="en-GB"/>
        </w:rPr>
        <w:t>M’Naghten</w:t>
      </w:r>
      <w:r>
        <w:rPr>
          <w:rFonts w:eastAsia="Times New Roman" w:cs="Segoe UI"/>
          <w:color w:val="212529"/>
          <w:shd w:val="clear" w:color="auto" w:fill="FFFFFF"/>
          <w:lang w:eastAsia="en-GB"/>
        </w:rPr>
        <w:t xml:space="preserve"> rules are out of date</w:t>
      </w:r>
      <w:r w:rsidR="00BB391D">
        <w:rPr>
          <w:rFonts w:eastAsia="Times New Roman" w:cs="Segoe UI"/>
          <w:color w:val="212529"/>
          <w:shd w:val="clear" w:color="auto" w:fill="FFFFFF"/>
          <w:lang w:eastAsia="en-GB"/>
        </w:rPr>
        <w:t xml:space="preserve"> and should not contribute to the reasoning of the insanity defence</w:t>
      </w:r>
      <w:r w:rsidR="00086B44">
        <w:rPr>
          <w:rFonts w:eastAsia="Times New Roman" w:cs="Segoe UI"/>
          <w:color w:val="212529"/>
          <w:shd w:val="clear" w:color="auto" w:fill="FFFFFF"/>
          <w:lang w:eastAsia="en-GB"/>
        </w:rPr>
        <w:t>s validity</w:t>
      </w:r>
      <w:r w:rsidR="00BB391D">
        <w:rPr>
          <w:rFonts w:eastAsia="Times New Roman" w:cs="Segoe UI"/>
          <w:color w:val="212529"/>
          <w:shd w:val="clear" w:color="auto" w:fill="FFFFFF"/>
          <w:lang w:eastAsia="en-GB"/>
        </w:rPr>
        <w:t>.</w:t>
      </w:r>
      <w:r w:rsidR="009615B5">
        <w:rPr>
          <w:rFonts w:eastAsia="Times New Roman" w:cs="Segoe UI"/>
          <w:color w:val="212529"/>
          <w:shd w:val="clear" w:color="auto" w:fill="FFFFFF"/>
          <w:lang w:eastAsia="en-GB"/>
        </w:rPr>
        <w:t xml:space="preserve"> The definition of insanity has not changed since 1842 and in 1953, the Royal Commission had evidence and described the insanity defence as ‘</w:t>
      </w:r>
      <w:r w:rsidR="00AB6842">
        <w:rPr>
          <w:rFonts w:eastAsia="Times New Roman" w:cs="Segoe UI"/>
          <w:color w:val="212529"/>
          <w:shd w:val="clear" w:color="auto" w:fill="FFFFFF"/>
          <w:lang w:eastAsia="en-GB"/>
        </w:rPr>
        <w:t>obsolete</w:t>
      </w:r>
      <w:r w:rsidR="009615B5">
        <w:rPr>
          <w:rFonts w:eastAsia="Times New Roman" w:cs="Segoe UI"/>
          <w:color w:val="212529"/>
          <w:shd w:val="clear" w:color="auto" w:fill="FFFFFF"/>
          <w:lang w:eastAsia="en-GB"/>
        </w:rPr>
        <w:t>’ and ‘misleading’.</w:t>
      </w:r>
      <w:r w:rsidR="00086B44">
        <w:rPr>
          <w:rFonts w:eastAsia="Times New Roman" w:cs="Segoe UI"/>
          <w:color w:val="212529"/>
          <w:shd w:val="clear" w:color="auto" w:fill="FFFFFF"/>
          <w:lang w:eastAsia="en-GB"/>
        </w:rPr>
        <w:t xml:space="preserve"> However, the Law Commission was made aware of the problems surrounding the insanity defence and included it in the 10</w:t>
      </w:r>
      <w:r w:rsidR="00086B44" w:rsidRPr="00086B44">
        <w:rPr>
          <w:rFonts w:eastAsia="Times New Roman" w:cs="Segoe UI"/>
          <w:color w:val="212529"/>
          <w:shd w:val="clear" w:color="auto" w:fill="FFFFFF"/>
          <w:vertAlign w:val="superscript"/>
          <w:lang w:eastAsia="en-GB"/>
        </w:rPr>
        <w:t>th</w:t>
      </w:r>
      <w:r w:rsidR="00086B44">
        <w:rPr>
          <w:rFonts w:eastAsia="Times New Roman" w:cs="Segoe UI"/>
          <w:color w:val="212529"/>
          <w:shd w:val="clear" w:color="auto" w:fill="FFFFFF"/>
          <w:lang w:eastAsia="en-GB"/>
        </w:rPr>
        <w:t xml:space="preserve"> program of reform. The Law Commission recommended the removal of the M’Naugten rules </w:t>
      </w:r>
      <w:r w:rsidR="00AB6842">
        <w:rPr>
          <w:rFonts w:eastAsia="Times New Roman" w:cs="Segoe UI"/>
          <w:color w:val="212529"/>
          <w:shd w:val="clear" w:color="auto" w:fill="FFFFFF"/>
          <w:lang w:eastAsia="en-GB"/>
        </w:rPr>
        <w:t>however</w:t>
      </w:r>
      <w:r w:rsidR="00086B44">
        <w:rPr>
          <w:rFonts w:eastAsia="Times New Roman" w:cs="Segoe UI"/>
          <w:color w:val="212529"/>
          <w:shd w:val="clear" w:color="auto" w:fill="FFFFFF"/>
          <w:lang w:eastAsia="en-GB"/>
        </w:rPr>
        <w:t xml:space="preserve">, this did not occur. Instead, a new partial defence to murder was introduced as Diminished Responsibility (DR). DR was shown support by critics, as they believe it reduced some of the problems with the insanity of defence. DR made </w:t>
      </w:r>
      <w:r w:rsidR="00AB6842">
        <w:rPr>
          <w:rFonts w:eastAsia="Times New Roman" w:cs="Segoe UI"/>
          <w:color w:val="212529"/>
          <w:shd w:val="clear" w:color="auto" w:fill="FFFFFF"/>
          <w:lang w:eastAsia="en-GB"/>
        </w:rPr>
        <w:t>sure proof of ‘abnormality of the mind’ was present in the defendant, as this is a more fitting form of evidence to feel comfortable with giving a defendant DR, rather than trying to find a way to defend them through the-over-a-century old defence of insanity</w:t>
      </w:r>
      <w:r w:rsidR="008811A8">
        <w:rPr>
          <w:rFonts w:eastAsia="Times New Roman" w:cs="Segoe UI"/>
          <w:color w:val="212529"/>
          <w:shd w:val="clear" w:color="auto" w:fill="FFFFFF"/>
          <w:lang w:eastAsia="en-GB"/>
        </w:rPr>
        <w:t xml:space="preserve"> (Law Teacher, 2013).</w:t>
      </w:r>
    </w:p>
    <w:p w14:paraId="23F94084" w14:textId="4D83B14D" w:rsidR="000118E3" w:rsidRDefault="000118E3" w:rsidP="000118E3">
      <w:pPr>
        <w:rPr>
          <w:rFonts w:eastAsia="Times New Roman" w:cs="Segoe UI"/>
          <w:color w:val="212529"/>
          <w:shd w:val="clear" w:color="auto" w:fill="FFFFFF"/>
          <w:lang w:eastAsia="en-GB"/>
        </w:rPr>
      </w:pPr>
      <w:r>
        <w:rPr>
          <w:rFonts w:eastAsia="Times New Roman" w:cs="Segoe UI"/>
          <w:color w:val="212529"/>
          <w:shd w:val="clear" w:color="auto" w:fill="FFFFFF"/>
          <w:lang w:eastAsia="en-GB"/>
        </w:rPr>
        <w:lastRenderedPageBreak/>
        <w:t xml:space="preserve">        </w:t>
      </w:r>
      <w:r w:rsidR="002F5AF9">
        <w:rPr>
          <w:rFonts w:eastAsia="Times New Roman" w:cs="Segoe UI"/>
          <w:color w:val="212529"/>
          <w:shd w:val="clear" w:color="auto" w:fill="FFFFFF"/>
          <w:lang w:eastAsia="en-GB"/>
        </w:rPr>
        <w:t>Distinguishing</w:t>
      </w:r>
      <w:r>
        <w:rPr>
          <w:rFonts w:eastAsia="Times New Roman" w:cs="Segoe UI"/>
          <w:color w:val="212529"/>
          <w:shd w:val="clear" w:color="auto" w:fill="FFFFFF"/>
          <w:lang w:eastAsia="en-GB"/>
        </w:rPr>
        <w:t xml:space="preserve"> between insanity and automatism can sometimes prove challenging under the current legislation. For a successful plea of insanity, the </w:t>
      </w:r>
      <w:r w:rsidRPr="000118E3">
        <w:rPr>
          <w:rFonts w:eastAsia="Times New Roman" w:cs="Segoe UI"/>
          <w:color w:val="212529"/>
          <w:shd w:val="clear" w:color="auto" w:fill="FFFFFF"/>
          <w:lang w:eastAsia="en-GB"/>
        </w:rPr>
        <w:t xml:space="preserve">defendant must </w:t>
      </w:r>
      <w:r>
        <w:rPr>
          <w:rFonts w:eastAsia="Times New Roman" w:cs="Segoe UI"/>
          <w:color w:val="212529"/>
          <w:shd w:val="clear" w:color="auto" w:fill="FFFFFF"/>
          <w:lang w:eastAsia="en-GB"/>
        </w:rPr>
        <w:t xml:space="preserve">be able to </w:t>
      </w:r>
      <w:r w:rsidRPr="000118E3">
        <w:rPr>
          <w:rFonts w:eastAsia="Times New Roman" w:cs="Segoe UI"/>
          <w:color w:val="212529"/>
          <w:shd w:val="clear" w:color="auto" w:fill="FFFFFF"/>
          <w:lang w:eastAsia="en-GB"/>
        </w:rPr>
        <w:t xml:space="preserve">prove </w:t>
      </w:r>
      <w:r>
        <w:rPr>
          <w:rFonts w:eastAsia="Times New Roman" w:cs="Segoe UI"/>
          <w:color w:val="212529"/>
          <w:shd w:val="clear" w:color="auto" w:fill="FFFFFF"/>
          <w:lang w:eastAsia="en-GB"/>
        </w:rPr>
        <w:t>to the court that</w:t>
      </w:r>
      <w:r w:rsidRPr="000118E3">
        <w:rPr>
          <w:rFonts w:eastAsia="Times New Roman" w:cs="Segoe UI"/>
          <w:color w:val="212529"/>
          <w:shd w:val="clear" w:color="auto" w:fill="FFFFFF"/>
          <w:lang w:eastAsia="en-GB"/>
        </w:rPr>
        <w:t xml:space="preserve"> </w:t>
      </w:r>
      <w:r>
        <w:rPr>
          <w:rFonts w:eastAsia="Times New Roman" w:cs="Segoe UI"/>
          <w:color w:val="212529"/>
          <w:shd w:val="clear" w:color="auto" w:fill="FFFFFF"/>
          <w:lang w:eastAsia="en-GB"/>
        </w:rPr>
        <w:t>they were acting under a state</w:t>
      </w:r>
      <w:r w:rsidRPr="000118E3">
        <w:rPr>
          <w:rFonts w:eastAsia="Times New Roman" w:cs="Segoe UI"/>
          <w:color w:val="212529"/>
          <w:shd w:val="clear" w:color="auto" w:fill="FFFFFF"/>
          <w:lang w:eastAsia="en-GB"/>
        </w:rPr>
        <w:t xml:space="preserve"> from disease of the mind and </w:t>
      </w:r>
      <w:r>
        <w:rPr>
          <w:rFonts w:eastAsia="Times New Roman" w:cs="Segoe UI"/>
          <w:color w:val="212529"/>
          <w:shd w:val="clear" w:color="auto" w:fill="FFFFFF"/>
          <w:lang w:eastAsia="en-GB"/>
        </w:rPr>
        <w:t>could not comprehend what they were doing that resided outside of the law (M’Naugten, 1843). As for a successful plea of automatism, the defendant must be capable of proving that they had completely lost mental control in the situation at hand</w:t>
      </w:r>
      <w:r w:rsidR="00F752EB">
        <w:rPr>
          <w:rFonts w:eastAsia="Times New Roman" w:cs="Segoe UI"/>
          <w:color w:val="212529"/>
          <w:shd w:val="clear" w:color="auto" w:fill="FFFFFF"/>
          <w:lang w:eastAsia="en-GB"/>
        </w:rPr>
        <w:t>,</w:t>
      </w:r>
      <w:r>
        <w:rPr>
          <w:rFonts w:eastAsia="Times New Roman" w:cs="Segoe UI"/>
          <w:color w:val="212529"/>
          <w:shd w:val="clear" w:color="auto" w:fill="FFFFFF"/>
          <w:lang w:eastAsia="en-GB"/>
        </w:rPr>
        <w:t xml:space="preserve"> due to an unrelated factor</w:t>
      </w:r>
      <w:r w:rsidR="00F752EB">
        <w:rPr>
          <w:rFonts w:eastAsia="Times New Roman" w:cs="Segoe UI"/>
          <w:color w:val="212529"/>
          <w:shd w:val="clear" w:color="auto" w:fill="FFFFFF"/>
          <w:lang w:eastAsia="en-GB"/>
        </w:rPr>
        <w:t xml:space="preserve"> </w:t>
      </w:r>
      <w:r>
        <w:rPr>
          <w:rFonts w:eastAsia="Times New Roman" w:cs="Segoe UI"/>
          <w:color w:val="212529"/>
          <w:shd w:val="clear" w:color="auto" w:fill="FFFFFF"/>
          <w:lang w:eastAsia="en-GB"/>
        </w:rPr>
        <w:t>usually</w:t>
      </w:r>
      <w:r w:rsidR="00F752EB">
        <w:rPr>
          <w:rFonts w:eastAsia="Times New Roman" w:cs="Segoe UI"/>
          <w:color w:val="212529"/>
          <w:shd w:val="clear" w:color="auto" w:fill="FFFFFF"/>
          <w:lang w:eastAsia="en-GB"/>
        </w:rPr>
        <w:t xml:space="preserve"> not health related</w:t>
      </w:r>
      <w:r>
        <w:rPr>
          <w:rFonts w:eastAsia="Times New Roman" w:cs="Segoe UI"/>
          <w:color w:val="212529"/>
          <w:shd w:val="clear" w:color="auto" w:fill="FFFFFF"/>
          <w:lang w:eastAsia="en-GB"/>
        </w:rPr>
        <w:t>.</w:t>
      </w:r>
      <w:r w:rsidR="00F752EB">
        <w:rPr>
          <w:rFonts w:eastAsia="Times New Roman" w:cs="Segoe UI"/>
          <w:color w:val="212529"/>
          <w:shd w:val="clear" w:color="auto" w:fill="FFFFFF"/>
          <w:lang w:eastAsia="en-GB"/>
        </w:rPr>
        <w:t xml:space="preserve"> If successful in a plea of automatism, the case is usually </w:t>
      </w:r>
      <w:r w:rsidR="002F5AF9">
        <w:rPr>
          <w:rFonts w:eastAsia="Times New Roman" w:cs="Segoe UI"/>
          <w:color w:val="212529"/>
          <w:shd w:val="clear" w:color="auto" w:fill="FFFFFF"/>
          <w:lang w:eastAsia="en-GB"/>
        </w:rPr>
        <w:t>acquitted</w:t>
      </w:r>
      <w:r w:rsidR="00F752EB">
        <w:rPr>
          <w:rFonts w:eastAsia="Times New Roman" w:cs="Segoe UI"/>
          <w:color w:val="212529"/>
          <w:shd w:val="clear" w:color="auto" w:fill="FFFFFF"/>
          <w:lang w:eastAsia="en-GB"/>
        </w:rPr>
        <w:t xml:space="preserve">, with charges dropped. Successful plea of insanity results in a different kind of verdict where the defendant is admitted to a hospital where they are safe from the public and can get the treatment </w:t>
      </w:r>
      <w:r w:rsidR="002F5AF9">
        <w:rPr>
          <w:rFonts w:eastAsia="Times New Roman" w:cs="Segoe UI"/>
          <w:color w:val="212529"/>
          <w:shd w:val="clear" w:color="auto" w:fill="FFFFFF"/>
          <w:lang w:eastAsia="en-GB"/>
        </w:rPr>
        <w:t>necessary</w:t>
      </w:r>
      <w:r w:rsidR="00F752EB">
        <w:rPr>
          <w:rFonts w:eastAsia="Times New Roman" w:cs="Segoe UI"/>
          <w:color w:val="212529"/>
          <w:shd w:val="clear" w:color="auto" w:fill="FFFFFF"/>
          <w:lang w:eastAsia="en-GB"/>
        </w:rPr>
        <w:t xml:space="preserve">.  Therefore, the difference between insanity and automatism is where the involuntary action/s of the defendant came from. If the behaivour was sourced internally, this would result in the verdict not </w:t>
      </w:r>
      <w:r w:rsidR="002F5AF9">
        <w:rPr>
          <w:rFonts w:eastAsia="Times New Roman" w:cs="Segoe UI"/>
          <w:color w:val="212529"/>
          <w:shd w:val="clear" w:color="auto" w:fill="FFFFFF"/>
          <w:lang w:eastAsia="en-GB"/>
        </w:rPr>
        <w:t>guilty by</w:t>
      </w:r>
      <w:r w:rsidR="00F752EB">
        <w:rPr>
          <w:rFonts w:eastAsia="Times New Roman" w:cs="Segoe UI"/>
          <w:color w:val="212529"/>
          <w:shd w:val="clear" w:color="auto" w:fill="FFFFFF"/>
          <w:lang w:eastAsia="en-GB"/>
        </w:rPr>
        <w:t xml:space="preserve"> reason of insanity. Meaning if the behaivour was sourced externally, the defendant would simply be found not guilty (LawTeacher, 2019).</w:t>
      </w:r>
    </w:p>
    <w:p w14:paraId="5035A4F9" w14:textId="77777777" w:rsidR="002F5AF9" w:rsidRPr="000118E3" w:rsidRDefault="002F5AF9" w:rsidP="000118E3">
      <w:pPr>
        <w:rPr>
          <w:rFonts w:eastAsia="Times New Roman" w:cs="Times New Roman"/>
          <w:lang w:eastAsia="en-GB"/>
        </w:rPr>
      </w:pPr>
    </w:p>
    <w:p w14:paraId="5BAD0EFA" w14:textId="2E034282" w:rsidR="000118E3" w:rsidRDefault="000118E3" w:rsidP="00F4395B">
      <w:pPr>
        <w:rPr>
          <w:rFonts w:ascii="Times New Roman" w:eastAsia="Times New Roman" w:hAnsi="Times New Roman" w:cs="Times New Roman"/>
          <w:lang w:eastAsia="en-GB"/>
        </w:rPr>
      </w:pPr>
    </w:p>
    <w:p w14:paraId="4E1B2EC5" w14:textId="22E7BF09" w:rsidR="00A412B7" w:rsidRPr="00A412B7" w:rsidRDefault="00A412B7" w:rsidP="00F4395B">
      <w:pPr>
        <w:rPr>
          <w:rFonts w:eastAsia="Times New Roman" w:cs="Times New Roman"/>
          <w:lang w:eastAsia="en-GB"/>
        </w:rPr>
      </w:pPr>
      <w:r>
        <w:rPr>
          <w:rFonts w:ascii="Times New Roman" w:eastAsia="Times New Roman" w:hAnsi="Times New Roman" w:cs="Times New Roman"/>
          <w:lang w:eastAsia="en-GB"/>
        </w:rPr>
        <w:t xml:space="preserve">        </w:t>
      </w:r>
      <w:r>
        <w:rPr>
          <w:rFonts w:eastAsia="Times New Roman" w:cs="Times New Roman"/>
          <w:lang w:eastAsia="en-GB"/>
        </w:rPr>
        <w:t>In conclusion</w:t>
      </w:r>
      <w:r w:rsidR="00911AFB">
        <w:rPr>
          <w:rFonts w:eastAsia="Times New Roman" w:cs="Times New Roman"/>
          <w:lang w:eastAsia="en-GB"/>
        </w:rPr>
        <w:t>,</w:t>
      </w:r>
      <w:r>
        <w:rPr>
          <w:rFonts w:eastAsia="Times New Roman" w:cs="Times New Roman"/>
          <w:lang w:eastAsia="en-GB"/>
        </w:rPr>
        <w:t xml:space="preserve"> the insanity defence has </w:t>
      </w:r>
      <w:r w:rsidR="00911AFB">
        <w:rPr>
          <w:rFonts w:eastAsia="Times New Roman" w:cs="Times New Roman"/>
          <w:lang w:eastAsia="en-GB"/>
        </w:rPr>
        <w:t>several points leading to the idea that it is in need of urgent reform.</w:t>
      </w:r>
      <w:r w:rsidR="002F5AF9">
        <w:rPr>
          <w:rFonts w:eastAsia="Times New Roman" w:cs="Times New Roman"/>
          <w:lang w:eastAsia="en-GB"/>
        </w:rPr>
        <w:t xml:space="preserve"> From the outdated terminology, to the she</w:t>
      </w:r>
      <w:r w:rsidR="00374B6E">
        <w:rPr>
          <w:rFonts w:eastAsia="Times New Roman" w:cs="Times New Roman"/>
          <w:lang w:eastAsia="en-GB"/>
        </w:rPr>
        <w:t>e</w:t>
      </w:r>
      <w:r w:rsidR="002F5AF9">
        <w:rPr>
          <w:rFonts w:eastAsia="Times New Roman" w:cs="Times New Roman"/>
          <w:lang w:eastAsia="en-GB"/>
        </w:rPr>
        <w:t>r length of time there has been no change. Furthermore, many aspects of the defence make it unclear and undistinguishable which is a problem when it comes to reaching a verdict and deciding if and what defence should be applied in the relevant case. Many government bodies including the Law Commission are eager to reform this outdated part of criminal law and see a change in the way complex cases with health issues are dealt with in the future.</w:t>
      </w:r>
    </w:p>
    <w:p w14:paraId="48FEAB32" w14:textId="4C650A64" w:rsidR="00A61FE4" w:rsidRDefault="00A61FE4" w:rsidP="00CD0817"/>
    <w:p w14:paraId="7213B8AC" w14:textId="6F75B54E" w:rsidR="001B1455" w:rsidRDefault="001B1455" w:rsidP="00CD0817"/>
    <w:p w14:paraId="11B95897" w14:textId="77777777" w:rsidR="00F4395B" w:rsidRDefault="00F4395B" w:rsidP="00CD0817"/>
    <w:p w14:paraId="7AD2033C" w14:textId="1312542F" w:rsidR="00150BB2" w:rsidRPr="00150BB2" w:rsidRDefault="00150BB2" w:rsidP="00CD0817">
      <w:pPr>
        <w:rPr>
          <w:b/>
          <w:bCs/>
          <w:sz w:val="28"/>
          <w:szCs w:val="28"/>
        </w:rPr>
      </w:pPr>
      <w:r w:rsidRPr="00150BB2">
        <w:rPr>
          <w:b/>
          <w:bCs/>
          <w:sz w:val="28"/>
          <w:szCs w:val="28"/>
        </w:rPr>
        <w:t>QUESTION 2 - SCENARIO</w:t>
      </w:r>
    </w:p>
    <w:p w14:paraId="1C987036" w14:textId="41344A31" w:rsidR="00867711" w:rsidRDefault="00867711" w:rsidP="00CD0817"/>
    <w:p w14:paraId="290A94A5" w14:textId="0A05F5E5" w:rsidR="00DE4E4D" w:rsidRDefault="00DE4E4D" w:rsidP="00CD0817">
      <w:r>
        <w:t xml:space="preserve">        </w:t>
      </w:r>
      <w:r w:rsidR="00150BB2">
        <w:t xml:space="preserve">On advising Ali on his criminal liability, it is evident that he has committed </w:t>
      </w:r>
      <w:r w:rsidR="009971D9">
        <w:t>the murder of Colin and the manslaughter of Lee</w:t>
      </w:r>
      <w:r w:rsidR="00150BB2">
        <w:t>. The</w:t>
      </w:r>
      <w:r w:rsidR="009971D9">
        <w:t xml:space="preserve"> death </w:t>
      </w:r>
      <w:r w:rsidR="00150BB2">
        <w:t>of Lee was unintentional,</w:t>
      </w:r>
      <w:r w:rsidR="009971D9">
        <w:t xml:space="preserve"> Ali only punched him as Lee was asking him to leave. This is most likely out of anger. Nevertheless, Lee dies making Ali responsible for his death (manslaughter). </w:t>
      </w:r>
      <w:r w:rsidR="00374B6E">
        <w:t>H</w:t>
      </w:r>
      <w:r w:rsidR="00031A83">
        <w:t>owever,</w:t>
      </w:r>
      <w:r w:rsidR="00150BB2">
        <w:t xml:space="preserve"> his murder of Colin was with intent. Firstly, establishing the</w:t>
      </w:r>
      <w:r w:rsidR="00A412B7">
        <w:t xml:space="preserve"> </w:t>
      </w:r>
      <w:r w:rsidR="00A412B7">
        <w:rPr>
          <w:i/>
          <w:iCs/>
        </w:rPr>
        <w:t>actus reus</w:t>
      </w:r>
      <w:r w:rsidR="00150BB2">
        <w:t xml:space="preserve"> is </w:t>
      </w:r>
      <w:r w:rsidR="009971D9">
        <w:t>cl</w:t>
      </w:r>
      <w:r w:rsidR="000E68F0">
        <w:t>ea</w:t>
      </w:r>
      <w:r w:rsidR="009971D9">
        <w:t>r</w:t>
      </w:r>
      <w:r w:rsidR="00150BB2">
        <w:t xml:space="preserve"> as Ali assaulted him with a punch to the face. With the </w:t>
      </w:r>
      <w:r w:rsidR="00150BB2" w:rsidRPr="00A412B7">
        <w:rPr>
          <w:i/>
          <w:iCs/>
        </w:rPr>
        <w:t>mens rea</w:t>
      </w:r>
      <w:r w:rsidR="00150BB2">
        <w:t xml:space="preserve">, it </w:t>
      </w:r>
      <w:r w:rsidR="009971D9">
        <w:t xml:space="preserve">is slightly more complex. </w:t>
      </w:r>
    </w:p>
    <w:p w14:paraId="7D6C8566" w14:textId="77777777" w:rsidR="00DE4E4D" w:rsidRDefault="00DE4E4D" w:rsidP="00CD0817"/>
    <w:p w14:paraId="646F097D" w14:textId="633F7300" w:rsidR="006970C3" w:rsidRDefault="00DE4E4D" w:rsidP="00CD0817">
      <w:r>
        <w:t xml:space="preserve">        </w:t>
      </w:r>
      <w:r w:rsidR="009971D9">
        <w:t xml:space="preserve">When Ali punched Lee, it is not clear whether he intended to kill him. Regardless, the blow </w:t>
      </w:r>
      <w:r w:rsidR="006970C3">
        <w:t>resulted in death</w:t>
      </w:r>
      <w:r w:rsidR="009971D9">
        <w:t>. This makes Ali responsible for manslaughter.</w:t>
      </w:r>
      <w:r w:rsidR="000E68F0">
        <w:t xml:space="preserve"> For example, In R v Cunningham, the defendant removed a gas meter in order to take the money from it. However, the meter was connected to the neighbouring house (defendant’s mother-in-law)</w:t>
      </w:r>
      <w:r>
        <w:t xml:space="preserve">. The gas from the meter leaked while she was sleeping and poisoned her. The defendant was charged with manslaughter, as there was no intent of killing, but it </w:t>
      </w:r>
      <w:r w:rsidR="001B1455">
        <w:t xml:space="preserve">too </w:t>
      </w:r>
      <w:r>
        <w:t xml:space="preserve">resulted in a death. He carried out an act that he had no business regarding, and therefore </w:t>
      </w:r>
      <w:r w:rsidR="00031A83">
        <w:t>deems</w:t>
      </w:r>
      <w:r>
        <w:t xml:space="preserve"> it ‘wicked’ in the context of malicious under the </w:t>
      </w:r>
      <w:r w:rsidR="00031A83">
        <w:t>Offences</w:t>
      </w:r>
      <w:r>
        <w:t xml:space="preserve"> Against the Persons Act 1</w:t>
      </w:r>
      <w:r w:rsidR="006970C3">
        <w:t>861</w:t>
      </w:r>
      <w:r>
        <w:t>. This is the same situation as Ali’s contact with the doorman, Lee.</w:t>
      </w:r>
      <w:r w:rsidR="009971D9">
        <w:t xml:space="preserve"> </w:t>
      </w:r>
      <w:r>
        <w:t>He assaulted him, which in itself is malice, however he did not intend on killing Lee.</w:t>
      </w:r>
    </w:p>
    <w:p w14:paraId="4C13FA7C" w14:textId="4CE33F22" w:rsidR="006970C3" w:rsidRDefault="00DE4E4D" w:rsidP="00CD0817">
      <w:r>
        <w:t xml:space="preserve"> Another case that bares similarities to Ali’s </w:t>
      </w:r>
      <w:r w:rsidR="00A250A5">
        <w:t xml:space="preserve">case is R v Woollin, where the defendant threw his three-month old baby to the ground in anger due to it crying and not stopping. The baby </w:t>
      </w:r>
      <w:r w:rsidR="00A250A5">
        <w:lastRenderedPageBreak/>
        <w:t>then died of a fractured skull</w:t>
      </w:r>
      <w:r w:rsidR="00322308">
        <w:t xml:space="preserve"> due to the defendants actions. Although it concluded that the defendant meant no harm or death to the baby, it is still clear that this action would have serious consequences and high </w:t>
      </w:r>
      <w:r w:rsidR="00031A83">
        <w:t>potential</w:t>
      </w:r>
      <w:r w:rsidR="00322308">
        <w:t xml:space="preserve"> of causing </w:t>
      </w:r>
      <w:r w:rsidR="00046368">
        <w:t>injury.</w:t>
      </w:r>
      <w:r w:rsidR="00031A83">
        <w:t xml:space="preserve"> </w:t>
      </w:r>
    </w:p>
    <w:p w14:paraId="673B0CD4" w14:textId="4C34F692" w:rsidR="00DE4E4D" w:rsidRDefault="00031A83" w:rsidP="00CD0817">
      <w:r>
        <w:t>To</w:t>
      </w:r>
      <w:r w:rsidR="006970C3">
        <w:t xml:space="preserve"> further</w:t>
      </w:r>
      <w:r>
        <w:t xml:space="preserve"> help identify Ali’s criminal liability, another </w:t>
      </w:r>
      <w:r w:rsidR="006970C3">
        <w:t xml:space="preserve">scenario </w:t>
      </w:r>
      <w:r>
        <w:t>involving a similar issue can be used. If you smash the window of an elderly man and break into his property, he gets up to investigate and confronts the defendant. The man then has a heart attack and dies (R v Watson, 1989). The defendant committed a threatening and violent act (break-in through window) and a result that was not intended occurs (death). Ali’s situation can be compared. A violent act was committed (assault), and a result that was not intended by Ali occurred, (Lee’s death). Therefore, Lee is accountable for the death of Lee that he caused indirectly.</w:t>
      </w:r>
    </w:p>
    <w:p w14:paraId="348AE429" w14:textId="77777777" w:rsidR="00DE4E4D" w:rsidRDefault="00DE4E4D" w:rsidP="00CD0817"/>
    <w:p w14:paraId="27B4E03C" w14:textId="77777777" w:rsidR="0077477D" w:rsidRDefault="003B192F" w:rsidP="00CD0817">
      <w:r>
        <w:t xml:space="preserve">        </w:t>
      </w:r>
      <w:r w:rsidR="009971D9">
        <w:t xml:space="preserve">In the case of Colin, both </w:t>
      </w:r>
      <w:r w:rsidR="009971D9" w:rsidRPr="00B77CC1">
        <w:rPr>
          <w:i/>
          <w:iCs/>
        </w:rPr>
        <w:t>me</w:t>
      </w:r>
      <w:r w:rsidR="00B77CC1" w:rsidRPr="00B77CC1">
        <w:rPr>
          <w:i/>
          <w:iCs/>
        </w:rPr>
        <w:t>n</w:t>
      </w:r>
      <w:r w:rsidR="009971D9" w:rsidRPr="00B77CC1">
        <w:rPr>
          <w:i/>
          <w:iCs/>
        </w:rPr>
        <w:t>s</w:t>
      </w:r>
      <w:r w:rsidR="009971D9">
        <w:t xml:space="preserve"> </w:t>
      </w:r>
      <w:r w:rsidR="009971D9" w:rsidRPr="00B77CC1">
        <w:rPr>
          <w:i/>
          <w:iCs/>
        </w:rPr>
        <w:t>rea</w:t>
      </w:r>
      <w:r w:rsidR="009971D9">
        <w:t xml:space="preserve"> and </w:t>
      </w:r>
      <w:r w:rsidR="009971D9" w:rsidRPr="00B77CC1">
        <w:rPr>
          <w:i/>
          <w:iCs/>
        </w:rPr>
        <w:t>actus reus</w:t>
      </w:r>
      <w:r w:rsidR="009971D9">
        <w:t xml:space="preserve"> were established. Ali drove a knife into Colin’s stomach </w:t>
      </w:r>
      <w:r w:rsidR="009971D9" w:rsidRPr="008C66F2">
        <w:rPr>
          <w:i/>
          <w:iCs/>
        </w:rPr>
        <w:t>actus reus</w:t>
      </w:r>
      <w:r w:rsidR="009971D9">
        <w:t xml:space="preserve"> and </w:t>
      </w:r>
      <w:r w:rsidR="00031A83">
        <w:t>intended</w:t>
      </w:r>
      <w:r w:rsidR="009971D9">
        <w:t xml:space="preserve"> to kill him </w:t>
      </w:r>
      <w:r w:rsidR="009971D9" w:rsidRPr="008C66F2">
        <w:rPr>
          <w:i/>
          <w:iCs/>
        </w:rPr>
        <w:t>mens rea</w:t>
      </w:r>
      <w:r w:rsidR="009971D9">
        <w:t>.</w:t>
      </w:r>
      <w:r w:rsidR="000E68F0">
        <w:t xml:space="preserve"> </w:t>
      </w:r>
      <w:r w:rsidR="006970C3">
        <w:t xml:space="preserve">This instance was far more targeted and intended with serious </w:t>
      </w:r>
      <w:r w:rsidR="008C66F2">
        <w:t>consequences</w:t>
      </w:r>
      <w:r w:rsidR="006970C3">
        <w:t xml:space="preserve"> taken </w:t>
      </w:r>
      <w:r w:rsidR="00886638">
        <w:t>considered</w:t>
      </w:r>
      <w:r w:rsidR="009E1629">
        <w:t xml:space="preserve"> as </w:t>
      </w:r>
      <w:r w:rsidR="00886638">
        <w:t>aforethought</w:t>
      </w:r>
      <w:r w:rsidR="006970C3">
        <w:t xml:space="preserve">. The attack was malicious and cowardly. </w:t>
      </w:r>
      <w:r>
        <w:t xml:space="preserve">Regardless of the death of Colin, Ali still </w:t>
      </w:r>
      <w:r w:rsidR="008C66F2">
        <w:t>committed</w:t>
      </w:r>
      <w:r>
        <w:t xml:space="preserve"> a serious offence. Under section 20 of the Offences Against the Person Act 1861, Ali committed </w:t>
      </w:r>
      <w:r w:rsidR="008C66F2">
        <w:t>Grievous</w:t>
      </w:r>
      <w:r>
        <w:t xml:space="preserve"> Bodily Harm (GBH), as he unlawfully wounded a person with great severity. In this instance, GBH quickly changed to murder as Colin died from the knife wound.</w:t>
      </w:r>
      <w:r w:rsidR="00564C60">
        <w:t xml:space="preserve"> </w:t>
      </w:r>
      <w:r w:rsidR="001D394B">
        <w:t>For a similarity comparison, R v Vickers had an outcome that is likely for Ali’s murder of Colin. Vickers unlawfully entered a property to steal money. When the victim was confronted by Vickers, the victim was attacked. She later died from her injuries. Due to Vickers’ intention to cause GBH, the court was satisfied with charging him with murder as the intention to harm was present. This is the same situation for Ali, as he inten</w:t>
      </w:r>
      <w:r w:rsidR="00B77CC1">
        <w:t>d</w:t>
      </w:r>
      <w:r w:rsidR="001D394B">
        <w:t xml:space="preserve">ed to cause GBH when he attacked Colin, regardless of the state of Colin’s life. </w:t>
      </w:r>
    </w:p>
    <w:p w14:paraId="03209F65" w14:textId="77777777" w:rsidR="0077477D" w:rsidRDefault="0077477D" w:rsidP="00CD0817"/>
    <w:p w14:paraId="1FAB6A74" w14:textId="1DCF706A" w:rsidR="008520F9" w:rsidRDefault="0077477D" w:rsidP="00CD0817">
      <w:r>
        <w:t xml:space="preserve">        </w:t>
      </w:r>
      <w:r w:rsidR="008520F9">
        <w:t>It is possible that this case can also present a good argument for Ali’s first encounter with the first victim</w:t>
      </w:r>
      <w:r w:rsidR="00911AFB">
        <w:t xml:space="preserve"> (Lee)</w:t>
      </w:r>
      <w:r w:rsidR="008520F9">
        <w:t>, raising it from third degree murder</w:t>
      </w:r>
      <w:r>
        <w:t xml:space="preserve"> </w:t>
      </w:r>
      <w:r w:rsidR="008520F9">
        <w:t>to first or second. Once again</w:t>
      </w:r>
      <w:r w:rsidR="00911AFB">
        <w:t>,</w:t>
      </w:r>
      <w:r>
        <w:t xml:space="preserve"> in comparison to R v Vickers</w:t>
      </w:r>
      <w:r w:rsidR="008520F9">
        <w:t xml:space="preserve">, </w:t>
      </w:r>
      <w:r>
        <w:t>Ali</w:t>
      </w:r>
      <w:r w:rsidR="008520F9">
        <w:t xml:space="preserve"> intended on the GBH against Lee, however this resulted in murder. Technically, following R v Vickers, Ali could be tried for first/second degree murder for </w:t>
      </w:r>
      <w:r w:rsidR="008520F9" w:rsidRPr="0077477D">
        <w:rPr>
          <w:i/>
          <w:iCs/>
        </w:rPr>
        <w:t>both</w:t>
      </w:r>
      <w:r w:rsidR="008520F9">
        <w:t xml:space="preserve"> encounters.</w:t>
      </w:r>
    </w:p>
    <w:p w14:paraId="3A1853B2" w14:textId="77777777" w:rsidR="00911AFB" w:rsidRDefault="00911AFB" w:rsidP="00CD0817"/>
    <w:p w14:paraId="4C9E16B7" w14:textId="4C2D3D8E" w:rsidR="00054227" w:rsidRDefault="0077477D" w:rsidP="00CD0817">
      <w:r>
        <w:t xml:space="preserve">        Resuming</w:t>
      </w:r>
      <w:r w:rsidR="008520F9">
        <w:t xml:space="preserve"> Ali’s </w:t>
      </w:r>
      <w:r>
        <w:t>case with Colin, f</w:t>
      </w:r>
      <w:r w:rsidR="00564C60">
        <w:t xml:space="preserve">our aspects are required from the prosecution in order to prove murder; an unlawful killing, a reasonable creature in being, in the Queen’s peace and with malice aforethought. In Ali’s case, all four aspects are </w:t>
      </w:r>
      <w:r w:rsidR="001D394B">
        <w:t>fulfilled</w:t>
      </w:r>
      <w:r w:rsidR="00564C60">
        <w:t>. The killing was unlawful (puncture with knife), was a reasonable creature in being (human), the killing was in the Queen’s peace (in a controlled society</w:t>
      </w:r>
      <w:r w:rsidR="00A61FE4">
        <w:t xml:space="preserve"> with </w:t>
      </w:r>
      <w:r w:rsidR="009E1629">
        <w:t>no war</w:t>
      </w:r>
      <w:r w:rsidR="00564C60">
        <w:t>) and was with malice aforethought (Ali knew Colin would be at that specific place and came armed with a knife</w:t>
      </w:r>
      <w:r w:rsidR="001C4775">
        <w:t>, also, it was out of jealously due to his past relations with Jenny</w:t>
      </w:r>
      <w:r w:rsidR="00564C60">
        <w:t>).</w:t>
      </w:r>
    </w:p>
    <w:p w14:paraId="0E0F1FB5" w14:textId="5A8F7591" w:rsidR="00150BB2" w:rsidRDefault="003B192F" w:rsidP="00CD0817">
      <w:r>
        <w:t xml:space="preserve"> It is important to advise Ali that when he faces trial, there are several factors to this case that will hurt his defence when facing the judge and jury. Running away from a fatally inflicted wound to let another person die will hinder his plea. Ali also fled the attack on Lee at the Bar on Wind Street, this also does not aid him in court. For example, if Ali assaulted Le</w:t>
      </w:r>
      <w:r w:rsidR="00054227">
        <w:t>e and stayed to seek medical help or give his attention to Lee, despite the death, Ali still showed more empathy and care towards Lee even though he still committed manslaughter. To a judge and jury, these actions have the potential to be taken into consideration when it comes to sentencing.</w:t>
      </w:r>
    </w:p>
    <w:p w14:paraId="350C6FEC" w14:textId="39E0A9A2" w:rsidR="004628D3" w:rsidRDefault="001C4775" w:rsidP="00CD0817">
      <w:r>
        <w:lastRenderedPageBreak/>
        <w:t>In conclusion, it is evident that Ali will be found guilty on two</w:t>
      </w:r>
      <w:r w:rsidR="00B432A7">
        <w:t xml:space="preserve"> </w:t>
      </w:r>
      <w:r>
        <w:t>counts of homicide. One of these being intentional and the other being unintentional/indirect.</w:t>
      </w:r>
      <w:r w:rsidR="008520F9">
        <w:t xml:space="preserve"> Both </w:t>
      </w:r>
      <w:r w:rsidR="008520F9">
        <w:rPr>
          <w:i/>
          <w:iCs/>
        </w:rPr>
        <w:t xml:space="preserve">mens rea </w:t>
      </w:r>
      <w:r w:rsidR="008520F9">
        <w:t xml:space="preserve">and </w:t>
      </w:r>
      <w:r w:rsidR="008520F9">
        <w:rPr>
          <w:i/>
          <w:iCs/>
        </w:rPr>
        <w:t xml:space="preserve">actus reus </w:t>
      </w:r>
      <w:r w:rsidR="008520F9">
        <w:t xml:space="preserve">have been fulfilled on his murder of Colin. However, it is difficult to establish the </w:t>
      </w:r>
      <w:r w:rsidR="008520F9">
        <w:rPr>
          <w:i/>
          <w:iCs/>
        </w:rPr>
        <w:t xml:space="preserve">mens rea </w:t>
      </w:r>
      <w:r w:rsidR="008520F9">
        <w:t>of his third-degree murder of Lee.</w:t>
      </w:r>
      <w:r>
        <w:t xml:space="preserve"> There is evidence beyond reasonable doubt</w:t>
      </w:r>
      <w:r w:rsidR="008520F9">
        <w:t xml:space="preserve"> that Ali has criminal liability in both instances and will be tried for murder on two occasions first/second degree for one and third degree for the other.</w:t>
      </w:r>
    </w:p>
    <w:p w14:paraId="310806D6" w14:textId="77777777" w:rsidR="005C1291" w:rsidRDefault="005C1291" w:rsidP="00CD0817"/>
    <w:p w14:paraId="75C23B47" w14:textId="1C3FD26C" w:rsidR="005C1291" w:rsidRPr="005C1291" w:rsidRDefault="005C1291" w:rsidP="00CD0817">
      <w:pPr>
        <w:rPr>
          <w:b/>
          <w:bCs/>
          <w:sz w:val="28"/>
          <w:szCs w:val="28"/>
        </w:rPr>
      </w:pPr>
      <w:r w:rsidRPr="005C1291">
        <w:rPr>
          <w:b/>
          <w:bCs/>
          <w:sz w:val="28"/>
          <w:szCs w:val="28"/>
        </w:rPr>
        <w:t>REFERENCE LIST</w:t>
      </w:r>
    </w:p>
    <w:p w14:paraId="3D6948A8" w14:textId="77777777" w:rsidR="007344C8" w:rsidRDefault="007344C8" w:rsidP="001C465B">
      <w:pPr>
        <w:rPr>
          <w:rFonts w:eastAsia="Times New Roman" w:cstheme="minorHAnsi"/>
          <w:b/>
          <w:bCs/>
          <w:color w:val="000000"/>
          <w:sz w:val="28"/>
          <w:szCs w:val="28"/>
          <w:shd w:val="clear" w:color="auto" w:fill="FFFFFF"/>
          <w:lang w:eastAsia="en-GB"/>
        </w:rPr>
      </w:pPr>
    </w:p>
    <w:p w14:paraId="0B153C49" w14:textId="4B2693B7" w:rsidR="007344C8" w:rsidRDefault="007344C8" w:rsidP="001C465B">
      <w:pPr>
        <w:rPr>
          <w:rFonts w:eastAsia="Times New Roman" w:cstheme="minorHAnsi"/>
          <w:color w:val="000000"/>
          <w:shd w:val="clear" w:color="auto" w:fill="FFFFFF"/>
          <w:lang w:eastAsia="en-GB"/>
        </w:rPr>
      </w:pPr>
      <w:r w:rsidRPr="001C465B">
        <w:rPr>
          <w:rFonts w:eastAsia="Times New Roman" w:cstheme="minorHAnsi"/>
          <w:color w:val="000000"/>
          <w:shd w:val="clear" w:color="auto" w:fill="FFFFFF"/>
          <w:lang w:eastAsia="en-GB"/>
        </w:rPr>
        <w:t>Caesar, B., 1979. The Insanity Defence: The New Loophole. </w:t>
      </w:r>
      <w:r w:rsidRPr="001C465B">
        <w:rPr>
          <w:rFonts w:eastAsia="Times New Roman" w:cstheme="minorHAnsi"/>
          <w:i/>
          <w:iCs/>
          <w:color w:val="000000"/>
          <w:lang w:eastAsia="en-GB"/>
        </w:rPr>
        <w:t>Crime &amp; Delinquency</w:t>
      </w:r>
      <w:r w:rsidRPr="001C465B">
        <w:rPr>
          <w:rFonts w:eastAsia="Times New Roman" w:cstheme="minorHAnsi"/>
          <w:color w:val="000000"/>
          <w:shd w:val="clear" w:color="auto" w:fill="FFFFFF"/>
          <w:lang w:eastAsia="en-GB"/>
        </w:rPr>
        <w:t>, 25(4), pp.436-449.</w:t>
      </w:r>
    </w:p>
    <w:p w14:paraId="21FDB4E4" w14:textId="77777777" w:rsidR="007344C8" w:rsidRDefault="007344C8" w:rsidP="001C465B">
      <w:pPr>
        <w:rPr>
          <w:rFonts w:eastAsia="Times New Roman" w:cstheme="minorHAnsi"/>
          <w:color w:val="000000"/>
          <w:shd w:val="clear" w:color="auto" w:fill="FFFFFF"/>
          <w:lang w:eastAsia="en-GB"/>
        </w:rPr>
      </w:pPr>
    </w:p>
    <w:p w14:paraId="48B67B89" w14:textId="4B6D8703" w:rsidR="007344C8" w:rsidRDefault="007344C8" w:rsidP="007344C8">
      <w:pPr>
        <w:rPr>
          <w:rStyle w:val="doilink"/>
          <w:rFonts w:cs="Arial"/>
          <w:color w:val="333333"/>
        </w:rPr>
      </w:pPr>
      <w:r>
        <w:rPr>
          <w:rStyle w:val="authors"/>
          <w:rFonts w:cs="Arial"/>
          <w:color w:val="333333"/>
        </w:rPr>
        <w:t>Fanning, J.,</w:t>
      </w:r>
      <w:r w:rsidRPr="007344C8">
        <w:rPr>
          <w:rStyle w:val="apple-converted-space"/>
          <w:rFonts w:cs="Arial"/>
          <w:color w:val="333333"/>
          <w:shd w:val="clear" w:color="auto" w:fill="FFFFFF"/>
        </w:rPr>
        <w:t> </w:t>
      </w:r>
      <w:r w:rsidRPr="007344C8">
        <w:rPr>
          <w:rStyle w:val="Date1"/>
          <w:rFonts w:cs="Arial"/>
          <w:color w:val="333333"/>
        </w:rPr>
        <w:t>(2017)</w:t>
      </w:r>
      <w:r w:rsidRPr="007344C8">
        <w:rPr>
          <w:rStyle w:val="apple-converted-space"/>
          <w:rFonts w:cs="Arial"/>
          <w:color w:val="333333"/>
          <w:shd w:val="clear" w:color="auto" w:fill="FFFFFF"/>
        </w:rPr>
        <w:t> </w:t>
      </w:r>
      <w:r w:rsidRPr="007344C8">
        <w:rPr>
          <w:rStyle w:val="arttitle"/>
          <w:rFonts w:cs="Arial"/>
          <w:color w:val="333333"/>
        </w:rPr>
        <w:t xml:space="preserve">Mental Capacity as a Concept in Negligence: Against an Insanity </w:t>
      </w:r>
      <w:r w:rsidR="002F5AF9" w:rsidRPr="007344C8">
        <w:rPr>
          <w:rStyle w:val="arttitle"/>
          <w:rFonts w:cs="Arial"/>
          <w:color w:val="333333"/>
        </w:rPr>
        <w:t>Defence,</w:t>
      </w:r>
      <w:r w:rsidR="002F5AF9" w:rsidRPr="007344C8">
        <w:rPr>
          <w:rStyle w:val="serialtitle"/>
          <w:rFonts w:cs="Arial"/>
          <w:color w:val="333333"/>
        </w:rPr>
        <w:t xml:space="preserve"> Psychiatry</w:t>
      </w:r>
      <w:r w:rsidRPr="007344C8">
        <w:rPr>
          <w:rStyle w:val="serialtitle"/>
          <w:rFonts w:cs="Arial"/>
          <w:color w:val="333333"/>
        </w:rPr>
        <w:t>, Psychology and Law,</w:t>
      </w:r>
      <w:r w:rsidRPr="007344C8">
        <w:rPr>
          <w:rStyle w:val="apple-converted-space"/>
          <w:rFonts w:cs="Arial"/>
          <w:color w:val="333333"/>
          <w:shd w:val="clear" w:color="auto" w:fill="FFFFFF"/>
        </w:rPr>
        <w:t> </w:t>
      </w:r>
      <w:r w:rsidRPr="007344C8">
        <w:rPr>
          <w:rStyle w:val="volumeissue"/>
          <w:rFonts w:cs="Arial"/>
          <w:color w:val="333333"/>
        </w:rPr>
        <w:t>24:5,</w:t>
      </w:r>
      <w:r w:rsidRPr="007344C8">
        <w:rPr>
          <w:rStyle w:val="apple-converted-space"/>
          <w:rFonts w:cs="Arial"/>
          <w:color w:val="333333"/>
          <w:shd w:val="clear" w:color="auto" w:fill="FFFFFF"/>
        </w:rPr>
        <w:t> </w:t>
      </w:r>
      <w:r w:rsidR="002F5AF9">
        <w:rPr>
          <w:rStyle w:val="apple-converted-space"/>
          <w:rFonts w:cs="Arial"/>
          <w:color w:val="333333"/>
          <w:shd w:val="clear" w:color="auto" w:fill="FFFFFF"/>
        </w:rPr>
        <w:t>pp.</w:t>
      </w:r>
      <w:r w:rsidRPr="007344C8">
        <w:rPr>
          <w:rStyle w:val="pagerange"/>
          <w:rFonts w:cs="Arial"/>
          <w:color w:val="333333"/>
        </w:rPr>
        <w:t>694-714</w:t>
      </w:r>
      <w:r w:rsidR="002F5AF9">
        <w:rPr>
          <w:rStyle w:val="pagerange"/>
          <w:rFonts w:cs="Arial"/>
          <w:color w:val="333333"/>
        </w:rPr>
        <w:t>.</w:t>
      </w:r>
      <w:r w:rsidR="002F5AF9">
        <w:rPr>
          <w:rStyle w:val="doilink"/>
          <w:rFonts w:cs="Arial"/>
          <w:color w:val="333333"/>
        </w:rPr>
        <w:t xml:space="preserve"> </w:t>
      </w:r>
    </w:p>
    <w:p w14:paraId="3AECF337" w14:textId="77777777" w:rsidR="007344C8" w:rsidRPr="007344C8" w:rsidRDefault="007344C8" w:rsidP="007344C8"/>
    <w:p w14:paraId="1BAE0765" w14:textId="2F3B52AF" w:rsidR="007344C8" w:rsidRDefault="007344C8" w:rsidP="00E05168">
      <w:pPr>
        <w:rPr>
          <w:rFonts w:eastAsia="Times New Roman" w:cstheme="minorHAnsi"/>
          <w:color w:val="000000"/>
          <w:shd w:val="clear" w:color="auto" w:fill="FFFFFF"/>
          <w:lang w:eastAsia="en-GB"/>
        </w:rPr>
      </w:pPr>
      <w:r w:rsidRPr="005C1291">
        <w:rPr>
          <w:rFonts w:eastAsia="Times New Roman" w:cstheme="minorHAnsi"/>
          <w:color w:val="000000"/>
          <w:shd w:val="clear" w:color="auto" w:fill="FFFFFF"/>
          <w:lang w:eastAsia="en-GB"/>
        </w:rPr>
        <w:t>Goldstein, A., 1967. </w:t>
      </w:r>
      <w:r w:rsidRPr="005C1291">
        <w:rPr>
          <w:rFonts w:eastAsia="Times New Roman" w:cstheme="minorHAnsi"/>
          <w:i/>
          <w:iCs/>
          <w:color w:val="000000"/>
          <w:lang w:eastAsia="en-GB"/>
        </w:rPr>
        <w:t>The Insanity Defence</w:t>
      </w:r>
      <w:r w:rsidRPr="005C1291">
        <w:rPr>
          <w:rFonts w:eastAsia="Times New Roman" w:cstheme="minorHAnsi"/>
          <w:color w:val="000000"/>
          <w:shd w:val="clear" w:color="auto" w:fill="FFFFFF"/>
          <w:lang w:eastAsia="en-GB"/>
        </w:rPr>
        <w:t>. Yale University Press.</w:t>
      </w:r>
    </w:p>
    <w:p w14:paraId="11DFC4EA" w14:textId="77777777" w:rsidR="007344C8" w:rsidRDefault="007344C8" w:rsidP="00E05168">
      <w:pPr>
        <w:rPr>
          <w:rFonts w:eastAsia="Times New Roman" w:cstheme="minorHAnsi"/>
          <w:color w:val="000000"/>
          <w:shd w:val="clear" w:color="auto" w:fill="FFFFFF"/>
          <w:lang w:eastAsia="en-GB"/>
        </w:rPr>
      </w:pPr>
    </w:p>
    <w:p w14:paraId="7E5E723F" w14:textId="50920778" w:rsidR="007344C8" w:rsidRDefault="007344C8" w:rsidP="00E05168">
      <w:pPr>
        <w:rPr>
          <w:rFonts w:eastAsia="Times New Roman" w:cstheme="minorHAnsi"/>
          <w:color w:val="000000"/>
          <w:shd w:val="clear" w:color="auto" w:fill="FFFFFF"/>
          <w:lang w:eastAsia="en-GB"/>
        </w:rPr>
      </w:pPr>
      <w:r w:rsidRPr="00E05168">
        <w:rPr>
          <w:rFonts w:eastAsia="Times New Roman" w:cstheme="minorHAnsi"/>
          <w:color w:val="000000"/>
          <w:shd w:val="clear" w:color="auto" w:fill="FFFFFF"/>
          <w:lang w:eastAsia="en-GB"/>
        </w:rPr>
        <w:t xml:space="preserve">Hogg, C. (2015) ‘The Insanity Defence: An Argument for Abolition’, The Journal of Criminal Law, 79(4), pp. 250–256. </w:t>
      </w:r>
    </w:p>
    <w:p w14:paraId="0D3564DB" w14:textId="77777777" w:rsidR="007344C8" w:rsidRDefault="007344C8" w:rsidP="00E05168">
      <w:pPr>
        <w:rPr>
          <w:rFonts w:eastAsia="Times New Roman" w:cstheme="minorHAnsi"/>
          <w:color w:val="000000"/>
          <w:shd w:val="clear" w:color="auto" w:fill="FFFFFF"/>
          <w:lang w:eastAsia="en-GB"/>
        </w:rPr>
      </w:pPr>
    </w:p>
    <w:p w14:paraId="0851E2CF" w14:textId="546AEC5D" w:rsidR="007344C8" w:rsidRDefault="007344C8" w:rsidP="00E05168">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Law Commission, 2013 Criminal</w:t>
      </w:r>
      <w:r w:rsidRPr="00F07FD8">
        <w:rPr>
          <w:rFonts w:eastAsia="Times New Roman" w:cstheme="minorHAnsi"/>
          <w:i/>
          <w:iCs/>
          <w:color w:val="000000"/>
          <w:shd w:val="clear" w:color="auto" w:fill="FFFFFF"/>
          <w:lang w:eastAsia="en-GB"/>
        </w:rPr>
        <w:t xml:space="preserve"> Liability: Insanity and Atomism</w:t>
      </w:r>
      <w:r>
        <w:rPr>
          <w:rFonts w:eastAsia="Times New Roman" w:cstheme="minorHAnsi"/>
          <w:color w:val="000000"/>
          <w:shd w:val="clear" w:color="auto" w:fill="FFFFFF"/>
          <w:lang w:eastAsia="en-GB"/>
        </w:rPr>
        <w:t xml:space="preserve"> </w:t>
      </w:r>
      <w:hyperlink r:id="rId7" w:history="1">
        <w:r w:rsidRPr="00672BCB">
          <w:rPr>
            <w:rStyle w:val="Hyperlink"/>
            <w:rFonts w:eastAsia="Times New Roman" w:cstheme="minorHAnsi"/>
            <w:shd w:val="clear" w:color="auto" w:fill="FFFFFF"/>
            <w:lang w:eastAsia="en-GB"/>
          </w:rPr>
          <w:t>http://www.lawcom.gov.uk/app/uploads/2015/06/insanity_discussion_summary.pdf</w:t>
        </w:r>
      </w:hyperlink>
    </w:p>
    <w:p w14:paraId="24FA9E94" w14:textId="77777777" w:rsidR="007344C8" w:rsidRDefault="007344C8" w:rsidP="00E05168">
      <w:pPr>
        <w:rPr>
          <w:rFonts w:eastAsia="Times New Roman" w:cstheme="minorHAnsi"/>
          <w:color w:val="000000"/>
          <w:shd w:val="clear" w:color="auto" w:fill="FFFFFF"/>
          <w:lang w:eastAsia="en-GB"/>
        </w:rPr>
      </w:pPr>
    </w:p>
    <w:p w14:paraId="4876E5DB" w14:textId="3F7B60D1" w:rsidR="007344C8" w:rsidRDefault="007344C8" w:rsidP="001C465B">
      <w:pPr>
        <w:rPr>
          <w:rFonts w:eastAsia="Times New Roman" w:cstheme="minorHAnsi"/>
          <w:color w:val="000000"/>
          <w:shd w:val="clear" w:color="auto" w:fill="FFFFFF"/>
          <w:lang w:eastAsia="en-GB"/>
        </w:rPr>
      </w:pPr>
      <w:r w:rsidRPr="00F752EB">
        <w:rPr>
          <w:rFonts w:eastAsia="Times New Roman" w:cstheme="minorHAnsi"/>
          <w:color w:val="000000"/>
          <w:shd w:val="clear" w:color="auto" w:fill="FFFFFF"/>
          <w:lang w:eastAsia="en-GB"/>
        </w:rPr>
        <w:t xml:space="preserve">LawTeacher. November 2013. Distinguish Between </w:t>
      </w:r>
      <w:r w:rsidR="002F5AF9" w:rsidRPr="00F752EB">
        <w:rPr>
          <w:rFonts w:eastAsia="Times New Roman" w:cstheme="minorHAnsi"/>
          <w:color w:val="000000"/>
          <w:shd w:val="clear" w:color="auto" w:fill="FFFFFF"/>
          <w:lang w:eastAsia="en-GB"/>
        </w:rPr>
        <w:t>Non-Insane</w:t>
      </w:r>
      <w:r w:rsidRPr="00F752EB">
        <w:rPr>
          <w:rFonts w:eastAsia="Times New Roman" w:cstheme="minorHAnsi"/>
          <w:color w:val="000000"/>
          <w:shd w:val="clear" w:color="auto" w:fill="FFFFFF"/>
          <w:lang w:eastAsia="en-GB"/>
        </w:rPr>
        <w:t xml:space="preserve"> and Insane Automatism. [online]. Available from: https://www.lawteacher.net/free-law-essays/medical-law/distinguish-between-non-insane-and-insane-automatism-law-essay.php?vref=1 [Accessed 20 April 2021].</w:t>
      </w:r>
    </w:p>
    <w:p w14:paraId="17265518" w14:textId="77777777" w:rsidR="007344C8" w:rsidRDefault="007344C8" w:rsidP="001C465B">
      <w:pPr>
        <w:rPr>
          <w:rFonts w:eastAsia="Times New Roman" w:cstheme="minorHAnsi"/>
          <w:color w:val="000000"/>
          <w:shd w:val="clear" w:color="auto" w:fill="FFFFFF"/>
          <w:lang w:eastAsia="en-GB"/>
        </w:rPr>
      </w:pPr>
    </w:p>
    <w:p w14:paraId="145CE76A" w14:textId="77777777" w:rsidR="007344C8" w:rsidRDefault="007344C8" w:rsidP="001C465B">
      <w:pPr>
        <w:rPr>
          <w:rFonts w:eastAsia="Times New Roman" w:cstheme="minorHAnsi"/>
          <w:color w:val="000000"/>
          <w:shd w:val="clear" w:color="auto" w:fill="FFFFFF"/>
          <w:lang w:eastAsia="en-GB"/>
        </w:rPr>
      </w:pPr>
      <w:r w:rsidRPr="008811A8">
        <w:rPr>
          <w:rFonts w:eastAsia="Times New Roman" w:cstheme="minorHAnsi"/>
          <w:color w:val="000000"/>
          <w:shd w:val="clear" w:color="auto" w:fill="FFFFFF"/>
          <w:lang w:eastAsia="en-GB"/>
        </w:rPr>
        <w:t>LawTeacher. November 2013. There Have Been Many Controversial Debates on the Defence. [online]. Available from: https://www.lawteacher.net/free-law-essays/criminology/there-have-been-many-controversial-law-essays.php?vref=1 [Accessed 20 April 2021].</w:t>
      </w:r>
    </w:p>
    <w:p w14:paraId="5F7A9564" w14:textId="57A5C135" w:rsidR="007344C8" w:rsidRDefault="007344C8" w:rsidP="001C465B">
      <w:pPr>
        <w:rPr>
          <w:rFonts w:eastAsia="Times New Roman" w:cstheme="minorHAnsi"/>
          <w:b/>
          <w:bCs/>
          <w:color w:val="000000"/>
          <w:sz w:val="28"/>
          <w:szCs w:val="28"/>
          <w:shd w:val="clear" w:color="auto" w:fill="FFFFFF"/>
          <w:lang w:eastAsia="en-GB"/>
        </w:rPr>
      </w:pPr>
    </w:p>
    <w:p w14:paraId="0CF1F2BC" w14:textId="77777777" w:rsidR="007344C8" w:rsidRDefault="007344C8" w:rsidP="001C465B">
      <w:pPr>
        <w:rPr>
          <w:rFonts w:eastAsia="Times New Roman" w:cstheme="minorHAnsi"/>
          <w:b/>
          <w:bCs/>
          <w:color w:val="000000"/>
          <w:sz w:val="28"/>
          <w:szCs w:val="28"/>
          <w:shd w:val="clear" w:color="auto" w:fill="FFFFFF"/>
          <w:lang w:eastAsia="en-GB"/>
        </w:rPr>
      </w:pPr>
    </w:p>
    <w:p w14:paraId="5213EA58" w14:textId="0A282B4B" w:rsidR="00DE4E4D" w:rsidRPr="001C465B" w:rsidRDefault="00DE4E4D" w:rsidP="001C465B">
      <w:pPr>
        <w:rPr>
          <w:rFonts w:eastAsia="Times New Roman" w:cstheme="minorHAnsi"/>
          <w:b/>
          <w:bCs/>
          <w:sz w:val="40"/>
          <w:szCs w:val="40"/>
          <w:lang w:eastAsia="en-GB"/>
        </w:rPr>
      </w:pPr>
      <w:r w:rsidRPr="00DE4E4D">
        <w:rPr>
          <w:rFonts w:eastAsia="Times New Roman" w:cstheme="minorHAnsi"/>
          <w:b/>
          <w:bCs/>
          <w:color w:val="000000"/>
          <w:sz w:val="28"/>
          <w:szCs w:val="28"/>
          <w:shd w:val="clear" w:color="auto" w:fill="FFFFFF"/>
          <w:lang w:eastAsia="en-GB"/>
        </w:rPr>
        <w:t>CASE LAW</w:t>
      </w:r>
    </w:p>
    <w:p w14:paraId="4B54015E" w14:textId="68994170" w:rsidR="001C465B" w:rsidRDefault="001C465B" w:rsidP="00E05168">
      <w:pPr>
        <w:rPr>
          <w:rFonts w:eastAsia="Times New Roman" w:cstheme="minorHAnsi"/>
          <w:color w:val="000000"/>
          <w:shd w:val="clear" w:color="auto" w:fill="FFFFFF"/>
          <w:lang w:eastAsia="en-GB"/>
        </w:rPr>
      </w:pPr>
    </w:p>
    <w:p w14:paraId="2A6D2154" w14:textId="77777777" w:rsidR="00445CF8" w:rsidRDefault="00445CF8" w:rsidP="00DE4E4D">
      <w:pPr>
        <w:spacing w:after="100" w:afterAutospacing="1"/>
        <w:outlineLvl w:val="0"/>
        <w:rPr>
          <w:rFonts w:eastAsia="Times New Roman" w:cs="Segoe UI"/>
          <w:color w:val="212529"/>
          <w:kern w:val="36"/>
          <w:lang w:eastAsia="en-GB"/>
        </w:rPr>
      </w:pPr>
      <w:r w:rsidRPr="00DE4E4D">
        <w:rPr>
          <w:rFonts w:eastAsia="Times New Roman" w:cs="Segoe UI"/>
          <w:color w:val="212529"/>
          <w:kern w:val="36"/>
          <w:lang w:eastAsia="en-GB"/>
        </w:rPr>
        <w:t>R v Cunningham [1957]</w:t>
      </w:r>
    </w:p>
    <w:p w14:paraId="37A45E72" w14:textId="77777777" w:rsidR="00445CF8" w:rsidRPr="00DE4E4D" w:rsidRDefault="00445CF8" w:rsidP="00DE4E4D">
      <w:pPr>
        <w:spacing w:after="100" w:afterAutospacing="1"/>
        <w:outlineLvl w:val="0"/>
        <w:rPr>
          <w:rFonts w:eastAsia="Times New Roman" w:cs="Segoe UI"/>
          <w:color w:val="212529"/>
          <w:kern w:val="36"/>
          <w:lang w:eastAsia="en-GB"/>
        </w:rPr>
      </w:pPr>
      <w:r>
        <w:rPr>
          <w:rFonts w:eastAsia="Times New Roman" w:cs="Segoe UI"/>
          <w:color w:val="212529"/>
          <w:kern w:val="36"/>
          <w:lang w:eastAsia="en-GB"/>
        </w:rPr>
        <w:t>R v Vickers [1957]</w:t>
      </w:r>
    </w:p>
    <w:p w14:paraId="37C80778" w14:textId="77777777" w:rsidR="00445CF8" w:rsidRDefault="00445CF8" w:rsidP="00DE4E4D">
      <w:pPr>
        <w:spacing w:after="100" w:afterAutospacing="1"/>
        <w:outlineLvl w:val="0"/>
        <w:rPr>
          <w:rFonts w:eastAsia="Times New Roman" w:cs="Segoe UI"/>
          <w:color w:val="212529"/>
          <w:kern w:val="36"/>
          <w:lang w:eastAsia="en-GB"/>
        </w:rPr>
      </w:pPr>
      <w:r>
        <w:rPr>
          <w:rFonts w:eastAsia="Times New Roman" w:cs="Segoe UI"/>
          <w:color w:val="212529"/>
          <w:kern w:val="36"/>
          <w:lang w:eastAsia="en-GB"/>
        </w:rPr>
        <w:t>R v Watson [1989]</w:t>
      </w:r>
    </w:p>
    <w:p w14:paraId="0FD34816" w14:textId="77777777" w:rsidR="00445CF8" w:rsidRDefault="00445CF8" w:rsidP="00DE4E4D">
      <w:pPr>
        <w:spacing w:after="100" w:afterAutospacing="1"/>
        <w:outlineLvl w:val="0"/>
        <w:rPr>
          <w:rFonts w:eastAsia="Times New Roman" w:cs="Segoe UI"/>
          <w:color w:val="212529"/>
          <w:kern w:val="36"/>
          <w:lang w:eastAsia="en-GB"/>
        </w:rPr>
      </w:pPr>
      <w:r>
        <w:rPr>
          <w:rFonts w:eastAsia="Times New Roman" w:cs="Segoe UI"/>
          <w:color w:val="212529"/>
          <w:kern w:val="36"/>
          <w:lang w:eastAsia="en-GB"/>
        </w:rPr>
        <w:t xml:space="preserve">R v </w:t>
      </w:r>
      <w:proofErr w:type="spellStart"/>
      <w:r>
        <w:rPr>
          <w:rFonts w:eastAsia="Times New Roman" w:cs="Segoe UI"/>
          <w:color w:val="212529"/>
          <w:kern w:val="36"/>
          <w:lang w:eastAsia="en-GB"/>
        </w:rPr>
        <w:t>Woollin</w:t>
      </w:r>
      <w:proofErr w:type="spellEnd"/>
      <w:r>
        <w:rPr>
          <w:rFonts w:eastAsia="Times New Roman" w:cs="Segoe UI"/>
          <w:color w:val="212529"/>
          <w:kern w:val="36"/>
          <w:lang w:eastAsia="en-GB"/>
        </w:rPr>
        <w:t xml:space="preserve"> [1999]</w:t>
      </w:r>
    </w:p>
    <w:p w14:paraId="5A7050B0" w14:textId="77777777" w:rsidR="00DE4E4D" w:rsidRDefault="00DE4E4D" w:rsidP="00E05168">
      <w:pPr>
        <w:rPr>
          <w:rFonts w:eastAsia="Times New Roman" w:cstheme="minorHAnsi"/>
          <w:color w:val="000000"/>
          <w:shd w:val="clear" w:color="auto" w:fill="FFFFFF"/>
          <w:lang w:eastAsia="en-GB"/>
        </w:rPr>
      </w:pPr>
    </w:p>
    <w:p w14:paraId="1B26F5D0" w14:textId="77777777" w:rsidR="005C1291" w:rsidRPr="00613FFD" w:rsidRDefault="005C1291" w:rsidP="00CD0817"/>
    <w:sectPr w:rsidR="005C1291" w:rsidRPr="00613FF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B15C75" w14:textId="77777777" w:rsidR="00AC72BB" w:rsidRDefault="00AC72BB" w:rsidP="002F5AF9">
      <w:r>
        <w:separator/>
      </w:r>
    </w:p>
  </w:endnote>
  <w:endnote w:type="continuationSeparator" w:id="0">
    <w:p w14:paraId="577AC504" w14:textId="77777777" w:rsidR="00AC72BB" w:rsidRDefault="00AC72BB" w:rsidP="002F5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6631090"/>
      <w:docPartObj>
        <w:docPartGallery w:val="Page Numbers (Bottom of Page)"/>
        <w:docPartUnique/>
      </w:docPartObj>
    </w:sdtPr>
    <w:sdtEndPr>
      <w:rPr>
        <w:rStyle w:val="PageNumber"/>
      </w:rPr>
    </w:sdtEndPr>
    <w:sdtContent>
      <w:p w14:paraId="77958482" w14:textId="08CE5A43" w:rsidR="002F5AF9" w:rsidRDefault="002F5AF9" w:rsidP="00672B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E30076" w14:textId="77777777" w:rsidR="002F5AF9" w:rsidRDefault="002F5AF9" w:rsidP="002F5A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4555968"/>
      <w:docPartObj>
        <w:docPartGallery w:val="Page Numbers (Bottom of Page)"/>
        <w:docPartUnique/>
      </w:docPartObj>
    </w:sdtPr>
    <w:sdtEndPr>
      <w:rPr>
        <w:rStyle w:val="PageNumber"/>
      </w:rPr>
    </w:sdtEndPr>
    <w:sdtContent>
      <w:p w14:paraId="39895B44" w14:textId="4D3AE0F9" w:rsidR="002F5AF9" w:rsidRDefault="002F5AF9" w:rsidP="00672B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43F7E2" w14:textId="77777777" w:rsidR="002F5AF9" w:rsidRDefault="002F5AF9" w:rsidP="002F5A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6A5CE" w14:textId="77777777" w:rsidR="00AC72BB" w:rsidRDefault="00AC72BB" w:rsidP="002F5AF9">
      <w:r>
        <w:separator/>
      </w:r>
    </w:p>
  </w:footnote>
  <w:footnote w:type="continuationSeparator" w:id="0">
    <w:p w14:paraId="1423B286" w14:textId="77777777" w:rsidR="00AC72BB" w:rsidRDefault="00AC72BB" w:rsidP="002F5A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17"/>
    <w:rsid w:val="000118E3"/>
    <w:rsid w:val="00031A83"/>
    <w:rsid w:val="00046368"/>
    <w:rsid w:val="00054227"/>
    <w:rsid w:val="00086B44"/>
    <w:rsid w:val="000E68F0"/>
    <w:rsid w:val="00150BB2"/>
    <w:rsid w:val="00155789"/>
    <w:rsid w:val="001B1455"/>
    <w:rsid w:val="001C465B"/>
    <w:rsid w:val="001C4775"/>
    <w:rsid w:val="001D394B"/>
    <w:rsid w:val="002D391B"/>
    <w:rsid w:val="002F5AF9"/>
    <w:rsid w:val="00322308"/>
    <w:rsid w:val="00374B6E"/>
    <w:rsid w:val="00375110"/>
    <w:rsid w:val="003B192F"/>
    <w:rsid w:val="003C2F0A"/>
    <w:rsid w:val="003D594E"/>
    <w:rsid w:val="003E470F"/>
    <w:rsid w:val="00445CF8"/>
    <w:rsid w:val="004628D3"/>
    <w:rsid w:val="004C034B"/>
    <w:rsid w:val="0055522D"/>
    <w:rsid w:val="0056135F"/>
    <w:rsid w:val="00564C60"/>
    <w:rsid w:val="00594097"/>
    <w:rsid w:val="005C1291"/>
    <w:rsid w:val="00613FFD"/>
    <w:rsid w:val="00665B55"/>
    <w:rsid w:val="00673FE3"/>
    <w:rsid w:val="006970C3"/>
    <w:rsid w:val="00701905"/>
    <w:rsid w:val="00722657"/>
    <w:rsid w:val="007344C8"/>
    <w:rsid w:val="0077477D"/>
    <w:rsid w:val="007A0534"/>
    <w:rsid w:val="007F306A"/>
    <w:rsid w:val="008520F9"/>
    <w:rsid w:val="00867711"/>
    <w:rsid w:val="008811A8"/>
    <w:rsid w:val="00886638"/>
    <w:rsid w:val="008A03E4"/>
    <w:rsid w:val="008C66F2"/>
    <w:rsid w:val="00911AFB"/>
    <w:rsid w:val="009615B5"/>
    <w:rsid w:val="009971D9"/>
    <w:rsid w:val="009D6E49"/>
    <w:rsid w:val="009E1629"/>
    <w:rsid w:val="00A250A5"/>
    <w:rsid w:val="00A412B7"/>
    <w:rsid w:val="00A61FE4"/>
    <w:rsid w:val="00AB6842"/>
    <w:rsid w:val="00AC72BB"/>
    <w:rsid w:val="00AF4CD5"/>
    <w:rsid w:val="00B432A7"/>
    <w:rsid w:val="00B77CC1"/>
    <w:rsid w:val="00BB391D"/>
    <w:rsid w:val="00C439A6"/>
    <w:rsid w:val="00C660EE"/>
    <w:rsid w:val="00CD0817"/>
    <w:rsid w:val="00D36131"/>
    <w:rsid w:val="00DB22B9"/>
    <w:rsid w:val="00DE4E4D"/>
    <w:rsid w:val="00E05168"/>
    <w:rsid w:val="00E52129"/>
    <w:rsid w:val="00F07FD8"/>
    <w:rsid w:val="00F4395B"/>
    <w:rsid w:val="00F75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FF009"/>
  <w15:chartTrackingRefBased/>
  <w15:docId w15:val="{BC17AB34-8623-8D4F-805D-76816C618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4E4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C1291"/>
  </w:style>
  <w:style w:type="character" w:styleId="Hyperlink">
    <w:name w:val="Hyperlink"/>
    <w:basedOn w:val="DefaultParagraphFont"/>
    <w:uiPriority w:val="99"/>
    <w:unhideWhenUsed/>
    <w:rsid w:val="00F07FD8"/>
    <w:rPr>
      <w:color w:val="0563C1" w:themeColor="hyperlink"/>
      <w:u w:val="single"/>
    </w:rPr>
  </w:style>
  <w:style w:type="character" w:styleId="UnresolvedMention">
    <w:name w:val="Unresolved Mention"/>
    <w:basedOn w:val="DefaultParagraphFont"/>
    <w:uiPriority w:val="99"/>
    <w:semiHidden/>
    <w:unhideWhenUsed/>
    <w:rsid w:val="00F07FD8"/>
    <w:rPr>
      <w:color w:val="605E5C"/>
      <w:shd w:val="clear" w:color="auto" w:fill="E1DFDD"/>
    </w:rPr>
  </w:style>
  <w:style w:type="character" w:customStyle="1" w:styleId="Heading1Char">
    <w:name w:val="Heading 1 Char"/>
    <w:basedOn w:val="DefaultParagraphFont"/>
    <w:link w:val="Heading1"/>
    <w:uiPriority w:val="9"/>
    <w:rsid w:val="00DE4E4D"/>
    <w:rPr>
      <w:rFonts w:ascii="Times New Roman" w:eastAsia="Times New Roman" w:hAnsi="Times New Roman" w:cs="Times New Roman"/>
      <w:b/>
      <w:bCs/>
      <w:kern w:val="36"/>
      <w:sz w:val="48"/>
      <w:szCs w:val="48"/>
      <w:lang w:eastAsia="en-GB"/>
    </w:rPr>
  </w:style>
  <w:style w:type="character" w:customStyle="1" w:styleId="authors">
    <w:name w:val="authors"/>
    <w:basedOn w:val="DefaultParagraphFont"/>
    <w:rsid w:val="007344C8"/>
  </w:style>
  <w:style w:type="character" w:customStyle="1" w:styleId="Date1">
    <w:name w:val="Date1"/>
    <w:basedOn w:val="DefaultParagraphFont"/>
    <w:rsid w:val="007344C8"/>
  </w:style>
  <w:style w:type="character" w:customStyle="1" w:styleId="arttitle">
    <w:name w:val="art_title"/>
    <w:basedOn w:val="DefaultParagraphFont"/>
    <w:rsid w:val="007344C8"/>
  </w:style>
  <w:style w:type="character" w:customStyle="1" w:styleId="serialtitle">
    <w:name w:val="serial_title"/>
    <w:basedOn w:val="DefaultParagraphFont"/>
    <w:rsid w:val="007344C8"/>
  </w:style>
  <w:style w:type="character" w:customStyle="1" w:styleId="volumeissue">
    <w:name w:val="volume_issue"/>
    <w:basedOn w:val="DefaultParagraphFont"/>
    <w:rsid w:val="007344C8"/>
  </w:style>
  <w:style w:type="character" w:customStyle="1" w:styleId="pagerange">
    <w:name w:val="page_range"/>
    <w:basedOn w:val="DefaultParagraphFont"/>
    <w:rsid w:val="007344C8"/>
  </w:style>
  <w:style w:type="character" w:customStyle="1" w:styleId="doilink">
    <w:name w:val="doi_link"/>
    <w:basedOn w:val="DefaultParagraphFont"/>
    <w:rsid w:val="007344C8"/>
  </w:style>
  <w:style w:type="character" w:styleId="FollowedHyperlink">
    <w:name w:val="FollowedHyperlink"/>
    <w:basedOn w:val="DefaultParagraphFont"/>
    <w:uiPriority w:val="99"/>
    <w:semiHidden/>
    <w:unhideWhenUsed/>
    <w:rsid w:val="007344C8"/>
    <w:rPr>
      <w:color w:val="954F72" w:themeColor="followedHyperlink"/>
      <w:u w:val="single"/>
    </w:rPr>
  </w:style>
  <w:style w:type="paragraph" w:styleId="Footer">
    <w:name w:val="footer"/>
    <w:basedOn w:val="Normal"/>
    <w:link w:val="FooterChar"/>
    <w:uiPriority w:val="99"/>
    <w:unhideWhenUsed/>
    <w:rsid w:val="002F5AF9"/>
    <w:pPr>
      <w:tabs>
        <w:tab w:val="center" w:pos="4513"/>
        <w:tab w:val="right" w:pos="9026"/>
      </w:tabs>
    </w:pPr>
  </w:style>
  <w:style w:type="character" w:customStyle="1" w:styleId="FooterChar">
    <w:name w:val="Footer Char"/>
    <w:basedOn w:val="DefaultParagraphFont"/>
    <w:link w:val="Footer"/>
    <w:uiPriority w:val="99"/>
    <w:rsid w:val="002F5AF9"/>
  </w:style>
  <w:style w:type="character" w:styleId="PageNumber">
    <w:name w:val="page number"/>
    <w:basedOn w:val="DefaultParagraphFont"/>
    <w:uiPriority w:val="99"/>
    <w:semiHidden/>
    <w:unhideWhenUsed/>
    <w:rsid w:val="002F5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1317324">
      <w:bodyDiv w:val="1"/>
      <w:marLeft w:val="0"/>
      <w:marRight w:val="0"/>
      <w:marTop w:val="0"/>
      <w:marBottom w:val="0"/>
      <w:divBdr>
        <w:top w:val="none" w:sz="0" w:space="0" w:color="auto"/>
        <w:left w:val="none" w:sz="0" w:space="0" w:color="auto"/>
        <w:bottom w:val="none" w:sz="0" w:space="0" w:color="auto"/>
        <w:right w:val="none" w:sz="0" w:space="0" w:color="auto"/>
      </w:divBdr>
    </w:div>
    <w:div w:id="853570727">
      <w:bodyDiv w:val="1"/>
      <w:marLeft w:val="0"/>
      <w:marRight w:val="0"/>
      <w:marTop w:val="0"/>
      <w:marBottom w:val="0"/>
      <w:divBdr>
        <w:top w:val="none" w:sz="0" w:space="0" w:color="auto"/>
        <w:left w:val="none" w:sz="0" w:space="0" w:color="auto"/>
        <w:bottom w:val="none" w:sz="0" w:space="0" w:color="auto"/>
        <w:right w:val="none" w:sz="0" w:space="0" w:color="auto"/>
      </w:divBdr>
    </w:div>
    <w:div w:id="869419050">
      <w:bodyDiv w:val="1"/>
      <w:marLeft w:val="0"/>
      <w:marRight w:val="0"/>
      <w:marTop w:val="0"/>
      <w:marBottom w:val="0"/>
      <w:divBdr>
        <w:top w:val="none" w:sz="0" w:space="0" w:color="auto"/>
        <w:left w:val="none" w:sz="0" w:space="0" w:color="auto"/>
        <w:bottom w:val="none" w:sz="0" w:space="0" w:color="auto"/>
        <w:right w:val="none" w:sz="0" w:space="0" w:color="auto"/>
      </w:divBdr>
    </w:div>
    <w:div w:id="902256693">
      <w:bodyDiv w:val="1"/>
      <w:marLeft w:val="0"/>
      <w:marRight w:val="0"/>
      <w:marTop w:val="0"/>
      <w:marBottom w:val="0"/>
      <w:divBdr>
        <w:top w:val="none" w:sz="0" w:space="0" w:color="auto"/>
        <w:left w:val="none" w:sz="0" w:space="0" w:color="auto"/>
        <w:bottom w:val="none" w:sz="0" w:space="0" w:color="auto"/>
        <w:right w:val="none" w:sz="0" w:space="0" w:color="auto"/>
      </w:divBdr>
    </w:div>
    <w:div w:id="983894183">
      <w:bodyDiv w:val="1"/>
      <w:marLeft w:val="0"/>
      <w:marRight w:val="0"/>
      <w:marTop w:val="0"/>
      <w:marBottom w:val="0"/>
      <w:divBdr>
        <w:top w:val="none" w:sz="0" w:space="0" w:color="auto"/>
        <w:left w:val="none" w:sz="0" w:space="0" w:color="auto"/>
        <w:bottom w:val="none" w:sz="0" w:space="0" w:color="auto"/>
        <w:right w:val="none" w:sz="0" w:space="0" w:color="auto"/>
      </w:divBdr>
    </w:div>
    <w:div w:id="1529761150">
      <w:bodyDiv w:val="1"/>
      <w:marLeft w:val="0"/>
      <w:marRight w:val="0"/>
      <w:marTop w:val="0"/>
      <w:marBottom w:val="0"/>
      <w:divBdr>
        <w:top w:val="none" w:sz="0" w:space="0" w:color="auto"/>
        <w:left w:val="none" w:sz="0" w:space="0" w:color="auto"/>
        <w:bottom w:val="none" w:sz="0" w:space="0" w:color="auto"/>
        <w:right w:val="none" w:sz="0" w:space="0" w:color="auto"/>
      </w:divBdr>
    </w:div>
    <w:div w:id="1638682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lawcom.gov.uk/app/uploads/2015/06/insanity_discussion_summary.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E512A-4790-ED4C-A8A2-BAAFB6645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5</Pages>
  <Words>1904</Words>
  <Characters>10856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Roberts</dc:creator>
  <cp:keywords/>
  <dc:description/>
  <cp:lastModifiedBy>Jack Roberts</cp:lastModifiedBy>
  <cp:revision>49</cp:revision>
  <cp:lastPrinted>2021-04-20T20:38:00Z</cp:lastPrinted>
  <dcterms:created xsi:type="dcterms:W3CDTF">2021-04-12T12:26:00Z</dcterms:created>
  <dcterms:modified xsi:type="dcterms:W3CDTF">2021-05-07T19:45:00Z</dcterms:modified>
</cp:coreProperties>
</file>