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E93DD9"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r w:rsidRPr="00F41E4F">
        <w:rPr>
          <w:rStyle w:val="normaltextrun"/>
          <w:rFonts w:ascii="Calibri" w:eastAsiaTheme="majorEastAsia" w:hAnsi="Calibri" w:cs="Calibri"/>
          <w:sz w:val="36"/>
          <w:szCs w:val="36"/>
        </w:rPr>
        <w:t>University of Wales Trinity Saint David</w:t>
      </w:r>
      <w:r w:rsidRPr="00F41E4F">
        <w:rPr>
          <w:rStyle w:val="eop"/>
          <w:rFonts w:ascii="Calibri" w:eastAsiaTheme="majorEastAsia" w:hAnsi="Calibri" w:cs="Calibri"/>
          <w:sz w:val="36"/>
          <w:szCs w:val="36"/>
        </w:rPr>
        <w:t> </w:t>
      </w:r>
    </w:p>
    <w:p w14:paraId="43F687A2" w14:textId="77777777" w:rsidR="00900DEC" w:rsidRPr="00F41E4F"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r w:rsidRPr="00F41E4F">
        <w:rPr>
          <w:rStyle w:val="normaltextrun"/>
          <w:rFonts w:ascii="Calibri" w:eastAsiaTheme="majorEastAsia" w:hAnsi="Calibri" w:cs="Calibri"/>
          <w:sz w:val="36"/>
          <w:szCs w:val="36"/>
        </w:rPr>
        <w:t>School of Engineering</w:t>
      </w:r>
      <w:r w:rsidRPr="00F41E4F">
        <w:rPr>
          <w:rStyle w:val="eop"/>
          <w:rFonts w:ascii="Calibri" w:eastAsiaTheme="majorEastAsia" w:hAnsi="Calibri" w:cs="Calibri"/>
          <w:sz w:val="36"/>
          <w:szCs w:val="36"/>
        </w:rPr>
        <w:t> </w:t>
      </w:r>
    </w:p>
    <w:p w14:paraId="63BE3342"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p>
    <w:p w14:paraId="12C149EA" w14:textId="77777777" w:rsidR="00900DEC" w:rsidRPr="00F41E4F" w:rsidRDefault="00900DEC" w:rsidP="00900DEC">
      <w:pPr>
        <w:pStyle w:val="paragraph"/>
        <w:spacing w:before="0" w:beforeAutospacing="0" w:after="0" w:afterAutospacing="0"/>
        <w:jc w:val="center"/>
        <w:textAlignment w:val="baseline"/>
        <w:rPr>
          <w:rStyle w:val="normaltextrun"/>
          <w:rFonts w:ascii="Calibri" w:eastAsiaTheme="majorEastAsia" w:hAnsi="Calibri" w:cs="Calibri"/>
          <w:sz w:val="36"/>
          <w:szCs w:val="36"/>
        </w:rPr>
      </w:pPr>
      <w:r w:rsidRPr="00F41E4F">
        <w:rPr>
          <w:rStyle w:val="normaltextrun"/>
          <w:rFonts w:ascii="Calibri" w:eastAsiaTheme="majorEastAsia" w:hAnsi="Calibri" w:cs="Calibri"/>
          <w:sz w:val="36"/>
          <w:szCs w:val="36"/>
        </w:rPr>
        <w:t>Technical Review of Powertrains For 2025</w:t>
      </w:r>
    </w:p>
    <w:p w14:paraId="1C3D4ECE"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p>
    <w:p w14:paraId="77050289"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r w:rsidRPr="00F41E4F">
        <w:rPr>
          <w:rStyle w:val="normaltextrun"/>
          <w:rFonts w:ascii="Calibri" w:eastAsiaTheme="majorEastAsia" w:hAnsi="Calibri" w:cs="Calibri"/>
          <w:sz w:val="36"/>
          <w:szCs w:val="36"/>
        </w:rPr>
        <w:t>Patrick Tobin</w:t>
      </w:r>
      <w:r w:rsidRPr="00F41E4F">
        <w:rPr>
          <w:rStyle w:val="eop"/>
          <w:rFonts w:ascii="Calibri" w:eastAsiaTheme="majorEastAsia" w:hAnsi="Calibri" w:cs="Calibri"/>
          <w:sz w:val="36"/>
          <w:szCs w:val="36"/>
        </w:rPr>
        <w:t> </w:t>
      </w:r>
    </w:p>
    <w:p w14:paraId="163F2979" w14:textId="77777777" w:rsidR="00900DEC" w:rsidRPr="00F41E4F"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r w:rsidRPr="00F41E4F">
        <w:rPr>
          <w:rStyle w:val="normaltextrun"/>
          <w:rFonts w:ascii="Calibri" w:eastAsiaTheme="majorEastAsia" w:hAnsi="Calibri" w:cs="Calibri"/>
          <w:sz w:val="36"/>
          <w:szCs w:val="36"/>
        </w:rPr>
        <w:t>P140983</w:t>
      </w:r>
      <w:r w:rsidRPr="00F41E4F">
        <w:rPr>
          <w:rStyle w:val="eop"/>
          <w:rFonts w:ascii="Calibri" w:eastAsiaTheme="majorEastAsia" w:hAnsi="Calibri" w:cs="Calibri"/>
          <w:sz w:val="36"/>
          <w:szCs w:val="36"/>
        </w:rPr>
        <w:t> </w:t>
      </w:r>
    </w:p>
    <w:p w14:paraId="1026C96C"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bookmarkStart w:id="0" w:name="_GoBack"/>
      <w:bookmarkEnd w:id="0"/>
    </w:p>
    <w:p w14:paraId="3B09EC22" w14:textId="77777777" w:rsidR="00900DEC" w:rsidRPr="00F41E4F" w:rsidRDefault="00900DEC" w:rsidP="00900DEC">
      <w:pPr>
        <w:pStyle w:val="paragraph"/>
        <w:spacing w:before="0" w:beforeAutospacing="0" w:after="0" w:afterAutospacing="0"/>
        <w:jc w:val="center"/>
        <w:textAlignment w:val="baseline"/>
        <w:rPr>
          <w:rStyle w:val="normaltextrun"/>
          <w:rFonts w:ascii="Calibri" w:eastAsiaTheme="majorEastAsia" w:hAnsi="Calibri" w:cs="Calibri"/>
          <w:sz w:val="36"/>
          <w:szCs w:val="36"/>
        </w:rPr>
      </w:pPr>
      <w:r w:rsidRPr="00F41E4F">
        <w:rPr>
          <w:rStyle w:val="normaltextrun"/>
          <w:rFonts w:ascii="Calibri" w:eastAsiaTheme="majorEastAsia" w:hAnsi="Calibri" w:cs="Calibri"/>
          <w:sz w:val="36"/>
          <w:szCs w:val="36"/>
        </w:rPr>
        <w:t>BEng Motorcycle Engineering</w:t>
      </w:r>
    </w:p>
    <w:p w14:paraId="06B49B2A" w14:textId="77777777" w:rsidR="00900DEC" w:rsidRPr="00F41E4F" w:rsidRDefault="00900DEC" w:rsidP="00900DEC">
      <w:pPr>
        <w:pStyle w:val="paragraph"/>
        <w:spacing w:before="0" w:beforeAutospacing="0" w:after="0" w:afterAutospacing="0"/>
        <w:jc w:val="center"/>
        <w:textAlignment w:val="baseline"/>
        <w:rPr>
          <w:rStyle w:val="normaltextrun"/>
          <w:rFonts w:ascii="Calibri" w:eastAsiaTheme="majorEastAsia" w:hAnsi="Calibri" w:cs="Calibri"/>
          <w:sz w:val="36"/>
          <w:szCs w:val="36"/>
        </w:rPr>
      </w:pPr>
    </w:p>
    <w:p w14:paraId="59B14052"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r w:rsidRPr="00F41E4F">
        <w:rPr>
          <w:rStyle w:val="normaltextrun"/>
          <w:rFonts w:ascii="Calibri" w:eastAsiaTheme="majorEastAsia" w:hAnsi="Calibri" w:cs="Calibri"/>
          <w:sz w:val="36"/>
          <w:szCs w:val="36"/>
        </w:rPr>
        <w:t xml:space="preserve">Powertrain &amp; Sustainability </w:t>
      </w:r>
      <w:r w:rsidRPr="00F41E4F">
        <w:rPr>
          <w:rStyle w:val="eop"/>
          <w:rFonts w:ascii="Calibri" w:eastAsiaTheme="majorEastAsia" w:hAnsi="Calibri" w:cs="Calibri"/>
          <w:sz w:val="36"/>
          <w:szCs w:val="36"/>
        </w:rPr>
        <w:t> </w:t>
      </w:r>
    </w:p>
    <w:p w14:paraId="7FFD6E1D" w14:textId="42571FA9"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r w:rsidRPr="00F41E4F">
        <w:rPr>
          <w:rStyle w:val="normaltextrun"/>
          <w:rFonts w:ascii="Calibri" w:eastAsiaTheme="majorEastAsia" w:hAnsi="Calibri" w:cs="Calibri"/>
          <w:sz w:val="36"/>
          <w:szCs w:val="36"/>
        </w:rPr>
        <w:t>M6X01206</w:t>
      </w:r>
      <w:r w:rsidRPr="00F41E4F">
        <w:rPr>
          <w:rStyle w:val="eop"/>
          <w:rFonts w:ascii="Calibri" w:eastAsiaTheme="majorEastAsia" w:hAnsi="Calibri" w:cs="Calibri"/>
          <w:sz w:val="36"/>
          <w:szCs w:val="36"/>
        </w:rPr>
        <w:t> </w:t>
      </w:r>
    </w:p>
    <w:p w14:paraId="236670D6" w14:textId="2C037E70"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1D16471C" w14:textId="7AB2CE64"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38A4CEA3" w14:textId="259803E1"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53D99F36" w14:textId="5EBDB79A"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2F3978BF" w14:textId="4AD9FD25"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27D15267" w14:textId="24530AB8"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20CEEB65" w14:textId="3D293E29"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724274C5" w14:textId="7A86AD83"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1BBB75D9" w14:textId="01A4D808"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2C006859" w14:textId="26AFF613"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478010C7" w14:textId="17108AA2"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70A32D09" w14:textId="3F039759"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07D20C86" w14:textId="20372655"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7EC64073" w14:textId="16A3771D"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181D466A" w14:textId="362310CC" w:rsidR="00900DEC" w:rsidRDefault="00900DEC" w:rsidP="00900DEC">
      <w:pPr>
        <w:pStyle w:val="paragraph"/>
        <w:spacing w:before="0" w:beforeAutospacing="0" w:after="0" w:afterAutospacing="0"/>
        <w:jc w:val="center"/>
        <w:textAlignment w:val="baseline"/>
        <w:rPr>
          <w:rStyle w:val="eop"/>
          <w:rFonts w:ascii="Calibri" w:eastAsiaTheme="majorEastAsia" w:hAnsi="Calibri" w:cs="Calibri"/>
          <w:sz w:val="36"/>
          <w:szCs w:val="36"/>
        </w:rPr>
      </w:pPr>
    </w:p>
    <w:p w14:paraId="7A48361A" w14:textId="77777777" w:rsidR="00900DEC" w:rsidRPr="00F41E4F" w:rsidRDefault="00900DEC" w:rsidP="00900DEC">
      <w:pPr>
        <w:pStyle w:val="paragraph"/>
        <w:spacing w:before="0" w:beforeAutospacing="0" w:after="0" w:afterAutospacing="0"/>
        <w:jc w:val="center"/>
        <w:textAlignment w:val="baseline"/>
        <w:rPr>
          <w:rFonts w:ascii="Segoe UI" w:hAnsi="Segoe UI" w:cs="Segoe UI"/>
          <w:sz w:val="36"/>
          <w:szCs w:val="36"/>
        </w:rPr>
      </w:pPr>
    </w:p>
    <w:p w14:paraId="3876570E" w14:textId="77777777" w:rsidR="00900DEC" w:rsidRDefault="00900DEC" w:rsidP="00900DEC"/>
    <w:p w14:paraId="54F34680" w14:textId="77777777" w:rsidR="00900DEC" w:rsidRDefault="00900DEC" w:rsidP="00697AB2">
      <w:pPr>
        <w:pStyle w:val="Heading1"/>
        <w:jc w:val="center"/>
      </w:pPr>
    </w:p>
    <w:p w14:paraId="7E6F8889" w14:textId="24D68684" w:rsidR="00FD396D" w:rsidRDefault="00697AB2" w:rsidP="00697AB2">
      <w:pPr>
        <w:pStyle w:val="Heading1"/>
        <w:jc w:val="center"/>
      </w:pPr>
      <w:r>
        <w:t>2025 Powertrain for Royals Royce</w:t>
      </w:r>
    </w:p>
    <w:p w14:paraId="3BA6FF3B" w14:textId="77777777" w:rsidR="00697AB2" w:rsidRPr="00697AB2" w:rsidRDefault="00697AB2" w:rsidP="00697AB2"/>
    <w:p w14:paraId="1352356E" w14:textId="42D2F603" w:rsidR="006A1DD3" w:rsidRDefault="006A1DD3" w:rsidP="006A1DD3">
      <w:r>
        <w:t xml:space="preserve">This is document outlining the reasons why I believe hydrogen fuel cells are the correct path for </w:t>
      </w:r>
      <w:r w:rsidR="00697AB2">
        <w:t>Royals Royce</w:t>
      </w:r>
      <w:r>
        <w:t xml:space="preserve"> to take in the future to maintain compliance with changing emission regulations. </w:t>
      </w:r>
    </w:p>
    <w:p w14:paraId="6F05653C" w14:textId="04AF3E31" w:rsidR="006A1DD3" w:rsidRPr="006A1DD3" w:rsidRDefault="00697AB2" w:rsidP="006A1DD3">
      <w:r>
        <w:t xml:space="preserve">The reasons why I believe Royals Royce should take up hydrogen fuel cells are the current high cost of hydrogen fuel cars wouldn’t put potential buyers off as any additional cost would be negligible in comparison to the overall cost of a current petrol car. A hydrogen car is practically silent, silence within the cabin is a selling point for the company already. Below ill outline the feasibility of hydrogen cars and why they are a better option that the alternatives. </w:t>
      </w:r>
    </w:p>
    <w:p w14:paraId="1036818B" w14:textId="142188CC" w:rsidR="006A46E1" w:rsidRPr="006A46E1" w:rsidRDefault="43F09281" w:rsidP="43F09281">
      <w:r w:rsidRPr="006A46E1">
        <w:t xml:space="preserve">Europe relies heavily on oil, there is a strong political agenda to move away from this dependants as transport in Europe is 94% dependent on oil, 84% of the oil used in the EU is imported at a cost of 1 billion per day. </w:t>
      </w:r>
      <w:sdt>
        <w:sdtPr>
          <w:id w:val="-117534099"/>
          <w:citation/>
        </w:sdtPr>
        <w:sdtContent>
          <w:r w:rsidR="006A46E1">
            <w:fldChar w:fldCharType="begin"/>
          </w:r>
          <w:r w:rsidR="006A46E1">
            <w:instrText xml:space="preserve"> CITATION Eur185 \l 2057 </w:instrText>
          </w:r>
          <w:r w:rsidR="006A46E1">
            <w:fldChar w:fldCharType="separate"/>
          </w:r>
          <w:r w:rsidR="006A46E1">
            <w:rPr>
              <w:noProof/>
            </w:rPr>
            <w:t>(European Commision, 2018)</w:t>
          </w:r>
          <w:r w:rsidR="006A46E1">
            <w:fldChar w:fldCharType="end"/>
          </w:r>
        </w:sdtContent>
      </w:sdt>
      <w:r w:rsidR="00C34356">
        <w:t xml:space="preserve"> </w:t>
      </w:r>
      <w:r w:rsidR="00C34356" w:rsidRPr="00C34356">
        <w:t xml:space="preserve">The dependence on oil leaves European countries, and companies at the mercy of oil rich countries like Russia and the UAE.   </w:t>
      </w:r>
    </w:p>
    <w:p w14:paraId="554A3039" w14:textId="2FE6D7C6" w:rsidR="005169F6" w:rsidRDefault="43F09281" w:rsidP="43F09281">
      <w:r w:rsidRPr="006A46E1">
        <w:lastRenderedPageBreak/>
        <w:t>At present, the market development of alternative fuels is still held back by technological and commercial short-comings, lack of consumer</w:t>
      </w:r>
      <w:r w:rsidR="00C34356">
        <w:t xml:space="preserve"> acceptance and missing</w:t>
      </w:r>
      <w:r w:rsidRPr="006A46E1">
        <w:t xml:space="preserve"> infrastructure.</w:t>
      </w:r>
      <w:r w:rsidR="00C34356">
        <w:t xml:space="preserve"> </w:t>
      </w:r>
      <w:r w:rsidRPr="006A46E1">
        <w:t>European commission recognises the benefits of parallel and series hy</w:t>
      </w:r>
      <w:r w:rsidR="00C34356">
        <w:t xml:space="preserve">brids but are, </w:t>
      </w:r>
      <w:r w:rsidRPr="006A46E1">
        <w:t>class them as</w:t>
      </w:r>
      <w:r w:rsidR="00C34356">
        <w:t xml:space="preserve"> an alternative fuel technology, because of this I believe they have a shelf life. </w:t>
      </w:r>
    </w:p>
    <w:p w14:paraId="45F09FA5" w14:textId="4E6DB9D4" w:rsidR="00C34356" w:rsidRDefault="00C34356" w:rsidP="43F09281">
      <w:r>
        <w:t>I believe the answer for the automobile lies in hydrogen fuel cells, while pure electric vehicles are currently popular the long charging times, production drawbacks and battery recycling rule them out. Long distance journeys would require charging at motorway services, 30 minute per charge even with a dozen charge points would create long queues.</w:t>
      </w:r>
      <w:r w:rsidR="003D5BC9" w:rsidRPr="003D5BC9">
        <w:t xml:space="preserve"> The only way mass roll out of PEHV will work is with V2G vehicle to grid. This creates the problem of battery degradation.</w:t>
      </w:r>
      <w:r w:rsidR="003D5BC9">
        <w:t xml:space="preserve"> Constant cycling would shorten the life span.</w:t>
      </w:r>
    </w:p>
    <w:p w14:paraId="627EC864" w14:textId="328D716C" w:rsidR="003D5BC9" w:rsidRDefault="003D5BC9" w:rsidP="43F09281">
      <w:r w:rsidRPr="003D5BC9">
        <w:t>The way in which the electricity needed to power electric vehicles is produced i</w:t>
      </w:r>
      <w:r>
        <w:t>s an important factor. In the UK</w:t>
      </w:r>
      <w:r w:rsidRPr="003D5BC9">
        <w:t xml:space="preserve"> where most of the electricity produced is relatively clean an electric cars overall environmental impact will be less than an ICE. That same vehicle in somewhere like china who rely on coal energy could potentially be more polluting than a standard ICE.</w:t>
      </w:r>
    </w:p>
    <w:p w14:paraId="4AA24710" w14:textId="15C1A355" w:rsidR="00C34356" w:rsidRPr="006A46E1" w:rsidRDefault="00C34356" w:rsidP="43F09281">
      <w:r>
        <w:t xml:space="preserve">Hydrogen </w:t>
      </w:r>
      <w:r w:rsidR="003D5BC9">
        <w:t xml:space="preserve">re-fuelling is in line with that of petrol, about five minutes. The modern world is fast paced, consumers have become accustom to getting products and services quickly. Long charging times will never be attractive, I believe consumers will choose the more convenient option even at a higher cost. </w:t>
      </w:r>
    </w:p>
    <w:p w14:paraId="544E1136" w14:textId="7BAB077E" w:rsidR="00857A46" w:rsidRDefault="003F341F" w:rsidP="00D71911">
      <w:r w:rsidRPr="006A46E1">
        <w:t>The</w:t>
      </w:r>
      <w:r w:rsidR="43F09281" w:rsidRPr="006A46E1">
        <w:t xml:space="preserve"> main issues are high cost of fuel cells and the absence of a refuelling infrastructure network. Industry studies indicate that costs can be reduced to the levels of conventional petrol</w:t>
      </w:r>
      <w:r w:rsidR="006A46E1">
        <w:t xml:space="preserve"> and diesel vehicles by 2025</w:t>
      </w:r>
      <w:r w:rsidR="43F09281" w:rsidRPr="006A46E1">
        <w:t>.</w:t>
      </w:r>
      <w:r w:rsidR="003D5BC9">
        <w:t xml:space="preserve"> </w:t>
      </w:r>
      <w:r w:rsidR="03AF024D">
        <w:t xml:space="preserve">The </w:t>
      </w:r>
      <w:r>
        <w:t>EU</w:t>
      </w:r>
      <w:r w:rsidR="03AF024D">
        <w:t xml:space="preserve"> has a directive on the deployment of alternative fuels, it’s a Europe 2020 strategy for ensuring the development of infrastructure for alternative fuels and the implementation of common technical specifications.  </w:t>
      </w:r>
      <w:sdt>
        <w:sdtPr>
          <w:id w:val="-1753885739"/>
          <w:citation/>
        </w:sdtPr>
        <w:sdtContent>
          <w:r w:rsidR="003D5BC9">
            <w:fldChar w:fldCharType="begin"/>
          </w:r>
          <w:r w:rsidR="003D5BC9">
            <w:instrText xml:space="preserve"> CITATION Eur182 \l 2057 </w:instrText>
          </w:r>
          <w:r w:rsidR="003D5BC9">
            <w:fldChar w:fldCharType="separate"/>
          </w:r>
          <w:r w:rsidR="003D5BC9">
            <w:rPr>
              <w:noProof/>
            </w:rPr>
            <w:t>(European Commision, 2018)</w:t>
          </w:r>
          <w:r w:rsidR="003D5BC9">
            <w:fldChar w:fldCharType="end"/>
          </w:r>
        </w:sdtContent>
      </w:sdt>
      <w:r w:rsidR="03AF024D">
        <w:t xml:space="preserve"> </w:t>
      </w:r>
    </w:p>
    <w:p w14:paraId="51F715C4" w14:textId="77777777" w:rsidR="00B25798" w:rsidRDefault="43F09281" w:rsidP="00D71911">
      <w:r>
        <w:t xml:space="preserve">The development of infrastructure would break the current deadlock and allow market penetration of hydrogen vehicles.  As it stands there are few fuelling points being built because there aren’t enough vehicles to use them, manufactures don’t produce them at competitive prices because consumer demand is low and inconsequence consumers don’t purchase them.   </w:t>
      </w:r>
    </w:p>
    <w:p w14:paraId="61599A74" w14:textId="1AF6A8BD" w:rsidR="43F09281" w:rsidRDefault="43F09281" w:rsidP="43F09281">
      <w:r>
        <w:t>China has plans to build a hydrogen infrastructure with 300 hydrogen refuel stations planned for 2025. This lays the foundation for the predicted 50,000 fuel cell vehicles, 10,000 of which will be for commercial vehicles. The commercial fleet will be at 3000 by 2050.</w:t>
      </w:r>
      <w:r w:rsidR="006A46E1">
        <w:t xml:space="preserve"> </w:t>
      </w:r>
      <w:sdt>
        <w:sdtPr>
          <w:id w:val="-2063313819"/>
          <w:citation/>
        </w:sdtPr>
        <w:sdtContent>
          <w:r w:rsidR="006A46E1">
            <w:fldChar w:fldCharType="begin"/>
          </w:r>
          <w:r w:rsidR="006A46E1">
            <w:instrText xml:space="preserve"> CITATION Ada18 \l 2057 </w:instrText>
          </w:r>
          <w:r w:rsidR="006A46E1">
            <w:fldChar w:fldCharType="separate"/>
          </w:r>
          <w:r w:rsidR="006A46E1">
            <w:rPr>
              <w:noProof/>
            </w:rPr>
            <w:t>(Chase, 2018)</w:t>
          </w:r>
          <w:r w:rsidR="006A46E1">
            <w:fldChar w:fldCharType="end"/>
          </w:r>
        </w:sdtContent>
      </w:sdt>
    </w:p>
    <w:p w14:paraId="5725300F" w14:textId="71978D9B" w:rsidR="43F09281" w:rsidRDefault="43F09281" w:rsidP="43F09281">
      <w:pPr>
        <w:pStyle w:val="ListParagraph"/>
        <w:numPr>
          <w:ilvl w:val="0"/>
          <w:numId w:val="1"/>
        </w:numPr>
      </w:pPr>
      <w:r w:rsidRPr="43F09281">
        <w:rPr>
          <w:rFonts w:ascii="Calibri" w:eastAsia="Calibri" w:hAnsi="Calibri" w:cs="Calibri"/>
        </w:rPr>
        <w:t>Bans and limited access for ICE</w:t>
      </w:r>
    </w:p>
    <w:p w14:paraId="4BCC1927" w14:textId="5310171E" w:rsidR="43F09281" w:rsidRDefault="43F09281" w:rsidP="43F09281">
      <w:pPr>
        <w:pStyle w:val="ListParagraph"/>
        <w:numPr>
          <w:ilvl w:val="0"/>
          <w:numId w:val="1"/>
        </w:numPr>
      </w:pPr>
      <w:r w:rsidRPr="43F09281">
        <w:rPr>
          <w:rFonts w:ascii="Calibri" w:eastAsia="Calibri" w:hAnsi="Calibri" w:cs="Calibri"/>
        </w:rPr>
        <w:t>TCO needs to reach that of ICE</w:t>
      </w:r>
    </w:p>
    <w:p w14:paraId="2A672823" w14:textId="1EE0C443" w:rsidR="43F09281" w:rsidRDefault="43F09281" w:rsidP="43F09281">
      <w:pPr>
        <w:pStyle w:val="ListParagraph"/>
        <w:numPr>
          <w:ilvl w:val="0"/>
          <w:numId w:val="1"/>
        </w:numPr>
      </w:pPr>
      <w:r w:rsidRPr="43F09281">
        <w:rPr>
          <w:rFonts w:ascii="Calibri" w:eastAsia="Calibri" w:hAnsi="Calibri" w:cs="Calibri"/>
        </w:rPr>
        <w:t xml:space="preserve">Inner city regulations to impact 66 million vehicles </w:t>
      </w:r>
    </w:p>
    <w:p w14:paraId="6E646D5F" w14:textId="68C6B1B5" w:rsidR="43F09281" w:rsidRDefault="43F09281" w:rsidP="43F09281">
      <w:pPr>
        <w:pStyle w:val="ListParagraph"/>
        <w:numPr>
          <w:ilvl w:val="0"/>
          <w:numId w:val="1"/>
        </w:numPr>
      </w:pPr>
      <w:r w:rsidRPr="43F09281">
        <w:rPr>
          <w:rFonts w:ascii="Calibri" w:eastAsia="Calibri" w:hAnsi="Calibri" w:cs="Calibri"/>
        </w:rPr>
        <w:t>Battery electric vehicles are expected to dominate after 2020</w:t>
      </w:r>
    </w:p>
    <w:p w14:paraId="33B27D60" w14:textId="16D03DFD" w:rsidR="43F09281" w:rsidRDefault="43F09281" w:rsidP="43F09281">
      <w:pPr>
        <w:pStyle w:val="ListParagraph"/>
        <w:numPr>
          <w:ilvl w:val="0"/>
          <w:numId w:val="1"/>
        </w:numPr>
      </w:pPr>
      <w:r w:rsidRPr="43F09281">
        <w:rPr>
          <w:rFonts w:ascii="Calibri" w:eastAsia="Calibri" w:hAnsi="Calibri" w:cs="Calibri"/>
        </w:rPr>
        <w:t>PHEV will bridge the gap in technology but are not a long term solution</w:t>
      </w:r>
    </w:p>
    <w:p w14:paraId="7500754C" w14:textId="275975A8" w:rsidR="00857271" w:rsidRDefault="00857271" w:rsidP="00D71911"/>
    <w:p w14:paraId="40E045D0" w14:textId="77777777" w:rsidR="00857271" w:rsidRDefault="00857271" w:rsidP="00D71911"/>
    <w:p w14:paraId="2CBADC6C" w14:textId="05FFAB38" w:rsidR="00091F80" w:rsidRPr="003D5BC9" w:rsidRDefault="003D5BC9" w:rsidP="43F09281">
      <w:proofErr w:type="spellStart"/>
      <w:r>
        <w:t>IDTechEx</w:t>
      </w:r>
      <w:proofErr w:type="spellEnd"/>
      <w:r>
        <w:t xml:space="preserve"> </w:t>
      </w:r>
      <w:r w:rsidR="03AF024D">
        <w:t xml:space="preserve">Believes that the rush in development and production of high energy density batteries </w:t>
      </w:r>
      <w:r w:rsidR="003F341F">
        <w:t>particularly</w:t>
      </w:r>
      <w:r w:rsidR="03AF024D">
        <w:t xml:space="preserve"> lithium ion batteries will </w:t>
      </w:r>
      <w:r w:rsidR="003F341F">
        <w:t xml:space="preserve">ultimately </w:t>
      </w:r>
      <w:r w:rsidR="03AF024D">
        <w:t xml:space="preserve">culminated in disaster as only 10 of the 500 companies in production can produce safe, large batteries in the required time scale. </w:t>
      </w:r>
      <w:sdt>
        <w:sdtPr>
          <w:id w:val="-40526309"/>
          <w:citation/>
        </w:sdtPr>
        <w:sdtContent>
          <w:r w:rsidR="006A46E1">
            <w:fldChar w:fldCharType="begin"/>
          </w:r>
          <w:r w:rsidR="006A46E1">
            <w:instrText xml:space="preserve"> CITATION DrP18 \l 2057 </w:instrText>
          </w:r>
          <w:r w:rsidR="006A46E1">
            <w:fldChar w:fldCharType="separate"/>
          </w:r>
          <w:r w:rsidR="006A46E1">
            <w:rPr>
              <w:noProof/>
            </w:rPr>
            <w:t>(Harrop, 2018)</w:t>
          </w:r>
          <w:r w:rsidR="006A46E1">
            <w:fldChar w:fldCharType="end"/>
          </w:r>
        </w:sdtContent>
      </w:sdt>
    </w:p>
    <w:p w14:paraId="28CC0BF4" w14:textId="6DA9EFFA" w:rsidR="43F09281" w:rsidRPr="003F341F" w:rsidRDefault="03AF024D" w:rsidP="43F09281">
      <w:r>
        <w:t xml:space="preserve">There's a strong growing market for hydrogen cars in </w:t>
      </w:r>
      <w:r w:rsidR="003F341F">
        <w:t>Asia</w:t>
      </w:r>
      <w:r>
        <w:t xml:space="preserve">, </w:t>
      </w:r>
      <w:r w:rsidR="003F341F">
        <w:t>Toyota</w:t>
      </w:r>
      <w:r>
        <w:t xml:space="preserve"> </w:t>
      </w:r>
      <w:r w:rsidR="003F341F">
        <w:t>Honda</w:t>
      </w:r>
      <w:r>
        <w:t xml:space="preserve"> and </w:t>
      </w:r>
      <w:r w:rsidR="003F341F">
        <w:t>Nissan</w:t>
      </w:r>
      <w:r>
        <w:t xml:space="preserve"> all investing in its development</w:t>
      </w:r>
      <w:r w:rsidR="003F341F">
        <w:t>, china’s</w:t>
      </w:r>
      <w:r>
        <w:t xml:space="preserve"> goal of 10,000 cars by 2025. The initial cost of hydrogen is high due to the difficulty in storage, but as gasoline vehicles are phased out over time there wi</w:t>
      </w:r>
      <w:r w:rsidR="006A1DD3">
        <w:t>ll be limited choice, PHEV &amp; BEV</w:t>
      </w:r>
      <w:r>
        <w:t xml:space="preserve"> or hydrogen fuel cells. With current charging times </w:t>
      </w:r>
      <w:r w:rsidR="003F341F">
        <w:t>of electric</w:t>
      </w:r>
      <w:r>
        <w:t xml:space="preserve"> vehicles being 3-4 hours there is the possibility of reducing that to 30-40 </w:t>
      </w:r>
      <w:r w:rsidR="003F341F">
        <w:t>minutes</w:t>
      </w:r>
      <w:r>
        <w:t xml:space="preserve">, but that's still far too long to fill up. Hydrogen cars take 5 minutes to fill up, the current range is 250km, </w:t>
      </w:r>
      <w:r w:rsidR="003D5BC9">
        <w:t>and Toyota</w:t>
      </w:r>
      <w:r>
        <w:t xml:space="preserve"> aims to improve this to 300km to compensate for </w:t>
      </w:r>
      <w:r w:rsidR="003F341F">
        <w:t>driver habits</w:t>
      </w:r>
      <w:r>
        <w:t xml:space="preserve"> like </w:t>
      </w:r>
      <w:proofErr w:type="spellStart"/>
      <w:r>
        <w:t>aircon</w:t>
      </w:r>
      <w:proofErr w:type="spellEnd"/>
      <w:r>
        <w:t xml:space="preserve"> and inefficient acceleration. </w:t>
      </w:r>
    </w:p>
    <w:p w14:paraId="5A6EF5B1" w14:textId="413D2FE6" w:rsidR="03AF024D" w:rsidRPr="003D5BC9" w:rsidRDefault="006A1DD3" w:rsidP="03AF024D">
      <w:r>
        <w:t>According to a UK</w:t>
      </w:r>
      <w:r w:rsidR="03AF024D">
        <w:t xml:space="preserve"> government study over 1.5 mill</w:t>
      </w:r>
      <w:r>
        <w:t>ion hydrogen cars could be on UK</w:t>
      </w:r>
      <w:r w:rsidR="03AF024D">
        <w:t xml:space="preserve"> roads by 2030, with annual sales of 300,000. To supply this an initial 65 station build in strategically chosen locations growing to 1150 by 2030. This suggest that a </w:t>
      </w:r>
      <w:r w:rsidR="003F341F">
        <w:t>well-developed</w:t>
      </w:r>
      <w:r w:rsidR="03AF024D">
        <w:t xml:space="preserve"> and growing hydrogen infrastructure will be in place by 2025. Future prediction is a market share of 50% by 2050. The amount of CO2 produced by a hydrogen car when fuel production is considered is 60% less than that of a diesel. </w:t>
      </w:r>
      <w:sdt>
        <w:sdtPr>
          <w:id w:val="-1189449782"/>
          <w:citation/>
        </w:sdtPr>
        <w:sdtContent>
          <w:r w:rsidR="00F67300">
            <w:fldChar w:fldCharType="begin"/>
          </w:r>
          <w:r w:rsidR="00F67300">
            <w:instrText xml:space="preserve"> CITATION Dep181 \l 2057 </w:instrText>
          </w:r>
          <w:r w:rsidR="00F67300">
            <w:fldChar w:fldCharType="separate"/>
          </w:r>
          <w:r w:rsidR="00F67300">
            <w:rPr>
              <w:noProof/>
            </w:rPr>
            <w:t>(Department of Transport, 2018)</w:t>
          </w:r>
          <w:r w:rsidR="00F67300">
            <w:fldChar w:fldCharType="end"/>
          </w:r>
        </w:sdtContent>
      </w:sdt>
    </w:p>
    <w:p w14:paraId="4EC52514" w14:textId="515D0548" w:rsidR="03AF024D" w:rsidRDefault="003F341F" w:rsidP="03AF024D">
      <w:r>
        <w:t>Hydrogen</w:t>
      </w:r>
      <w:r w:rsidR="03AF024D">
        <w:t xml:space="preserve"> fuel cell technology has long term sustainability, early investors   </w:t>
      </w:r>
    </w:p>
    <w:p w14:paraId="02AEBE0D" w14:textId="588D3FFC" w:rsidR="03AF024D" w:rsidRDefault="03AF024D" w:rsidP="03AF024D">
      <w:r>
        <w:t xml:space="preserve">Birmingham city </w:t>
      </w:r>
      <w:r w:rsidR="003F341F">
        <w:t>council</w:t>
      </w:r>
      <w:r>
        <w:t xml:space="preserve"> and transport for </w:t>
      </w:r>
      <w:r w:rsidR="003F341F">
        <w:t>London</w:t>
      </w:r>
      <w:r>
        <w:t xml:space="preserve"> are planning on introducing 42 hydrogen fuel cell buses by 2019. </w:t>
      </w:r>
    </w:p>
    <w:p w14:paraId="6A4762C4" w14:textId="0393C080" w:rsidR="03AF024D" w:rsidRDefault="03AF024D" w:rsidP="03AF024D">
      <w:r>
        <w:t>March 26</w:t>
      </w:r>
      <w:r w:rsidRPr="03AF024D">
        <w:rPr>
          <w:vertAlign w:val="superscript"/>
        </w:rPr>
        <w:t>th</w:t>
      </w:r>
      <w:r>
        <w:t xml:space="preserve"> 2018 the </w:t>
      </w:r>
      <w:proofErr w:type="spellStart"/>
      <w:proofErr w:type="gramStart"/>
      <w:r>
        <w:t>uk</w:t>
      </w:r>
      <w:proofErr w:type="spellEnd"/>
      <w:proofErr w:type="gramEnd"/>
      <w:r>
        <w:t xml:space="preserve"> government announced funding for 200 new taxis and police cars which will run on hydrogen, this will include the building of new fuel stations. </w:t>
      </w:r>
      <w:sdt>
        <w:sdtPr>
          <w:id w:val="-944295666"/>
          <w:citation/>
        </w:sdtPr>
        <w:sdtContent>
          <w:r w:rsidR="003D5BC9">
            <w:fldChar w:fldCharType="begin"/>
          </w:r>
          <w:r w:rsidR="003D5BC9">
            <w:instrText xml:space="preserve"> CITATION Dep18 \l 2057 </w:instrText>
          </w:r>
          <w:r w:rsidR="003D5BC9">
            <w:fldChar w:fldCharType="separate"/>
          </w:r>
          <w:r w:rsidR="003D5BC9">
            <w:rPr>
              <w:noProof/>
            </w:rPr>
            <w:t>(Department fo Transport, 2018)</w:t>
          </w:r>
          <w:r w:rsidR="003D5BC9">
            <w:fldChar w:fldCharType="end"/>
          </w:r>
        </w:sdtContent>
      </w:sdt>
    </w:p>
    <w:p w14:paraId="1BF9D8D7" w14:textId="77777777" w:rsidR="007D5010" w:rsidRDefault="007D2329" w:rsidP="03AF024D">
      <w:pPr>
        <w:rPr>
          <w:rFonts w:ascii="Calibri" w:eastAsia="Calibri" w:hAnsi="Calibri" w:cs="Calibri"/>
        </w:rPr>
      </w:pPr>
      <w:r>
        <w:rPr>
          <w:rFonts w:ascii="Calibri" w:eastAsia="Calibri" w:hAnsi="Calibri" w:cs="Calibri"/>
        </w:rPr>
        <w:lastRenderedPageBreak/>
        <w:t xml:space="preserve">According to </w:t>
      </w:r>
      <w:sdt>
        <w:sdtPr>
          <w:rPr>
            <w:rFonts w:ascii="Calibri" w:eastAsia="Calibri" w:hAnsi="Calibri" w:cs="Calibri"/>
          </w:rPr>
          <w:id w:val="1018277367"/>
          <w:citation/>
        </w:sdtPr>
        <w:sdtContent>
          <w:r>
            <w:rPr>
              <w:rFonts w:ascii="Calibri" w:eastAsia="Calibri" w:hAnsi="Calibri" w:cs="Calibri"/>
            </w:rPr>
            <w:fldChar w:fldCharType="begin"/>
          </w:r>
          <w:r>
            <w:rPr>
              <w:rFonts w:ascii="Calibri" w:eastAsia="Calibri" w:hAnsi="Calibri" w:cs="Calibri"/>
            </w:rPr>
            <w:instrText xml:space="preserve"> CITATION Tia17 \l 2057 </w:instrText>
          </w:r>
          <w:r>
            <w:rPr>
              <w:rFonts w:ascii="Calibri" w:eastAsia="Calibri" w:hAnsi="Calibri" w:cs="Calibri"/>
            </w:rPr>
            <w:fldChar w:fldCharType="separate"/>
          </w:r>
          <w:r w:rsidRPr="007D2329">
            <w:rPr>
              <w:rFonts w:ascii="Calibri" w:eastAsia="Calibri" w:hAnsi="Calibri" w:cs="Calibri"/>
              <w:noProof/>
            </w:rPr>
            <w:t>(sinigaglia, 2017)</w:t>
          </w:r>
          <w:r>
            <w:rPr>
              <w:rFonts w:ascii="Calibri" w:eastAsia="Calibri" w:hAnsi="Calibri" w:cs="Calibri"/>
            </w:rPr>
            <w:fldChar w:fldCharType="end"/>
          </w:r>
        </w:sdtContent>
      </w:sdt>
      <w:r w:rsidR="007D5010">
        <w:rPr>
          <w:rFonts w:ascii="Calibri" w:eastAsia="Calibri" w:hAnsi="Calibri" w:cs="Calibri"/>
        </w:rPr>
        <w:t xml:space="preserve"> the conversion</w:t>
      </w:r>
      <w:r>
        <w:rPr>
          <w:rFonts w:ascii="Calibri" w:eastAsia="Calibri" w:hAnsi="Calibri" w:cs="Calibri"/>
        </w:rPr>
        <w:t xml:space="preserve"> of hydrogen </w:t>
      </w:r>
      <w:r w:rsidR="007D5010">
        <w:rPr>
          <w:rFonts w:ascii="Calibri" w:eastAsia="Calibri" w:hAnsi="Calibri" w:cs="Calibri"/>
        </w:rPr>
        <w:t xml:space="preserve">gas </w:t>
      </w:r>
      <w:r>
        <w:rPr>
          <w:rFonts w:ascii="Calibri" w:eastAsia="Calibri" w:hAnsi="Calibri" w:cs="Calibri"/>
        </w:rPr>
        <w:t xml:space="preserve">to </w:t>
      </w:r>
      <w:r w:rsidR="007D5010">
        <w:rPr>
          <w:rFonts w:ascii="Calibri" w:eastAsia="Calibri" w:hAnsi="Calibri" w:cs="Calibri"/>
        </w:rPr>
        <w:t xml:space="preserve">electricity in a </w:t>
      </w:r>
      <w:r>
        <w:rPr>
          <w:rFonts w:ascii="Calibri" w:eastAsia="Calibri" w:hAnsi="Calibri" w:cs="Calibri"/>
        </w:rPr>
        <w:t xml:space="preserve">fuel cell </w:t>
      </w:r>
      <w:r w:rsidR="007D5010">
        <w:rPr>
          <w:rFonts w:ascii="Calibri" w:eastAsia="Calibri" w:hAnsi="Calibri" w:cs="Calibri"/>
        </w:rPr>
        <w:t xml:space="preserve">is at 60% efficiency. Battery to wheel is currently at 80% efficiency. Toyota </w:t>
      </w:r>
      <w:proofErr w:type="spellStart"/>
      <w:r w:rsidR="007D5010">
        <w:rPr>
          <w:rFonts w:ascii="Calibri" w:eastAsia="Calibri" w:hAnsi="Calibri" w:cs="Calibri"/>
        </w:rPr>
        <w:t>Miria</w:t>
      </w:r>
      <w:proofErr w:type="spellEnd"/>
      <w:r w:rsidR="007D5010">
        <w:rPr>
          <w:rFonts w:ascii="Calibri" w:eastAsia="Calibri" w:hAnsi="Calibri" w:cs="Calibri"/>
        </w:rPr>
        <w:t xml:space="preserve"> specification </w:t>
      </w:r>
      <w:sdt>
        <w:sdtPr>
          <w:rPr>
            <w:rFonts w:ascii="Calibri" w:eastAsia="Calibri" w:hAnsi="Calibri" w:cs="Calibri"/>
          </w:rPr>
          <w:id w:val="1746985047"/>
          <w:citation/>
        </w:sdtPr>
        <w:sdtContent>
          <w:r w:rsidR="007D5010">
            <w:rPr>
              <w:rFonts w:ascii="Calibri" w:eastAsia="Calibri" w:hAnsi="Calibri" w:cs="Calibri"/>
            </w:rPr>
            <w:fldChar w:fldCharType="begin"/>
          </w:r>
          <w:r w:rsidR="007D5010">
            <w:rPr>
              <w:rFonts w:ascii="Calibri" w:eastAsia="Calibri" w:hAnsi="Calibri" w:cs="Calibri"/>
            </w:rPr>
            <w:instrText xml:space="preserve"> CITATION Toy18 \l 2057 </w:instrText>
          </w:r>
          <w:r w:rsidR="007D5010">
            <w:rPr>
              <w:rFonts w:ascii="Calibri" w:eastAsia="Calibri" w:hAnsi="Calibri" w:cs="Calibri"/>
            </w:rPr>
            <w:fldChar w:fldCharType="separate"/>
          </w:r>
          <w:r w:rsidR="007D5010" w:rsidRPr="007D5010">
            <w:rPr>
              <w:rFonts w:ascii="Calibri" w:eastAsia="Calibri" w:hAnsi="Calibri" w:cs="Calibri"/>
              <w:noProof/>
            </w:rPr>
            <w:t>(Toyota, 2018)</w:t>
          </w:r>
          <w:r w:rsidR="007D5010">
            <w:rPr>
              <w:rFonts w:ascii="Calibri" w:eastAsia="Calibri" w:hAnsi="Calibri" w:cs="Calibri"/>
            </w:rPr>
            <w:fldChar w:fldCharType="end"/>
          </w:r>
        </w:sdtContent>
      </w:sdt>
      <w:r w:rsidR="007D5010">
        <w:rPr>
          <w:rFonts w:ascii="Calibri" w:eastAsia="Calibri" w:hAnsi="Calibri" w:cs="Calibri"/>
        </w:rPr>
        <w:t xml:space="preserve"> </w:t>
      </w:r>
    </w:p>
    <w:p w14:paraId="632F92E6" w14:textId="4BAF7F4D" w:rsidR="03AF024D" w:rsidRDefault="007D5010" w:rsidP="007D5010">
      <w:pPr>
        <w:pStyle w:val="ListParagraph"/>
        <w:numPr>
          <w:ilvl w:val="0"/>
          <w:numId w:val="3"/>
        </w:numPr>
        <w:rPr>
          <w:rFonts w:ascii="Calibri" w:eastAsia="Calibri" w:hAnsi="Calibri" w:cs="Calibri"/>
        </w:rPr>
      </w:pPr>
      <w:r w:rsidRPr="007D5010">
        <w:rPr>
          <w:rFonts w:ascii="Calibri" w:eastAsia="Calibri" w:hAnsi="Calibri" w:cs="Calibri"/>
        </w:rPr>
        <w:t xml:space="preserve">Toyota </w:t>
      </w:r>
      <w:proofErr w:type="spellStart"/>
      <w:r w:rsidRPr="007D5010">
        <w:rPr>
          <w:rFonts w:ascii="Calibri" w:eastAsia="Calibri" w:hAnsi="Calibri" w:cs="Calibri"/>
        </w:rPr>
        <w:t>Miria</w:t>
      </w:r>
      <w:proofErr w:type="spellEnd"/>
      <w:r w:rsidRPr="007D5010">
        <w:rPr>
          <w:rFonts w:ascii="Calibri" w:eastAsia="Calibri" w:hAnsi="Calibri" w:cs="Calibri"/>
        </w:rPr>
        <w:t xml:space="preserve"> weighs 1850kg</w:t>
      </w:r>
    </w:p>
    <w:p w14:paraId="26B382FE" w14:textId="1DEEA194" w:rsidR="007D5010" w:rsidRDefault="007D5010" w:rsidP="007D5010">
      <w:pPr>
        <w:pStyle w:val="ListParagraph"/>
        <w:numPr>
          <w:ilvl w:val="0"/>
          <w:numId w:val="3"/>
        </w:numPr>
        <w:rPr>
          <w:rFonts w:ascii="Calibri" w:eastAsia="Calibri" w:hAnsi="Calibri" w:cs="Calibri"/>
        </w:rPr>
      </w:pPr>
      <w:r>
        <w:rPr>
          <w:rFonts w:ascii="Calibri" w:eastAsia="Calibri" w:hAnsi="Calibri" w:cs="Calibri"/>
        </w:rPr>
        <w:t>Tank Pressure of 700 bar</w:t>
      </w:r>
    </w:p>
    <w:p w14:paraId="66B97564" w14:textId="46966E4E" w:rsidR="007D5010" w:rsidRDefault="007D5010" w:rsidP="007D5010">
      <w:pPr>
        <w:pStyle w:val="ListParagraph"/>
        <w:numPr>
          <w:ilvl w:val="0"/>
          <w:numId w:val="3"/>
        </w:numPr>
        <w:rPr>
          <w:rFonts w:ascii="Calibri" w:eastAsia="Calibri" w:hAnsi="Calibri" w:cs="Calibri"/>
        </w:rPr>
      </w:pPr>
      <w:r>
        <w:rPr>
          <w:rFonts w:ascii="Calibri" w:eastAsia="Calibri" w:hAnsi="Calibri" w:cs="Calibri"/>
        </w:rPr>
        <w:t>Volume of 122.4 l</w:t>
      </w:r>
    </w:p>
    <w:p w14:paraId="14127264" w14:textId="61C1E3E5" w:rsidR="002C61A3" w:rsidRPr="007D5010" w:rsidRDefault="002C61A3" w:rsidP="007D5010">
      <w:pPr>
        <w:pStyle w:val="ListParagraph"/>
        <w:numPr>
          <w:ilvl w:val="0"/>
          <w:numId w:val="3"/>
        </w:numPr>
        <w:rPr>
          <w:rFonts w:ascii="Calibri" w:eastAsia="Calibri" w:hAnsi="Calibri" w:cs="Calibri"/>
        </w:rPr>
      </w:pPr>
      <w:r>
        <w:rPr>
          <w:rFonts w:ascii="Calibri" w:eastAsia="Calibri" w:hAnsi="Calibri" w:cs="Calibri"/>
        </w:rPr>
        <w:t xml:space="preserve">Storage of 5kg </w:t>
      </w:r>
    </w:p>
    <w:p w14:paraId="35CF4B60" w14:textId="6650A5C6" w:rsidR="007D5010" w:rsidRDefault="03AF024D" w:rsidP="03AF024D">
      <w:r>
        <w:t xml:space="preserve">Specific energy density of hydrogen is 142 </w:t>
      </w:r>
      <w:proofErr w:type="spellStart"/>
      <w:r>
        <w:t>mj</w:t>
      </w:r>
      <w:proofErr w:type="spellEnd"/>
      <w:r>
        <w:t xml:space="preserve">/kg </w:t>
      </w:r>
    </w:p>
    <w:p w14:paraId="3EF4981D" w14:textId="4EF38356" w:rsidR="002C61A3" w:rsidRDefault="002C61A3" w:rsidP="03AF024D">
      <w:pPr>
        <w:rPr>
          <w:rFonts w:eastAsiaTheme="minorEastAsia"/>
        </w:rPr>
      </w:pPr>
      <m:oMath>
        <m:r>
          <w:rPr>
            <w:rFonts w:ascii="Cambria Math" w:hAnsi="Cambria Math"/>
          </w:rPr>
          <m:t>142×5=710Mj</m:t>
        </m:r>
      </m:oMath>
      <w:r>
        <w:rPr>
          <w:rFonts w:eastAsiaTheme="minorEastAsia"/>
        </w:rPr>
        <w:t xml:space="preserve"> </w:t>
      </w:r>
    </w:p>
    <w:p w14:paraId="59807FB4" w14:textId="5F0D01F8" w:rsidR="002C61A3" w:rsidRDefault="002C61A3" w:rsidP="03AF024D">
      <w:pPr>
        <w:rPr>
          <w:rFonts w:eastAsiaTheme="minorEastAsia"/>
        </w:rPr>
      </w:pPr>
      <w:r>
        <w:rPr>
          <w:rFonts w:eastAsiaTheme="minorEastAsia"/>
        </w:rPr>
        <w:t xml:space="preserve">Taking in to account efficiencies </w:t>
      </w:r>
    </w:p>
    <w:p w14:paraId="11117192" w14:textId="6CAA2B21" w:rsidR="002C61A3" w:rsidRDefault="002C61A3" w:rsidP="03AF024D">
      <w:pPr>
        <w:rPr>
          <w:rFonts w:eastAsiaTheme="minorEastAsia"/>
        </w:rPr>
      </w:pPr>
      <m:oMath>
        <m:r>
          <w:rPr>
            <w:rFonts w:ascii="Cambria Math" w:hAnsi="Cambria Math"/>
          </w:rPr>
          <m:t xml:space="preserve">710×0.48=340.8Mj </m:t>
        </m:r>
      </m:oMath>
      <w:r>
        <w:rPr>
          <w:rFonts w:eastAsiaTheme="minorEastAsia"/>
        </w:rPr>
        <w:t xml:space="preserve"> </w:t>
      </w:r>
      <w:r w:rsidR="00F67300">
        <w:rPr>
          <w:rFonts w:eastAsiaTheme="minorEastAsia"/>
        </w:rPr>
        <w:t>To</w:t>
      </w:r>
      <w:r>
        <w:rPr>
          <w:rFonts w:eastAsiaTheme="minorEastAsia"/>
        </w:rPr>
        <w:t xml:space="preserve"> the wheels </w:t>
      </w:r>
    </w:p>
    <w:p w14:paraId="4D5F3747" w14:textId="77777777" w:rsidR="00F67300" w:rsidRDefault="00F67300" w:rsidP="03AF024D">
      <w:pPr>
        <w:rPr>
          <w:rFonts w:eastAsiaTheme="minorEastAsia"/>
        </w:rPr>
      </w:pPr>
      <w:r>
        <w:rPr>
          <w:rFonts w:eastAsiaTheme="minorEastAsia"/>
        </w:rPr>
        <w:t>By u</w:t>
      </w:r>
      <w:r w:rsidRPr="00F67300">
        <w:rPr>
          <w:rFonts w:eastAsiaTheme="minorEastAsia"/>
        </w:rPr>
        <w:t>sing reasonable figures in rolling and aero force equation</w:t>
      </w:r>
      <w:r>
        <w:rPr>
          <w:rFonts w:eastAsiaTheme="minorEastAsia"/>
        </w:rPr>
        <w:t>s, the predicted range is:</w:t>
      </w:r>
    </w:p>
    <w:p w14:paraId="57457BAF" w14:textId="04345124" w:rsidR="00F67300" w:rsidRDefault="00F67300" w:rsidP="03AF024D">
      <w:pPr>
        <w:rPr>
          <w:rFonts w:eastAsiaTheme="minorEastAsia"/>
        </w:rPr>
      </w:p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×1.2×0.3×2×</m:t>
        </m:r>
        <m:sSup>
          <m:sSupPr>
            <m:ctrlPr>
              <w:rPr>
                <w:rFonts w:ascii="Cambria Math" w:eastAsiaTheme="minorEastAsia" w:hAnsi="Cambria Math"/>
                <w:i/>
              </w:rPr>
            </m:ctrlPr>
          </m:sSupPr>
          <m:e>
            <m:r>
              <w:rPr>
                <w:rFonts w:ascii="Cambria Math" w:eastAsiaTheme="minorEastAsia" w:hAnsi="Cambria Math"/>
              </w:rPr>
              <m:t>35</m:t>
            </m:r>
          </m:e>
          <m:sup>
            <m:r>
              <w:rPr>
                <w:rFonts w:ascii="Cambria Math" w:eastAsiaTheme="minorEastAsia" w:hAnsi="Cambria Math"/>
              </w:rPr>
              <m:t>2</m:t>
            </m:r>
          </m:sup>
        </m:sSup>
        <m:r>
          <w:rPr>
            <w:rFonts w:ascii="Cambria Math" w:eastAsiaTheme="minorEastAsia" w:hAnsi="Cambria Math"/>
          </w:rPr>
          <m:t xml:space="preserve">=441N </m:t>
        </m:r>
      </m:oMath>
      <w:r w:rsidRPr="00F67300">
        <w:rPr>
          <w:rFonts w:eastAsiaTheme="minorEastAsia"/>
        </w:rPr>
        <w:t xml:space="preserve"> </w:t>
      </w:r>
    </w:p>
    <w:p w14:paraId="6619967C" w14:textId="7EC6320C" w:rsidR="00F67300" w:rsidRDefault="00F67300" w:rsidP="03AF024D">
      <w:pPr>
        <w:rPr>
          <w:rFonts w:eastAsiaTheme="minorEastAsia"/>
        </w:rPr>
      </w:pPr>
      <m:oMath>
        <m:r>
          <w:rPr>
            <w:rFonts w:ascii="Cambria Math" w:hAnsi="Cambria Math"/>
          </w:rPr>
          <m:t>0.015×1850×9.81=272.22N</m:t>
        </m:r>
      </m:oMath>
      <w:r>
        <w:rPr>
          <w:rFonts w:eastAsiaTheme="minorEastAsia"/>
        </w:rPr>
        <w:t xml:space="preserve"> </w:t>
      </w:r>
    </w:p>
    <w:p w14:paraId="147AF49E" w14:textId="7B1AC8F4" w:rsidR="00F67300" w:rsidRDefault="00F67300" w:rsidP="03AF024D">
      <w:pPr>
        <w:rPr>
          <w:rFonts w:eastAsiaTheme="minorEastAsia"/>
        </w:rPr>
      </w:pPr>
      <m:oMath>
        <m:d>
          <m:dPr>
            <m:ctrlPr>
              <w:rPr>
                <w:rFonts w:ascii="Cambria Math" w:hAnsi="Cambria Math"/>
                <w:i/>
              </w:rPr>
            </m:ctrlPr>
          </m:dPr>
          <m:e>
            <m:r>
              <w:rPr>
                <w:rFonts w:ascii="Cambria Math" w:hAnsi="Cambria Math"/>
              </w:rPr>
              <m:t>441+272.22</m:t>
            </m:r>
          </m:e>
        </m:d>
        <m:r>
          <w:rPr>
            <w:rFonts w:ascii="Cambria Math" w:hAnsi="Cambria Math"/>
          </w:rPr>
          <m:t>×35=24962.7J</m:t>
        </m:r>
      </m:oMath>
      <w:r>
        <w:rPr>
          <w:rFonts w:eastAsiaTheme="minorEastAsia"/>
        </w:rPr>
        <w:t xml:space="preserve"> </w:t>
      </w:r>
    </w:p>
    <w:p w14:paraId="4D9C28F5" w14:textId="561C2AD0" w:rsidR="00F67300" w:rsidRDefault="005A301D" w:rsidP="03AF024D">
      <w:pPr>
        <w:rPr>
          <w:rFonts w:eastAsiaTheme="minorEastAsia"/>
        </w:rPr>
      </w:pPr>
      <m:oMath>
        <m:f>
          <m:fPr>
            <m:ctrlPr>
              <w:rPr>
                <w:rFonts w:ascii="Cambria Math" w:eastAsiaTheme="minorEastAsia" w:hAnsi="Cambria Math"/>
                <w:i/>
              </w:rPr>
            </m:ctrlPr>
          </m:fPr>
          <m:num>
            <m:r>
              <w:rPr>
                <w:rFonts w:ascii="Cambria Math" w:eastAsiaTheme="minorEastAsia" w:hAnsi="Cambria Math"/>
              </w:rPr>
              <m:t>340.8×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24962.7</m:t>
            </m:r>
          </m:den>
        </m:f>
        <m:r>
          <w:rPr>
            <w:rFonts w:ascii="Cambria Math" w:eastAsiaTheme="minorEastAsia" w:hAnsi="Cambria Math"/>
          </w:rPr>
          <m:t xml:space="preserve">=13652.36     </m:t>
        </m:r>
      </m:oMath>
      <w:r>
        <w:rPr>
          <w:rFonts w:eastAsiaTheme="minorEastAsia"/>
        </w:rPr>
        <w:t xml:space="preserve"> </w:t>
      </w:r>
    </w:p>
    <w:p w14:paraId="11A33FFD" w14:textId="48E1B225" w:rsidR="005A301D" w:rsidRPr="00F67300" w:rsidRDefault="005A301D" w:rsidP="03AF024D">
      <m:oMath>
        <m:d>
          <m:dPr>
            <m:ctrlPr>
              <w:rPr>
                <w:rFonts w:ascii="Cambria Math" w:hAnsi="Cambria Math"/>
                <w:i/>
              </w:rPr>
            </m:ctrlPr>
          </m:dPr>
          <m:e>
            <m:f>
              <m:fPr>
                <m:ctrlPr>
                  <w:rPr>
                    <w:rFonts w:ascii="Cambria Math" w:hAnsi="Cambria Math"/>
                    <w:i/>
                  </w:rPr>
                </m:ctrlPr>
              </m:fPr>
              <m:num>
                <m:r>
                  <w:rPr>
                    <w:rFonts w:ascii="Cambria Math" w:hAnsi="Cambria Math"/>
                  </w:rPr>
                  <m:t>13652.36</m:t>
                </m:r>
              </m:num>
              <m:den>
                <m:r>
                  <w:rPr>
                    <w:rFonts w:ascii="Cambria Math" w:hAnsi="Cambria Math"/>
                  </w:rPr>
                  <m:t>3600</m:t>
                </m:r>
              </m:den>
            </m:f>
          </m:e>
        </m:d>
        <m:r>
          <w:rPr>
            <w:rFonts w:ascii="Cambria Math" w:eastAsiaTheme="minorEastAsia" w:hAnsi="Cambria Math"/>
          </w:rPr>
          <m:t xml:space="preserve">×80=303.38 mile range Max </m:t>
        </m:r>
      </m:oMath>
      <w:r>
        <w:rPr>
          <w:rFonts w:eastAsiaTheme="minorEastAsia"/>
        </w:rPr>
        <w:t xml:space="preserve"> </w:t>
      </w:r>
    </w:p>
    <w:p w14:paraId="2D1E7B59" w14:textId="6154F636" w:rsidR="03AF024D" w:rsidRDefault="005A301D" w:rsidP="03AF024D">
      <w:r>
        <w:t>A gasoline car with a 50 litre tank with the same weight would have a range of 440 miles max.</w:t>
      </w:r>
    </w:p>
    <w:p w14:paraId="13766650" w14:textId="3E188DB6" w:rsidR="006A1DD3" w:rsidRDefault="006A1DD3" w:rsidP="03AF024D">
      <w:r>
        <w:t xml:space="preserve">In conclusion the hydrogen powered car is the choice for alternative powertrain with a lifespan that goes beyond 2025 and will comply with future emissions regulation. </w:t>
      </w:r>
    </w:p>
    <w:p w14:paraId="4F015B0E" w14:textId="77777777" w:rsidR="00900DEC" w:rsidRDefault="00900DEC" w:rsidP="03AF024D"/>
    <w:sdt>
      <w:sdtPr>
        <w:id w:val="-1348553770"/>
        <w:docPartObj>
          <w:docPartGallery w:val="Bibliographies"/>
          <w:docPartUnique/>
        </w:docPartObj>
      </w:sdtPr>
      <w:sdtEndPr>
        <w:rPr>
          <w:rFonts w:asciiTheme="minorHAnsi" w:eastAsiaTheme="minorHAnsi" w:hAnsiTheme="minorHAnsi" w:cstheme="minorBidi"/>
          <w:color w:val="auto"/>
          <w:sz w:val="22"/>
          <w:szCs w:val="22"/>
        </w:rPr>
      </w:sdtEndPr>
      <w:sdtContent>
        <w:p w14:paraId="246C7702" w14:textId="0C55EF73" w:rsidR="00900DEC" w:rsidRDefault="00900DEC">
          <w:pPr>
            <w:pStyle w:val="Heading1"/>
          </w:pPr>
          <w:r>
            <w:t>Bibliography</w:t>
          </w:r>
        </w:p>
        <w:sdt>
          <w:sdtPr>
            <w:id w:val="111145805"/>
            <w:bibliography/>
          </w:sdtPr>
          <w:sdtContent>
            <w:p w14:paraId="74F78B48" w14:textId="77777777" w:rsidR="00900DEC" w:rsidRDefault="00900DEC" w:rsidP="00900DEC">
              <w:pPr>
                <w:pStyle w:val="Bibliography"/>
                <w:ind w:left="720" w:hanging="720"/>
                <w:rPr>
                  <w:noProof/>
                  <w:sz w:val="24"/>
                  <w:szCs w:val="24"/>
                </w:rPr>
              </w:pPr>
              <w:r>
                <w:fldChar w:fldCharType="begin"/>
              </w:r>
              <w:r>
                <w:instrText xml:space="preserve"> BIBLIOGRAPHY </w:instrText>
              </w:r>
              <w:r>
                <w:fldChar w:fldCharType="separate"/>
              </w:r>
              <w:r>
                <w:rPr>
                  <w:noProof/>
                </w:rPr>
                <w:t xml:space="preserve">Chase, A. (2018). Fuel cell vs battery electric vehicles –Lessons from China. </w:t>
              </w:r>
              <w:r>
                <w:rPr>
                  <w:i/>
                  <w:iCs/>
                  <w:noProof/>
                </w:rPr>
                <w:t>Future Powertrain</w:t>
              </w:r>
              <w:r>
                <w:rPr>
                  <w:noProof/>
                </w:rPr>
                <w:t xml:space="preserve"> (p. 8). London: E4tech.</w:t>
              </w:r>
            </w:p>
            <w:p w14:paraId="57A740D1" w14:textId="77777777" w:rsidR="00900DEC" w:rsidRDefault="00900DEC" w:rsidP="00900DEC">
              <w:pPr>
                <w:pStyle w:val="Bibliography"/>
                <w:ind w:left="720" w:hanging="720"/>
                <w:rPr>
                  <w:noProof/>
                </w:rPr>
              </w:pPr>
              <w:r>
                <w:rPr>
                  <w:noProof/>
                </w:rPr>
                <w:t xml:space="preserve">Department fo Transport. (2018, 03 28). </w:t>
              </w:r>
              <w:r>
                <w:rPr>
                  <w:i/>
                  <w:iCs/>
                  <w:noProof/>
                </w:rPr>
                <w:t>New greener police cars to run on hydrogen.</w:t>
              </w:r>
              <w:r>
                <w:rPr>
                  <w:noProof/>
                </w:rPr>
                <w:t xml:space="preserve"> Retrieved from GOV.UK: https://www.gov.uk/government/news/new-greener-police-cars-to-run-on-hydrogen</w:t>
              </w:r>
            </w:p>
            <w:p w14:paraId="466E6EE9" w14:textId="77777777" w:rsidR="00900DEC" w:rsidRDefault="00900DEC" w:rsidP="00900DEC">
              <w:pPr>
                <w:pStyle w:val="Bibliography"/>
                <w:ind w:left="720" w:hanging="720"/>
                <w:rPr>
                  <w:noProof/>
                </w:rPr>
              </w:pPr>
              <w:r>
                <w:rPr>
                  <w:noProof/>
                </w:rPr>
                <w:t xml:space="preserve">Department of Transport. (2018, 03 27). </w:t>
              </w:r>
              <w:r>
                <w:rPr>
                  <w:i/>
                  <w:iCs/>
                  <w:noProof/>
                </w:rPr>
                <w:t>Future of hydrogen powered cars mapped out .</w:t>
              </w:r>
              <w:r>
                <w:rPr>
                  <w:noProof/>
                </w:rPr>
                <w:t xml:space="preserve"> Retrieved from GOV.UK: https://www.gov.uk/government/news/future-of-hydrogen-powered-cars-mapped-out</w:t>
              </w:r>
            </w:p>
            <w:p w14:paraId="15A1CA72" w14:textId="77777777" w:rsidR="00900DEC" w:rsidRDefault="00900DEC" w:rsidP="00900DEC">
              <w:pPr>
                <w:pStyle w:val="Bibliography"/>
                <w:ind w:left="720" w:hanging="720"/>
                <w:rPr>
                  <w:noProof/>
                </w:rPr>
              </w:pPr>
              <w:r>
                <w:rPr>
                  <w:noProof/>
                </w:rPr>
                <w:t xml:space="preserve">European comission. (2018, 03 27). </w:t>
              </w:r>
              <w:r>
                <w:rPr>
                  <w:i/>
                  <w:iCs/>
                  <w:noProof/>
                </w:rPr>
                <w:t>2030 climate &amp; energy framework.</w:t>
              </w:r>
              <w:r>
                <w:rPr>
                  <w:noProof/>
                </w:rPr>
                <w:t xml:space="preserve"> Retrieved from European comission: https://ec.europa.eu/clima/policies/strategies/2030_en</w:t>
              </w:r>
            </w:p>
            <w:p w14:paraId="7AE03D2B" w14:textId="77777777" w:rsidR="00900DEC" w:rsidRDefault="00900DEC" w:rsidP="00900DEC">
              <w:pPr>
                <w:pStyle w:val="Bibliography"/>
                <w:ind w:left="720" w:hanging="720"/>
                <w:rPr>
                  <w:noProof/>
                </w:rPr>
              </w:pPr>
              <w:r>
                <w:rPr>
                  <w:noProof/>
                </w:rPr>
                <w:t xml:space="preserve">European comission. (2018, 03 27). </w:t>
              </w:r>
              <w:r>
                <w:rPr>
                  <w:i/>
                  <w:iCs/>
                  <w:noProof/>
                </w:rPr>
                <w:t>Transport.</w:t>
              </w:r>
              <w:r>
                <w:rPr>
                  <w:noProof/>
                </w:rPr>
                <w:t xml:space="preserve"> Retrieved from European comission: https://ec.europa.eu/clima/policies/international/paris_protocol/transport_en</w:t>
              </w:r>
            </w:p>
            <w:p w14:paraId="07979EF3" w14:textId="77777777" w:rsidR="00900DEC" w:rsidRDefault="00900DEC" w:rsidP="00900DEC">
              <w:pPr>
                <w:pStyle w:val="Bibliography"/>
                <w:ind w:left="720" w:hanging="720"/>
                <w:rPr>
                  <w:noProof/>
                </w:rPr>
              </w:pPr>
              <w:r>
                <w:rPr>
                  <w:noProof/>
                </w:rPr>
                <w:t xml:space="preserve">European Commision . (2018, 03 27). </w:t>
              </w:r>
              <w:r>
                <w:rPr>
                  <w:i/>
                  <w:iCs/>
                  <w:noProof/>
                </w:rPr>
                <w:t>EUR-Lex - 52013PC0018 - EN.</w:t>
              </w:r>
              <w:r>
                <w:rPr>
                  <w:noProof/>
                </w:rPr>
                <w:t xml:space="preserve"> Retrieved from European Commision : http://eur-lex.europa.eu/legal-content/EN/ALL/?uri=CELEX:52013PC0018</w:t>
              </w:r>
            </w:p>
            <w:p w14:paraId="5EB97B5C" w14:textId="77777777" w:rsidR="00900DEC" w:rsidRDefault="00900DEC" w:rsidP="00900DEC">
              <w:pPr>
                <w:pStyle w:val="Bibliography"/>
                <w:ind w:left="720" w:hanging="720"/>
                <w:rPr>
                  <w:noProof/>
                </w:rPr>
              </w:pPr>
              <w:r>
                <w:rPr>
                  <w:noProof/>
                </w:rPr>
                <w:t xml:space="preserve">European Commision. (2018, 03 27). </w:t>
              </w:r>
              <w:r>
                <w:rPr>
                  <w:i/>
                  <w:iCs/>
                  <w:noProof/>
                </w:rPr>
                <w:t>Alternative fuels for sustainable mobility in Europe .</w:t>
              </w:r>
              <w:r>
                <w:rPr>
                  <w:noProof/>
                </w:rPr>
                <w:t xml:space="preserve"> Retrieved from European Commision: https://ec.europa.eu/transport/themes/urban/cpt_en</w:t>
              </w:r>
            </w:p>
            <w:p w14:paraId="0CBE6346" w14:textId="77777777" w:rsidR="00900DEC" w:rsidRDefault="00900DEC" w:rsidP="00900DEC">
              <w:pPr>
                <w:pStyle w:val="Bibliography"/>
                <w:ind w:left="720" w:hanging="720"/>
                <w:rPr>
                  <w:noProof/>
                </w:rPr>
              </w:pPr>
              <w:r>
                <w:rPr>
                  <w:noProof/>
                </w:rPr>
                <w:t xml:space="preserve">European Commision. (2018, 03 28). </w:t>
              </w:r>
              <w:r>
                <w:rPr>
                  <w:i/>
                  <w:iCs/>
                  <w:noProof/>
                </w:rPr>
                <w:t>EUR-Lex - 52013PC0017 - EN.</w:t>
              </w:r>
              <w:r>
                <w:rPr>
                  <w:noProof/>
                </w:rPr>
                <w:t xml:space="preserve"> Retrieved from European Commision: http://eur-lex.europa.eu/legal-content/EN/ALL/?uri=CELEX:52013PC0017</w:t>
              </w:r>
            </w:p>
            <w:p w14:paraId="7EF328A7" w14:textId="77777777" w:rsidR="00900DEC" w:rsidRDefault="00900DEC" w:rsidP="00900DEC">
              <w:pPr>
                <w:pStyle w:val="Bibliography"/>
                <w:ind w:left="720" w:hanging="720"/>
                <w:rPr>
                  <w:noProof/>
                </w:rPr>
              </w:pPr>
              <w:r>
                <w:rPr>
                  <w:noProof/>
                </w:rPr>
                <w:t xml:space="preserve">European Commision. (2018, 03 27). </w:t>
              </w:r>
              <w:r>
                <w:rPr>
                  <w:i/>
                  <w:iCs/>
                  <w:noProof/>
                </w:rPr>
                <w:t>EUR-Lex - 52013SC0005 - EN.</w:t>
              </w:r>
              <w:r>
                <w:rPr>
                  <w:noProof/>
                </w:rPr>
                <w:t xml:space="preserve"> Retrieved from EUR-Lex: http://eur-lex.europa.eu/legal-content/EN/ALL/?uri=CELEX:52013SC0005</w:t>
              </w:r>
            </w:p>
            <w:p w14:paraId="516B7FA9" w14:textId="77777777" w:rsidR="00900DEC" w:rsidRDefault="00900DEC" w:rsidP="00900DEC">
              <w:pPr>
                <w:pStyle w:val="Bibliography"/>
                <w:ind w:left="720" w:hanging="720"/>
                <w:rPr>
                  <w:noProof/>
                </w:rPr>
              </w:pPr>
              <w:r>
                <w:rPr>
                  <w:noProof/>
                </w:rPr>
                <w:t xml:space="preserve">Harrop, D. P. (2018). Battery Elimination in Electric Vehicles . </w:t>
              </w:r>
              <w:r>
                <w:rPr>
                  <w:i/>
                  <w:iCs/>
                  <w:noProof/>
                </w:rPr>
                <w:t>Future Powertrains</w:t>
              </w:r>
              <w:r>
                <w:rPr>
                  <w:noProof/>
                </w:rPr>
                <w:t xml:space="preserve"> (p. 7). Cambridge: IDTechEx.</w:t>
              </w:r>
            </w:p>
            <w:p w14:paraId="240D4CF0" w14:textId="77777777" w:rsidR="00900DEC" w:rsidRDefault="00900DEC" w:rsidP="00900DEC">
              <w:pPr>
                <w:pStyle w:val="Bibliography"/>
                <w:ind w:left="720" w:hanging="720"/>
                <w:rPr>
                  <w:noProof/>
                </w:rPr>
              </w:pPr>
              <w:r>
                <w:rPr>
                  <w:noProof/>
                </w:rPr>
                <w:t xml:space="preserve">sinigaglia, T. (2017). </w:t>
              </w:r>
              <w:r>
                <w:rPr>
                  <w:i/>
                  <w:iCs/>
                  <w:noProof/>
                </w:rPr>
                <w:t>Viability and impacts of Hydrogen economy in mobility-a review.</w:t>
              </w:r>
              <w:r>
                <w:rPr>
                  <w:noProof/>
                </w:rPr>
                <w:t xml:space="preserve"> Sao Paulo: SAE.</w:t>
              </w:r>
            </w:p>
            <w:p w14:paraId="2D4D6529" w14:textId="77777777" w:rsidR="00900DEC" w:rsidRDefault="00900DEC" w:rsidP="00900DEC">
              <w:pPr>
                <w:pStyle w:val="Bibliography"/>
                <w:ind w:left="720" w:hanging="720"/>
                <w:rPr>
                  <w:noProof/>
                </w:rPr>
              </w:pPr>
              <w:r>
                <w:rPr>
                  <w:noProof/>
                </w:rPr>
                <w:t xml:space="preserve">Toyota. (2018, 03 29). </w:t>
              </w:r>
              <w:r>
                <w:rPr>
                  <w:i/>
                  <w:iCs/>
                  <w:noProof/>
                </w:rPr>
                <w:t>2017 Mirai Product Information.</w:t>
              </w:r>
              <w:r>
                <w:rPr>
                  <w:noProof/>
                </w:rPr>
                <w:t xml:space="preserve"> Retrieved from Toyota: https://ssl.toyota.com/mirai/assets/core/Docs/Mirai%20Specs.pdf</w:t>
              </w:r>
            </w:p>
            <w:p w14:paraId="701E5BA5" w14:textId="5174E3D9" w:rsidR="00900DEC" w:rsidRDefault="00900DEC" w:rsidP="00900DEC">
              <w:r>
                <w:rPr>
                  <w:b/>
                  <w:bCs/>
                  <w:noProof/>
                </w:rPr>
                <w:fldChar w:fldCharType="end"/>
              </w:r>
            </w:p>
          </w:sdtContent>
        </w:sdt>
      </w:sdtContent>
    </w:sdt>
    <w:p w14:paraId="0CA6C233" w14:textId="77777777" w:rsidR="00900DEC" w:rsidRDefault="00900DEC" w:rsidP="03AF024D"/>
    <w:p w14:paraId="7CDEFBE8" w14:textId="13C6392B" w:rsidR="03AF024D" w:rsidRDefault="03AF024D" w:rsidP="03AF024D"/>
    <w:sectPr w:rsidR="03AF02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FF3DA1"/>
    <w:multiLevelType w:val="hybridMultilevel"/>
    <w:tmpl w:val="17F0A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421B7C"/>
    <w:multiLevelType w:val="hybridMultilevel"/>
    <w:tmpl w:val="37564458"/>
    <w:lvl w:ilvl="0" w:tplc="5B88CCDC">
      <w:start w:val="1"/>
      <w:numFmt w:val="bullet"/>
      <w:lvlText w:val=""/>
      <w:lvlJc w:val="left"/>
      <w:pPr>
        <w:ind w:left="720" w:hanging="360"/>
      </w:pPr>
      <w:rPr>
        <w:rFonts w:ascii="Symbol" w:hAnsi="Symbol" w:hint="default"/>
      </w:rPr>
    </w:lvl>
    <w:lvl w:ilvl="1" w:tplc="C778F022">
      <w:start w:val="1"/>
      <w:numFmt w:val="bullet"/>
      <w:lvlText w:val="o"/>
      <w:lvlJc w:val="left"/>
      <w:pPr>
        <w:ind w:left="1440" w:hanging="360"/>
      </w:pPr>
      <w:rPr>
        <w:rFonts w:ascii="Courier New" w:hAnsi="Courier New" w:hint="default"/>
      </w:rPr>
    </w:lvl>
    <w:lvl w:ilvl="2" w:tplc="EE6401A6">
      <w:start w:val="1"/>
      <w:numFmt w:val="bullet"/>
      <w:lvlText w:val=""/>
      <w:lvlJc w:val="left"/>
      <w:pPr>
        <w:ind w:left="2160" w:hanging="360"/>
      </w:pPr>
      <w:rPr>
        <w:rFonts w:ascii="Wingdings" w:hAnsi="Wingdings" w:hint="default"/>
      </w:rPr>
    </w:lvl>
    <w:lvl w:ilvl="3" w:tplc="76E0D8C2">
      <w:start w:val="1"/>
      <w:numFmt w:val="bullet"/>
      <w:lvlText w:val=""/>
      <w:lvlJc w:val="left"/>
      <w:pPr>
        <w:ind w:left="2880" w:hanging="360"/>
      </w:pPr>
      <w:rPr>
        <w:rFonts w:ascii="Symbol" w:hAnsi="Symbol" w:hint="default"/>
      </w:rPr>
    </w:lvl>
    <w:lvl w:ilvl="4" w:tplc="3CA60D3E">
      <w:start w:val="1"/>
      <w:numFmt w:val="bullet"/>
      <w:lvlText w:val="o"/>
      <w:lvlJc w:val="left"/>
      <w:pPr>
        <w:ind w:left="3600" w:hanging="360"/>
      </w:pPr>
      <w:rPr>
        <w:rFonts w:ascii="Courier New" w:hAnsi="Courier New" w:hint="default"/>
      </w:rPr>
    </w:lvl>
    <w:lvl w:ilvl="5" w:tplc="4C48C746">
      <w:start w:val="1"/>
      <w:numFmt w:val="bullet"/>
      <w:lvlText w:val=""/>
      <w:lvlJc w:val="left"/>
      <w:pPr>
        <w:ind w:left="4320" w:hanging="360"/>
      </w:pPr>
      <w:rPr>
        <w:rFonts w:ascii="Wingdings" w:hAnsi="Wingdings" w:hint="default"/>
      </w:rPr>
    </w:lvl>
    <w:lvl w:ilvl="6" w:tplc="78C24302">
      <w:start w:val="1"/>
      <w:numFmt w:val="bullet"/>
      <w:lvlText w:val=""/>
      <w:lvlJc w:val="left"/>
      <w:pPr>
        <w:ind w:left="5040" w:hanging="360"/>
      </w:pPr>
      <w:rPr>
        <w:rFonts w:ascii="Symbol" w:hAnsi="Symbol" w:hint="default"/>
      </w:rPr>
    </w:lvl>
    <w:lvl w:ilvl="7" w:tplc="0616C746">
      <w:start w:val="1"/>
      <w:numFmt w:val="bullet"/>
      <w:lvlText w:val="o"/>
      <w:lvlJc w:val="left"/>
      <w:pPr>
        <w:ind w:left="5760" w:hanging="360"/>
      </w:pPr>
      <w:rPr>
        <w:rFonts w:ascii="Courier New" w:hAnsi="Courier New" w:hint="default"/>
      </w:rPr>
    </w:lvl>
    <w:lvl w:ilvl="8" w:tplc="6DFCF87C">
      <w:start w:val="1"/>
      <w:numFmt w:val="bullet"/>
      <w:lvlText w:val=""/>
      <w:lvlJc w:val="left"/>
      <w:pPr>
        <w:ind w:left="6480" w:hanging="360"/>
      </w:pPr>
      <w:rPr>
        <w:rFonts w:ascii="Wingdings" w:hAnsi="Wingdings" w:hint="default"/>
      </w:rPr>
    </w:lvl>
  </w:abstractNum>
  <w:abstractNum w:abstractNumId="2" w15:restartNumberingAfterBreak="0">
    <w:nsid w:val="6FA321A0"/>
    <w:multiLevelType w:val="hybridMultilevel"/>
    <w:tmpl w:val="88B03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912"/>
    <w:rsid w:val="00091F80"/>
    <w:rsid w:val="000C2912"/>
    <w:rsid w:val="002C61A3"/>
    <w:rsid w:val="0039012F"/>
    <w:rsid w:val="003C0AB7"/>
    <w:rsid w:val="003D5BC9"/>
    <w:rsid w:val="003D6470"/>
    <w:rsid w:val="003F341F"/>
    <w:rsid w:val="005169F6"/>
    <w:rsid w:val="005A301D"/>
    <w:rsid w:val="00697AB2"/>
    <w:rsid w:val="006A1DD3"/>
    <w:rsid w:val="006A46E1"/>
    <w:rsid w:val="00741256"/>
    <w:rsid w:val="007D2329"/>
    <w:rsid w:val="007D5010"/>
    <w:rsid w:val="00835350"/>
    <w:rsid w:val="00857271"/>
    <w:rsid w:val="00857A46"/>
    <w:rsid w:val="00900DEC"/>
    <w:rsid w:val="00B25798"/>
    <w:rsid w:val="00C34356"/>
    <w:rsid w:val="00D71911"/>
    <w:rsid w:val="00F67300"/>
    <w:rsid w:val="00FD396D"/>
    <w:rsid w:val="03AF024D"/>
    <w:rsid w:val="43F09281"/>
    <w:rsid w:val="72CB1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F2F7E"/>
  <w15:chartTrackingRefBased/>
  <w15:docId w15:val="{49FF003C-E400-4111-8D8E-5B61B711F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1D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29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2912"/>
    <w:pPr>
      <w:ind w:left="720"/>
      <w:contextualSpacing/>
    </w:pPr>
  </w:style>
  <w:style w:type="character" w:styleId="Hyperlink">
    <w:name w:val="Hyperlink"/>
    <w:basedOn w:val="DefaultParagraphFont"/>
    <w:uiPriority w:val="99"/>
    <w:unhideWhenUsed/>
    <w:rsid w:val="00857271"/>
    <w:rPr>
      <w:color w:val="0563C1" w:themeColor="hyperlink"/>
      <w:u w:val="single"/>
    </w:rPr>
  </w:style>
  <w:style w:type="character" w:styleId="FollowedHyperlink">
    <w:name w:val="FollowedHyperlink"/>
    <w:basedOn w:val="DefaultParagraphFont"/>
    <w:uiPriority w:val="99"/>
    <w:semiHidden/>
    <w:unhideWhenUsed/>
    <w:rsid w:val="003F341F"/>
    <w:rPr>
      <w:color w:val="954F72" w:themeColor="followedHyperlink"/>
      <w:u w:val="single"/>
    </w:rPr>
  </w:style>
  <w:style w:type="character" w:styleId="PlaceholderText">
    <w:name w:val="Placeholder Text"/>
    <w:basedOn w:val="DefaultParagraphFont"/>
    <w:uiPriority w:val="99"/>
    <w:semiHidden/>
    <w:rsid w:val="007D5010"/>
    <w:rPr>
      <w:color w:val="808080"/>
    </w:rPr>
  </w:style>
  <w:style w:type="character" w:customStyle="1" w:styleId="Heading1Char">
    <w:name w:val="Heading 1 Char"/>
    <w:basedOn w:val="DefaultParagraphFont"/>
    <w:link w:val="Heading1"/>
    <w:uiPriority w:val="9"/>
    <w:rsid w:val="006A1DD3"/>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900D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0DEC"/>
  </w:style>
  <w:style w:type="character" w:customStyle="1" w:styleId="eop">
    <w:name w:val="eop"/>
    <w:basedOn w:val="DefaultParagraphFont"/>
    <w:rsid w:val="00900DEC"/>
  </w:style>
  <w:style w:type="paragraph" w:styleId="Bibliography">
    <w:name w:val="Bibliography"/>
    <w:basedOn w:val="Normal"/>
    <w:next w:val="Normal"/>
    <w:uiPriority w:val="37"/>
    <w:unhideWhenUsed/>
    <w:rsid w:val="00900DEC"/>
  </w:style>
  <w:style w:type="paragraph" w:styleId="BalloonText">
    <w:name w:val="Balloon Text"/>
    <w:basedOn w:val="Normal"/>
    <w:link w:val="BalloonTextChar"/>
    <w:uiPriority w:val="99"/>
    <w:semiHidden/>
    <w:unhideWhenUsed/>
    <w:rsid w:val="00900D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0D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3516763">
      <w:bodyDiv w:val="1"/>
      <w:marLeft w:val="0"/>
      <w:marRight w:val="0"/>
      <w:marTop w:val="0"/>
      <w:marBottom w:val="0"/>
      <w:divBdr>
        <w:top w:val="none" w:sz="0" w:space="0" w:color="auto"/>
        <w:left w:val="none" w:sz="0" w:space="0" w:color="auto"/>
        <w:bottom w:val="none" w:sz="0" w:space="0" w:color="auto"/>
        <w:right w:val="none" w:sz="0" w:space="0" w:color="auto"/>
      </w:divBdr>
    </w:div>
    <w:div w:id="519125647">
      <w:bodyDiv w:val="1"/>
      <w:marLeft w:val="0"/>
      <w:marRight w:val="0"/>
      <w:marTop w:val="0"/>
      <w:marBottom w:val="0"/>
      <w:divBdr>
        <w:top w:val="none" w:sz="0" w:space="0" w:color="auto"/>
        <w:left w:val="none" w:sz="0" w:space="0" w:color="auto"/>
        <w:bottom w:val="none" w:sz="0" w:space="0" w:color="auto"/>
        <w:right w:val="none" w:sz="0" w:space="0" w:color="auto"/>
      </w:divBdr>
    </w:div>
    <w:div w:id="698773670">
      <w:bodyDiv w:val="1"/>
      <w:marLeft w:val="0"/>
      <w:marRight w:val="0"/>
      <w:marTop w:val="0"/>
      <w:marBottom w:val="0"/>
      <w:divBdr>
        <w:top w:val="none" w:sz="0" w:space="0" w:color="auto"/>
        <w:left w:val="none" w:sz="0" w:space="0" w:color="auto"/>
        <w:bottom w:val="none" w:sz="0" w:space="0" w:color="auto"/>
        <w:right w:val="none" w:sz="0" w:space="0" w:color="auto"/>
      </w:divBdr>
    </w:div>
    <w:div w:id="895818687">
      <w:bodyDiv w:val="1"/>
      <w:marLeft w:val="0"/>
      <w:marRight w:val="0"/>
      <w:marTop w:val="0"/>
      <w:marBottom w:val="0"/>
      <w:divBdr>
        <w:top w:val="none" w:sz="0" w:space="0" w:color="auto"/>
        <w:left w:val="none" w:sz="0" w:space="0" w:color="auto"/>
        <w:bottom w:val="none" w:sz="0" w:space="0" w:color="auto"/>
        <w:right w:val="none" w:sz="0" w:space="0" w:color="auto"/>
      </w:divBdr>
    </w:div>
    <w:div w:id="1122846338">
      <w:bodyDiv w:val="1"/>
      <w:marLeft w:val="0"/>
      <w:marRight w:val="0"/>
      <w:marTop w:val="0"/>
      <w:marBottom w:val="0"/>
      <w:divBdr>
        <w:top w:val="none" w:sz="0" w:space="0" w:color="auto"/>
        <w:left w:val="none" w:sz="0" w:space="0" w:color="auto"/>
        <w:bottom w:val="none" w:sz="0" w:space="0" w:color="auto"/>
        <w:right w:val="none" w:sz="0" w:space="0" w:color="auto"/>
      </w:divBdr>
    </w:div>
    <w:div w:id="1471046699">
      <w:bodyDiv w:val="1"/>
      <w:marLeft w:val="0"/>
      <w:marRight w:val="0"/>
      <w:marTop w:val="0"/>
      <w:marBottom w:val="0"/>
      <w:divBdr>
        <w:top w:val="none" w:sz="0" w:space="0" w:color="auto"/>
        <w:left w:val="none" w:sz="0" w:space="0" w:color="auto"/>
        <w:bottom w:val="none" w:sz="0" w:space="0" w:color="auto"/>
        <w:right w:val="none" w:sz="0" w:space="0" w:color="auto"/>
      </w:divBdr>
    </w:div>
    <w:div w:id="1774203947">
      <w:bodyDiv w:val="1"/>
      <w:marLeft w:val="0"/>
      <w:marRight w:val="0"/>
      <w:marTop w:val="0"/>
      <w:marBottom w:val="0"/>
      <w:divBdr>
        <w:top w:val="none" w:sz="0" w:space="0" w:color="auto"/>
        <w:left w:val="none" w:sz="0" w:space="0" w:color="auto"/>
        <w:bottom w:val="none" w:sz="0" w:space="0" w:color="auto"/>
        <w:right w:val="none" w:sz="0" w:space="0" w:color="auto"/>
      </w:divBdr>
    </w:div>
    <w:div w:id="1812792771">
      <w:bodyDiv w:val="1"/>
      <w:marLeft w:val="0"/>
      <w:marRight w:val="0"/>
      <w:marTop w:val="0"/>
      <w:marBottom w:val="0"/>
      <w:divBdr>
        <w:top w:val="none" w:sz="0" w:space="0" w:color="auto"/>
        <w:left w:val="none" w:sz="0" w:space="0" w:color="auto"/>
        <w:bottom w:val="none" w:sz="0" w:space="0" w:color="auto"/>
        <w:right w:val="none" w:sz="0" w:space="0" w:color="auto"/>
      </w:divBdr>
    </w:div>
    <w:div w:id="186647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76E"/>
    <w:rsid w:val="00604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476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Dep18</b:Tag>
    <b:SourceType>DocumentFromInternetSite</b:SourceType>
    <b:Guid>{9372BD42-43DE-4365-8CF4-C5CEAC840956}</b:Guid>
    <b:Author>
      <b:Author>
        <b:Corporate>Department fo Transport</b:Corporate>
      </b:Author>
    </b:Author>
    <b:Title>New greener police cars to run on hydrogen</b:Title>
    <b:InternetSiteTitle>GOV.UK</b:InternetSiteTitle>
    <b:Year>2018</b:Year>
    <b:Month>03</b:Month>
    <b:Day>28</b:Day>
    <b:URL>https://www.gov.uk/government/news/new-greener-police-cars-to-run-on-hydrogen</b:URL>
    <b:RefOrder>6</b:RefOrder>
  </b:Source>
  <b:Source>
    <b:Tag>Dep181</b:Tag>
    <b:SourceType>DocumentFromInternetSite</b:SourceType>
    <b:Guid>{8B9F3582-E397-4870-95A0-1D0B315B53B8}</b:Guid>
    <b:Author>
      <b:Author>
        <b:Corporate>Department of Transport</b:Corporate>
      </b:Author>
    </b:Author>
    <b:Title>Future of hydrogen powered cars mapped out </b:Title>
    <b:InternetSiteTitle>GOV.UK</b:InternetSiteTitle>
    <b:Year>2018</b:Year>
    <b:Month>03</b:Month>
    <b:Day>27</b:Day>
    <b:URL>https://www.gov.uk/government/news/future-of-hydrogen-powered-cars-mapped-out</b:URL>
    <b:RefOrder>5</b:RefOrder>
  </b:Source>
  <b:Source>
    <b:Tag>Eur18</b:Tag>
    <b:SourceType>DocumentFromInternetSite</b:SourceType>
    <b:Guid>{57EAB255-E7FE-4620-B6F1-AF49E60B3DE8}</b:Guid>
    <b:Author>
      <b:Author>
        <b:Corporate>European comission</b:Corporate>
      </b:Author>
    </b:Author>
    <b:Title>2030 climate &amp; energy framework</b:Title>
    <b:InternetSiteTitle>European comission</b:InternetSiteTitle>
    <b:Year>2018</b:Year>
    <b:Month>03</b:Month>
    <b:Day>27</b:Day>
    <b:URL>https://ec.europa.eu/clima/policies/strategies/2030_en</b:URL>
    <b:RefOrder>9</b:RefOrder>
  </b:Source>
  <b:Source>
    <b:Tag>Eur181</b:Tag>
    <b:SourceType>DocumentFromInternetSite</b:SourceType>
    <b:Guid>{3039A3C7-81F7-446B-B426-BCB3B26A56AA}</b:Guid>
    <b:Author>
      <b:Author>
        <b:Corporate>European comission</b:Corporate>
      </b:Author>
    </b:Author>
    <b:Title>Transport</b:Title>
    <b:InternetSiteTitle>European comission</b:InternetSiteTitle>
    <b:Year>2018</b:Year>
    <b:Month>03</b:Month>
    <b:Day>27</b:Day>
    <b:URL>https://ec.europa.eu/clima/policies/international/paris_protocol/transport_en</b:URL>
    <b:RefOrder>10</b:RefOrder>
  </b:Source>
  <b:Source>
    <b:Tag>Eur182</b:Tag>
    <b:SourceType>DocumentFromInternetSite</b:SourceType>
    <b:Guid>{C1A97BE5-0550-4F73-95BB-918ED40CFDB9}</b:Guid>
    <b:Author>
      <b:Author>
        <b:Corporate>European Commision</b:Corporate>
      </b:Author>
    </b:Author>
    <b:Title>EUR-Lex - 52013SC0005 - EN</b:Title>
    <b:InternetSiteTitle>EUR-Lex</b:InternetSiteTitle>
    <b:Year>2018</b:Year>
    <b:Month>03</b:Month>
    <b:Day>27</b:Day>
    <b:URL>http://eur-lex.europa.eu/legal-content/EN/ALL/?uri=CELEX:52013SC0005</b:URL>
    <b:RefOrder>2</b:RefOrder>
  </b:Source>
  <b:Source>
    <b:Tag>Eur183</b:Tag>
    <b:SourceType>DocumentFromInternetSite</b:SourceType>
    <b:Guid>{1C04BBAF-A078-4AF7-9C0F-A8983984C22D}</b:Guid>
    <b:Author>
      <b:Author>
        <b:Corporate>European Commision</b:Corporate>
      </b:Author>
    </b:Author>
    <b:Title>Alternative fuels for sustainable mobility in Europe </b:Title>
    <b:InternetSiteTitle>European Commision</b:InternetSiteTitle>
    <b:Year>2018</b:Year>
    <b:Month>03</b:Month>
    <b:Day>27</b:Day>
    <b:URL>https://ec.europa.eu/transport/themes/urban/cpt_en</b:URL>
    <b:RefOrder>11</b:RefOrder>
  </b:Source>
  <b:Source>
    <b:Tag>Eur184</b:Tag>
    <b:SourceType>DocumentFromInternetSite</b:SourceType>
    <b:Guid>{8B1BF55F-5E42-44A2-8F26-B4B8EF3E62BC}</b:Guid>
    <b:Author>
      <b:Author>
        <b:Corporate>European Commision </b:Corporate>
      </b:Author>
    </b:Author>
    <b:Title>EUR-Lex - 52013PC0018 - EN</b:Title>
    <b:InternetSiteTitle>European Commision </b:InternetSiteTitle>
    <b:Year>2018</b:Year>
    <b:Month>03</b:Month>
    <b:Day>27</b:Day>
    <b:URL>http://eur-lex.europa.eu/legal-content/EN/ALL/?uri=CELEX:52013PC0018</b:URL>
    <b:RefOrder>12</b:RefOrder>
  </b:Source>
  <b:Source>
    <b:Tag>Ada18</b:Tag>
    <b:SourceType>ConferenceProceedings</b:SourceType>
    <b:Guid>{F20FCF16-4127-46D0-905A-29823A17CFD9}</b:Guid>
    <b:Author>
      <b:Author>
        <b:NameList>
          <b:Person>
            <b:Last>Chase</b:Last>
            <b:First>Adam</b:First>
          </b:Person>
        </b:NameList>
      </b:Author>
    </b:Author>
    <b:Title>Fuel cell vs battery electric vehicles –Lessons from China</b:Title>
    <b:Pages>8</b:Pages>
    <b:Year>2018</b:Year>
    <b:ConferenceName>Future Powertrain</b:ConferenceName>
    <b:City>London</b:City>
    <b:Publisher>E4tech</b:Publisher>
    <b:RefOrder>3</b:RefOrder>
  </b:Source>
  <b:Source>
    <b:Tag>Tia17</b:Tag>
    <b:SourceType>Report</b:SourceType>
    <b:Guid>{42CEF005-896D-4923-B955-96D2B6CF7CF1}</b:Guid>
    <b:Title>Viability and impacts of Hydrogen economy in mobility-a review</b:Title>
    <b:Year>2017</b:Year>
    <b:City>Sao Paulo</b:City>
    <b:Publisher>SAE</b:Publisher>
    <b:Author>
      <b:Author>
        <b:NameList>
          <b:Person>
            <b:Last>sinigaglia</b:Last>
            <b:First>Tiago</b:First>
          </b:Person>
        </b:NameList>
      </b:Author>
    </b:Author>
    <b:RefOrder>7</b:RefOrder>
  </b:Source>
  <b:Source>
    <b:Tag>Toy18</b:Tag>
    <b:SourceType>DocumentFromInternetSite</b:SourceType>
    <b:Guid>{2AA5569F-E679-43B7-82FE-91ECC30B2569}</b:Guid>
    <b:Title>2017 Mirai Product Information</b:Title>
    <b:Year>2018</b:Year>
    <b:Author>
      <b:Author>
        <b:Corporate>Toyota</b:Corporate>
      </b:Author>
    </b:Author>
    <b:InternetSiteTitle>Toyota</b:InternetSiteTitle>
    <b:Month>03</b:Month>
    <b:Day>29</b:Day>
    <b:URL>https://ssl.toyota.com/mirai/assets/core/Docs/Mirai%20Specs.pdf</b:URL>
    <b:RefOrder>8</b:RefOrder>
  </b:Source>
  <b:Source>
    <b:Tag>Eur185</b:Tag>
    <b:SourceType>DocumentFromInternetSite</b:SourceType>
    <b:Guid>{266CDA7C-11BF-4E5A-A51E-A51E6A87C3D6}</b:Guid>
    <b:Author>
      <b:Author>
        <b:Corporate>European Commision</b:Corporate>
      </b:Author>
    </b:Author>
    <b:Title>EUR-Lex - 52013PC0017 - EN</b:Title>
    <b:InternetSiteTitle>European Commision</b:InternetSiteTitle>
    <b:Year>2018</b:Year>
    <b:Month>03</b:Month>
    <b:Day>28</b:Day>
    <b:URL>http://eur-lex.europa.eu/legal-content/EN/ALL/?uri=CELEX:52013PC0017</b:URL>
    <b:RefOrder>1</b:RefOrder>
  </b:Source>
  <b:Source>
    <b:Tag>DrP18</b:Tag>
    <b:SourceType>ConferenceProceedings</b:SourceType>
    <b:Guid>{36E80E50-8EF1-484F-BEDE-1FCFE0D1EA8B}</b:Guid>
    <b:Title>Battery Elimination in Electric Vehicles </b:Title>
    <b:Year>2018</b:Year>
    <b:Author>
      <b:Author>
        <b:NameList>
          <b:Person>
            <b:Last>Harrop</b:Last>
            <b:First>Dr</b:First>
            <b:Middle>Peter</b:Middle>
          </b:Person>
        </b:NameList>
      </b:Author>
    </b:Author>
    <b:Pages>7</b:Pages>
    <b:ConferenceName>Future Powertrains</b:ConferenceName>
    <b:City>Cambridge</b:City>
    <b:Publisher>IDTechEx</b:Publisher>
    <b:RefOrder>4</b:RefOrder>
  </b:Source>
</b:Sources>
</file>

<file path=customXml/itemProps1.xml><?xml version="1.0" encoding="utf-8"?>
<ds:datastoreItem xmlns:ds="http://schemas.openxmlformats.org/officeDocument/2006/customXml" ds:itemID="{D0AF1637-8195-4BCA-B860-52A0B2E2A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1369</Words>
  <Characters>7805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Tobin (P140983)</dc:creator>
  <cp:keywords/>
  <dc:description/>
  <cp:lastModifiedBy>Patrick Tobin (P140983)</cp:lastModifiedBy>
  <cp:revision>2</cp:revision>
  <cp:lastPrinted>2018-03-29T16:04:00Z</cp:lastPrinted>
  <dcterms:created xsi:type="dcterms:W3CDTF">2018-03-29T16:20:00Z</dcterms:created>
  <dcterms:modified xsi:type="dcterms:W3CDTF">2018-03-29T16:20:00Z</dcterms:modified>
</cp:coreProperties>
</file>