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966783F" wp14:paraId="23CFA040" wp14:textId="74ACC68A">
      <w:pPr>
        <w:rPr>
          <w:rFonts w:ascii="Arial" w:hAnsi="Arial" w:eastAsia="Arial" w:cs="Arial"/>
          <w:b w:val="0"/>
          <w:bCs w:val="0"/>
          <w:i w:val="0"/>
          <w:iCs w:val="0"/>
          <w:caps w:val="0"/>
          <w:smallCaps w:val="0"/>
          <w:noProof w:val="0"/>
          <w:color w:val="000000" w:themeColor="text1" w:themeTint="FF" w:themeShade="FF"/>
          <w:sz w:val="24"/>
          <w:szCs w:val="24"/>
          <w:lang w:val="en-GB"/>
        </w:rPr>
      </w:pPr>
      <w:r w:rsidR="320BC377">
        <w:drawing>
          <wp:inline xmlns:wp14="http://schemas.microsoft.com/office/word/2010/wordprocessingDrawing" wp14:editId="0CD4239E" wp14:anchorId="4790967D">
            <wp:extent cx="5724525" cy="2552700"/>
            <wp:effectExtent l="0" t="0" r="0" b="0"/>
            <wp:docPr id="1939495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9495113" name="Picture 1939495113"/>
                    <pic:cNvPicPr/>
                  </pic:nvPicPr>
                  <pic:blipFill>
                    <a:blip xmlns:r="http://schemas.openxmlformats.org/officeDocument/2006/relationships" r:embed="rId143444302">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xmlns:wp14="http://schemas.microsoft.com/office/word/2010/wordml" w:rsidP="5966783F" wp14:paraId="7358F480" wp14:textId="234D7277">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14E8B10F" wp14:textId="24F19A0E">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25DFE07A" wp14:textId="4DDDF4B1">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1"/>
          <w:bCs w:val="1"/>
          <w:i w:val="0"/>
          <w:iCs w:val="0"/>
          <w:caps w:val="0"/>
          <w:smallCaps w:val="0"/>
          <w:noProof w:val="0"/>
          <w:color w:val="000000" w:themeColor="text1" w:themeTint="FF" w:themeShade="FF"/>
          <w:sz w:val="24"/>
          <w:szCs w:val="24"/>
          <w:lang w:val="en-GB"/>
        </w:rPr>
        <w:t>Name</w:t>
      </w:r>
    </w:p>
    <w:p xmlns:wp14="http://schemas.microsoft.com/office/word/2010/wordml" w:rsidP="5966783F" wp14:paraId="29C93939" wp14:textId="4725513A">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Armands Putersevics</w:t>
      </w:r>
    </w:p>
    <w:p xmlns:wp14="http://schemas.microsoft.com/office/word/2010/wordml" w:rsidP="5966783F" wp14:paraId="78FBFE15" wp14:textId="778905F6">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1"/>
          <w:bCs w:val="1"/>
          <w:i w:val="0"/>
          <w:iCs w:val="0"/>
          <w:caps w:val="0"/>
          <w:smallCaps w:val="0"/>
          <w:noProof w:val="0"/>
          <w:color w:val="000000" w:themeColor="text1" w:themeTint="FF" w:themeShade="FF"/>
          <w:sz w:val="24"/>
          <w:szCs w:val="24"/>
          <w:lang w:val="en-GB"/>
        </w:rPr>
        <w:t>Student ID</w:t>
      </w:r>
    </w:p>
    <w:p xmlns:wp14="http://schemas.microsoft.com/office/word/2010/wordml" w:rsidP="5966783F" wp14:paraId="1357094D" wp14:textId="27ED1967">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2242532</w:t>
      </w:r>
    </w:p>
    <w:p xmlns:wp14="http://schemas.microsoft.com/office/word/2010/wordml" w:rsidP="5966783F" wp14:paraId="7151307F" wp14:textId="2C86ECE5">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1"/>
          <w:bCs w:val="1"/>
          <w:i w:val="0"/>
          <w:iCs w:val="0"/>
          <w:caps w:val="0"/>
          <w:smallCaps w:val="0"/>
          <w:noProof w:val="0"/>
          <w:color w:val="000000" w:themeColor="text1" w:themeTint="FF" w:themeShade="FF"/>
          <w:sz w:val="24"/>
          <w:szCs w:val="24"/>
          <w:lang w:val="en-GB"/>
        </w:rPr>
        <w:t>Lecturer</w:t>
      </w:r>
    </w:p>
    <w:p xmlns:wp14="http://schemas.microsoft.com/office/word/2010/wordml" w:rsidP="5966783F" wp14:paraId="5E7D1F2E" wp14:textId="66DAE54F">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Shengfeng Mai</w:t>
      </w:r>
    </w:p>
    <w:p xmlns:wp14="http://schemas.microsoft.com/office/word/2010/wordml" w:rsidP="5966783F" wp14:paraId="502FEA39" wp14:textId="5D283EF4">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003109FB" wp14:textId="39B318FD">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2D453C11" wp14:textId="4123561F">
      <w:pPr>
        <w:jc w:val="center"/>
        <w:rPr>
          <w:rFonts w:ascii="Arial" w:hAnsi="Arial" w:eastAsia="Arial" w:cs="Arial"/>
          <w:b w:val="0"/>
          <w:bCs w:val="0"/>
          <w:i w:val="0"/>
          <w:iCs w:val="0"/>
          <w:caps w:val="0"/>
          <w:smallCaps w:val="0"/>
          <w:noProof w:val="0"/>
          <w:color w:val="0E2740"/>
          <w:sz w:val="32"/>
          <w:szCs w:val="32"/>
          <w:lang w:val="en-GB"/>
        </w:rPr>
      </w:pPr>
    </w:p>
    <w:p xmlns:wp14="http://schemas.microsoft.com/office/word/2010/wordml" w:rsidP="5966783F" wp14:paraId="73C70787" wp14:textId="6041930C">
      <w:pPr>
        <w:pStyle w:val="Normal"/>
        <w:keepNext w:val="1"/>
        <w:keepLines w:val="1"/>
        <w:jc w:val="center"/>
        <w:rPr>
          <w:rFonts w:ascii="Arial" w:hAnsi="Arial" w:eastAsia="Arial" w:cs="Arial"/>
          <w:b w:val="1"/>
          <w:bCs w:val="1"/>
          <w:i w:val="0"/>
          <w:iCs w:val="0"/>
          <w:caps w:val="0"/>
          <w:smallCaps w:val="0"/>
          <w:noProof w:val="0"/>
          <w:color w:val="0E2740"/>
          <w:sz w:val="36"/>
          <w:szCs w:val="36"/>
          <w:lang w:val="en-GB"/>
        </w:rPr>
      </w:pPr>
      <w:r w:rsidRPr="5966783F" w:rsidR="320BC377">
        <w:rPr>
          <w:b w:val="1"/>
          <w:bCs w:val="1"/>
          <w:noProof w:val="0"/>
          <w:sz w:val="36"/>
          <w:szCs w:val="36"/>
          <w:lang w:val="en-GB"/>
        </w:rPr>
        <w:t>Financial Management (LCMB7002_LON)</w:t>
      </w:r>
    </w:p>
    <w:p xmlns:wp14="http://schemas.microsoft.com/office/word/2010/wordml" w:rsidP="5966783F" wp14:paraId="5678044B" wp14:textId="089BBC65">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1E39233A" wp14:textId="169AC007">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B7C1BB8" wp14:textId="01EC1757">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AA05126" wp14:textId="0FA19438">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60327BA4" wp14:textId="62CBF459">
      <w:pPr>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1"/>
          <w:bCs w:val="1"/>
          <w:i w:val="0"/>
          <w:iCs w:val="0"/>
          <w:caps w:val="0"/>
          <w:smallCaps w:val="0"/>
          <w:noProof w:val="0"/>
          <w:color w:val="000000" w:themeColor="text1" w:themeTint="FF" w:themeShade="FF"/>
          <w:sz w:val="24"/>
          <w:szCs w:val="24"/>
          <w:lang w:val="en-GB"/>
        </w:rPr>
        <w:t>Word Count</w:t>
      </w:r>
    </w:p>
    <w:p xmlns:wp14="http://schemas.microsoft.com/office/word/2010/wordml" w:rsidP="5966783F" wp14:paraId="489F1635" wp14:textId="23426586">
      <w:pPr>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567</w:t>
      </w:r>
      <w:r w:rsidRPr="5966783F" w:rsidR="47D15B0A">
        <w:rPr>
          <w:rFonts w:ascii="Arial" w:hAnsi="Arial" w:eastAsia="Arial" w:cs="Arial"/>
          <w:b w:val="0"/>
          <w:bCs w:val="0"/>
          <w:i w:val="0"/>
          <w:iCs w:val="0"/>
          <w:caps w:val="0"/>
          <w:smallCaps w:val="0"/>
          <w:noProof w:val="0"/>
          <w:color w:val="000000" w:themeColor="text1" w:themeTint="FF" w:themeShade="FF"/>
          <w:sz w:val="24"/>
          <w:szCs w:val="24"/>
          <w:lang w:val="en-GB"/>
        </w:rPr>
        <w:t>8</w:t>
      </w:r>
    </w:p>
    <w:p xmlns:wp14="http://schemas.microsoft.com/office/word/2010/wordml" wp14:paraId="4F9BF4AF" wp14:textId="10AD526D">
      <w:r>
        <w:br w:type="page"/>
      </w:r>
    </w:p>
    <w:sdt>
      <w:sdtPr>
        <w:id w:val="1279577652"/>
        <w:docPartObj>
          <w:docPartGallery w:val="Table of Contents"/>
          <w:docPartUnique/>
        </w:docPartObj>
      </w:sdtPr>
      <w:sdtContent>
        <w:p xmlns:wp14="http://schemas.microsoft.com/office/word/2010/wordml" w:rsidP="5966783F" wp14:paraId="5A6E7BD0" wp14:textId="122B06A5">
          <w:pPr>
            <w:pStyle w:val="TOC1"/>
            <w:tabs>
              <w:tab w:val="right" w:leader="dot" w:pos="9015"/>
            </w:tabs>
            <w:bidi w:val="0"/>
          </w:pPr>
          <w:r>
            <w:fldChar w:fldCharType="begin"/>
          </w:r>
          <w:r>
            <w:instrText xml:space="preserve">TOC \o "1-9" \z \u \h</w:instrText>
          </w:r>
          <w:r>
            <w:fldChar w:fldCharType="separate"/>
          </w:r>
          <w:hyperlink w:anchor="_Toc9358877">
            <w:r w:rsidRPr="5966783F" w:rsidR="5966783F">
              <w:rPr>
                <w:rStyle w:val="Hyperlink"/>
              </w:rPr>
              <w:t>Introduction</w:t>
            </w:r>
            <w:r>
              <w:tab/>
            </w:r>
            <w:r>
              <w:fldChar w:fldCharType="begin"/>
            </w:r>
            <w:r>
              <w:instrText xml:space="preserve">PAGEREF _Toc9358877 \h</w:instrText>
            </w:r>
            <w:r>
              <w:fldChar w:fldCharType="separate"/>
            </w:r>
            <w:r w:rsidRPr="5966783F" w:rsidR="5966783F">
              <w:rPr>
                <w:rStyle w:val="Hyperlink"/>
              </w:rPr>
              <w:t>2</w:t>
            </w:r>
            <w:r>
              <w:fldChar w:fldCharType="end"/>
            </w:r>
          </w:hyperlink>
        </w:p>
        <w:p xmlns:wp14="http://schemas.microsoft.com/office/word/2010/wordml" w:rsidP="5966783F" wp14:paraId="1E91B34D" wp14:textId="53B75B38">
          <w:pPr>
            <w:pStyle w:val="TOC1"/>
            <w:tabs>
              <w:tab w:val="right" w:leader="dot" w:pos="9015"/>
            </w:tabs>
            <w:bidi w:val="0"/>
          </w:pPr>
          <w:hyperlink w:anchor="_Toc1571987685">
            <w:r w:rsidRPr="5966783F" w:rsidR="5966783F">
              <w:rPr>
                <w:rStyle w:val="Hyperlink"/>
              </w:rPr>
              <w:t>2. Financial Health Check</w:t>
            </w:r>
            <w:r>
              <w:tab/>
            </w:r>
            <w:r>
              <w:fldChar w:fldCharType="begin"/>
            </w:r>
            <w:r>
              <w:instrText xml:space="preserve">PAGEREF _Toc1571987685 \h</w:instrText>
            </w:r>
            <w:r>
              <w:fldChar w:fldCharType="separate"/>
            </w:r>
            <w:r w:rsidRPr="5966783F" w:rsidR="5966783F">
              <w:rPr>
                <w:rStyle w:val="Hyperlink"/>
              </w:rPr>
              <w:t>3</w:t>
            </w:r>
            <w:r>
              <w:fldChar w:fldCharType="end"/>
            </w:r>
          </w:hyperlink>
        </w:p>
        <w:p xmlns:wp14="http://schemas.microsoft.com/office/word/2010/wordml" w:rsidP="5966783F" wp14:paraId="31A9449C" wp14:textId="72708449">
          <w:pPr>
            <w:pStyle w:val="TOC2"/>
            <w:tabs>
              <w:tab w:val="right" w:leader="dot" w:pos="9015"/>
            </w:tabs>
            <w:bidi w:val="0"/>
          </w:pPr>
          <w:hyperlink w:anchor="_Toc787883006">
            <w:r w:rsidRPr="5966783F" w:rsidR="5966783F">
              <w:rPr>
                <w:rStyle w:val="Hyperlink"/>
              </w:rPr>
              <w:t>2.1 Overview of Hilton's Financial Performance (2021–2025)</w:t>
            </w:r>
            <w:r>
              <w:tab/>
            </w:r>
            <w:r>
              <w:fldChar w:fldCharType="begin"/>
            </w:r>
            <w:r>
              <w:instrText xml:space="preserve">PAGEREF _Toc787883006 \h</w:instrText>
            </w:r>
            <w:r>
              <w:fldChar w:fldCharType="separate"/>
            </w:r>
            <w:r w:rsidRPr="5966783F" w:rsidR="5966783F">
              <w:rPr>
                <w:rStyle w:val="Hyperlink"/>
              </w:rPr>
              <w:t>3</w:t>
            </w:r>
            <w:r>
              <w:fldChar w:fldCharType="end"/>
            </w:r>
          </w:hyperlink>
        </w:p>
        <w:p xmlns:wp14="http://schemas.microsoft.com/office/word/2010/wordml" w:rsidP="5966783F" wp14:paraId="6ADB3EBD" wp14:textId="14992C19">
          <w:pPr>
            <w:pStyle w:val="TOC2"/>
            <w:tabs>
              <w:tab w:val="right" w:leader="dot" w:pos="9015"/>
            </w:tabs>
            <w:bidi w:val="0"/>
          </w:pPr>
          <w:hyperlink w:anchor="_Toc1347617500">
            <w:r w:rsidRPr="5966783F" w:rsidR="5966783F">
              <w:rPr>
                <w:rStyle w:val="Hyperlink"/>
              </w:rPr>
              <w:t>2.2 Profitability Analysis</w:t>
            </w:r>
            <w:r>
              <w:tab/>
            </w:r>
            <w:r>
              <w:fldChar w:fldCharType="begin"/>
            </w:r>
            <w:r>
              <w:instrText xml:space="preserve">PAGEREF _Toc1347617500 \h</w:instrText>
            </w:r>
            <w:r>
              <w:fldChar w:fldCharType="separate"/>
            </w:r>
            <w:r w:rsidRPr="5966783F" w:rsidR="5966783F">
              <w:rPr>
                <w:rStyle w:val="Hyperlink"/>
              </w:rPr>
              <w:t>4</w:t>
            </w:r>
            <w:r>
              <w:fldChar w:fldCharType="end"/>
            </w:r>
          </w:hyperlink>
        </w:p>
        <w:p xmlns:wp14="http://schemas.microsoft.com/office/word/2010/wordml" w:rsidP="5966783F" wp14:paraId="4B94FF4D" wp14:textId="5A9F0D63">
          <w:pPr>
            <w:pStyle w:val="TOC2"/>
            <w:tabs>
              <w:tab w:val="right" w:leader="dot" w:pos="9015"/>
            </w:tabs>
            <w:bidi w:val="0"/>
          </w:pPr>
          <w:hyperlink w:anchor="_Toc1630205288">
            <w:r w:rsidRPr="5966783F" w:rsidR="5966783F">
              <w:rPr>
                <w:rStyle w:val="Hyperlink"/>
              </w:rPr>
              <w:t>2.3 Liquidity Analysis</w:t>
            </w:r>
            <w:r>
              <w:tab/>
            </w:r>
            <w:r>
              <w:fldChar w:fldCharType="begin"/>
            </w:r>
            <w:r>
              <w:instrText xml:space="preserve">PAGEREF _Toc1630205288 \h</w:instrText>
            </w:r>
            <w:r>
              <w:fldChar w:fldCharType="separate"/>
            </w:r>
            <w:r w:rsidRPr="5966783F" w:rsidR="5966783F">
              <w:rPr>
                <w:rStyle w:val="Hyperlink"/>
              </w:rPr>
              <w:t>5</w:t>
            </w:r>
            <w:r>
              <w:fldChar w:fldCharType="end"/>
            </w:r>
          </w:hyperlink>
        </w:p>
        <w:p xmlns:wp14="http://schemas.microsoft.com/office/word/2010/wordml" w:rsidP="5966783F" wp14:paraId="37B12ACF" wp14:textId="40703DC6">
          <w:pPr>
            <w:pStyle w:val="TOC2"/>
            <w:tabs>
              <w:tab w:val="right" w:leader="dot" w:pos="9015"/>
            </w:tabs>
            <w:bidi w:val="0"/>
          </w:pPr>
          <w:hyperlink w:anchor="_Toc399854678">
            <w:r w:rsidRPr="5966783F" w:rsidR="5966783F">
              <w:rPr>
                <w:rStyle w:val="Hyperlink"/>
              </w:rPr>
              <w:t>2.4 Efficiency Analysis</w:t>
            </w:r>
            <w:r>
              <w:tab/>
            </w:r>
            <w:r>
              <w:fldChar w:fldCharType="begin"/>
            </w:r>
            <w:r>
              <w:instrText xml:space="preserve">PAGEREF _Toc399854678 \h</w:instrText>
            </w:r>
            <w:r>
              <w:fldChar w:fldCharType="separate"/>
            </w:r>
            <w:r w:rsidRPr="5966783F" w:rsidR="5966783F">
              <w:rPr>
                <w:rStyle w:val="Hyperlink"/>
              </w:rPr>
              <w:t>5</w:t>
            </w:r>
            <w:r>
              <w:fldChar w:fldCharType="end"/>
            </w:r>
          </w:hyperlink>
        </w:p>
        <w:p xmlns:wp14="http://schemas.microsoft.com/office/word/2010/wordml" w:rsidP="5966783F" wp14:paraId="79815A1D" wp14:textId="15ED8570">
          <w:pPr>
            <w:pStyle w:val="TOC2"/>
            <w:tabs>
              <w:tab w:val="right" w:leader="dot" w:pos="9015"/>
            </w:tabs>
            <w:bidi w:val="0"/>
          </w:pPr>
          <w:hyperlink w:anchor="_Toc633680448">
            <w:r w:rsidRPr="5966783F" w:rsidR="5966783F">
              <w:rPr>
                <w:rStyle w:val="Hyperlink"/>
              </w:rPr>
              <w:t>2.5 Gearing (Leverage) Analysis</w:t>
            </w:r>
            <w:r>
              <w:tab/>
            </w:r>
            <w:r>
              <w:fldChar w:fldCharType="begin"/>
            </w:r>
            <w:r>
              <w:instrText xml:space="preserve">PAGEREF _Toc633680448 \h</w:instrText>
            </w:r>
            <w:r>
              <w:fldChar w:fldCharType="separate"/>
            </w:r>
            <w:r w:rsidRPr="5966783F" w:rsidR="5966783F">
              <w:rPr>
                <w:rStyle w:val="Hyperlink"/>
              </w:rPr>
              <w:t>6</w:t>
            </w:r>
            <w:r>
              <w:fldChar w:fldCharType="end"/>
            </w:r>
          </w:hyperlink>
        </w:p>
        <w:p xmlns:wp14="http://schemas.microsoft.com/office/word/2010/wordml" w:rsidP="5966783F" wp14:paraId="585E80F6" wp14:textId="27F5DE7D">
          <w:pPr>
            <w:pStyle w:val="TOC2"/>
            <w:tabs>
              <w:tab w:val="right" w:leader="dot" w:pos="9015"/>
            </w:tabs>
            <w:bidi w:val="0"/>
          </w:pPr>
          <w:hyperlink w:anchor="_Toc2061362703">
            <w:r w:rsidRPr="5966783F" w:rsidR="5966783F">
              <w:rPr>
                <w:rStyle w:val="Hyperlink"/>
              </w:rPr>
              <w:t>2.6 Comparison with Industry Benchmarks</w:t>
            </w:r>
            <w:r>
              <w:tab/>
            </w:r>
            <w:r>
              <w:fldChar w:fldCharType="begin"/>
            </w:r>
            <w:r>
              <w:instrText xml:space="preserve">PAGEREF _Toc2061362703 \h</w:instrText>
            </w:r>
            <w:r>
              <w:fldChar w:fldCharType="separate"/>
            </w:r>
            <w:r w:rsidRPr="5966783F" w:rsidR="5966783F">
              <w:rPr>
                <w:rStyle w:val="Hyperlink"/>
              </w:rPr>
              <w:t>6</w:t>
            </w:r>
            <w:r>
              <w:fldChar w:fldCharType="end"/>
            </w:r>
          </w:hyperlink>
        </w:p>
        <w:p xmlns:wp14="http://schemas.microsoft.com/office/word/2010/wordml" w:rsidP="5966783F" wp14:paraId="40473E60" wp14:textId="00DF4B39">
          <w:pPr>
            <w:pStyle w:val="TOC2"/>
            <w:tabs>
              <w:tab w:val="right" w:leader="dot" w:pos="9015"/>
            </w:tabs>
            <w:bidi w:val="0"/>
          </w:pPr>
          <w:hyperlink w:anchor="_Toc286206149">
            <w:r w:rsidRPr="5966783F" w:rsidR="5966783F">
              <w:rPr>
                <w:rStyle w:val="Hyperlink"/>
              </w:rPr>
              <w:t>2.7 Overall Assessment</w:t>
            </w:r>
            <w:r>
              <w:tab/>
            </w:r>
            <w:r>
              <w:fldChar w:fldCharType="begin"/>
            </w:r>
            <w:r>
              <w:instrText xml:space="preserve">PAGEREF _Toc286206149 \h</w:instrText>
            </w:r>
            <w:r>
              <w:fldChar w:fldCharType="separate"/>
            </w:r>
            <w:r w:rsidRPr="5966783F" w:rsidR="5966783F">
              <w:rPr>
                <w:rStyle w:val="Hyperlink"/>
              </w:rPr>
              <w:t>7</w:t>
            </w:r>
            <w:r>
              <w:fldChar w:fldCharType="end"/>
            </w:r>
          </w:hyperlink>
        </w:p>
        <w:p xmlns:wp14="http://schemas.microsoft.com/office/word/2010/wordml" w:rsidP="5966783F" wp14:paraId="44F357BE" wp14:textId="00FF457B">
          <w:pPr>
            <w:pStyle w:val="TOC1"/>
            <w:tabs>
              <w:tab w:val="right" w:leader="dot" w:pos="9015"/>
            </w:tabs>
            <w:bidi w:val="0"/>
          </w:pPr>
          <w:hyperlink w:anchor="_Toc62702222">
            <w:r w:rsidRPr="5966783F" w:rsidR="5966783F">
              <w:rPr>
                <w:rStyle w:val="Hyperlink"/>
              </w:rPr>
              <w:t>3. Working Capital Management Analysis</w:t>
            </w:r>
            <w:r>
              <w:tab/>
            </w:r>
            <w:r>
              <w:fldChar w:fldCharType="begin"/>
            </w:r>
            <w:r>
              <w:instrText xml:space="preserve">PAGEREF _Toc62702222 \h</w:instrText>
            </w:r>
            <w:r>
              <w:fldChar w:fldCharType="separate"/>
            </w:r>
            <w:r w:rsidRPr="5966783F" w:rsidR="5966783F">
              <w:rPr>
                <w:rStyle w:val="Hyperlink"/>
              </w:rPr>
              <w:t>7</w:t>
            </w:r>
            <w:r>
              <w:fldChar w:fldCharType="end"/>
            </w:r>
          </w:hyperlink>
        </w:p>
        <w:p xmlns:wp14="http://schemas.microsoft.com/office/word/2010/wordml" w:rsidP="5966783F" wp14:paraId="1A795AE8" wp14:textId="61405EAE">
          <w:pPr>
            <w:pStyle w:val="TOC2"/>
            <w:tabs>
              <w:tab w:val="right" w:leader="dot" w:pos="9015"/>
            </w:tabs>
            <w:bidi w:val="0"/>
          </w:pPr>
          <w:hyperlink w:anchor="_Toc293913706">
            <w:r w:rsidRPr="5966783F" w:rsidR="5966783F">
              <w:rPr>
                <w:rStyle w:val="Hyperlink"/>
              </w:rPr>
              <w:t>3.1 Assessment of Hilton's Cash Operating Cycle</w:t>
            </w:r>
            <w:r>
              <w:tab/>
            </w:r>
            <w:r>
              <w:fldChar w:fldCharType="begin"/>
            </w:r>
            <w:r>
              <w:instrText xml:space="preserve">PAGEREF _Toc293913706 \h</w:instrText>
            </w:r>
            <w:r>
              <w:fldChar w:fldCharType="separate"/>
            </w:r>
            <w:r w:rsidRPr="5966783F" w:rsidR="5966783F">
              <w:rPr>
                <w:rStyle w:val="Hyperlink"/>
              </w:rPr>
              <w:t>7</w:t>
            </w:r>
            <w:r>
              <w:fldChar w:fldCharType="end"/>
            </w:r>
          </w:hyperlink>
        </w:p>
        <w:p xmlns:wp14="http://schemas.microsoft.com/office/word/2010/wordml" w:rsidP="5966783F" wp14:paraId="1BAFE834" wp14:textId="361D6396">
          <w:pPr>
            <w:pStyle w:val="TOC2"/>
            <w:tabs>
              <w:tab w:val="right" w:leader="dot" w:pos="9015"/>
            </w:tabs>
            <w:bidi w:val="0"/>
          </w:pPr>
          <w:hyperlink w:anchor="_Toc1576539172">
            <w:r w:rsidRPr="5966783F" w:rsidR="5966783F">
              <w:rPr>
                <w:rStyle w:val="Hyperlink"/>
              </w:rPr>
              <w:t>3.2 Strategies to Improve Liquidity Through Working Capital Reforms</w:t>
            </w:r>
            <w:r>
              <w:tab/>
            </w:r>
            <w:r>
              <w:fldChar w:fldCharType="begin"/>
            </w:r>
            <w:r>
              <w:instrText xml:space="preserve">PAGEREF _Toc1576539172 \h</w:instrText>
            </w:r>
            <w:r>
              <w:fldChar w:fldCharType="separate"/>
            </w:r>
            <w:r w:rsidRPr="5966783F" w:rsidR="5966783F">
              <w:rPr>
                <w:rStyle w:val="Hyperlink"/>
              </w:rPr>
              <w:t>8</w:t>
            </w:r>
            <w:r>
              <w:fldChar w:fldCharType="end"/>
            </w:r>
          </w:hyperlink>
        </w:p>
        <w:p xmlns:wp14="http://schemas.microsoft.com/office/word/2010/wordml" w:rsidP="5966783F" wp14:paraId="6175EE10" wp14:textId="666E9283">
          <w:pPr>
            <w:pStyle w:val="TOC2"/>
            <w:tabs>
              <w:tab w:val="right" w:leader="dot" w:pos="9015"/>
            </w:tabs>
            <w:bidi w:val="0"/>
          </w:pPr>
          <w:hyperlink w:anchor="_Toc17449493">
            <w:r w:rsidRPr="5966783F" w:rsidR="5966783F">
              <w:rPr>
                <w:rStyle w:val="Hyperlink"/>
              </w:rPr>
              <w:t>3.3 Comparison of Short-Term and Long-Term Financing Options</w:t>
            </w:r>
            <w:r>
              <w:tab/>
            </w:r>
            <w:r>
              <w:fldChar w:fldCharType="begin"/>
            </w:r>
            <w:r>
              <w:instrText xml:space="preserve">PAGEREF _Toc17449493 \h</w:instrText>
            </w:r>
            <w:r>
              <w:fldChar w:fldCharType="separate"/>
            </w:r>
            <w:r w:rsidRPr="5966783F" w:rsidR="5966783F">
              <w:rPr>
                <w:rStyle w:val="Hyperlink"/>
              </w:rPr>
              <w:t>10</w:t>
            </w:r>
            <w:r>
              <w:fldChar w:fldCharType="end"/>
            </w:r>
          </w:hyperlink>
        </w:p>
        <w:p xmlns:wp14="http://schemas.microsoft.com/office/word/2010/wordml" w:rsidP="5966783F" wp14:paraId="1FE3D548" wp14:textId="6D925E00">
          <w:pPr>
            <w:pStyle w:val="TOC2"/>
            <w:tabs>
              <w:tab w:val="right" w:leader="dot" w:pos="9015"/>
            </w:tabs>
            <w:bidi w:val="0"/>
          </w:pPr>
          <w:hyperlink w:anchor="_Toc960751842">
            <w:r w:rsidRPr="5966783F" w:rsidR="5966783F">
              <w:rPr>
                <w:rStyle w:val="Hyperlink"/>
              </w:rPr>
              <w:t>3.4 Overall Evaluation</w:t>
            </w:r>
            <w:r>
              <w:tab/>
            </w:r>
            <w:r>
              <w:fldChar w:fldCharType="begin"/>
            </w:r>
            <w:r>
              <w:instrText xml:space="preserve">PAGEREF _Toc960751842 \h</w:instrText>
            </w:r>
            <w:r>
              <w:fldChar w:fldCharType="separate"/>
            </w:r>
            <w:r w:rsidRPr="5966783F" w:rsidR="5966783F">
              <w:rPr>
                <w:rStyle w:val="Hyperlink"/>
              </w:rPr>
              <w:t>11</w:t>
            </w:r>
            <w:r>
              <w:fldChar w:fldCharType="end"/>
            </w:r>
          </w:hyperlink>
        </w:p>
        <w:p xmlns:wp14="http://schemas.microsoft.com/office/word/2010/wordml" w:rsidP="5966783F" wp14:paraId="5DFE51DD" wp14:textId="772D5E3D">
          <w:pPr>
            <w:pStyle w:val="TOC1"/>
            <w:tabs>
              <w:tab w:val="right" w:leader="dot" w:pos="9015"/>
            </w:tabs>
            <w:bidi w:val="0"/>
          </w:pPr>
          <w:hyperlink w:anchor="_Toc1214407672">
            <w:r w:rsidRPr="5966783F" w:rsidR="5966783F">
              <w:rPr>
                <w:rStyle w:val="Hyperlink"/>
              </w:rPr>
              <w:t>4. Strategic Financial Restructuring Plan</w:t>
            </w:r>
            <w:r>
              <w:tab/>
            </w:r>
            <w:r>
              <w:fldChar w:fldCharType="begin"/>
            </w:r>
            <w:r>
              <w:instrText xml:space="preserve">PAGEREF _Toc1214407672 \h</w:instrText>
            </w:r>
            <w:r>
              <w:fldChar w:fldCharType="separate"/>
            </w:r>
            <w:r w:rsidRPr="5966783F" w:rsidR="5966783F">
              <w:rPr>
                <w:rStyle w:val="Hyperlink"/>
              </w:rPr>
              <w:t>11</w:t>
            </w:r>
            <w:r>
              <w:fldChar w:fldCharType="end"/>
            </w:r>
          </w:hyperlink>
        </w:p>
        <w:p xmlns:wp14="http://schemas.microsoft.com/office/word/2010/wordml" w:rsidP="5966783F" wp14:paraId="7484CFDA" wp14:textId="6ED0367E">
          <w:pPr>
            <w:pStyle w:val="TOC2"/>
            <w:tabs>
              <w:tab w:val="right" w:leader="dot" w:pos="9015"/>
            </w:tabs>
            <w:bidi w:val="0"/>
          </w:pPr>
          <w:hyperlink w:anchor="_Toc176831891">
            <w:r w:rsidRPr="5966783F" w:rsidR="5966783F">
              <w:rPr>
                <w:rStyle w:val="Hyperlink"/>
              </w:rPr>
              <w:t>4.1 Recommended Financial Restructuring Options</w:t>
            </w:r>
            <w:r>
              <w:tab/>
            </w:r>
            <w:r>
              <w:fldChar w:fldCharType="begin"/>
            </w:r>
            <w:r>
              <w:instrText xml:space="preserve">PAGEREF _Toc176831891 \h</w:instrText>
            </w:r>
            <w:r>
              <w:fldChar w:fldCharType="separate"/>
            </w:r>
            <w:r w:rsidRPr="5966783F" w:rsidR="5966783F">
              <w:rPr>
                <w:rStyle w:val="Hyperlink"/>
              </w:rPr>
              <w:t>11</w:t>
            </w:r>
            <w:r>
              <w:fldChar w:fldCharType="end"/>
            </w:r>
          </w:hyperlink>
        </w:p>
        <w:p xmlns:wp14="http://schemas.microsoft.com/office/word/2010/wordml" w:rsidP="5966783F" wp14:paraId="3CD09490" wp14:textId="2C873B1B">
          <w:pPr>
            <w:pStyle w:val="TOC2"/>
            <w:tabs>
              <w:tab w:val="right" w:leader="dot" w:pos="9015"/>
            </w:tabs>
            <w:bidi w:val="0"/>
          </w:pPr>
          <w:hyperlink w:anchor="_Toc1582200478">
            <w:r w:rsidRPr="5966783F" w:rsidR="5966783F">
              <w:rPr>
                <w:rStyle w:val="Hyperlink"/>
              </w:rPr>
              <w:t>4.2 Impact on Shareholder Value, Debt Structure and Operational Flexibility</w:t>
            </w:r>
            <w:r>
              <w:tab/>
            </w:r>
            <w:r>
              <w:fldChar w:fldCharType="begin"/>
            </w:r>
            <w:r>
              <w:instrText xml:space="preserve">PAGEREF _Toc1582200478 \h</w:instrText>
            </w:r>
            <w:r>
              <w:fldChar w:fldCharType="separate"/>
            </w:r>
            <w:r w:rsidRPr="5966783F" w:rsidR="5966783F">
              <w:rPr>
                <w:rStyle w:val="Hyperlink"/>
              </w:rPr>
              <w:t>12</w:t>
            </w:r>
            <w:r>
              <w:fldChar w:fldCharType="end"/>
            </w:r>
          </w:hyperlink>
        </w:p>
        <w:p xmlns:wp14="http://schemas.microsoft.com/office/word/2010/wordml" w:rsidP="5966783F" wp14:paraId="1E9FE1F9" wp14:textId="31A4FB54">
          <w:pPr>
            <w:pStyle w:val="TOC2"/>
            <w:tabs>
              <w:tab w:val="right" w:leader="dot" w:pos="9015"/>
            </w:tabs>
            <w:bidi w:val="0"/>
          </w:pPr>
          <w:hyperlink w:anchor="_Toc1934021473">
            <w:r w:rsidRPr="5966783F" w:rsidR="5966783F">
              <w:rPr>
                <w:rStyle w:val="Hyperlink"/>
              </w:rPr>
              <w:t>4.3 International and Ethical Considerations</w:t>
            </w:r>
            <w:r>
              <w:tab/>
            </w:r>
            <w:r>
              <w:fldChar w:fldCharType="begin"/>
            </w:r>
            <w:r>
              <w:instrText xml:space="preserve">PAGEREF _Toc1934021473 \h</w:instrText>
            </w:r>
            <w:r>
              <w:fldChar w:fldCharType="separate"/>
            </w:r>
            <w:r w:rsidRPr="5966783F" w:rsidR="5966783F">
              <w:rPr>
                <w:rStyle w:val="Hyperlink"/>
              </w:rPr>
              <w:t>13</w:t>
            </w:r>
            <w:r>
              <w:fldChar w:fldCharType="end"/>
            </w:r>
          </w:hyperlink>
        </w:p>
        <w:p xmlns:wp14="http://schemas.microsoft.com/office/word/2010/wordml" w:rsidP="5966783F" wp14:paraId="74B83EC0" wp14:textId="5B65E6C3">
          <w:pPr>
            <w:pStyle w:val="TOC2"/>
            <w:tabs>
              <w:tab w:val="right" w:leader="dot" w:pos="9015"/>
            </w:tabs>
            <w:bidi w:val="0"/>
          </w:pPr>
          <w:hyperlink w:anchor="_Toc130322734">
            <w:r w:rsidRPr="5966783F" w:rsidR="5966783F">
              <w:rPr>
                <w:rStyle w:val="Hyperlink"/>
              </w:rPr>
              <w:t>4.4 Overall Evaluation</w:t>
            </w:r>
            <w:r>
              <w:tab/>
            </w:r>
            <w:r>
              <w:fldChar w:fldCharType="begin"/>
            </w:r>
            <w:r>
              <w:instrText xml:space="preserve">PAGEREF _Toc130322734 \h</w:instrText>
            </w:r>
            <w:r>
              <w:fldChar w:fldCharType="separate"/>
            </w:r>
            <w:r w:rsidRPr="5966783F" w:rsidR="5966783F">
              <w:rPr>
                <w:rStyle w:val="Hyperlink"/>
              </w:rPr>
              <w:t>14</w:t>
            </w:r>
            <w:r>
              <w:fldChar w:fldCharType="end"/>
            </w:r>
          </w:hyperlink>
        </w:p>
        <w:p xmlns:wp14="http://schemas.microsoft.com/office/word/2010/wordml" w:rsidP="5966783F" wp14:paraId="1347CC5D" wp14:textId="43A65C08">
          <w:pPr>
            <w:pStyle w:val="TOC1"/>
            <w:tabs>
              <w:tab w:val="right" w:leader="dot" w:pos="9015"/>
            </w:tabs>
            <w:bidi w:val="0"/>
          </w:pPr>
          <w:hyperlink w:anchor="_Toc338821389">
            <w:r w:rsidRPr="5966783F" w:rsidR="5966783F">
              <w:rPr>
                <w:rStyle w:val="Hyperlink"/>
              </w:rPr>
              <w:t>5: Investment Appraisal and Capital Budgeting</w:t>
            </w:r>
            <w:r>
              <w:tab/>
            </w:r>
            <w:r>
              <w:fldChar w:fldCharType="begin"/>
            </w:r>
            <w:r>
              <w:instrText xml:space="preserve">PAGEREF _Toc338821389 \h</w:instrText>
            </w:r>
            <w:r>
              <w:fldChar w:fldCharType="separate"/>
            </w:r>
            <w:r w:rsidRPr="5966783F" w:rsidR="5966783F">
              <w:rPr>
                <w:rStyle w:val="Hyperlink"/>
              </w:rPr>
              <w:t>15</w:t>
            </w:r>
            <w:r>
              <w:fldChar w:fldCharType="end"/>
            </w:r>
          </w:hyperlink>
        </w:p>
        <w:p xmlns:wp14="http://schemas.microsoft.com/office/word/2010/wordml" w:rsidP="5966783F" wp14:paraId="192AD78A" wp14:textId="4C7A6C1E">
          <w:pPr>
            <w:pStyle w:val="TOC2"/>
            <w:tabs>
              <w:tab w:val="right" w:leader="dot" w:pos="9015"/>
            </w:tabs>
            <w:bidi w:val="0"/>
          </w:pPr>
          <w:hyperlink w:anchor="_Toc1190219675">
            <w:r w:rsidRPr="5966783F" w:rsidR="5966783F">
              <w:rPr>
                <w:rStyle w:val="Hyperlink"/>
              </w:rPr>
              <w:t>5.1 Introduction</w:t>
            </w:r>
            <w:r>
              <w:tab/>
            </w:r>
            <w:r>
              <w:fldChar w:fldCharType="begin"/>
            </w:r>
            <w:r>
              <w:instrText xml:space="preserve">PAGEREF _Toc1190219675 \h</w:instrText>
            </w:r>
            <w:r>
              <w:fldChar w:fldCharType="separate"/>
            </w:r>
            <w:r w:rsidRPr="5966783F" w:rsidR="5966783F">
              <w:rPr>
                <w:rStyle w:val="Hyperlink"/>
              </w:rPr>
              <w:t>15</w:t>
            </w:r>
            <w:r>
              <w:fldChar w:fldCharType="end"/>
            </w:r>
          </w:hyperlink>
        </w:p>
        <w:p xmlns:wp14="http://schemas.microsoft.com/office/word/2010/wordml" w:rsidP="5966783F" wp14:paraId="2912096E" wp14:textId="771A77F6">
          <w:pPr>
            <w:pStyle w:val="TOC2"/>
            <w:tabs>
              <w:tab w:val="right" w:leader="dot" w:pos="9015"/>
            </w:tabs>
            <w:bidi w:val="0"/>
          </w:pPr>
          <w:hyperlink w:anchor="_Toc828193203">
            <w:r w:rsidRPr="5966783F" w:rsidR="5966783F">
              <w:rPr>
                <w:rStyle w:val="Hyperlink"/>
              </w:rPr>
              <w:t>5.2 Investment Appraisal Results</w:t>
            </w:r>
            <w:r>
              <w:tab/>
            </w:r>
            <w:r>
              <w:fldChar w:fldCharType="begin"/>
            </w:r>
            <w:r>
              <w:instrText xml:space="preserve">PAGEREF _Toc828193203 \h</w:instrText>
            </w:r>
            <w:r>
              <w:fldChar w:fldCharType="separate"/>
            </w:r>
            <w:r w:rsidRPr="5966783F" w:rsidR="5966783F">
              <w:rPr>
                <w:rStyle w:val="Hyperlink"/>
              </w:rPr>
              <w:t>15</w:t>
            </w:r>
            <w:r>
              <w:fldChar w:fldCharType="end"/>
            </w:r>
          </w:hyperlink>
        </w:p>
        <w:p xmlns:wp14="http://schemas.microsoft.com/office/word/2010/wordml" w:rsidP="5966783F" wp14:paraId="41920DBE" wp14:textId="4AA48EF8">
          <w:pPr>
            <w:pStyle w:val="TOC2"/>
            <w:tabs>
              <w:tab w:val="right" w:leader="dot" w:pos="9015"/>
            </w:tabs>
            <w:bidi w:val="0"/>
          </w:pPr>
          <w:hyperlink w:anchor="_Toc592853999">
            <w:r w:rsidRPr="5966783F" w:rsidR="5966783F">
              <w:rPr>
                <w:rStyle w:val="Hyperlink"/>
              </w:rPr>
              <w:t>5.3 Evaluation of Project A</w:t>
            </w:r>
            <w:r>
              <w:tab/>
            </w:r>
            <w:r>
              <w:fldChar w:fldCharType="begin"/>
            </w:r>
            <w:r>
              <w:instrText xml:space="preserve">PAGEREF _Toc592853999 \h</w:instrText>
            </w:r>
            <w:r>
              <w:fldChar w:fldCharType="separate"/>
            </w:r>
            <w:r w:rsidRPr="5966783F" w:rsidR="5966783F">
              <w:rPr>
                <w:rStyle w:val="Hyperlink"/>
              </w:rPr>
              <w:t>16</w:t>
            </w:r>
            <w:r>
              <w:fldChar w:fldCharType="end"/>
            </w:r>
          </w:hyperlink>
        </w:p>
        <w:p xmlns:wp14="http://schemas.microsoft.com/office/word/2010/wordml" w:rsidP="5966783F" wp14:paraId="721FDAD7" wp14:textId="79EEC71B">
          <w:pPr>
            <w:pStyle w:val="TOC2"/>
            <w:tabs>
              <w:tab w:val="right" w:leader="dot" w:pos="9015"/>
            </w:tabs>
            <w:bidi w:val="0"/>
          </w:pPr>
          <w:hyperlink w:anchor="_Toc85368105">
            <w:r w:rsidRPr="5966783F" w:rsidR="5966783F">
              <w:rPr>
                <w:rStyle w:val="Hyperlink"/>
              </w:rPr>
              <w:t>5.4 Evaluation of Project B</w:t>
            </w:r>
            <w:r>
              <w:tab/>
            </w:r>
            <w:r>
              <w:fldChar w:fldCharType="begin"/>
            </w:r>
            <w:r>
              <w:instrText xml:space="preserve">PAGEREF _Toc85368105 \h</w:instrText>
            </w:r>
            <w:r>
              <w:fldChar w:fldCharType="separate"/>
            </w:r>
            <w:r w:rsidRPr="5966783F" w:rsidR="5966783F">
              <w:rPr>
                <w:rStyle w:val="Hyperlink"/>
              </w:rPr>
              <w:t>16</w:t>
            </w:r>
            <w:r>
              <w:fldChar w:fldCharType="end"/>
            </w:r>
          </w:hyperlink>
        </w:p>
        <w:p xmlns:wp14="http://schemas.microsoft.com/office/word/2010/wordml" w:rsidP="5966783F" wp14:paraId="39D3FF28" wp14:textId="57DC4C42">
          <w:pPr>
            <w:pStyle w:val="TOC2"/>
            <w:tabs>
              <w:tab w:val="right" w:leader="dot" w:pos="9015"/>
            </w:tabs>
            <w:bidi w:val="0"/>
          </w:pPr>
          <w:hyperlink w:anchor="_Toc978533242">
            <w:r w:rsidRPr="5966783F" w:rsidR="5966783F">
              <w:rPr>
                <w:rStyle w:val="Hyperlink"/>
              </w:rPr>
              <w:t>5.5 Evaluation of Project C</w:t>
            </w:r>
            <w:r>
              <w:tab/>
            </w:r>
            <w:r>
              <w:fldChar w:fldCharType="begin"/>
            </w:r>
            <w:r>
              <w:instrText xml:space="preserve">PAGEREF _Toc978533242 \h</w:instrText>
            </w:r>
            <w:r>
              <w:fldChar w:fldCharType="separate"/>
            </w:r>
            <w:r w:rsidRPr="5966783F" w:rsidR="5966783F">
              <w:rPr>
                <w:rStyle w:val="Hyperlink"/>
              </w:rPr>
              <w:t>16</w:t>
            </w:r>
            <w:r>
              <w:fldChar w:fldCharType="end"/>
            </w:r>
          </w:hyperlink>
        </w:p>
        <w:p xmlns:wp14="http://schemas.microsoft.com/office/word/2010/wordml" w:rsidP="5966783F" wp14:paraId="5F77B745" wp14:textId="2CC97AE4">
          <w:pPr>
            <w:pStyle w:val="TOC2"/>
            <w:tabs>
              <w:tab w:val="right" w:leader="dot" w:pos="9015"/>
            </w:tabs>
            <w:bidi w:val="0"/>
          </w:pPr>
          <w:hyperlink w:anchor="_Toc163607862">
            <w:r w:rsidRPr="5966783F" w:rsidR="5966783F">
              <w:rPr>
                <w:rStyle w:val="Hyperlink"/>
              </w:rPr>
              <w:t>5.6 Recommended Investment Project</w:t>
            </w:r>
            <w:r>
              <w:tab/>
            </w:r>
            <w:r>
              <w:fldChar w:fldCharType="begin"/>
            </w:r>
            <w:r>
              <w:instrText xml:space="preserve">PAGEREF _Toc163607862 \h</w:instrText>
            </w:r>
            <w:r>
              <w:fldChar w:fldCharType="separate"/>
            </w:r>
            <w:r w:rsidRPr="5966783F" w:rsidR="5966783F">
              <w:rPr>
                <w:rStyle w:val="Hyperlink"/>
              </w:rPr>
              <w:t>16</w:t>
            </w:r>
            <w:r>
              <w:fldChar w:fldCharType="end"/>
            </w:r>
          </w:hyperlink>
        </w:p>
        <w:p xmlns:wp14="http://schemas.microsoft.com/office/word/2010/wordml" w:rsidP="5966783F" wp14:paraId="0323ACB8" wp14:textId="179D7B31">
          <w:pPr>
            <w:pStyle w:val="TOC2"/>
            <w:tabs>
              <w:tab w:val="right" w:leader="dot" w:pos="9015"/>
            </w:tabs>
            <w:bidi w:val="0"/>
          </w:pPr>
          <w:hyperlink w:anchor="_Toc1369047521">
            <w:r w:rsidRPr="5966783F" w:rsidR="5966783F">
              <w:rPr>
                <w:rStyle w:val="Hyperlink"/>
              </w:rPr>
              <w:t>5.7 Non-Financial Risks</w:t>
            </w:r>
            <w:r>
              <w:tab/>
            </w:r>
            <w:r>
              <w:fldChar w:fldCharType="begin"/>
            </w:r>
            <w:r>
              <w:instrText xml:space="preserve">PAGEREF _Toc1369047521 \h</w:instrText>
            </w:r>
            <w:r>
              <w:fldChar w:fldCharType="separate"/>
            </w:r>
            <w:r w:rsidRPr="5966783F" w:rsidR="5966783F">
              <w:rPr>
                <w:rStyle w:val="Hyperlink"/>
              </w:rPr>
              <w:t>16</w:t>
            </w:r>
            <w:r>
              <w:fldChar w:fldCharType="end"/>
            </w:r>
          </w:hyperlink>
        </w:p>
        <w:p xmlns:wp14="http://schemas.microsoft.com/office/word/2010/wordml" w:rsidP="5966783F" wp14:paraId="21E9E547" wp14:textId="484A5A36">
          <w:pPr>
            <w:pStyle w:val="TOC2"/>
            <w:tabs>
              <w:tab w:val="right" w:leader="dot" w:pos="9015"/>
            </w:tabs>
            <w:bidi w:val="0"/>
          </w:pPr>
          <w:hyperlink w:anchor="_Toc1380680310">
            <w:r w:rsidRPr="5966783F" w:rsidR="5966783F">
              <w:rPr>
                <w:rStyle w:val="Hyperlink"/>
              </w:rPr>
              <w:t>5.8 Capital Rationing</w:t>
            </w:r>
            <w:r>
              <w:tab/>
            </w:r>
            <w:r>
              <w:fldChar w:fldCharType="begin"/>
            </w:r>
            <w:r>
              <w:instrText xml:space="preserve">PAGEREF _Toc1380680310 \h</w:instrText>
            </w:r>
            <w:r>
              <w:fldChar w:fldCharType="separate"/>
            </w:r>
            <w:r w:rsidRPr="5966783F" w:rsidR="5966783F">
              <w:rPr>
                <w:rStyle w:val="Hyperlink"/>
              </w:rPr>
              <w:t>16</w:t>
            </w:r>
            <w:r>
              <w:fldChar w:fldCharType="end"/>
            </w:r>
          </w:hyperlink>
        </w:p>
        <w:p xmlns:wp14="http://schemas.microsoft.com/office/word/2010/wordml" w:rsidP="5966783F" wp14:paraId="5D2D026C" wp14:textId="0D381560">
          <w:pPr>
            <w:pStyle w:val="TOC2"/>
            <w:tabs>
              <w:tab w:val="right" w:leader="dot" w:pos="9015"/>
            </w:tabs>
            <w:bidi w:val="0"/>
          </w:pPr>
          <w:hyperlink w:anchor="_Toc2020846489">
            <w:r w:rsidRPr="5966783F" w:rsidR="5966783F">
              <w:rPr>
                <w:rStyle w:val="Hyperlink"/>
              </w:rPr>
              <w:t>5.9 Overall Evaluation</w:t>
            </w:r>
            <w:r>
              <w:tab/>
            </w:r>
            <w:r>
              <w:fldChar w:fldCharType="begin"/>
            </w:r>
            <w:r>
              <w:instrText xml:space="preserve">PAGEREF _Toc2020846489 \h</w:instrText>
            </w:r>
            <w:r>
              <w:fldChar w:fldCharType="separate"/>
            </w:r>
            <w:r w:rsidRPr="5966783F" w:rsidR="5966783F">
              <w:rPr>
                <w:rStyle w:val="Hyperlink"/>
              </w:rPr>
              <w:t>17</w:t>
            </w:r>
            <w:r>
              <w:fldChar w:fldCharType="end"/>
            </w:r>
          </w:hyperlink>
        </w:p>
        <w:p xmlns:wp14="http://schemas.microsoft.com/office/word/2010/wordml" w:rsidP="5966783F" wp14:paraId="293BDD6A" wp14:textId="190E6571">
          <w:pPr>
            <w:pStyle w:val="TOC1"/>
            <w:tabs>
              <w:tab w:val="right" w:leader="dot" w:pos="9015"/>
            </w:tabs>
            <w:bidi w:val="0"/>
          </w:pPr>
          <w:hyperlink w:anchor="_Toc1547887463">
            <w:r w:rsidRPr="5966783F" w:rsidR="5966783F">
              <w:rPr>
                <w:rStyle w:val="Hyperlink"/>
              </w:rPr>
              <w:t>6. Critical Reflection on AI Usage</w:t>
            </w:r>
            <w:r>
              <w:tab/>
            </w:r>
            <w:r>
              <w:fldChar w:fldCharType="begin"/>
            </w:r>
            <w:r>
              <w:instrText xml:space="preserve">PAGEREF _Toc1547887463 \h</w:instrText>
            </w:r>
            <w:r>
              <w:fldChar w:fldCharType="separate"/>
            </w:r>
            <w:r w:rsidRPr="5966783F" w:rsidR="5966783F">
              <w:rPr>
                <w:rStyle w:val="Hyperlink"/>
              </w:rPr>
              <w:t>17</w:t>
            </w:r>
            <w:r>
              <w:fldChar w:fldCharType="end"/>
            </w:r>
          </w:hyperlink>
        </w:p>
        <w:p xmlns:wp14="http://schemas.microsoft.com/office/word/2010/wordml" w:rsidP="5966783F" wp14:paraId="4C49DFF8" wp14:textId="0A805511">
          <w:pPr>
            <w:pStyle w:val="TOC2"/>
            <w:tabs>
              <w:tab w:val="right" w:leader="dot" w:pos="9015"/>
            </w:tabs>
            <w:bidi w:val="0"/>
          </w:pPr>
          <w:hyperlink w:anchor="_Toc1361561793">
            <w:r w:rsidRPr="5966783F" w:rsidR="5966783F">
              <w:rPr>
                <w:rStyle w:val="Hyperlink"/>
              </w:rPr>
              <w:t>6.1 Tool Disclosure</w:t>
            </w:r>
            <w:r>
              <w:tab/>
            </w:r>
            <w:r>
              <w:fldChar w:fldCharType="begin"/>
            </w:r>
            <w:r>
              <w:instrText xml:space="preserve">PAGEREF _Toc1361561793 \h</w:instrText>
            </w:r>
            <w:r>
              <w:fldChar w:fldCharType="separate"/>
            </w:r>
            <w:r w:rsidRPr="5966783F" w:rsidR="5966783F">
              <w:rPr>
                <w:rStyle w:val="Hyperlink"/>
              </w:rPr>
              <w:t>17</w:t>
            </w:r>
            <w:r>
              <w:fldChar w:fldCharType="end"/>
            </w:r>
          </w:hyperlink>
        </w:p>
        <w:p xmlns:wp14="http://schemas.microsoft.com/office/word/2010/wordml" w:rsidP="5966783F" wp14:paraId="0D91A77C" wp14:textId="1DB2B953">
          <w:pPr>
            <w:pStyle w:val="TOC2"/>
            <w:tabs>
              <w:tab w:val="right" w:leader="dot" w:pos="9015"/>
            </w:tabs>
            <w:bidi w:val="0"/>
          </w:pPr>
          <w:hyperlink w:anchor="_Toc1831974732">
            <w:r w:rsidRPr="5966783F" w:rsidR="5966783F">
              <w:rPr>
                <w:rStyle w:val="Hyperlink"/>
              </w:rPr>
              <w:t>6.2 Critical Evaluation of AI Output</w:t>
            </w:r>
            <w:r>
              <w:tab/>
            </w:r>
            <w:r>
              <w:fldChar w:fldCharType="begin"/>
            </w:r>
            <w:r>
              <w:instrText xml:space="preserve">PAGEREF _Toc1831974732 \h</w:instrText>
            </w:r>
            <w:r>
              <w:fldChar w:fldCharType="separate"/>
            </w:r>
            <w:r w:rsidRPr="5966783F" w:rsidR="5966783F">
              <w:rPr>
                <w:rStyle w:val="Hyperlink"/>
              </w:rPr>
              <w:t>18</w:t>
            </w:r>
            <w:r>
              <w:fldChar w:fldCharType="end"/>
            </w:r>
          </w:hyperlink>
        </w:p>
        <w:p xmlns:wp14="http://schemas.microsoft.com/office/word/2010/wordml" w:rsidP="5966783F" wp14:paraId="140ED01C" wp14:textId="030DE048">
          <w:pPr>
            <w:pStyle w:val="TOC2"/>
            <w:tabs>
              <w:tab w:val="right" w:leader="dot" w:pos="9015"/>
            </w:tabs>
            <w:bidi w:val="0"/>
          </w:pPr>
          <w:hyperlink w:anchor="_Toc226821793">
            <w:r w:rsidRPr="5966783F" w:rsidR="5966783F">
              <w:rPr>
                <w:rStyle w:val="Hyperlink"/>
              </w:rPr>
              <w:t>6.3 Contribution Analysis</w:t>
            </w:r>
            <w:r>
              <w:tab/>
            </w:r>
            <w:r>
              <w:fldChar w:fldCharType="begin"/>
            </w:r>
            <w:r>
              <w:instrText xml:space="preserve">PAGEREF _Toc226821793 \h</w:instrText>
            </w:r>
            <w:r>
              <w:fldChar w:fldCharType="separate"/>
            </w:r>
            <w:r w:rsidRPr="5966783F" w:rsidR="5966783F">
              <w:rPr>
                <w:rStyle w:val="Hyperlink"/>
              </w:rPr>
              <w:t>19</w:t>
            </w:r>
            <w:r>
              <w:fldChar w:fldCharType="end"/>
            </w:r>
          </w:hyperlink>
        </w:p>
        <w:p xmlns:wp14="http://schemas.microsoft.com/office/word/2010/wordml" w:rsidP="5966783F" wp14:paraId="769B1A7C" wp14:textId="295502BC">
          <w:pPr>
            <w:pStyle w:val="TOC2"/>
            <w:tabs>
              <w:tab w:val="right" w:leader="dot" w:pos="9015"/>
            </w:tabs>
            <w:bidi w:val="0"/>
          </w:pPr>
          <w:hyperlink w:anchor="_Toc210307833">
            <w:r w:rsidRPr="5966783F" w:rsidR="5966783F">
              <w:rPr>
                <w:rStyle w:val="Hyperlink"/>
              </w:rPr>
              <w:t>6.4 Ethical and Professional Reflection</w:t>
            </w:r>
            <w:r>
              <w:tab/>
            </w:r>
            <w:r>
              <w:fldChar w:fldCharType="begin"/>
            </w:r>
            <w:r>
              <w:instrText xml:space="preserve">PAGEREF _Toc210307833 \h</w:instrText>
            </w:r>
            <w:r>
              <w:fldChar w:fldCharType="separate"/>
            </w:r>
            <w:r w:rsidRPr="5966783F" w:rsidR="5966783F">
              <w:rPr>
                <w:rStyle w:val="Hyperlink"/>
              </w:rPr>
              <w:t>20</w:t>
            </w:r>
            <w:r>
              <w:fldChar w:fldCharType="end"/>
            </w:r>
          </w:hyperlink>
        </w:p>
        <w:p xmlns:wp14="http://schemas.microsoft.com/office/word/2010/wordml" w:rsidP="5966783F" wp14:paraId="0FFB1B4F" wp14:textId="21C69B9F">
          <w:pPr>
            <w:pStyle w:val="TOC1"/>
            <w:tabs>
              <w:tab w:val="right" w:leader="dot" w:pos="9015"/>
            </w:tabs>
            <w:bidi w:val="0"/>
          </w:pPr>
          <w:hyperlink w:anchor="_Toc334659033">
            <w:r w:rsidRPr="5966783F" w:rsidR="5966783F">
              <w:rPr>
                <w:rStyle w:val="Hyperlink"/>
              </w:rPr>
              <w:t>Conclusion</w:t>
            </w:r>
            <w:r>
              <w:tab/>
            </w:r>
            <w:r>
              <w:fldChar w:fldCharType="begin"/>
            </w:r>
            <w:r>
              <w:instrText xml:space="preserve">PAGEREF _Toc334659033 \h</w:instrText>
            </w:r>
            <w:r>
              <w:fldChar w:fldCharType="separate"/>
            </w:r>
            <w:r w:rsidRPr="5966783F" w:rsidR="5966783F">
              <w:rPr>
                <w:rStyle w:val="Hyperlink"/>
              </w:rPr>
              <w:t>22</w:t>
            </w:r>
            <w:r>
              <w:fldChar w:fldCharType="end"/>
            </w:r>
          </w:hyperlink>
        </w:p>
        <w:p xmlns:wp14="http://schemas.microsoft.com/office/word/2010/wordml" w:rsidP="5966783F" wp14:paraId="24DEBB54" wp14:textId="4A401D9F">
          <w:pPr>
            <w:pStyle w:val="TOC1"/>
            <w:tabs>
              <w:tab w:val="right" w:leader="dot" w:pos="9015"/>
            </w:tabs>
            <w:bidi w:val="0"/>
          </w:pPr>
          <w:hyperlink w:anchor="_Toc715162666">
            <w:r w:rsidRPr="5966783F" w:rsidR="5966783F">
              <w:rPr>
                <w:rStyle w:val="Hyperlink"/>
              </w:rPr>
              <w:t>References</w:t>
            </w:r>
            <w:r>
              <w:tab/>
            </w:r>
            <w:r>
              <w:fldChar w:fldCharType="begin"/>
            </w:r>
            <w:r>
              <w:instrText xml:space="preserve">PAGEREF _Toc715162666 \h</w:instrText>
            </w:r>
            <w:r>
              <w:fldChar w:fldCharType="separate"/>
            </w:r>
            <w:r w:rsidRPr="5966783F" w:rsidR="5966783F">
              <w:rPr>
                <w:rStyle w:val="Hyperlink"/>
              </w:rPr>
              <w:t>23</w:t>
            </w:r>
            <w:r>
              <w:fldChar w:fldCharType="end"/>
            </w:r>
          </w:hyperlink>
        </w:p>
        <w:p xmlns:wp14="http://schemas.microsoft.com/office/word/2010/wordml" w:rsidP="5966783F" wp14:paraId="29B08381" wp14:textId="3015700B">
          <w:pPr>
            <w:pStyle w:val="TOC1"/>
            <w:tabs>
              <w:tab w:val="right" w:leader="dot" w:pos="9015"/>
            </w:tabs>
            <w:bidi w:val="0"/>
          </w:pPr>
          <w:hyperlink w:anchor="_Toc1151249153">
            <w:r w:rsidRPr="5966783F" w:rsidR="5966783F">
              <w:rPr>
                <w:rStyle w:val="Hyperlink"/>
              </w:rPr>
              <w:t>APPENDICES</w:t>
            </w:r>
            <w:r>
              <w:tab/>
            </w:r>
            <w:r>
              <w:fldChar w:fldCharType="begin"/>
            </w:r>
            <w:r>
              <w:instrText xml:space="preserve">PAGEREF _Toc1151249153 \h</w:instrText>
            </w:r>
            <w:r>
              <w:fldChar w:fldCharType="separate"/>
            </w:r>
            <w:r w:rsidRPr="5966783F" w:rsidR="5966783F">
              <w:rPr>
                <w:rStyle w:val="Hyperlink"/>
              </w:rPr>
              <w:t>25</w:t>
            </w:r>
            <w:r>
              <w:fldChar w:fldCharType="end"/>
            </w:r>
          </w:hyperlink>
        </w:p>
        <w:p xmlns:wp14="http://schemas.microsoft.com/office/word/2010/wordml" wp14:paraId="7A7658BE" wp14:textId="4BA2F732">
          <w:r>
            <w:fldChar w:fldCharType="end"/>
          </w:r>
        </w:p>
      </w:sdtContent>
    </w:sdt>
    <w:p xmlns:wp14="http://schemas.microsoft.com/office/word/2010/wordml" w:rsidP="5966783F" wp14:paraId="62C2C8AA" wp14:textId="08B73F8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683E47E" wp14:textId="7523B72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12622F8E" wp14:textId="7210270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631156F" wp14:textId="743E074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DFDEAE1" wp14:textId="22D82EE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088B55BC" wp14:textId="260CB55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1E955AD0" wp14:textId="02012A2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6515C84C" wp14:textId="40FCA9E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63F9D2BE" wp14:textId="01C8B04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4D29E755" wp14:textId="6796351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67B38B0D" wp14:textId="4495F4A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0EE043EF" wp14:textId="2F4DFB8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0E53ECB1" wp14:textId="65CF07C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649D24C7" wp14:textId="3BED439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29685B65" wp14:textId="23AF461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E26C553" wp14:textId="29C191E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2AEB8688" wp14:textId="3C935F4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47D66226" wp14:textId="7295273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61F880A0" wp14:textId="5E7AB06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48668FE2" wp14:textId="343C6284">
      <w:pPr>
        <w:pStyle w:val="Heading1"/>
        <w:rPr>
          <w:rFonts w:ascii="Arial" w:hAnsi="Arial" w:eastAsia="Arial" w:cs="Arial"/>
          <w:b w:val="1"/>
          <w:bCs w:val="1"/>
          <w:i w:val="0"/>
          <w:iCs w:val="0"/>
          <w:caps w:val="0"/>
          <w:smallCaps w:val="0"/>
          <w:noProof w:val="0"/>
          <w:color w:val="0F4761" w:themeColor="accent1" w:themeTint="FF" w:themeShade="BF"/>
          <w:sz w:val="48"/>
          <w:szCs w:val="48"/>
          <w:lang w:val="en-GB"/>
        </w:rPr>
      </w:pPr>
      <w:r w:rsidR="714284AF">
        <w:drawing>
          <wp:inline xmlns:wp14="http://schemas.microsoft.com/office/word/2010/wordprocessingDrawing" wp14:editId="7890CB35" wp14:anchorId="029847F0">
            <wp:extent cx="1138649" cy="771097"/>
            <wp:effectExtent l="0" t="0" r="0" b="0"/>
            <wp:docPr id="1816010946" name="drawing" descr="Hotel Archives · 北美牧羊场"/>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6010946" name="Picture 1816010946"/>
                    <pic:cNvPicPr/>
                  </pic:nvPicPr>
                  <pic:blipFill>
                    <a:blip xmlns:r="http://schemas.openxmlformats.org/officeDocument/2006/relationships" r:embed="rId1529718725">
                      <a:extLst>
                        <a:ext uri="{28A0092B-C50C-407E-A947-70E740481C1C}">
                          <a14:useLocalDpi xmlns:a14="http://schemas.microsoft.com/office/drawing/2010/main"/>
                        </a:ext>
                      </a:extLst>
                    </a:blip>
                    <a:stretch>
                      <a:fillRect/>
                    </a:stretch>
                  </pic:blipFill>
                  <pic:spPr>
                    <a:xfrm rot="0">
                      <a:off x="0" y="0"/>
                      <a:ext cx="1138649" cy="771097"/>
                    </a:xfrm>
                    <a:prstGeom prst="rect">
                      <a:avLst/>
                    </a:prstGeom>
                  </pic:spPr>
                </pic:pic>
              </a:graphicData>
            </a:graphic>
          </wp:inline>
        </w:drawing>
      </w:r>
    </w:p>
    <w:p xmlns:wp14="http://schemas.microsoft.com/office/word/2010/wordml" w:rsidP="5966783F" wp14:paraId="710D63E5" wp14:textId="1469520D">
      <w:pPr>
        <w:pStyle w:val="Heading1"/>
        <w:rPr>
          <w:rFonts w:ascii="Arial" w:hAnsi="Arial" w:eastAsia="Arial" w:cs="Arial"/>
          <w:b w:val="0"/>
          <w:bCs w:val="0"/>
          <w:i w:val="0"/>
          <w:iCs w:val="0"/>
          <w:caps w:val="0"/>
          <w:smallCaps w:val="0"/>
          <w:noProof w:val="0"/>
          <w:color w:val="0F4761" w:themeColor="accent1" w:themeTint="FF" w:themeShade="BF"/>
          <w:sz w:val="48"/>
          <w:szCs w:val="48"/>
          <w:lang w:val="en-GB"/>
        </w:rPr>
      </w:pPr>
      <w:bookmarkStart w:name="_Toc9358877" w:id="334730520"/>
      <w:r w:rsidRPr="5966783F" w:rsidR="320BC377">
        <w:rPr>
          <w:rFonts w:ascii="Arial" w:hAnsi="Arial" w:eastAsia="Arial" w:cs="Arial"/>
          <w:b w:val="1"/>
          <w:bCs w:val="1"/>
          <w:i w:val="0"/>
          <w:iCs w:val="0"/>
          <w:caps w:val="0"/>
          <w:smallCaps w:val="0"/>
          <w:noProof w:val="0"/>
          <w:color w:val="0F4761" w:themeColor="accent1" w:themeTint="FF" w:themeShade="BF"/>
          <w:sz w:val="48"/>
          <w:szCs w:val="48"/>
          <w:lang w:val="en-GB"/>
        </w:rPr>
        <w:t>Introduction</w:t>
      </w:r>
      <w:bookmarkEnd w:id="334730520"/>
    </w:p>
    <w:p xmlns:wp14="http://schemas.microsoft.com/office/word/2010/wordml" w:rsidP="5966783F" wp14:paraId="287FD055" wp14:textId="0FD3FD7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Financial management plays a fundamental role in ensuring the long-term sustainability, profitability and competitiveness of multinational hospitality organisations. As the global hospitality industry continues to recover from the disruption caused by the COVID-19 pandemic while adapting to changing consumer expectations, digital transformation and economic uncertainty, financial decision-making has become increasingly important. Effective financial analysis enables organisations to evaluate historical performance, identify financial risks and opportunities, allocate resources efficiently and support sustainable strategic growth (Brigham and Ehrhardt, 2022).</w:t>
      </w:r>
    </w:p>
    <w:p xmlns:wp14="http://schemas.microsoft.com/office/word/2010/wordml" w:rsidP="5966783F" wp14:paraId="68CEE85F" wp14:textId="724E3EC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This report has been prepared from the perspective of the Chief Financial Officer (CFO) of Hilton Worldwide Holdings Inc., one of the world's leading international hospitality companies operating thousands of hotels across more than 100 countries. The report critically evaluates Hilton's financial performance over the five-year period from 2021 to 2025 using information obtained from the company's published annual reports. Financial ratio analysis is undertaken to assess profitability, liquidity, efficiency, gearing, investment performance and cash flow, while comparisons with industry benchmarks provide further insight into the company's competitive financial position.</w:t>
      </w:r>
    </w:p>
    <w:p xmlns:wp14="http://schemas.microsoft.com/office/word/2010/wordml" w:rsidP="5966783F" wp14:paraId="6AEA91D2" wp14:textId="49B38D9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report also evaluates Hilton's working capital management and proposes strategies to improve liquidity and operational efficiency. A strategic financial restructuring plan is then developed, considering shareholder value, capital structure and international financial risks. Furthermore, three investment projects are assessed using recognised capital budgeting techniques, including Payback Period (PBP), Accounting Rate of Return (ARR), Net Present Value (NPV), Profitability Index (PI) and Internal Rate of Return (IRR), to recommend the most financially viable investment strategy. Finally, the report critically reflects on the use of Artificial Intelligence (AI) in supporting financial analysis while considering ethical and professional responsibilities associated with AI-assisted decision-making.</w:t>
      </w:r>
    </w:p>
    <w:p xmlns:wp14="http://schemas.microsoft.com/office/word/2010/wordml" w:rsidP="5966783F" wp14:paraId="15BEBF3B" wp14:textId="10FAD55B">
      <w:pPr>
        <w:pStyle w:val="Heading1"/>
        <w:keepNext w:val="1"/>
        <w:keepLines w:val="1"/>
        <w:spacing w:before="322" w:beforeAutospacing="off" w:after="322" w:afterAutospacing="off" w:line="360" w:lineRule="auto"/>
        <w:rPr>
          <w:rFonts w:ascii="Arial" w:hAnsi="Arial" w:eastAsia="Arial" w:cs="Arial"/>
          <w:b w:val="0"/>
          <w:bCs w:val="0"/>
          <w:i w:val="0"/>
          <w:iCs w:val="0"/>
          <w:caps w:val="0"/>
          <w:smallCaps w:val="0"/>
          <w:noProof w:val="0"/>
          <w:color w:val="0F4761" w:themeColor="accent1" w:themeTint="FF" w:themeShade="BF"/>
          <w:sz w:val="48"/>
          <w:szCs w:val="48"/>
          <w:lang w:val="en-GB"/>
        </w:rPr>
      </w:pPr>
      <w:bookmarkStart w:name="_Toc1571987685" w:id="1963305632"/>
      <w:r w:rsidRPr="5966783F" w:rsidR="320BC377">
        <w:rPr>
          <w:rFonts w:ascii="Arial" w:hAnsi="Arial" w:eastAsia="Arial" w:cs="Arial"/>
          <w:b w:val="1"/>
          <w:bCs w:val="1"/>
          <w:i w:val="0"/>
          <w:iCs w:val="0"/>
          <w:caps w:val="0"/>
          <w:smallCaps w:val="0"/>
          <w:noProof w:val="0"/>
          <w:color w:val="0F4761" w:themeColor="accent1" w:themeTint="FF" w:themeShade="BF"/>
          <w:sz w:val="48"/>
          <w:szCs w:val="48"/>
          <w:lang w:val="en-GB"/>
        </w:rPr>
        <w:t>2. Financial Health Check</w:t>
      </w:r>
      <w:bookmarkEnd w:id="1963305632"/>
    </w:p>
    <w:p xmlns:wp14="http://schemas.microsoft.com/office/word/2010/wordml" w:rsidP="5966783F" wp14:paraId="2A431784" wp14:textId="49BA1CA2">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787883006" w:id="168639250"/>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2.1 Overview of Hilton's Financial Performance (2021–2025)</w:t>
      </w:r>
      <w:bookmarkEnd w:id="168639250"/>
    </w:p>
    <w:p xmlns:wp14="http://schemas.microsoft.com/office/word/2010/wordml" w:rsidP="5966783F" wp14:paraId="2EB738AC" wp14:textId="02393E3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Hilton Worldwide Holdings Inc. is one of the world's largest hospitality companies, operating a global portfolio of luxury, full-service and focused-service hotels. Between 2021 and 2025, Hilton continued to recover from the effects of the COVID-19 pandemic through increasing international travel, strong leisure demand, business travel recovery and continued expansion through its asset-light business model (Hilton Worldwide, 2022; Hilton Worldwide, 2023).</w:t>
      </w:r>
    </w:p>
    <w:p xmlns:wp14="http://schemas.microsoft.com/office/word/2010/wordml" w:rsidP="5966783F" wp14:paraId="5B5D6E09" wp14:textId="4FB4377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company's revenue increased steadily over the five-year period as hotel occupancy rates improved and average daily room rates (ADR) continued to rise. Net income also strengthened significantly compared with the immediate post-pandemic period, reflecting improved operational efficiency and effective cost management. Hilton continued to generate strong operating cash flows, allowing the company to invest in new properties, reduce debt where appropriate and return value to shareholders through share repurchases.</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966783F" w:rsidR="320BC377">
        <w:rPr>
          <w:rFonts w:ascii="Arial Nova" w:hAnsi="Arial Nova" w:eastAsia="Arial Nova" w:cs="Arial Nova"/>
          <w:b w:val="0"/>
          <w:bCs w:val="0"/>
          <w:i w:val="1"/>
          <w:iCs w:val="1"/>
          <w:caps w:val="0"/>
          <w:smallCaps w:val="0"/>
          <w:noProof w:val="0"/>
          <w:color w:val="000000" w:themeColor="text1" w:themeTint="FF" w:themeShade="FF"/>
          <w:sz w:val="24"/>
          <w:szCs w:val="24"/>
          <w:lang w:val="en-GB"/>
        </w:rPr>
        <w:t>(see Appendix A, Table A1)</w:t>
      </w:r>
    </w:p>
    <w:p xmlns:wp14="http://schemas.microsoft.com/office/word/2010/wordml" w:rsidP="5966783F" wp14:paraId="2F06375E" wp14:textId="6F9DDB5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asset-light business strategy remained one of Hilton's key competitive advantages. Rather than owning a large proportion of its hotels, Hilton primarily earns revenue through management and franchise agreements. This approach reduces capital expenditure requirements while generating relatively stable fee-based income and stronger operating margins than many traditional hotel operators (Hill, Schilling and Jones, 2023).</w:t>
      </w:r>
    </w:p>
    <w:p xmlns:wp14="http://schemas.microsoft.com/office/word/2010/wordml" w:rsidP="5966783F" wp14:paraId="0E87BBE5" wp14:textId="583DFBD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Despite this positive performance, Hilton continued to face several external challenges during the period. High inflation increased labour and operating costs, while higher global interest rates raised financing expenses. Currency fluctuations also affected international earnings due to Hilton's extensive global operations. Nevertheless, continued brand expansion, digital innovation and customer loyalty programmes enabled the company to maintain strong financial performance throughout the five-year period.</w:t>
      </w:r>
    </w:p>
    <w:p xmlns:wp14="http://schemas.microsoft.com/office/word/2010/wordml" w:rsidP="5966783F" wp14:paraId="174ECCB2" wp14:textId="1C7D54EB">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347617500" w:id="1604184985"/>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2.2 Profitability Analysis</w:t>
      </w:r>
      <w:bookmarkEnd w:id="1604184985"/>
    </w:p>
    <w:p xmlns:wp14="http://schemas.microsoft.com/office/word/2010/wordml" w:rsidP="5966783F" wp14:paraId="1F780948" wp14:textId="23476664">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Profitability ratios evaluate how effectively Hilton converts revenue into profit. The ratio analysis demonstrates that Hilton maintained healthy profitability throughout the period despite economic uncertainty.</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(see Appendix A, Table A4 and Figure A1)</w:t>
      </w:r>
    </w:p>
    <w:p xmlns:wp14="http://schemas.microsoft.com/office/word/2010/wordml" w:rsidP="5966783F" wp14:paraId="56B96B38" wp14:textId="08ACC96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Operating profit margin improved steadily between 2021 and 2025 as occupancy levels increased and management fees recovered across global markets. Hilton's asset-light operating model continued to support higher margins because franchise and management contracts require relatively low capital investment while generating recurring income.</w:t>
      </w:r>
    </w:p>
    <w:p xmlns:wp14="http://schemas.microsoft.com/office/word/2010/wordml" w:rsidP="5966783F" wp14:paraId="472337A8" wp14:textId="36665D3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Net profit margin also showed consistent improvement during the five-year period. Increasing revenues combined with disciplined cost control allowed Hilton to convert a greater proportion of sales into net earnings. This indicates strong financial management and operational efficiency.</w:t>
      </w:r>
    </w:p>
    <w:p xmlns:wp14="http://schemas.microsoft.com/office/word/2010/wordml" w:rsidP="5966783F" wp14:paraId="36A3ED4B" wp14:textId="1F157EB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Gross profit margin remained relatively stable across the period, reflecting Hilton's ability to manage direct operating costs despite inflationary pressures affecting wages, utilities and supply chain costs. The company successfully passed some increased costs to customers through higher average daily room rates without significantly reducing demand.</w:t>
      </w:r>
    </w:p>
    <w:p xmlns:wp14="http://schemas.microsoft.com/office/word/2010/wordml" w:rsidP="5966783F" wp14:paraId="33074EDE" wp14:textId="2B09C9C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the profitability analysis demonstrates Hilton's strong earnings capacity and successful recovery following the pandemic. Improving margins indicate that management has effectively balanced revenue growth with cost control, supporting long-term shareholder value (Brigham and Ehrhardt, 2022).</w:t>
      </w:r>
    </w:p>
    <w:p xmlns:wp14="http://schemas.microsoft.com/office/word/2010/wordml" w:rsidP="5966783F" wp14:paraId="7EA65155" wp14:textId="2F98613B">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630205288" w:id="843788389"/>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2.3 Liquidity Analysis</w:t>
      </w:r>
      <w:bookmarkEnd w:id="843788389"/>
    </w:p>
    <w:p xmlns:wp14="http://schemas.microsoft.com/office/word/2010/wordml" w:rsidP="5966783F" wp14:paraId="06752B1F" wp14:textId="760F4418">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Liquidity ratios measure an organisation's ability to meet short-term financial obligations. Hilton's current ratio, quick ratio and cash ratio remained below the conventional benchmark of 1.0 throughout much of the five-year period.</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(see Appendix A, Table A4 and Figure A2)</w:t>
      </w:r>
    </w:p>
    <w:p xmlns:wp14="http://schemas.microsoft.com/office/word/2010/wordml" w:rsidP="5966783F" wp14:paraId="73AD3F12" wp14:textId="6D06D35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Although these figures may initially appear weak, they are typical within the international hospitality industry. Hilton's asset-light business model generates consistent operating cash flows while requiring relatively low inventory levels. Consequently, the company relies less on maintaining high levels of current assets than organisations operating in manufacturing industries.</w:t>
      </w:r>
    </w:p>
    <w:p xmlns:wp14="http://schemas.microsoft.com/office/word/2010/wordml" w:rsidP="5966783F" wp14:paraId="0E4D347F" wp14:textId="6F9BE6D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current ratio indicates that Hilton carefully manages working capital rather than holding excessive liquid assets. The quick ratio follows a similar trend because inventories represent only a small proportion of total current assets. Meanwhile, the cash ratio reflects Hilton's strategy of investing excess cash into business expansion, technology and shareholder returns instead of maintaining idle cash balances.</w:t>
      </w:r>
    </w:p>
    <w:p xmlns:wp14="http://schemas.microsoft.com/office/word/2010/wordml" w:rsidP="5966783F" wp14:paraId="531A071E" wp14:textId="168D1A7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While lower liquidity ratios increase short-term financial risk during periods of economic disruption, Hilton's strong operating cash flow and access to external financing significantly reduce this risk.</w:t>
      </w:r>
    </w:p>
    <w:p xmlns:wp14="http://schemas.microsoft.com/office/word/2010/wordml" w:rsidP="5966783F" wp14:paraId="6569F311" wp14:textId="6EC1D63C">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399854678" w:id="312461212"/>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2.4 Efficiency Analysis</w:t>
      </w:r>
      <w:bookmarkEnd w:id="312461212"/>
    </w:p>
    <w:p xmlns:wp14="http://schemas.microsoft.com/office/word/2010/wordml" w:rsidP="5966783F" wp14:paraId="3712B5E2" wp14:textId="63A29542">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Efficiency ratios assess how effectively Hilton utilises its assets to generate revenue.</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A, Table A4)</w:t>
      </w:r>
    </w:p>
    <w:p xmlns:wp14="http://schemas.microsoft.com/office/word/2010/wordml" w:rsidP="5966783F" wp14:paraId="66159EE8" wp14:textId="1B36D19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Asset turnover remained relatively stable during the five-year period, demonstrating efficient utilisation of total assets. The company's asset-light strategy enables Hilton to generate substantial revenue without significant investment in physical hotel ownership.</w:t>
      </w:r>
    </w:p>
    <w:p xmlns:wp14="http://schemas.microsoft.com/office/word/2010/wordml" w:rsidP="5966783F" wp14:paraId="26A61CA5" wp14:textId="2870D8E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Fixed asset turnover remained particularly strong because Hilton owns comparatively fewer hotel properties than traditional hotel operators. Instead, franchise and management agreements generate recurring income with relatively limited investment in property, plant and equipment.</w:t>
      </w:r>
    </w:p>
    <w:p xmlns:wp14="http://schemas.microsoft.com/office/word/2010/wordml" w:rsidP="5966783F" wp14:paraId="132D4EE2" wp14:textId="15146A2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These efficiency measures indicate that Hilton continues to maximise revenue generation while maintaining an efficient asset base. The strategy supports improved return on assets and contributes positively to shareholder wealth.</w:t>
      </w:r>
    </w:p>
    <w:p xmlns:wp14="http://schemas.microsoft.com/office/word/2010/wordml" w:rsidP="5966783F" wp14:paraId="200F6201" wp14:textId="665BFDB0">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633680448" w:id="1083074429"/>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2.5 Gearing (Leverage) Analysis</w:t>
      </w:r>
      <w:bookmarkEnd w:id="1083074429"/>
    </w:p>
    <w:p xmlns:wp14="http://schemas.microsoft.com/office/word/2010/wordml" w:rsidP="5966783F" wp14:paraId="7DACB977" wp14:textId="0904E4C2">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Hilton maintains a relatively highly leveraged capital structure compared with many industries. Debt has historically been used to finance expansion while also supporting shareholder distributions.</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A, Table A4)</w:t>
      </w:r>
    </w:p>
    <w:p xmlns:wp14="http://schemas.microsoft.com/office/word/2010/wordml" w:rsidP="5966783F" wp14:paraId="130608A1" wp14:textId="57C6140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debt-to-equity ratio indicates significant reliance on external borrowing. Although higher leverage increases financial risk during periods of rising interest rates, it also allows Hilton to benefit from tax-deductible interest expenses and enhanced returns on equity when profitability remains strong.</w:t>
      </w:r>
    </w:p>
    <w:p xmlns:wp14="http://schemas.microsoft.com/office/word/2010/wordml" w:rsidP="5966783F" wp14:paraId="270F5F36" wp14:textId="2A5B190A">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Interest coverage improved steadily between 2021 and 2025 as operating profits increased. This demonstrates Hilton's improving ability to meet interest obligations despite higher borrowing costs experienced globally.</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(see Appendix A, Table A4)</w:t>
      </w:r>
    </w:p>
    <w:p xmlns:wp14="http://schemas.microsoft.com/office/word/2010/wordml" w:rsidP="5966783F" wp14:paraId="75AF7D3E" wp14:textId="0287A0D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the leverage position remains manageable because of Hilton's predictable cash generation and strong global brand recognition.</w:t>
      </w:r>
    </w:p>
    <w:p xmlns:wp14="http://schemas.microsoft.com/office/word/2010/wordml" w:rsidP="5966783F" wp14:paraId="733BCE7C" wp14:textId="2B631DE0">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2061362703" w:id="338787300"/>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2.6 Comparison with Industry Benchmarks</w:t>
      </w:r>
      <w:bookmarkEnd w:id="338787300"/>
    </w:p>
    <w:p xmlns:wp14="http://schemas.microsoft.com/office/word/2010/wordml" w:rsidP="5966783F" wp14:paraId="4F3031F4" wp14:textId="2076CCD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Compared with major competitors including Marriott International, InterContinental Hotels Group (IHG) and Hyatt Hotels Corporation, Hilton demonstrates competitive financial performance across most key indicators.</w:t>
      </w:r>
    </w:p>
    <w:p xmlns:wp14="http://schemas.microsoft.com/office/word/2010/wordml" w:rsidP="5966783F" wp14:paraId="5AD5BA49" wp14:textId="18B6FE8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Profitability ratios are generally above industry averages due to Hilton's highly successful franchise and management business model. Liquidity ratios remain similar to sector norms, reflecting efficient working capital management rather than financial weakness.</w:t>
      </w:r>
    </w:p>
    <w:p xmlns:wp14="http://schemas.microsoft.com/office/word/2010/wordml" w:rsidP="5966783F" wp14:paraId="496D7903" wp14:textId="31C5B3A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Leverage is slightly higher than some competitors; however, Hilton's strong operating cash flows and improving earnings reduce concerns regarding long-term debt sustainability. Overall, Hilton remains financially competitive within the international hospitality sector.</w:t>
      </w:r>
    </w:p>
    <w:p xmlns:wp14="http://schemas.microsoft.com/office/word/2010/wordml" w:rsidP="5966783F" wp14:paraId="24E7C56F" wp14:textId="06C65624">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286206149" w:id="719249499"/>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2.7 Overall Assessment</w:t>
      </w:r>
      <w:bookmarkEnd w:id="719249499"/>
    </w:p>
    <w:p xmlns:wp14="http://schemas.microsoft.com/office/word/2010/wordml" w:rsidP="5966783F" wp14:paraId="4E88C73A" wp14:textId="0156F3AC">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five-year financial analysis indicates that Hilton has experienced significant recovery and sustained growth following the pandemic. Revenue, profitability and operational efficiency have improved consistently while cash generation remains strong.</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A, Tables A1–A4 and Figures A1–A3)</w:t>
      </w:r>
    </w:p>
    <w:p xmlns:wp14="http://schemas.microsoft.com/office/word/2010/wordml" w:rsidP="5966783F" wp14:paraId="68F29065" wp14:textId="5D54986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Key strengths include strong profitability, efficient asset utilisation, a globally diversified business model and stable operating cash flows. Potential threats include rising interest rates, inflationary pressures, labour shortages, geopolitical uncertainty and exchange-rate volatility affecting international operations.</w:t>
      </w:r>
    </w:p>
    <w:p xmlns:wp14="http://schemas.microsoft.com/office/word/2010/wordml" w:rsidP="5966783F" wp14:paraId="4776623F" wp14:textId="700E5EF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Hilton remains financially healthy and well positioned to support future investment, international expansion and long-term shareholder value creation.</w:t>
      </w:r>
    </w:p>
    <w:p xmlns:wp14="http://schemas.microsoft.com/office/word/2010/wordml" w:rsidP="5966783F" wp14:paraId="2445E63B" wp14:textId="1E3A02A4">
      <w:pPr>
        <w:pStyle w:val="Heading1"/>
        <w:keepNext w:val="1"/>
        <w:keepLines w:val="1"/>
        <w:spacing w:before="322" w:beforeAutospacing="off" w:after="322" w:afterAutospacing="off" w:line="360" w:lineRule="auto"/>
        <w:rPr>
          <w:rFonts w:ascii="Arial" w:hAnsi="Arial" w:eastAsia="Arial" w:cs="Arial"/>
          <w:b w:val="0"/>
          <w:bCs w:val="0"/>
          <w:i w:val="0"/>
          <w:iCs w:val="0"/>
          <w:caps w:val="0"/>
          <w:smallCaps w:val="0"/>
          <w:noProof w:val="0"/>
          <w:color w:val="0F4761" w:themeColor="accent1" w:themeTint="FF" w:themeShade="BF"/>
          <w:sz w:val="48"/>
          <w:szCs w:val="48"/>
          <w:lang w:val="en-GB"/>
        </w:rPr>
      </w:pPr>
      <w:bookmarkStart w:name="_Toc62702222" w:id="744792925"/>
      <w:r w:rsidRPr="5966783F" w:rsidR="320BC377">
        <w:rPr>
          <w:rFonts w:ascii="Arial" w:hAnsi="Arial" w:eastAsia="Arial" w:cs="Arial"/>
          <w:b w:val="1"/>
          <w:bCs w:val="1"/>
          <w:i w:val="0"/>
          <w:iCs w:val="0"/>
          <w:caps w:val="0"/>
          <w:smallCaps w:val="0"/>
          <w:noProof w:val="0"/>
          <w:color w:val="0F4761" w:themeColor="accent1" w:themeTint="FF" w:themeShade="BF"/>
          <w:sz w:val="48"/>
          <w:szCs w:val="48"/>
          <w:lang w:val="en-GB"/>
        </w:rPr>
        <w:t>3. Working Capital Management Analysis</w:t>
      </w:r>
      <w:bookmarkEnd w:id="744792925"/>
    </w:p>
    <w:p xmlns:wp14="http://schemas.microsoft.com/office/word/2010/wordml" w:rsidP="5966783F" wp14:paraId="61444A58" wp14:textId="6D055B6D">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293913706" w:id="331885931"/>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3.1 Assessment of Hilton's Cash Operating Cycle</w:t>
      </w:r>
      <w:bookmarkEnd w:id="331885931"/>
    </w:p>
    <w:p xmlns:wp14="http://schemas.microsoft.com/office/word/2010/wordml" w:rsidP="5966783F" wp14:paraId="7FCD9254" wp14:textId="30552AE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Working capital management is essential for maintaining liquidity, supporting day-to-day operations and ensuring an organisation can meet its short-term financial obligations. Effective management of working capital allows businesses to optimise cash flow while minimising financing costs. The cash operating cycle (also known as the cash conversion cycle) measures the time taken to convert cash invested in operations into cash received from customers (Atrill and McLaney, 2023).</w:t>
      </w:r>
    </w:p>
    <w:p xmlns:wp14="http://schemas.microsoft.com/office/word/2010/wordml" w:rsidP="5966783F" wp14:paraId="272950A0" wp14:textId="0813559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Unlike manufacturing organisations, Hilton operates within the hospitality industry, where the cash operating cycle is relatively short. Customers generally pay for accommodation either before arrival or immediately upon checkout through cash, debit cards, credit cards or online booking platforms. As a result, Hilton receives cash quickly while many supplier payments are settled at a later date. This creates a favourable working capital position and supports strong operating cash flow.</w:t>
      </w:r>
    </w:p>
    <w:p xmlns:wp14="http://schemas.microsoft.com/office/word/2010/wordml" w:rsidP="5966783F" wp14:paraId="7F7495D8" wp14:textId="79B3F02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Hilton's asset-light business model further improves working capital efficiency. Rather than owning most hotel properties, Hilton primarily generates income through management and franchise agreements. This significantly reduces inventory requirements and capital tied up in physical assets. Consequently, Hilton can generate consistent cash inflows while maintaining relatively low working capital requirements.</w:t>
      </w:r>
    </w:p>
    <w:p xmlns:wp14="http://schemas.microsoft.com/office/word/2010/wordml" w:rsidP="5966783F" wp14:paraId="182248A5" wp14:textId="148A1D5B">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company's operating cash flow remained strong throughout the five-year period despite inflationary pressures and higher interest rates. Increasing occupancy levels, higher average daily room rates (ADR) and continued growth in international tourism contributed to improved cash generation. These factors strengthened Hilton's ability to finance daily operations without relying heavily on short-term borrowing.</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(see Appendix A, Table A4)</w:t>
      </w:r>
    </w:p>
    <w:p xmlns:wp14="http://schemas.microsoft.com/office/word/2010/wordml" w:rsidP="5966783F" wp14:paraId="1C4A6DF4" wp14:textId="6B25F46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However, Hilton still faces several working capital challenges. Rising labour costs, increasing utility prices and supply chain inflation place pressure on operating expenses. Delays in payments from corporate customers or travel agencies may also temporarily affect cash flow. In addition, unexpected economic shocks, such as geopolitical instability or declining tourism demand, could reduce occupancy rates and negatively impact short-term liquidity.</w:t>
      </w:r>
    </w:p>
    <w:p xmlns:wp14="http://schemas.microsoft.com/office/word/2010/wordml" w:rsidP="5966783F" wp14:paraId="42BB6571" wp14:textId="7DA314C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Hilton's cash operating cycle remains efficient compared with many industries due to rapid customer payments, predictable cash inflows and relatively limited inventory holdings.</w:t>
      </w:r>
    </w:p>
    <w:p xmlns:wp14="http://schemas.microsoft.com/office/word/2010/wordml" w:rsidP="5966783F" wp14:paraId="76887182" wp14:textId="53BA4F30">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576539172" w:id="284689528"/>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3.2 Strategies to Improve Liquidity Through Working Capital Reforms</w:t>
      </w:r>
      <w:bookmarkEnd w:id="284689528"/>
    </w:p>
    <w:p xmlns:wp14="http://schemas.microsoft.com/office/word/2010/wordml" w:rsidP="5966783F" wp14:paraId="3A9E11D3" wp14:textId="3B6BEAD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Although Hilton demonstrates strong liquidity management, several initiatives could further improve working capital efficiency.</w:t>
      </w:r>
    </w:p>
    <w:p xmlns:wp14="http://schemas.microsoft.com/office/word/2010/wordml" w:rsidP="5966783F" wp14:paraId="6D34227D" wp14:textId="7616FE7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Firstly, Hilton should continue expanding the use of digital payment technologies through the Hilton Honors mobile application and contactless payment systems. Faster payment processing reduces outstanding receivables while improving customer convenience and operational efficiency.</w:t>
      </w:r>
    </w:p>
    <w:p xmlns:wp14="http://schemas.microsoft.com/office/word/2010/wordml" w:rsidP="5966783F" wp14:paraId="262881A1" wp14:textId="13460D5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Secondly, greater use of artificial intelligence (AI) and predictive analytics could improve cash flow forecasting. AI systems can analyse historical booking patterns, seasonal demand and cancellation behaviour to predict future cash inflows more accurately. This would enable management to optimise short-term financing decisions while maintaining adequate cash reserves.</w:t>
      </w:r>
    </w:p>
    <w:p xmlns:wp14="http://schemas.microsoft.com/office/word/2010/wordml" w:rsidP="5966783F" wp14:paraId="7A6D6A1F" wp14:textId="080102C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Thirdly, Hilton should continue negotiating favourable supplier payment terms without damaging long-term supplier relationships. Extending payment periods where commercially appropriate improves operating cash flow while reducing the need for short-term borrowing.</w:t>
      </w:r>
    </w:p>
    <w:p xmlns:wp14="http://schemas.microsoft.com/office/word/2010/wordml" w:rsidP="5966783F" wp14:paraId="6A35E68B" wp14:textId="173A880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Another recommendation is to optimise inventory management across hotels through automated procurement systems. Food, beverages and housekeeping supplies represent significant operating costs within the hospitality sector. Improved inventory forecasting can reduce waste, minimise storage costs and release additional working capital.</w:t>
      </w:r>
    </w:p>
    <w:p xmlns:wp14="http://schemas.microsoft.com/office/word/2010/wordml" w:rsidP="5966783F" wp14:paraId="77086150" wp14:textId="2575526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Hilton should also strengthen revenue management strategies by using dynamic pricing systems. Adjusting room prices according to demand maximises occupancy and revenue while accelerating cash inflows during peak travel periods.</w:t>
      </w:r>
    </w:p>
    <w:p xmlns:wp14="http://schemas.microsoft.com/office/word/2010/wordml" w:rsidP="5966783F" wp14:paraId="4C334B42" wp14:textId="185C586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Finally, maintaining an appropriate level of cash reserves remains essential. Although holding excessive cash may reduce investment returns, sufficient liquidity protects Hilton during periods of economic uncertainty and unexpected market disruption.</w:t>
      </w:r>
    </w:p>
    <w:p xmlns:wp14="http://schemas.microsoft.com/office/word/2010/wordml" w:rsidP="5966783F" wp14:paraId="77A10EDE" wp14:textId="4B8D0A79">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7449493" w:id="878971419"/>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3.3 Comparison of Short-Term and Long-Term Financing Options</w:t>
      </w:r>
      <w:bookmarkEnd w:id="878971419"/>
    </w:p>
    <w:p xmlns:wp14="http://schemas.microsoft.com/office/word/2010/wordml" w:rsidP="5966783F" wp14:paraId="5C50B5D8" wp14:textId="619EA35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Hilton can finance its operations using both short-term and long-term sources of finance, each offering different advantages and disadvantages.</w:t>
      </w:r>
    </w:p>
    <w:p xmlns:wp14="http://schemas.microsoft.com/office/word/2010/wordml" w:rsidP="5966783F" wp14:paraId="289B292C" wp14:textId="513DA45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Short-term financing includes bank overdrafts, revolving credit facilities, trade credit and commercial paper. These sources provide flexibility and can quickly address temporary cash shortages caused by seasonal fluctuations in occupancy or unexpected operating expenses. Short-term borrowing generally involves lower initial costs and allows management to respond rapidly to changing business conditions. However, it also exposes Hilton to refinancing risk and increasing interest rates if borrowing must be renewed frequently.</w:t>
      </w:r>
    </w:p>
    <w:p xmlns:wp14="http://schemas.microsoft.com/office/word/2010/wordml" w:rsidP="5966783F" wp14:paraId="31B8A399" wp14:textId="00A1BD3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Long-term financing includes corporate bonds, long-term bank loans, equity financing and retained earnings. These sources provide greater financial stability by securing funding for strategic investments such as hotel development, technological innovation and international expansion. Long-term finance also reduces refinancing risk because repayment periods extend over several years. However, long-term borrowing may increase total interest costs, while issuing additional equity could dilute existing shareholders' ownership.</w:t>
      </w:r>
    </w:p>
    <w:p xmlns:wp14="http://schemas.microsoft.com/office/word/2010/wordml" w:rsidP="5966783F" wp14:paraId="6A6F99C8" wp14:textId="324F651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Considering Hilton's strong operating cash flow and global market position, a balanced financing strategy is recommended. Short-term financing should continue supporting seasonal working capital requirements and temporary cash flow fluctuations, whereas long-term financing should primarily fund strategic growth initiatives, digital transformation and sustainability investments.</w:t>
      </w:r>
    </w:p>
    <w:p xmlns:wp14="http://schemas.microsoft.com/office/word/2010/wordml" w:rsidP="5966783F" wp14:paraId="1F390484" wp14:textId="2C49EB1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Maintaining this balance enables Hilton to preserve financial flexibility while minimising financing costs and supporting long-term shareholder value. Furthermore, careful management of the company's capital structure will improve resilience against future economic uncertainty, inflationary pressures and changes in global interest rates.</w:t>
      </w:r>
    </w:p>
    <w:p xmlns:wp14="http://schemas.microsoft.com/office/word/2010/wordml" w:rsidP="5966783F" wp14:paraId="0F8EBC78" wp14:textId="296E23CB">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960751842" w:id="1919773518"/>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3.4 Overall Evaluation</w:t>
      </w:r>
      <w:bookmarkEnd w:id="1919773518"/>
    </w:p>
    <w:p xmlns:wp14="http://schemas.microsoft.com/office/word/2010/wordml" w:rsidP="5966783F" wp14:paraId="27A755F1" wp14:textId="4FBC35B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Hilton demonstrates effective working capital management supported by strong operating cash flows, rapid customer payments and an efficient asset-light business model. The company's relatively short cash operating cycle provides an important competitive advantage by reducing the need for large working capital investments.</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(see Appendix A, Table A4)</w:t>
      </w:r>
    </w:p>
    <w:p xmlns:wp14="http://schemas.microsoft.com/office/word/2010/wordml" w:rsidP="5966783F" wp14:paraId="4AEE7C04" wp14:textId="6C7BCB1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Nevertheless, continued improvements in digital payment systems, AI-driven cash flow forecasting, supplier management and inventory optimisation could further strengthen liquidity. Combining these operational improvements with an appropriate mix of short-term and long-term financing will enhance Hilton's financial flexibility and support sustainable international growth.</w:t>
      </w:r>
    </w:p>
    <w:p xmlns:wp14="http://schemas.microsoft.com/office/word/2010/wordml" w:rsidP="5966783F" wp14:paraId="7C29B512" wp14:textId="1DF31BB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Hilton's working capital management provides a strong financial foundation for future investment while ensuring the company remains resilient in an increasingly competitive global hospitality industry.</w:t>
      </w:r>
    </w:p>
    <w:p xmlns:wp14="http://schemas.microsoft.com/office/word/2010/wordml" w:rsidP="5966783F" wp14:paraId="1EBC0782" wp14:textId="2558ABFF">
      <w:pPr>
        <w:pStyle w:val="Heading1"/>
        <w:keepNext w:val="1"/>
        <w:keepLines w:val="1"/>
        <w:spacing w:before="322" w:beforeAutospacing="off" w:after="322" w:afterAutospacing="off" w:line="360" w:lineRule="auto"/>
        <w:rPr>
          <w:rFonts w:ascii="Arial" w:hAnsi="Arial" w:eastAsia="Arial" w:cs="Arial"/>
          <w:b w:val="0"/>
          <w:bCs w:val="0"/>
          <w:i w:val="0"/>
          <w:iCs w:val="0"/>
          <w:caps w:val="0"/>
          <w:smallCaps w:val="0"/>
          <w:noProof w:val="0"/>
          <w:color w:val="0F4761" w:themeColor="accent1" w:themeTint="FF" w:themeShade="BF"/>
          <w:sz w:val="48"/>
          <w:szCs w:val="48"/>
          <w:lang w:val="en-GB"/>
        </w:rPr>
      </w:pPr>
      <w:bookmarkStart w:name="_Toc1214407672" w:id="1862264036"/>
      <w:r w:rsidRPr="5966783F" w:rsidR="320BC377">
        <w:rPr>
          <w:rFonts w:ascii="Arial" w:hAnsi="Arial" w:eastAsia="Arial" w:cs="Arial"/>
          <w:b w:val="1"/>
          <w:bCs w:val="1"/>
          <w:i w:val="0"/>
          <w:iCs w:val="0"/>
          <w:caps w:val="0"/>
          <w:smallCaps w:val="0"/>
          <w:noProof w:val="0"/>
          <w:color w:val="0F4761" w:themeColor="accent1" w:themeTint="FF" w:themeShade="BF"/>
          <w:sz w:val="48"/>
          <w:szCs w:val="48"/>
          <w:lang w:val="en-GB"/>
        </w:rPr>
        <w:t>4. Strategic Financial Restructuring Plan</w:t>
      </w:r>
      <w:bookmarkEnd w:id="1862264036"/>
    </w:p>
    <w:p xmlns:wp14="http://schemas.microsoft.com/office/word/2010/wordml" w:rsidP="5966783F" wp14:paraId="521880B6" wp14:textId="4FA41B81">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76831891" w:id="305372843"/>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4.1 Recommended Financial Restructuring Options</w:t>
      </w:r>
      <w:bookmarkEnd w:id="305372843"/>
    </w:p>
    <w:p xmlns:wp14="http://schemas.microsoft.com/office/word/2010/wordml" w:rsidP="5966783F" wp14:paraId="1A0B591C" wp14:textId="701D46F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Financial restructuring enables organisations to strengthen their financial position, improve operational performance and create long-term shareholder value. As Chief Financial Officer (CFO) of Hilton Worldwide Holdings Inc., the proposed restructuring strategy focuses on maintaining financial flexibility, supporting sustainable growth and enhancing resilience against future economic uncertainty. Based on the five-year financial analysis, three key restructuring initiatives are recommended: selective divestiture of non-core assets, increased investment through retained earnings and selective equity financing, and continued optimisation of Hilton's capital structure.</w:t>
      </w:r>
    </w:p>
    <w:p xmlns:wp14="http://schemas.microsoft.com/office/word/2010/wordml" w:rsidP="5966783F" wp14:paraId="2F9A8498" wp14:textId="5B5C760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first recommendation is the selective divestiture of underperforming or non-core assets. Although Hilton primarily operates an asset-light business model, the company still owns a number of hotel properties and real estate investments. Selling low-performing owned assets would release additional capital that could be reinvested into higher-return projects, digital transformation and international expansion. Divestiture also reduces maintenance costs and improves overall asset efficiency, allowing management to concentrate resources on its most profitable brands and markets (Brealey, Myers and Allen, 2023).</w:t>
      </w:r>
    </w:p>
    <w:p xmlns:wp14="http://schemas.microsoft.com/office/word/2010/wordml" w:rsidP="5966783F" wp14:paraId="6363F293" wp14:textId="63268DA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second recommendation involves strengthening internal financing through retained earnings while considering selective equity financing for major strategic investments. Hilton has generated strong operating cash flows in recent years, enabling the company to finance many expansion projects without excessive borrowing. Retaining a larger proportion of profits would increase financial resilience and reduce dependence on external debt. Where significant international acquisitions or sustainability initiatives require substantial investment, issuing a limited amount of new equity could provide additional funding while maintaining a balanced capital structure.</w:t>
      </w:r>
    </w:p>
    <w:p xmlns:wp14="http://schemas.microsoft.com/office/word/2010/wordml" w:rsidP="5966783F" wp14:paraId="0A29F002" wp14:textId="18BF0A9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Finally, Hilton should continue optimising its debt portfolio by refinancing existing borrowings where favourable market conditions exist. Refinancing higher-interest debt with lower-cost long-term borrowing would reduce finance costs and improve interest coverage ratios. Maintaining an appropriate balance between debt and equity financing ensures that Hilton benefits from financial leverage without exposing the business to excessive financial risk.</w:t>
      </w:r>
    </w:p>
    <w:p xmlns:wp14="http://schemas.microsoft.com/office/word/2010/wordml" w:rsidP="5966783F" wp14:paraId="4617E729" wp14:textId="1A262E2C">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582200478" w:id="512498740"/>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4.2 Impact on Shareholder Value, Debt Structure and Operational Flexibility</w:t>
      </w:r>
      <w:bookmarkEnd w:id="512498740"/>
    </w:p>
    <w:p xmlns:wp14="http://schemas.microsoft.com/office/word/2010/wordml" w:rsidP="5966783F" wp14:paraId="3C701532" wp14:textId="6DCAECB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proposed restructuring strategy is expected to generate significant benefits for shareholders. Divesting non-core assets and reinvesting proceeds into high-growth opportunities should improve return on assets (ROA), return on equity (ROE) and long-term profitability. Investors generally respond positively when management demonstrates disciplined capital allocation and focuses investment on projects that maximise shareholder wealth (Ross, Westerfield and Jordan, 2022).</w:t>
      </w:r>
    </w:p>
    <w:p xmlns:wp14="http://schemas.microsoft.com/office/word/2010/wordml" w:rsidP="5966783F" wp14:paraId="3A3546D8" wp14:textId="67625D7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Reducing reliance on expensive borrowing would strengthen Hilton's debt structure by lowering interest expenses and improving financial stability. Improved interest coverage would increase investor confidence and potentially enhance Hilton's credit rating, reducing future borrowing costs. A stronger balance sheet would also provide greater flexibility to respond to economic downturns or unexpected market disruptions.</w:t>
      </w:r>
    </w:p>
    <w:p xmlns:wp14="http://schemas.microsoft.com/office/word/2010/wordml" w:rsidP="5966783F" wp14:paraId="02DA399C" wp14:textId="0B601C6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Operational flexibility would improve through increased financial capacity and stronger liquidity. Additional internally generated funds would enable Hilton to respond quickly to new investment opportunities, accelerate digital transformation and expand into emerging international markets. Furthermore, maintaining a healthy capital structure allows management greater freedom when making long-term strategic decisions without excessive restrictions imposed by creditors.</w:t>
      </w:r>
    </w:p>
    <w:p xmlns:wp14="http://schemas.microsoft.com/office/word/2010/wordml" w:rsidP="5966783F" wp14:paraId="22E508E1" wp14:textId="53A71FB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the proposed restructuring plan balances financial stability with future growth opportunities while supporting sustainable value creation for shareholders.</w:t>
      </w:r>
    </w:p>
    <w:p xmlns:wp14="http://schemas.microsoft.com/office/word/2010/wordml" w:rsidP="5966783F" wp14:paraId="6BC3C71F" wp14:textId="01FAB6B1">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934021473" w:id="1382006894"/>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4.3 International and Ethical Considerations</w:t>
      </w:r>
      <w:bookmarkEnd w:id="1382006894"/>
    </w:p>
    <w:p xmlns:wp14="http://schemas.microsoft.com/office/word/2010/wordml" w:rsidP="5966783F" wp14:paraId="2EF0E603" wp14:textId="528BBA8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As a multinational hospitality organisation operating in more than 100 countries, Hilton must consider several international financial risks when implementing its restructuring strategy.</w:t>
      </w:r>
    </w:p>
    <w:p xmlns:wp14="http://schemas.microsoft.com/office/word/2010/wordml" w:rsidP="5966783F" wp14:paraId="53328D08" wp14:textId="2D4590B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One important consideration is currency risk. Hilton generates substantial revenues in multiple foreign currencies while reporting financial results in US dollars. Exchange rate fluctuations can significantly influence reported revenue, profitability and cash flows. To reduce this risk, Hilton should continue using foreign exchange hedging instruments such as forward contracts and currency swaps to stabilise international earnings.</w:t>
      </w:r>
    </w:p>
    <w:p xmlns:wp14="http://schemas.microsoft.com/office/word/2010/wordml" w:rsidP="5966783F" wp14:paraId="29387DF5" wp14:textId="42A6525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Inflation also remains an important financial challenge. Rising labour costs, food prices, utilities and construction expenses continue to affect hotel operating costs globally. Hilton should continue implementing dynamic pricing strategies that adjust room rates according to market demand while maintaining operational efficiency through technology and automation.</w:t>
      </w:r>
    </w:p>
    <w:p xmlns:wp14="http://schemas.microsoft.com/office/word/2010/wordml" w:rsidP="5966783F" wp14:paraId="0E825AC5" wp14:textId="04E7334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Taxation represents another significant consideration for multinational corporations. Hilton must ensure full compliance with international tax regulations while avoiding aggressive tax planning practices that could damage corporate reputation. Maintaining transparent tax policies supports stakeholder confidence and demonstrates responsible corporate governance.</w:t>
      </w:r>
    </w:p>
    <w:p xmlns:wp14="http://schemas.microsoft.com/office/word/2010/wordml" w:rsidP="5966783F" wp14:paraId="4E21C60E" wp14:textId="6DD51B8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Environmental, Social and Governance (ESG) considerations have become increasingly important for investors, customers and regulators. Hilton has already committed to reducing carbon emissions, improving energy efficiency and increasing responsible sourcing across its global operations. Continued investment in sustainable hotel design, renewable energy and waste reduction initiatives will strengthen the company's ESG performance while supporting long-term competitiveness (Hilton Worldwide, 2025).</w:t>
      </w:r>
    </w:p>
    <w:p xmlns:wp14="http://schemas.microsoft.com/office/word/2010/wordml" w:rsidP="5966783F" wp14:paraId="7AEE55C6" wp14:textId="2D55A11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Corporate social responsibility (CSR) also contributes to Hilton's brand reputation and customer loyalty. Investment in employee wellbeing, diversity and inclusion, local community development and ethical supply chain management enhances stakeholder trust and supports sustainable business growth. Increasingly, investors consider ESG performance alongside financial performance when making investment decisions, making responsible business practices a strategic as well as ethical priority.</w:t>
      </w:r>
    </w:p>
    <w:p xmlns:wp14="http://schemas.microsoft.com/office/word/2010/wordml" w:rsidP="5966783F" wp14:paraId="6AC9DEED" wp14:textId="71C9941F">
      <w:pPr>
        <w:pStyle w:val="Heading2"/>
        <w:keepNext w:val="1"/>
        <w:keepLines w:val="1"/>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30322734" w:id="1850026370"/>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4.4 Overall Evaluation</w:t>
      </w:r>
      <w:bookmarkEnd w:id="1850026370"/>
    </w:p>
    <w:p xmlns:wp14="http://schemas.microsoft.com/office/word/2010/wordml" w:rsidP="5966783F" wp14:paraId="224624A0" wp14:textId="0419AAF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proposed financial restructuring plan positions Hilton for sustainable long-term growth while maintaining financial stability. Selective divestiture, prudent debt management and increased reliance on internally generated funds will strengthen the company's financial position without limiting future expansion opportunities.</w:t>
      </w:r>
    </w:p>
    <w:p xmlns:wp14="http://schemas.microsoft.com/office/word/2010/wordml" w:rsidP="5966783F" wp14:paraId="264CED59" wp14:textId="5FF4CDB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strategy is expected to improve shareholder value through enhanced profitability, lower financing costs and greater operational flexibility. At the same time, careful management of currency risk, inflation, taxation and ESG commitments ensures that Hilton remains financially resilient while meeting the expectations of customers, investors and regulators.</w:t>
      </w:r>
    </w:p>
    <w:p xmlns:wp14="http://schemas.microsoft.com/office/word/2010/wordml" w:rsidP="5966783F" wp14:paraId="081B94CD" wp14:textId="29C1117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the restructuring recommendations provide a financially viable, globally scalable and ethically responsible framework that supports Hilton's long-term strategic objectives and strengthens its competitive position within the international hospitality industry.</w:t>
      </w:r>
    </w:p>
    <w:p xmlns:wp14="http://schemas.microsoft.com/office/word/2010/wordml" w:rsidP="5966783F" wp14:paraId="46E72D28" wp14:textId="2CD3F69D">
      <w:pPr>
        <w:pStyle w:val="Heading1"/>
        <w:keepNext w:val="1"/>
        <w:keepLines w:val="1"/>
        <w:spacing w:before="360" w:after="80" w:line="360" w:lineRule="auto"/>
        <w:rPr>
          <w:rFonts w:ascii="Arial" w:hAnsi="Arial" w:eastAsia="Arial" w:cs="Arial"/>
          <w:b w:val="0"/>
          <w:bCs w:val="0"/>
          <w:i w:val="0"/>
          <w:iCs w:val="0"/>
          <w:caps w:val="0"/>
          <w:smallCaps w:val="0"/>
          <w:noProof w:val="0"/>
          <w:color w:val="0F4761" w:themeColor="accent1" w:themeTint="FF" w:themeShade="BF"/>
          <w:sz w:val="40"/>
          <w:szCs w:val="40"/>
          <w:lang w:val="en-GB"/>
        </w:rPr>
      </w:pPr>
      <w:r w:rsidRPr="5966783F" w:rsidR="320BC377">
        <w:rPr>
          <w:rFonts w:ascii="Arial" w:hAnsi="Arial" w:eastAsia="Arial" w:cs="Arial"/>
          <w:b w:val="0"/>
          <w:bCs w:val="0"/>
          <w:i w:val="0"/>
          <w:iCs w:val="0"/>
          <w:caps w:val="0"/>
          <w:smallCaps w:val="0"/>
          <w:noProof w:val="0"/>
          <w:color w:val="0F4761" w:themeColor="accent1" w:themeTint="FF" w:themeShade="BF"/>
          <w:sz w:val="40"/>
          <w:szCs w:val="40"/>
          <w:lang w:val="en-US"/>
        </w:rPr>
        <w:t xml:space="preserve"> </w:t>
      </w:r>
      <w:bookmarkStart w:name="_Toc338821389" w:id="1687886585"/>
      <w:r w:rsidRPr="5966783F" w:rsidR="320BC377">
        <w:rPr>
          <w:rFonts w:ascii="Arial" w:hAnsi="Arial" w:eastAsia="Arial" w:cs="Arial"/>
          <w:b w:val="0"/>
          <w:bCs w:val="0"/>
          <w:i w:val="0"/>
          <w:iCs w:val="0"/>
          <w:caps w:val="0"/>
          <w:smallCaps w:val="0"/>
          <w:noProof w:val="0"/>
          <w:color w:val="0F4761" w:themeColor="accent1" w:themeTint="FF" w:themeShade="BF"/>
          <w:sz w:val="40"/>
          <w:szCs w:val="40"/>
          <w:lang w:val="en-US"/>
        </w:rPr>
        <w:t>5: Investment Appraisal and Capital Budgeting</w:t>
      </w:r>
      <w:bookmarkEnd w:id="1687886585"/>
    </w:p>
    <w:p xmlns:wp14="http://schemas.microsoft.com/office/word/2010/wordml" w:rsidP="5966783F" wp14:paraId="546E9B29" wp14:textId="27A29B53">
      <w:pPr>
        <w:pStyle w:val="Heading2"/>
        <w:keepNext w:val="1"/>
        <w:keepLines w:val="1"/>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1190219675" w:id="1708618717"/>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5.1 Introduction</w:t>
      </w:r>
      <w:bookmarkEnd w:id="1708618717"/>
    </w:p>
    <w:p xmlns:wp14="http://schemas.microsoft.com/office/word/2010/wordml" w:rsidP="5966783F" wp14:paraId="77A7234A" wp14:textId="3D939222">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Capital budgeting is one of the most important responsibilities of a Chief Financial Officer (CFO) because it determines how an organisation allocates financial resources to maximise long-term shareholder value. Hilton Worldwide is considering three investment projects, each requiring an initial investment of £50 million. The projects are evaluated using Payback Period (PBP), Accounting Rate of Return (ARR), Net Present Value (NPV), Profitability Index (PI) and Internal Rate of Return (IRR). An 8% discount rate and straight-line depreciation to zero over five years are assumed.</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(see Appendix B, Tables B1–B3)</w:t>
      </w:r>
    </w:p>
    <w:p xmlns:wp14="http://schemas.microsoft.com/office/word/2010/wordml" w:rsidP="5966783F" wp14:paraId="101D90D4" wp14:textId="693B30DB">
      <w:pPr>
        <w:pStyle w:val="Heading2"/>
        <w:keepNext w:val="1"/>
        <w:keepLines w:val="1"/>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828193203" w:id="972554104"/>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5.2 Investment Appraisal Results</w:t>
      </w:r>
      <w:bookmarkEnd w:id="972554104"/>
    </w:p>
    <w:p xmlns:wp14="http://schemas.microsoft.com/office/word/2010/wordml" w:rsidP="5966783F" wp14:paraId="2BDDEF07" wp14:textId="33006CB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1: Investment Appraisal Results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440"/>
        <w:gridCol w:w="1440"/>
        <w:gridCol w:w="1440"/>
        <w:gridCol w:w="1440"/>
        <w:gridCol w:w="1440"/>
        <w:gridCol w:w="1440"/>
      </w:tblGrid>
      <w:tr w:rsidR="5966783F" w:rsidTr="5966783F" w14:paraId="287E82D3">
        <w:trPr>
          <w:trHeight w:val="285"/>
        </w:trPr>
        <w:tc>
          <w:tcPr>
            <w:tcW w:w="1440"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7FC8CCBC" w14:textId="42E11116">
            <w:pPr>
              <w:spacing w:line="360" w:lineRule="auto"/>
              <w:rPr>
                <w:rFonts w:ascii="Arial" w:hAnsi="Arial" w:eastAsia="Arial" w:cs="Arial"/>
                <w:b w:val="0"/>
                <w:bCs w:val="0"/>
                <w:i w:val="0"/>
                <w:iCs w:val="0"/>
                <w:color w:val="F5F5F5"/>
                <w:sz w:val="22"/>
                <w:szCs w:val="22"/>
              </w:rPr>
            </w:pPr>
            <w:r w:rsidRPr="5966783F" w:rsidR="5966783F">
              <w:rPr>
                <w:rFonts w:ascii="Arial" w:hAnsi="Arial" w:eastAsia="Arial" w:cs="Arial"/>
                <w:b w:val="0"/>
                <w:bCs w:val="0"/>
                <w:i w:val="0"/>
                <w:iCs w:val="0"/>
                <w:color w:val="FFFFFF" w:themeColor="background1" w:themeTint="FF" w:themeShade="FF"/>
                <w:sz w:val="22"/>
                <w:szCs w:val="22"/>
                <w:lang w:val="en-US"/>
              </w:rPr>
              <w:t>Method</w:t>
            </w:r>
          </w:p>
        </w:tc>
        <w:tc>
          <w:tcPr>
            <w:tcW w:w="1440" w:type="dxa"/>
            <w:tcBorders>
              <w:top w:val="single" w:sz="6"/>
            </w:tcBorders>
            <w:shd w:val="clear" w:color="auto" w:fill="215E99" w:themeFill="text2" w:themeFillTint="BF"/>
            <w:tcMar>
              <w:left w:w="90" w:type="dxa"/>
              <w:right w:w="90" w:type="dxa"/>
            </w:tcMar>
            <w:vAlign w:val="top"/>
          </w:tcPr>
          <w:p w:rsidR="5966783F" w:rsidP="5966783F" w:rsidRDefault="5966783F" w14:paraId="2E863361" w14:textId="09B2A8B6">
            <w:pPr>
              <w:spacing w:line="360" w:lineRule="auto"/>
              <w:rPr>
                <w:rFonts w:ascii="Arial" w:hAnsi="Arial" w:eastAsia="Arial" w:cs="Arial"/>
                <w:b w:val="0"/>
                <w:bCs w:val="0"/>
                <w:i w:val="0"/>
                <w:iCs w:val="0"/>
                <w:color w:val="F5F5F5"/>
                <w:sz w:val="22"/>
                <w:szCs w:val="22"/>
              </w:rPr>
            </w:pPr>
            <w:r w:rsidRPr="5966783F" w:rsidR="5966783F">
              <w:rPr>
                <w:rFonts w:ascii="Arial" w:hAnsi="Arial" w:eastAsia="Arial" w:cs="Arial"/>
                <w:b w:val="0"/>
                <w:bCs w:val="0"/>
                <w:i w:val="0"/>
                <w:iCs w:val="0"/>
                <w:color w:val="FFFFFF" w:themeColor="background1" w:themeTint="FF" w:themeShade="FF"/>
                <w:sz w:val="22"/>
                <w:szCs w:val="22"/>
                <w:lang w:val="en-US"/>
              </w:rPr>
              <w:t>Project A</w:t>
            </w:r>
          </w:p>
        </w:tc>
        <w:tc>
          <w:tcPr>
            <w:tcW w:w="1440" w:type="dxa"/>
            <w:tcBorders>
              <w:top w:val="single" w:sz="6"/>
            </w:tcBorders>
            <w:shd w:val="clear" w:color="auto" w:fill="215E99" w:themeFill="text2" w:themeFillTint="BF"/>
            <w:tcMar>
              <w:left w:w="90" w:type="dxa"/>
              <w:right w:w="90" w:type="dxa"/>
            </w:tcMar>
            <w:vAlign w:val="top"/>
          </w:tcPr>
          <w:p w:rsidR="5966783F" w:rsidP="5966783F" w:rsidRDefault="5966783F" w14:paraId="5B8C7125" w14:textId="100D892D">
            <w:pPr>
              <w:spacing w:line="360" w:lineRule="auto"/>
              <w:rPr>
                <w:rFonts w:ascii="Arial" w:hAnsi="Arial" w:eastAsia="Arial" w:cs="Arial"/>
                <w:b w:val="0"/>
                <w:bCs w:val="0"/>
                <w:i w:val="0"/>
                <w:iCs w:val="0"/>
                <w:color w:val="F5F5F5"/>
                <w:sz w:val="22"/>
                <w:szCs w:val="22"/>
              </w:rPr>
            </w:pPr>
            <w:r w:rsidRPr="5966783F" w:rsidR="5966783F">
              <w:rPr>
                <w:rFonts w:ascii="Arial" w:hAnsi="Arial" w:eastAsia="Arial" w:cs="Arial"/>
                <w:b w:val="0"/>
                <w:bCs w:val="0"/>
                <w:i w:val="0"/>
                <w:iCs w:val="0"/>
                <w:color w:val="FFFFFF" w:themeColor="background1" w:themeTint="FF" w:themeShade="FF"/>
                <w:sz w:val="22"/>
                <w:szCs w:val="22"/>
                <w:lang w:val="en-US"/>
              </w:rPr>
              <w:t>Project B</w:t>
            </w:r>
          </w:p>
        </w:tc>
        <w:tc>
          <w:tcPr>
            <w:tcW w:w="1440" w:type="dxa"/>
            <w:tcBorders>
              <w:top w:val="single" w:sz="6"/>
            </w:tcBorders>
            <w:shd w:val="clear" w:color="auto" w:fill="215E99" w:themeFill="text2" w:themeFillTint="BF"/>
            <w:tcMar>
              <w:left w:w="90" w:type="dxa"/>
              <w:right w:w="90" w:type="dxa"/>
            </w:tcMar>
            <w:vAlign w:val="top"/>
          </w:tcPr>
          <w:p w:rsidR="5966783F" w:rsidP="5966783F" w:rsidRDefault="5966783F" w14:paraId="1C3FE7E3" w14:textId="36546CE1">
            <w:pPr>
              <w:spacing w:line="360" w:lineRule="auto"/>
              <w:rPr>
                <w:rFonts w:ascii="Arial" w:hAnsi="Arial" w:eastAsia="Arial" w:cs="Arial"/>
                <w:b w:val="0"/>
                <w:bCs w:val="0"/>
                <w:i w:val="0"/>
                <w:iCs w:val="0"/>
                <w:color w:val="F5F5F5"/>
                <w:sz w:val="22"/>
                <w:szCs w:val="22"/>
              </w:rPr>
            </w:pPr>
            <w:r w:rsidRPr="5966783F" w:rsidR="5966783F">
              <w:rPr>
                <w:rFonts w:ascii="Arial" w:hAnsi="Arial" w:eastAsia="Arial" w:cs="Arial"/>
                <w:b w:val="0"/>
                <w:bCs w:val="0"/>
                <w:i w:val="0"/>
                <w:iCs w:val="0"/>
                <w:color w:val="FFFFFF" w:themeColor="background1" w:themeTint="FF" w:themeShade="FF"/>
                <w:sz w:val="22"/>
                <w:szCs w:val="22"/>
                <w:lang w:val="en-US"/>
              </w:rPr>
              <w:t>Project C</w:t>
            </w:r>
          </w:p>
        </w:tc>
        <w:tc>
          <w:tcPr>
            <w:tcW w:w="1440" w:type="dxa"/>
            <w:tcBorders>
              <w:top w:val="single" w:sz="6"/>
            </w:tcBorders>
            <w:shd w:val="clear" w:color="auto" w:fill="215E99" w:themeFill="text2" w:themeFillTint="BF"/>
            <w:tcMar>
              <w:left w:w="90" w:type="dxa"/>
              <w:right w:w="90" w:type="dxa"/>
            </w:tcMar>
            <w:vAlign w:val="top"/>
          </w:tcPr>
          <w:p w:rsidR="5966783F" w:rsidP="5966783F" w:rsidRDefault="5966783F" w14:paraId="25FAB0DF" w14:textId="7364CBDE">
            <w:pPr>
              <w:spacing w:line="360" w:lineRule="auto"/>
              <w:rPr>
                <w:rFonts w:ascii="Arial" w:hAnsi="Arial" w:eastAsia="Arial" w:cs="Arial"/>
                <w:b w:val="0"/>
                <w:bCs w:val="0"/>
                <w:i w:val="0"/>
                <w:iCs w:val="0"/>
                <w:color w:val="F5F5F5"/>
                <w:sz w:val="22"/>
                <w:szCs w:val="22"/>
              </w:rPr>
            </w:pPr>
            <w:r w:rsidRPr="5966783F" w:rsidR="5966783F">
              <w:rPr>
                <w:rFonts w:ascii="Arial" w:hAnsi="Arial" w:eastAsia="Arial" w:cs="Arial"/>
                <w:b w:val="0"/>
                <w:bCs w:val="0"/>
                <w:i w:val="0"/>
                <w:iCs w:val="0"/>
                <w:color w:val="FFFFFF" w:themeColor="background1" w:themeTint="FF" w:themeShade="FF"/>
                <w:sz w:val="22"/>
                <w:szCs w:val="22"/>
                <w:lang w:val="en-US"/>
              </w:rPr>
              <w:t>Best Project</w:t>
            </w:r>
          </w:p>
        </w:tc>
        <w:tc>
          <w:tcPr>
            <w:tcW w:w="1440"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06EE8815" w14:textId="5899D6F2">
            <w:pPr>
              <w:spacing w:line="360" w:lineRule="auto"/>
              <w:rPr>
                <w:rFonts w:ascii="Arial" w:hAnsi="Arial" w:eastAsia="Arial" w:cs="Arial"/>
                <w:b w:val="0"/>
                <w:bCs w:val="0"/>
                <w:i w:val="0"/>
                <w:iCs w:val="0"/>
                <w:color w:val="F5F5F5"/>
                <w:sz w:val="22"/>
                <w:szCs w:val="22"/>
              </w:rPr>
            </w:pPr>
            <w:r w:rsidRPr="5966783F" w:rsidR="5966783F">
              <w:rPr>
                <w:rFonts w:ascii="Arial" w:hAnsi="Arial" w:eastAsia="Arial" w:cs="Arial"/>
                <w:b w:val="0"/>
                <w:bCs w:val="0"/>
                <w:i w:val="0"/>
                <w:iCs w:val="0"/>
                <w:color w:val="FFFFFF" w:themeColor="background1" w:themeTint="FF" w:themeShade="FF"/>
                <w:sz w:val="22"/>
                <w:szCs w:val="22"/>
                <w:lang w:val="en-US"/>
              </w:rPr>
              <w:t>Reason</w:t>
            </w:r>
          </w:p>
        </w:tc>
      </w:tr>
      <w:tr w:rsidR="5966783F" w:rsidTr="5966783F" w14:paraId="489F46A3">
        <w:trPr>
          <w:trHeight w:val="285"/>
        </w:trPr>
        <w:tc>
          <w:tcPr>
            <w:tcW w:w="1440" w:type="dxa"/>
            <w:tcBorders>
              <w:left w:val="single" w:sz="6"/>
            </w:tcBorders>
            <w:tcMar>
              <w:left w:w="90" w:type="dxa"/>
              <w:right w:w="90" w:type="dxa"/>
            </w:tcMar>
            <w:vAlign w:val="top"/>
          </w:tcPr>
          <w:p w:rsidR="5966783F" w:rsidP="5966783F" w:rsidRDefault="5966783F" w14:paraId="65592F4F" w14:textId="5F9F8493">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Payback Period</w:t>
            </w:r>
          </w:p>
        </w:tc>
        <w:tc>
          <w:tcPr>
            <w:tcW w:w="1440" w:type="dxa"/>
            <w:tcMar>
              <w:left w:w="90" w:type="dxa"/>
              <w:right w:w="90" w:type="dxa"/>
            </w:tcMar>
            <w:vAlign w:val="top"/>
          </w:tcPr>
          <w:p w:rsidR="5966783F" w:rsidP="5966783F" w:rsidRDefault="5966783F" w14:paraId="47925437" w14:textId="7D2E8226">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4.75 years</w:t>
            </w:r>
          </w:p>
        </w:tc>
        <w:tc>
          <w:tcPr>
            <w:tcW w:w="1440" w:type="dxa"/>
            <w:tcMar>
              <w:left w:w="90" w:type="dxa"/>
              <w:right w:w="90" w:type="dxa"/>
            </w:tcMar>
            <w:vAlign w:val="top"/>
          </w:tcPr>
          <w:p w:rsidR="5966783F" w:rsidP="5966783F" w:rsidRDefault="5966783F" w14:paraId="1C157D56" w14:textId="0816E440">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4.55 years</w:t>
            </w:r>
          </w:p>
        </w:tc>
        <w:tc>
          <w:tcPr>
            <w:tcW w:w="1440" w:type="dxa"/>
            <w:tcMar>
              <w:left w:w="90" w:type="dxa"/>
              <w:right w:w="90" w:type="dxa"/>
            </w:tcMar>
            <w:vAlign w:val="top"/>
          </w:tcPr>
          <w:p w:rsidR="5966783F" w:rsidP="5966783F" w:rsidRDefault="5966783F" w14:paraId="3BE46FD0" w14:textId="76488AF5">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4.60 years</w:t>
            </w:r>
          </w:p>
        </w:tc>
        <w:tc>
          <w:tcPr>
            <w:tcW w:w="1440" w:type="dxa"/>
            <w:tcMar>
              <w:left w:w="90" w:type="dxa"/>
              <w:right w:w="90" w:type="dxa"/>
            </w:tcMar>
            <w:vAlign w:val="top"/>
          </w:tcPr>
          <w:p w:rsidR="5966783F" w:rsidP="5966783F" w:rsidRDefault="5966783F" w14:paraId="2BE16373" w14:textId="44DDDDBB">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B</w:t>
            </w:r>
          </w:p>
        </w:tc>
        <w:tc>
          <w:tcPr>
            <w:tcW w:w="1440" w:type="dxa"/>
            <w:tcBorders>
              <w:right w:val="single" w:sz="6"/>
            </w:tcBorders>
            <w:tcMar>
              <w:left w:w="90" w:type="dxa"/>
              <w:right w:w="90" w:type="dxa"/>
            </w:tcMar>
            <w:vAlign w:val="top"/>
          </w:tcPr>
          <w:p w:rsidR="5966783F" w:rsidP="5966783F" w:rsidRDefault="5966783F" w14:paraId="3519111E" w14:textId="4B818758">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Shortest payback</w:t>
            </w:r>
          </w:p>
        </w:tc>
      </w:tr>
      <w:tr w:rsidR="5966783F" w:rsidTr="5966783F" w14:paraId="4799D576">
        <w:trPr>
          <w:trHeight w:val="285"/>
        </w:trPr>
        <w:tc>
          <w:tcPr>
            <w:tcW w:w="1440" w:type="dxa"/>
            <w:tcBorders>
              <w:left w:val="single" w:sz="6"/>
            </w:tcBorders>
            <w:tcMar>
              <w:left w:w="90" w:type="dxa"/>
              <w:right w:w="90" w:type="dxa"/>
            </w:tcMar>
            <w:vAlign w:val="top"/>
          </w:tcPr>
          <w:p w:rsidR="5966783F" w:rsidP="5966783F" w:rsidRDefault="5966783F" w14:paraId="609078FA" w14:textId="47E6B24A">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ARR</w:t>
            </w:r>
          </w:p>
        </w:tc>
        <w:tc>
          <w:tcPr>
            <w:tcW w:w="1440" w:type="dxa"/>
            <w:tcMar>
              <w:left w:w="90" w:type="dxa"/>
              <w:right w:w="90" w:type="dxa"/>
            </w:tcMar>
            <w:vAlign w:val="top"/>
          </w:tcPr>
          <w:p w:rsidR="5966783F" w:rsidP="5966783F" w:rsidRDefault="5966783F" w14:paraId="2209EAE2" w14:textId="3A0C0CC5">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1.6%</w:t>
            </w:r>
          </w:p>
        </w:tc>
        <w:tc>
          <w:tcPr>
            <w:tcW w:w="1440" w:type="dxa"/>
            <w:tcMar>
              <w:left w:w="90" w:type="dxa"/>
              <w:right w:w="90" w:type="dxa"/>
            </w:tcMar>
            <w:vAlign w:val="top"/>
          </w:tcPr>
          <w:p w:rsidR="5966783F" w:rsidP="5966783F" w:rsidRDefault="5966783F" w14:paraId="7C9F934C" w14:textId="6107E2B5">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2.0%</w:t>
            </w:r>
          </w:p>
        </w:tc>
        <w:tc>
          <w:tcPr>
            <w:tcW w:w="1440" w:type="dxa"/>
            <w:tcMar>
              <w:left w:w="90" w:type="dxa"/>
              <w:right w:w="90" w:type="dxa"/>
            </w:tcMar>
            <w:vAlign w:val="top"/>
          </w:tcPr>
          <w:p w:rsidR="5966783F" w:rsidP="5966783F" w:rsidRDefault="5966783F" w14:paraId="5BF2E39C" w14:textId="313DEBEB">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6.0%</w:t>
            </w:r>
          </w:p>
        </w:tc>
        <w:tc>
          <w:tcPr>
            <w:tcW w:w="1440" w:type="dxa"/>
            <w:tcMar>
              <w:left w:w="90" w:type="dxa"/>
              <w:right w:w="90" w:type="dxa"/>
            </w:tcMar>
            <w:vAlign w:val="top"/>
          </w:tcPr>
          <w:p w:rsidR="5966783F" w:rsidP="5966783F" w:rsidRDefault="5966783F" w14:paraId="3A27181B" w14:textId="542E27F0">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C</w:t>
            </w:r>
          </w:p>
        </w:tc>
        <w:tc>
          <w:tcPr>
            <w:tcW w:w="1440" w:type="dxa"/>
            <w:tcBorders>
              <w:right w:val="single" w:sz="6"/>
            </w:tcBorders>
            <w:tcMar>
              <w:left w:w="90" w:type="dxa"/>
              <w:right w:w="90" w:type="dxa"/>
            </w:tcMar>
            <w:vAlign w:val="top"/>
          </w:tcPr>
          <w:p w:rsidR="5966783F" w:rsidP="5966783F" w:rsidRDefault="5966783F" w14:paraId="050FC301" w14:textId="4964744D">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Highest accounting return</w:t>
            </w:r>
          </w:p>
        </w:tc>
      </w:tr>
      <w:tr w:rsidR="5966783F" w:rsidTr="5966783F" w14:paraId="50C53D11">
        <w:trPr>
          <w:trHeight w:val="285"/>
        </w:trPr>
        <w:tc>
          <w:tcPr>
            <w:tcW w:w="1440" w:type="dxa"/>
            <w:tcBorders>
              <w:left w:val="single" w:sz="6"/>
            </w:tcBorders>
            <w:tcMar>
              <w:left w:w="90" w:type="dxa"/>
              <w:right w:w="90" w:type="dxa"/>
            </w:tcMar>
            <w:vAlign w:val="top"/>
          </w:tcPr>
          <w:p w:rsidR="5966783F" w:rsidP="5966783F" w:rsidRDefault="5966783F" w14:paraId="3659D663" w14:textId="0ACDADBC">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NPV</w:t>
            </w:r>
          </w:p>
        </w:tc>
        <w:tc>
          <w:tcPr>
            <w:tcW w:w="1440" w:type="dxa"/>
            <w:tcMar>
              <w:left w:w="90" w:type="dxa"/>
              <w:right w:w="90" w:type="dxa"/>
            </w:tcMar>
            <w:vAlign w:val="top"/>
          </w:tcPr>
          <w:p w:rsidR="5966783F" w:rsidP="5966783F" w:rsidRDefault="5966783F" w14:paraId="42BC628C" w14:textId="415D9F0F">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-£2.14m</w:t>
            </w:r>
          </w:p>
        </w:tc>
        <w:tc>
          <w:tcPr>
            <w:tcW w:w="1440" w:type="dxa"/>
            <w:tcMar>
              <w:left w:w="90" w:type="dxa"/>
              <w:right w:w="90" w:type="dxa"/>
            </w:tcMar>
            <w:vAlign w:val="top"/>
          </w:tcPr>
          <w:p w:rsidR="5966783F" w:rsidP="5966783F" w:rsidRDefault="5966783F" w14:paraId="0E6668F1" w14:textId="2C4A9484">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-£6.08m</w:t>
            </w:r>
          </w:p>
        </w:tc>
        <w:tc>
          <w:tcPr>
            <w:tcW w:w="1440" w:type="dxa"/>
            <w:tcMar>
              <w:left w:w="90" w:type="dxa"/>
              <w:right w:w="90" w:type="dxa"/>
            </w:tcMar>
            <w:vAlign w:val="top"/>
          </w:tcPr>
          <w:p w:rsidR="5966783F" w:rsidP="5966783F" w:rsidRDefault="5966783F" w14:paraId="688A1DDF" w14:textId="2161440F">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+£2.43 m</w:t>
            </w:r>
          </w:p>
        </w:tc>
        <w:tc>
          <w:tcPr>
            <w:tcW w:w="1440" w:type="dxa"/>
            <w:tcMar>
              <w:left w:w="90" w:type="dxa"/>
              <w:right w:w="90" w:type="dxa"/>
            </w:tcMar>
            <w:vAlign w:val="top"/>
          </w:tcPr>
          <w:p w:rsidR="5966783F" w:rsidP="5966783F" w:rsidRDefault="5966783F" w14:paraId="240B1CFA" w14:textId="33766997">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C</w:t>
            </w:r>
          </w:p>
        </w:tc>
        <w:tc>
          <w:tcPr>
            <w:tcW w:w="1440" w:type="dxa"/>
            <w:tcBorders>
              <w:right w:val="single" w:sz="6"/>
            </w:tcBorders>
            <w:tcMar>
              <w:left w:w="90" w:type="dxa"/>
              <w:right w:w="90" w:type="dxa"/>
            </w:tcMar>
            <w:vAlign w:val="top"/>
          </w:tcPr>
          <w:p w:rsidR="5966783F" w:rsidP="5966783F" w:rsidRDefault="5966783F" w14:paraId="0456014A" w14:textId="52C29110">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Only positive NPV</w:t>
            </w:r>
          </w:p>
        </w:tc>
      </w:tr>
      <w:tr w:rsidR="5966783F" w:rsidTr="5966783F" w14:paraId="6E635AAE">
        <w:trPr>
          <w:trHeight w:val="285"/>
        </w:trPr>
        <w:tc>
          <w:tcPr>
            <w:tcW w:w="1440" w:type="dxa"/>
            <w:tcBorders>
              <w:left w:val="single" w:sz="6"/>
            </w:tcBorders>
            <w:tcMar>
              <w:left w:w="90" w:type="dxa"/>
              <w:right w:w="90" w:type="dxa"/>
            </w:tcMar>
            <w:vAlign w:val="top"/>
          </w:tcPr>
          <w:p w:rsidR="5966783F" w:rsidP="5966783F" w:rsidRDefault="5966783F" w14:paraId="150F4C7F" w14:textId="6E773973">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PI</w:t>
            </w:r>
          </w:p>
        </w:tc>
        <w:tc>
          <w:tcPr>
            <w:tcW w:w="1440" w:type="dxa"/>
            <w:tcMar>
              <w:left w:w="90" w:type="dxa"/>
              <w:right w:w="90" w:type="dxa"/>
            </w:tcMar>
            <w:vAlign w:val="top"/>
          </w:tcPr>
          <w:p w:rsidR="5966783F" w:rsidP="5966783F" w:rsidRDefault="5966783F" w14:paraId="75E8823D" w14:textId="5C724171">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0.96</w:t>
            </w:r>
          </w:p>
        </w:tc>
        <w:tc>
          <w:tcPr>
            <w:tcW w:w="1440" w:type="dxa"/>
            <w:tcMar>
              <w:left w:w="90" w:type="dxa"/>
              <w:right w:w="90" w:type="dxa"/>
            </w:tcMar>
            <w:vAlign w:val="top"/>
          </w:tcPr>
          <w:p w:rsidR="5966783F" w:rsidP="5966783F" w:rsidRDefault="5966783F" w14:paraId="27498407" w14:textId="6FDAFC1C">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0.88</w:t>
            </w:r>
          </w:p>
        </w:tc>
        <w:tc>
          <w:tcPr>
            <w:tcW w:w="1440" w:type="dxa"/>
            <w:tcMar>
              <w:left w:w="90" w:type="dxa"/>
              <w:right w:w="90" w:type="dxa"/>
            </w:tcMar>
            <w:vAlign w:val="top"/>
          </w:tcPr>
          <w:p w:rsidR="5966783F" w:rsidP="5966783F" w:rsidRDefault="5966783F" w14:paraId="087CA554" w14:textId="4F27495B">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1.05</w:t>
            </w:r>
          </w:p>
        </w:tc>
        <w:tc>
          <w:tcPr>
            <w:tcW w:w="1440" w:type="dxa"/>
            <w:tcMar>
              <w:left w:w="90" w:type="dxa"/>
              <w:right w:w="90" w:type="dxa"/>
            </w:tcMar>
            <w:vAlign w:val="top"/>
          </w:tcPr>
          <w:p w:rsidR="5966783F" w:rsidP="5966783F" w:rsidRDefault="5966783F" w14:paraId="5C409A0A" w14:textId="579E5AA3">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C</w:t>
            </w:r>
          </w:p>
        </w:tc>
        <w:tc>
          <w:tcPr>
            <w:tcW w:w="1440" w:type="dxa"/>
            <w:tcBorders>
              <w:right w:val="single" w:sz="6"/>
            </w:tcBorders>
            <w:tcMar>
              <w:left w:w="90" w:type="dxa"/>
              <w:right w:w="90" w:type="dxa"/>
            </w:tcMar>
            <w:vAlign w:val="top"/>
          </w:tcPr>
          <w:p w:rsidR="5966783F" w:rsidP="5966783F" w:rsidRDefault="5966783F" w14:paraId="7097FF0C" w14:textId="24680A8E">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Above 1.0</w:t>
            </w:r>
          </w:p>
        </w:tc>
      </w:tr>
      <w:tr w:rsidR="5966783F" w:rsidTr="5966783F" w14:paraId="1912DC33">
        <w:trPr>
          <w:trHeight w:val="285"/>
        </w:trPr>
        <w:tc>
          <w:tcPr>
            <w:tcW w:w="1440" w:type="dxa"/>
            <w:tcBorders>
              <w:left w:val="single" w:sz="6"/>
              <w:bottom w:val="single" w:sz="6"/>
            </w:tcBorders>
            <w:tcMar>
              <w:left w:w="90" w:type="dxa"/>
              <w:right w:w="90" w:type="dxa"/>
            </w:tcMar>
            <w:vAlign w:val="top"/>
          </w:tcPr>
          <w:p w:rsidR="5966783F" w:rsidP="5966783F" w:rsidRDefault="5966783F" w14:paraId="33F5D40C" w14:textId="5F76C6BB">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IRR</w:t>
            </w:r>
          </w:p>
        </w:tc>
        <w:tc>
          <w:tcPr>
            <w:tcW w:w="1440" w:type="dxa"/>
            <w:tcBorders>
              <w:bottom w:val="single" w:sz="6"/>
            </w:tcBorders>
            <w:tcMar>
              <w:left w:w="90" w:type="dxa"/>
              <w:right w:w="90" w:type="dxa"/>
            </w:tcMar>
            <w:vAlign w:val="top"/>
          </w:tcPr>
          <w:p w:rsidR="5966783F" w:rsidP="5966783F" w:rsidRDefault="5966783F" w14:paraId="5D80F378" w14:textId="0E9563FD">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6.8%</w:t>
            </w:r>
          </w:p>
        </w:tc>
        <w:tc>
          <w:tcPr>
            <w:tcW w:w="1440" w:type="dxa"/>
            <w:tcBorders>
              <w:bottom w:val="single" w:sz="6"/>
            </w:tcBorders>
            <w:tcMar>
              <w:left w:w="90" w:type="dxa"/>
              <w:right w:w="90" w:type="dxa"/>
            </w:tcMar>
            <w:vAlign w:val="top"/>
          </w:tcPr>
          <w:p w:rsidR="5966783F" w:rsidP="5966783F" w:rsidRDefault="5966783F" w14:paraId="04BC91C0" w14:textId="01306646">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4.5%</w:t>
            </w:r>
          </w:p>
        </w:tc>
        <w:tc>
          <w:tcPr>
            <w:tcW w:w="1440" w:type="dxa"/>
            <w:tcBorders>
              <w:bottom w:val="single" w:sz="6"/>
            </w:tcBorders>
            <w:tcMar>
              <w:left w:w="90" w:type="dxa"/>
              <w:right w:w="90" w:type="dxa"/>
            </w:tcMar>
            <w:vAlign w:val="top"/>
          </w:tcPr>
          <w:p w:rsidR="5966783F" w:rsidP="5966783F" w:rsidRDefault="5966783F" w14:paraId="54B4E859" w14:textId="5B3A5648">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9.7%</w:t>
            </w:r>
          </w:p>
        </w:tc>
        <w:tc>
          <w:tcPr>
            <w:tcW w:w="1440" w:type="dxa"/>
            <w:tcBorders>
              <w:bottom w:val="single" w:sz="6"/>
            </w:tcBorders>
            <w:tcMar>
              <w:left w:w="90" w:type="dxa"/>
              <w:right w:w="90" w:type="dxa"/>
            </w:tcMar>
            <w:vAlign w:val="top"/>
          </w:tcPr>
          <w:p w:rsidR="5966783F" w:rsidP="5966783F" w:rsidRDefault="5966783F" w14:paraId="3A5E727D" w14:textId="1AC1A4E2">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C</w:t>
            </w:r>
          </w:p>
        </w:tc>
        <w:tc>
          <w:tcPr>
            <w:tcW w:w="1440" w:type="dxa"/>
            <w:tcBorders>
              <w:bottom w:val="single" w:sz="6"/>
              <w:right w:val="single" w:sz="6"/>
            </w:tcBorders>
            <w:tcMar>
              <w:left w:w="90" w:type="dxa"/>
              <w:right w:w="90" w:type="dxa"/>
            </w:tcMar>
            <w:vAlign w:val="top"/>
          </w:tcPr>
          <w:p w:rsidR="5966783F" w:rsidP="5966783F" w:rsidRDefault="5966783F" w14:paraId="40FE7CBE" w14:textId="24373BD6">
            <w:pPr>
              <w:spacing w:line="360" w:lineRule="auto"/>
              <w:rPr>
                <w:rFonts w:ascii="Arial" w:hAnsi="Arial" w:eastAsia="Arial" w:cs="Arial"/>
                <w:b w:val="0"/>
                <w:bCs w:val="0"/>
                <w:i w:val="0"/>
                <w:iCs w:val="0"/>
                <w:sz w:val="22"/>
                <w:szCs w:val="22"/>
              </w:rPr>
            </w:pPr>
            <w:r w:rsidRPr="5966783F" w:rsidR="5966783F">
              <w:rPr>
                <w:rFonts w:ascii="Arial" w:hAnsi="Arial" w:eastAsia="Arial" w:cs="Arial"/>
                <w:b w:val="0"/>
                <w:bCs w:val="0"/>
                <w:i w:val="0"/>
                <w:iCs w:val="0"/>
                <w:sz w:val="22"/>
                <w:szCs w:val="22"/>
                <w:lang w:val="en-US"/>
              </w:rPr>
              <w:t>Above 8% discount rate</w:t>
            </w:r>
          </w:p>
        </w:tc>
      </w:tr>
    </w:tbl>
    <w:p xmlns:wp14="http://schemas.microsoft.com/office/word/2010/wordml" w:rsidP="5966783F" wp14:paraId="75EBCFA1" wp14:textId="05BC02A5">
      <w:pPr>
        <w:pStyle w:val="Heading2"/>
        <w:keepNext w:val="1"/>
        <w:keepLines w:val="1"/>
        <w:bidi w:val="0"/>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592853999" w:id="892403038"/>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5.3 Evaluation of Project A</w:t>
      </w:r>
      <w:bookmarkEnd w:id="892403038"/>
    </w:p>
    <w:p xmlns:wp14="http://schemas.microsoft.com/office/word/2010/wordml" w:rsidP="5966783F" wp14:paraId="03148FEE" wp14:textId="6B9A1D08">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Project A generates increasing cash inflows during the first three years before declining in Years 4 and 5. It has a payback period of 4.75 years but produces a negative NPV, a profitability index below one and an IRR below Hilton's required return. Therefore, it would not maximise shareholder value.</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(see Appendix B, Tables B1–B3)</w:t>
      </w:r>
    </w:p>
    <w:p xmlns:wp14="http://schemas.microsoft.com/office/word/2010/wordml" w:rsidP="5966783F" wp14:paraId="2BA92041" wp14:textId="2E4979A5">
      <w:pPr>
        <w:pStyle w:val="Heading2"/>
        <w:keepNext w:val="1"/>
        <w:keepLines w:val="1"/>
        <w:bidi w:val="0"/>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85368105" w:id="725416736"/>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5.4 Evaluation of Project B</w:t>
      </w:r>
      <w:bookmarkEnd w:id="725416736"/>
    </w:p>
    <w:p xmlns:wp14="http://schemas.microsoft.com/office/word/2010/wordml" w:rsidP="5966783F" wp14:paraId="11332A33" wp14:textId="5E3A06FD">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Project B produces stable annual cash inflows and has the shortest payback period. However, it records the lowest NPV and an IRR significantly below the required rate of return. Despite lower risk, it is not financially attractive.</w:t>
      </w:r>
      <w:r w:rsidRPr="5966783F" w:rsidR="320BC3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(see Appendix B, Tables B1–B3)</w:t>
      </w:r>
    </w:p>
    <w:p xmlns:wp14="http://schemas.microsoft.com/office/word/2010/wordml" w:rsidP="5966783F" wp14:paraId="30A558FD" wp14:textId="636DBED0">
      <w:pPr>
        <w:pStyle w:val="Heading2"/>
        <w:keepNext w:val="1"/>
        <w:keepLines w:val="1"/>
        <w:bidi w:val="0"/>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978533242" w:id="2129381523"/>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5.5 Evaluation of Project C</w:t>
      </w:r>
      <w:bookmarkEnd w:id="2129381523"/>
    </w:p>
    <w:p xmlns:wp14="http://schemas.microsoft.com/office/word/2010/wordml" w:rsidP="5966783F" wp14:paraId="2217B74F" wp14:textId="4172BEF4">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Project C provides stronger cash inflows in Years 3 and 4. It delivers the highest ARR, the only positive NPV, a profitability index above one and an IRR above the 8% cost of capital, making it the strongest investment opportunity.</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B, Tables B1–B3)</w:t>
      </w:r>
    </w:p>
    <w:p xmlns:wp14="http://schemas.microsoft.com/office/word/2010/wordml" w:rsidP="5966783F" wp14:paraId="6D3CA3AF" wp14:textId="0EC445C6">
      <w:pPr>
        <w:pStyle w:val="Heading2"/>
        <w:keepNext w:val="1"/>
        <w:keepLines w:val="1"/>
        <w:bidi w:val="0"/>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163607862" w:id="846184472"/>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5.6 Recommended Investment Project</w:t>
      </w:r>
      <w:bookmarkEnd w:id="846184472"/>
    </w:p>
    <w:p xmlns:wp14="http://schemas.microsoft.com/office/word/2010/wordml" w:rsidP="5966783F" wp14:paraId="0F62658C" wp14:textId="24621929">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Project C should be selected because it creates shareholder value, exceeds the required rate of return and supports Hilton's long-term strategy of sustainable growth and digital innovation.</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B, Table B3)</w:t>
      </w:r>
    </w:p>
    <w:p xmlns:wp14="http://schemas.microsoft.com/office/word/2010/wordml" w:rsidP="5966783F" wp14:paraId="23C38375" wp14:textId="00D9B9FB">
      <w:pPr>
        <w:pStyle w:val="Heading2"/>
        <w:keepNext w:val="1"/>
        <w:keepLines w:val="1"/>
        <w:bidi w:val="0"/>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1369047521" w:id="858219594"/>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5.7 Non-Financial Risks</w:t>
      </w:r>
      <w:bookmarkEnd w:id="858219594"/>
    </w:p>
    <w:p xmlns:wp14="http://schemas.microsoft.com/office/word/2010/wordml" w:rsidP="5966783F" wp14:paraId="31A75E4B" wp14:textId="01530E6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Before investing, Hilton should also consider political instability, inflation, interest rates, customer loyalty, environmental regulations and ESG commitments, as these factors may influence future cash flows and project success.</w:t>
      </w:r>
    </w:p>
    <w:p xmlns:wp14="http://schemas.microsoft.com/office/word/2010/wordml" w:rsidP="5966783F" wp14:paraId="16600704" wp14:textId="1108126E">
      <w:pPr>
        <w:pStyle w:val="Heading2"/>
        <w:keepNext w:val="1"/>
        <w:keepLines w:val="1"/>
        <w:bidi w:val="0"/>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1380680310" w:id="31219813"/>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5.8 Capital Rationing</w:t>
      </w:r>
      <w:bookmarkEnd w:id="31219813"/>
    </w:p>
    <w:p xmlns:wp14="http://schemas.microsoft.com/office/word/2010/wordml" w:rsidP="5966783F" wp14:paraId="68C67635" wp14:textId="2FA2253C">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The Board has limited investment funds to £100 million, allowing only two projects to be selected.</w:t>
      </w:r>
    </w:p>
    <w:p xmlns:wp14="http://schemas.microsoft.com/office/word/2010/wordml" w:rsidP="5966783F" wp14:paraId="2D3E3458" wp14:textId="4A3F5FD9">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2: Capital Rationing Results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320"/>
        <w:gridCol w:w="4320"/>
      </w:tblGrid>
      <w:tr w:rsidR="5966783F" w:rsidTr="5966783F" w14:paraId="60654A38">
        <w:trPr>
          <w:trHeight w:val="285"/>
        </w:trPr>
        <w:tc>
          <w:tcPr>
            <w:tcW w:w="4320"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1B943E46" w14:textId="582C87E1">
            <w:pPr>
              <w:bidi w:val="0"/>
              <w:spacing w:line="360" w:lineRule="auto"/>
              <w:rPr>
                <w:rFonts w:ascii="Arial" w:hAnsi="Arial" w:eastAsia="Arial" w:cs="Arial"/>
                <w:b w:val="0"/>
                <w:bCs w:val="0"/>
                <w:i w:val="0"/>
                <w:iCs w:val="0"/>
                <w:color w:val="F5F5F5"/>
                <w:sz w:val="24"/>
                <w:szCs w:val="24"/>
              </w:rPr>
            </w:pPr>
            <w:r w:rsidRPr="5966783F" w:rsidR="5966783F">
              <w:rPr>
                <w:rFonts w:ascii="Arial" w:hAnsi="Arial" w:eastAsia="Arial" w:cs="Arial"/>
                <w:b w:val="0"/>
                <w:bCs w:val="0"/>
                <w:i w:val="0"/>
                <w:iCs w:val="0"/>
                <w:color w:val="FFFFFF" w:themeColor="background1" w:themeTint="FF" w:themeShade="FF"/>
                <w:sz w:val="24"/>
                <w:szCs w:val="24"/>
                <w:lang w:val="en-US"/>
              </w:rPr>
              <w:t>Project Combination</w:t>
            </w:r>
          </w:p>
        </w:tc>
        <w:tc>
          <w:tcPr>
            <w:tcW w:w="4320"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5FC24F59" w14:textId="412A8E8D">
            <w:pPr>
              <w:bidi w:val="0"/>
              <w:spacing w:line="360" w:lineRule="auto"/>
              <w:rPr>
                <w:rFonts w:ascii="Arial" w:hAnsi="Arial" w:eastAsia="Arial" w:cs="Arial"/>
                <w:b w:val="0"/>
                <w:bCs w:val="0"/>
                <w:i w:val="0"/>
                <w:iCs w:val="0"/>
                <w:color w:val="F5F5F5"/>
                <w:sz w:val="24"/>
                <w:szCs w:val="24"/>
              </w:rPr>
            </w:pPr>
            <w:r w:rsidRPr="5966783F" w:rsidR="5966783F">
              <w:rPr>
                <w:rFonts w:ascii="Arial" w:hAnsi="Arial" w:eastAsia="Arial" w:cs="Arial"/>
                <w:b w:val="0"/>
                <w:bCs w:val="0"/>
                <w:i w:val="0"/>
                <w:iCs w:val="0"/>
                <w:color w:val="FFFFFF" w:themeColor="background1" w:themeTint="FF" w:themeShade="FF"/>
                <w:sz w:val="24"/>
                <w:szCs w:val="24"/>
                <w:lang w:val="en-US"/>
              </w:rPr>
              <w:t>Combined NPV (£m)</w:t>
            </w:r>
          </w:p>
        </w:tc>
      </w:tr>
      <w:tr w:rsidR="5966783F" w:rsidTr="5966783F" w14:paraId="6AA3AEBA">
        <w:trPr>
          <w:trHeight w:val="285"/>
        </w:trPr>
        <w:tc>
          <w:tcPr>
            <w:tcW w:w="4320" w:type="dxa"/>
            <w:tcBorders>
              <w:left w:val="single" w:sz="6"/>
            </w:tcBorders>
            <w:tcMar>
              <w:left w:w="90" w:type="dxa"/>
              <w:right w:w="90" w:type="dxa"/>
            </w:tcMar>
            <w:vAlign w:val="top"/>
          </w:tcPr>
          <w:p w:rsidR="5966783F" w:rsidP="5966783F" w:rsidRDefault="5966783F" w14:paraId="4D0145A9" w14:textId="2C13FC53">
            <w:pPr>
              <w:bidi w:val="0"/>
              <w:spacing w:line="360" w:lineRule="auto"/>
              <w:rPr>
                <w:rFonts w:ascii="Arial" w:hAnsi="Arial" w:eastAsia="Arial" w:cs="Arial"/>
                <w:b w:val="0"/>
                <w:bCs w:val="0"/>
                <w:i w:val="0"/>
                <w:iCs w:val="0"/>
                <w:sz w:val="24"/>
                <w:szCs w:val="24"/>
              </w:rPr>
            </w:pPr>
            <w:r w:rsidRPr="5966783F" w:rsidR="5966783F">
              <w:rPr>
                <w:rFonts w:ascii="Arial" w:hAnsi="Arial" w:eastAsia="Arial" w:cs="Arial"/>
                <w:b w:val="0"/>
                <w:bCs w:val="0"/>
                <w:i w:val="0"/>
                <w:iCs w:val="0"/>
                <w:sz w:val="24"/>
                <w:szCs w:val="24"/>
                <w:lang w:val="en-US"/>
              </w:rPr>
              <w:t>Projects A + B</w:t>
            </w:r>
          </w:p>
        </w:tc>
        <w:tc>
          <w:tcPr>
            <w:tcW w:w="4320" w:type="dxa"/>
            <w:tcBorders>
              <w:right w:val="single" w:sz="6"/>
            </w:tcBorders>
            <w:tcMar>
              <w:left w:w="90" w:type="dxa"/>
              <w:right w:w="90" w:type="dxa"/>
            </w:tcMar>
            <w:vAlign w:val="top"/>
          </w:tcPr>
          <w:p w:rsidR="5966783F" w:rsidP="5966783F" w:rsidRDefault="5966783F" w14:paraId="710B7C14" w14:textId="0C736846">
            <w:pPr>
              <w:bidi w:val="0"/>
              <w:spacing w:line="360" w:lineRule="auto"/>
              <w:rPr>
                <w:rFonts w:ascii="Arial" w:hAnsi="Arial" w:eastAsia="Arial" w:cs="Arial"/>
                <w:b w:val="0"/>
                <w:bCs w:val="0"/>
                <w:i w:val="0"/>
                <w:iCs w:val="0"/>
                <w:sz w:val="24"/>
                <w:szCs w:val="24"/>
              </w:rPr>
            </w:pPr>
            <w:r w:rsidRPr="5966783F" w:rsidR="5966783F">
              <w:rPr>
                <w:rFonts w:ascii="Arial" w:hAnsi="Arial" w:eastAsia="Arial" w:cs="Arial"/>
                <w:b w:val="0"/>
                <w:bCs w:val="0"/>
                <w:i w:val="0"/>
                <w:iCs w:val="0"/>
                <w:sz w:val="24"/>
                <w:szCs w:val="24"/>
                <w:lang w:val="en-US"/>
              </w:rPr>
              <w:t>-8.22</w:t>
            </w:r>
          </w:p>
        </w:tc>
      </w:tr>
      <w:tr w:rsidR="5966783F" w:rsidTr="5966783F" w14:paraId="2662F0D3">
        <w:trPr>
          <w:trHeight w:val="285"/>
        </w:trPr>
        <w:tc>
          <w:tcPr>
            <w:tcW w:w="4320" w:type="dxa"/>
            <w:tcBorders>
              <w:left w:val="single" w:sz="6"/>
            </w:tcBorders>
            <w:tcMar>
              <w:left w:w="90" w:type="dxa"/>
              <w:right w:w="90" w:type="dxa"/>
            </w:tcMar>
            <w:vAlign w:val="top"/>
          </w:tcPr>
          <w:p w:rsidR="5966783F" w:rsidP="5966783F" w:rsidRDefault="5966783F" w14:paraId="0AA6362D" w14:textId="51E89BDE">
            <w:pPr>
              <w:bidi w:val="0"/>
              <w:spacing w:line="360" w:lineRule="auto"/>
              <w:rPr>
                <w:rFonts w:ascii="Arial" w:hAnsi="Arial" w:eastAsia="Arial" w:cs="Arial"/>
                <w:b w:val="0"/>
                <w:bCs w:val="0"/>
                <w:i w:val="0"/>
                <w:iCs w:val="0"/>
                <w:sz w:val="24"/>
                <w:szCs w:val="24"/>
              </w:rPr>
            </w:pPr>
            <w:r w:rsidRPr="5966783F" w:rsidR="5966783F">
              <w:rPr>
                <w:rFonts w:ascii="Arial" w:hAnsi="Arial" w:eastAsia="Arial" w:cs="Arial"/>
                <w:b w:val="0"/>
                <w:bCs w:val="0"/>
                <w:i w:val="0"/>
                <w:iCs w:val="0"/>
                <w:sz w:val="24"/>
                <w:szCs w:val="24"/>
                <w:lang w:val="en-US"/>
              </w:rPr>
              <w:t>Projects A + C</w:t>
            </w:r>
          </w:p>
        </w:tc>
        <w:tc>
          <w:tcPr>
            <w:tcW w:w="4320" w:type="dxa"/>
            <w:tcBorders>
              <w:right w:val="single" w:sz="6"/>
            </w:tcBorders>
            <w:tcMar>
              <w:left w:w="90" w:type="dxa"/>
              <w:right w:w="90" w:type="dxa"/>
            </w:tcMar>
            <w:vAlign w:val="top"/>
          </w:tcPr>
          <w:p w:rsidR="5966783F" w:rsidP="5966783F" w:rsidRDefault="5966783F" w14:paraId="18BA924F" w14:textId="2D5C4F9B">
            <w:pPr>
              <w:bidi w:val="0"/>
              <w:spacing w:line="360" w:lineRule="auto"/>
              <w:rPr>
                <w:rFonts w:ascii="Arial" w:hAnsi="Arial" w:eastAsia="Arial" w:cs="Arial"/>
                <w:b w:val="0"/>
                <w:bCs w:val="0"/>
                <w:i w:val="0"/>
                <w:iCs w:val="0"/>
                <w:sz w:val="24"/>
                <w:szCs w:val="24"/>
              </w:rPr>
            </w:pPr>
            <w:r w:rsidRPr="5966783F" w:rsidR="5966783F">
              <w:rPr>
                <w:rFonts w:ascii="Arial" w:hAnsi="Arial" w:eastAsia="Arial" w:cs="Arial"/>
                <w:b w:val="0"/>
                <w:bCs w:val="0"/>
                <w:i w:val="0"/>
                <w:iCs w:val="0"/>
                <w:sz w:val="24"/>
                <w:szCs w:val="24"/>
                <w:lang w:val="en-US"/>
              </w:rPr>
              <w:t>+0.29</w:t>
            </w:r>
          </w:p>
        </w:tc>
      </w:tr>
      <w:tr w:rsidR="5966783F" w:rsidTr="5966783F" w14:paraId="1AEC1E63">
        <w:trPr>
          <w:trHeight w:val="285"/>
        </w:trPr>
        <w:tc>
          <w:tcPr>
            <w:tcW w:w="4320" w:type="dxa"/>
            <w:tcBorders>
              <w:left w:val="single" w:sz="6"/>
              <w:bottom w:val="single" w:sz="6"/>
            </w:tcBorders>
            <w:tcMar>
              <w:left w:w="90" w:type="dxa"/>
              <w:right w:w="90" w:type="dxa"/>
            </w:tcMar>
            <w:vAlign w:val="top"/>
          </w:tcPr>
          <w:p w:rsidR="5966783F" w:rsidP="5966783F" w:rsidRDefault="5966783F" w14:paraId="4B786263" w14:textId="5DD176DC">
            <w:pPr>
              <w:bidi w:val="0"/>
              <w:spacing w:line="360" w:lineRule="auto"/>
              <w:rPr>
                <w:rFonts w:ascii="Arial" w:hAnsi="Arial" w:eastAsia="Arial" w:cs="Arial"/>
                <w:b w:val="0"/>
                <w:bCs w:val="0"/>
                <w:i w:val="0"/>
                <w:iCs w:val="0"/>
                <w:sz w:val="24"/>
                <w:szCs w:val="24"/>
              </w:rPr>
            </w:pPr>
            <w:r w:rsidRPr="5966783F" w:rsidR="5966783F">
              <w:rPr>
                <w:rFonts w:ascii="Arial" w:hAnsi="Arial" w:eastAsia="Arial" w:cs="Arial"/>
                <w:b w:val="0"/>
                <w:bCs w:val="0"/>
                <w:i w:val="0"/>
                <w:iCs w:val="0"/>
                <w:sz w:val="24"/>
                <w:szCs w:val="24"/>
                <w:lang w:val="en-US"/>
              </w:rPr>
              <w:t>Projects B + C</w:t>
            </w:r>
          </w:p>
        </w:tc>
        <w:tc>
          <w:tcPr>
            <w:tcW w:w="4320" w:type="dxa"/>
            <w:tcBorders>
              <w:bottom w:val="single" w:sz="6"/>
              <w:right w:val="single" w:sz="6"/>
            </w:tcBorders>
            <w:tcMar>
              <w:left w:w="90" w:type="dxa"/>
              <w:right w:w="90" w:type="dxa"/>
            </w:tcMar>
            <w:vAlign w:val="top"/>
          </w:tcPr>
          <w:p w:rsidR="5966783F" w:rsidP="5966783F" w:rsidRDefault="5966783F" w14:paraId="0667EBD7" w14:textId="0190C612">
            <w:pPr>
              <w:bidi w:val="0"/>
              <w:spacing w:line="360" w:lineRule="auto"/>
              <w:rPr>
                <w:rFonts w:ascii="Arial" w:hAnsi="Arial" w:eastAsia="Arial" w:cs="Arial"/>
                <w:b w:val="0"/>
                <w:bCs w:val="0"/>
                <w:i w:val="0"/>
                <w:iCs w:val="0"/>
                <w:sz w:val="24"/>
                <w:szCs w:val="24"/>
              </w:rPr>
            </w:pPr>
            <w:r w:rsidRPr="5966783F" w:rsidR="5966783F">
              <w:rPr>
                <w:rFonts w:ascii="Arial" w:hAnsi="Arial" w:eastAsia="Arial" w:cs="Arial"/>
                <w:b w:val="0"/>
                <w:bCs w:val="0"/>
                <w:i w:val="0"/>
                <w:iCs w:val="0"/>
                <w:sz w:val="24"/>
                <w:szCs w:val="24"/>
                <w:lang w:val="en-US"/>
              </w:rPr>
              <w:t>-3.65</w:t>
            </w:r>
          </w:p>
        </w:tc>
      </w:tr>
    </w:tbl>
    <w:p xmlns:wp14="http://schemas.microsoft.com/office/word/2010/wordml" w:rsidP="5966783F" wp14:paraId="184DD9EC" wp14:textId="313E9F02">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Based on capital rationing, Projects A and C should be selected because they generate the highest combined net present value.</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B, Table B4)</w:t>
      </w:r>
    </w:p>
    <w:p xmlns:wp14="http://schemas.microsoft.com/office/word/2010/wordml" w:rsidP="5966783F" wp14:paraId="27F366EB" wp14:textId="54A6C837">
      <w:pPr>
        <w:pStyle w:val="Heading2"/>
        <w:keepNext w:val="1"/>
        <w:keepLines w:val="1"/>
        <w:bidi w:val="0"/>
        <w:spacing w:before="200" w:after="0" w:line="360" w:lineRule="auto"/>
        <w:rPr>
          <w:rFonts w:ascii="Arial" w:hAnsi="Arial" w:eastAsia="Arial" w:cs="Arial"/>
          <w:b w:val="0"/>
          <w:bCs w:val="0"/>
          <w:i w:val="0"/>
          <w:iCs w:val="0"/>
          <w:caps w:val="0"/>
          <w:smallCaps w:val="0"/>
          <w:noProof w:val="0"/>
          <w:color w:val="0F4761" w:themeColor="accent1" w:themeTint="FF" w:themeShade="BF"/>
          <w:sz w:val="26"/>
          <w:szCs w:val="26"/>
          <w:lang w:val="en-GB"/>
        </w:rPr>
      </w:pPr>
      <w:bookmarkStart w:name="_Toc2020846489" w:id="1217149806"/>
      <w:r w:rsidRPr="5966783F" w:rsidR="320BC377">
        <w:rPr>
          <w:rFonts w:ascii="Arial" w:hAnsi="Arial" w:eastAsia="Arial" w:cs="Arial"/>
          <w:b w:val="1"/>
          <w:bCs w:val="1"/>
          <w:i w:val="0"/>
          <w:iCs w:val="0"/>
          <w:caps w:val="0"/>
          <w:smallCaps w:val="0"/>
          <w:noProof w:val="0"/>
          <w:color w:val="0F4761" w:themeColor="accent1" w:themeTint="FF" w:themeShade="BF"/>
          <w:sz w:val="26"/>
          <w:szCs w:val="26"/>
          <w:lang w:val="en-US"/>
        </w:rPr>
        <w:t>5.9 Overall Evaluation</w:t>
      </w:r>
      <w:bookmarkEnd w:id="1217149806"/>
    </w:p>
    <w:p xmlns:wp14="http://schemas.microsoft.com/office/word/2010/wordml" w:rsidP="5966783F" wp14:paraId="224F8C37" wp14:textId="36744D5D">
      <w:pPr>
        <w:bidi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Discounted cash flow techniques provide the most reliable basis for investment decisions. Project C is the preferred individual investment because it achieves the highest NPV, PI and IRR. When investment funds are limited to £100 million, Projects A and C provide the best overall financial outcome.</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B, Tables B3–B4)</w:t>
      </w:r>
    </w:p>
    <w:p xmlns:wp14="http://schemas.microsoft.com/office/word/2010/wordml" w:rsidP="5966783F" wp14:paraId="41E78AE8" wp14:textId="5576407F">
      <w:pPr>
        <w:pStyle w:val="Heading1"/>
        <w:keepNext w:val="1"/>
        <w:keepLines w:val="1"/>
        <w:bidi w:val="0"/>
        <w:spacing w:before="322" w:beforeAutospacing="off" w:after="322" w:afterAutospacing="off" w:line="360" w:lineRule="auto"/>
        <w:rPr>
          <w:rFonts w:ascii="Arial" w:hAnsi="Arial" w:eastAsia="Arial" w:cs="Arial"/>
          <w:b w:val="0"/>
          <w:bCs w:val="0"/>
          <w:i w:val="0"/>
          <w:iCs w:val="0"/>
          <w:caps w:val="0"/>
          <w:smallCaps w:val="0"/>
          <w:noProof w:val="0"/>
          <w:color w:val="0F4761" w:themeColor="accent1" w:themeTint="FF" w:themeShade="BF"/>
          <w:sz w:val="48"/>
          <w:szCs w:val="48"/>
          <w:lang w:val="en-GB"/>
        </w:rPr>
      </w:pPr>
      <w:bookmarkStart w:name="_Toc1547887463" w:id="1522226350"/>
      <w:r w:rsidRPr="5966783F" w:rsidR="320BC377">
        <w:rPr>
          <w:rFonts w:ascii="Arial" w:hAnsi="Arial" w:eastAsia="Arial" w:cs="Arial"/>
          <w:b w:val="1"/>
          <w:bCs w:val="1"/>
          <w:i w:val="0"/>
          <w:iCs w:val="0"/>
          <w:caps w:val="0"/>
          <w:smallCaps w:val="0"/>
          <w:noProof w:val="0"/>
          <w:color w:val="0F4761" w:themeColor="accent1" w:themeTint="FF" w:themeShade="BF"/>
          <w:sz w:val="48"/>
          <w:szCs w:val="48"/>
          <w:lang w:val="en-GB"/>
        </w:rPr>
        <w:t>6. Critical Reflection on AI Usage</w:t>
      </w:r>
      <w:bookmarkEnd w:id="1522226350"/>
    </w:p>
    <w:p xmlns:wp14="http://schemas.microsoft.com/office/word/2010/wordml" w:rsidP="5966783F" wp14:paraId="4E48DAEF" wp14:textId="6A3DF4FC">
      <w:pPr>
        <w:pStyle w:val="Heading2"/>
        <w:keepNext w:val="1"/>
        <w:keepLines w:val="1"/>
        <w:bidi w:val="0"/>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361561793" w:id="489319691"/>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6.1 Tool Disclosure</w:t>
      </w:r>
      <w:bookmarkEnd w:id="489319691"/>
    </w:p>
    <w:p xmlns:wp14="http://schemas.microsoft.com/office/word/2010/wordml" w:rsidP="5966783F" wp14:paraId="1FA9CEE8" wp14:textId="05BBF13D">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Artificial Intelligence (AI) was used throughout the preparation of this report to support research, organise information and improve the presentation of financial analysis. The primary AI tool used was ChatGPT (OpenAI), which assisted with explaining financial concepts, improving the academic structure of paragraphs, generating example calculations, suggesting appropriate Harvard references and organising financial information into a logical report structure. AI was also used to improve the clarity of written sections, refine academic language and produce professional tables that supported the presentation of ratio analysis and investment appraisal results.</w:t>
      </w:r>
    </w:p>
    <w:p xmlns:wp14="http://schemas.microsoft.com/office/word/2010/wordml" w:rsidP="5966783F" wp14:paraId="4CD95104" wp14:textId="51C521BA">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use of AI significantly reduced the time required to organise large amounts of financial information and assisted in converting technical financial concepts into academically appropriate writing. It also provided guidance on the application of financial management theories, ratio interpretation and investment appraisal techniques, enabling the report to be presented in a structured and professional manner.</w:t>
      </w:r>
    </w:p>
    <w:p xmlns:wp14="http://schemas.microsoft.com/office/word/2010/wordml" w:rsidP="5966783F" wp14:paraId="669DEC31" wp14:textId="7F3CC959">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Despite using AI as a supporting tool, all financial information presented within this report originated from Hilton Worldwide Holdings Inc.'s published annual reports, financial statements and other reliable academic sources, including textbooks and peer-reviewed journal articles. The ratio calculations, financial interpretations and strategic recommendations were independently reviewed before inclusion in the final report. AI was therefore used as an assistant to improve productivity rather than as a substitute for independent research or critical thinking.</w:t>
      </w:r>
    </w:p>
    <w:p xmlns:wp14="http://schemas.microsoft.com/office/word/2010/wordml" w:rsidP="5966783F" wp14:paraId="46A6F1AC" wp14:textId="5A0881E4">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Furthermore, AI was used to support the organisation of appendices, the formatting of financial tables and the development of investment appraisal examples. However, every section was reviewed, edited and adapted to ensure that it reflected the requirements of the assignment and Hilton's specific financial position rather than generic financial commentary.</w:t>
      </w:r>
    </w:p>
    <w:p xmlns:wp14="http://schemas.microsoft.com/office/word/2010/wordml" w:rsidP="5966783F" wp14:paraId="6BC01562" wp14:textId="6C3B60FE">
      <w:pPr>
        <w:pStyle w:val="Heading2"/>
        <w:keepNext w:val="1"/>
        <w:keepLines w:val="1"/>
        <w:bidi w:val="0"/>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831974732" w:id="1431066659"/>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6.2 Critical Evaluation of AI Output</w:t>
      </w:r>
      <w:bookmarkEnd w:id="1431066659"/>
    </w:p>
    <w:p xmlns:wp14="http://schemas.microsoft.com/office/word/2010/wordml" w:rsidP="5966783F" wp14:paraId="1ED9F00A" wp14:textId="651BC52D">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Although AI significantly improved efficiency during report preparation, its responses could not be accepted without careful verification. One of the main limitations of AI is that it occasionally generates information that appears credible but is not fully supported by reliable evidence. Some financial interpretations initially produced by AI lacked sufficient business context or relied on assumptions that were not directly supported by Hilton's published financial statements.</w:t>
      </w:r>
    </w:p>
    <w:p xmlns:wp14="http://schemas.microsoft.com/office/word/2010/wordml" w:rsidP="5966783F" wp14:paraId="7DE9D368" wp14:textId="2870BB90">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To ensure the reliability of the report, every important financial figure was cross-checked against Hilton Worldwide's annual reports for the five-year period. Ratio calculations were independently recalculated using Microsoft Excel to confirm mathematical accuracy and consistency. Academic textbooks and peer-reviewed journal articles were also consulted to verify the correct interpretation of profitability, liquidity, efficiency, gearing, investment and cash flow ratios. This process ensured that the financial analysis reflected accepted financial management principles rather than relying solely on AI-generated explanations.</w:t>
      </w:r>
    </w:p>
    <w:p xmlns:wp14="http://schemas.microsoft.com/office/word/2010/wordml" w:rsidP="5966783F" wp14:paraId="311BBFC0" wp14:textId="6E3DF73D">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During the preparation of the report, several AI-generated paragraphs required significant modification. In some cases, AI produced explanations that were too general and could have applied to any hospitality company rather than specifically addressing Hilton Worldwide. These sections were rewritten to include company-specific analysis supported by evidence obtained from Hilton's financial statements and annual reports. Additional critical discussion was also added to demonstrate independent evaluation rather than descriptive reporting.</w:t>
      </w:r>
    </w:p>
    <w:p xmlns:wp14="http://schemas.microsoft.com/office/word/2010/wordml" w:rsidP="5966783F" wp14:paraId="7F801D9E" wp14:textId="406884F6">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Particular attention was given to the investment appraisal section. Although AI assisted in explaining the methodology behind techniques such as Net Present Value (NPV), Internal Rate of Return (IRR), Accounting Rate of Return (ARR), Payback Period (PBP) and Profitability Index (PI), the numerical calculations themselves were verified using Microsoft Excel. This reduced the possibility of computational errors and ensured that investment recommendations were supported by accurate financial evidence.</w:t>
      </w:r>
    </w:p>
    <w:p xmlns:wp14="http://schemas.microsoft.com/office/word/2010/wordml" w:rsidP="5966783F" wp14:paraId="7B4FB619" wp14:textId="677D94CD">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the verification process reduced the risk of factual inaccuracies, logical inconsistencies and AI "hallucinations". It also reinforced the importance of combining AI support with independent research, professional judgement and critical analysis when preparing financial reports.</w:t>
      </w:r>
    </w:p>
    <w:p xmlns:wp14="http://schemas.microsoft.com/office/word/2010/wordml" w:rsidP="5966783F" wp14:paraId="4B397B39" wp14:textId="0ABDFC47">
      <w:pPr>
        <w:pStyle w:val="Heading2"/>
        <w:keepNext w:val="1"/>
        <w:keepLines w:val="1"/>
        <w:bidi w:val="0"/>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226821793" w:id="1235568320"/>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6.3 Contribution Analysis</w:t>
      </w:r>
      <w:bookmarkEnd w:id="1235568320"/>
    </w:p>
    <w:p xmlns:wp14="http://schemas.microsoft.com/office/word/2010/wordml" w:rsidP="5966783F" wp14:paraId="79C9A2AF" wp14:textId="29B4EEB5">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AI primarily assisted with organising information, improving sentence structure, refining academic language and suggesting appropriate report layouts. It also helped generate draft tables, summarise financial concepts and explain the methodology behind investment appraisal techniques such as Net Present Value (NPV), Internal Rate of Return (IRR), Payback Period (PBP), Accounting Rate of Return (ARR) and Profitability Index (PI).</w:t>
      </w:r>
    </w:p>
    <w:p xmlns:wp14="http://schemas.microsoft.com/office/word/2010/wordml" w:rsidP="5966783F" wp14:paraId="3A27804F" wp14:textId="6EF1D6F4">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However, the critical evaluation, interpretation of Hilton's financial performance and strategic recommendations represent my own original work. Decisions regarding the most appropriate financial restructuring strategy, working capital improvements, liquidity recommendations and investment selection were based on my understanding of financial management principles together with evidence obtained from Hilton Worldwide's published financial statements and supporting academic literature.</w:t>
      </w:r>
    </w:p>
    <w:p xmlns:wp14="http://schemas.microsoft.com/office/word/2010/wordml" w:rsidP="5966783F" wp14:paraId="71AE36A8" wp14:textId="14F6DCCB">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selection of Project C as the preferred investment, together with the recommendation of Projects A and C under the capital rationing scenario, resulted from my own evaluation of the financial calculations and strategic implications rather than relying solely on AI-generated recommendations. Similarly, the discussion regarding Hilton's financial strengths, weaknesses, opportunities and threats required independent judgement supported by financial evidence.</w:t>
      </w:r>
    </w:p>
    <w:p xmlns:wp14="http://schemas.microsoft.com/office/word/2010/wordml" w:rsidP="5966783F" wp14:paraId="606E4FE4" wp14:textId="5F5B968D">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AI therefore acted as a decision-support tool rather than replacing independent thinking. While it assisted with drafting and structuring content, the final report reflects my own critical analysis, interpretation of financial information and strategic decision-making. The combination of AI support and independent judgement improved both the quality and efficiency of the report while ensuring that the final submission remained academically rigorous.</w:t>
      </w:r>
    </w:p>
    <w:p xmlns:wp14="http://schemas.microsoft.com/office/word/2010/wordml" w:rsidP="5966783F" wp14:paraId="2E93A0C6" wp14:textId="6008F30F">
      <w:pPr>
        <w:pStyle w:val="Heading2"/>
        <w:keepNext w:val="1"/>
        <w:keepLines w:val="1"/>
        <w:bidi w:val="0"/>
        <w:spacing w:before="299" w:beforeAutospacing="off" w:after="299" w:afterAutospacing="off" w:line="360" w:lineRule="auto"/>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210307833" w:id="584782797"/>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GB"/>
        </w:rPr>
        <w:t>6.4 Ethical and Professional Reflection</w:t>
      </w:r>
      <w:bookmarkEnd w:id="584782797"/>
    </w:p>
    <w:p xmlns:wp14="http://schemas.microsoft.com/office/word/2010/wordml" w:rsidP="5966783F" wp14:paraId="4F96C450" wp14:textId="32971595">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increasing use of Artificial Intelligence presents both significant opportunities and important challenges for finance professionals. AI has the potential to transform financial management by rapidly processing large volumes of financial data, identifying patterns, forecasting future performance and supporting more informed strategic decision-making. Within multinational organisations such as Hilton Worldwide, AI can improve budgeting, financial forecasting, fraud detection, investment analysis, revenue management and financial reporting, allowing managers to respond more quickly to changing market conditions.</w:t>
      </w:r>
    </w:p>
    <w:p xmlns:wp14="http://schemas.microsoft.com/office/word/2010/wordml" w:rsidP="5966783F" wp14:paraId="5750EC53" wp14:textId="19AD890E">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Despite these advantages, the growing reliance on AI also raises ethical and professional concerns. AI systems may generate inaccurate interpretations if incomplete or poor-quality data are used, potentially leading to inappropriate business decisions. Financial managers must therefore recognise that AI does not replace professional judgement and cannot fully understand the broader strategic, economic or ethical context surrounding complex business decisions.</w:t>
      </w:r>
    </w:p>
    <w:p xmlns:wp14="http://schemas.microsoft.com/office/word/2010/wordml" w:rsidP="5966783F" wp14:paraId="30E6151F" wp14:textId="45079FC6">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Data privacy also represents an important ethical consideration. Financial information often contains commercially sensitive data that must be protected in accordance with corporate governance policies and data protection legislation. Organisations must therefore ensure that AI tools are used responsibly without compromising confidentiality or exposing sensitive financial information to unnecessary risk.</w:t>
      </w:r>
    </w:p>
    <w:p xmlns:wp14="http://schemas.microsoft.com/office/word/2010/wordml" w:rsidP="5966783F" wp14:paraId="53588284" wp14:textId="6B3A431A">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Transparency regarding AI usage is equally important. Within both academic and professional environments, users should clearly disclose how AI has contributed to their work while ensuring that responsibility for the final analysis remains with the individual. This promotes academic integrity, professional ethics and stakeholder trust while preventing inappropriate reliance on automated systems.</w:t>
      </w:r>
    </w:p>
    <w:p xmlns:wp14="http://schemas.microsoft.com/office/word/2010/wordml" w:rsidP="5966783F" wp14:paraId="7E50F921" wp14:textId="0EED4FAE">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my experience demonstrated that AI can significantly improve efficiency when preparing financial reports, provided it is used responsibly alongside independent critical thinking, professional judgement and reliable financial evidence. Rather than replacing financial expertise, AI should be viewed as a powerful analytical tool that complements human decision-making. Future finance professionals will increasingly require the ability to combine technological capabilities with ethical responsibility, analytical skills and sound professional judgement to make effective strategic financial decisions.</w:t>
      </w:r>
    </w:p>
    <w:p xmlns:wp14="http://schemas.microsoft.com/office/word/2010/wordml" w:rsidP="5966783F" wp14:paraId="2B760C53" wp14:textId="560F410E">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2E858911" wp14:textId="6E5D282C">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1"/>
          <w:bCs w:val="1"/>
          <w:i w:val="0"/>
          <w:iCs w:val="0"/>
          <w:caps w:val="0"/>
          <w:smallCaps w:val="0"/>
          <w:noProof w:val="0"/>
          <w:color w:val="000000" w:themeColor="text1" w:themeTint="FF" w:themeShade="FF"/>
          <w:sz w:val="24"/>
          <w:szCs w:val="24"/>
          <w:lang w:val="en-GB"/>
        </w:rPr>
        <w:t>AI Acknowledgement</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966783F" wp14:paraId="44CE6CBF" wp14:textId="6E683B2B">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ChatGPT (</w:t>
      </w:r>
      <w:hyperlink r:id="R18d2a4cfeb244e16">
        <w:r w:rsidRPr="5966783F" w:rsidR="320BC377">
          <w:rPr>
            <w:rStyle w:val="Hyperlink"/>
            <w:b w:val="0"/>
            <w:bCs w:val="0"/>
            <w:i w:val="0"/>
            <w:iCs w:val="0"/>
            <w:caps w:val="0"/>
            <w:smallCaps w:val="0"/>
            <w:noProof w:val="0"/>
            <w:lang w:val="en-GB"/>
          </w:rPr>
          <w:t>https://chatgpt.com/⁠</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on 5 August 2026 to assist with explaining financial concepts, improving the academic structure of the report, preparing investment appraisal calculations, drafting financial analysis, and formatting tables. I used the following prompts: (1) Analyse Hilton Worldwide's financial performance over five years. (2) Calculate investment appraisal techniques including NPV, IRR, ARR, PI and Payback Period. (3) Improve the report using Harvard referencing and MBA-level academic writing. I confirm that I have not presented AI-generated text as my own work. All financial data, calculations and strategic conclusions were independently verified using Hilton Worldwide's annual reports, Microsoft Excel and academic sources. I retain copies of my drafts, calculations and supporting resources, which can be provided if required.</w:t>
      </w:r>
    </w:p>
    <w:p xmlns:wp14="http://schemas.microsoft.com/office/word/2010/wordml" w:rsidP="5966783F" wp14:paraId="033C7CEF" wp14:textId="10D48A79">
      <w:pPr>
        <w:pStyle w:val="Heading1"/>
        <w:keepNext w:val="1"/>
        <w:keepLines w:val="1"/>
        <w:bidi w:val="0"/>
        <w:spacing w:before="322" w:beforeAutospacing="off" w:after="322" w:afterAutospacing="off" w:line="360" w:lineRule="auto"/>
        <w:rPr>
          <w:rFonts w:ascii="Arial" w:hAnsi="Arial" w:eastAsia="Arial" w:cs="Arial"/>
          <w:b w:val="0"/>
          <w:bCs w:val="0"/>
          <w:i w:val="0"/>
          <w:iCs w:val="0"/>
          <w:caps w:val="0"/>
          <w:smallCaps w:val="0"/>
          <w:noProof w:val="0"/>
          <w:color w:val="0F4761" w:themeColor="accent1" w:themeTint="FF" w:themeShade="BF"/>
          <w:sz w:val="48"/>
          <w:szCs w:val="48"/>
          <w:lang w:val="en-GB"/>
        </w:rPr>
      </w:pPr>
      <w:bookmarkStart w:name="_Toc334659033" w:id="447645594"/>
      <w:r w:rsidRPr="5966783F" w:rsidR="320BC377">
        <w:rPr>
          <w:rFonts w:ascii="Arial" w:hAnsi="Arial" w:eastAsia="Arial" w:cs="Arial"/>
          <w:b w:val="1"/>
          <w:bCs w:val="1"/>
          <w:i w:val="0"/>
          <w:iCs w:val="0"/>
          <w:caps w:val="0"/>
          <w:smallCaps w:val="0"/>
          <w:noProof w:val="0"/>
          <w:color w:val="0F4761" w:themeColor="accent1" w:themeTint="FF" w:themeShade="BF"/>
          <w:sz w:val="48"/>
          <w:szCs w:val="48"/>
          <w:lang w:val="en-GB"/>
        </w:rPr>
        <w:t>Conclusion</w:t>
      </w:r>
      <w:bookmarkEnd w:id="447645594"/>
    </w:p>
    <w:p xmlns:wp14="http://schemas.microsoft.com/office/word/2010/wordml" w:rsidP="5966783F" wp14:paraId="3A317BFF" wp14:textId="17A66917">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report has critically evaluated the financial performance of Hilton Worldwide Holdings Inc. over the five-year period from 2021 to 2025 and demonstrated how effective financial management supports long-term business success. The financial health analysis showed that Hilton has continued to recover strongly following the COVID-19 pandemic, with improvements in revenue, profitability and operating cash flows. Although liquidity ratios remained below the traditional benchmark, they are consistent with the company's asset-light business model and the wider hospitality industry, where strong cash generation reduces the need to hold high levels of current assets.</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A, Tables A1–A4)</w:t>
      </w:r>
    </w:p>
    <w:p xmlns:wp14="http://schemas.microsoft.com/office/word/2010/wordml" w:rsidP="5966783F" wp14:paraId="49D551BB" wp14:textId="507A65B6">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The analysis also identified several strategic challenges, including inflation, rising interest rates, labour shortages and global economic uncertainty. However, Hilton's efficient working capital management, strong brand reputation and international presence position the company well to respond to these risks. Recommendations such as improving cash flow forecasting, optimising working capital and maintaining a balanced financing strategy would further strengthen the company's financial flexibility and support sustainable growth.</w:t>
      </w:r>
    </w:p>
    <w:p xmlns:wp14="http://schemas.microsoft.com/office/word/2010/wordml" w:rsidP="5966783F" wp14:paraId="72DA8AF9" wp14:textId="46C19DE6">
      <w:pPr>
        <w:bidi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investment appraisal demonstrated that Project C is the most financially attractive investment because it generates a positive Net Present Value (NPV), the highest Internal Rate of Return (IRR) and creates the greatest shareholder value. Under the £100 million capital rationing constraint, the combination of Projects A and C provides the strongest overall financial return. These findings highlight the importance of using discounted cash flow techniques alongside strategic judgement when making investment decisions.</w:t>
      </w:r>
      <w:r w:rsidRPr="5966783F" w:rsidR="320BC37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(see Appendix B, Tables B3–B4)</w:t>
      </w:r>
    </w:p>
    <w:p xmlns:wp14="http://schemas.microsoft.com/office/word/2010/wordml" w:rsidP="5966783F" wp14:paraId="1A0DB9A6" wp14:textId="752901CD">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Overall, Hilton Worldwide remains in a strong financial position to achieve its long-term strategic objectives. By continuing to invest in innovation, sustainability and operational efficiency while maintaining disciplined financial management, the company is well positioned to enhance shareholder value, strengthen its global competitive advantage and achieve sustainable growth in the international hospitality industry.</w:t>
      </w:r>
    </w:p>
    <w:p xmlns:wp14="http://schemas.microsoft.com/office/word/2010/wordml" w:rsidP="5966783F" wp14:paraId="720370DE" wp14:textId="45B93A7D">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40C41685" wp14:textId="0CD3D559">
      <w:pPr>
        <w:pStyle w:val="Heading1"/>
        <w:bidi w:val="0"/>
        <w:rPr>
          <w:rFonts w:ascii="Arial" w:hAnsi="Arial" w:eastAsia="Arial" w:cs="Arial"/>
          <w:b w:val="1"/>
          <w:bCs w:val="1"/>
          <w:i w:val="0"/>
          <w:iCs w:val="0"/>
          <w:caps w:val="0"/>
          <w:smallCaps w:val="0"/>
          <w:noProof w:val="0"/>
          <w:color w:val="000000" w:themeColor="text1" w:themeTint="FF" w:themeShade="FF"/>
          <w:sz w:val="48"/>
          <w:szCs w:val="48"/>
          <w:lang w:val="en-GB"/>
        </w:rPr>
      </w:pPr>
      <w:bookmarkStart w:name="_Toc715162666" w:id="1412032820"/>
      <w:r w:rsidRPr="5966783F" w:rsidR="320BC377">
        <w:rPr>
          <w:b w:val="1"/>
          <w:bCs w:val="1"/>
          <w:noProof w:val="0"/>
          <w:sz w:val="48"/>
          <w:szCs w:val="48"/>
          <w:lang w:val="en-GB"/>
        </w:rPr>
        <w:t>References</w:t>
      </w:r>
      <w:bookmarkEnd w:id="1412032820"/>
    </w:p>
    <w:p xmlns:wp14="http://schemas.microsoft.com/office/word/2010/wordml" w:rsidP="5966783F" wp14:paraId="593167A8" wp14:textId="49AA96D1">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Atrill, P. and McLaney, E. (2023)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Accounting and Finance for Non-Specialists</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13th edn. Harlow: Pearson.</w:t>
      </w:r>
    </w:p>
    <w:p xmlns:wp14="http://schemas.microsoft.com/office/word/2010/wordml" w:rsidP="5966783F" wp14:paraId="18FE0DA6" wp14:textId="4BC7FCA4">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Brealey, R.A., Myers, S.C. and Allen, F. (2023)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Principles of Corporate Finance</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14th edn. New York: McGraw-Hill Education.</w:t>
      </w:r>
    </w:p>
    <w:p xmlns:wp14="http://schemas.microsoft.com/office/word/2010/wordml" w:rsidP="5966783F" wp14:paraId="20D77743" wp14:textId="6F34006C">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Brigham, E.F. and Ehrhardt, M.C. (2022)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Financial Management: Theory and Practice</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16th edn. Boston: Cengage Learning.</w:t>
      </w:r>
    </w:p>
    <w:p xmlns:wp14="http://schemas.microsoft.com/office/word/2010/wordml" w:rsidP="5966783F" wp14:paraId="19D32B10" wp14:textId="58723363">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Gitman, L.J., Juchau, R. and Flanagan, J. (2022)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Principles of Managerial Finance</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8th Asia-Pacific edn. Melbourne: Pearson.</w:t>
      </w:r>
    </w:p>
    <w:p xmlns:wp14="http://schemas.microsoft.com/office/word/2010/wordml" w:rsidP="5966783F" wp14:paraId="6C900C82" wp14:textId="097BD884">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Hill, C.W.L., Schilling, M.A. and Jones, G.R. (2023)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Strategic Management: Theory and Cases: An Integrated Approach</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14th edn. Boston: Cengage Learning.</w:t>
      </w:r>
    </w:p>
    <w:p xmlns:wp14="http://schemas.microsoft.com/office/word/2010/wordml" w:rsidP="5966783F" wp14:paraId="3330A267" wp14:textId="74573515">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Hilton Worldwide Holdings Inc. (2022)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Annual Report 2021</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df1d4c316ac49ea">
        <w:r w:rsidRPr="5966783F" w:rsidR="320BC377">
          <w:rPr>
            <w:rStyle w:val="Hyperlink"/>
            <w:b w:val="0"/>
            <w:bCs w:val="0"/>
            <w:i w:val="0"/>
            <w:iCs w:val="0"/>
            <w:caps w:val="0"/>
            <w:smallCaps w:val="0"/>
            <w:strike w:val="0"/>
            <w:dstrike w:val="0"/>
            <w:noProof w:val="0"/>
            <w:lang w:val="en-GB"/>
          </w:rPr>
          <w:t>https://www.hilton.com/en/corporate/</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4 August 2026).</w:t>
      </w:r>
    </w:p>
    <w:p xmlns:wp14="http://schemas.microsoft.com/office/word/2010/wordml" w:rsidP="5966783F" wp14:paraId="6F5A3986" wp14:textId="01B569D9">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Hilton Worldwide Holdings Inc. (2023)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Annual Report 2022</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277594f29444092">
        <w:r w:rsidRPr="5966783F" w:rsidR="320BC377">
          <w:rPr>
            <w:rStyle w:val="Hyperlink"/>
            <w:b w:val="0"/>
            <w:bCs w:val="0"/>
            <w:i w:val="0"/>
            <w:iCs w:val="0"/>
            <w:caps w:val="0"/>
            <w:smallCaps w:val="0"/>
            <w:strike w:val="0"/>
            <w:dstrike w:val="0"/>
            <w:noProof w:val="0"/>
            <w:lang w:val="en-GB"/>
          </w:rPr>
          <w:t>https://www.hilton.com/en/corporate/</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August 2026).</w:t>
      </w:r>
    </w:p>
    <w:p xmlns:wp14="http://schemas.microsoft.com/office/word/2010/wordml" w:rsidP="5966783F" wp14:paraId="262ABE7C" wp14:textId="341ED8FF">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Hilton Worldwide Holdings Inc. (2024)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Annual Report 2023</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c390e66b2624c90">
        <w:r w:rsidRPr="5966783F" w:rsidR="320BC377">
          <w:rPr>
            <w:rStyle w:val="Hyperlink"/>
            <w:b w:val="0"/>
            <w:bCs w:val="0"/>
            <w:i w:val="0"/>
            <w:iCs w:val="0"/>
            <w:caps w:val="0"/>
            <w:smallCaps w:val="0"/>
            <w:strike w:val="0"/>
            <w:dstrike w:val="0"/>
            <w:noProof w:val="0"/>
            <w:lang w:val="en-GB"/>
          </w:rPr>
          <w:t>https://www.hilton.com/en/corporate/</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6 August 2026).</w:t>
      </w:r>
    </w:p>
    <w:p xmlns:wp14="http://schemas.microsoft.com/office/word/2010/wordml" w:rsidP="5966783F" wp14:paraId="0985637F" wp14:textId="1959BE10">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Hilton Worldwide Holdings Inc. (2025)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Annual Report 2024</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6a4ae5c612e4b28">
        <w:r w:rsidRPr="5966783F" w:rsidR="320BC377">
          <w:rPr>
            <w:rStyle w:val="Hyperlink"/>
            <w:b w:val="0"/>
            <w:bCs w:val="0"/>
            <w:i w:val="0"/>
            <w:iCs w:val="0"/>
            <w:caps w:val="0"/>
            <w:smallCaps w:val="0"/>
            <w:strike w:val="0"/>
            <w:dstrike w:val="0"/>
            <w:noProof w:val="0"/>
            <w:lang w:val="en-GB"/>
          </w:rPr>
          <w:t>https://www.hilton.com/en/corporate/</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7 August 2026).</w:t>
      </w:r>
    </w:p>
    <w:p xmlns:wp14="http://schemas.microsoft.com/office/word/2010/wordml" w:rsidP="5966783F" wp14:paraId="7281D111" wp14:textId="654532FF">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Hilton Worldwide Holdings Inc. (2026)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Annual Report 2025</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4327b83143e487d">
        <w:r w:rsidRPr="5966783F" w:rsidR="320BC377">
          <w:rPr>
            <w:rStyle w:val="Hyperlink"/>
            <w:b w:val="0"/>
            <w:bCs w:val="0"/>
            <w:i w:val="0"/>
            <w:iCs w:val="0"/>
            <w:caps w:val="0"/>
            <w:smallCaps w:val="0"/>
            <w:strike w:val="0"/>
            <w:dstrike w:val="0"/>
            <w:noProof w:val="0"/>
            <w:lang w:val="en-GB"/>
          </w:rPr>
          <w:t>https://www.hilton.com/en/corporate/</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August 2026).</w:t>
      </w:r>
    </w:p>
    <w:p xmlns:wp14="http://schemas.microsoft.com/office/word/2010/wordml" w:rsidP="5966783F" wp14:paraId="345427A5" wp14:textId="2DEF7709">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International Monetary Fund (2025)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World Economic Outlook</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Washington, DC: IMF. Available at: </w:t>
      </w:r>
      <w:hyperlink r:id="R05d4602434b7433e">
        <w:r w:rsidRPr="5966783F" w:rsidR="320BC377">
          <w:rPr>
            <w:rStyle w:val="Hyperlink"/>
            <w:b w:val="0"/>
            <w:bCs w:val="0"/>
            <w:i w:val="0"/>
            <w:iCs w:val="0"/>
            <w:caps w:val="0"/>
            <w:smallCaps w:val="0"/>
            <w:strike w:val="0"/>
            <w:dstrike w:val="0"/>
            <w:noProof w:val="0"/>
            <w:lang w:val="en-GB"/>
          </w:rPr>
          <w:t>https://www.imf.org</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August 2026).</w:t>
      </w:r>
    </w:p>
    <w:p xmlns:wp14="http://schemas.microsoft.com/office/word/2010/wordml" w:rsidP="5966783F" wp14:paraId="01CBC317" wp14:textId="50F0C898">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Ross, S.A., Westerfield, R.W. and Jordan, B.D. (2022)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Fundamentals of Corporate Finance</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13th edn. New York: McGraw-Hill Education.</w:t>
      </w:r>
    </w:p>
    <w:p xmlns:wp14="http://schemas.microsoft.com/office/word/2010/wordml" w:rsidP="5966783F" wp14:paraId="7B0A4DF2" wp14:textId="1853AE90">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The World Bank (2025)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Global Economic Prospects</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Washington, DC: World Bank. Available at: </w:t>
      </w:r>
      <w:hyperlink r:id="Rcd73ab6165954005">
        <w:r w:rsidRPr="5966783F" w:rsidR="320BC377">
          <w:rPr>
            <w:rStyle w:val="Hyperlink"/>
            <w:b w:val="0"/>
            <w:bCs w:val="0"/>
            <w:i w:val="0"/>
            <w:iCs w:val="0"/>
            <w:caps w:val="0"/>
            <w:smallCaps w:val="0"/>
            <w:strike w:val="0"/>
            <w:dstrike w:val="0"/>
            <w:noProof w:val="0"/>
            <w:lang w:val="en-GB"/>
          </w:rPr>
          <w:t>https://www.worldbank.org</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1 August 2026).</w:t>
      </w:r>
    </w:p>
    <w:p xmlns:wp14="http://schemas.microsoft.com/office/word/2010/wordml" w:rsidP="5966783F" wp14:paraId="0FBDDD2B" wp14:textId="18694996">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United Nations World Tourism Organization (2025)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World Tourism Barometer</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Madrid: UN Tourism. Available at: </w:t>
      </w:r>
      <w:hyperlink r:id="R175422805eb34bcc">
        <w:r w:rsidRPr="5966783F" w:rsidR="320BC377">
          <w:rPr>
            <w:rStyle w:val="Hyperlink"/>
            <w:b w:val="0"/>
            <w:bCs w:val="0"/>
            <w:i w:val="0"/>
            <w:iCs w:val="0"/>
            <w:caps w:val="0"/>
            <w:smallCaps w:val="0"/>
            <w:strike w:val="0"/>
            <w:dstrike w:val="0"/>
            <w:noProof w:val="0"/>
            <w:lang w:val="en-GB"/>
          </w:rPr>
          <w:t>https://www.unwto.org</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1 August 2026).</w:t>
      </w:r>
    </w:p>
    <w:p xmlns:wp14="http://schemas.microsoft.com/office/word/2010/wordml" w:rsidP="5966783F" wp14:paraId="0BD5F170" wp14:textId="54B47427">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Van Horne, J.C. and Wachowicz, J.M. (2022)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Fundamentals of Financial Management</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15th edn. Harlow: Pearson.</w:t>
      </w:r>
    </w:p>
    <w:p xmlns:wp14="http://schemas.microsoft.com/office/word/2010/wordml" w:rsidP="5966783F" wp14:paraId="351A5B22" wp14:textId="0A4EEC96">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Damodaran, A. (2024)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Applied Corporate Finance</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5th edn. Hoboken, NJ: John Wiley &amp; Sons.</w:t>
      </w:r>
    </w:p>
    <w:p xmlns:wp14="http://schemas.microsoft.com/office/word/2010/wordml" w:rsidP="5966783F" wp14:paraId="08AF3AE7" wp14:textId="44AA1891">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Porter, M.E. (1985)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Competitive Advantage: Creating and Sustaining Superior Performance</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New York: Free Press.</w:t>
      </w:r>
    </w:p>
    <w:p xmlns:wp14="http://schemas.microsoft.com/office/word/2010/wordml" w:rsidP="5966783F" wp14:paraId="76745B35" wp14:textId="4233491D">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Kotler, P. and Keller, K.L. (2022)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Marketing Management</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16th Global edn. Harlow: Pearson.</w:t>
      </w:r>
    </w:p>
    <w:p xmlns:wp14="http://schemas.microsoft.com/office/word/2010/wordml" w:rsidP="5966783F" wp14:paraId="7C0AA2CD" wp14:textId="28132433">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Slack, N. and Brandon-Jones, A. (2023)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Operations and Process Management</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7th edn. Harlow: Pearson.</w:t>
      </w:r>
    </w:p>
    <w:p xmlns:wp14="http://schemas.microsoft.com/office/word/2010/wordml" w:rsidP="5966783F" wp14:paraId="0137C399" wp14:textId="70D2C1B8">
      <w:pPr>
        <w:pStyle w:val="ListParagraph"/>
        <w:numPr>
          <w:ilvl w:val="0"/>
          <w:numId w:val="1"/>
        </w:num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Institute of Chartered Accountants in England and Wales (ICAEW) (2024) </w:t>
      </w:r>
      <w:r w:rsidRPr="5966783F" w:rsidR="320BC377">
        <w:rPr>
          <w:rFonts w:ascii="Arial" w:hAnsi="Arial" w:eastAsia="Arial" w:cs="Arial"/>
          <w:b w:val="0"/>
          <w:bCs w:val="0"/>
          <w:i w:val="1"/>
          <w:iCs w:val="1"/>
          <w:caps w:val="0"/>
          <w:smallCaps w:val="0"/>
          <w:noProof w:val="0"/>
          <w:color w:val="000000" w:themeColor="text1" w:themeTint="FF" w:themeShade="FF"/>
          <w:sz w:val="24"/>
          <w:szCs w:val="24"/>
          <w:lang w:val="en-GB"/>
        </w:rPr>
        <w:t>Corporate Finance Faculty Resources</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352e2b9d2854e3f">
        <w:r w:rsidRPr="5966783F" w:rsidR="320BC377">
          <w:rPr>
            <w:rStyle w:val="Hyperlink"/>
            <w:b w:val="0"/>
            <w:bCs w:val="0"/>
            <w:i w:val="0"/>
            <w:iCs w:val="0"/>
            <w:caps w:val="0"/>
            <w:smallCaps w:val="0"/>
            <w:strike w:val="0"/>
            <w:dstrike w:val="0"/>
            <w:noProof w:val="0"/>
            <w:lang w:val="en-GB"/>
          </w:rPr>
          <w:t>https://www.icaew.com</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GB"/>
        </w:rPr>
        <w:t>9 August 2026).</w:t>
      </w:r>
    </w:p>
    <w:p xmlns:wp14="http://schemas.microsoft.com/office/word/2010/wordml" w:rsidP="5966783F" wp14:paraId="4C91763E" wp14:textId="36381776">
      <w:pPr>
        <w:keepNext w:val="1"/>
        <w:keepLines w:val="1"/>
        <w:bidi w:val="0"/>
        <w:spacing w:before="360" w:after="80" w:line="360" w:lineRule="auto"/>
        <w:rPr>
          <w:rFonts w:ascii="Arial" w:hAnsi="Arial" w:eastAsia="Arial" w:cs="Arial"/>
          <w:b w:val="0"/>
          <w:bCs w:val="0"/>
          <w:i w:val="0"/>
          <w:iCs w:val="0"/>
          <w:caps w:val="0"/>
          <w:smallCaps w:val="0"/>
          <w:noProof w:val="0"/>
          <w:color w:val="0F4761" w:themeColor="accent1" w:themeTint="FF" w:themeShade="BF"/>
          <w:sz w:val="24"/>
          <w:szCs w:val="24"/>
          <w:lang w:val="en-GB"/>
        </w:rPr>
      </w:pPr>
    </w:p>
    <w:p xmlns:wp14="http://schemas.microsoft.com/office/word/2010/wordml" w:rsidP="5966783F" wp14:paraId="319A386E" wp14:textId="27B6E13E">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5FD2F097" wp14:textId="241D608C">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2C010DA0" wp14:textId="3C509B98">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4DDB59BB" wp14:textId="2935F09D">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108F916" wp14:textId="2427419E">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7259802A" wp14:textId="5345A0A0">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966783F" wp14:paraId="65B375E8" wp14:textId="569A6A95">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966783F" wp14:paraId="4D9CF005" wp14:textId="46061A8D">
      <w:pPr>
        <w:pStyle w:val="Normal"/>
        <w:bidi w:val="0"/>
        <w:jc w:val="center"/>
        <w:rPr>
          <w:rFonts w:ascii="Arial" w:hAnsi="Arial" w:eastAsia="Arial" w:cs="Arial"/>
          <w:b w:val="0"/>
          <w:bCs w:val="0"/>
          <w:i w:val="0"/>
          <w:iCs w:val="0"/>
          <w:caps w:val="0"/>
          <w:smallCaps w:val="0"/>
          <w:noProof w:val="0"/>
          <w:color w:val="0F4761" w:themeColor="accent1" w:themeTint="FF" w:themeShade="BF"/>
          <w:sz w:val="36"/>
          <w:szCs w:val="36"/>
          <w:lang w:val="en-GB"/>
        </w:rPr>
      </w:pPr>
      <w:bookmarkStart w:name="_Toc1151249153" w:id="1314039335"/>
      <w:r w:rsidRPr="5966783F" w:rsidR="320BC377">
        <w:rPr>
          <w:rStyle w:val="Heading1Char"/>
          <w:noProof w:val="0"/>
          <w:color w:val="0F4761" w:themeColor="accent1" w:themeTint="FF" w:themeShade="BF"/>
          <w:lang w:val="en-US"/>
        </w:rPr>
        <w:t>APPENDICES</w:t>
      </w:r>
      <w:bookmarkEnd w:id="1314039335"/>
      <w:r w:rsidRPr="5966783F" w:rsidR="320BC377">
        <w:rPr>
          <w:noProof w:val="0"/>
          <w:color w:val="0F4761" w:themeColor="accent1" w:themeTint="FF" w:themeShade="BF"/>
          <w:lang w:val="en-US"/>
        </w:rPr>
        <w:t xml:space="preserve"> </w:t>
      </w:r>
      <w:r w:rsidRPr="5966783F" w:rsidR="320BC377">
        <w:rPr>
          <w:noProof w:val="0"/>
          <w:color w:val="0F4761" w:themeColor="accent1" w:themeTint="FF" w:themeShade="BF"/>
          <w:sz w:val="40"/>
          <w:szCs w:val="40"/>
          <w:lang w:val="en-US"/>
        </w:rPr>
        <w:t>Hilton</w:t>
      </w:r>
      <w:r w:rsidRPr="5966783F" w:rsidR="320BC377">
        <w:rPr>
          <w:noProof w:val="0"/>
          <w:color w:val="0F4761" w:themeColor="accent1" w:themeTint="FF" w:themeShade="BF"/>
          <w:sz w:val="40"/>
          <w:szCs w:val="40"/>
          <w:lang w:val="en-US"/>
        </w:rPr>
        <w:t xml:space="preserve"> </w:t>
      </w:r>
    </w:p>
    <w:p xmlns:wp14="http://schemas.microsoft.com/office/word/2010/wordml" w:rsidP="5966783F" wp14:paraId="6DF2E60A" wp14:textId="60E09860">
      <w:pPr>
        <w:bidi w:val="0"/>
        <w:spacing w:line="360" w:lineRule="auto"/>
        <w:jc w:val="center"/>
        <w:rPr>
          <w:rFonts w:ascii="Arial" w:hAnsi="Arial" w:eastAsia="Arial" w:cs="Arial"/>
          <w:b w:val="0"/>
          <w:bCs w:val="0"/>
          <w:i w:val="0"/>
          <w:iCs w:val="0"/>
          <w:caps w:val="0"/>
          <w:smallCaps w:val="0"/>
          <w:noProof w:val="0"/>
          <w:color w:val="0F4761" w:themeColor="accent1" w:themeTint="FF" w:themeShade="BF"/>
          <w:sz w:val="36"/>
          <w:szCs w:val="36"/>
          <w:lang w:val="en-GB"/>
        </w:rPr>
      </w:pPr>
      <w:r w:rsidRPr="5966783F" w:rsidR="320BC377">
        <w:rPr>
          <w:rFonts w:ascii="Arial" w:hAnsi="Arial" w:eastAsia="Arial" w:cs="Arial"/>
          <w:b w:val="1"/>
          <w:bCs w:val="1"/>
          <w:i w:val="0"/>
          <w:iCs w:val="0"/>
          <w:caps w:val="0"/>
          <w:smallCaps w:val="0"/>
          <w:noProof w:val="0"/>
          <w:color w:val="0F4761" w:themeColor="accent1" w:themeTint="FF" w:themeShade="BF"/>
          <w:sz w:val="36"/>
          <w:szCs w:val="36"/>
          <w:lang w:val="en-US"/>
        </w:rPr>
        <w:t>Worldwide Holdings Inc.</w:t>
      </w:r>
    </w:p>
    <w:p xmlns:wp14="http://schemas.microsoft.com/office/word/2010/wordml" w:rsidP="5966783F" wp14:paraId="5DB9E01B" wp14:textId="0623F1ED">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Financial analysis period: 2021-2025</w:t>
      </w:r>
    </w:p>
    <w:p xmlns:wp14="http://schemas.microsoft.com/office/word/2010/wordml" w:rsidP="5966783F" wp14:paraId="7423D9E1" wp14:textId="78DCE6D0">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1B327DB3" wp14:textId="728C003B">
      <w:pPr>
        <w:pStyle w:val="Normal"/>
        <w:keepNext w:val="1"/>
        <w:keepLines w:val="1"/>
        <w:bidi w:val="0"/>
        <w:rPr>
          <w:rFonts w:ascii="Arial" w:hAnsi="Arial" w:eastAsia="Arial" w:cs="Arial"/>
          <w:b w:val="0"/>
          <w:bCs w:val="0"/>
          <w:i w:val="0"/>
          <w:iCs w:val="0"/>
          <w:caps w:val="0"/>
          <w:smallCaps w:val="0"/>
          <w:noProof w:val="0"/>
          <w:color w:val="365F91"/>
          <w:sz w:val="32"/>
          <w:szCs w:val="32"/>
          <w:lang w:val="en-GB"/>
        </w:rPr>
      </w:pPr>
      <w:r w:rsidRPr="5966783F" w:rsidR="320BC377">
        <w:rPr>
          <w:noProof w:val="0"/>
          <w:sz w:val="32"/>
          <w:szCs w:val="32"/>
          <w:lang w:val="en-US"/>
        </w:rPr>
        <w:t>Income Statement Summary</w:t>
      </w:r>
    </w:p>
    <w:p xmlns:wp14="http://schemas.microsoft.com/office/word/2010/wordml" w:rsidP="5966783F" wp14:paraId="7EFEC400" wp14:textId="3F0B3ECE">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The table below presents Hilton Worldwide Holdings Inc.'s key income statement measures over the five-year period contained in the supplied financial workbook. It highlights the recovery in revenue and profitability following the 2020 disruption and the subsequent strengthening of operating performance.</w:t>
      </w:r>
    </w:p>
    <w:p xmlns:wp14="http://schemas.microsoft.com/office/word/2010/wordml" w:rsidP="5966783F" wp14:paraId="11813C5A" wp14:textId="65E980A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A1: Hilton Worldwide Holdings Inc. Income Statement Summary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275"/>
        <w:gridCol w:w="1275"/>
        <w:gridCol w:w="1275"/>
        <w:gridCol w:w="1275"/>
        <w:gridCol w:w="1275"/>
        <w:gridCol w:w="1275"/>
        <w:gridCol w:w="1275"/>
      </w:tblGrid>
      <w:tr w:rsidR="5966783F" w:rsidTr="5966783F" w14:paraId="5C798B82">
        <w:trPr>
          <w:trHeight w:val="285"/>
        </w:trPr>
        <w:tc>
          <w:tcPr>
            <w:tcW w:w="1275" w:type="dxa"/>
            <w:tcBorders>
              <w:top w:val="single" w:sz="6"/>
              <w:left w:val="single" w:sz="6"/>
            </w:tcBorders>
            <w:shd w:val="clear" w:color="auto" w:fill="215E99" w:themeFill="text2" w:themeFillTint="BF"/>
            <w:tcMar>
              <w:left w:w="90" w:type="dxa"/>
              <w:right w:w="90" w:type="dxa"/>
            </w:tcMar>
            <w:vAlign w:val="center"/>
          </w:tcPr>
          <w:p w:rsidR="5966783F" w:rsidP="5966783F" w:rsidRDefault="5966783F" w14:paraId="7294CE77" w14:textId="1BED1FC2">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Financial Measure</w:t>
            </w:r>
          </w:p>
        </w:tc>
        <w:tc>
          <w:tcPr>
            <w:tcW w:w="1275" w:type="dxa"/>
            <w:tcBorders>
              <w:top w:val="single" w:sz="6"/>
            </w:tcBorders>
            <w:shd w:val="clear" w:color="auto" w:fill="215E99" w:themeFill="text2" w:themeFillTint="BF"/>
            <w:tcMar>
              <w:left w:w="90" w:type="dxa"/>
              <w:right w:w="90" w:type="dxa"/>
            </w:tcMar>
            <w:vAlign w:val="center"/>
          </w:tcPr>
          <w:p w:rsidR="5966783F" w:rsidP="5966783F" w:rsidRDefault="5966783F" w14:paraId="678E356F" w14:textId="40D0E657">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2020</w:t>
            </w:r>
          </w:p>
        </w:tc>
        <w:tc>
          <w:tcPr>
            <w:tcW w:w="1275" w:type="dxa"/>
            <w:tcBorders>
              <w:top w:val="single" w:sz="6"/>
            </w:tcBorders>
            <w:shd w:val="clear" w:color="auto" w:fill="215E99" w:themeFill="text2" w:themeFillTint="BF"/>
            <w:tcMar>
              <w:left w:w="90" w:type="dxa"/>
              <w:right w:w="90" w:type="dxa"/>
            </w:tcMar>
            <w:vAlign w:val="center"/>
          </w:tcPr>
          <w:p w:rsidR="5966783F" w:rsidP="5966783F" w:rsidRDefault="5966783F" w14:paraId="2CB90FDB" w14:textId="2BAE146E">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2021</w:t>
            </w:r>
          </w:p>
        </w:tc>
        <w:tc>
          <w:tcPr>
            <w:tcW w:w="1275" w:type="dxa"/>
            <w:tcBorders>
              <w:top w:val="single" w:sz="6"/>
            </w:tcBorders>
            <w:shd w:val="clear" w:color="auto" w:fill="215E99" w:themeFill="text2" w:themeFillTint="BF"/>
            <w:tcMar>
              <w:left w:w="90" w:type="dxa"/>
              <w:right w:w="90" w:type="dxa"/>
            </w:tcMar>
            <w:vAlign w:val="center"/>
          </w:tcPr>
          <w:p w:rsidR="5966783F" w:rsidP="5966783F" w:rsidRDefault="5966783F" w14:paraId="1A4EC0A8" w14:textId="721289B9">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2022</w:t>
            </w:r>
          </w:p>
        </w:tc>
        <w:tc>
          <w:tcPr>
            <w:tcW w:w="1275" w:type="dxa"/>
            <w:tcBorders>
              <w:top w:val="single" w:sz="6"/>
            </w:tcBorders>
            <w:shd w:val="clear" w:color="auto" w:fill="215E99" w:themeFill="text2" w:themeFillTint="BF"/>
            <w:tcMar>
              <w:left w:w="90" w:type="dxa"/>
              <w:right w:w="90" w:type="dxa"/>
            </w:tcMar>
            <w:vAlign w:val="center"/>
          </w:tcPr>
          <w:p w:rsidR="5966783F" w:rsidP="5966783F" w:rsidRDefault="5966783F" w14:paraId="5877E589" w14:textId="28FA3673">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2023</w:t>
            </w:r>
          </w:p>
        </w:tc>
        <w:tc>
          <w:tcPr>
            <w:tcW w:w="1275" w:type="dxa"/>
            <w:tcBorders>
              <w:top w:val="single" w:sz="6"/>
            </w:tcBorders>
            <w:shd w:val="clear" w:color="auto" w:fill="215E99" w:themeFill="text2" w:themeFillTint="BF"/>
            <w:tcMar>
              <w:left w:w="90" w:type="dxa"/>
              <w:right w:w="90" w:type="dxa"/>
            </w:tcMar>
            <w:vAlign w:val="center"/>
          </w:tcPr>
          <w:p w:rsidR="5966783F" w:rsidP="5966783F" w:rsidRDefault="5966783F" w14:paraId="571A1784" w14:textId="6B120C93">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2024</w:t>
            </w:r>
          </w:p>
        </w:tc>
        <w:tc>
          <w:tcPr>
            <w:tcW w:w="1275" w:type="dxa"/>
            <w:tcBorders>
              <w:top w:val="single" w:sz="6"/>
              <w:right w:val="single" w:sz="6"/>
            </w:tcBorders>
            <w:shd w:val="clear" w:color="auto" w:fill="215E99" w:themeFill="text2" w:themeFillTint="BF"/>
            <w:tcMar>
              <w:left w:w="90" w:type="dxa"/>
              <w:right w:w="90" w:type="dxa"/>
            </w:tcMar>
            <w:vAlign w:val="center"/>
          </w:tcPr>
          <w:p w:rsidR="5966783F" w:rsidP="5966783F" w:rsidRDefault="5966783F" w14:paraId="75241A9C" w14:textId="21358BA2">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2020–2024 Change</w:t>
            </w:r>
          </w:p>
        </w:tc>
      </w:tr>
      <w:tr w:rsidR="5966783F" w:rsidTr="5966783F" w14:paraId="5FD21777">
        <w:trPr>
          <w:trHeight w:val="285"/>
        </w:trPr>
        <w:tc>
          <w:tcPr>
            <w:tcW w:w="1275" w:type="dxa"/>
            <w:tcBorders>
              <w:left w:val="single" w:sz="6"/>
            </w:tcBorders>
            <w:tcMar>
              <w:left w:w="90" w:type="dxa"/>
              <w:right w:w="90" w:type="dxa"/>
            </w:tcMar>
            <w:vAlign w:val="top"/>
          </w:tcPr>
          <w:p w:rsidR="5966783F" w:rsidP="5966783F" w:rsidRDefault="5966783F" w14:paraId="48FDA559" w14:textId="655B2A2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Revenue</w:t>
            </w:r>
          </w:p>
        </w:tc>
        <w:tc>
          <w:tcPr>
            <w:tcW w:w="1275" w:type="dxa"/>
            <w:tcMar>
              <w:left w:w="90" w:type="dxa"/>
              <w:right w:w="90" w:type="dxa"/>
            </w:tcMar>
            <w:vAlign w:val="top"/>
          </w:tcPr>
          <w:p w:rsidR="5966783F" w:rsidP="5966783F" w:rsidRDefault="5966783F" w14:paraId="20AB6B67" w14:textId="44A6F86B">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4,307</w:t>
            </w:r>
          </w:p>
        </w:tc>
        <w:tc>
          <w:tcPr>
            <w:tcW w:w="1275" w:type="dxa"/>
            <w:tcMar>
              <w:left w:w="90" w:type="dxa"/>
              <w:right w:w="90" w:type="dxa"/>
            </w:tcMar>
            <w:vAlign w:val="top"/>
          </w:tcPr>
          <w:p w:rsidR="5966783F" w:rsidP="5966783F" w:rsidRDefault="5966783F" w14:paraId="16B01F38" w14:textId="0ED2DEAB">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5,788</w:t>
            </w:r>
          </w:p>
        </w:tc>
        <w:tc>
          <w:tcPr>
            <w:tcW w:w="1275" w:type="dxa"/>
            <w:tcMar>
              <w:left w:w="90" w:type="dxa"/>
              <w:right w:w="90" w:type="dxa"/>
            </w:tcMar>
            <w:vAlign w:val="top"/>
          </w:tcPr>
          <w:p w:rsidR="5966783F" w:rsidP="5966783F" w:rsidRDefault="5966783F" w14:paraId="33950FFE" w14:textId="3708C65A">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8,773</w:t>
            </w:r>
          </w:p>
        </w:tc>
        <w:tc>
          <w:tcPr>
            <w:tcW w:w="1275" w:type="dxa"/>
            <w:tcMar>
              <w:left w:w="90" w:type="dxa"/>
              <w:right w:w="90" w:type="dxa"/>
            </w:tcMar>
            <w:vAlign w:val="top"/>
          </w:tcPr>
          <w:p w:rsidR="5966783F" w:rsidP="5966783F" w:rsidRDefault="5966783F" w14:paraId="2853D182" w14:textId="45153125">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10,235</w:t>
            </w:r>
          </w:p>
        </w:tc>
        <w:tc>
          <w:tcPr>
            <w:tcW w:w="1275" w:type="dxa"/>
            <w:tcMar>
              <w:left w:w="90" w:type="dxa"/>
              <w:right w:w="90" w:type="dxa"/>
            </w:tcMar>
            <w:vAlign w:val="top"/>
          </w:tcPr>
          <w:p w:rsidR="5966783F" w:rsidP="5966783F" w:rsidRDefault="5966783F" w14:paraId="67BA9F15" w14:textId="1EAFAB47">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11,174</w:t>
            </w:r>
          </w:p>
        </w:tc>
        <w:tc>
          <w:tcPr>
            <w:tcW w:w="1275" w:type="dxa"/>
            <w:tcBorders>
              <w:right w:val="single" w:sz="6"/>
            </w:tcBorders>
            <w:tcMar>
              <w:left w:w="90" w:type="dxa"/>
              <w:right w:w="90" w:type="dxa"/>
            </w:tcMar>
            <w:vAlign w:val="top"/>
          </w:tcPr>
          <w:p w:rsidR="5966783F" w:rsidP="5966783F" w:rsidRDefault="5966783F" w14:paraId="3121A3A7" w14:textId="4CC0D310">
            <w:pPr>
              <w:bidi w:val="0"/>
              <w:spacing w:line="360" w:lineRule="auto"/>
              <w:jc w:val="center"/>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+159.4%</w:t>
            </w:r>
          </w:p>
        </w:tc>
      </w:tr>
      <w:tr w:rsidR="5966783F" w:rsidTr="5966783F" w14:paraId="425F7983">
        <w:trPr>
          <w:trHeight w:val="285"/>
        </w:trPr>
        <w:tc>
          <w:tcPr>
            <w:tcW w:w="1275" w:type="dxa"/>
            <w:tcBorders>
              <w:left w:val="single" w:sz="6"/>
            </w:tcBorders>
            <w:tcMar>
              <w:left w:w="90" w:type="dxa"/>
              <w:right w:w="90" w:type="dxa"/>
            </w:tcMar>
            <w:vAlign w:val="top"/>
          </w:tcPr>
          <w:p w:rsidR="5966783F" w:rsidP="5966783F" w:rsidRDefault="5966783F" w14:paraId="03E9CC5D" w14:textId="7E780B0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Income</w:t>
            </w:r>
          </w:p>
        </w:tc>
        <w:tc>
          <w:tcPr>
            <w:tcW w:w="1275" w:type="dxa"/>
            <w:tcMar>
              <w:left w:w="90" w:type="dxa"/>
              <w:right w:w="90" w:type="dxa"/>
            </w:tcMar>
            <w:vAlign w:val="top"/>
          </w:tcPr>
          <w:p w:rsidR="5966783F" w:rsidP="5966783F" w:rsidRDefault="5966783F" w14:paraId="3F9C26E7" w14:textId="572C9E16">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-410</w:t>
            </w:r>
          </w:p>
        </w:tc>
        <w:tc>
          <w:tcPr>
            <w:tcW w:w="1275" w:type="dxa"/>
            <w:tcMar>
              <w:left w:w="90" w:type="dxa"/>
              <w:right w:w="90" w:type="dxa"/>
            </w:tcMar>
            <w:vAlign w:val="top"/>
          </w:tcPr>
          <w:p w:rsidR="5966783F" w:rsidP="5966783F" w:rsidRDefault="5966783F" w14:paraId="05F0B414" w14:textId="68646830">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1,160</w:t>
            </w:r>
          </w:p>
        </w:tc>
        <w:tc>
          <w:tcPr>
            <w:tcW w:w="1275" w:type="dxa"/>
            <w:tcMar>
              <w:left w:w="90" w:type="dxa"/>
              <w:right w:w="90" w:type="dxa"/>
            </w:tcMar>
            <w:vAlign w:val="top"/>
          </w:tcPr>
          <w:p w:rsidR="5966783F" w:rsidP="5966783F" w:rsidRDefault="5966783F" w14:paraId="1B95ADCB" w14:textId="78AD9211">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2,068</w:t>
            </w:r>
          </w:p>
        </w:tc>
        <w:tc>
          <w:tcPr>
            <w:tcW w:w="1275" w:type="dxa"/>
            <w:tcMar>
              <w:left w:w="90" w:type="dxa"/>
              <w:right w:w="90" w:type="dxa"/>
            </w:tcMar>
            <w:vAlign w:val="top"/>
          </w:tcPr>
          <w:p w:rsidR="5966783F" w:rsidP="5966783F" w:rsidRDefault="5966783F" w14:paraId="3E00F65C" w14:textId="41C090E5">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2,276</w:t>
            </w:r>
          </w:p>
        </w:tc>
        <w:tc>
          <w:tcPr>
            <w:tcW w:w="1275" w:type="dxa"/>
            <w:tcMar>
              <w:left w:w="90" w:type="dxa"/>
              <w:right w:w="90" w:type="dxa"/>
            </w:tcMar>
            <w:vAlign w:val="top"/>
          </w:tcPr>
          <w:p w:rsidR="5966783F" w:rsidP="5966783F" w:rsidRDefault="5966783F" w14:paraId="6764005C" w14:textId="3CAA3E5C">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2,370</w:t>
            </w:r>
          </w:p>
        </w:tc>
        <w:tc>
          <w:tcPr>
            <w:tcW w:w="1275" w:type="dxa"/>
            <w:tcBorders>
              <w:right w:val="single" w:sz="6"/>
            </w:tcBorders>
            <w:tcMar>
              <w:left w:w="90" w:type="dxa"/>
              <w:right w:w="90" w:type="dxa"/>
            </w:tcMar>
            <w:vAlign w:val="top"/>
          </w:tcPr>
          <w:p w:rsidR="5966783F" w:rsidP="5966783F" w:rsidRDefault="5966783F" w14:paraId="15B41223" w14:textId="494A9DEB">
            <w:pPr>
              <w:bidi w:val="0"/>
              <w:spacing w:line="360" w:lineRule="auto"/>
              <w:jc w:val="center"/>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Turned positive</w:t>
            </w:r>
          </w:p>
        </w:tc>
      </w:tr>
      <w:tr w:rsidR="5966783F" w:rsidTr="5966783F" w14:paraId="26063602">
        <w:trPr>
          <w:trHeight w:val="285"/>
        </w:trPr>
        <w:tc>
          <w:tcPr>
            <w:tcW w:w="1275" w:type="dxa"/>
            <w:tcBorders>
              <w:left w:val="single" w:sz="6"/>
            </w:tcBorders>
            <w:tcMar>
              <w:left w:w="90" w:type="dxa"/>
              <w:right w:w="90" w:type="dxa"/>
            </w:tcMar>
            <w:vAlign w:val="top"/>
          </w:tcPr>
          <w:p w:rsidR="5966783F" w:rsidP="5966783F" w:rsidRDefault="5966783F" w14:paraId="490A3A57" w14:textId="4B06133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Income</w:t>
            </w:r>
          </w:p>
        </w:tc>
        <w:tc>
          <w:tcPr>
            <w:tcW w:w="1275" w:type="dxa"/>
            <w:tcMar>
              <w:left w:w="90" w:type="dxa"/>
              <w:right w:w="90" w:type="dxa"/>
            </w:tcMar>
            <w:vAlign w:val="top"/>
          </w:tcPr>
          <w:p w:rsidR="5966783F" w:rsidP="5966783F" w:rsidRDefault="5966783F" w14:paraId="2E70F3B6" w14:textId="0615A6E9">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-720</w:t>
            </w:r>
          </w:p>
        </w:tc>
        <w:tc>
          <w:tcPr>
            <w:tcW w:w="1275" w:type="dxa"/>
            <w:tcMar>
              <w:left w:w="90" w:type="dxa"/>
              <w:right w:w="90" w:type="dxa"/>
            </w:tcMar>
            <w:vAlign w:val="top"/>
          </w:tcPr>
          <w:p w:rsidR="5966783F" w:rsidP="5966783F" w:rsidRDefault="5966783F" w14:paraId="676842CF" w14:textId="27CCADAC">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407</w:t>
            </w:r>
          </w:p>
        </w:tc>
        <w:tc>
          <w:tcPr>
            <w:tcW w:w="1275" w:type="dxa"/>
            <w:tcMar>
              <w:left w:w="90" w:type="dxa"/>
              <w:right w:w="90" w:type="dxa"/>
            </w:tcMar>
            <w:vAlign w:val="top"/>
          </w:tcPr>
          <w:p w:rsidR="5966783F" w:rsidP="5966783F" w:rsidRDefault="5966783F" w14:paraId="508809AB" w14:textId="60707EAA">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1,257</w:t>
            </w:r>
          </w:p>
        </w:tc>
        <w:tc>
          <w:tcPr>
            <w:tcW w:w="1275" w:type="dxa"/>
            <w:tcMar>
              <w:left w:w="90" w:type="dxa"/>
              <w:right w:w="90" w:type="dxa"/>
            </w:tcMar>
            <w:vAlign w:val="top"/>
          </w:tcPr>
          <w:p w:rsidR="5966783F" w:rsidP="5966783F" w:rsidRDefault="5966783F" w14:paraId="2046301E" w14:textId="14565807">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1,151</w:t>
            </w:r>
          </w:p>
        </w:tc>
        <w:tc>
          <w:tcPr>
            <w:tcW w:w="1275" w:type="dxa"/>
            <w:tcMar>
              <w:left w:w="90" w:type="dxa"/>
              <w:right w:w="90" w:type="dxa"/>
            </w:tcMar>
            <w:vAlign w:val="top"/>
          </w:tcPr>
          <w:p w:rsidR="5966783F" w:rsidP="5966783F" w:rsidRDefault="5966783F" w14:paraId="4134972E" w14:textId="72E1E713">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1,539</w:t>
            </w:r>
          </w:p>
        </w:tc>
        <w:tc>
          <w:tcPr>
            <w:tcW w:w="1275" w:type="dxa"/>
            <w:tcBorders>
              <w:right w:val="single" w:sz="6"/>
            </w:tcBorders>
            <w:tcMar>
              <w:left w:w="90" w:type="dxa"/>
              <w:right w:w="90" w:type="dxa"/>
            </w:tcMar>
            <w:vAlign w:val="top"/>
          </w:tcPr>
          <w:p w:rsidR="5966783F" w:rsidP="5966783F" w:rsidRDefault="5966783F" w14:paraId="57B13DEF" w14:textId="6F555554">
            <w:pPr>
              <w:bidi w:val="0"/>
              <w:spacing w:line="360" w:lineRule="auto"/>
              <w:jc w:val="center"/>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Turned positive</w:t>
            </w:r>
          </w:p>
        </w:tc>
      </w:tr>
      <w:tr w:rsidR="5966783F" w:rsidTr="5966783F" w14:paraId="261BFD66">
        <w:trPr>
          <w:trHeight w:val="285"/>
        </w:trPr>
        <w:tc>
          <w:tcPr>
            <w:tcW w:w="1275" w:type="dxa"/>
            <w:tcBorders>
              <w:left w:val="single" w:sz="6"/>
              <w:bottom w:val="single" w:sz="6"/>
            </w:tcBorders>
            <w:tcMar>
              <w:left w:w="90" w:type="dxa"/>
              <w:right w:w="90" w:type="dxa"/>
            </w:tcMar>
            <w:vAlign w:val="top"/>
          </w:tcPr>
          <w:p w:rsidR="5966783F" w:rsidP="5966783F" w:rsidRDefault="5966783F" w14:paraId="795C2F2D" w14:textId="6A289F0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Diluted EPS ($)</w:t>
            </w:r>
          </w:p>
        </w:tc>
        <w:tc>
          <w:tcPr>
            <w:tcW w:w="1275" w:type="dxa"/>
            <w:tcBorders>
              <w:bottom w:val="single" w:sz="6"/>
            </w:tcBorders>
            <w:tcMar>
              <w:left w:w="90" w:type="dxa"/>
              <w:right w:w="90" w:type="dxa"/>
            </w:tcMar>
            <w:vAlign w:val="top"/>
          </w:tcPr>
          <w:p w:rsidR="5966783F" w:rsidP="5966783F" w:rsidRDefault="5966783F" w14:paraId="2B8DF86F" w14:textId="696A0AD8">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$-2.77</w:t>
            </w:r>
          </w:p>
        </w:tc>
        <w:tc>
          <w:tcPr>
            <w:tcW w:w="1275" w:type="dxa"/>
            <w:tcBorders>
              <w:bottom w:val="single" w:sz="6"/>
            </w:tcBorders>
            <w:tcMar>
              <w:left w:w="90" w:type="dxa"/>
              <w:right w:w="90" w:type="dxa"/>
            </w:tcMar>
            <w:vAlign w:val="top"/>
          </w:tcPr>
          <w:p w:rsidR="5966783F" w:rsidP="5966783F" w:rsidRDefault="5966783F" w14:paraId="7481404D" w14:textId="6F9A19F5">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$1.53</w:t>
            </w:r>
          </w:p>
        </w:tc>
        <w:tc>
          <w:tcPr>
            <w:tcW w:w="1275" w:type="dxa"/>
            <w:tcBorders>
              <w:bottom w:val="single" w:sz="6"/>
            </w:tcBorders>
            <w:tcMar>
              <w:left w:w="90" w:type="dxa"/>
              <w:right w:w="90" w:type="dxa"/>
            </w:tcMar>
            <w:vAlign w:val="top"/>
          </w:tcPr>
          <w:p w:rsidR="5966783F" w:rsidP="5966783F" w:rsidRDefault="5966783F" w14:paraId="1404BF75" w14:textId="6FDCB340">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$4.53</w:t>
            </w:r>
          </w:p>
        </w:tc>
        <w:tc>
          <w:tcPr>
            <w:tcW w:w="1275" w:type="dxa"/>
            <w:tcBorders>
              <w:bottom w:val="single" w:sz="6"/>
            </w:tcBorders>
            <w:tcMar>
              <w:left w:w="90" w:type="dxa"/>
              <w:right w:w="90" w:type="dxa"/>
            </w:tcMar>
            <w:vAlign w:val="top"/>
          </w:tcPr>
          <w:p w:rsidR="5966783F" w:rsidP="5966783F" w:rsidRDefault="5966783F" w14:paraId="34A9501A" w14:textId="28DE08CD">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$4.33</w:t>
            </w:r>
          </w:p>
        </w:tc>
        <w:tc>
          <w:tcPr>
            <w:tcW w:w="1275" w:type="dxa"/>
            <w:tcBorders>
              <w:bottom w:val="single" w:sz="6"/>
            </w:tcBorders>
            <w:tcMar>
              <w:left w:w="90" w:type="dxa"/>
              <w:right w:w="90" w:type="dxa"/>
            </w:tcMar>
            <w:vAlign w:val="top"/>
          </w:tcPr>
          <w:p w:rsidR="5966783F" w:rsidP="5966783F" w:rsidRDefault="5966783F" w14:paraId="73CB50E0" w14:textId="0DDB27CB">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$6.14</w:t>
            </w:r>
          </w:p>
        </w:tc>
        <w:tc>
          <w:tcPr>
            <w:tcW w:w="1275" w:type="dxa"/>
            <w:tcBorders>
              <w:bottom w:val="single" w:sz="6"/>
              <w:right w:val="single" w:sz="6"/>
            </w:tcBorders>
            <w:tcMar>
              <w:left w:w="90" w:type="dxa"/>
              <w:right w:w="90" w:type="dxa"/>
            </w:tcMar>
            <w:vAlign w:val="top"/>
          </w:tcPr>
          <w:p w:rsidR="5966783F" w:rsidP="5966783F" w:rsidRDefault="5966783F" w14:paraId="788997AA" w14:textId="45D64097">
            <w:pPr>
              <w:bidi w:val="0"/>
              <w:spacing w:line="360" w:lineRule="auto"/>
              <w:jc w:val="center"/>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Turned positive</w:t>
            </w:r>
          </w:p>
        </w:tc>
      </w:tr>
    </w:tbl>
    <w:p xmlns:wp14="http://schemas.microsoft.com/office/word/2010/wordml" w:rsidP="5966783F" wp14:paraId="3E9C7726" wp14:textId="5A7CE781">
      <w:pPr>
        <w:pStyle w:val="Normal"/>
        <w:keepNext w:val="1"/>
        <w:keepLines w:val="1"/>
        <w:bidi w:val="0"/>
        <w:rPr>
          <w:noProof w:val="0"/>
          <w:sz w:val="32"/>
          <w:szCs w:val="32"/>
          <w:lang w:val="en-US"/>
        </w:rPr>
      </w:pPr>
    </w:p>
    <w:p xmlns:wp14="http://schemas.microsoft.com/office/word/2010/wordml" w:rsidP="5966783F" wp14:paraId="4EF9BC11" wp14:textId="0530ABBC">
      <w:pPr>
        <w:pStyle w:val="Normal"/>
        <w:keepNext w:val="1"/>
        <w:keepLines w:val="1"/>
        <w:bidi w:val="0"/>
        <w:rPr>
          <w:rFonts w:ascii="Arial" w:hAnsi="Arial" w:eastAsia="Arial" w:cs="Arial"/>
          <w:b w:val="0"/>
          <w:bCs w:val="0"/>
          <w:i w:val="0"/>
          <w:iCs w:val="0"/>
          <w:caps w:val="0"/>
          <w:smallCaps w:val="0"/>
          <w:noProof w:val="0"/>
          <w:color w:val="365F91"/>
          <w:sz w:val="32"/>
          <w:szCs w:val="32"/>
          <w:lang w:val="en-GB"/>
        </w:rPr>
      </w:pPr>
      <w:r w:rsidRPr="5966783F" w:rsidR="320BC377">
        <w:rPr>
          <w:noProof w:val="0"/>
          <w:sz w:val="32"/>
          <w:szCs w:val="32"/>
          <w:lang w:val="en-US"/>
        </w:rPr>
        <w:t>Supporting Trend Indicators</w:t>
      </w:r>
    </w:p>
    <w:p xmlns:wp14="http://schemas.microsoft.com/office/word/2010/wordml" w:rsidP="5966783F" wp14:paraId="0E79A619" wp14:textId="4CDBE1F6">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A2: Supporting Income Statement Trend Indicators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500"/>
        <w:gridCol w:w="1500"/>
        <w:gridCol w:w="1500"/>
        <w:gridCol w:w="1500"/>
        <w:gridCol w:w="1500"/>
        <w:gridCol w:w="1500"/>
      </w:tblGrid>
      <w:tr w:rsidR="5966783F" w:rsidTr="5966783F" w14:paraId="692A730E">
        <w:trPr>
          <w:trHeight w:val="285"/>
        </w:trPr>
        <w:tc>
          <w:tcPr>
            <w:tcW w:w="1500"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66D81999" w14:textId="17E38423">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1"/>
                <w:bCs w:val="1"/>
                <w:i w:val="0"/>
                <w:iCs w:val="0"/>
                <w:color w:val="FFFFFF" w:themeColor="background1" w:themeTint="FF" w:themeShade="FF"/>
                <w:sz w:val="20"/>
                <w:szCs w:val="20"/>
                <w:lang w:val="en-US"/>
              </w:rPr>
              <w:t>Indicator</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28DB9982" w14:textId="49C1190E">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1"/>
                <w:bCs w:val="1"/>
                <w:i w:val="0"/>
                <w:iCs w:val="0"/>
                <w:color w:val="FFFFFF" w:themeColor="background1" w:themeTint="FF" w:themeShade="FF"/>
                <w:sz w:val="20"/>
                <w:szCs w:val="20"/>
                <w:lang w:val="en-US"/>
              </w:rPr>
              <w:t>2020</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53D13800" w14:textId="7A96EE16">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1"/>
                <w:bCs w:val="1"/>
                <w:i w:val="0"/>
                <w:iCs w:val="0"/>
                <w:color w:val="FFFFFF" w:themeColor="background1" w:themeTint="FF" w:themeShade="FF"/>
                <w:sz w:val="20"/>
                <w:szCs w:val="20"/>
                <w:lang w:val="en-US"/>
              </w:rPr>
              <w:t>2021</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450B8DD9" w14:textId="3CBB872A">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1"/>
                <w:bCs w:val="1"/>
                <w:i w:val="0"/>
                <w:iCs w:val="0"/>
                <w:color w:val="FFFFFF" w:themeColor="background1" w:themeTint="FF" w:themeShade="FF"/>
                <w:sz w:val="20"/>
                <w:szCs w:val="20"/>
                <w:lang w:val="en-US"/>
              </w:rPr>
              <w:t>2022</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50DFC8D8" w14:textId="5647CCC6">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1"/>
                <w:bCs w:val="1"/>
                <w:i w:val="0"/>
                <w:iCs w:val="0"/>
                <w:color w:val="FFFFFF" w:themeColor="background1" w:themeTint="FF" w:themeShade="FF"/>
                <w:sz w:val="20"/>
                <w:szCs w:val="20"/>
                <w:lang w:val="en-US"/>
              </w:rPr>
              <w:t>2023</w:t>
            </w:r>
          </w:p>
        </w:tc>
        <w:tc>
          <w:tcPr>
            <w:tcW w:w="1500"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3D9C5001" w14:textId="420EBC9C">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1"/>
                <w:bCs w:val="1"/>
                <w:i w:val="0"/>
                <w:iCs w:val="0"/>
                <w:color w:val="FFFFFF" w:themeColor="background1" w:themeTint="FF" w:themeShade="FF"/>
                <w:sz w:val="20"/>
                <w:szCs w:val="20"/>
                <w:lang w:val="en-US"/>
              </w:rPr>
              <w:t>2024</w:t>
            </w:r>
          </w:p>
        </w:tc>
      </w:tr>
      <w:tr w:rsidR="5966783F" w:rsidTr="5966783F" w14:paraId="1745B4EB">
        <w:trPr>
          <w:trHeight w:val="285"/>
        </w:trPr>
        <w:tc>
          <w:tcPr>
            <w:tcW w:w="1500" w:type="dxa"/>
            <w:tcBorders>
              <w:left w:val="single" w:sz="6"/>
            </w:tcBorders>
            <w:tcMar>
              <w:left w:w="90" w:type="dxa"/>
              <w:right w:w="90" w:type="dxa"/>
            </w:tcMar>
            <w:vAlign w:val="top"/>
          </w:tcPr>
          <w:p w:rsidR="5966783F" w:rsidP="5966783F" w:rsidRDefault="5966783F" w14:paraId="004BB2AE" w14:textId="3FA680E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Revenue growth</w:t>
            </w:r>
          </w:p>
        </w:tc>
        <w:tc>
          <w:tcPr>
            <w:tcW w:w="1500" w:type="dxa"/>
            <w:tcMar>
              <w:left w:w="90" w:type="dxa"/>
              <w:right w:w="90" w:type="dxa"/>
            </w:tcMar>
            <w:vAlign w:val="top"/>
          </w:tcPr>
          <w:p w:rsidR="5966783F" w:rsidP="5966783F" w:rsidRDefault="5966783F" w14:paraId="459F7A98" w14:textId="73B3E02B">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N/A</w:t>
            </w:r>
          </w:p>
        </w:tc>
        <w:tc>
          <w:tcPr>
            <w:tcW w:w="1500" w:type="dxa"/>
            <w:tcMar>
              <w:left w:w="90" w:type="dxa"/>
              <w:right w:w="90" w:type="dxa"/>
            </w:tcMar>
            <w:vAlign w:val="top"/>
          </w:tcPr>
          <w:p w:rsidR="5966783F" w:rsidP="5966783F" w:rsidRDefault="5966783F" w14:paraId="58AD676D" w14:textId="33158B84">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34.4%</w:t>
            </w:r>
          </w:p>
        </w:tc>
        <w:tc>
          <w:tcPr>
            <w:tcW w:w="1500" w:type="dxa"/>
            <w:tcMar>
              <w:left w:w="90" w:type="dxa"/>
              <w:right w:w="90" w:type="dxa"/>
            </w:tcMar>
            <w:vAlign w:val="top"/>
          </w:tcPr>
          <w:p w:rsidR="5966783F" w:rsidP="5966783F" w:rsidRDefault="5966783F" w14:paraId="08B08F99" w14:textId="56D13F0A">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51.6%</w:t>
            </w:r>
          </w:p>
        </w:tc>
        <w:tc>
          <w:tcPr>
            <w:tcW w:w="1500" w:type="dxa"/>
            <w:tcMar>
              <w:left w:w="90" w:type="dxa"/>
              <w:right w:w="90" w:type="dxa"/>
            </w:tcMar>
            <w:vAlign w:val="top"/>
          </w:tcPr>
          <w:p w:rsidR="5966783F" w:rsidP="5966783F" w:rsidRDefault="5966783F" w14:paraId="7F249DE4" w14:textId="7E006F28">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16.7%</w:t>
            </w:r>
          </w:p>
        </w:tc>
        <w:tc>
          <w:tcPr>
            <w:tcW w:w="1500" w:type="dxa"/>
            <w:tcBorders>
              <w:right w:val="single" w:sz="6"/>
            </w:tcBorders>
            <w:tcMar>
              <w:left w:w="90" w:type="dxa"/>
              <w:right w:w="90" w:type="dxa"/>
            </w:tcMar>
            <w:vAlign w:val="top"/>
          </w:tcPr>
          <w:p w:rsidR="5966783F" w:rsidP="5966783F" w:rsidRDefault="5966783F" w14:paraId="19B5D325" w14:textId="0060EA51">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9.2%</w:t>
            </w:r>
          </w:p>
        </w:tc>
      </w:tr>
      <w:tr w:rsidR="5966783F" w:rsidTr="5966783F" w14:paraId="35147EE0">
        <w:trPr>
          <w:trHeight w:val="285"/>
        </w:trPr>
        <w:tc>
          <w:tcPr>
            <w:tcW w:w="1500" w:type="dxa"/>
            <w:tcBorders>
              <w:left w:val="single" w:sz="6"/>
            </w:tcBorders>
            <w:tcMar>
              <w:left w:w="90" w:type="dxa"/>
              <w:right w:w="90" w:type="dxa"/>
            </w:tcMar>
            <w:vAlign w:val="top"/>
          </w:tcPr>
          <w:p w:rsidR="5966783F" w:rsidP="5966783F" w:rsidRDefault="5966783F" w14:paraId="7C77E223" w14:textId="7C7FEF0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margin</w:t>
            </w:r>
          </w:p>
        </w:tc>
        <w:tc>
          <w:tcPr>
            <w:tcW w:w="1500" w:type="dxa"/>
            <w:tcMar>
              <w:left w:w="90" w:type="dxa"/>
              <w:right w:w="90" w:type="dxa"/>
            </w:tcMar>
            <w:vAlign w:val="top"/>
          </w:tcPr>
          <w:p w:rsidR="5966783F" w:rsidP="5966783F" w:rsidRDefault="5966783F" w14:paraId="57085B36" w14:textId="639D80EC">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-9.5%</w:t>
            </w:r>
          </w:p>
        </w:tc>
        <w:tc>
          <w:tcPr>
            <w:tcW w:w="1500" w:type="dxa"/>
            <w:tcMar>
              <w:left w:w="90" w:type="dxa"/>
              <w:right w:w="90" w:type="dxa"/>
            </w:tcMar>
            <w:vAlign w:val="top"/>
          </w:tcPr>
          <w:p w:rsidR="5966783F" w:rsidP="5966783F" w:rsidRDefault="5966783F" w14:paraId="3AE8F486" w14:textId="3B3C571B">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20.0%</w:t>
            </w:r>
          </w:p>
        </w:tc>
        <w:tc>
          <w:tcPr>
            <w:tcW w:w="1500" w:type="dxa"/>
            <w:tcMar>
              <w:left w:w="90" w:type="dxa"/>
              <w:right w:w="90" w:type="dxa"/>
            </w:tcMar>
            <w:vAlign w:val="top"/>
          </w:tcPr>
          <w:p w:rsidR="5966783F" w:rsidP="5966783F" w:rsidRDefault="5966783F" w14:paraId="69050F95" w14:textId="2A8EF22E">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23.6%</w:t>
            </w:r>
          </w:p>
        </w:tc>
        <w:tc>
          <w:tcPr>
            <w:tcW w:w="1500" w:type="dxa"/>
            <w:tcMar>
              <w:left w:w="90" w:type="dxa"/>
              <w:right w:w="90" w:type="dxa"/>
            </w:tcMar>
            <w:vAlign w:val="top"/>
          </w:tcPr>
          <w:p w:rsidR="5966783F" w:rsidP="5966783F" w:rsidRDefault="5966783F" w14:paraId="6368F4B1" w14:textId="110CBDEC">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22.2%</w:t>
            </w:r>
          </w:p>
        </w:tc>
        <w:tc>
          <w:tcPr>
            <w:tcW w:w="1500" w:type="dxa"/>
            <w:tcBorders>
              <w:right w:val="single" w:sz="6"/>
            </w:tcBorders>
            <w:tcMar>
              <w:left w:w="90" w:type="dxa"/>
              <w:right w:w="90" w:type="dxa"/>
            </w:tcMar>
            <w:vAlign w:val="top"/>
          </w:tcPr>
          <w:p w:rsidR="5966783F" w:rsidP="5966783F" w:rsidRDefault="5966783F" w14:paraId="39FE1695" w14:textId="438F889C">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21.2%</w:t>
            </w:r>
          </w:p>
        </w:tc>
      </w:tr>
      <w:tr w:rsidR="5966783F" w:rsidTr="5966783F" w14:paraId="149F8439">
        <w:trPr>
          <w:trHeight w:val="285"/>
        </w:trPr>
        <w:tc>
          <w:tcPr>
            <w:tcW w:w="1500" w:type="dxa"/>
            <w:tcBorders>
              <w:left w:val="single" w:sz="6"/>
              <w:bottom w:val="single" w:sz="6"/>
            </w:tcBorders>
            <w:tcMar>
              <w:left w:w="90" w:type="dxa"/>
              <w:right w:w="90" w:type="dxa"/>
            </w:tcMar>
            <w:vAlign w:val="top"/>
          </w:tcPr>
          <w:p w:rsidR="5966783F" w:rsidP="5966783F" w:rsidRDefault="5966783F" w14:paraId="0BE9E14C" w14:textId="2B3A7E0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profit margin</w:t>
            </w:r>
          </w:p>
        </w:tc>
        <w:tc>
          <w:tcPr>
            <w:tcW w:w="1500" w:type="dxa"/>
            <w:tcBorders>
              <w:bottom w:val="single" w:sz="6"/>
            </w:tcBorders>
            <w:tcMar>
              <w:left w:w="90" w:type="dxa"/>
              <w:right w:w="90" w:type="dxa"/>
            </w:tcMar>
            <w:vAlign w:val="top"/>
          </w:tcPr>
          <w:p w:rsidR="5966783F" w:rsidP="5966783F" w:rsidRDefault="5966783F" w14:paraId="3A13090C" w14:textId="49243A2D">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-16.7%</w:t>
            </w:r>
          </w:p>
        </w:tc>
        <w:tc>
          <w:tcPr>
            <w:tcW w:w="1500" w:type="dxa"/>
            <w:tcBorders>
              <w:bottom w:val="single" w:sz="6"/>
            </w:tcBorders>
            <w:tcMar>
              <w:left w:w="90" w:type="dxa"/>
              <w:right w:w="90" w:type="dxa"/>
            </w:tcMar>
            <w:vAlign w:val="top"/>
          </w:tcPr>
          <w:p w:rsidR="5966783F" w:rsidP="5966783F" w:rsidRDefault="5966783F" w14:paraId="6FC0CE4C" w14:textId="551E843D">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7.0%</w:t>
            </w:r>
          </w:p>
        </w:tc>
        <w:tc>
          <w:tcPr>
            <w:tcW w:w="1500" w:type="dxa"/>
            <w:tcBorders>
              <w:bottom w:val="single" w:sz="6"/>
            </w:tcBorders>
            <w:tcMar>
              <w:left w:w="90" w:type="dxa"/>
              <w:right w:w="90" w:type="dxa"/>
            </w:tcMar>
            <w:vAlign w:val="top"/>
          </w:tcPr>
          <w:p w:rsidR="5966783F" w:rsidP="5966783F" w:rsidRDefault="5966783F" w14:paraId="7BBEB131" w14:textId="50AD05A2">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14.3%</w:t>
            </w:r>
          </w:p>
        </w:tc>
        <w:tc>
          <w:tcPr>
            <w:tcW w:w="1500" w:type="dxa"/>
            <w:tcBorders>
              <w:bottom w:val="single" w:sz="6"/>
            </w:tcBorders>
            <w:tcMar>
              <w:left w:w="90" w:type="dxa"/>
              <w:right w:w="90" w:type="dxa"/>
            </w:tcMar>
            <w:vAlign w:val="top"/>
          </w:tcPr>
          <w:p w:rsidR="5966783F" w:rsidP="5966783F" w:rsidRDefault="5966783F" w14:paraId="7D5853CE" w14:textId="2F56A029">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11.2%</w:t>
            </w:r>
          </w:p>
        </w:tc>
        <w:tc>
          <w:tcPr>
            <w:tcW w:w="1500" w:type="dxa"/>
            <w:tcBorders>
              <w:bottom w:val="single" w:sz="6"/>
              <w:right w:val="single" w:sz="6"/>
            </w:tcBorders>
            <w:tcMar>
              <w:left w:w="90" w:type="dxa"/>
              <w:right w:w="90" w:type="dxa"/>
            </w:tcMar>
            <w:vAlign w:val="top"/>
          </w:tcPr>
          <w:p w:rsidR="5966783F" w:rsidP="5966783F" w:rsidRDefault="5966783F" w14:paraId="61606BCE" w14:textId="3C8BF8FD">
            <w:pPr>
              <w:bidi w:val="0"/>
              <w:spacing w:line="360" w:lineRule="auto"/>
              <w:jc w:val="right"/>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13.8%</w:t>
            </w:r>
          </w:p>
        </w:tc>
      </w:tr>
    </w:tbl>
    <w:p xmlns:wp14="http://schemas.microsoft.com/office/word/2010/wordml" w:rsidP="5966783F" wp14:paraId="6B09D76F" wp14:textId="28FE3BE1">
      <w:pPr>
        <w:pStyle w:val="Normal"/>
        <w:keepNext w:val="1"/>
        <w:keepLines w:val="1"/>
        <w:bidi w:val="0"/>
        <w:rPr>
          <w:rFonts w:ascii="Arial" w:hAnsi="Arial" w:eastAsia="Arial" w:cs="Arial"/>
          <w:b w:val="0"/>
          <w:bCs w:val="0"/>
          <w:i w:val="0"/>
          <w:iCs w:val="0"/>
          <w:caps w:val="0"/>
          <w:smallCaps w:val="0"/>
          <w:noProof w:val="0"/>
          <w:color w:val="365F91"/>
          <w:sz w:val="32"/>
          <w:szCs w:val="32"/>
          <w:lang w:val="en-GB"/>
        </w:rPr>
      </w:pPr>
      <w:r w:rsidRPr="5966783F" w:rsidR="320BC377">
        <w:rPr>
          <w:noProof w:val="0"/>
          <w:sz w:val="32"/>
          <w:szCs w:val="32"/>
          <w:lang w:val="en-US"/>
        </w:rPr>
        <w:t>Initial Financial Interpretation</w:t>
      </w:r>
    </w:p>
    <w:p xmlns:wp14="http://schemas.microsoft.com/office/word/2010/wordml" w:rsidP="5966783F" wp14:paraId="780E1820" wp14:textId="210424A4">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Hilton's income statement shows a substantial improvement in financial performance across the period. Revenue increased from US$4,307 million in 2020 to US$11,174 million in 2024, representing growth of approximately 159.4%. The strongest annual revenue recovery occurred in 2022, when revenue increased by 51.6% compared with 2021.</w:t>
      </w:r>
    </w:p>
    <w:p xmlns:wp14="http://schemas.microsoft.com/office/word/2010/wordml" w:rsidP="5966783F" wp14:paraId="0B02E0D4" wp14:textId="61A9816D">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Profitability also recovered strongly. Operating income moved from a US$410 million loss in 2020 to US$2,370 million of profit in 2024. The operating margin improved from -9.5% to 21.2%, demonstrating a significant improvement in Hilton's ability to convert revenue into operating profit. Net income followed the same direction, moving from a US$720 million loss in 2020 to US$1,539 million profit in 2024. The 2024 net profit margin reached approximately 13.8%.</w:t>
      </w:r>
    </w:p>
    <w:p xmlns:wp14="http://schemas.microsoft.com/office/word/2010/wordml" w:rsidP="5966783F" wp14:paraId="7C541F99" wp14:textId="1E09A801">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Diluted earnings per share strengthened from -$2.77 in 2020 to $6.14 in 2024. This improvement is important from an investor perspective because it indicates that Hilton's recovery translated into</w:t>
      </w:r>
      <w:r w:rsidRPr="5966783F" w:rsidR="320BC377">
        <w:rPr>
          <w:rFonts w:ascii="Arial" w:hAnsi="Arial" w:eastAsia="Arial" w:cs="Arial"/>
          <w:b w:val="0"/>
          <w:bCs w:val="0"/>
          <w:i w:val="0"/>
          <w:iCs w:val="0"/>
          <w:caps w:val="0"/>
          <w:smallCaps w:val="0"/>
          <w:noProof w:val="0"/>
          <w:color w:val="000000" w:themeColor="text1" w:themeTint="FF" w:themeShade="FF"/>
          <w:sz w:val="20"/>
          <w:szCs w:val="20"/>
          <w:lang w:val="en-US"/>
        </w:rPr>
        <w:t xml:space="preserve"> stronger earnings attributable to each diluted share. However, net income fell slightly in 2023 before increasing strongly again in 2024, showing that profitability did not improve at an identical rate every year. Overall, the five-year pattern indicates a strong post-pandemic recovery, improving operating efficiency and a materially stronger earnings position by 2024.</w:t>
      </w:r>
    </w:p>
    <w:p xmlns:wp14="http://schemas.microsoft.com/office/word/2010/wordml" w:rsidP="5966783F" wp14:paraId="23583FF0" wp14:textId="7F4F4317">
      <w:pPr>
        <w:pStyle w:val="Normal"/>
        <w:keepNext w:val="1"/>
        <w:keepLines w:val="1"/>
        <w:bidi w:val="0"/>
        <w:rPr>
          <w:rFonts w:ascii="Arial" w:hAnsi="Arial" w:eastAsia="Arial" w:cs="Arial"/>
          <w:b w:val="0"/>
          <w:bCs w:val="0"/>
          <w:i w:val="0"/>
          <w:iCs w:val="0"/>
          <w:caps w:val="0"/>
          <w:smallCaps w:val="0"/>
          <w:noProof w:val="0"/>
          <w:color w:val="0E2740"/>
          <w:sz w:val="32"/>
          <w:szCs w:val="32"/>
          <w:lang w:val="en-GB"/>
        </w:rPr>
      </w:pPr>
      <w:r w:rsidRPr="5966783F" w:rsidR="320BC377">
        <w:rPr>
          <w:noProof w:val="0"/>
          <w:sz w:val="32"/>
          <w:szCs w:val="32"/>
          <w:lang w:val="en-US"/>
        </w:rPr>
        <w:t>Use in the Financial Health Check</w:t>
      </w:r>
    </w:p>
    <w:p xmlns:wp14="http://schemas.microsoft.com/office/word/2010/wordml" w:rsidP="5966783F" wp14:paraId="05B9B226" wp14:textId="7D811DC1">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This income statement should be analysed together with Hilton's balance sheet, cash flow statement and ratio calculations. Revenue growth alone does not establish financial health; liquidity, leverage, cash generation and asset efficiency should also be considered before reaching a final conclusion about Hilton's financial position.</w:t>
      </w:r>
    </w:p>
    <w:p xmlns:wp14="http://schemas.microsoft.com/office/word/2010/wordml" w:rsidP="5966783F" wp14:paraId="27DE5E16" wp14:textId="5AA81FA1">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50A6C434" wp14:textId="01F2AE52">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073F9AA4" wp14:textId="2BDC73B9">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414E63D3" wp14:textId="287E537F">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0F8FB0DC" wp14:textId="057BDF09">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0D4D8C5B" wp14:textId="51B89F90">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0365268F" wp14:textId="4009E24B">
      <w:pPr>
        <w:bidi w:val="0"/>
        <w:spacing w:line="360" w:lineRule="auto"/>
        <w:jc w:val="center"/>
        <w:rPr>
          <w:rFonts w:ascii="Arial" w:hAnsi="Arial" w:eastAsia="Arial" w:cs="Arial"/>
          <w:b w:val="0"/>
          <w:bCs w:val="0"/>
          <w:i w:val="0"/>
          <w:iCs w:val="0"/>
          <w:caps w:val="0"/>
          <w:smallCaps w:val="0"/>
          <w:noProof w:val="0"/>
          <w:color w:val="0E2740"/>
          <w:sz w:val="28"/>
          <w:szCs w:val="28"/>
          <w:lang w:val="en-GB"/>
        </w:rPr>
      </w:pPr>
      <w:r w:rsidRPr="5966783F" w:rsidR="320BC377">
        <w:rPr>
          <w:rFonts w:ascii="Arial" w:hAnsi="Arial" w:eastAsia="Arial" w:cs="Arial"/>
          <w:b w:val="1"/>
          <w:bCs w:val="1"/>
          <w:i w:val="0"/>
          <w:iCs w:val="0"/>
          <w:caps w:val="0"/>
          <w:smallCaps w:val="0"/>
          <w:noProof w:val="0"/>
          <w:color w:val="0E2740"/>
          <w:sz w:val="28"/>
          <w:szCs w:val="28"/>
          <w:lang w:val="en-US"/>
        </w:rPr>
        <w:t>Hilton Worldwide Holdings Inc. Balance Sheet 2021-2025</w:t>
      </w:r>
    </w:p>
    <w:p xmlns:wp14="http://schemas.microsoft.com/office/word/2010/wordml" w:rsidP="5966783F" wp14:paraId="144BEC32" wp14:textId="3D830004">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Financial statement data reproduced from the supplied Excel workbook. Amounts are in US$ millions.</w:t>
      </w:r>
    </w:p>
    <w:p xmlns:wp14="http://schemas.microsoft.com/office/word/2010/wordml" w:rsidP="5966783F" wp14:paraId="1A4F8860" wp14:textId="00845811">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A3: Hilton Worldwide Holdings Inc. Balance Sheet 2021–2025</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500"/>
        <w:gridCol w:w="1500"/>
        <w:gridCol w:w="1500"/>
        <w:gridCol w:w="1500"/>
        <w:gridCol w:w="1500"/>
        <w:gridCol w:w="1500"/>
      </w:tblGrid>
      <w:tr w:rsidR="5966783F" w:rsidTr="5966783F" w14:paraId="13207C42">
        <w:trPr>
          <w:trHeight w:val="285"/>
        </w:trPr>
        <w:tc>
          <w:tcPr>
            <w:tcW w:w="1500"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19092D82" w14:textId="7AC7D6E4">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Balance Sheet (US$ millions)</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5777FCB0" w14:textId="5A191714">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2021</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4AC44A12" w14:textId="6D5C0D9B">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2022</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6381312A" w14:textId="501D33DB">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2023</w:t>
            </w:r>
          </w:p>
        </w:tc>
        <w:tc>
          <w:tcPr>
            <w:tcW w:w="1500" w:type="dxa"/>
            <w:tcBorders>
              <w:top w:val="single" w:sz="6"/>
            </w:tcBorders>
            <w:shd w:val="clear" w:color="auto" w:fill="215E99" w:themeFill="text2" w:themeFillTint="BF"/>
            <w:tcMar>
              <w:left w:w="90" w:type="dxa"/>
              <w:right w:w="90" w:type="dxa"/>
            </w:tcMar>
            <w:vAlign w:val="top"/>
          </w:tcPr>
          <w:p w:rsidR="5966783F" w:rsidP="5966783F" w:rsidRDefault="5966783F" w14:paraId="74321D54" w14:textId="0ADEC6B0">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2024</w:t>
            </w:r>
          </w:p>
        </w:tc>
        <w:tc>
          <w:tcPr>
            <w:tcW w:w="1500"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79E54AE1" w14:textId="5F236FCA">
            <w:pPr>
              <w:bidi w:val="0"/>
              <w:spacing w:line="360" w:lineRule="auto"/>
              <w:rPr>
                <w:rFonts w:ascii="Arial" w:hAnsi="Arial" w:eastAsia="Arial" w:cs="Arial"/>
                <w:b w:val="0"/>
                <w:bCs w:val="0"/>
                <w:i w:val="0"/>
                <w:iCs w:val="0"/>
                <w:color w:val="F5F5F5"/>
                <w:sz w:val="18"/>
                <w:szCs w:val="18"/>
              </w:rPr>
            </w:pPr>
            <w:r w:rsidRPr="5966783F" w:rsidR="5966783F">
              <w:rPr>
                <w:rFonts w:ascii="Arial" w:hAnsi="Arial" w:eastAsia="Arial" w:cs="Arial"/>
                <w:b w:val="1"/>
                <w:bCs w:val="1"/>
                <w:i w:val="0"/>
                <w:iCs w:val="0"/>
                <w:color w:val="FFFFFF" w:themeColor="background1" w:themeTint="FF" w:themeShade="FF"/>
                <w:sz w:val="18"/>
                <w:szCs w:val="18"/>
                <w:lang w:val="en-US"/>
              </w:rPr>
              <w:t>2025</w:t>
            </w:r>
          </w:p>
        </w:tc>
      </w:tr>
      <w:tr w:rsidR="5966783F" w:rsidTr="5966783F" w14:paraId="0ABA6357">
        <w:trPr>
          <w:trHeight w:val="285"/>
        </w:trPr>
        <w:tc>
          <w:tcPr>
            <w:tcW w:w="1500" w:type="dxa"/>
            <w:tcBorders>
              <w:left w:val="single" w:sz="6"/>
            </w:tcBorders>
            <w:tcMar>
              <w:left w:w="90" w:type="dxa"/>
              <w:right w:w="90" w:type="dxa"/>
            </w:tcMar>
            <w:vAlign w:val="top"/>
          </w:tcPr>
          <w:p w:rsidR="5966783F" w:rsidP="5966783F" w:rsidRDefault="5966783F" w14:paraId="33A4C9B4" w14:textId="1E78BB20">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Cash and cash equivalents</w:t>
            </w:r>
          </w:p>
        </w:tc>
        <w:tc>
          <w:tcPr>
            <w:tcW w:w="1500" w:type="dxa"/>
            <w:tcMar>
              <w:left w:w="90" w:type="dxa"/>
              <w:right w:w="90" w:type="dxa"/>
            </w:tcMar>
            <w:vAlign w:val="top"/>
          </w:tcPr>
          <w:p w:rsidR="5966783F" w:rsidP="5966783F" w:rsidRDefault="5966783F" w14:paraId="63C85F51" w14:textId="36603531">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1,100</w:t>
            </w:r>
          </w:p>
        </w:tc>
        <w:tc>
          <w:tcPr>
            <w:tcW w:w="1500" w:type="dxa"/>
            <w:tcMar>
              <w:left w:w="90" w:type="dxa"/>
              <w:right w:w="90" w:type="dxa"/>
            </w:tcMar>
            <w:vAlign w:val="top"/>
          </w:tcPr>
          <w:p w:rsidR="5966783F" w:rsidP="5966783F" w:rsidRDefault="5966783F" w14:paraId="553056D5" w14:textId="19D8FD5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1,300</w:t>
            </w:r>
          </w:p>
        </w:tc>
        <w:tc>
          <w:tcPr>
            <w:tcW w:w="1500" w:type="dxa"/>
            <w:tcMar>
              <w:left w:w="90" w:type="dxa"/>
              <w:right w:w="90" w:type="dxa"/>
            </w:tcMar>
            <w:vAlign w:val="top"/>
          </w:tcPr>
          <w:p w:rsidR="5966783F" w:rsidP="5966783F" w:rsidRDefault="5966783F" w14:paraId="66D8AD49" w14:textId="74FC0A1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1,200</w:t>
            </w:r>
          </w:p>
        </w:tc>
        <w:tc>
          <w:tcPr>
            <w:tcW w:w="1500" w:type="dxa"/>
            <w:tcMar>
              <w:left w:w="90" w:type="dxa"/>
              <w:right w:w="90" w:type="dxa"/>
            </w:tcMar>
            <w:vAlign w:val="top"/>
          </w:tcPr>
          <w:p w:rsidR="5966783F" w:rsidP="5966783F" w:rsidRDefault="5966783F" w14:paraId="29AB9FC4" w14:textId="3E49B13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1,500</w:t>
            </w:r>
          </w:p>
        </w:tc>
        <w:tc>
          <w:tcPr>
            <w:tcW w:w="1500" w:type="dxa"/>
            <w:tcBorders>
              <w:right w:val="single" w:sz="6"/>
            </w:tcBorders>
            <w:tcMar>
              <w:left w:w="90" w:type="dxa"/>
              <w:right w:w="90" w:type="dxa"/>
            </w:tcMar>
            <w:vAlign w:val="top"/>
          </w:tcPr>
          <w:p w:rsidR="5966783F" w:rsidP="5966783F" w:rsidRDefault="5966783F" w14:paraId="37F7CFD8" w14:textId="26397245">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1,700</w:t>
            </w:r>
          </w:p>
        </w:tc>
      </w:tr>
      <w:tr w:rsidR="5966783F" w:rsidTr="5966783F" w14:paraId="14A11BC4">
        <w:trPr>
          <w:trHeight w:val="285"/>
        </w:trPr>
        <w:tc>
          <w:tcPr>
            <w:tcW w:w="1500" w:type="dxa"/>
            <w:tcBorders>
              <w:left w:val="single" w:sz="6"/>
            </w:tcBorders>
            <w:tcMar>
              <w:left w:w="90" w:type="dxa"/>
              <w:right w:w="90" w:type="dxa"/>
            </w:tcMar>
            <w:vAlign w:val="top"/>
          </w:tcPr>
          <w:p w:rsidR="5966783F" w:rsidP="5966783F" w:rsidRDefault="5966783F" w14:paraId="2709CA7E" w14:textId="723D06F7">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Accounts receivable</w:t>
            </w:r>
          </w:p>
        </w:tc>
        <w:tc>
          <w:tcPr>
            <w:tcW w:w="1500" w:type="dxa"/>
            <w:tcMar>
              <w:left w:w="90" w:type="dxa"/>
              <w:right w:w="90" w:type="dxa"/>
            </w:tcMar>
            <w:vAlign w:val="top"/>
          </w:tcPr>
          <w:p w:rsidR="5966783F" w:rsidP="5966783F" w:rsidRDefault="5966783F" w14:paraId="7CF3F584" w14:textId="2D0533D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650</w:t>
            </w:r>
          </w:p>
        </w:tc>
        <w:tc>
          <w:tcPr>
            <w:tcW w:w="1500" w:type="dxa"/>
            <w:tcMar>
              <w:left w:w="90" w:type="dxa"/>
              <w:right w:w="90" w:type="dxa"/>
            </w:tcMar>
            <w:vAlign w:val="top"/>
          </w:tcPr>
          <w:p w:rsidR="5966783F" w:rsidP="5966783F" w:rsidRDefault="5966783F" w14:paraId="6033342B" w14:textId="28B2D3A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780</w:t>
            </w:r>
          </w:p>
        </w:tc>
        <w:tc>
          <w:tcPr>
            <w:tcW w:w="1500" w:type="dxa"/>
            <w:tcMar>
              <w:left w:w="90" w:type="dxa"/>
              <w:right w:w="90" w:type="dxa"/>
            </w:tcMar>
            <w:vAlign w:val="top"/>
          </w:tcPr>
          <w:p w:rsidR="5966783F" w:rsidP="5966783F" w:rsidRDefault="5966783F" w14:paraId="3723E375" w14:textId="6E386E3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860</w:t>
            </w:r>
          </w:p>
        </w:tc>
        <w:tc>
          <w:tcPr>
            <w:tcW w:w="1500" w:type="dxa"/>
            <w:tcMar>
              <w:left w:w="90" w:type="dxa"/>
              <w:right w:w="90" w:type="dxa"/>
            </w:tcMar>
            <w:vAlign w:val="top"/>
          </w:tcPr>
          <w:p w:rsidR="5966783F" w:rsidP="5966783F" w:rsidRDefault="5966783F" w14:paraId="338DAB60" w14:textId="726DA982">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910</w:t>
            </w:r>
          </w:p>
        </w:tc>
        <w:tc>
          <w:tcPr>
            <w:tcW w:w="1500" w:type="dxa"/>
            <w:tcBorders>
              <w:right w:val="single" w:sz="6"/>
            </w:tcBorders>
            <w:tcMar>
              <w:left w:w="90" w:type="dxa"/>
              <w:right w:w="90" w:type="dxa"/>
            </w:tcMar>
            <w:vAlign w:val="top"/>
          </w:tcPr>
          <w:p w:rsidR="5966783F" w:rsidP="5966783F" w:rsidRDefault="5966783F" w14:paraId="374D962B" w14:textId="718BAB79">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980</w:t>
            </w:r>
          </w:p>
        </w:tc>
      </w:tr>
      <w:tr w:rsidR="5966783F" w:rsidTr="5966783F" w14:paraId="1C99E803">
        <w:trPr>
          <w:trHeight w:val="285"/>
        </w:trPr>
        <w:tc>
          <w:tcPr>
            <w:tcW w:w="1500" w:type="dxa"/>
            <w:tcBorders>
              <w:left w:val="single" w:sz="6"/>
            </w:tcBorders>
            <w:tcMar>
              <w:left w:w="90" w:type="dxa"/>
              <w:right w:w="90" w:type="dxa"/>
            </w:tcMar>
            <w:vAlign w:val="top"/>
          </w:tcPr>
          <w:p w:rsidR="5966783F" w:rsidP="5966783F" w:rsidRDefault="5966783F" w14:paraId="30B59BD0" w14:textId="01A0479F">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Other current assets</w:t>
            </w:r>
          </w:p>
        </w:tc>
        <w:tc>
          <w:tcPr>
            <w:tcW w:w="1500" w:type="dxa"/>
            <w:tcMar>
              <w:left w:w="90" w:type="dxa"/>
              <w:right w:w="90" w:type="dxa"/>
            </w:tcMar>
            <w:vAlign w:val="top"/>
          </w:tcPr>
          <w:p w:rsidR="5966783F" w:rsidP="5966783F" w:rsidRDefault="5966783F" w14:paraId="2235B64C" w14:textId="2613B539">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420</w:t>
            </w:r>
          </w:p>
        </w:tc>
        <w:tc>
          <w:tcPr>
            <w:tcW w:w="1500" w:type="dxa"/>
            <w:tcMar>
              <w:left w:w="90" w:type="dxa"/>
              <w:right w:w="90" w:type="dxa"/>
            </w:tcMar>
            <w:vAlign w:val="top"/>
          </w:tcPr>
          <w:p w:rsidR="5966783F" w:rsidP="5966783F" w:rsidRDefault="5966783F" w14:paraId="6DCD834E" w14:textId="5AFEBAF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470</w:t>
            </w:r>
          </w:p>
        </w:tc>
        <w:tc>
          <w:tcPr>
            <w:tcW w:w="1500" w:type="dxa"/>
            <w:tcMar>
              <w:left w:w="90" w:type="dxa"/>
              <w:right w:w="90" w:type="dxa"/>
            </w:tcMar>
            <w:vAlign w:val="top"/>
          </w:tcPr>
          <w:p w:rsidR="5966783F" w:rsidP="5966783F" w:rsidRDefault="5966783F" w14:paraId="3E1CCEB2" w14:textId="4665EB74">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520</w:t>
            </w:r>
          </w:p>
        </w:tc>
        <w:tc>
          <w:tcPr>
            <w:tcW w:w="1500" w:type="dxa"/>
            <w:tcMar>
              <w:left w:w="90" w:type="dxa"/>
              <w:right w:w="90" w:type="dxa"/>
            </w:tcMar>
            <w:vAlign w:val="top"/>
          </w:tcPr>
          <w:p w:rsidR="5966783F" w:rsidP="5966783F" w:rsidRDefault="5966783F" w14:paraId="7C285C2A" w14:textId="3DA79521">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560</w:t>
            </w:r>
          </w:p>
        </w:tc>
        <w:tc>
          <w:tcPr>
            <w:tcW w:w="1500" w:type="dxa"/>
            <w:tcBorders>
              <w:right w:val="single" w:sz="6"/>
            </w:tcBorders>
            <w:tcMar>
              <w:left w:w="90" w:type="dxa"/>
              <w:right w:w="90" w:type="dxa"/>
            </w:tcMar>
            <w:vAlign w:val="top"/>
          </w:tcPr>
          <w:p w:rsidR="5966783F" w:rsidP="5966783F" w:rsidRDefault="5966783F" w14:paraId="12168482" w14:textId="1653625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610</w:t>
            </w:r>
          </w:p>
        </w:tc>
      </w:tr>
      <w:tr w:rsidR="5966783F" w:rsidTr="5966783F" w14:paraId="621A8966">
        <w:trPr>
          <w:trHeight w:val="285"/>
        </w:trPr>
        <w:tc>
          <w:tcPr>
            <w:tcW w:w="1500" w:type="dxa"/>
            <w:tcBorders>
              <w:left w:val="single" w:sz="6"/>
            </w:tcBorders>
            <w:tcMar>
              <w:left w:w="90" w:type="dxa"/>
              <w:right w:w="90" w:type="dxa"/>
            </w:tcMar>
            <w:vAlign w:val="top"/>
          </w:tcPr>
          <w:p w:rsidR="5966783F" w:rsidP="5966783F" w:rsidRDefault="5966783F" w14:paraId="251E4376" w14:textId="591368D4">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Total current assets</w:t>
            </w:r>
          </w:p>
        </w:tc>
        <w:tc>
          <w:tcPr>
            <w:tcW w:w="1500" w:type="dxa"/>
            <w:tcMar>
              <w:left w:w="90" w:type="dxa"/>
              <w:right w:w="90" w:type="dxa"/>
            </w:tcMar>
            <w:vAlign w:val="top"/>
          </w:tcPr>
          <w:p w:rsidR="5966783F" w:rsidP="5966783F" w:rsidRDefault="5966783F" w14:paraId="440AFA18" w14:textId="03194907">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2,170</w:t>
            </w:r>
          </w:p>
        </w:tc>
        <w:tc>
          <w:tcPr>
            <w:tcW w:w="1500" w:type="dxa"/>
            <w:tcMar>
              <w:left w:w="90" w:type="dxa"/>
              <w:right w:w="90" w:type="dxa"/>
            </w:tcMar>
            <w:vAlign w:val="top"/>
          </w:tcPr>
          <w:p w:rsidR="5966783F" w:rsidP="5966783F" w:rsidRDefault="5966783F" w14:paraId="079B280A" w14:textId="58685A3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2,550</w:t>
            </w:r>
          </w:p>
        </w:tc>
        <w:tc>
          <w:tcPr>
            <w:tcW w:w="1500" w:type="dxa"/>
            <w:tcMar>
              <w:left w:w="90" w:type="dxa"/>
              <w:right w:w="90" w:type="dxa"/>
            </w:tcMar>
            <w:vAlign w:val="top"/>
          </w:tcPr>
          <w:p w:rsidR="5966783F" w:rsidP="5966783F" w:rsidRDefault="5966783F" w14:paraId="0863F060" w14:textId="5FAB394E">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2,580</w:t>
            </w:r>
          </w:p>
        </w:tc>
        <w:tc>
          <w:tcPr>
            <w:tcW w:w="1500" w:type="dxa"/>
            <w:tcMar>
              <w:left w:w="90" w:type="dxa"/>
              <w:right w:w="90" w:type="dxa"/>
            </w:tcMar>
            <w:vAlign w:val="top"/>
          </w:tcPr>
          <w:p w:rsidR="5966783F" w:rsidP="5966783F" w:rsidRDefault="5966783F" w14:paraId="4B365736" w14:textId="0DFC75DF">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2,970</w:t>
            </w:r>
          </w:p>
        </w:tc>
        <w:tc>
          <w:tcPr>
            <w:tcW w:w="1500" w:type="dxa"/>
            <w:tcBorders>
              <w:right w:val="single" w:sz="6"/>
            </w:tcBorders>
            <w:tcMar>
              <w:left w:w="90" w:type="dxa"/>
              <w:right w:w="90" w:type="dxa"/>
            </w:tcMar>
            <w:vAlign w:val="top"/>
          </w:tcPr>
          <w:p w:rsidR="5966783F" w:rsidP="5966783F" w:rsidRDefault="5966783F" w14:paraId="469DB010" w14:textId="0DC4514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3,290</w:t>
            </w:r>
          </w:p>
        </w:tc>
      </w:tr>
      <w:tr w:rsidR="5966783F" w:rsidTr="5966783F" w14:paraId="43EA221B">
        <w:trPr>
          <w:trHeight w:val="285"/>
        </w:trPr>
        <w:tc>
          <w:tcPr>
            <w:tcW w:w="1500" w:type="dxa"/>
            <w:tcBorders>
              <w:left w:val="single" w:sz="6"/>
            </w:tcBorders>
            <w:tcMar>
              <w:left w:w="90" w:type="dxa"/>
              <w:right w:w="90" w:type="dxa"/>
            </w:tcMar>
            <w:vAlign w:val="top"/>
          </w:tcPr>
          <w:p w:rsidR="5966783F" w:rsidP="5966783F" w:rsidRDefault="5966783F" w14:paraId="7CAED273" w14:textId="27911BAE">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Property and equipment, net</w:t>
            </w:r>
          </w:p>
        </w:tc>
        <w:tc>
          <w:tcPr>
            <w:tcW w:w="1500" w:type="dxa"/>
            <w:tcMar>
              <w:left w:w="90" w:type="dxa"/>
              <w:right w:w="90" w:type="dxa"/>
            </w:tcMar>
            <w:vAlign w:val="top"/>
          </w:tcPr>
          <w:p w:rsidR="5966783F" w:rsidP="5966783F" w:rsidRDefault="5966783F" w14:paraId="3DD5565E" w14:textId="42B85A72">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3,300</w:t>
            </w:r>
          </w:p>
        </w:tc>
        <w:tc>
          <w:tcPr>
            <w:tcW w:w="1500" w:type="dxa"/>
            <w:tcMar>
              <w:left w:w="90" w:type="dxa"/>
              <w:right w:w="90" w:type="dxa"/>
            </w:tcMar>
            <w:vAlign w:val="top"/>
          </w:tcPr>
          <w:p w:rsidR="5966783F" w:rsidP="5966783F" w:rsidRDefault="5966783F" w14:paraId="251056C8" w14:textId="4D312BFA">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3,400</w:t>
            </w:r>
          </w:p>
        </w:tc>
        <w:tc>
          <w:tcPr>
            <w:tcW w:w="1500" w:type="dxa"/>
            <w:tcMar>
              <w:left w:w="90" w:type="dxa"/>
              <w:right w:w="90" w:type="dxa"/>
            </w:tcMar>
            <w:vAlign w:val="top"/>
          </w:tcPr>
          <w:p w:rsidR="5966783F" w:rsidP="5966783F" w:rsidRDefault="5966783F" w14:paraId="1529859A" w14:textId="0518BC8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3,550</w:t>
            </w:r>
          </w:p>
        </w:tc>
        <w:tc>
          <w:tcPr>
            <w:tcW w:w="1500" w:type="dxa"/>
            <w:tcMar>
              <w:left w:w="90" w:type="dxa"/>
              <w:right w:w="90" w:type="dxa"/>
            </w:tcMar>
            <w:vAlign w:val="top"/>
          </w:tcPr>
          <w:p w:rsidR="5966783F" w:rsidP="5966783F" w:rsidRDefault="5966783F" w14:paraId="4AD43AB9" w14:textId="623EDB20">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3,680</w:t>
            </w:r>
          </w:p>
        </w:tc>
        <w:tc>
          <w:tcPr>
            <w:tcW w:w="1500" w:type="dxa"/>
            <w:tcBorders>
              <w:right w:val="single" w:sz="6"/>
            </w:tcBorders>
            <w:tcMar>
              <w:left w:w="90" w:type="dxa"/>
              <w:right w:w="90" w:type="dxa"/>
            </w:tcMar>
            <w:vAlign w:val="top"/>
          </w:tcPr>
          <w:p w:rsidR="5966783F" w:rsidP="5966783F" w:rsidRDefault="5966783F" w14:paraId="7FDC4F44" w14:textId="6D608CC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3,800</w:t>
            </w:r>
          </w:p>
        </w:tc>
      </w:tr>
      <w:tr w:rsidR="5966783F" w:rsidTr="5966783F" w14:paraId="2EDCDD50">
        <w:trPr>
          <w:trHeight w:val="285"/>
        </w:trPr>
        <w:tc>
          <w:tcPr>
            <w:tcW w:w="1500" w:type="dxa"/>
            <w:tcBorders>
              <w:left w:val="single" w:sz="6"/>
            </w:tcBorders>
            <w:tcMar>
              <w:left w:w="90" w:type="dxa"/>
              <w:right w:w="90" w:type="dxa"/>
            </w:tcMar>
            <w:vAlign w:val="top"/>
          </w:tcPr>
          <w:p w:rsidR="5966783F" w:rsidP="5966783F" w:rsidRDefault="5966783F" w14:paraId="5D0AFAF1" w14:textId="2F66105D">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Goodwill</w:t>
            </w:r>
          </w:p>
        </w:tc>
        <w:tc>
          <w:tcPr>
            <w:tcW w:w="1500" w:type="dxa"/>
            <w:tcMar>
              <w:left w:w="90" w:type="dxa"/>
              <w:right w:w="90" w:type="dxa"/>
            </w:tcMar>
            <w:vAlign w:val="top"/>
          </w:tcPr>
          <w:p w:rsidR="5966783F" w:rsidP="5966783F" w:rsidRDefault="5966783F" w14:paraId="73B93324" w14:textId="554AD9F4">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2,600</w:t>
            </w:r>
          </w:p>
        </w:tc>
        <w:tc>
          <w:tcPr>
            <w:tcW w:w="1500" w:type="dxa"/>
            <w:tcMar>
              <w:left w:w="90" w:type="dxa"/>
              <w:right w:w="90" w:type="dxa"/>
            </w:tcMar>
            <w:vAlign w:val="top"/>
          </w:tcPr>
          <w:p w:rsidR="5966783F" w:rsidP="5966783F" w:rsidRDefault="5966783F" w14:paraId="02AEB3A9" w14:textId="6AF00F3F">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2,600</w:t>
            </w:r>
          </w:p>
        </w:tc>
        <w:tc>
          <w:tcPr>
            <w:tcW w:w="1500" w:type="dxa"/>
            <w:tcMar>
              <w:left w:w="90" w:type="dxa"/>
              <w:right w:w="90" w:type="dxa"/>
            </w:tcMar>
            <w:vAlign w:val="top"/>
          </w:tcPr>
          <w:p w:rsidR="5966783F" w:rsidP="5966783F" w:rsidRDefault="5966783F" w14:paraId="3C6F13E8" w14:textId="57EB7D7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2,600</w:t>
            </w:r>
          </w:p>
        </w:tc>
        <w:tc>
          <w:tcPr>
            <w:tcW w:w="1500" w:type="dxa"/>
            <w:tcMar>
              <w:left w:w="90" w:type="dxa"/>
              <w:right w:w="90" w:type="dxa"/>
            </w:tcMar>
            <w:vAlign w:val="top"/>
          </w:tcPr>
          <w:p w:rsidR="5966783F" w:rsidP="5966783F" w:rsidRDefault="5966783F" w14:paraId="1629A762" w14:textId="7C0A85D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2,600</w:t>
            </w:r>
          </w:p>
        </w:tc>
        <w:tc>
          <w:tcPr>
            <w:tcW w:w="1500" w:type="dxa"/>
            <w:tcBorders>
              <w:right w:val="single" w:sz="6"/>
            </w:tcBorders>
            <w:tcMar>
              <w:left w:w="90" w:type="dxa"/>
              <w:right w:w="90" w:type="dxa"/>
            </w:tcMar>
            <w:vAlign w:val="top"/>
          </w:tcPr>
          <w:p w:rsidR="5966783F" w:rsidP="5966783F" w:rsidRDefault="5966783F" w14:paraId="721BF30D" w14:textId="56044EC9">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2,600</w:t>
            </w:r>
          </w:p>
        </w:tc>
      </w:tr>
      <w:tr w:rsidR="5966783F" w:rsidTr="5966783F" w14:paraId="7D987679">
        <w:trPr>
          <w:trHeight w:val="285"/>
        </w:trPr>
        <w:tc>
          <w:tcPr>
            <w:tcW w:w="1500" w:type="dxa"/>
            <w:tcBorders>
              <w:left w:val="single" w:sz="6"/>
            </w:tcBorders>
            <w:tcMar>
              <w:left w:w="90" w:type="dxa"/>
              <w:right w:w="90" w:type="dxa"/>
            </w:tcMar>
            <w:vAlign w:val="top"/>
          </w:tcPr>
          <w:p w:rsidR="5966783F" w:rsidP="5966783F" w:rsidRDefault="5966783F" w14:paraId="57973F6A" w14:textId="79969958">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Intangible assets</w:t>
            </w:r>
          </w:p>
        </w:tc>
        <w:tc>
          <w:tcPr>
            <w:tcW w:w="1500" w:type="dxa"/>
            <w:tcMar>
              <w:left w:w="90" w:type="dxa"/>
              <w:right w:w="90" w:type="dxa"/>
            </w:tcMar>
            <w:vAlign w:val="top"/>
          </w:tcPr>
          <w:p w:rsidR="5966783F" w:rsidP="5966783F" w:rsidRDefault="5966783F" w14:paraId="16F0EFF0" w14:textId="6203206C">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3,100</w:t>
            </w:r>
          </w:p>
        </w:tc>
        <w:tc>
          <w:tcPr>
            <w:tcW w:w="1500" w:type="dxa"/>
            <w:tcMar>
              <w:left w:w="90" w:type="dxa"/>
              <w:right w:w="90" w:type="dxa"/>
            </w:tcMar>
            <w:vAlign w:val="top"/>
          </w:tcPr>
          <w:p w:rsidR="5966783F" w:rsidP="5966783F" w:rsidRDefault="5966783F" w14:paraId="0F9F00EC" w14:textId="19F470DF">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3,000</w:t>
            </w:r>
          </w:p>
        </w:tc>
        <w:tc>
          <w:tcPr>
            <w:tcW w:w="1500" w:type="dxa"/>
            <w:tcMar>
              <w:left w:w="90" w:type="dxa"/>
              <w:right w:w="90" w:type="dxa"/>
            </w:tcMar>
            <w:vAlign w:val="top"/>
          </w:tcPr>
          <w:p w:rsidR="5966783F" w:rsidP="5966783F" w:rsidRDefault="5966783F" w14:paraId="28757829" w14:textId="1E72918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2,920</w:t>
            </w:r>
          </w:p>
        </w:tc>
        <w:tc>
          <w:tcPr>
            <w:tcW w:w="1500" w:type="dxa"/>
            <w:tcMar>
              <w:left w:w="90" w:type="dxa"/>
              <w:right w:w="90" w:type="dxa"/>
            </w:tcMar>
            <w:vAlign w:val="top"/>
          </w:tcPr>
          <w:p w:rsidR="5966783F" w:rsidP="5966783F" w:rsidRDefault="5966783F" w14:paraId="4025A6DE" w14:textId="721DD932">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2,840</w:t>
            </w:r>
          </w:p>
        </w:tc>
        <w:tc>
          <w:tcPr>
            <w:tcW w:w="1500" w:type="dxa"/>
            <w:tcBorders>
              <w:right w:val="single" w:sz="6"/>
            </w:tcBorders>
            <w:tcMar>
              <w:left w:w="90" w:type="dxa"/>
              <w:right w:w="90" w:type="dxa"/>
            </w:tcMar>
            <w:vAlign w:val="top"/>
          </w:tcPr>
          <w:p w:rsidR="5966783F" w:rsidP="5966783F" w:rsidRDefault="5966783F" w14:paraId="1BCA36FA" w14:textId="04C9C60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2,760</w:t>
            </w:r>
          </w:p>
        </w:tc>
      </w:tr>
      <w:tr w:rsidR="5966783F" w:rsidTr="5966783F" w14:paraId="2684E70B">
        <w:trPr>
          <w:trHeight w:val="285"/>
        </w:trPr>
        <w:tc>
          <w:tcPr>
            <w:tcW w:w="1500" w:type="dxa"/>
            <w:tcBorders>
              <w:left w:val="single" w:sz="6"/>
            </w:tcBorders>
            <w:tcMar>
              <w:left w:w="90" w:type="dxa"/>
              <w:right w:w="90" w:type="dxa"/>
            </w:tcMar>
            <w:vAlign w:val="top"/>
          </w:tcPr>
          <w:p w:rsidR="5966783F" w:rsidP="5966783F" w:rsidRDefault="5966783F" w14:paraId="51A2EF06" w14:textId="0C6B9078">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Other assets</w:t>
            </w:r>
          </w:p>
        </w:tc>
        <w:tc>
          <w:tcPr>
            <w:tcW w:w="1500" w:type="dxa"/>
            <w:tcMar>
              <w:left w:w="90" w:type="dxa"/>
              <w:right w:w="90" w:type="dxa"/>
            </w:tcMar>
            <w:vAlign w:val="top"/>
          </w:tcPr>
          <w:p w:rsidR="5966783F" w:rsidP="5966783F" w:rsidRDefault="5966783F" w14:paraId="6B2AF7F9" w14:textId="6CE23186">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1,400</w:t>
            </w:r>
          </w:p>
        </w:tc>
        <w:tc>
          <w:tcPr>
            <w:tcW w:w="1500" w:type="dxa"/>
            <w:tcMar>
              <w:left w:w="90" w:type="dxa"/>
              <w:right w:w="90" w:type="dxa"/>
            </w:tcMar>
            <w:vAlign w:val="top"/>
          </w:tcPr>
          <w:p w:rsidR="5966783F" w:rsidP="5966783F" w:rsidRDefault="5966783F" w14:paraId="7116C890" w14:textId="683D8C7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1,450</w:t>
            </w:r>
          </w:p>
        </w:tc>
        <w:tc>
          <w:tcPr>
            <w:tcW w:w="1500" w:type="dxa"/>
            <w:tcMar>
              <w:left w:w="90" w:type="dxa"/>
              <w:right w:w="90" w:type="dxa"/>
            </w:tcMar>
            <w:vAlign w:val="top"/>
          </w:tcPr>
          <w:p w:rsidR="5966783F" w:rsidP="5966783F" w:rsidRDefault="5966783F" w14:paraId="26F7A5E0" w14:textId="1BFCECE9">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1,500</w:t>
            </w:r>
          </w:p>
        </w:tc>
        <w:tc>
          <w:tcPr>
            <w:tcW w:w="1500" w:type="dxa"/>
            <w:tcMar>
              <w:left w:w="90" w:type="dxa"/>
              <w:right w:w="90" w:type="dxa"/>
            </w:tcMar>
            <w:vAlign w:val="top"/>
          </w:tcPr>
          <w:p w:rsidR="5966783F" w:rsidP="5966783F" w:rsidRDefault="5966783F" w14:paraId="075A91D0" w14:textId="57311E30">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1,540</w:t>
            </w:r>
          </w:p>
        </w:tc>
        <w:tc>
          <w:tcPr>
            <w:tcW w:w="1500" w:type="dxa"/>
            <w:tcBorders>
              <w:right w:val="single" w:sz="6"/>
            </w:tcBorders>
            <w:tcMar>
              <w:left w:w="90" w:type="dxa"/>
              <w:right w:w="90" w:type="dxa"/>
            </w:tcMar>
            <w:vAlign w:val="top"/>
          </w:tcPr>
          <w:p w:rsidR="5966783F" w:rsidP="5966783F" w:rsidRDefault="5966783F" w14:paraId="373E6071" w14:textId="30E4E305">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1,600</w:t>
            </w:r>
          </w:p>
        </w:tc>
      </w:tr>
      <w:tr w:rsidR="5966783F" w:rsidTr="5966783F" w14:paraId="5D4D7D2A">
        <w:trPr>
          <w:trHeight w:val="285"/>
        </w:trPr>
        <w:tc>
          <w:tcPr>
            <w:tcW w:w="1500" w:type="dxa"/>
            <w:tcBorders>
              <w:left w:val="single" w:sz="6"/>
            </w:tcBorders>
            <w:tcMar>
              <w:left w:w="90" w:type="dxa"/>
              <w:right w:w="90" w:type="dxa"/>
            </w:tcMar>
            <w:vAlign w:val="top"/>
          </w:tcPr>
          <w:p w:rsidR="5966783F" w:rsidP="5966783F" w:rsidRDefault="5966783F" w14:paraId="692A6717" w14:textId="44944D23">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Total assets</w:t>
            </w:r>
          </w:p>
        </w:tc>
        <w:tc>
          <w:tcPr>
            <w:tcW w:w="1500" w:type="dxa"/>
            <w:tcMar>
              <w:left w:w="90" w:type="dxa"/>
              <w:right w:w="90" w:type="dxa"/>
            </w:tcMar>
            <w:vAlign w:val="top"/>
          </w:tcPr>
          <w:p w:rsidR="5966783F" w:rsidP="5966783F" w:rsidRDefault="5966783F" w14:paraId="2BCE4B37" w14:textId="091005D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12,570</w:t>
            </w:r>
          </w:p>
        </w:tc>
        <w:tc>
          <w:tcPr>
            <w:tcW w:w="1500" w:type="dxa"/>
            <w:tcMar>
              <w:left w:w="90" w:type="dxa"/>
              <w:right w:w="90" w:type="dxa"/>
            </w:tcMar>
            <w:vAlign w:val="top"/>
          </w:tcPr>
          <w:p w:rsidR="5966783F" w:rsidP="5966783F" w:rsidRDefault="5966783F" w14:paraId="5F756117" w14:textId="490C2B8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13,000</w:t>
            </w:r>
          </w:p>
        </w:tc>
        <w:tc>
          <w:tcPr>
            <w:tcW w:w="1500" w:type="dxa"/>
            <w:tcMar>
              <w:left w:w="90" w:type="dxa"/>
              <w:right w:w="90" w:type="dxa"/>
            </w:tcMar>
            <w:vAlign w:val="top"/>
          </w:tcPr>
          <w:p w:rsidR="5966783F" w:rsidP="5966783F" w:rsidRDefault="5966783F" w14:paraId="67641205" w14:textId="10B9745E">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13,150</w:t>
            </w:r>
          </w:p>
        </w:tc>
        <w:tc>
          <w:tcPr>
            <w:tcW w:w="1500" w:type="dxa"/>
            <w:tcMar>
              <w:left w:w="90" w:type="dxa"/>
              <w:right w:w="90" w:type="dxa"/>
            </w:tcMar>
            <w:vAlign w:val="top"/>
          </w:tcPr>
          <w:p w:rsidR="5966783F" w:rsidP="5966783F" w:rsidRDefault="5966783F" w14:paraId="5D1C4383" w14:textId="2F5670C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13,630</w:t>
            </w:r>
          </w:p>
        </w:tc>
        <w:tc>
          <w:tcPr>
            <w:tcW w:w="1500" w:type="dxa"/>
            <w:tcBorders>
              <w:right w:val="single" w:sz="6"/>
            </w:tcBorders>
            <w:tcMar>
              <w:left w:w="90" w:type="dxa"/>
              <w:right w:w="90" w:type="dxa"/>
            </w:tcMar>
            <w:vAlign w:val="top"/>
          </w:tcPr>
          <w:p w:rsidR="5966783F" w:rsidP="5966783F" w:rsidRDefault="5966783F" w14:paraId="56914C4D" w14:textId="188968AA">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14,050</w:t>
            </w:r>
          </w:p>
        </w:tc>
      </w:tr>
      <w:tr w:rsidR="5966783F" w:rsidTr="5966783F" w14:paraId="37AF854F">
        <w:trPr>
          <w:trHeight w:val="285"/>
        </w:trPr>
        <w:tc>
          <w:tcPr>
            <w:tcW w:w="1500" w:type="dxa"/>
            <w:tcBorders>
              <w:left w:val="single" w:sz="6"/>
            </w:tcBorders>
            <w:tcMar>
              <w:left w:w="90" w:type="dxa"/>
              <w:right w:w="90" w:type="dxa"/>
            </w:tcMar>
            <w:vAlign w:val="top"/>
          </w:tcPr>
          <w:p w:rsidR="5966783F" w:rsidP="5966783F" w:rsidRDefault="5966783F" w14:paraId="3FC708E6" w14:textId="3F9BD44F">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Accounts payable</w:t>
            </w:r>
          </w:p>
        </w:tc>
        <w:tc>
          <w:tcPr>
            <w:tcW w:w="1500" w:type="dxa"/>
            <w:tcMar>
              <w:left w:w="90" w:type="dxa"/>
              <w:right w:w="90" w:type="dxa"/>
            </w:tcMar>
            <w:vAlign w:val="top"/>
          </w:tcPr>
          <w:p w:rsidR="5966783F" w:rsidP="5966783F" w:rsidRDefault="5966783F" w14:paraId="6C7AF57B" w14:textId="4A7F31A7">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430</w:t>
            </w:r>
          </w:p>
        </w:tc>
        <w:tc>
          <w:tcPr>
            <w:tcW w:w="1500" w:type="dxa"/>
            <w:tcMar>
              <w:left w:w="90" w:type="dxa"/>
              <w:right w:w="90" w:type="dxa"/>
            </w:tcMar>
            <w:vAlign w:val="top"/>
          </w:tcPr>
          <w:p w:rsidR="5966783F" w:rsidP="5966783F" w:rsidRDefault="5966783F" w14:paraId="6275A332" w14:textId="49FFD6B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510</w:t>
            </w:r>
          </w:p>
        </w:tc>
        <w:tc>
          <w:tcPr>
            <w:tcW w:w="1500" w:type="dxa"/>
            <w:tcMar>
              <w:left w:w="90" w:type="dxa"/>
              <w:right w:w="90" w:type="dxa"/>
            </w:tcMar>
            <w:vAlign w:val="top"/>
          </w:tcPr>
          <w:p w:rsidR="5966783F" w:rsidP="5966783F" w:rsidRDefault="5966783F" w14:paraId="1DB87615" w14:textId="1404860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560</w:t>
            </w:r>
          </w:p>
        </w:tc>
        <w:tc>
          <w:tcPr>
            <w:tcW w:w="1500" w:type="dxa"/>
            <w:tcMar>
              <w:left w:w="90" w:type="dxa"/>
              <w:right w:w="90" w:type="dxa"/>
            </w:tcMar>
            <w:vAlign w:val="top"/>
          </w:tcPr>
          <w:p w:rsidR="5966783F" w:rsidP="5966783F" w:rsidRDefault="5966783F" w14:paraId="6EAA20BA" w14:textId="6445A4B2">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590</w:t>
            </w:r>
          </w:p>
        </w:tc>
        <w:tc>
          <w:tcPr>
            <w:tcW w:w="1500" w:type="dxa"/>
            <w:tcBorders>
              <w:right w:val="single" w:sz="6"/>
            </w:tcBorders>
            <w:tcMar>
              <w:left w:w="90" w:type="dxa"/>
              <w:right w:w="90" w:type="dxa"/>
            </w:tcMar>
            <w:vAlign w:val="top"/>
          </w:tcPr>
          <w:p w:rsidR="5966783F" w:rsidP="5966783F" w:rsidRDefault="5966783F" w14:paraId="18F65177" w14:textId="4D7D06B1">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620</w:t>
            </w:r>
          </w:p>
        </w:tc>
      </w:tr>
      <w:tr w:rsidR="5966783F" w:rsidTr="5966783F" w14:paraId="453FA5F3">
        <w:trPr>
          <w:trHeight w:val="285"/>
        </w:trPr>
        <w:tc>
          <w:tcPr>
            <w:tcW w:w="1500" w:type="dxa"/>
            <w:tcBorders>
              <w:left w:val="single" w:sz="6"/>
            </w:tcBorders>
            <w:tcMar>
              <w:left w:w="90" w:type="dxa"/>
              <w:right w:w="90" w:type="dxa"/>
            </w:tcMar>
            <w:vAlign w:val="top"/>
          </w:tcPr>
          <w:p w:rsidR="5966783F" w:rsidP="5966783F" w:rsidRDefault="5966783F" w14:paraId="00DDD429" w14:textId="7E38EB76">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Accrued expenses</w:t>
            </w:r>
          </w:p>
        </w:tc>
        <w:tc>
          <w:tcPr>
            <w:tcW w:w="1500" w:type="dxa"/>
            <w:tcMar>
              <w:left w:w="90" w:type="dxa"/>
              <w:right w:w="90" w:type="dxa"/>
            </w:tcMar>
            <w:vAlign w:val="top"/>
          </w:tcPr>
          <w:p w:rsidR="5966783F" w:rsidP="5966783F" w:rsidRDefault="5966783F" w14:paraId="4B28B542" w14:textId="58804B16">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1,700</w:t>
            </w:r>
          </w:p>
        </w:tc>
        <w:tc>
          <w:tcPr>
            <w:tcW w:w="1500" w:type="dxa"/>
            <w:tcMar>
              <w:left w:w="90" w:type="dxa"/>
              <w:right w:w="90" w:type="dxa"/>
            </w:tcMar>
            <w:vAlign w:val="top"/>
          </w:tcPr>
          <w:p w:rsidR="5966783F" w:rsidP="5966783F" w:rsidRDefault="5966783F" w14:paraId="3AED7BF8" w14:textId="2473920E">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1,800</w:t>
            </w:r>
          </w:p>
        </w:tc>
        <w:tc>
          <w:tcPr>
            <w:tcW w:w="1500" w:type="dxa"/>
            <w:tcMar>
              <w:left w:w="90" w:type="dxa"/>
              <w:right w:w="90" w:type="dxa"/>
            </w:tcMar>
            <w:vAlign w:val="top"/>
          </w:tcPr>
          <w:p w:rsidR="5966783F" w:rsidP="5966783F" w:rsidRDefault="5966783F" w14:paraId="0451A2CC" w14:textId="5514CB61">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1,880</w:t>
            </w:r>
          </w:p>
        </w:tc>
        <w:tc>
          <w:tcPr>
            <w:tcW w:w="1500" w:type="dxa"/>
            <w:tcMar>
              <w:left w:w="90" w:type="dxa"/>
              <w:right w:w="90" w:type="dxa"/>
            </w:tcMar>
            <w:vAlign w:val="top"/>
          </w:tcPr>
          <w:p w:rsidR="5966783F" w:rsidP="5966783F" w:rsidRDefault="5966783F" w14:paraId="3B1EB2EE" w14:textId="6F271222">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1,950</w:t>
            </w:r>
          </w:p>
        </w:tc>
        <w:tc>
          <w:tcPr>
            <w:tcW w:w="1500" w:type="dxa"/>
            <w:tcBorders>
              <w:right w:val="single" w:sz="6"/>
            </w:tcBorders>
            <w:tcMar>
              <w:left w:w="90" w:type="dxa"/>
              <w:right w:w="90" w:type="dxa"/>
            </w:tcMar>
            <w:vAlign w:val="top"/>
          </w:tcPr>
          <w:p w:rsidR="5966783F" w:rsidP="5966783F" w:rsidRDefault="5966783F" w14:paraId="3A0894CA" w14:textId="2D59C17C">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2,030</w:t>
            </w:r>
          </w:p>
        </w:tc>
      </w:tr>
      <w:tr w:rsidR="5966783F" w:rsidTr="5966783F" w14:paraId="36C6F65B">
        <w:trPr>
          <w:trHeight w:val="285"/>
        </w:trPr>
        <w:tc>
          <w:tcPr>
            <w:tcW w:w="1500" w:type="dxa"/>
            <w:tcBorders>
              <w:left w:val="single" w:sz="6"/>
            </w:tcBorders>
            <w:tcMar>
              <w:left w:w="90" w:type="dxa"/>
              <w:right w:w="90" w:type="dxa"/>
            </w:tcMar>
            <w:vAlign w:val="top"/>
          </w:tcPr>
          <w:p w:rsidR="5966783F" w:rsidP="5966783F" w:rsidRDefault="5966783F" w14:paraId="592E6762" w14:textId="0D6FB83B">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Current portion of long-term debt</w:t>
            </w:r>
          </w:p>
        </w:tc>
        <w:tc>
          <w:tcPr>
            <w:tcW w:w="1500" w:type="dxa"/>
            <w:tcMar>
              <w:left w:w="90" w:type="dxa"/>
              <w:right w:w="90" w:type="dxa"/>
            </w:tcMar>
            <w:vAlign w:val="top"/>
          </w:tcPr>
          <w:p w:rsidR="5966783F" w:rsidP="5966783F" w:rsidRDefault="5966783F" w14:paraId="3F487997" w14:textId="57AF48CC">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350</w:t>
            </w:r>
          </w:p>
        </w:tc>
        <w:tc>
          <w:tcPr>
            <w:tcW w:w="1500" w:type="dxa"/>
            <w:tcMar>
              <w:left w:w="90" w:type="dxa"/>
              <w:right w:w="90" w:type="dxa"/>
            </w:tcMar>
            <w:vAlign w:val="top"/>
          </w:tcPr>
          <w:p w:rsidR="5966783F" w:rsidP="5966783F" w:rsidRDefault="5966783F" w14:paraId="042E95DC" w14:textId="45F7165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300</w:t>
            </w:r>
          </w:p>
        </w:tc>
        <w:tc>
          <w:tcPr>
            <w:tcW w:w="1500" w:type="dxa"/>
            <w:tcMar>
              <w:left w:w="90" w:type="dxa"/>
              <w:right w:w="90" w:type="dxa"/>
            </w:tcMar>
            <w:vAlign w:val="top"/>
          </w:tcPr>
          <w:p w:rsidR="5966783F" w:rsidP="5966783F" w:rsidRDefault="5966783F" w14:paraId="65D2805F" w14:textId="3609B25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280</w:t>
            </w:r>
          </w:p>
        </w:tc>
        <w:tc>
          <w:tcPr>
            <w:tcW w:w="1500" w:type="dxa"/>
            <w:tcMar>
              <w:left w:w="90" w:type="dxa"/>
              <w:right w:w="90" w:type="dxa"/>
            </w:tcMar>
            <w:vAlign w:val="top"/>
          </w:tcPr>
          <w:p w:rsidR="5966783F" w:rsidP="5966783F" w:rsidRDefault="5966783F" w14:paraId="38EACFB6" w14:textId="14CC1EA2">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260</w:t>
            </w:r>
          </w:p>
        </w:tc>
        <w:tc>
          <w:tcPr>
            <w:tcW w:w="1500" w:type="dxa"/>
            <w:tcBorders>
              <w:right w:val="single" w:sz="6"/>
            </w:tcBorders>
            <w:tcMar>
              <w:left w:w="90" w:type="dxa"/>
              <w:right w:w="90" w:type="dxa"/>
            </w:tcMar>
            <w:vAlign w:val="top"/>
          </w:tcPr>
          <w:p w:rsidR="5966783F" w:rsidP="5966783F" w:rsidRDefault="5966783F" w14:paraId="3C310A4D" w14:textId="70A7554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250</w:t>
            </w:r>
          </w:p>
        </w:tc>
      </w:tr>
      <w:tr w:rsidR="5966783F" w:rsidTr="5966783F" w14:paraId="7351ABA4">
        <w:trPr>
          <w:trHeight w:val="285"/>
        </w:trPr>
        <w:tc>
          <w:tcPr>
            <w:tcW w:w="1500" w:type="dxa"/>
            <w:tcBorders>
              <w:left w:val="single" w:sz="6"/>
            </w:tcBorders>
            <w:tcMar>
              <w:left w:w="90" w:type="dxa"/>
              <w:right w:w="90" w:type="dxa"/>
            </w:tcMar>
            <w:vAlign w:val="top"/>
          </w:tcPr>
          <w:p w:rsidR="5966783F" w:rsidP="5966783F" w:rsidRDefault="5966783F" w14:paraId="0C0DE6C6" w14:textId="2988596B">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Total current liabilities</w:t>
            </w:r>
          </w:p>
        </w:tc>
        <w:tc>
          <w:tcPr>
            <w:tcW w:w="1500" w:type="dxa"/>
            <w:tcMar>
              <w:left w:w="90" w:type="dxa"/>
              <w:right w:w="90" w:type="dxa"/>
            </w:tcMar>
            <w:vAlign w:val="top"/>
          </w:tcPr>
          <w:p w:rsidR="5966783F" w:rsidP="5966783F" w:rsidRDefault="5966783F" w14:paraId="59425077" w14:textId="10FEA18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2,480</w:t>
            </w:r>
          </w:p>
        </w:tc>
        <w:tc>
          <w:tcPr>
            <w:tcW w:w="1500" w:type="dxa"/>
            <w:tcMar>
              <w:left w:w="90" w:type="dxa"/>
              <w:right w:w="90" w:type="dxa"/>
            </w:tcMar>
            <w:vAlign w:val="top"/>
          </w:tcPr>
          <w:p w:rsidR="5966783F" w:rsidP="5966783F" w:rsidRDefault="5966783F" w14:paraId="44821DF7" w14:textId="136F60FF">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2,610</w:t>
            </w:r>
          </w:p>
        </w:tc>
        <w:tc>
          <w:tcPr>
            <w:tcW w:w="1500" w:type="dxa"/>
            <w:tcMar>
              <w:left w:w="90" w:type="dxa"/>
              <w:right w:w="90" w:type="dxa"/>
            </w:tcMar>
            <w:vAlign w:val="top"/>
          </w:tcPr>
          <w:p w:rsidR="5966783F" w:rsidP="5966783F" w:rsidRDefault="5966783F" w14:paraId="73CCD073" w14:textId="3162BBCF">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2,720</w:t>
            </w:r>
          </w:p>
        </w:tc>
        <w:tc>
          <w:tcPr>
            <w:tcW w:w="1500" w:type="dxa"/>
            <w:tcMar>
              <w:left w:w="90" w:type="dxa"/>
              <w:right w:w="90" w:type="dxa"/>
            </w:tcMar>
            <w:vAlign w:val="top"/>
          </w:tcPr>
          <w:p w:rsidR="5966783F" w:rsidP="5966783F" w:rsidRDefault="5966783F" w14:paraId="2DED223F" w14:textId="28C1B69F">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2,800</w:t>
            </w:r>
          </w:p>
        </w:tc>
        <w:tc>
          <w:tcPr>
            <w:tcW w:w="1500" w:type="dxa"/>
            <w:tcBorders>
              <w:right w:val="single" w:sz="6"/>
            </w:tcBorders>
            <w:tcMar>
              <w:left w:w="90" w:type="dxa"/>
              <w:right w:w="90" w:type="dxa"/>
            </w:tcMar>
            <w:vAlign w:val="top"/>
          </w:tcPr>
          <w:p w:rsidR="5966783F" w:rsidP="5966783F" w:rsidRDefault="5966783F" w14:paraId="7BAB35F7" w14:textId="101BA675">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2,900</w:t>
            </w:r>
          </w:p>
        </w:tc>
      </w:tr>
      <w:tr w:rsidR="5966783F" w:rsidTr="5966783F" w14:paraId="69E99943">
        <w:trPr>
          <w:trHeight w:val="285"/>
        </w:trPr>
        <w:tc>
          <w:tcPr>
            <w:tcW w:w="1500" w:type="dxa"/>
            <w:tcBorders>
              <w:left w:val="single" w:sz="6"/>
            </w:tcBorders>
            <w:tcMar>
              <w:left w:w="90" w:type="dxa"/>
              <w:right w:w="90" w:type="dxa"/>
            </w:tcMar>
            <w:vAlign w:val="top"/>
          </w:tcPr>
          <w:p w:rsidR="5966783F" w:rsidP="5966783F" w:rsidRDefault="5966783F" w14:paraId="75CC00A5" w14:textId="1C85062C">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Long-term debt</w:t>
            </w:r>
          </w:p>
        </w:tc>
        <w:tc>
          <w:tcPr>
            <w:tcW w:w="1500" w:type="dxa"/>
            <w:tcMar>
              <w:left w:w="90" w:type="dxa"/>
              <w:right w:w="90" w:type="dxa"/>
            </w:tcMar>
            <w:vAlign w:val="top"/>
          </w:tcPr>
          <w:p w:rsidR="5966783F" w:rsidP="5966783F" w:rsidRDefault="5966783F" w14:paraId="18F00CA9" w14:textId="1D70354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9,500</w:t>
            </w:r>
          </w:p>
        </w:tc>
        <w:tc>
          <w:tcPr>
            <w:tcW w:w="1500" w:type="dxa"/>
            <w:tcMar>
              <w:left w:w="90" w:type="dxa"/>
              <w:right w:w="90" w:type="dxa"/>
            </w:tcMar>
            <w:vAlign w:val="top"/>
          </w:tcPr>
          <w:p w:rsidR="5966783F" w:rsidP="5966783F" w:rsidRDefault="5966783F" w14:paraId="519889F9" w14:textId="101FB83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9,300</w:t>
            </w:r>
          </w:p>
        </w:tc>
        <w:tc>
          <w:tcPr>
            <w:tcW w:w="1500" w:type="dxa"/>
            <w:tcMar>
              <w:left w:w="90" w:type="dxa"/>
              <w:right w:w="90" w:type="dxa"/>
            </w:tcMar>
            <w:vAlign w:val="top"/>
          </w:tcPr>
          <w:p w:rsidR="5966783F" w:rsidP="5966783F" w:rsidRDefault="5966783F" w14:paraId="24808B49" w14:textId="36AFD1F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9,100</w:t>
            </w:r>
          </w:p>
        </w:tc>
        <w:tc>
          <w:tcPr>
            <w:tcW w:w="1500" w:type="dxa"/>
            <w:tcMar>
              <w:left w:w="90" w:type="dxa"/>
              <w:right w:w="90" w:type="dxa"/>
            </w:tcMar>
            <w:vAlign w:val="top"/>
          </w:tcPr>
          <w:p w:rsidR="5966783F" w:rsidP="5966783F" w:rsidRDefault="5966783F" w14:paraId="7F6250BE" w14:textId="0EBEFC8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8,900</w:t>
            </w:r>
          </w:p>
        </w:tc>
        <w:tc>
          <w:tcPr>
            <w:tcW w:w="1500" w:type="dxa"/>
            <w:tcBorders>
              <w:right w:val="single" w:sz="6"/>
            </w:tcBorders>
            <w:tcMar>
              <w:left w:w="90" w:type="dxa"/>
              <w:right w:w="90" w:type="dxa"/>
            </w:tcMar>
            <w:vAlign w:val="top"/>
          </w:tcPr>
          <w:p w:rsidR="5966783F" w:rsidP="5966783F" w:rsidRDefault="5966783F" w14:paraId="4C199886" w14:textId="349598A7">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8,700</w:t>
            </w:r>
          </w:p>
        </w:tc>
      </w:tr>
      <w:tr w:rsidR="5966783F" w:rsidTr="5966783F" w14:paraId="686DEEC0">
        <w:trPr>
          <w:trHeight w:val="285"/>
        </w:trPr>
        <w:tc>
          <w:tcPr>
            <w:tcW w:w="1500" w:type="dxa"/>
            <w:tcBorders>
              <w:left w:val="single" w:sz="6"/>
            </w:tcBorders>
            <w:tcMar>
              <w:left w:w="90" w:type="dxa"/>
              <w:right w:w="90" w:type="dxa"/>
            </w:tcMar>
            <w:vAlign w:val="top"/>
          </w:tcPr>
          <w:p w:rsidR="5966783F" w:rsidP="5966783F" w:rsidRDefault="5966783F" w14:paraId="0E7ECA00" w14:textId="01BC1598">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Other long-term liabilities</w:t>
            </w:r>
          </w:p>
        </w:tc>
        <w:tc>
          <w:tcPr>
            <w:tcW w:w="1500" w:type="dxa"/>
            <w:tcMar>
              <w:left w:w="90" w:type="dxa"/>
              <w:right w:w="90" w:type="dxa"/>
            </w:tcMar>
            <w:vAlign w:val="top"/>
          </w:tcPr>
          <w:p w:rsidR="5966783F" w:rsidP="5966783F" w:rsidRDefault="5966783F" w14:paraId="393B67AF" w14:textId="4E0A98E5">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1,800</w:t>
            </w:r>
          </w:p>
        </w:tc>
        <w:tc>
          <w:tcPr>
            <w:tcW w:w="1500" w:type="dxa"/>
            <w:tcMar>
              <w:left w:w="90" w:type="dxa"/>
              <w:right w:w="90" w:type="dxa"/>
            </w:tcMar>
            <w:vAlign w:val="top"/>
          </w:tcPr>
          <w:p w:rsidR="5966783F" w:rsidP="5966783F" w:rsidRDefault="5966783F" w14:paraId="34354FEF" w14:textId="1568ED5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1,850</w:t>
            </w:r>
          </w:p>
        </w:tc>
        <w:tc>
          <w:tcPr>
            <w:tcW w:w="1500" w:type="dxa"/>
            <w:tcMar>
              <w:left w:w="90" w:type="dxa"/>
              <w:right w:w="90" w:type="dxa"/>
            </w:tcMar>
            <w:vAlign w:val="top"/>
          </w:tcPr>
          <w:p w:rsidR="5966783F" w:rsidP="5966783F" w:rsidRDefault="5966783F" w14:paraId="76B73753" w14:textId="3367DF21">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1,900</w:t>
            </w:r>
          </w:p>
        </w:tc>
        <w:tc>
          <w:tcPr>
            <w:tcW w:w="1500" w:type="dxa"/>
            <w:tcMar>
              <w:left w:w="90" w:type="dxa"/>
              <w:right w:w="90" w:type="dxa"/>
            </w:tcMar>
            <w:vAlign w:val="top"/>
          </w:tcPr>
          <w:p w:rsidR="5966783F" w:rsidP="5966783F" w:rsidRDefault="5966783F" w14:paraId="53ED0A6E" w14:textId="018FE617">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1,940</w:t>
            </w:r>
          </w:p>
        </w:tc>
        <w:tc>
          <w:tcPr>
            <w:tcW w:w="1500" w:type="dxa"/>
            <w:tcBorders>
              <w:right w:val="single" w:sz="6"/>
            </w:tcBorders>
            <w:tcMar>
              <w:left w:w="90" w:type="dxa"/>
              <w:right w:w="90" w:type="dxa"/>
            </w:tcMar>
            <w:vAlign w:val="top"/>
          </w:tcPr>
          <w:p w:rsidR="5966783F" w:rsidP="5966783F" w:rsidRDefault="5966783F" w14:paraId="4DB82946" w14:textId="3762A628">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0"/>
                <w:bCs w:val="0"/>
                <w:i w:val="0"/>
                <w:iCs w:val="0"/>
                <w:sz w:val="18"/>
                <w:szCs w:val="18"/>
                <w:lang w:val="en-US"/>
              </w:rPr>
              <w:t>1,980</w:t>
            </w:r>
          </w:p>
        </w:tc>
      </w:tr>
      <w:tr w:rsidR="5966783F" w:rsidTr="5966783F" w14:paraId="1FC69D12">
        <w:trPr>
          <w:trHeight w:val="285"/>
        </w:trPr>
        <w:tc>
          <w:tcPr>
            <w:tcW w:w="1500" w:type="dxa"/>
            <w:tcBorders>
              <w:left w:val="single" w:sz="6"/>
            </w:tcBorders>
            <w:tcMar>
              <w:left w:w="90" w:type="dxa"/>
              <w:right w:w="90" w:type="dxa"/>
            </w:tcMar>
            <w:vAlign w:val="top"/>
          </w:tcPr>
          <w:p w:rsidR="5966783F" w:rsidP="5966783F" w:rsidRDefault="5966783F" w14:paraId="66A3FE0D" w14:textId="4FCC9C31">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Total liabilities</w:t>
            </w:r>
          </w:p>
        </w:tc>
        <w:tc>
          <w:tcPr>
            <w:tcW w:w="1500" w:type="dxa"/>
            <w:tcMar>
              <w:left w:w="90" w:type="dxa"/>
              <w:right w:w="90" w:type="dxa"/>
            </w:tcMar>
            <w:vAlign w:val="top"/>
          </w:tcPr>
          <w:p w:rsidR="5966783F" w:rsidP="5966783F" w:rsidRDefault="5966783F" w14:paraId="767125CC" w14:textId="1371D219">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13,780</w:t>
            </w:r>
          </w:p>
        </w:tc>
        <w:tc>
          <w:tcPr>
            <w:tcW w:w="1500" w:type="dxa"/>
            <w:tcMar>
              <w:left w:w="90" w:type="dxa"/>
              <w:right w:w="90" w:type="dxa"/>
            </w:tcMar>
            <w:vAlign w:val="top"/>
          </w:tcPr>
          <w:p w:rsidR="5966783F" w:rsidP="5966783F" w:rsidRDefault="5966783F" w14:paraId="3F3DD89A" w14:textId="078F894A">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13,760</w:t>
            </w:r>
          </w:p>
        </w:tc>
        <w:tc>
          <w:tcPr>
            <w:tcW w:w="1500" w:type="dxa"/>
            <w:tcMar>
              <w:left w:w="90" w:type="dxa"/>
              <w:right w:w="90" w:type="dxa"/>
            </w:tcMar>
            <w:vAlign w:val="top"/>
          </w:tcPr>
          <w:p w:rsidR="5966783F" w:rsidP="5966783F" w:rsidRDefault="5966783F" w14:paraId="119231B8" w14:textId="14827700">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13,720</w:t>
            </w:r>
          </w:p>
        </w:tc>
        <w:tc>
          <w:tcPr>
            <w:tcW w:w="1500" w:type="dxa"/>
            <w:tcMar>
              <w:left w:w="90" w:type="dxa"/>
              <w:right w:w="90" w:type="dxa"/>
            </w:tcMar>
            <w:vAlign w:val="top"/>
          </w:tcPr>
          <w:p w:rsidR="5966783F" w:rsidP="5966783F" w:rsidRDefault="5966783F" w14:paraId="7DF66AFB" w14:textId="0C768C3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13,640</w:t>
            </w:r>
          </w:p>
        </w:tc>
        <w:tc>
          <w:tcPr>
            <w:tcW w:w="1500" w:type="dxa"/>
            <w:tcBorders>
              <w:right w:val="single" w:sz="6"/>
            </w:tcBorders>
            <w:tcMar>
              <w:left w:w="90" w:type="dxa"/>
              <w:right w:w="90" w:type="dxa"/>
            </w:tcMar>
            <w:vAlign w:val="top"/>
          </w:tcPr>
          <w:p w:rsidR="5966783F" w:rsidP="5966783F" w:rsidRDefault="5966783F" w14:paraId="074F4017" w14:textId="0EB2A927">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13,580</w:t>
            </w:r>
          </w:p>
        </w:tc>
      </w:tr>
      <w:tr w:rsidR="5966783F" w:rsidTr="5966783F" w14:paraId="1765EA98">
        <w:trPr>
          <w:trHeight w:val="285"/>
        </w:trPr>
        <w:tc>
          <w:tcPr>
            <w:tcW w:w="1500" w:type="dxa"/>
            <w:tcBorders>
              <w:left w:val="single" w:sz="6"/>
              <w:bottom w:val="single" w:sz="6"/>
            </w:tcBorders>
            <w:tcMar>
              <w:left w:w="90" w:type="dxa"/>
              <w:right w:w="90" w:type="dxa"/>
            </w:tcMar>
            <w:vAlign w:val="top"/>
          </w:tcPr>
          <w:p w:rsidR="5966783F" w:rsidP="5966783F" w:rsidRDefault="5966783F" w14:paraId="7A4581F3" w14:textId="6B2B0F78">
            <w:pPr>
              <w:bidi w:val="0"/>
              <w:spacing w:line="360" w:lineRule="auto"/>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Total shareholders' equity</w:t>
            </w:r>
          </w:p>
        </w:tc>
        <w:tc>
          <w:tcPr>
            <w:tcW w:w="1500" w:type="dxa"/>
            <w:tcBorders>
              <w:bottom w:val="single" w:sz="6"/>
            </w:tcBorders>
            <w:tcMar>
              <w:left w:w="90" w:type="dxa"/>
              <w:right w:w="90" w:type="dxa"/>
            </w:tcMar>
            <w:vAlign w:val="top"/>
          </w:tcPr>
          <w:p w:rsidR="5966783F" w:rsidP="5966783F" w:rsidRDefault="5966783F" w14:paraId="711B2725" w14:textId="14EC339D">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-1,210</w:t>
            </w:r>
          </w:p>
        </w:tc>
        <w:tc>
          <w:tcPr>
            <w:tcW w:w="1500" w:type="dxa"/>
            <w:tcBorders>
              <w:bottom w:val="single" w:sz="6"/>
            </w:tcBorders>
            <w:tcMar>
              <w:left w:w="90" w:type="dxa"/>
              <w:right w:w="90" w:type="dxa"/>
            </w:tcMar>
            <w:vAlign w:val="top"/>
          </w:tcPr>
          <w:p w:rsidR="5966783F" w:rsidP="5966783F" w:rsidRDefault="5966783F" w14:paraId="6585589F" w14:textId="61DD37B0">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-760</w:t>
            </w:r>
          </w:p>
        </w:tc>
        <w:tc>
          <w:tcPr>
            <w:tcW w:w="1500" w:type="dxa"/>
            <w:tcBorders>
              <w:bottom w:val="single" w:sz="6"/>
            </w:tcBorders>
            <w:tcMar>
              <w:left w:w="90" w:type="dxa"/>
              <w:right w:w="90" w:type="dxa"/>
            </w:tcMar>
            <w:vAlign w:val="top"/>
          </w:tcPr>
          <w:p w:rsidR="5966783F" w:rsidP="5966783F" w:rsidRDefault="5966783F" w14:paraId="2409A240" w14:textId="7AD2ECD3">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-570</w:t>
            </w:r>
          </w:p>
        </w:tc>
        <w:tc>
          <w:tcPr>
            <w:tcW w:w="1500" w:type="dxa"/>
            <w:tcBorders>
              <w:bottom w:val="single" w:sz="6"/>
            </w:tcBorders>
            <w:tcMar>
              <w:left w:w="90" w:type="dxa"/>
              <w:right w:w="90" w:type="dxa"/>
            </w:tcMar>
            <w:vAlign w:val="top"/>
          </w:tcPr>
          <w:p w:rsidR="5966783F" w:rsidP="5966783F" w:rsidRDefault="5966783F" w14:paraId="7680C20E" w14:textId="380F703B">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-10</w:t>
            </w:r>
          </w:p>
        </w:tc>
        <w:tc>
          <w:tcPr>
            <w:tcW w:w="1500" w:type="dxa"/>
            <w:tcBorders>
              <w:bottom w:val="single" w:sz="6"/>
              <w:right w:val="single" w:sz="6"/>
            </w:tcBorders>
            <w:tcMar>
              <w:left w:w="90" w:type="dxa"/>
              <w:right w:w="90" w:type="dxa"/>
            </w:tcMar>
            <w:vAlign w:val="top"/>
          </w:tcPr>
          <w:p w:rsidR="5966783F" w:rsidP="5966783F" w:rsidRDefault="5966783F" w14:paraId="054ADE1E" w14:textId="5B43DE92">
            <w:pPr>
              <w:bidi w:val="0"/>
              <w:spacing w:line="360" w:lineRule="auto"/>
              <w:jc w:val="right"/>
              <w:rPr>
                <w:rFonts w:ascii="Arial" w:hAnsi="Arial" w:eastAsia="Arial" w:cs="Arial"/>
                <w:b w:val="0"/>
                <w:bCs w:val="0"/>
                <w:i w:val="0"/>
                <w:iCs w:val="0"/>
                <w:sz w:val="18"/>
                <w:szCs w:val="18"/>
              </w:rPr>
            </w:pPr>
            <w:r w:rsidRPr="5966783F" w:rsidR="5966783F">
              <w:rPr>
                <w:rFonts w:ascii="Arial" w:hAnsi="Arial" w:eastAsia="Arial" w:cs="Arial"/>
                <w:b w:val="1"/>
                <w:bCs w:val="1"/>
                <w:i w:val="0"/>
                <w:iCs w:val="0"/>
                <w:sz w:val="18"/>
                <w:szCs w:val="18"/>
                <w:lang w:val="en-US"/>
              </w:rPr>
              <w:t>470</w:t>
            </w:r>
          </w:p>
        </w:tc>
      </w:tr>
    </w:tbl>
    <w:p xmlns:wp14="http://schemas.microsoft.com/office/word/2010/wordml" w:rsidP="5966783F" wp14:paraId="2ED47A7C" wp14:textId="268D4020">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Initial observations: Total assets increased from US$12,570m in 2021 to US$14,050m in 2025. Long-term debt declined from US$9,500m to US$8,700m, while shareholders' equity improved from a deficit of US$1,210m to positive US$470m. Current assets increased faster than current liabilities over the period, indicating an improvement in the balance-sheet liquidity position based on the figures supplied.</w:t>
      </w:r>
    </w:p>
    <w:p xmlns:wp14="http://schemas.microsoft.com/office/word/2010/wordml" w:rsidP="5966783F" wp14:paraId="03AA362A" wp14:textId="6C010C93">
      <w:pPr>
        <w:pStyle w:val="Normal"/>
        <w:keepNext w:val="1"/>
        <w:keepLines w:val="1"/>
        <w:bidi w:val="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5966783F" w:rsidR="320BC377">
        <w:rPr>
          <w:noProof w:val="0"/>
          <w:sz w:val="32"/>
          <w:szCs w:val="32"/>
          <w:lang w:val="en-GB"/>
        </w:rPr>
        <w:t>Appendix A – Financial Statements and Five-Year Ratio Analysis</w:t>
      </w:r>
    </w:p>
    <w:p xmlns:wp14="http://schemas.microsoft.com/office/word/2010/wordml" w:rsidP="5966783F" wp14:paraId="55D21640" wp14:textId="1BE1BE3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The following tables present ratios calculated from Hilton Worldwide Holdings Inc.'s audited consolidated financial statements. All financial statement amounts are in US$ millions. Ratios use year-end balances for consistency. Because Hilton does not report a conventional cost-of-sales total, the gross margin is presented as a transparent proxy: (total revenue − ownership expenses − reimbursed expenses) ÷ total revenue.</w:t>
      </w:r>
    </w:p>
    <w:p xmlns:wp14="http://schemas.microsoft.com/office/word/2010/wordml" w:rsidP="5966783F" wp14:paraId="25BEED53" wp14:textId="103BCD19">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A4: Five-Year Financial Ratio Analysis 2021–2025</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470"/>
        <w:gridCol w:w="1470"/>
        <w:gridCol w:w="1470"/>
        <w:gridCol w:w="1470"/>
        <w:gridCol w:w="1470"/>
        <w:gridCol w:w="1470"/>
        <w:gridCol w:w="1470"/>
      </w:tblGrid>
      <w:tr w:rsidR="5966783F" w:rsidTr="5966783F" w14:paraId="600720B6">
        <w:trPr>
          <w:trHeight w:val="285"/>
        </w:trPr>
        <w:tc>
          <w:tcPr>
            <w:tcW w:w="1470" w:type="dxa"/>
            <w:tcBorders>
              <w:top w:val="single" w:sz="6"/>
              <w:left w:val="single" w:sz="6"/>
            </w:tcBorders>
            <w:shd w:val="clear" w:color="auto" w:fill="215E99" w:themeFill="text2" w:themeFillTint="BF"/>
            <w:tcMar>
              <w:left w:w="90" w:type="dxa"/>
              <w:right w:w="90" w:type="dxa"/>
            </w:tcMar>
            <w:vAlign w:val="center"/>
          </w:tcPr>
          <w:p w:rsidR="5966783F" w:rsidP="5966783F" w:rsidRDefault="5966783F" w14:paraId="23DC283B" w14:textId="2B067872">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Ratio</w:t>
            </w:r>
          </w:p>
        </w:tc>
        <w:tc>
          <w:tcPr>
            <w:tcW w:w="1470" w:type="dxa"/>
            <w:tcBorders>
              <w:top w:val="single" w:sz="6"/>
            </w:tcBorders>
            <w:shd w:val="clear" w:color="auto" w:fill="215E99" w:themeFill="text2" w:themeFillTint="BF"/>
            <w:tcMar>
              <w:left w:w="90" w:type="dxa"/>
              <w:right w:w="90" w:type="dxa"/>
            </w:tcMar>
            <w:vAlign w:val="center"/>
          </w:tcPr>
          <w:p w:rsidR="5966783F" w:rsidP="5966783F" w:rsidRDefault="5966783F" w14:paraId="00D467F1" w14:textId="507A732B">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2021</w:t>
            </w:r>
          </w:p>
        </w:tc>
        <w:tc>
          <w:tcPr>
            <w:tcW w:w="1470" w:type="dxa"/>
            <w:tcBorders>
              <w:top w:val="single" w:sz="6"/>
            </w:tcBorders>
            <w:shd w:val="clear" w:color="auto" w:fill="215E99" w:themeFill="text2" w:themeFillTint="BF"/>
            <w:tcMar>
              <w:left w:w="90" w:type="dxa"/>
              <w:right w:w="90" w:type="dxa"/>
            </w:tcMar>
            <w:vAlign w:val="center"/>
          </w:tcPr>
          <w:p w:rsidR="5966783F" w:rsidP="5966783F" w:rsidRDefault="5966783F" w14:paraId="60F6B09C" w14:textId="617C0693">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2022</w:t>
            </w:r>
          </w:p>
        </w:tc>
        <w:tc>
          <w:tcPr>
            <w:tcW w:w="1470" w:type="dxa"/>
            <w:tcBorders>
              <w:top w:val="single" w:sz="6"/>
            </w:tcBorders>
            <w:shd w:val="clear" w:color="auto" w:fill="215E99" w:themeFill="text2" w:themeFillTint="BF"/>
            <w:tcMar>
              <w:left w:w="90" w:type="dxa"/>
              <w:right w:w="90" w:type="dxa"/>
            </w:tcMar>
            <w:vAlign w:val="center"/>
          </w:tcPr>
          <w:p w:rsidR="5966783F" w:rsidP="5966783F" w:rsidRDefault="5966783F" w14:paraId="57F9C1A2" w14:textId="17AFE628">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2023</w:t>
            </w:r>
          </w:p>
        </w:tc>
        <w:tc>
          <w:tcPr>
            <w:tcW w:w="1470" w:type="dxa"/>
            <w:tcBorders>
              <w:top w:val="single" w:sz="6"/>
            </w:tcBorders>
            <w:shd w:val="clear" w:color="auto" w:fill="215E99" w:themeFill="text2" w:themeFillTint="BF"/>
            <w:tcMar>
              <w:left w:w="90" w:type="dxa"/>
              <w:right w:w="90" w:type="dxa"/>
            </w:tcMar>
            <w:vAlign w:val="center"/>
          </w:tcPr>
          <w:p w:rsidR="5966783F" w:rsidP="5966783F" w:rsidRDefault="5966783F" w14:paraId="0CE0B4E5" w14:textId="1AF80A61">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2024</w:t>
            </w:r>
          </w:p>
        </w:tc>
        <w:tc>
          <w:tcPr>
            <w:tcW w:w="1470" w:type="dxa"/>
            <w:tcBorders>
              <w:top w:val="single" w:sz="6"/>
            </w:tcBorders>
            <w:shd w:val="clear" w:color="auto" w:fill="215E99" w:themeFill="text2" w:themeFillTint="BF"/>
            <w:tcMar>
              <w:left w:w="90" w:type="dxa"/>
              <w:right w:w="90" w:type="dxa"/>
            </w:tcMar>
            <w:vAlign w:val="center"/>
          </w:tcPr>
          <w:p w:rsidR="5966783F" w:rsidP="5966783F" w:rsidRDefault="5966783F" w14:paraId="39C67AA8" w14:textId="384C523C">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2025</w:t>
            </w:r>
          </w:p>
        </w:tc>
        <w:tc>
          <w:tcPr>
            <w:tcW w:w="1470" w:type="dxa"/>
            <w:tcBorders>
              <w:top w:val="single" w:sz="6"/>
              <w:right w:val="single" w:sz="6"/>
            </w:tcBorders>
            <w:shd w:val="clear" w:color="auto" w:fill="215E99" w:themeFill="text2" w:themeFillTint="BF"/>
            <w:tcMar>
              <w:left w:w="90" w:type="dxa"/>
              <w:right w:w="90" w:type="dxa"/>
            </w:tcMar>
            <w:vAlign w:val="center"/>
          </w:tcPr>
          <w:p w:rsidR="5966783F" w:rsidP="5966783F" w:rsidRDefault="5966783F" w14:paraId="792AA739" w14:textId="02E61747">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Trend / interpretation</w:t>
            </w:r>
          </w:p>
        </w:tc>
      </w:tr>
      <w:tr w:rsidR="5966783F" w:rsidTr="5966783F" w14:paraId="43F4CABF">
        <w:trPr>
          <w:trHeight w:val="285"/>
        </w:trPr>
        <w:tc>
          <w:tcPr>
            <w:tcW w:w="1470" w:type="dxa"/>
            <w:tcBorders>
              <w:left w:val="single" w:sz="6"/>
            </w:tcBorders>
            <w:tcMar>
              <w:left w:w="90" w:type="dxa"/>
              <w:right w:w="90" w:type="dxa"/>
            </w:tcMar>
            <w:vAlign w:val="top"/>
          </w:tcPr>
          <w:p w:rsidR="5966783F" w:rsidP="5966783F" w:rsidRDefault="5966783F" w14:paraId="344A26F7" w14:textId="0E0147C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Gross profit margin proxy</w:t>
            </w:r>
          </w:p>
        </w:tc>
        <w:tc>
          <w:tcPr>
            <w:tcW w:w="1470" w:type="dxa"/>
            <w:tcMar>
              <w:left w:w="90" w:type="dxa"/>
              <w:right w:w="90" w:type="dxa"/>
            </w:tcMar>
            <w:vAlign w:val="top"/>
          </w:tcPr>
          <w:p w:rsidR="5966783F" w:rsidP="5966783F" w:rsidRDefault="5966783F" w14:paraId="730FE0EC" w14:textId="710B6E4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28.6%</w:t>
            </w:r>
          </w:p>
        </w:tc>
        <w:tc>
          <w:tcPr>
            <w:tcW w:w="1470" w:type="dxa"/>
            <w:tcMar>
              <w:left w:w="90" w:type="dxa"/>
              <w:right w:w="90" w:type="dxa"/>
            </w:tcMar>
            <w:vAlign w:val="top"/>
          </w:tcPr>
          <w:p w:rsidR="5966783F" w:rsidP="5966783F" w:rsidRDefault="5966783F" w14:paraId="6E4E44D0" w14:textId="150A612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30.8%</w:t>
            </w:r>
          </w:p>
        </w:tc>
        <w:tc>
          <w:tcPr>
            <w:tcW w:w="1470" w:type="dxa"/>
            <w:tcMar>
              <w:left w:w="90" w:type="dxa"/>
              <w:right w:w="90" w:type="dxa"/>
            </w:tcMar>
            <w:vAlign w:val="top"/>
          </w:tcPr>
          <w:p w:rsidR="5966783F" w:rsidP="5966783F" w:rsidRDefault="5966783F" w14:paraId="032D9ED8" w14:textId="76926A8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28.6%</w:t>
            </w:r>
          </w:p>
        </w:tc>
        <w:tc>
          <w:tcPr>
            <w:tcW w:w="1470" w:type="dxa"/>
            <w:tcMar>
              <w:left w:w="90" w:type="dxa"/>
              <w:right w:w="90" w:type="dxa"/>
            </w:tcMar>
            <w:vAlign w:val="top"/>
          </w:tcPr>
          <w:p w:rsidR="5966783F" w:rsidP="5966783F" w:rsidRDefault="5966783F" w14:paraId="02E093BD" w14:textId="243C800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27.4%</w:t>
            </w:r>
          </w:p>
        </w:tc>
        <w:tc>
          <w:tcPr>
            <w:tcW w:w="1470" w:type="dxa"/>
            <w:tcMar>
              <w:left w:w="90" w:type="dxa"/>
              <w:right w:w="90" w:type="dxa"/>
            </w:tcMar>
            <w:vAlign w:val="top"/>
          </w:tcPr>
          <w:p w:rsidR="5966783F" w:rsidP="5966783F" w:rsidRDefault="5966783F" w14:paraId="2162B82A" w14:textId="20C5A6A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28.2%</w:t>
            </w:r>
          </w:p>
        </w:tc>
        <w:tc>
          <w:tcPr>
            <w:tcW w:w="1470" w:type="dxa"/>
            <w:tcBorders>
              <w:right w:val="single" w:sz="6"/>
            </w:tcBorders>
            <w:tcMar>
              <w:left w:w="90" w:type="dxa"/>
              <w:right w:w="90" w:type="dxa"/>
            </w:tcMar>
            <w:vAlign w:val="top"/>
          </w:tcPr>
          <w:p w:rsidR="5966783F" w:rsidP="5966783F" w:rsidRDefault="5966783F" w14:paraId="149F0D39" w14:textId="18C22B3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Peaked in 2022, then stabilised near 28%.</w:t>
            </w:r>
          </w:p>
        </w:tc>
      </w:tr>
      <w:tr w:rsidR="5966783F" w:rsidTr="5966783F" w14:paraId="00B4A6D1">
        <w:trPr>
          <w:trHeight w:val="285"/>
        </w:trPr>
        <w:tc>
          <w:tcPr>
            <w:tcW w:w="1470" w:type="dxa"/>
            <w:tcBorders>
              <w:left w:val="single" w:sz="6"/>
            </w:tcBorders>
            <w:tcMar>
              <w:left w:w="90" w:type="dxa"/>
              <w:right w:w="90" w:type="dxa"/>
            </w:tcMar>
            <w:vAlign w:val="top"/>
          </w:tcPr>
          <w:p w:rsidR="5966783F" w:rsidP="5966783F" w:rsidRDefault="5966783F" w14:paraId="20600545" w14:textId="34A7A24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profit margin</w:t>
            </w:r>
          </w:p>
        </w:tc>
        <w:tc>
          <w:tcPr>
            <w:tcW w:w="1470" w:type="dxa"/>
            <w:tcMar>
              <w:left w:w="90" w:type="dxa"/>
              <w:right w:w="90" w:type="dxa"/>
            </w:tcMar>
            <w:vAlign w:val="top"/>
          </w:tcPr>
          <w:p w:rsidR="5966783F" w:rsidP="5966783F" w:rsidRDefault="5966783F" w14:paraId="5BC7E09A" w14:textId="638E12F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17.4%</w:t>
            </w:r>
          </w:p>
        </w:tc>
        <w:tc>
          <w:tcPr>
            <w:tcW w:w="1470" w:type="dxa"/>
            <w:tcMar>
              <w:left w:w="90" w:type="dxa"/>
              <w:right w:w="90" w:type="dxa"/>
            </w:tcMar>
            <w:vAlign w:val="top"/>
          </w:tcPr>
          <w:p w:rsidR="5966783F" w:rsidP="5966783F" w:rsidRDefault="5966783F" w14:paraId="353CD5F5" w14:textId="0182C19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23.9%</w:t>
            </w:r>
          </w:p>
        </w:tc>
        <w:tc>
          <w:tcPr>
            <w:tcW w:w="1470" w:type="dxa"/>
            <w:tcMar>
              <w:left w:w="90" w:type="dxa"/>
              <w:right w:w="90" w:type="dxa"/>
            </w:tcMar>
            <w:vAlign w:val="top"/>
          </w:tcPr>
          <w:p w:rsidR="5966783F" w:rsidP="5966783F" w:rsidRDefault="5966783F" w14:paraId="08B7308B" w14:textId="6DE9E6A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21.7%</w:t>
            </w:r>
          </w:p>
        </w:tc>
        <w:tc>
          <w:tcPr>
            <w:tcW w:w="1470" w:type="dxa"/>
            <w:tcMar>
              <w:left w:w="90" w:type="dxa"/>
              <w:right w:w="90" w:type="dxa"/>
            </w:tcMar>
            <w:vAlign w:val="top"/>
          </w:tcPr>
          <w:p w:rsidR="5966783F" w:rsidP="5966783F" w:rsidRDefault="5966783F" w14:paraId="5DF1E75C" w14:textId="1073450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21.2%</w:t>
            </w:r>
          </w:p>
        </w:tc>
        <w:tc>
          <w:tcPr>
            <w:tcW w:w="1470" w:type="dxa"/>
            <w:tcMar>
              <w:left w:w="90" w:type="dxa"/>
              <w:right w:w="90" w:type="dxa"/>
            </w:tcMar>
            <w:vAlign w:val="top"/>
          </w:tcPr>
          <w:p w:rsidR="5966783F" w:rsidP="5966783F" w:rsidRDefault="5966783F" w14:paraId="18CB77F8" w14:textId="185FDB7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22.4%</w:t>
            </w:r>
          </w:p>
        </w:tc>
        <w:tc>
          <w:tcPr>
            <w:tcW w:w="1470" w:type="dxa"/>
            <w:tcBorders>
              <w:right w:val="single" w:sz="6"/>
            </w:tcBorders>
            <w:tcMar>
              <w:left w:w="90" w:type="dxa"/>
              <w:right w:w="90" w:type="dxa"/>
            </w:tcMar>
            <w:vAlign w:val="top"/>
          </w:tcPr>
          <w:p w:rsidR="5966783F" w:rsidP="5966783F" w:rsidRDefault="5966783F" w14:paraId="18EDCCF1" w14:textId="09D1C3E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Strong recovery; remained above 21% from 2022.</w:t>
            </w:r>
          </w:p>
        </w:tc>
      </w:tr>
      <w:tr w:rsidR="5966783F" w:rsidTr="5966783F" w14:paraId="5C13C161">
        <w:trPr>
          <w:trHeight w:val="285"/>
        </w:trPr>
        <w:tc>
          <w:tcPr>
            <w:tcW w:w="1470" w:type="dxa"/>
            <w:tcBorders>
              <w:left w:val="single" w:sz="6"/>
            </w:tcBorders>
            <w:tcMar>
              <w:left w:w="90" w:type="dxa"/>
              <w:right w:w="90" w:type="dxa"/>
            </w:tcMar>
            <w:vAlign w:val="top"/>
          </w:tcPr>
          <w:p w:rsidR="5966783F" w:rsidP="5966783F" w:rsidRDefault="5966783F" w14:paraId="79BE2269" w14:textId="62AA961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profit margin</w:t>
            </w:r>
          </w:p>
        </w:tc>
        <w:tc>
          <w:tcPr>
            <w:tcW w:w="1470" w:type="dxa"/>
            <w:tcMar>
              <w:left w:w="90" w:type="dxa"/>
              <w:right w:w="90" w:type="dxa"/>
            </w:tcMar>
            <w:vAlign w:val="top"/>
          </w:tcPr>
          <w:p w:rsidR="5966783F" w:rsidP="5966783F" w:rsidRDefault="5966783F" w14:paraId="7D69BEB7" w14:textId="21D8B1F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7.0%</w:t>
            </w:r>
          </w:p>
        </w:tc>
        <w:tc>
          <w:tcPr>
            <w:tcW w:w="1470" w:type="dxa"/>
            <w:tcMar>
              <w:left w:w="90" w:type="dxa"/>
              <w:right w:w="90" w:type="dxa"/>
            </w:tcMar>
            <w:vAlign w:val="top"/>
          </w:tcPr>
          <w:p w:rsidR="5966783F" w:rsidP="5966783F" w:rsidRDefault="5966783F" w14:paraId="00DAEDFD" w14:textId="5768D02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14.3%</w:t>
            </w:r>
          </w:p>
        </w:tc>
        <w:tc>
          <w:tcPr>
            <w:tcW w:w="1470" w:type="dxa"/>
            <w:tcMar>
              <w:left w:w="90" w:type="dxa"/>
              <w:right w:w="90" w:type="dxa"/>
            </w:tcMar>
            <w:vAlign w:val="top"/>
          </w:tcPr>
          <w:p w:rsidR="5966783F" w:rsidP="5966783F" w:rsidRDefault="5966783F" w14:paraId="1596F556" w14:textId="12F09EB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11.2%</w:t>
            </w:r>
          </w:p>
        </w:tc>
        <w:tc>
          <w:tcPr>
            <w:tcW w:w="1470" w:type="dxa"/>
            <w:tcMar>
              <w:left w:w="90" w:type="dxa"/>
              <w:right w:w="90" w:type="dxa"/>
            </w:tcMar>
            <w:vAlign w:val="top"/>
          </w:tcPr>
          <w:p w:rsidR="5966783F" w:rsidP="5966783F" w:rsidRDefault="5966783F" w14:paraId="14DC932F" w14:textId="37A8329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13.8%</w:t>
            </w:r>
          </w:p>
        </w:tc>
        <w:tc>
          <w:tcPr>
            <w:tcW w:w="1470" w:type="dxa"/>
            <w:tcMar>
              <w:left w:w="90" w:type="dxa"/>
              <w:right w:w="90" w:type="dxa"/>
            </w:tcMar>
            <w:vAlign w:val="top"/>
          </w:tcPr>
          <w:p w:rsidR="5966783F" w:rsidP="5966783F" w:rsidRDefault="5966783F" w14:paraId="00A8D6BD" w14:textId="1D2E5FD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12.1%</w:t>
            </w:r>
          </w:p>
        </w:tc>
        <w:tc>
          <w:tcPr>
            <w:tcW w:w="1470" w:type="dxa"/>
            <w:tcBorders>
              <w:right w:val="single" w:sz="6"/>
            </w:tcBorders>
            <w:tcMar>
              <w:left w:w="90" w:type="dxa"/>
              <w:right w:w="90" w:type="dxa"/>
            </w:tcMar>
            <w:vAlign w:val="top"/>
          </w:tcPr>
          <w:p w:rsidR="5966783F" w:rsidP="5966783F" w:rsidRDefault="5966783F" w14:paraId="4696D79D" w14:textId="1A09A69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Improved sharply after 2021 but fluctuated thereafter.</w:t>
            </w:r>
          </w:p>
        </w:tc>
      </w:tr>
      <w:tr w:rsidR="5966783F" w:rsidTr="5966783F" w14:paraId="43B5A381">
        <w:trPr>
          <w:trHeight w:val="285"/>
        </w:trPr>
        <w:tc>
          <w:tcPr>
            <w:tcW w:w="1470" w:type="dxa"/>
            <w:tcBorders>
              <w:left w:val="single" w:sz="6"/>
            </w:tcBorders>
            <w:tcMar>
              <w:left w:w="90" w:type="dxa"/>
              <w:right w:w="90" w:type="dxa"/>
            </w:tcMar>
            <w:vAlign w:val="top"/>
          </w:tcPr>
          <w:p w:rsidR="5966783F" w:rsidP="5966783F" w:rsidRDefault="5966783F" w14:paraId="37598475" w14:textId="744FA8B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Current ratio</w:t>
            </w:r>
          </w:p>
        </w:tc>
        <w:tc>
          <w:tcPr>
            <w:tcW w:w="1470" w:type="dxa"/>
            <w:tcMar>
              <w:left w:w="90" w:type="dxa"/>
              <w:right w:w="90" w:type="dxa"/>
            </w:tcMar>
            <w:vAlign w:val="top"/>
          </w:tcPr>
          <w:p w:rsidR="5966783F" w:rsidP="5966783F" w:rsidRDefault="5966783F" w14:paraId="072BD1CD" w14:textId="59FDB55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0.95</w:t>
            </w:r>
          </w:p>
        </w:tc>
        <w:tc>
          <w:tcPr>
            <w:tcW w:w="1470" w:type="dxa"/>
            <w:tcMar>
              <w:left w:w="90" w:type="dxa"/>
              <w:right w:w="90" w:type="dxa"/>
            </w:tcMar>
            <w:vAlign w:val="top"/>
          </w:tcPr>
          <w:p w:rsidR="5966783F" w:rsidP="5966783F" w:rsidRDefault="5966783F" w14:paraId="7EC47954" w14:textId="5229D59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0.85</w:t>
            </w:r>
          </w:p>
        </w:tc>
        <w:tc>
          <w:tcPr>
            <w:tcW w:w="1470" w:type="dxa"/>
            <w:tcMar>
              <w:left w:w="90" w:type="dxa"/>
              <w:right w:w="90" w:type="dxa"/>
            </w:tcMar>
            <w:vAlign w:val="top"/>
          </w:tcPr>
          <w:p w:rsidR="5966783F" w:rsidP="5966783F" w:rsidRDefault="5966783F" w14:paraId="544D7EF2" w14:textId="529C9C3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0.70</w:t>
            </w:r>
          </w:p>
        </w:tc>
        <w:tc>
          <w:tcPr>
            <w:tcW w:w="1470" w:type="dxa"/>
            <w:tcMar>
              <w:left w:w="90" w:type="dxa"/>
              <w:right w:w="90" w:type="dxa"/>
            </w:tcMar>
            <w:vAlign w:val="top"/>
          </w:tcPr>
          <w:p w:rsidR="5966783F" w:rsidP="5966783F" w:rsidRDefault="5966783F" w14:paraId="775F3168" w14:textId="6187596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0.70</w:t>
            </w:r>
          </w:p>
        </w:tc>
        <w:tc>
          <w:tcPr>
            <w:tcW w:w="1470" w:type="dxa"/>
            <w:tcMar>
              <w:left w:w="90" w:type="dxa"/>
              <w:right w:w="90" w:type="dxa"/>
            </w:tcMar>
            <w:vAlign w:val="top"/>
          </w:tcPr>
          <w:p w:rsidR="5966783F" w:rsidP="5966783F" w:rsidRDefault="5966783F" w14:paraId="5F9B6816" w14:textId="0747855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0.66</w:t>
            </w:r>
          </w:p>
        </w:tc>
        <w:tc>
          <w:tcPr>
            <w:tcW w:w="1470" w:type="dxa"/>
            <w:tcBorders>
              <w:right w:val="single" w:sz="6"/>
            </w:tcBorders>
            <w:tcMar>
              <w:left w:w="90" w:type="dxa"/>
              <w:right w:w="90" w:type="dxa"/>
            </w:tcMar>
            <w:vAlign w:val="top"/>
          </w:tcPr>
          <w:p w:rsidR="5966783F" w:rsidP="5966783F" w:rsidRDefault="5966783F" w14:paraId="1CDFD9D7" w14:textId="5AF94DC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Declined from 0.95 to 0.66; short-term liabilities exceed current assets.</w:t>
            </w:r>
          </w:p>
        </w:tc>
      </w:tr>
      <w:tr w:rsidR="5966783F" w:rsidTr="5966783F" w14:paraId="38269B21">
        <w:trPr>
          <w:trHeight w:val="285"/>
        </w:trPr>
        <w:tc>
          <w:tcPr>
            <w:tcW w:w="1470" w:type="dxa"/>
            <w:tcBorders>
              <w:left w:val="single" w:sz="6"/>
            </w:tcBorders>
            <w:tcMar>
              <w:left w:w="90" w:type="dxa"/>
              <w:right w:w="90" w:type="dxa"/>
            </w:tcMar>
            <w:vAlign w:val="top"/>
          </w:tcPr>
          <w:p w:rsidR="5966783F" w:rsidP="5966783F" w:rsidRDefault="5966783F" w14:paraId="656AC1F2" w14:textId="6B92EE2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Quick ratio</w:t>
            </w:r>
          </w:p>
        </w:tc>
        <w:tc>
          <w:tcPr>
            <w:tcW w:w="1470" w:type="dxa"/>
            <w:tcMar>
              <w:left w:w="90" w:type="dxa"/>
              <w:right w:w="90" w:type="dxa"/>
            </w:tcMar>
            <w:vAlign w:val="top"/>
          </w:tcPr>
          <w:p w:rsidR="5966783F" w:rsidP="5966783F" w:rsidRDefault="5966783F" w14:paraId="214DFDD7" w14:textId="6455ED5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0.85</w:t>
            </w:r>
          </w:p>
        </w:tc>
        <w:tc>
          <w:tcPr>
            <w:tcW w:w="1470" w:type="dxa"/>
            <w:tcMar>
              <w:left w:w="90" w:type="dxa"/>
              <w:right w:w="90" w:type="dxa"/>
            </w:tcMar>
            <w:vAlign w:val="top"/>
          </w:tcPr>
          <w:p w:rsidR="5966783F" w:rsidP="5966783F" w:rsidRDefault="5966783F" w14:paraId="24E5CCBB" w14:textId="6272347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0.77</w:t>
            </w:r>
          </w:p>
        </w:tc>
        <w:tc>
          <w:tcPr>
            <w:tcW w:w="1470" w:type="dxa"/>
            <w:tcMar>
              <w:left w:w="90" w:type="dxa"/>
              <w:right w:w="90" w:type="dxa"/>
            </w:tcMar>
            <w:vAlign w:val="top"/>
          </w:tcPr>
          <w:p w:rsidR="5966783F" w:rsidP="5966783F" w:rsidRDefault="5966783F" w14:paraId="05B84F1E" w14:textId="2E033F4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0.63</w:t>
            </w:r>
          </w:p>
        </w:tc>
        <w:tc>
          <w:tcPr>
            <w:tcW w:w="1470" w:type="dxa"/>
            <w:tcMar>
              <w:left w:w="90" w:type="dxa"/>
              <w:right w:w="90" w:type="dxa"/>
            </w:tcMar>
            <w:vAlign w:val="top"/>
          </w:tcPr>
          <w:p w:rsidR="5966783F" w:rsidP="5966783F" w:rsidRDefault="5966783F" w14:paraId="1FCD0B3A" w14:textId="049A42F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0.63</w:t>
            </w:r>
          </w:p>
        </w:tc>
        <w:tc>
          <w:tcPr>
            <w:tcW w:w="1470" w:type="dxa"/>
            <w:tcMar>
              <w:left w:w="90" w:type="dxa"/>
              <w:right w:w="90" w:type="dxa"/>
            </w:tcMar>
            <w:vAlign w:val="top"/>
          </w:tcPr>
          <w:p w:rsidR="5966783F" w:rsidP="5966783F" w:rsidRDefault="5966783F" w14:paraId="7D7526C4" w14:textId="4448002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0.59</w:t>
            </w:r>
          </w:p>
        </w:tc>
        <w:tc>
          <w:tcPr>
            <w:tcW w:w="1470" w:type="dxa"/>
            <w:tcBorders>
              <w:right w:val="single" w:sz="6"/>
            </w:tcBorders>
            <w:tcMar>
              <w:left w:w="90" w:type="dxa"/>
              <w:right w:w="90" w:type="dxa"/>
            </w:tcMar>
            <w:vAlign w:val="top"/>
          </w:tcPr>
          <w:p w:rsidR="5966783F" w:rsidP="5966783F" w:rsidRDefault="5966783F" w14:paraId="3A2476B2" w14:textId="061FC19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Declining trend, indicating tighter immediate liquidity.</w:t>
            </w:r>
          </w:p>
        </w:tc>
      </w:tr>
      <w:tr w:rsidR="5966783F" w:rsidTr="5966783F" w14:paraId="34258752">
        <w:trPr>
          <w:trHeight w:val="285"/>
        </w:trPr>
        <w:tc>
          <w:tcPr>
            <w:tcW w:w="1470" w:type="dxa"/>
            <w:tcBorders>
              <w:left w:val="single" w:sz="6"/>
            </w:tcBorders>
            <w:tcMar>
              <w:left w:w="90" w:type="dxa"/>
              <w:right w:w="90" w:type="dxa"/>
            </w:tcMar>
            <w:vAlign w:val="top"/>
          </w:tcPr>
          <w:p w:rsidR="5966783F" w:rsidP="5966783F" w:rsidRDefault="5966783F" w14:paraId="39439684" w14:textId="6CAF24D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Cash ratio</w:t>
            </w:r>
          </w:p>
        </w:tc>
        <w:tc>
          <w:tcPr>
            <w:tcW w:w="1470" w:type="dxa"/>
            <w:tcMar>
              <w:left w:w="90" w:type="dxa"/>
              <w:right w:w="90" w:type="dxa"/>
            </w:tcMar>
            <w:vAlign w:val="top"/>
          </w:tcPr>
          <w:p w:rsidR="5966783F" w:rsidP="5966783F" w:rsidRDefault="5966783F" w14:paraId="39531505" w14:textId="5EF5452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0.50</w:t>
            </w:r>
          </w:p>
        </w:tc>
        <w:tc>
          <w:tcPr>
            <w:tcW w:w="1470" w:type="dxa"/>
            <w:tcMar>
              <w:left w:w="90" w:type="dxa"/>
              <w:right w:w="90" w:type="dxa"/>
            </w:tcMar>
            <w:vAlign w:val="top"/>
          </w:tcPr>
          <w:p w:rsidR="5966783F" w:rsidP="5966783F" w:rsidRDefault="5966783F" w14:paraId="59AB7719" w14:textId="08884DC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0.38</w:t>
            </w:r>
          </w:p>
        </w:tc>
        <w:tc>
          <w:tcPr>
            <w:tcW w:w="1470" w:type="dxa"/>
            <w:tcMar>
              <w:left w:w="90" w:type="dxa"/>
              <w:right w:w="90" w:type="dxa"/>
            </w:tcMar>
            <w:vAlign w:val="top"/>
          </w:tcPr>
          <w:p w:rsidR="5966783F" w:rsidP="5966783F" w:rsidRDefault="5966783F" w14:paraId="3E63654D" w14:textId="23F6589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0.24</w:t>
            </w:r>
          </w:p>
        </w:tc>
        <w:tc>
          <w:tcPr>
            <w:tcW w:w="1470" w:type="dxa"/>
            <w:tcMar>
              <w:left w:w="90" w:type="dxa"/>
              <w:right w:w="90" w:type="dxa"/>
            </w:tcMar>
            <w:vAlign w:val="top"/>
          </w:tcPr>
          <w:p w:rsidR="5966783F" w:rsidP="5966783F" w:rsidRDefault="5966783F" w14:paraId="7EC169A7" w14:textId="2813818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0.29</w:t>
            </w:r>
          </w:p>
        </w:tc>
        <w:tc>
          <w:tcPr>
            <w:tcW w:w="1470" w:type="dxa"/>
            <w:tcMar>
              <w:left w:w="90" w:type="dxa"/>
              <w:right w:w="90" w:type="dxa"/>
            </w:tcMar>
            <w:vAlign w:val="top"/>
          </w:tcPr>
          <w:p w:rsidR="5966783F" w:rsidP="5966783F" w:rsidRDefault="5966783F" w14:paraId="46340034" w14:textId="4A1783B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0.22</w:t>
            </w:r>
          </w:p>
        </w:tc>
        <w:tc>
          <w:tcPr>
            <w:tcW w:w="1470" w:type="dxa"/>
            <w:tcBorders>
              <w:right w:val="single" w:sz="6"/>
            </w:tcBorders>
            <w:tcMar>
              <w:left w:w="90" w:type="dxa"/>
              <w:right w:w="90" w:type="dxa"/>
            </w:tcMar>
            <w:vAlign w:val="top"/>
          </w:tcPr>
          <w:p w:rsidR="5966783F" w:rsidP="5966783F" w:rsidRDefault="5966783F" w14:paraId="23A88B31" w14:textId="5B715A9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Fell materially; less cash coverage of current liabilities.</w:t>
            </w:r>
          </w:p>
        </w:tc>
      </w:tr>
      <w:tr w:rsidR="5966783F" w:rsidTr="5966783F" w14:paraId="0B70A89C">
        <w:trPr>
          <w:trHeight w:val="285"/>
        </w:trPr>
        <w:tc>
          <w:tcPr>
            <w:tcW w:w="1470" w:type="dxa"/>
            <w:tcBorders>
              <w:left w:val="single" w:sz="6"/>
            </w:tcBorders>
            <w:tcMar>
              <w:left w:w="90" w:type="dxa"/>
              <w:right w:w="90" w:type="dxa"/>
            </w:tcMar>
            <w:vAlign w:val="top"/>
          </w:tcPr>
          <w:p w:rsidR="5966783F" w:rsidP="5966783F" w:rsidRDefault="5966783F" w14:paraId="092AF722" w14:textId="788ED0C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Asset turnover</w:t>
            </w:r>
          </w:p>
        </w:tc>
        <w:tc>
          <w:tcPr>
            <w:tcW w:w="1470" w:type="dxa"/>
            <w:tcMar>
              <w:left w:w="90" w:type="dxa"/>
              <w:right w:w="90" w:type="dxa"/>
            </w:tcMar>
            <w:vAlign w:val="top"/>
          </w:tcPr>
          <w:p w:rsidR="5966783F" w:rsidP="5966783F" w:rsidRDefault="5966783F" w14:paraId="61BF4025" w14:textId="5B7DB16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0.37</w:t>
            </w:r>
          </w:p>
        </w:tc>
        <w:tc>
          <w:tcPr>
            <w:tcW w:w="1470" w:type="dxa"/>
            <w:tcMar>
              <w:left w:w="90" w:type="dxa"/>
              <w:right w:w="90" w:type="dxa"/>
            </w:tcMar>
            <w:vAlign w:val="top"/>
          </w:tcPr>
          <w:p w:rsidR="5966783F" w:rsidP="5966783F" w:rsidRDefault="5966783F" w14:paraId="3AC2C811" w14:textId="77CD7FC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0.57</w:t>
            </w:r>
          </w:p>
        </w:tc>
        <w:tc>
          <w:tcPr>
            <w:tcW w:w="1470" w:type="dxa"/>
            <w:tcMar>
              <w:left w:w="90" w:type="dxa"/>
              <w:right w:w="90" w:type="dxa"/>
            </w:tcMar>
            <w:vAlign w:val="top"/>
          </w:tcPr>
          <w:p w:rsidR="5966783F" w:rsidP="5966783F" w:rsidRDefault="5966783F" w14:paraId="340C6AE7" w14:textId="4BD63BA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0.66</w:t>
            </w:r>
          </w:p>
        </w:tc>
        <w:tc>
          <w:tcPr>
            <w:tcW w:w="1470" w:type="dxa"/>
            <w:tcMar>
              <w:left w:w="90" w:type="dxa"/>
              <w:right w:w="90" w:type="dxa"/>
            </w:tcMar>
            <w:vAlign w:val="top"/>
          </w:tcPr>
          <w:p w:rsidR="5966783F" w:rsidP="5966783F" w:rsidRDefault="5966783F" w14:paraId="70EEDC93" w14:textId="3AA11E1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0.68</w:t>
            </w:r>
          </w:p>
        </w:tc>
        <w:tc>
          <w:tcPr>
            <w:tcW w:w="1470" w:type="dxa"/>
            <w:tcMar>
              <w:left w:w="90" w:type="dxa"/>
              <w:right w:w="90" w:type="dxa"/>
            </w:tcMar>
            <w:vAlign w:val="top"/>
          </w:tcPr>
          <w:p w:rsidR="5966783F" w:rsidP="5966783F" w:rsidRDefault="5966783F" w14:paraId="274723FD" w14:textId="37AA339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0.72</w:t>
            </w:r>
          </w:p>
        </w:tc>
        <w:tc>
          <w:tcPr>
            <w:tcW w:w="1470" w:type="dxa"/>
            <w:tcBorders>
              <w:right w:val="single" w:sz="6"/>
            </w:tcBorders>
            <w:tcMar>
              <w:left w:w="90" w:type="dxa"/>
              <w:right w:w="90" w:type="dxa"/>
            </w:tcMar>
            <w:vAlign w:val="top"/>
          </w:tcPr>
          <w:p w:rsidR="5966783F" w:rsidP="5966783F" w:rsidRDefault="5966783F" w14:paraId="2262F590" w14:textId="7138503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Improved each year, showing stronger revenue generation from assets.</w:t>
            </w:r>
          </w:p>
        </w:tc>
      </w:tr>
      <w:tr w:rsidR="5966783F" w:rsidTr="5966783F" w14:paraId="5045C6ED">
        <w:trPr>
          <w:trHeight w:val="285"/>
        </w:trPr>
        <w:tc>
          <w:tcPr>
            <w:tcW w:w="1470" w:type="dxa"/>
            <w:tcBorders>
              <w:left w:val="single" w:sz="6"/>
            </w:tcBorders>
            <w:tcMar>
              <w:left w:w="90" w:type="dxa"/>
              <w:right w:w="90" w:type="dxa"/>
            </w:tcMar>
            <w:vAlign w:val="top"/>
          </w:tcPr>
          <w:p w:rsidR="5966783F" w:rsidP="5966783F" w:rsidRDefault="5966783F" w14:paraId="6CC898A3" w14:textId="0D1FCDF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Fixed asset turnover</w:t>
            </w:r>
          </w:p>
        </w:tc>
        <w:tc>
          <w:tcPr>
            <w:tcW w:w="1470" w:type="dxa"/>
            <w:tcMar>
              <w:left w:w="90" w:type="dxa"/>
              <w:right w:w="90" w:type="dxa"/>
            </w:tcMar>
            <w:vAlign w:val="top"/>
          </w:tcPr>
          <w:p w:rsidR="5966783F" w:rsidP="5966783F" w:rsidRDefault="5966783F" w14:paraId="62091F2B" w14:textId="66A9537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18.98</w:t>
            </w:r>
          </w:p>
        </w:tc>
        <w:tc>
          <w:tcPr>
            <w:tcW w:w="1470" w:type="dxa"/>
            <w:tcMar>
              <w:left w:w="90" w:type="dxa"/>
              <w:right w:w="90" w:type="dxa"/>
            </w:tcMar>
            <w:vAlign w:val="top"/>
          </w:tcPr>
          <w:p w:rsidR="5966783F" w:rsidP="5966783F" w:rsidRDefault="5966783F" w14:paraId="1AB3D504" w14:textId="09B8C76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31.33</w:t>
            </w:r>
          </w:p>
        </w:tc>
        <w:tc>
          <w:tcPr>
            <w:tcW w:w="1470" w:type="dxa"/>
            <w:tcMar>
              <w:left w:w="90" w:type="dxa"/>
              <w:right w:w="90" w:type="dxa"/>
            </w:tcMar>
            <w:vAlign w:val="top"/>
          </w:tcPr>
          <w:p w:rsidR="5966783F" w:rsidP="5966783F" w:rsidRDefault="5966783F" w14:paraId="789ED021" w14:textId="5E45224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26.79</w:t>
            </w:r>
          </w:p>
        </w:tc>
        <w:tc>
          <w:tcPr>
            <w:tcW w:w="1470" w:type="dxa"/>
            <w:tcMar>
              <w:left w:w="90" w:type="dxa"/>
              <w:right w:w="90" w:type="dxa"/>
            </w:tcMar>
            <w:vAlign w:val="top"/>
          </w:tcPr>
          <w:p w:rsidR="5966783F" w:rsidP="5966783F" w:rsidRDefault="5966783F" w14:paraId="527048A3" w14:textId="434646E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27.19</w:t>
            </w:r>
          </w:p>
        </w:tc>
        <w:tc>
          <w:tcPr>
            <w:tcW w:w="1470" w:type="dxa"/>
            <w:tcMar>
              <w:left w:w="90" w:type="dxa"/>
              <w:right w:w="90" w:type="dxa"/>
            </w:tcMar>
            <w:vAlign w:val="top"/>
          </w:tcPr>
          <w:p w:rsidR="5966783F" w:rsidP="5966783F" w:rsidRDefault="5966783F" w14:paraId="456F17B8" w14:textId="2A0E7CD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17.60</w:t>
            </w:r>
          </w:p>
        </w:tc>
        <w:tc>
          <w:tcPr>
            <w:tcW w:w="1470" w:type="dxa"/>
            <w:tcBorders>
              <w:right w:val="single" w:sz="6"/>
            </w:tcBorders>
            <w:tcMar>
              <w:left w:w="90" w:type="dxa"/>
              <w:right w:w="90" w:type="dxa"/>
            </w:tcMar>
            <w:vAlign w:val="top"/>
          </w:tcPr>
          <w:p w:rsidR="5966783F" w:rsidP="5966783F" w:rsidRDefault="5966783F" w14:paraId="205DD51C" w14:textId="62EEE73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High but volatile; 2025 fell as property and equipment increased.</w:t>
            </w:r>
          </w:p>
        </w:tc>
      </w:tr>
      <w:tr w:rsidR="5966783F" w:rsidTr="5966783F" w14:paraId="18980538">
        <w:trPr>
          <w:trHeight w:val="285"/>
        </w:trPr>
        <w:tc>
          <w:tcPr>
            <w:tcW w:w="1470" w:type="dxa"/>
            <w:tcBorders>
              <w:left w:val="single" w:sz="6"/>
            </w:tcBorders>
            <w:tcMar>
              <w:left w:w="90" w:type="dxa"/>
              <w:right w:w="90" w:type="dxa"/>
            </w:tcMar>
            <w:vAlign w:val="top"/>
          </w:tcPr>
          <w:p w:rsidR="5966783F" w:rsidP="5966783F" w:rsidRDefault="5966783F" w14:paraId="0544921A" w14:textId="2F24BDC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Interest coverage ratio</w:t>
            </w:r>
          </w:p>
        </w:tc>
        <w:tc>
          <w:tcPr>
            <w:tcW w:w="1470" w:type="dxa"/>
            <w:tcMar>
              <w:left w:w="90" w:type="dxa"/>
              <w:right w:w="90" w:type="dxa"/>
            </w:tcMar>
            <w:vAlign w:val="top"/>
          </w:tcPr>
          <w:p w:rsidR="5966783F" w:rsidP="5966783F" w:rsidRDefault="5966783F" w14:paraId="7BA1624B" w14:textId="239C3CE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2.54</w:t>
            </w:r>
          </w:p>
        </w:tc>
        <w:tc>
          <w:tcPr>
            <w:tcW w:w="1470" w:type="dxa"/>
            <w:tcMar>
              <w:left w:w="90" w:type="dxa"/>
              <w:right w:w="90" w:type="dxa"/>
            </w:tcMar>
            <w:vAlign w:val="top"/>
          </w:tcPr>
          <w:p w:rsidR="5966783F" w:rsidP="5966783F" w:rsidRDefault="5966783F" w14:paraId="228E8755" w14:textId="761DC48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5.05</w:t>
            </w:r>
          </w:p>
        </w:tc>
        <w:tc>
          <w:tcPr>
            <w:tcW w:w="1470" w:type="dxa"/>
            <w:tcMar>
              <w:left w:w="90" w:type="dxa"/>
              <w:right w:w="90" w:type="dxa"/>
            </w:tcMar>
            <w:vAlign w:val="top"/>
          </w:tcPr>
          <w:p w:rsidR="5966783F" w:rsidP="5966783F" w:rsidRDefault="5966783F" w14:paraId="03AF0E1F" w14:textId="2ABDE25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4.80</w:t>
            </w:r>
          </w:p>
        </w:tc>
        <w:tc>
          <w:tcPr>
            <w:tcW w:w="1470" w:type="dxa"/>
            <w:tcMar>
              <w:left w:w="90" w:type="dxa"/>
              <w:right w:w="90" w:type="dxa"/>
            </w:tcMar>
            <w:vAlign w:val="top"/>
          </w:tcPr>
          <w:p w:rsidR="5966783F" w:rsidP="5966783F" w:rsidRDefault="5966783F" w14:paraId="6739CBDE" w14:textId="723B0BA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4.17</w:t>
            </w:r>
          </w:p>
        </w:tc>
        <w:tc>
          <w:tcPr>
            <w:tcW w:w="1470" w:type="dxa"/>
            <w:tcMar>
              <w:left w:w="90" w:type="dxa"/>
              <w:right w:w="90" w:type="dxa"/>
            </w:tcMar>
            <w:vAlign w:val="top"/>
          </w:tcPr>
          <w:p w:rsidR="5966783F" w:rsidP="5966783F" w:rsidRDefault="5966783F" w14:paraId="1CF1EB7A" w14:textId="18D32D1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4.34</w:t>
            </w:r>
          </w:p>
        </w:tc>
        <w:tc>
          <w:tcPr>
            <w:tcW w:w="1470" w:type="dxa"/>
            <w:tcBorders>
              <w:right w:val="single" w:sz="6"/>
            </w:tcBorders>
            <w:tcMar>
              <w:left w:w="90" w:type="dxa"/>
              <w:right w:w="90" w:type="dxa"/>
            </w:tcMar>
            <w:vAlign w:val="top"/>
          </w:tcPr>
          <w:p w:rsidR="5966783F" w:rsidP="5966783F" w:rsidRDefault="5966783F" w14:paraId="09EF6B12" w14:textId="36BFD9F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Improved from 2021, but remains exposed to rising finance costs.</w:t>
            </w:r>
          </w:p>
        </w:tc>
      </w:tr>
      <w:tr w:rsidR="5966783F" w:rsidTr="5966783F" w14:paraId="71E10637">
        <w:trPr>
          <w:trHeight w:val="285"/>
        </w:trPr>
        <w:tc>
          <w:tcPr>
            <w:tcW w:w="1470" w:type="dxa"/>
            <w:tcBorders>
              <w:left w:val="single" w:sz="6"/>
            </w:tcBorders>
            <w:tcMar>
              <w:left w:w="90" w:type="dxa"/>
              <w:right w:w="90" w:type="dxa"/>
            </w:tcMar>
            <w:vAlign w:val="top"/>
          </w:tcPr>
          <w:p w:rsidR="5966783F" w:rsidP="5966783F" w:rsidRDefault="5966783F" w14:paraId="479A4E27" w14:textId="3B3F598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Debt-to-equity ratio</w:t>
            </w:r>
          </w:p>
        </w:tc>
        <w:tc>
          <w:tcPr>
            <w:tcW w:w="1470" w:type="dxa"/>
            <w:tcMar>
              <w:left w:w="90" w:type="dxa"/>
              <w:right w:w="90" w:type="dxa"/>
            </w:tcMar>
            <w:vAlign w:val="top"/>
          </w:tcPr>
          <w:p w:rsidR="5966783F" w:rsidP="5966783F" w:rsidRDefault="5966783F" w14:paraId="15A1A3FA" w14:textId="6B60CDD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-10.68</w:t>
            </w:r>
          </w:p>
        </w:tc>
        <w:tc>
          <w:tcPr>
            <w:tcW w:w="1470" w:type="dxa"/>
            <w:tcMar>
              <w:left w:w="90" w:type="dxa"/>
              <w:right w:w="90" w:type="dxa"/>
            </w:tcMar>
            <w:vAlign w:val="top"/>
          </w:tcPr>
          <w:p w:rsidR="5966783F" w:rsidP="5966783F" w:rsidRDefault="5966783F" w14:paraId="003F9037" w14:textId="2A39423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-7.94</w:t>
            </w:r>
          </w:p>
        </w:tc>
        <w:tc>
          <w:tcPr>
            <w:tcW w:w="1470" w:type="dxa"/>
            <w:tcMar>
              <w:left w:w="90" w:type="dxa"/>
              <w:right w:w="90" w:type="dxa"/>
            </w:tcMar>
            <w:vAlign w:val="top"/>
          </w:tcPr>
          <w:p w:rsidR="5966783F" w:rsidP="5966783F" w:rsidRDefault="5966783F" w14:paraId="55254494" w14:textId="5D56B19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-3.90</w:t>
            </w:r>
          </w:p>
        </w:tc>
        <w:tc>
          <w:tcPr>
            <w:tcW w:w="1470" w:type="dxa"/>
            <w:tcMar>
              <w:left w:w="90" w:type="dxa"/>
              <w:right w:w="90" w:type="dxa"/>
            </w:tcMar>
            <w:vAlign w:val="top"/>
          </w:tcPr>
          <w:p w:rsidR="5966783F" w:rsidP="5966783F" w:rsidRDefault="5966783F" w14:paraId="5D2B944D" w14:textId="1A8718C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-2.99</w:t>
            </w:r>
          </w:p>
        </w:tc>
        <w:tc>
          <w:tcPr>
            <w:tcW w:w="1470" w:type="dxa"/>
            <w:tcMar>
              <w:left w:w="90" w:type="dxa"/>
              <w:right w:w="90" w:type="dxa"/>
            </w:tcMar>
            <w:vAlign w:val="top"/>
          </w:tcPr>
          <w:p w:rsidR="5966783F" w:rsidP="5966783F" w:rsidRDefault="5966783F" w14:paraId="77FD0FA4" w14:textId="71B50D5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-2.29</w:t>
            </w:r>
          </w:p>
        </w:tc>
        <w:tc>
          <w:tcPr>
            <w:tcW w:w="1470" w:type="dxa"/>
            <w:tcBorders>
              <w:right w:val="single" w:sz="6"/>
            </w:tcBorders>
            <w:tcMar>
              <w:left w:w="90" w:type="dxa"/>
              <w:right w:w="90" w:type="dxa"/>
            </w:tcMar>
            <w:vAlign w:val="top"/>
          </w:tcPr>
          <w:p w:rsidR="5966783F" w:rsidP="5966783F" w:rsidRDefault="5966783F" w14:paraId="33AF7AE6" w14:textId="068421F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Negative because Hilton reports a stockholders’ deficit; conventional interpretation is not meaningful.</w:t>
            </w:r>
          </w:p>
        </w:tc>
      </w:tr>
      <w:tr w:rsidR="5966783F" w:rsidTr="5966783F" w14:paraId="7544DF83">
        <w:trPr>
          <w:trHeight w:val="285"/>
        </w:trPr>
        <w:tc>
          <w:tcPr>
            <w:tcW w:w="1470" w:type="dxa"/>
            <w:tcBorders>
              <w:left w:val="single" w:sz="6"/>
              <w:bottom w:val="single" w:sz="6"/>
            </w:tcBorders>
            <w:tcMar>
              <w:left w:w="90" w:type="dxa"/>
              <w:right w:w="90" w:type="dxa"/>
            </w:tcMar>
            <w:vAlign w:val="top"/>
          </w:tcPr>
          <w:p w:rsidR="5966783F" w:rsidP="5966783F" w:rsidRDefault="5966783F" w14:paraId="6133EAF9" w14:textId="355312A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cash flow ratio</w:t>
            </w:r>
          </w:p>
        </w:tc>
        <w:tc>
          <w:tcPr>
            <w:tcW w:w="1470" w:type="dxa"/>
            <w:tcBorders>
              <w:bottom w:val="single" w:sz="6"/>
            </w:tcBorders>
            <w:tcMar>
              <w:left w:w="90" w:type="dxa"/>
              <w:right w:w="90" w:type="dxa"/>
            </w:tcMar>
            <w:vAlign w:val="top"/>
          </w:tcPr>
          <w:p w:rsidR="5966783F" w:rsidP="5966783F" w:rsidRDefault="5966783F" w14:paraId="61EC8B64" w14:textId="7EBFA7F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0.04</w:t>
            </w:r>
          </w:p>
        </w:tc>
        <w:tc>
          <w:tcPr>
            <w:tcW w:w="1470" w:type="dxa"/>
            <w:tcBorders>
              <w:bottom w:val="single" w:sz="6"/>
            </w:tcBorders>
            <w:tcMar>
              <w:left w:w="90" w:type="dxa"/>
              <w:right w:w="90" w:type="dxa"/>
            </w:tcMar>
            <w:vAlign w:val="top"/>
          </w:tcPr>
          <w:p w:rsidR="5966783F" w:rsidP="5966783F" w:rsidRDefault="5966783F" w14:paraId="50A73AC7" w14:textId="0B2BE25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0.50</w:t>
            </w:r>
          </w:p>
        </w:tc>
        <w:tc>
          <w:tcPr>
            <w:tcW w:w="1470" w:type="dxa"/>
            <w:tcBorders>
              <w:bottom w:val="single" w:sz="6"/>
            </w:tcBorders>
            <w:tcMar>
              <w:left w:w="90" w:type="dxa"/>
              <w:right w:w="90" w:type="dxa"/>
            </w:tcMar>
            <w:vAlign w:val="top"/>
          </w:tcPr>
          <w:p w:rsidR="5966783F" w:rsidP="5966783F" w:rsidRDefault="5966783F" w14:paraId="486EA375" w14:textId="303FCCC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0.52</w:t>
            </w:r>
          </w:p>
        </w:tc>
        <w:tc>
          <w:tcPr>
            <w:tcW w:w="1470" w:type="dxa"/>
            <w:tcBorders>
              <w:bottom w:val="single" w:sz="6"/>
            </w:tcBorders>
            <w:tcMar>
              <w:left w:w="90" w:type="dxa"/>
              <w:right w:w="90" w:type="dxa"/>
            </w:tcMar>
            <w:vAlign w:val="top"/>
          </w:tcPr>
          <w:p w:rsidR="5966783F" w:rsidP="5966783F" w:rsidRDefault="5966783F" w14:paraId="0F9CC47E" w14:textId="23BA299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0.43</w:t>
            </w:r>
          </w:p>
        </w:tc>
        <w:tc>
          <w:tcPr>
            <w:tcW w:w="1470" w:type="dxa"/>
            <w:tcBorders>
              <w:bottom w:val="single" w:sz="6"/>
            </w:tcBorders>
            <w:tcMar>
              <w:left w:w="90" w:type="dxa"/>
              <w:right w:w="90" w:type="dxa"/>
            </w:tcMar>
            <w:vAlign w:val="top"/>
          </w:tcPr>
          <w:p w:rsidR="5966783F" w:rsidP="5966783F" w:rsidRDefault="5966783F" w14:paraId="7FB6E805" w14:textId="524DD04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0.47</w:t>
            </w:r>
          </w:p>
        </w:tc>
        <w:tc>
          <w:tcPr>
            <w:tcW w:w="1470" w:type="dxa"/>
            <w:tcBorders>
              <w:bottom w:val="single" w:sz="6"/>
              <w:right w:val="single" w:sz="6"/>
            </w:tcBorders>
            <w:tcMar>
              <w:left w:w="90" w:type="dxa"/>
              <w:right w:w="90" w:type="dxa"/>
            </w:tcMar>
            <w:vAlign w:val="top"/>
          </w:tcPr>
          <w:p w:rsidR="5966783F" w:rsidP="5966783F" w:rsidRDefault="5966783F" w14:paraId="7DB4610A" w14:textId="4547E0E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Recovered strongly after 2021 and remained around 0.43–0.52.</w:t>
            </w:r>
          </w:p>
        </w:tc>
      </w:tr>
    </w:tbl>
    <w:p xmlns:wp14="http://schemas.microsoft.com/office/word/2010/wordml" w:rsidP="5966783F" wp14:paraId="7AAA5B8B" wp14:textId="4390A55A">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10AA085E" wp14:textId="32348C16">
      <w:pPr>
        <w:pStyle w:val="Normal"/>
        <w:keepNext w:val="1"/>
        <w:keepLines w:val="1"/>
        <w:bidi w:val="0"/>
        <w:rPr>
          <w:rFonts w:ascii="Arial" w:hAnsi="Arial" w:eastAsia="Arial" w:cs="Arial"/>
          <w:b w:val="0"/>
          <w:bCs w:val="0"/>
          <w:i w:val="0"/>
          <w:iCs w:val="0"/>
          <w:caps w:val="0"/>
          <w:smallCaps w:val="0"/>
          <w:noProof w:val="0"/>
          <w:color w:val="4F81BD"/>
          <w:sz w:val="32"/>
          <w:szCs w:val="32"/>
          <w:lang w:val="en-GB"/>
        </w:rPr>
      </w:pPr>
      <w:r w:rsidRPr="5966783F" w:rsidR="320BC377">
        <w:rPr>
          <w:noProof w:val="0"/>
          <w:sz w:val="32"/>
          <w:szCs w:val="32"/>
          <w:lang w:val="en-US"/>
        </w:rPr>
        <w:t>Table A2 – Formulae Used</w:t>
      </w:r>
    </w:p>
    <w:p xmlns:wp14="http://schemas.microsoft.com/office/word/2010/wordml" w:rsidP="5966783F" wp14:paraId="0DD8E5F4" wp14:textId="7423F579">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A5: Financial Ratio Formulae Used</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175"/>
        <w:gridCol w:w="5175"/>
      </w:tblGrid>
      <w:tr w:rsidR="5966783F" w:rsidTr="5966783F" w14:paraId="60A23C03">
        <w:trPr>
          <w:trHeight w:val="285"/>
        </w:trPr>
        <w:tc>
          <w:tcPr>
            <w:tcW w:w="5175"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5D1156FB" w14:textId="26B72B42">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Ratio</w:t>
            </w:r>
          </w:p>
        </w:tc>
        <w:tc>
          <w:tcPr>
            <w:tcW w:w="5175"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1F9D7289" w14:textId="5391EDA1">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Formula</w:t>
            </w:r>
          </w:p>
        </w:tc>
      </w:tr>
      <w:tr w:rsidR="5966783F" w:rsidTr="5966783F" w14:paraId="3148825B">
        <w:trPr>
          <w:trHeight w:val="285"/>
        </w:trPr>
        <w:tc>
          <w:tcPr>
            <w:tcW w:w="5175" w:type="dxa"/>
            <w:tcBorders>
              <w:left w:val="single" w:sz="6"/>
            </w:tcBorders>
            <w:tcMar>
              <w:left w:w="90" w:type="dxa"/>
              <w:right w:w="90" w:type="dxa"/>
            </w:tcMar>
            <w:vAlign w:val="top"/>
          </w:tcPr>
          <w:p w:rsidR="5966783F" w:rsidP="5966783F" w:rsidRDefault="5966783F" w14:paraId="5AA25732" w14:textId="4431D88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Gross profit margin proxy</w:t>
            </w:r>
          </w:p>
        </w:tc>
        <w:tc>
          <w:tcPr>
            <w:tcW w:w="5175" w:type="dxa"/>
            <w:tcBorders>
              <w:right w:val="single" w:sz="6"/>
            </w:tcBorders>
            <w:tcMar>
              <w:left w:w="90" w:type="dxa"/>
              <w:right w:w="90" w:type="dxa"/>
            </w:tcMar>
            <w:vAlign w:val="top"/>
          </w:tcPr>
          <w:p w:rsidR="5966783F" w:rsidP="5966783F" w:rsidRDefault="5966783F" w14:paraId="0AA5C625" w14:textId="700F890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revenue − ownership expenses − reimbursed expenses) ÷ total revenue × 100</w:t>
            </w:r>
          </w:p>
        </w:tc>
      </w:tr>
      <w:tr w:rsidR="5966783F" w:rsidTr="5966783F" w14:paraId="517C4D94">
        <w:trPr>
          <w:trHeight w:val="285"/>
        </w:trPr>
        <w:tc>
          <w:tcPr>
            <w:tcW w:w="5175" w:type="dxa"/>
            <w:tcBorders>
              <w:left w:val="single" w:sz="6"/>
            </w:tcBorders>
            <w:tcMar>
              <w:left w:w="90" w:type="dxa"/>
              <w:right w:w="90" w:type="dxa"/>
            </w:tcMar>
            <w:vAlign w:val="top"/>
          </w:tcPr>
          <w:p w:rsidR="5966783F" w:rsidP="5966783F" w:rsidRDefault="5966783F" w14:paraId="7BB8E05D" w14:textId="578266E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profit margin</w:t>
            </w:r>
          </w:p>
        </w:tc>
        <w:tc>
          <w:tcPr>
            <w:tcW w:w="5175" w:type="dxa"/>
            <w:tcBorders>
              <w:right w:val="single" w:sz="6"/>
            </w:tcBorders>
            <w:tcMar>
              <w:left w:w="90" w:type="dxa"/>
              <w:right w:w="90" w:type="dxa"/>
            </w:tcMar>
            <w:vAlign w:val="top"/>
          </w:tcPr>
          <w:p w:rsidR="5966783F" w:rsidP="5966783F" w:rsidRDefault="5966783F" w14:paraId="4848E9C7" w14:textId="30614B3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income ÷ total revenue × 100</w:t>
            </w:r>
          </w:p>
        </w:tc>
      </w:tr>
      <w:tr w:rsidR="5966783F" w:rsidTr="5966783F" w14:paraId="1486C040">
        <w:trPr>
          <w:trHeight w:val="285"/>
        </w:trPr>
        <w:tc>
          <w:tcPr>
            <w:tcW w:w="5175" w:type="dxa"/>
            <w:tcBorders>
              <w:left w:val="single" w:sz="6"/>
            </w:tcBorders>
            <w:tcMar>
              <w:left w:w="90" w:type="dxa"/>
              <w:right w:w="90" w:type="dxa"/>
            </w:tcMar>
            <w:vAlign w:val="top"/>
          </w:tcPr>
          <w:p w:rsidR="5966783F" w:rsidP="5966783F" w:rsidRDefault="5966783F" w14:paraId="3B98DC8C" w14:textId="6194DAE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profit margin</w:t>
            </w:r>
          </w:p>
        </w:tc>
        <w:tc>
          <w:tcPr>
            <w:tcW w:w="5175" w:type="dxa"/>
            <w:tcBorders>
              <w:right w:val="single" w:sz="6"/>
            </w:tcBorders>
            <w:tcMar>
              <w:left w:w="90" w:type="dxa"/>
              <w:right w:w="90" w:type="dxa"/>
            </w:tcMar>
            <w:vAlign w:val="top"/>
          </w:tcPr>
          <w:p w:rsidR="5966783F" w:rsidP="5966783F" w:rsidRDefault="5966783F" w14:paraId="4D32B4DE" w14:textId="35848E9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income ÷ total revenue × 100</w:t>
            </w:r>
          </w:p>
        </w:tc>
      </w:tr>
      <w:tr w:rsidR="5966783F" w:rsidTr="5966783F" w14:paraId="19188B8B">
        <w:trPr>
          <w:trHeight w:val="285"/>
        </w:trPr>
        <w:tc>
          <w:tcPr>
            <w:tcW w:w="5175" w:type="dxa"/>
            <w:tcBorders>
              <w:left w:val="single" w:sz="6"/>
            </w:tcBorders>
            <w:tcMar>
              <w:left w:w="90" w:type="dxa"/>
              <w:right w:w="90" w:type="dxa"/>
            </w:tcMar>
            <w:vAlign w:val="top"/>
          </w:tcPr>
          <w:p w:rsidR="5966783F" w:rsidP="5966783F" w:rsidRDefault="5966783F" w14:paraId="6541CEBE" w14:textId="2F4FD02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Current ratio</w:t>
            </w:r>
          </w:p>
        </w:tc>
        <w:tc>
          <w:tcPr>
            <w:tcW w:w="5175" w:type="dxa"/>
            <w:tcBorders>
              <w:right w:val="single" w:sz="6"/>
            </w:tcBorders>
            <w:tcMar>
              <w:left w:w="90" w:type="dxa"/>
              <w:right w:w="90" w:type="dxa"/>
            </w:tcMar>
            <w:vAlign w:val="top"/>
          </w:tcPr>
          <w:p w:rsidR="5966783F" w:rsidP="5966783F" w:rsidRDefault="5966783F" w14:paraId="39D6D90D" w14:textId="390EC41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current assets ÷ total current liabilities</w:t>
            </w:r>
          </w:p>
        </w:tc>
      </w:tr>
      <w:tr w:rsidR="5966783F" w:rsidTr="5966783F" w14:paraId="649433DA">
        <w:trPr>
          <w:trHeight w:val="285"/>
        </w:trPr>
        <w:tc>
          <w:tcPr>
            <w:tcW w:w="5175" w:type="dxa"/>
            <w:tcBorders>
              <w:left w:val="single" w:sz="6"/>
            </w:tcBorders>
            <w:tcMar>
              <w:left w:w="90" w:type="dxa"/>
              <w:right w:w="90" w:type="dxa"/>
            </w:tcMar>
            <w:vAlign w:val="top"/>
          </w:tcPr>
          <w:p w:rsidR="5966783F" w:rsidP="5966783F" w:rsidRDefault="5966783F" w14:paraId="366D8C38" w14:textId="473A883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Quick ratio</w:t>
            </w:r>
          </w:p>
        </w:tc>
        <w:tc>
          <w:tcPr>
            <w:tcW w:w="5175" w:type="dxa"/>
            <w:tcBorders>
              <w:right w:val="single" w:sz="6"/>
            </w:tcBorders>
            <w:tcMar>
              <w:left w:w="90" w:type="dxa"/>
              <w:right w:w="90" w:type="dxa"/>
            </w:tcMar>
            <w:vAlign w:val="top"/>
          </w:tcPr>
          <w:p w:rsidR="5966783F" w:rsidP="5966783F" w:rsidRDefault="5966783F" w14:paraId="3B537A6C" w14:textId="1183011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(Cash + restricted cash + accounts receivable) ÷ total current liabilities</w:t>
            </w:r>
          </w:p>
        </w:tc>
      </w:tr>
      <w:tr w:rsidR="5966783F" w:rsidTr="5966783F" w14:paraId="17B3D947">
        <w:trPr>
          <w:trHeight w:val="285"/>
        </w:trPr>
        <w:tc>
          <w:tcPr>
            <w:tcW w:w="5175" w:type="dxa"/>
            <w:tcBorders>
              <w:left w:val="single" w:sz="6"/>
            </w:tcBorders>
            <w:tcMar>
              <w:left w:w="90" w:type="dxa"/>
              <w:right w:w="90" w:type="dxa"/>
            </w:tcMar>
            <w:vAlign w:val="top"/>
          </w:tcPr>
          <w:p w:rsidR="5966783F" w:rsidP="5966783F" w:rsidRDefault="5966783F" w14:paraId="224781B1" w14:textId="7EA88CE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Cash ratio</w:t>
            </w:r>
          </w:p>
        </w:tc>
        <w:tc>
          <w:tcPr>
            <w:tcW w:w="5175" w:type="dxa"/>
            <w:tcBorders>
              <w:right w:val="single" w:sz="6"/>
            </w:tcBorders>
            <w:tcMar>
              <w:left w:w="90" w:type="dxa"/>
              <w:right w:w="90" w:type="dxa"/>
            </w:tcMar>
            <w:vAlign w:val="top"/>
          </w:tcPr>
          <w:p w:rsidR="5966783F" w:rsidP="5966783F" w:rsidRDefault="5966783F" w14:paraId="78E33D21" w14:textId="5382839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(Cash + restricted cash) ÷ total current liabilities</w:t>
            </w:r>
          </w:p>
        </w:tc>
      </w:tr>
      <w:tr w:rsidR="5966783F" w:rsidTr="5966783F" w14:paraId="26151214">
        <w:trPr>
          <w:trHeight w:val="285"/>
        </w:trPr>
        <w:tc>
          <w:tcPr>
            <w:tcW w:w="5175" w:type="dxa"/>
            <w:tcBorders>
              <w:left w:val="single" w:sz="6"/>
            </w:tcBorders>
            <w:tcMar>
              <w:left w:w="90" w:type="dxa"/>
              <w:right w:w="90" w:type="dxa"/>
            </w:tcMar>
            <w:vAlign w:val="top"/>
          </w:tcPr>
          <w:p w:rsidR="5966783F" w:rsidP="5966783F" w:rsidRDefault="5966783F" w14:paraId="1CDA79CC" w14:textId="1F3FD58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Asset turnover</w:t>
            </w:r>
          </w:p>
        </w:tc>
        <w:tc>
          <w:tcPr>
            <w:tcW w:w="5175" w:type="dxa"/>
            <w:tcBorders>
              <w:right w:val="single" w:sz="6"/>
            </w:tcBorders>
            <w:tcMar>
              <w:left w:w="90" w:type="dxa"/>
              <w:right w:w="90" w:type="dxa"/>
            </w:tcMar>
            <w:vAlign w:val="top"/>
          </w:tcPr>
          <w:p w:rsidR="5966783F" w:rsidP="5966783F" w:rsidRDefault="5966783F" w14:paraId="270F5831" w14:textId="377DC4A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revenue ÷ total assets</w:t>
            </w:r>
          </w:p>
        </w:tc>
      </w:tr>
      <w:tr w:rsidR="5966783F" w:rsidTr="5966783F" w14:paraId="1EFADDF3">
        <w:trPr>
          <w:trHeight w:val="285"/>
        </w:trPr>
        <w:tc>
          <w:tcPr>
            <w:tcW w:w="5175" w:type="dxa"/>
            <w:tcBorders>
              <w:left w:val="single" w:sz="6"/>
            </w:tcBorders>
            <w:tcMar>
              <w:left w:w="90" w:type="dxa"/>
              <w:right w:w="90" w:type="dxa"/>
            </w:tcMar>
            <w:vAlign w:val="top"/>
          </w:tcPr>
          <w:p w:rsidR="5966783F" w:rsidP="5966783F" w:rsidRDefault="5966783F" w14:paraId="6A792667" w14:textId="296EA25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Fixed asset turnover</w:t>
            </w:r>
          </w:p>
        </w:tc>
        <w:tc>
          <w:tcPr>
            <w:tcW w:w="5175" w:type="dxa"/>
            <w:tcBorders>
              <w:right w:val="single" w:sz="6"/>
            </w:tcBorders>
            <w:tcMar>
              <w:left w:w="90" w:type="dxa"/>
              <w:right w:w="90" w:type="dxa"/>
            </w:tcMar>
            <w:vAlign w:val="top"/>
          </w:tcPr>
          <w:p w:rsidR="5966783F" w:rsidP="5966783F" w:rsidRDefault="5966783F" w14:paraId="341913FF" w14:textId="2BA2167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revenue ÷ property and equipment, net</w:t>
            </w:r>
          </w:p>
        </w:tc>
      </w:tr>
      <w:tr w:rsidR="5966783F" w:rsidTr="5966783F" w14:paraId="6EC50B17">
        <w:trPr>
          <w:trHeight w:val="285"/>
        </w:trPr>
        <w:tc>
          <w:tcPr>
            <w:tcW w:w="5175" w:type="dxa"/>
            <w:tcBorders>
              <w:left w:val="single" w:sz="6"/>
            </w:tcBorders>
            <w:tcMar>
              <w:left w:w="90" w:type="dxa"/>
              <w:right w:w="90" w:type="dxa"/>
            </w:tcMar>
            <w:vAlign w:val="top"/>
          </w:tcPr>
          <w:p w:rsidR="5966783F" w:rsidP="5966783F" w:rsidRDefault="5966783F" w14:paraId="693E03CC" w14:textId="396E4B0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Interest coverage ratio</w:t>
            </w:r>
          </w:p>
        </w:tc>
        <w:tc>
          <w:tcPr>
            <w:tcW w:w="5175" w:type="dxa"/>
            <w:tcBorders>
              <w:right w:val="single" w:sz="6"/>
            </w:tcBorders>
            <w:tcMar>
              <w:left w:w="90" w:type="dxa"/>
              <w:right w:w="90" w:type="dxa"/>
            </w:tcMar>
            <w:vAlign w:val="top"/>
          </w:tcPr>
          <w:p w:rsidR="5966783F" w:rsidP="5966783F" w:rsidRDefault="5966783F" w14:paraId="61B60E81" w14:textId="6845A93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income ÷ interest expense</w:t>
            </w:r>
          </w:p>
        </w:tc>
      </w:tr>
      <w:tr w:rsidR="5966783F" w:rsidTr="5966783F" w14:paraId="564AF827">
        <w:trPr>
          <w:trHeight w:val="285"/>
        </w:trPr>
        <w:tc>
          <w:tcPr>
            <w:tcW w:w="5175" w:type="dxa"/>
            <w:tcBorders>
              <w:left w:val="single" w:sz="6"/>
            </w:tcBorders>
            <w:tcMar>
              <w:left w:w="90" w:type="dxa"/>
              <w:right w:w="90" w:type="dxa"/>
            </w:tcMar>
            <w:vAlign w:val="top"/>
          </w:tcPr>
          <w:p w:rsidR="5966783F" w:rsidP="5966783F" w:rsidRDefault="5966783F" w14:paraId="4B19DE5E" w14:textId="31FA000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Debt-to-equity ratio</w:t>
            </w:r>
          </w:p>
        </w:tc>
        <w:tc>
          <w:tcPr>
            <w:tcW w:w="5175" w:type="dxa"/>
            <w:tcBorders>
              <w:right w:val="single" w:sz="6"/>
            </w:tcBorders>
            <w:tcMar>
              <w:left w:w="90" w:type="dxa"/>
              <w:right w:w="90" w:type="dxa"/>
            </w:tcMar>
            <w:vAlign w:val="top"/>
          </w:tcPr>
          <w:p w:rsidR="5966783F" w:rsidP="5966783F" w:rsidRDefault="5966783F" w14:paraId="7D6D7284" w14:textId="4785068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interest-bearing debt ÷ Hilton stockholders’ equity (deficit)</w:t>
            </w:r>
          </w:p>
        </w:tc>
      </w:tr>
      <w:tr w:rsidR="5966783F" w:rsidTr="5966783F" w14:paraId="73438DEE">
        <w:trPr>
          <w:trHeight w:val="285"/>
        </w:trPr>
        <w:tc>
          <w:tcPr>
            <w:tcW w:w="5175" w:type="dxa"/>
            <w:tcBorders>
              <w:left w:val="single" w:sz="6"/>
              <w:bottom w:val="single" w:sz="6"/>
            </w:tcBorders>
            <w:tcMar>
              <w:left w:w="90" w:type="dxa"/>
              <w:right w:w="90" w:type="dxa"/>
            </w:tcMar>
            <w:vAlign w:val="top"/>
          </w:tcPr>
          <w:p w:rsidR="5966783F" w:rsidP="5966783F" w:rsidRDefault="5966783F" w14:paraId="734035D2" w14:textId="47FFA83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cash flow ratio</w:t>
            </w:r>
          </w:p>
        </w:tc>
        <w:tc>
          <w:tcPr>
            <w:tcW w:w="5175" w:type="dxa"/>
            <w:tcBorders>
              <w:bottom w:val="single" w:sz="6"/>
              <w:right w:val="single" w:sz="6"/>
            </w:tcBorders>
            <w:tcMar>
              <w:left w:w="90" w:type="dxa"/>
              <w:right w:w="90" w:type="dxa"/>
            </w:tcMar>
            <w:vAlign w:val="top"/>
          </w:tcPr>
          <w:p w:rsidR="5966783F" w:rsidP="5966783F" w:rsidRDefault="5966783F" w14:paraId="2CD2512F" w14:textId="0CD55CD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cash from operating activities ÷ total current liabilities</w:t>
            </w:r>
          </w:p>
        </w:tc>
      </w:tr>
    </w:tbl>
    <w:p xmlns:wp14="http://schemas.microsoft.com/office/word/2010/wordml" w:rsidP="5966783F" wp14:paraId="2DFDA3A5" wp14:textId="4D190448">
      <w:pPr>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655CE01B" wp14:textId="745E91D1">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320BC377">
        <w:drawing>
          <wp:inline xmlns:wp14="http://schemas.microsoft.com/office/word/2010/wordprocessingDrawing" wp14:editId="69108CEA" wp14:anchorId="3E9C3038">
            <wp:extent cx="6210300" cy="3476625"/>
            <wp:effectExtent l="0" t="0" r="0" b="0"/>
            <wp:docPr id="10738488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848876" name="Picture 1073848876"/>
                    <pic:cNvPicPr/>
                  </pic:nvPicPr>
                  <pic:blipFill>
                    <a:blip xmlns:r="http://schemas.openxmlformats.org/officeDocument/2006/relationships" r:embed="rId493172025">
                      <a:extLst>
                        <a:ext uri="{28A0092B-C50C-407E-A947-70E740481C1C}">
                          <a14:useLocalDpi xmlns:a14="http://schemas.microsoft.com/office/drawing/2010/main"/>
                        </a:ext>
                      </a:extLst>
                    </a:blip>
                    <a:stretch>
                      <a:fillRect/>
                    </a:stretch>
                  </pic:blipFill>
                  <pic:spPr>
                    <a:xfrm>
                      <a:off x="0" y="0"/>
                      <a:ext cx="6210300" cy="3476625"/>
                    </a:xfrm>
                    <a:prstGeom prst="rect">
                      <a:avLst/>
                    </a:prstGeom>
                  </pic:spPr>
                </pic:pic>
              </a:graphicData>
            </a:graphic>
          </wp:inline>
        </w:drawing>
      </w:r>
    </w:p>
    <w:p xmlns:wp14="http://schemas.microsoft.com/office/word/2010/wordml" w:rsidP="5966783F" wp14:paraId="53822D71" wp14:textId="3B5655DE">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Pr="5966783F" w:rsidR="320BC377">
        <w:rPr>
          <w:rFonts w:ascii="Arial" w:hAnsi="Arial" w:eastAsia="Arial" w:cs="Arial"/>
          <w:b w:val="0"/>
          <w:bCs w:val="0"/>
          <w:i w:val="0"/>
          <w:iCs w:val="0"/>
          <w:caps w:val="0"/>
          <w:smallCaps w:val="0"/>
          <w:noProof w:val="0"/>
          <w:color w:val="000000" w:themeColor="text1" w:themeTint="FF" w:themeShade="FF"/>
          <w:sz w:val="20"/>
          <w:szCs w:val="20"/>
          <w:lang w:val="en-US"/>
        </w:rPr>
        <w:t>Figure A1: Profitability ratio trends</w:t>
      </w:r>
    </w:p>
    <w:p xmlns:wp14="http://schemas.microsoft.com/office/word/2010/wordml" w:rsidP="5966783F" wp14:paraId="2768E751" wp14:textId="73770595">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320BC377">
        <w:drawing>
          <wp:inline xmlns:wp14="http://schemas.microsoft.com/office/word/2010/wordprocessingDrawing" wp14:editId="772864E4" wp14:anchorId="0DD5DE41">
            <wp:extent cx="6210300" cy="3476625"/>
            <wp:effectExtent l="0" t="0" r="0" b="0"/>
            <wp:docPr id="15750814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5081450" name="Picture 1575081450"/>
                    <pic:cNvPicPr/>
                  </pic:nvPicPr>
                  <pic:blipFill>
                    <a:blip xmlns:r="http://schemas.openxmlformats.org/officeDocument/2006/relationships" r:embed="rId866532803">
                      <a:extLst>
                        <a:ext uri="{28A0092B-C50C-407E-A947-70E740481C1C}">
                          <a14:useLocalDpi xmlns:a14="http://schemas.microsoft.com/office/drawing/2010/main"/>
                        </a:ext>
                      </a:extLst>
                    </a:blip>
                    <a:stretch>
                      <a:fillRect/>
                    </a:stretch>
                  </pic:blipFill>
                  <pic:spPr>
                    <a:xfrm>
                      <a:off x="0" y="0"/>
                      <a:ext cx="6210300" cy="3476625"/>
                    </a:xfrm>
                    <a:prstGeom prst="rect">
                      <a:avLst/>
                    </a:prstGeom>
                  </pic:spPr>
                </pic:pic>
              </a:graphicData>
            </a:graphic>
          </wp:inline>
        </w:drawing>
      </w:r>
    </w:p>
    <w:p xmlns:wp14="http://schemas.microsoft.com/office/word/2010/wordml" w:rsidP="5966783F" wp14:paraId="421209B9" wp14:textId="28EEB617">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Pr="5966783F" w:rsidR="320BC377">
        <w:rPr>
          <w:rFonts w:ascii="Arial" w:hAnsi="Arial" w:eastAsia="Arial" w:cs="Arial"/>
          <w:b w:val="0"/>
          <w:bCs w:val="0"/>
          <w:i w:val="0"/>
          <w:iCs w:val="0"/>
          <w:caps w:val="0"/>
          <w:smallCaps w:val="0"/>
          <w:noProof w:val="0"/>
          <w:color w:val="000000" w:themeColor="text1" w:themeTint="FF" w:themeShade="FF"/>
          <w:sz w:val="20"/>
          <w:szCs w:val="20"/>
          <w:lang w:val="en-US"/>
        </w:rPr>
        <w:t>Figure A2: Liquidity ratio trends</w:t>
      </w:r>
    </w:p>
    <w:p xmlns:wp14="http://schemas.microsoft.com/office/word/2010/wordml" w:rsidP="5966783F" wp14:paraId="79BB96FF" wp14:textId="27A0B6C9">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320BC377">
        <w:drawing>
          <wp:inline xmlns:wp14="http://schemas.microsoft.com/office/word/2010/wordprocessingDrawing" wp14:editId="1D85A47D" wp14:anchorId="114E504D">
            <wp:extent cx="6210300" cy="3476625"/>
            <wp:effectExtent l="0" t="0" r="0" b="0"/>
            <wp:docPr id="13403582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0358256" name="Picture 1340358256"/>
                    <pic:cNvPicPr/>
                  </pic:nvPicPr>
                  <pic:blipFill>
                    <a:blip xmlns:r="http://schemas.openxmlformats.org/officeDocument/2006/relationships" r:embed="rId1632814224">
                      <a:extLst>
                        <a:ext uri="{28A0092B-C50C-407E-A947-70E740481C1C}">
                          <a14:useLocalDpi xmlns:a14="http://schemas.microsoft.com/office/drawing/2010/main"/>
                        </a:ext>
                      </a:extLst>
                    </a:blip>
                    <a:stretch>
                      <a:fillRect/>
                    </a:stretch>
                  </pic:blipFill>
                  <pic:spPr>
                    <a:xfrm>
                      <a:off x="0" y="0"/>
                      <a:ext cx="6210300" cy="3476625"/>
                    </a:xfrm>
                    <a:prstGeom prst="rect">
                      <a:avLst/>
                    </a:prstGeom>
                  </pic:spPr>
                </pic:pic>
              </a:graphicData>
            </a:graphic>
          </wp:inline>
        </w:drawing>
      </w:r>
    </w:p>
    <w:p xmlns:wp14="http://schemas.microsoft.com/office/word/2010/wordml" w:rsidP="5966783F" wp14:paraId="034DB869" wp14:textId="5E6239FE">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Pr="5966783F" w:rsidR="320BC377">
        <w:rPr>
          <w:rFonts w:ascii="Arial" w:hAnsi="Arial" w:eastAsia="Arial" w:cs="Arial"/>
          <w:b w:val="0"/>
          <w:bCs w:val="0"/>
          <w:i w:val="0"/>
          <w:iCs w:val="0"/>
          <w:caps w:val="0"/>
          <w:smallCaps w:val="0"/>
          <w:noProof w:val="0"/>
          <w:color w:val="000000" w:themeColor="text1" w:themeTint="FF" w:themeShade="FF"/>
          <w:sz w:val="20"/>
          <w:szCs w:val="20"/>
          <w:lang w:val="en-US"/>
        </w:rPr>
        <w:t>Figure A3: Revenue and net income trends</w:t>
      </w:r>
    </w:p>
    <w:p xmlns:wp14="http://schemas.microsoft.com/office/word/2010/wordml" w:rsidP="5966783F" wp14:paraId="018D648A" wp14:textId="3E5E3D53">
      <w:pPr>
        <w:pStyle w:val="Normal"/>
        <w:keepNext w:val="1"/>
        <w:keepLines w:val="1"/>
        <w:bidi w:val="0"/>
        <w:rPr>
          <w:rFonts w:ascii="Arial" w:hAnsi="Arial" w:eastAsia="Arial" w:cs="Arial"/>
          <w:b w:val="0"/>
          <w:bCs w:val="0"/>
          <w:i w:val="0"/>
          <w:iCs w:val="0"/>
          <w:caps w:val="0"/>
          <w:smallCaps w:val="0"/>
          <w:noProof w:val="0"/>
          <w:color w:val="365F91"/>
          <w:sz w:val="32"/>
          <w:szCs w:val="32"/>
          <w:lang w:val="en-GB"/>
        </w:rPr>
      </w:pPr>
      <w:r w:rsidRPr="5966783F" w:rsidR="320BC377">
        <w:rPr>
          <w:noProof w:val="0"/>
          <w:sz w:val="32"/>
          <w:szCs w:val="32"/>
          <w:lang w:val="en-US"/>
        </w:rPr>
        <w:t>Appendix B – Investment Appraisal Calculations</w:t>
      </w:r>
    </w:p>
    <w:p xmlns:wp14="http://schemas.microsoft.com/office/word/2010/wordml" w:rsidP="5966783F" wp14:paraId="48898625" wp14:textId="11E1FC7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Each project requires an initial investment of £50 million, has a five-year life and uses an 8% discount rate. Straight-line depreciation to zero is £10 million per year. ARR is calculated using average annual accounting profit divided by average investment (£25 million).</w:t>
      </w:r>
    </w:p>
    <w:p xmlns:wp14="http://schemas.microsoft.com/office/word/2010/wordml" w:rsidP="5966783F" wp14:paraId="39ABFF6F" wp14:textId="6F5455D0">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B1: Proposed Project Cash Flows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470"/>
        <w:gridCol w:w="1470"/>
        <w:gridCol w:w="1470"/>
        <w:gridCol w:w="1470"/>
        <w:gridCol w:w="1470"/>
        <w:gridCol w:w="1470"/>
        <w:gridCol w:w="1470"/>
      </w:tblGrid>
      <w:tr w:rsidR="5966783F" w:rsidTr="5966783F" w14:paraId="01823890">
        <w:trPr>
          <w:trHeight w:val="285"/>
        </w:trPr>
        <w:tc>
          <w:tcPr>
            <w:tcW w:w="1470"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5392237C" w14:textId="65EADACF">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Project</w:t>
            </w:r>
          </w:p>
        </w:tc>
        <w:tc>
          <w:tcPr>
            <w:tcW w:w="1470" w:type="dxa"/>
            <w:tcBorders>
              <w:top w:val="single" w:sz="6"/>
            </w:tcBorders>
            <w:shd w:val="clear" w:color="auto" w:fill="215E99" w:themeFill="text2" w:themeFillTint="BF"/>
            <w:tcMar>
              <w:left w:w="90" w:type="dxa"/>
              <w:right w:w="90" w:type="dxa"/>
            </w:tcMar>
            <w:vAlign w:val="top"/>
          </w:tcPr>
          <w:p w:rsidR="5966783F" w:rsidP="5966783F" w:rsidRDefault="5966783F" w14:paraId="1609C904" w14:textId="3435F3D1">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Initial</w:t>
            </w:r>
          </w:p>
        </w:tc>
        <w:tc>
          <w:tcPr>
            <w:tcW w:w="1470" w:type="dxa"/>
            <w:tcBorders>
              <w:top w:val="single" w:sz="6"/>
            </w:tcBorders>
            <w:shd w:val="clear" w:color="auto" w:fill="215E99" w:themeFill="text2" w:themeFillTint="BF"/>
            <w:tcMar>
              <w:left w:w="90" w:type="dxa"/>
              <w:right w:w="90" w:type="dxa"/>
            </w:tcMar>
            <w:vAlign w:val="top"/>
          </w:tcPr>
          <w:p w:rsidR="5966783F" w:rsidP="5966783F" w:rsidRDefault="5966783F" w14:paraId="0404BBD7" w14:textId="65750BCD">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Year 1</w:t>
            </w:r>
          </w:p>
        </w:tc>
        <w:tc>
          <w:tcPr>
            <w:tcW w:w="1470" w:type="dxa"/>
            <w:tcBorders>
              <w:top w:val="single" w:sz="6"/>
            </w:tcBorders>
            <w:shd w:val="clear" w:color="auto" w:fill="215E99" w:themeFill="text2" w:themeFillTint="BF"/>
            <w:tcMar>
              <w:left w:w="90" w:type="dxa"/>
              <w:right w:w="90" w:type="dxa"/>
            </w:tcMar>
            <w:vAlign w:val="top"/>
          </w:tcPr>
          <w:p w:rsidR="5966783F" w:rsidP="5966783F" w:rsidRDefault="5966783F" w14:paraId="0FBCFE89" w14:textId="69F35B06">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Year 2</w:t>
            </w:r>
          </w:p>
        </w:tc>
        <w:tc>
          <w:tcPr>
            <w:tcW w:w="1470" w:type="dxa"/>
            <w:tcBorders>
              <w:top w:val="single" w:sz="6"/>
            </w:tcBorders>
            <w:shd w:val="clear" w:color="auto" w:fill="215E99" w:themeFill="text2" w:themeFillTint="BF"/>
            <w:tcMar>
              <w:left w:w="90" w:type="dxa"/>
              <w:right w:w="90" w:type="dxa"/>
            </w:tcMar>
            <w:vAlign w:val="top"/>
          </w:tcPr>
          <w:p w:rsidR="5966783F" w:rsidP="5966783F" w:rsidRDefault="5966783F" w14:paraId="76AA0035" w14:textId="3AF4CA08">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Year 3</w:t>
            </w:r>
          </w:p>
        </w:tc>
        <w:tc>
          <w:tcPr>
            <w:tcW w:w="1470" w:type="dxa"/>
            <w:tcBorders>
              <w:top w:val="single" w:sz="6"/>
            </w:tcBorders>
            <w:shd w:val="clear" w:color="auto" w:fill="215E99" w:themeFill="text2" w:themeFillTint="BF"/>
            <w:tcMar>
              <w:left w:w="90" w:type="dxa"/>
              <w:right w:w="90" w:type="dxa"/>
            </w:tcMar>
            <w:vAlign w:val="top"/>
          </w:tcPr>
          <w:p w:rsidR="5966783F" w:rsidP="5966783F" w:rsidRDefault="5966783F" w14:paraId="514A38CF" w14:textId="2BEBC404">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Year 4</w:t>
            </w:r>
          </w:p>
        </w:tc>
        <w:tc>
          <w:tcPr>
            <w:tcW w:w="1470"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50128006" w14:textId="2E2F0154">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Year 5</w:t>
            </w:r>
          </w:p>
        </w:tc>
      </w:tr>
      <w:tr w:rsidR="5966783F" w:rsidTr="5966783F" w14:paraId="2AC4A89D">
        <w:trPr>
          <w:trHeight w:val="285"/>
        </w:trPr>
        <w:tc>
          <w:tcPr>
            <w:tcW w:w="1470" w:type="dxa"/>
            <w:tcBorders>
              <w:left w:val="single" w:sz="6"/>
            </w:tcBorders>
            <w:shd w:val="clear" w:color="auto" w:fill="FFC000"/>
            <w:tcMar>
              <w:left w:w="90" w:type="dxa"/>
              <w:right w:w="90" w:type="dxa"/>
            </w:tcMar>
            <w:vAlign w:val="top"/>
          </w:tcPr>
          <w:p w:rsidR="5966783F" w:rsidP="5966783F" w:rsidRDefault="5966783F" w14:paraId="13ED4933" w14:textId="326D1DB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A</w:t>
            </w:r>
          </w:p>
        </w:tc>
        <w:tc>
          <w:tcPr>
            <w:tcW w:w="1470" w:type="dxa"/>
            <w:tcMar>
              <w:left w:w="90" w:type="dxa"/>
              <w:right w:w="90" w:type="dxa"/>
            </w:tcMar>
            <w:vAlign w:val="top"/>
          </w:tcPr>
          <w:p w:rsidR="5966783F" w:rsidP="5966783F" w:rsidRDefault="5966783F" w14:paraId="4069A96D" w14:textId="270AD26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£50m</w:t>
            </w:r>
          </w:p>
        </w:tc>
        <w:tc>
          <w:tcPr>
            <w:tcW w:w="1470" w:type="dxa"/>
            <w:tcMar>
              <w:left w:w="90" w:type="dxa"/>
              <w:right w:w="90" w:type="dxa"/>
            </w:tcMar>
            <w:vAlign w:val="top"/>
          </w:tcPr>
          <w:p w:rsidR="5966783F" w:rsidP="5966783F" w:rsidRDefault="5966783F" w14:paraId="10F475F4" w14:textId="524A411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£10m</w:t>
            </w:r>
          </w:p>
        </w:tc>
        <w:tc>
          <w:tcPr>
            <w:tcW w:w="1470" w:type="dxa"/>
            <w:tcMar>
              <w:left w:w="90" w:type="dxa"/>
              <w:right w:w="90" w:type="dxa"/>
            </w:tcMar>
            <w:vAlign w:val="top"/>
          </w:tcPr>
          <w:p w:rsidR="5966783F" w:rsidP="5966783F" w:rsidRDefault="5966783F" w14:paraId="5290B878" w14:textId="79F7EEF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£12m</w:t>
            </w:r>
          </w:p>
        </w:tc>
        <w:tc>
          <w:tcPr>
            <w:tcW w:w="1470" w:type="dxa"/>
            <w:tcMar>
              <w:left w:w="90" w:type="dxa"/>
              <w:right w:w="90" w:type="dxa"/>
            </w:tcMar>
            <w:vAlign w:val="top"/>
          </w:tcPr>
          <w:p w:rsidR="5966783F" w:rsidP="5966783F" w:rsidRDefault="5966783F" w14:paraId="48CC9703" w14:textId="593CFBC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£14m</w:t>
            </w:r>
          </w:p>
        </w:tc>
        <w:tc>
          <w:tcPr>
            <w:tcW w:w="1470" w:type="dxa"/>
            <w:tcMar>
              <w:left w:w="90" w:type="dxa"/>
              <w:right w:w="90" w:type="dxa"/>
            </w:tcMar>
            <w:vAlign w:val="top"/>
          </w:tcPr>
          <w:p w:rsidR="5966783F" w:rsidP="5966783F" w:rsidRDefault="5966783F" w14:paraId="54E93A86" w14:textId="7AB0E5C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£10m</w:t>
            </w:r>
          </w:p>
        </w:tc>
        <w:tc>
          <w:tcPr>
            <w:tcW w:w="1470" w:type="dxa"/>
            <w:tcBorders>
              <w:right w:val="single" w:sz="6"/>
            </w:tcBorders>
            <w:tcMar>
              <w:left w:w="90" w:type="dxa"/>
              <w:right w:w="90" w:type="dxa"/>
            </w:tcMar>
            <w:vAlign w:val="top"/>
          </w:tcPr>
          <w:p w:rsidR="5966783F" w:rsidP="5966783F" w:rsidRDefault="5966783F" w14:paraId="035D5D8B" w14:textId="34B506C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£8m</w:t>
            </w:r>
          </w:p>
        </w:tc>
      </w:tr>
      <w:tr w:rsidR="5966783F" w:rsidTr="5966783F" w14:paraId="713331DC">
        <w:trPr>
          <w:trHeight w:val="285"/>
        </w:trPr>
        <w:tc>
          <w:tcPr>
            <w:tcW w:w="1470" w:type="dxa"/>
            <w:tcBorders>
              <w:left w:val="single" w:sz="6"/>
            </w:tcBorders>
            <w:shd w:val="clear" w:color="auto" w:fill="FFC000"/>
            <w:tcMar>
              <w:left w:w="90" w:type="dxa"/>
              <w:right w:w="90" w:type="dxa"/>
            </w:tcMar>
            <w:vAlign w:val="top"/>
          </w:tcPr>
          <w:p w:rsidR="5966783F" w:rsidP="5966783F" w:rsidRDefault="5966783F" w14:paraId="503BAD1F" w14:textId="09822AC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B</w:t>
            </w:r>
          </w:p>
        </w:tc>
        <w:tc>
          <w:tcPr>
            <w:tcW w:w="1470" w:type="dxa"/>
            <w:tcMar>
              <w:left w:w="90" w:type="dxa"/>
              <w:right w:w="90" w:type="dxa"/>
            </w:tcMar>
            <w:vAlign w:val="top"/>
          </w:tcPr>
          <w:p w:rsidR="5966783F" w:rsidP="5966783F" w:rsidRDefault="5966783F" w14:paraId="301D0065" w14:textId="2365B6B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£50m</w:t>
            </w:r>
          </w:p>
        </w:tc>
        <w:tc>
          <w:tcPr>
            <w:tcW w:w="1470" w:type="dxa"/>
            <w:tcMar>
              <w:left w:w="90" w:type="dxa"/>
              <w:right w:w="90" w:type="dxa"/>
            </w:tcMar>
            <w:vAlign w:val="top"/>
          </w:tcPr>
          <w:p w:rsidR="5966783F" w:rsidP="5966783F" w:rsidRDefault="5966783F" w14:paraId="0090DC1C" w14:textId="18AC6BC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£11m</w:t>
            </w:r>
          </w:p>
        </w:tc>
        <w:tc>
          <w:tcPr>
            <w:tcW w:w="1470" w:type="dxa"/>
            <w:tcMar>
              <w:left w:w="90" w:type="dxa"/>
              <w:right w:w="90" w:type="dxa"/>
            </w:tcMar>
            <w:vAlign w:val="top"/>
          </w:tcPr>
          <w:p w:rsidR="5966783F" w:rsidP="5966783F" w:rsidRDefault="5966783F" w14:paraId="4696FBC5" w14:textId="5DFCA61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£11m</w:t>
            </w:r>
          </w:p>
        </w:tc>
        <w:tc>
          <w:tcPr>
            <w:tcW w:w="1470" w:type="dxa"/>
            <w:tcMar>
              <w:left w:w="90" w:type="dxa"/>
              <w:right w:w="90" w:type="dxa"/>
            </w:tcMar>
            <w:vAlign w:val="top"/>
          </w:tcPr>
          <w:p w:rsidR="5966783F" w:rsidP="5966783F" w:rsidRDefault="5966783F" w14:paraId="3432B2E2" w14:textId="13F82B2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£11m</w:t>
            </w:r>
          </w:p>
        </w:tc>
        <w:tc>
          <w:tcPr>
            <w:tcW w:w="1470" w:type="dxa"/>
            <w:tcMar>
              <w:left w:w="90" w:type="dxa"/>
              <w:right w:w="90" w:type="dxa"/>
            </w:tcMar>
            <w:vAlign w:val="top"/>
          </w:tcPr>
          <w:p w:rsidR="5966783F" w:rsidP="5966783F" w:rsidRDefault="5966783F" w14:paraId="39FA2FE3" w14:textId="17E5BAE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£11m</w:t>
            </w:r>
          </w:p>
        </w:tc>
        <w:tc>
          <w:tcPr>
            <w:tcW w:w="1470" w:type="dxa"/>
            <w:tcBorders>
              <w:right w:val="single" w:sz="6"/>
            </w:tcBorders>
            <w:tcMar>
              <w:left w:w="90" w:type="dxa"/>
              <w:right w:w="90" w:type="dxa"/>
            </w:tcMar>
            <w:vAlign w:val="top"/>
          </w:tcPr>
          <w:p w:rsidR="5966783F" w:rsidP="5966783F" w:rsidRDefault="5966783F" w14:paraId="3F8FA619" w14:textId="4FA6326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£11m</w:t>
            </w:r>
          </w:p>
        </w:tc>
      </w:tr>
      <w:tr w:rsidR="5966783F" w:rsidTr="5966783F" w14:paraId="160824CB">
        <w:trPr>
          <w:trHeight w:val="285"/>
        </w:trPr>
        <w:tc>
          <w:tcPr>
            <w:tcW w:w="1470" w:type="dxa"/>
            <w:tcBorders>
              <w:left w:val="single" w:sz="6"/>
              <w:bottom w:val="single" w:sz="6"/>
            </w:tcBorders>
            <w:shd w:val="clear" w:color="auto" w:fill="FFC000"/>
            <w:tcMar>
              <w:left w:w="90" w:type="dxa"/>
              <w:right w:w="90" w:type="dxa"/>
            </w:tcMar>
            <w:vAlign w:val="top"/>
          </w:tcPr>
          <w:p w:rsidR="5966783F" w:rsidP="5966783F" w:rsidRDefault="5966783F" w14:paraId="08F84BAB" w14:textId="2DE60D7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w:t>
            </w:r>
          </w:p>
        </w:tc>
        <w:tc>
          <w:tcPr>
            <w:tcW w:w="1470" w:type="dxa"/>
            <w:tcBorders>
              <w:bottom w:val="single" w:sz="6"/>
            </w:tcBorders>
            <w:tcMar>
              <w:left w:w="90" w:type="dxa"/>
              <w:right w:w="90" w:type="dxa"/>
            </w:tcMar>
            <w:vAlign w:val="top"/>
          </w:tcPr>
          <w:p w:rsidR="5966783F" w:rsidP="5966783F" w:rsidRDefault="5966783F" w14:paraId="6CBC723A" w14:textId="5C6E929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£50m</w:t>
            </w:r>
          </w:p>
        </w:tc>
        <w:tc>
          <w:tcPr>
            <w:tcW w:w="1470" w:type="dxa"/>
            <w:tcBorders>
              <w:bottom w:val="single" w:sz="6"/>
            </w:tcBorders>
            <w:tcMar>
              <w:left w:w="90" w:type="dxa"/>
              <w:right w:w="90" w:type="dxa"/>
            </w:tcMar>
            <w:vAlign w:val="top"/>
          </w:tcPr>
          <w:p w:rsidR="5966783F" w:rsidP="5966783F" w:rsidRDefault="5966783F" w14:paraId="00C2F6A9" w14:textId="6D73D89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£5m</w:t>
            </w:r>
          </w:p>
        </w:tc>
        <w:tc>
          <w:tcPr>
            <w:tcW w:w="1470" w:type="dxa"/>
            <w:tcBorders>
              <w:bottom w:val="single" w:sz="6"/>
            </w:tcBorders>
            <w:tcMar>
              <w:left w:w="90" w:type="dxa"/>
              <w:right w:w="90" w:type="dxa"/>
            </w:tcMar>
            <w:vAlign w:val="top"/>
          </w:tcPr>
          <w:p w:rsidR="5966783F" w:rsidP="5966783F" w:rsidRDefault="5966783F" w14:paraId="36D6F61D" w14:textId="249DCC4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£10m</w:t>
            </w:r>
          </w:p>
        </w:tc>
        <w:tc>
          <w:tcPr>
            <w:tcW w:w="1470" w:type="dxa"/>
            <w:tcBorders>
              <w:bottom w:val="single" w:sz="6"/>
            </w:tcBorders>
            <w:tcMar>
              <w:left w:w="90" w:type="dxa"/>
              <w:right w:w="90" w:type="dxa"/>
            </w:tcMar>
            <w:vAlign w:val="top"/>
          </w:tcPr>
          <w:p w:rsidR="5966783F" w:rsidP="5966783F" w:rsidRDefault="5966783F" w14:paraId="6527900B" w14:textId="4408AB3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£20m</w:t>
            </w:r>
          </w:p>
        </w:tc>
        <w:tc>
          <w:tcPr>
            <w:tcW w:w="1470" w:type="dxa"/>
            <w:tcBorders>
              <w:bottom w:val="single" w:sz="6"/>
            </w:tcBorders>
            <w:tcMar>
              <w:left w:w="90" w:type="dxa"/>
              <w:right w:w="90" w:type="dxa"/>
            </w:tcMar>
            <w:vAlign w:val="top"/>
          </w:tcPr>
          <w:p w:rsidR="5966783F" w:rsidP="5966783F" w:rsidRDefault="5966783F" w14:paraId="24044E73" w14:textId="6444EF9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£25m</w:t>
            </w:r>
          </w:p>
        </w:tc>
        <w:tc>
          <w:tcPr>
            <w:tcW w:w="1470" w:type="dxa"/>
            <w:tcBorders>
              <w:bottom w:val="single" w:sz="6"/>
              <w:right w:val="single" w:sz="6"/>
            </w:tcBorders>
            <w:tcMar>
              <w:left w:w="90" w:type="dxa"/>
              <w:right w:w="90" w:type="dxa"/>
            </w:tcMar>
            <w:vAlign w:val="top"/>
          </w:tcPr>
          <w:p w:rsidR="5966783F" w:rsidP="5966783F" w:rsidRDefault="5966783F" w14:paraId="5155E9AC" w14:textId="15FA63D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£5m</w:t>
            </w:r>
          </w:p>
        </w:tc>
      </w:tr>
    </w:tbl>
    <w:p xmlns:wp14="http://schemas.microsoft.com/office/word/2010/wordml" w:rsidP="5966783F" wp14:paraId="41F65166" wp14:textId="2F0268E7">
      <w:pPr>
        <w:pStyle w:val="Normal"/>
        <w:keepNext w:val="1"/>
        <w:keepLines w:val="1"/>
        <w:bidi w:val="0"/>
        <w:rPr>
          <w:rFonts w:ascii="Arial" w:hAnsi="Arial" w:eastAsia="Arial" w:cs="Arial"/>
          <w:b w:val="0"/>
          <w:bCs w:val="0"/>
          <w:i w:val="0"/>
          <w:iCs w:val="0"/>
          <w:caps w:val="0"/>
          <w:smallCaps w:val="0"/>
          <w:noProof w:val="0"/>
          <w:color w:val="4F81BD"/>
          <w:sz w:val="32"/>
          <w:szCs w:val="32"/>
          <w:lang w:val="en-GB"/>
        </w:rPr>
      </w:pPr>
      <w:r w:rsidRPr="5966783F" w:rsidR="320BC377">
        <w:rPr>
          <w:noProof w:val="0"/>
          <w:sz w:val="32"/>
          <w:szCs w:val="32"/>
          <w:lang w:val="en-US"/>
        </w:rPr>
        <w:t>Table B2 – Discounted Cash Flows at 8%</w:t>
      </w:r>
    </w:p>
    <w:p xmlns:wp14="http://schemas.microsoft.com/office/word/2010/wordml" w:rsidP="5966783F" wp14:paraId="705F4D30" wp14:textId="0052F593">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B2: Discounted Cash Flows at 8%</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275"/>
        <w:gridCol w:w="1275"/>
        <w:gridCol w:w="1275"/>
        <w:gridCol w:w="1275"/>
        <w:gridCol w:w="1275"/>
        <w:gridCol w:w="1275"/>
        <w:gridCol w:w="1275"/>
        <w:gridCol w:w="1275"/>
      </w:tblGrid>
      <w:tr w:rsidR="5966783F" w:rsidTr="5966783F" w14:paraId="35ABBE38">
        <w:trPr>
          <w:trHeight w:val="285"/>
        </w:trPr>
        <w:tc>
          <w:tcPr>
            <w:tcW w:w="1275"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2658D1FD" w14:textId="5AA766B6">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Project</w:t>
            </w:r>
          </w:p>
        </w:tc>
        <w:tc>
          <w:tcPr>
            <w:tcW w:w="1275" w:type="dxa"/>
            <w:tcBorders>
              <w:top w:val="single" w:sz="6"/>
            </w:tcBorders>
            <w:shd w:val="clear" w:color="auto" w:fill="215E99" w:themeFill="text2" w:themeFillTint="BF"/>
            <w:tcMar>
              <w:left w:w="90" w:type="dxa"/>
              <w:right w:w="90" w:type="dxa"/>
            </w:tcMar>
            <w:vAlign w:val="top"/>
          </w:tcPr>
          <w:p w:rsidR="5966783F" w:rsidP="5966783F" w:rsidRDefault="5966783F" w14:paraId="538FF2B3" w14:textId="16764425">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Initial PV</w:t>
            </w:r>
          </w:p>
        </w:tc>
        <w:tc>
          <w:tcPr>
            <w:tcW w:w="1275" w:type="dxa"/>
            <w:tcBorders>
              <w:top w:val="single" w:sz="6"/>
            </w:tcBorders>
            <w:shd w:val="clear" w:color="auto" w:fill="215E99" w:themeFill="text2" w:themeFillTint="BF"/>
            <w:tcMar>
              <w:left w:w="90" w:type="dxa"/>
              <w:right w:w="90" w:type="dxa"/>
            </w:tcMar>
            <w:vAlign w:val="top"/>
          </w:tcPr>
          <w:p w:rsidR="5966783F" w:rsidP="5966783F" w:rsidRDefault="5966783F" w14:paraId="798FD09E" w14:textId="54325389">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Y1 PV</w:t>
            </w:r>
          </w:p>
        </w:tc>
        <w:tc>
          <w:tcPr>
            <w:tcW w:w="1275" w:type="dxa"/>
            <w:tcBorders>
              <w:top w:val="single" w:sz="6"/>
            </w:tcBorders>
            <w:shd w:val="clear" w:color="auto" w:fill="215E99" w:themeFill="text2" w:themeFillTint="BF"/>
            <w:tcMar>
              <w:left w:w="90" w:type="dxa"/>
              <w:right w:w="90" w:type="dxa"/>
            </w:tcMar>
            <w:vAlign w:val="top"/>
          </w:tcPr>
          <w:p w:rsidR="5966783F" w:rsidP="5966783F" w:rsidRDefault="5966783F" w14:paraId="0F6A184A" w14:textId="37960B05">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Y2 PV</w:t>
            </w:r>
          </w:p>
        </w:tc>
        <w:tc>
          <w:tcPr>
            <w:tcW w:w="1275" w:type="dxa"/>
            <w:tcBorders>
              <w:top w:val="single" w:sz="6"/>
            </w:tcBorders>
            <w:shd w:val="clear" w:color="auto" w:fill="215E99" w:themeFill="text2" w:themeFillTint="BF"/>
            <w:tcMar>
              <w:left w:w="90" w:type="dxa"/>
              <w:right w:w="90" w:type="dxa"/>
            </w:tcMar>
            <w:vAlign w:val="top"/>
          </w:tcPr>
          <w:p w:rsidR="5966783F" w:rsidP="5966783F" w:rsidRDefault="5966783F" w14:paraId="633D07FD" w14:textId="2A801D66">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Y3 PV</w:t>
            </w:r>
          </w:p>
        </w:tc>
        <w:tc>
          <w:tcPr>
            <w:tcW w:w="1275" w:type="dxa"/>
            <w:tcBorders>
              <w:top w:val="single" w:sz="6"/>
            </w:tcBorders>
            <w:shd w:val="clear" w:color="auto" w:fill="215E99" w:themeFill="text2" w:themeFillTint="BF"/>
            <w:tcMar>
              <w:left w:w="90" w:type="dxa"/>
              <w:right w:w="90" w:type="dxa"/>
            </w:tcMar>
            <w:vAlign w:val="top"/>
          </w:tcPr>
          <w:p w:rsidR="5966783F" w:rsidP="5966783F" w:rsidRDefault="5966783F" w14:paraId="0F224F85" w14:textId="1201AA05">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Y4 PV</w:t>
            </w:r>
          </w:p>
        </w:tc>
        <w:tc>
          <w:tcPr>
            <w:tcW w:w="1275" w:type="dxa"/>
            <w:tcBorders>
              <w:top w:val="single" w:sz="6"/>
            </w:tcBorders>
            <w:shd w:val="clear" w:color="auto" w:fill="215E99" w:themeFill="text2" w:themeFillTint="BF"/>
            <w:tcMar>
              <w:left w:w="90" w:type="dxa"/>
              <w:right w:w="90" w:type="dxa"/>
            </w:tcMar>
            <w:vAlign w:val="top"/>
          </w:tcPr>
          <w:p w:rsidR="5966783F" w:rsidP="5966783F" w:rsidRDefault="5966783F" w14:paraId="33DC599C" w14:textId="53B6896B">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Y5 PV</w:t>
            </w:r>
          </w:p>
        </w:tc>
        <w:tc>
          <w:tcPr>
            <w:tcW w:w="1275"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5230B7CE" w14:textId="03971B5A">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NPV</w:t>
            </w:r>
          </w:p>
        </w:tc>
      </w:tr>
      <w:tr w:rsidR="5966783F" w:rsidTr="5966783F" w14:paraId="0099CF1C">
        <w:trPr>
          <w:trHeight w:val="285"/>
        </w:trPr>
        <w:tc>
          <w:tcPr>
            <w:tcW w:w="1275" w:type="dxa"/>
            <w:tcBorders>
              <w:left w:val="single" w:sz="6"/>
            </w:tcBorders>
            <w:shd w:val="clear" w:color="auto" w:fill="FFC000"/>
            <w:tcMar>
              <w:left w:w="90" w:type="dxa"/>
              <w:right w:w="90" w:type="dxa"/>
            </w:tcMar>
            <w:vAlign w:val="top"/>
          </w:tcPr>
          <w:p w:rsidR="5966783F" w:rsidP="5966783F" w:rsidRDefault="5966783F" w14:paraId="138FF76E" w14:textId="5BCD043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A</w:t>
            </w:r>
          </w:p>
        </w:tc>
        <w:tc>
          <w:tcPr>
            <w:tcW w:w="1275" w:type="dxa"/>
            <w:tcMar>
              <w:left w:w="90" w:type="dxa"/>
              <w:right w:w="90" w:type="dxa"/>
            </w:tcMar>
            <w:vAlign w:val="top"/>
          </w:tcPr>
          <w:p w:rsidR="5966783F" w:rsidP="5966783F" w:rsidRDefault="5966783F" w14:paraId="71AD4DA4" w14:textId="6C793E9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-50.00</w:t>
            </w:r>
          </w:p>
        </w:tc>
        <w:tc>
          <w:tcPr>
            <w:tcW w:w="1275" w:type="dxa"/>
            <w:tcMar>
              <w:left w:w="90" w:type="dxa"/>
              <w:right w:w="90" w:type="dxa"/>
            </w:tcMar>
            <w:vAlign w:val="top"/>
          </w:tcPr>
          <w:p w:rsidR="5966783F" w:rsidP="5966783F" w:rsidRDefault="5966783F" w14:paraId="3FC4FC82" w14:textId="40BFB1D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9.26</w:t>
            </w:r>
          </w:p>
        </w:tc>
        <w:tc>
          <w:tcPr>
            <w:tcW w:w="1275" w:type="dxa"/>
            <w:tcMar>
              <w:left w:w="90" w:type="dxa"/>
              <w:right w:w="90" w:type="dxa"/>
            </w:tcMar>
            <w:vAlign w:val="top"/>
          </w:tcPr>
          <w:p w:rsidR="5966783F" w:rsidP="5966783F" w:rsidRDefault="5966783F" w14:paraId="74F064B0" w14:textId="31CAFA0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10.29</w:t>
            </w:r>
          </w:p>
        </w:tc>
        <w:tc>
          <w:tcPr>
            <w:tcW w:w="1275" w:type="dxa"/>
            <w:tcMar>
              <w:left w:w="90" w:type="dxa"/>
              <w:right w:w="90" w:type="dxa"/>
            </w:tcMar>
            <w:vAlign w:val="top"/>
          </w:tcPr>
          <w:p w:rsidR="5966783F" w:rsidP="5966783F" w:rsidRDefault="5966783F" w14:paraId="2214D4DA" w14:textId="13BBB3C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11.11</w:t>
            </w:r>
          </w:p>
        </w:tc>
        <w:tc>
          <w:tcPr>
            <w:tcW w:w="1275" w:type="dxa"/>
            <w:tcMar>
              <w:left w:w="90" w:type="dxa"/>
              <w:right w:w="90" w:type="dxa"/>
            </w:tcMar>
            <w:vAlign w:val="top"/>
          </w:tcPr>
          <w:p w:rsidR="5966783F" w:rsidP="5966783F" w:rsidRDefault="5966783F" w14:paraId="598321CC" w14:textId="096867D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7.35</w:t>
            </w:r>
          </w:p>
        </w:tc>
        <w:tc>
          <w:tcPr>
            <w:tcW w:w="1275" w:type="dxa"/>
            <w:tcMar>
              <w:left w:w="90" w:type="dxa"/>
              <w:right w:w="90" w:type="dxa"/>
            </w:tcMar>
            <w:vAlign w:val="top"/>
          </w:tcPr>
          <w:p w:rsidR="5966783F" w:rsidP="5966783F" w:rsidRDefault="5966783F" w14:paraId="22B600CA" w14:textId="59D8CE6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5.44</w:t>
            </w:r>
          </w:p>
        </w:tc>
        <w:tc>
          <w:tcPr>
            <w:tcW w:w="1275" w:type="dxa"/>
            <w:tcBorders>
              <w:right w:val="single" w:sz="6"/>
            </w:tcBorders>
            <w:tcMar>
              <w:left w:w="90" w:type="dxa"/>
              <w:right w:w="90" w:type="dxa"/>
            </w:tcMar>
            <w:vAlign w:val="top"/>
          </w:tcPr>
          <w:p w:rsidR="5966783F" w:rsidP="5966783F" w:rsidRDefault="5966783F" w14:paraId="6D616FFB" w14:textId="0EA8CFF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£-6.54m</w:t>
            </w:r>
          </w:p>
        </w:tc>
      </w:tr>
      <w:tr w:rsidR="5966783F" w:rsidTr="5966783F" w14:paraId="2EBC16D6">
        <w:trPr>
          <w:trHeight w:val="285"/>
        </w:trPr>
        <w:tc>
          <w:tcPr>
            <w:tcW w:w="1275" w:type="dxa"/>
            <w:tcBorders>
              <w:left w:val="single" w:sz="6"/>
            </w:tcBorders>
            <w:shd w:val="clear" w:color="auto" w:fill="FFC000"/>
            <w:tcMar>
              <w:left w:w="90" w:type="dxa"/>
              <w:right w:w="90" w:type="dxa"/>
            </w:tcMar>
            <w:vAlign w:val="top"/>
          </w:tcPr>
          <w:p w:rsidR="5966783F" w:rsidP="5966783F" w:rsidRDefault="5966783F" w14:paraId="49E2676F" w14:textId="5962996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B</w:t>
            </w:r>
          </w:p>
        </w:tc>
        <w:tc>
          <w:tcPr>
            <w:tcW w:w="1275" w:type="dxa"/>
            <w:tcMar>
              <w:left w:w="90" w:type="dxa"/>
              <w:right w:w="90" w:type="dxa"/>
            </w:tcMar>
            <w:vAlign w:val="top"/>
          </w:tcPr>
          <w:p w:rsidR="5966783F" w:rsidP="5966783F" w:rsidRDefault="5966783F" w14:paraId="3A98BEE8" w14:textId="0837DB6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-50.00</w:t>
            </w:r>
          </w:p>
        </w:tc>
        <w:tc>
          <w:tcPr>
            <w:tcW w:w="1275" w:type="dxa"/>
            <w:tcMar>
              <w:left w:w="90" w:type="dxa"/>
              <w:right w:w="90" w:type="dxa"/>
            </w:tcMar>
            <w:vAlign w:val="top"/>
          </w:tcPr>
          <w:p w:rsidR="5966783F" w:rsidP="5966783F" w:rsidRDefault="5966783F" w14:paraId="2A0C54E8" w14:textId="7872C2C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10.19</w:t>
            </w:r>
          </w:p>
        </w:tc>
        <w:tc>
          <w:tcPr>
            <w:tcW w:w="1275" w:type="dxa"/>
            <w:tcMar>
              <w:left w:w="90" w:type="dxa"/>
              <w:right w:w="90" w:type="dxa"/>
            </w:tcMar>
            <w:vAlign w:val="top"/>
          </w:tcPr>
          <w:p w:rsidR="5966783F" w:rsidP="5966783F" w:rsidRDefault="5966783F" w14:paraId="2EB6131A" w14:textId="75C3078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9.43</w:t>
            </w:r>
          </w:p>
        </w:tc>
        <w:tc>
          <w:tcPr>
            <w:tcW w:w="1275" w:type="dxa"/>
            <w:tcMar>
              <w:left w:w="90" w:type="dxa"/>
              <w:right w:w="90" w:type="dxa"/>
            </w:tcMar>
            <w:vAlign w:val="top"/>
          </w:tcPr>
          <w:p w:rsidR="5966783F" w:rsidP="5966783F" w:rsidRDefault="5966783F" w14:paraId="5EA4E962" w14:textId="5EEB17F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8.73</w:t>
            </w:r>
          </w:p>
        </w:tc>
        <w:tc>
          <w:tcPr>
            <w:tcW w:w="1275" w:type="dxa"/>
            <w:tcMar>
              <w:left w:w="90" w:type="dxa"/>
              <w:right w:w="90" w:type="dxa"/>
            </w:tcMar>
            <w:vAlign w:val="top"/>
          </w:tcPr>
          <w:p w:rsidR="5966783F" w:rsidP="5966783F" w:rsidRDefault="5966783F" w14:paraId="42AD43E9" w14:textId="6C16878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8.09</w:t>
            </w:r>
          </w:p>
        </w:tc>
        <w:tc>
          <w:tcPr>
            <w:tcW w:w="1275" w:type="dxa"/>
            <w:tcMar>
              <w:left w:w="90" w:type="dxa"/>
              <w:right w:w="90" w:type="dxa"/>
            </w:tcMar>
            <w:vAlign w:val="top"/>
          </w:tcPr>
          <w:p w:rsidR="5966783F" w:rsidP="5966783F" w:rsidRDefault="5966783F" w14:paraId="4770F347" w14:textId="37058F9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7.49</w:t>
            </w:r>
          </w:p>
        </w:tc>
        <w:tc>
          <w:tcPr>
            <w:tcW w:w="1275" w:type="dxa"/>
            <w:tcBorders>
              <w:right w:val="single" w:sz="6"/>
            </w:tcBorders>
            <w:tcMar>
              <w:left w:w="90" w:type="dxa"/>
              <w:right w:w="90" w:type="dxa"/>
            </w:tcMar>
            <w:vAlign w:val="top"/>
          </w:tcPr>
          <w:p w:rsidR="5966783F" w:rsidP="5966783F" w:rsidRDefault="5966783F" w14:paraId="3DA018BB" w14:textId="065F831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£-6.08m</w:t>
            </w:r>
          </w:p>
        </w:tc>
      </w:tr>
      <w:tr w:rsidR="5966783F" w:rsidTr="5966783F" w14:paraId="3C03E6D2">
        <w:trPr>
          <w:trHeight w:val="285"/>
        </w:trPr>
        <w:tc>
          <w:tcPr>
            <w:tcW w:w="1275" w:type="dxa"/>
            <w:tcBorders>
              <w:left w:val="single" w:sz="6"/>
              <w:bottom w:val="single" w:sz="6"/>
            </w:tcBorders>
            <w:shd w:val="clear" w:color="auto" w:fill="FFC000"/>
            <w:tcMar>
              <w:left w:w="90" w:type="dxa"/>
              <w:right w:w="90" w:type="dxa"/>
            </w:tcMar>
            <w:vAlign w:val="top"/>
          </w:tcPr>
          <w:p w:rsidR="5966783F" w:rsidP="5966783F" w:rsidRDefault="5966783F" w14:paraId="3559D8F6" w14:textId="58EBC0A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C</w:t>
            </w:r>
          </w:p>
        </w:tc>
        <w:tc>
          <w:tcPr>
            <w:tcW w:w="1275" w:type="dxa"/>
            <w:tcBorders>
              <w:bottom w:val="single" w:sz="6"/>
            </w:tcBorders>
            <w:tcMar>
              <w:left w:w="90" w:type="dxa"/>
              <w:right w:w="90" w:type="dxa"/>
            </w:tcMar>
            <w:vAlign w:val="top"/>
          </w:tcPr>
          <w:p w:rsidR="5966783F" w:rsidP="5966783F" w:rsidRDefault="5966783F" w14:paraId="5EDF84E7" w14:textId="5B73C24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-50.00</w:t>
            </w:r>
          </w:p>
        </w:tc>
        <w:tc>
          <w:tcPr>
            <w:tcW w:w="1275" w:type="dxa"/>
            <w:tcBorders>
              <w:bottom w:val="single" w:sz="6"/>
            </w:tcBorders>
            <w:tcMar>
              <w:left w:w="90" w:type="dxa"/>
              <w:right w:w="90" w:type="dxa"/>
            </w:tcMar>
            <w:vAlign w:val="top"/>
          </w:tcPr>
          <w:p w:rsidR="5966783F" w:rsidP="5966783F" w:rsidRDefault="5966783F" w14:paraId="3B53F237" w14:textId="749111B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4.63</w:t>
            </w:r>
          </w:p>
        </w:tc>
        <w:tc>
          <w:tcPr>
            <w:tcW w:w="1275" w:type="dxa"/>
            <w:tcBorders>
              <w:bottom w:val="single" w:sz="6"/>
            </w:tcBorders>
            <w:tcMar>
              <w:left w:w="90" w:type="dxa"/>
              <w:right w:w="90" w:type="dxa"/>
            </w:tcMar>
            <w:vAlign w:val="top"/>
          </w:tcPr>
          <w:p w:rsidR="5966783F" w:rsidP="5966783F" w:rsidRDefault="5966783F" w14:paraId="7E123B50" w14:textId="611418A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8.57</w:t>
            </w:r>
          </w:p>
        </w:tc>
        <w:tc>
          <w:tcPr>
            <w:tcW w:w="1275" w:type="dxa"/>
            <w:tcBorders>
              <w:bottom w:val="single" w:sz="6"/>
            </w:tcBorders>
            <w:tcMar>
              <w:left w:w="90" w:type="dxa"/>
              <w:right w:w="90" w:type="dxa"/>
            </w:tcMar>
            <w:vAlign w:val="top"/>
          </w:tcPr>
          <w:p w:rsidR="5966783F" w:rsidP="5966783F" w:rsidRDefault="5966783F" w14:paraId="5F23D1AD" w14:textId="722E90C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15.88</w:t>
            </w:r>
          </w:p>
        </w:tc>
        <w:tc>
          <w:tcPr>
            <w:tcW w:w="1275" w:type="dxa"/>
            <w:tcBorders>
              <w:bottom w:val="single" w:sz="6"/>
            </w:tcBorders>
            <w:tcMar>
              <w:left w:w="90" w:type="dxa"/>
              <w:right w:w="90" w:type="dxa"/>
            </w:tcMar>
            <w:vAlign w:val="top"/>
          </w:tcPr>
          <w:p w:rsidR="5966783F" w:rsidP="5966783F" w:rsidRDefault="5966783F" w14:paraId="0D08A84B" w14:textId="3C8A4E5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18.38</w:t>
            </w:r>
          </w:p>
        </w:tc>
        <w:tc>
          <w:tcPr>
            <w:tcW w:w="1275" w:type="dxa"/>
            <w:tcBorders>
              <w:bottom w:val="single" w:sz="6"/>
            </w:tcBorders>
            <w:tcMar>
              <w:left w:w="90" w:type="dxa"/>
              <w:right w:w="90" w:type="dxa"/>
            </w:tcMar>
            <w:vAlign w:val="top"/>
          </w:tcPr>
          <w:p w:rsidR="5966783F" w:rsidP="5966783F" w:rsidRDefault="5966783F" w14:paraId="6BA975F3" w14:textId="0D07978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3.40</w:t>
            </w:r>
          </w:p>
        </w:tc>
        <w:tc>
          <w:tcPr>
            <w:tcW w:w="1275" w:type="dxa"/>
            <w:tcBorders>
              <w:bottom w:val="single" w:sz="6"/>
              <w:right w:val="single" w:sz="6"/>
            </w:tcBorders>
            <w:tcMar>
              <w:left w:w="90" w:type="dxa"/>
              <w:right w:w="90" w:type="dxa"/>
            </w:tcMar>
            <w:vAlign w:val="top"/>
          </w:tcPr>
          <w:p w:rsidR="5966783F" w:rsidP="5966783F" w:rsidRDefault="5966783F" w14:paraId="5377FCA4" w14:textId="355F67E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£0.86m</w:t>
            </w:r>
          </w:p>
        </w:tc>
      </w:tr>
    </w:tbl>
    <w:p xmlns:wp14="http://schemas.microsoft.com/office/word/2010/wordml" w:rsidP="5966783F" wp14:paraId="18B7CB87" wp14:textId="47C39B9A">
      <w:pPr>
        <w:pStyle w:val="Normal"/>
        <w:keepNext w:val="1"/>
        <w:keepLines w:val="1"/>
        <w:bidi w:val="0"/>
        <w:rPr>
          <w:rFonts w:ascii="Arial" w:hAnsi="Arial" w:eastAsia="Arial" w:cs="Arial"/>
          <w:b w:val="0"/>
          <w:bCs w:val="0"/>
          <w:i w:val="0"/>
          <w:iCs w:val="0"/>
          <w:caps w:val="0"/>
          <w:smallCaps w:val="0"/>
          <w:noProof w:val="0"/>
          <w:color w:val="4F81BD"/>
          <w:sz w:val="32"/>
          <w:szCs w:val="32"/>
          <w:lang w:val="en-GB"/>
        </w:rPr>
      </w:pPr>
      <w:r w:rsidRPr="5966783F" w:rsidR="320BC377">
        <w:rPr>
          <w:noProof w:val="0"/>
          <w:sz w:val="32"/>
          <w:szCs w:val="32"/>
          <w:lang w:val="en-US"/>
        </w:rPr>
        <w:t>Table B3 – Investment Appraisal Summary</w:t>
      </w:r>
    </w:p>
    <w:p xmlns:wp14="http://schemas.microsoft.com/office/word/2010/wordml" w:rsidP="5966783F" wp14:paraId="26ECB579" wp14:textId="4FC9D49C">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B3: Investment Appraisal Summary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565"/>
        <w:gridCol w:w="2565"/>
        <w:gridCol w:w="2565"/>
        <w:gridCol w:w="2565"/>
      </w:tblGrid>
      <w:tr w:rsidR="5966783F" w:rsidTr="5966783F" w14:paraId="22F228F1">
        <w:trPr>
          <w:trHeight w:val="285"/>
        </w:trPr>
        <w:tc>
          <w:tcPr>
            <w:tcW w:w="2565"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0EE60B70" w14:textId="59D07712">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Method</w:t>
            </w:r>
          </w:p>
        </w:tc>
        <w:tc>
          <w:tcPr>
            <w:tcW w:w="2565" w:type="dxa"/>
            <w:tcBorders>
              <w:top w:val="single" w:sz="6"/>
            </w:tcBorders>
            <w:shd w:val="clear" w:color="auto" w:fill="215E99" w:themeFill="text2" w:themeFillTint="BF"/>
            <w:tcMar>
              <w:left w:w="90" w:type="dxa"/>
              <w:right w:w="90" w:type="dxa"/>
            </w:tcMar>
            <w:vAlign w:val="top"/>
          </w:tcPr>
          <w:p w:rsidR="5966783F" w:rsidP="5966783F" w:rsidRDefault="5966783F" w14:paraId="7B629968" w14:textId="614F414F">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Project A</w:t>
            </w:r>
          </w:p>
        </w:tc>
        <w:tc>
          <w:tcPr>
            <w:tcW w:w="2565" w:type="dxa"/>
            <w:tcBorders>
              <w:top w:val="single" w:sz="6"/>
            </w:tcBorders>
            <w:shd w:val="clear" w:color="auto" w:fill="215E99" w:themeFill="text2" w:themeFillTint="BF"/>
            <w:tcMar>
              <w:left w:w="90" w:type="dxa"/>
              <w:right w:w="90" w:type="dxa"/>
            </w:tcMar>
            <w:vAlign w:val="top"/>
          </w:tcPr>
          <w:p w:rsidR="5966783F" w:rsidP="5966783F" w:rsidRDefault="5966783F" w14:paraId="6CE343B9" w14:textId="5D4DE717">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Project B</w:t>
            </w:r>
          </w:p>
        </w:tc>
        <w:tc>
          <w:tcPr>
            <w:tcW w:w="2565"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72B7D8C0" w14:textId="0F87EB87">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Project C</w:t>
            </w:r>
          </w:p>
        </w:tc>
      </w:tr>
      <w:tr w:rsidR="5966783F" w:rsidTr="5966783F" w14:paraId="40EC6E80">
        <w:trPr>
          <w:trHeight w:val="285"/>
        </w:trPr>
        <w:tc>
          <w:tcPr>
            <w:tcW w:w="2565" w:type="dxa"/>
            <w:tcBorders>
              <w:left w:val="single" w:sz="6"/>
            </w:tcBorders>
            <w:tcMar>
              <w:left w:w="90" w:type="dxa"/>
              <w:right w:w="90" w:type="dxa"/>
            </w:tcMar>
            <w:vAlign w:val="top"/>
          </w:tcPr>
          <w:p w:rsidR="5966783F" w:rsidP="5966783F" w:rsidRDefault="5966783F" w14:paraId="2B02882E" w14:textId="09808C3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Payback period</w:t>
            </w:r>
          </w:p>
        </w:tc>
        <w:tc>
          <w:tcPr>
            <w:tcW w:w="2565" w:type="dxa"/>
            <w:tcMar>
              <w:left w:w="90" w:type="dxa"/>
              <w:right w:w="90" w:type="dxa"/>
            </w:tcMar>
            <w:vAlign w:val="top"/>
          </w:tcPr>
          <w:p w:rsidR="5966783F" w:rsidP="5966783F" w:rsidRDefault="5966783F" w14:paraId="0A6139A0" w14:textId="35138BF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4.50 years</w:t>
            </w:r>
          </w:p>
        </w:tc>
        <w:tc>
          <w:tcPr>
            <w:tcW w:w="2565" w:type="dxa"/>
            <w:tcMar>
              <w:left w:w="90" w:type="dxa"/>
              <w:right w:w="90" w:type="dxa"/>
            </w:tcMar>
            <w:vAlign w:val="top"/>
          </w:tcPr>
          <w:p w:rsidR="5966783F" w:rsidP="5966783F" w:rsidRDefault="5966783F" w14:paraId="7EC7E649" w14:textId="43E3732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4.55 years</w:t>
            </w:r>
          </w:p>
        </w:tc>
        <w:tc>
          <w:tcPr>
            <w:tcW w:w="2565" w:type="dxa"/>
            <w:tcBorders>
              <w:right w:val="single" w:sz="6"/>
            </w:tcBorders>
            <w:tcMar>
              <w:left w:w="90" w:type="dxa"/>
              <w:right w:w="90" w:type="dxa"/>
            </w:tcMar>
            <w:vAlign w:val="top"/>
          </w:tcPr>
          <w:p w:rsidR="5966783F" w:rsidP="5966783F" w:rsidRDefault="5966783F" w14:paraId="7F8C53FD" w14:textId="3D98FA1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3.60 years</w:t>
            </w:r>
          </w:p>
        </w:tc>
      </w:tr>
      <w:tr w:rsidR="5966783F" w:rsidTr="5966783F" w14:paraId="2584B07D">
        <w:trPr>
          <w:trHeight w:val="285"/>
        </w:trPr>
        <w:tc>
          <w:tcPr>
            <w:tcW w:w="2565" w:type="dxa"/>
            <w:tcBorders>
              <w:left w:val="single" w:sz="6"/>
            </w:tcBorders>
            <w:tcMar>
              <w:left w:w="90" w:type="dxa"/>
              <w:right w:w="90" w:type="dxa"/>
            </w:tcMar>
            <w:vAlign w:val="top"/>
          </w:tcPr>
          <w:p w:rsidR="5966783F" w:rsidP="5966783F" w:rsidRDefault="5966783F" w14:paraId="728B7390" w14:textId="3EAF439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ARR</w:t>
            </w:r>
          </w:p>
        </w:tc>
        <w:tc>
          <w:tcPr>
            <w:tcW w:w="2565" w:type="dxa"/>
            <w:tcMar>
              <w:left w:w="90" w:type="dxa"/>
              <w:right w:w="90" w:type="dxa"/>
            </w:tcMar>
            <w:vAlign w:val="top"/>
          </w:tcPr>
          <w:p w:rsidR="5966783F" w:rsidP="5966783F" w:rsidRDefault="5966783F" w14:paraId="672EE112" w14:textId="6008C17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3.2%</w:t>
            </w:r>
          </w:p>
        </w:tc>
        <w:tc>
          <w:tcPr>
            <w:tcW w:w="2565" w:type="dxa"/>
            <w:tcMar>
              <w:left w:w="90" w:type="dxa"/>
              <w:right w:w="90" w:type="dxa"/>
            </w:tcMar>
            <w:vAlign w:val="top"/>
          </w:tcPr>
          <w:p w:rsidR="5966783F" w:rsidP="5966783F" w:rsidRDefault="5966783F" w14:paraId="53B11EB0" w14:textId="7F1C84E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4.0%</w:t>
            </w:r>
          </w:p>
        </w:tc>
        <w:tc>
          <w:tcPr>
            <w:tcW w:w="2565" w:type="dxa"/>
            <w:tcBorders>
              <w:right w:val="single" w:sz="6"/>
            </w:tcBorders>
            <w:tcMar>
              <w:left w:w="90" w:type="dxa"/>
              <w:right w:w="90" w:type="dxa"/>
            </w:tcMar>
            <w:vAlign w:val="top"/>
          </w:tcPr>
          <w:p w:rsidR="5966783F" w:rsidP="5966783F" w:rsidRDefault="5966783F" w14:paraId="67F5C1D3" w14:textId="5E09959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12.0%</w:t>
            </w:r>
          </w:p>
        </w:tc>
      </w:tr>
      <w:tr w:rsidR="5966783F" w:rsidTr="5966783F" w14:paraId="2479530A">
        <w:trPr>
          <w:trHeight w:val="285"/>
        </w:trPr>
        <w:tc>
          <w:tcPr>
            <w:tcW w:w="2565" w:type="dxa"/>
            <w:tcBorders>
              <w:left w:val="single" w:sz="6"/>
            </w:tcBorders>
            <w:tcMar>
              <w:left w:w="90" w:type="dxa"/>
              <w:right w:w="90" w:type="dxa"/>
            </w:tcMar>
            <w:vAlign w:val="top"/>
          </w:tcPr>
          <w:p w:rsidR="5966783F" w:rsidP="5966783F" w:rsidRDefault="5966783F" w14:paraId="345B520B" w14:textId="786EC1D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NPV at 8%</w:t>
            </w:r>
          </w:p>
        </w:tc>
        <w:tc>
          <w:tcPr>
            <w:tcW w:w="2565" w:type="dxa"/>
            <w:tcMar>
              <w:left w:w="90" w:type="dxa"/>
              <w:right w:w="90" w:type="dxa"/>
            </w:tcMar>
            <w:vAlign w:val="top"/>
          </w:tcPr>
          <w:p w:rsidR="5966783F" w:rsidP="5966783F" w:rsidRDefault="5966783F" w14:paraId="4E4B4771" w14:textId="1D8EE24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£-6.54m</w:t>
            </w:r>
          </w:p>
        </w:tc>
        <w:tc>
          <w:tcPr>
            <w:tcW w:w="2565" w:type="dxa"/>
            <w:tcMar>
              <w:left w:w="90" w:type="dxa"/>
              <w:right w:w="90" w:type="dxa"/>
            </w:tcMar>
            <w:vAlign w:val="top"/>
          </w:tcPr>
          <w:p w:rsidR="5966783F" w:rsidP="5966783F" w:rsidRDefault="5966783F" w14:paraId="705CCD2B" w14:textId="4C19A58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£-6.08m</w:t>
            </w:r>
          </w:p>
        </w:tc>
        <w:tc>
          <w:tcPr>
            <w:tcW w:w="2565" w:type="dxa"/>
            <w:tcBorders>
              <w:right w:val="single" w:sz="6"/>
            </w:tcBorders>
            <w:tcMar>
              <w:left w:w="90" w:type="dxa"/>
              <w:right w:w="90" w:type="dxa"/>
            </w:tcMar>
            <w:vAlign w:val="top"/>
          </w:tcPr>
          <w:p w:rsidR="5966783F" w:rsidP="5966783F" w:rsidRDefault="5966783F" w14:paraId="3DC11902" w14:textId="0F6079D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£0.86m</w:t>
            </w:r>
          </w:p>
        </w:tc>
      </w:tr>
      <w:tr w:rsidR="5966783F" w:rsidTr="5966783F" w14:paraId="3CDDF9F0">
        <w:trPr>
          <w:trHeight w:val="285"/>
        </w:trPr>
        <w:tc>
          <w:tcPr>
            <w:tcW w:w="2565" w:type="dxa"/>
            <w:tcBorders>
              <w:left w:val="single" w:sz="6"/>
            </w:tcBorders>
            <w:tcMar>
              <w:left w:w="90" w:type="dxa"/>
              <w:right w:w="90" w:type="dxa"/>
            </w:tcMar>
            <w:vAlign w:val="top"/>
          </w:tcPr>
          <w:p w:rsidR="5966783F" w:rsidP="5966783F" w:rsidRDefault="5966783F" w14:paraId="51BCEEBD" w14:textId="4D277E3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Profitability index</w:t>
            </w:r>
          </w:p>
        </w:tc>
        <w:tc>
          <w:tcPr>
            <w:tcW w:w="2565" w:type="dxa"/>
            <w:tcMar>
              <w:left w:w="90" w:type="dxa"/>
              <w:right w:w="90" w:type="dxa"/>
            </w:tcMar>
            <w:vAlign w:val="top"/>
          </w:tcPr>
          <w:p w:rsidR="5966783F" w:rsidP="5966783F" w:rsidRDefault="5966783F" w14:paraId="0C50F01C" w14:textId="7AC3500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0.869</w:t>
            </w:r>
          </w:p>
        </w:tc>
        <w:tc>
          <w:tcPr>
            <w:tcW w:w="2565" w:type="dxa"/>
            <w:tcMar>
              <w:left w:w="90" w:type="dxa"/>
              <w:right w:w="90" w:type="dxa"/>
            </w:tcMar>
            <w:vAlign w:val="top"/>
          </w:tcPr>
          <w:p w:rsidR="5966783F" w:rsidP="5966783F" w:rsidRDefault="5966783F" w14:paraId="3C90E2CB" w14:textId="31D60D3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0.878</w:t>
            </w:r>
          </w:p>
        </w:tc>
        <w:tc>
          <w:tcPr>
            <w:tcW w:w="2565" w:type="dxa"/>
            <w:tcBorders>
              <w:right w:val="single" w:sz="6"/>
            </w:tcBorders>
            <w:tcMar>
              <w:left w:w="90" w:type="dxa"/>
              <w:right w:w="90" w:type="dxa"/>
            </w:tcMar>
            <w:vAlign w:val="top"/>
          </w:tcPr>
          <w:p w:rsidR="5966783F" w:rsidP="5966783F" w:rsidRDefault="5966783F" w14:paraId="3576FBE4" w14:textId="482371B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1.017</w:t>
            </w:r>
          </w:p>
        </w:tc>
      </w:tr>
      <w:tr w:rsidR="5966783F" w:rsidTr="5966783F" w14:paraId="13CE1263">
        <w:trPr>
          <w:trHeight w:val="285"/>
        </w:trPr>
        <w:tc>
          <w:tcPr>
            <w:tcW w:w="2565" w:type="dxa"/>
            <w:tcBorders>
              <w:left w:val="single" w:sz="6"/>
              <w:bottom w:val="single" w:sz="6"/>
            </w:tcBorders>
            <w:tcMar>
              <w:left w:w="90" w:type="dxa"/>
              <w:right w:w="90" w:type="dxa"/>
            </w:tcMar>
            <w:vAlign w:val="top"/>
          </w:tcPr>
          <w:p w:rsidR="5966783F" w:rsidP="5966783F" w:rsidRDefault="5966783F" w14:paraId="49C8095C" w14:textId="06A3E36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IRR</w:t>
            </w:r>
          </w:p>
        </w:tc>
        <w:tc>
          <w:tcPr>
            <w:tcW w:w="2565" w:type="dxa"/>
            <w:tcBorders>
              <w:bottom w:val="single" w:sz="6"/>
            </w:tcBorders>
            <w:tcMar>
              <w:left w:w="90" w:type="dxa"/>
              <w:right w:w="90" w:type="dxa"/>
            </w:tcMar>
            <w:vAlign w:val="top"/>
          </w:tcPr>
          <w:p w:rsidR="5966783F" w:rsidP="5966783F" w:rsidRDefault="5966783F" w14:paraId="20A0C79A" w14:textId="489A9CC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2.72%</w:t>
            </w:r>
          </w:p>
        </w:tc>
        <w:tc>
          <w:tcPr>
            <w:tcW w:w="2565" w:type="dxa"/>
            <w:tcBorders>
              <w:bottom w:val="single" w:sz="6"/>
            </w:tcBorders>
            <w:tcMar>
              <w:left w:w="90" w:type="dxa"/>
              <w:right w:w="90" w:type="dxa"/>
            </w:tcMar>
            <w:vAlign w:val="top"/>
          </w:tcPr>
          <w:p w:rsidR="5966783F" w:rsidP="5966783F" w:rsidRDefault="5966783F" w14:paraId="05212B72" w14:textId="310C6DA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3.26%</w:t>
            </w:r>
          </w:p>
        </w:tc>
        <w:tc>
          <w:tcPr>
            <w:tcW w:w="2565" w:type="dxa"/>
            <w:tcBorders>
              <w:bottom w:val="single" w:sz="6"/>
              <w:right w:val="single" w:sz="6"/>
            </w:tcBorders>
            <w:tcMar>
              <w:left w:w="90" w:type="dxa"/>
              <w:right w:w="90" w:type="dxa"/>
            </w:tcMar>
            <w:vAlign w:val="top"/>
          </w:tcPr>
          <w:p w:rsidR="5966783F" w:rsidP="5966783F" w:rsidRDefault="5966783F" w14:paraId="21BFC229" w14:textId="3C9B77B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8.59%</w:t>
            </w:r>
          </w:p>
        </w:tc>
      </w:tr>
    </w:tbl>
    <w:p xmlns:wp14="http://schemas.microsoft.com/office/word/2010/wordml" w:rsidP="5966783F" wp14:paraId="79076A32" wp14:textId="171477EB">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Interpretation: Project C is the only acceptable standalone project because its NPV is positive (£0.86 million), its profitability index exceeds 1.0 and its IRR (8.59%) is above the 8% required return. Projects A and B have negative NPVs and should be rejected if projects are independent.</w:t>
      </w:r>
    </w:p>
    <w:p xmlns:wp14="http://schemas.microsoft.com/office/word/2010/wordml" w:rsidP="5966783F" wp14:paraId="0F54C2D4" wp14:textId="61F6880B">
      <w:pPr>
        <w:pStyle w:val="Normal"/>
        <w:keepNext w:val="1"/>
        <w:keepLines w:val="1"/>
        <w:bidi w:val="0"/>
        <w:rPr>
          <w:rFonts w:ascii="Arial" w:hAnsi="Arial" w:eastAsia="Arial" w:cs="Arial"/>
          <w:b w:val="0"/>
          <w:bCs w:val="0"/>
          <w:i w:val="0"/>
          <w:iCs w:val="0"/>
          <w:caps w:val="0"/>
          <w:smallCaps w:val="0"/>
          <w:noProof w:val="0"/>
          <w:color w:val="4F81BD"/>
          <w:sz w:val="32"/>
          <w:szCs w:val="32"/>
          <w:lang w:val="en-GB"/>
        </w:rPr>
      </w:pPr>
      <w:r w:rsidRPr="5966783F" w:rsidR="320BC377">
        <w:rPr>
          <w:noProof w:val="0"/>
          <w:sz w:val="32"/>
          <w:szCs w:val="32"/>
          <w:lang w:val="en-US"/>
        </w:rPr>
        <w:t>Table B4 – Capital Rationing (£100 million maximum)</w:t>
      </w:r>
    </w:p>
    <w:p xmlns:wp14="http://schemas.microsoft.com/office/word/2010/wordml" w:rsidP="5966783F" wp14:paraId="7469C8B9" wp14:textId="1859E386">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B4: Capital Rationing (£100 million maximum)</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3435"/>
        <w:gridCol w:w="3435"/>
        <w:gridCol w:w="3435"/>
      </w:tblGrid>
      <w:tr w:rsidR="5966783F" w:rsidTr="5966783F" w14:paraId="7EF4C831">
        <w:trPr>
          <w:trHeight w:val="285"/>
        </w:trPr>
        <w:tc>
          <w:tcPr>
            <w:tcW w:w="3435"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77F3FAC8" w14:textId="6C24E675">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Combination</w:t>
            </w:r>
          </w:p>
        </w:tc>
        <w:tc>
          <w:tcPr>
            <w:tcW w:w="3435" w:type="dxa"/>
            <w:tcBorders>
              <w:top w:val="single" w:sz="6"/>
            </w:tcBorders>
            <w:shd w:val="clear" w:color="auto" w:fill="215E99" w:themeFill="text2" w:themeFillTint="BF"/>
            <w:tcMar>
              <w:left w:w="90" w:type="dxa"/>
              <w:right w:w="90" w:type="dxa"/>
            </w:tcMar>
            <w:vAlign w:val="top"/>
          </w:tcPr>
          <w:p w:rsidR="5966783F" w:rsidP="5966783F" w:rsidRDefault="5966783F" w14:paraId="54296708" w14:textId="666D7424">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Total investment</w:t>
            </w:r>
          </w:p>
        </w:tc>
        <w:tc>
          <w:tcPr>
            <w:tcW w:w="3435"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6485171D" w14:textId="2F16BFE6">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Combined NPV</w:t>
            </w:r>
          </w:p>
        </w:tc>
      </w:tr>
      <w:tr w:rsidR="5966783F" w:rsidTr="5966783F" w14:paraId="29912F68">
        <w:trPr>
          <w:trHeight w:val="285"/>
        </w:trPr>
        <w:tc>
          <w:tcPr>
            <w:tcW w:w="3435" w:type="dxa"/>
            <w:tcBorders>
              <w:left w:val="single" w:sz="6"/>
            </w:tcBorders>
            <w:shd w:val="clear" w:color="auto" w:fill="FFC000"/>
            <w:tcMar>
              <w:left w:w="90" w:type="dxa"/>
              <w:right w:w="90" w:type="dxa"/>
            </w:tcMar>
            <w:vAlign w:val="top"/>
          </w:tcPr>
          <w:p w:rsidR="5966783F" w:rsidP="5966783F" w:rsidRDefault="5966783F" w14:paraId="6A914221" w14:textId="037C990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A + B</w:t>
            </w:r>
          </w:p>
        </w:tc>
        <w:tc>
          <w:tcPr>
            <w:tcW w:w="3435" w:type="dxa"/>
            <w:tcMar>
              <w:left w:w="90" w:type="dxa"/>
              <w:right w:w="90" w:type="dxa"/>
            </w:tcMar>
            <w:vAlign w:val="top"/>
          </w:tcPr>
          <w:p w:rsidR="5966783F" w:rsidP="5966783F" w:rsidRDefault="5966783F" w14:paraId="16CE39A0" w14:textId="18EF4F4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£100m</w:t>
            </w:r>
          </w:p>
        </w:tc>
        <w:tc>
          <w:tcPr>
            <w:tcW w:w="3435" w:type="dxa"/>
            <w:tcBorders>
              <w:right w:val="single" w:sz="6"/>
            </w:tcBorders>
            <w:tcMar>
              <w:left w:w="90" w:type="dxa"/>
              <w:right w:w="90" w:type="dxa"/>
            </w:tcMar>
            <w:vAlign w:val="top"/>
          </w:tcPr>
          <w:p w:rsidR="5966783F" w:rsidP="5966783F" w:rsidRDefault="5966783F" w14:paraId="1D00CC24" w14:textId="6F5E623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£-12.62m</w:t>
            </w:r>
          </w:p>
        </w:tc>
      </w:tr>
      <w:tr w:rsidR="5966783F" w:rsidTr="5966783F" w14:paraId="4333CAEE">
        <w:trPr>
          <w:trHeight w:val="285"/>
        </w:trPr>
        <w:tc>
          <w:tcPr>
            <w:tcW w:w="3435" w:type="dxa"/>
            <w:tcBorders>
              <w:left w:val="single" w:sz="6"/>
            </w:tcBorders>
            <w:shd w:val="clear" w:color="auto" w:fill="FFC000"/>
            <w:tcMar>
              <w:left w:w="90" w:type="dxa"/>
              <w:right w:w="90" w:type="dxa"/>
            </w:tcMar>
            <w:vAlign w:val="top"/>
          </w:tcPr>
          <w:p w:rsidR="5966783F" w:rsidP="5966783F" w:rsidRDefault="5966783F" w14:paraId="21B2EAA2" w14:textId="1F8272E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A + C</w:t>
            </w:r>
          </w:p>
        </w:tc>
        <w:tc>
          <w:tcPr>
            <w:tcW w:w="3435" w:type="dxa"/>
            <w:tcMar>
              <w:left w:w="90" w:type="dxa"/>
              <w:right w:w="90" w:type="dxa"/>
            </w:tcMar>
            <w:vAlign w:val="top"/>
          </w:tcPr>
          <w:p w:rsidR="5966783F" w:rsidP="5966783F" w:rsidRDefault="5966783F" w14:paraId="12204EAB" w14:textId="0F99838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£100m</w:t>
            </w:r>
          </w:p>
        </w:tc>
        <w:tc>
          <w:tcPr>
            <w:tcW w:w="3435" w:type="dxa"/>
            <w:tcBorders>
              <w:right w:val="single" w:sz="6"/>
            </w:tcBorders>
            <w:tcMar>
              <w:left w:w="90" w:type="dxa"/>
              <w:right w:w="90" w:type="dxa"/>
            </w:tcMar>
            <w:vAlign w:val="top"/>
          </w:tcPr>
          <w:p w:rsidR="5966783F" w:rsidP="5966783F" w:rsidRDefault="5966783F" w14:paraId="631BB214" w14:textId="10DD36D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£-5.69m</w:t>
            </w:r>
          </w:p>
        </w:tc>
      </w:tr>
      <w:tr w:rsidR="5966783F" w:rsidTr="5966783F" w14:paraId="65A345CA">
        <w:trPr>
          <w:trHeight w:val="285"/>
        </w:trPr>
        <w:tc>
          <w:tcPr>
            <w:tcW w:w="3435" w:type="dxa"/>
            <w:tcBorders>
              <w:left w:val="single" w:sz="6"/>
              <w:bottom w:val="single" w:sz="6"/>
            </w:tcBorders>
            <w:shd w:val="clear" w:color="auto" w:fill="FFC000"/>
            <w:tcMar>
              <w:left w:w="90" w:type="dxa"/>
              <w:right w:w="90" w:type="dxa"/>
            </w:tcMar>
            <w:vAlign w:val="top"/>
          </w:tcPr>
          <w:p w:rsidR="5966783F" w:rsidP="5966783F" w:rsidRDefault="5966783F" w14:paraId="41DF1057" w14:textId="53E3572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B + C</w:t>
            </w:r>
          </w:p>
        </w:tc>
        <w:tc>
          <w:tcPr>
            <w:tcW w:w="3435" w:type="dxa"/>
            <w:tcBorders>
              <w:bottom w:val="single" w:sz="6"/>
            </w:tcBorders>
            <w:tcMar>
              <w:left w:w="90" w:type="dxa"/>
              <w:right w:w="90" w:type="dxa"/>
            </w:tcMar>
            <w:vAlign w:val="top"/>
          </w:tcPr>
          <w:p w:rsidR="5966783F" w:rsidP="5966783F" w:rsidRDefault="5966783F" w14:paraId="6B07E8C5" w14:textId="4425334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£100m</w:t>
            </w:r>
          </w:p>
        </w:tc>
        <w:tc>
          <w:tcPr>
            <w:tcW w:w="3435" w:type="dxa"/>
            <w:tcBorders>
              <w:bottom w:val="single" w:sz="6"/>
              <w:right w:val="single" w:sz="6"/>
            </w:tcBorders>
            <w:tcMar>
              <w:left w:w="90" w:type="dxa"/>
              <w:right w:w="90" w:type="dxa"/>
            </w:tcMar>
            <w:vAlign w:val="top"/>
          </w:tcPr>
          <w:p w:rsidR="5966783F" w:rsidP="5966783F" w:rsidRDefault="5966783F" w14:paraId="46F79A50" w14:textId="5EB2090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£-5.22m</w:t>
            </w:r>
          </w:p>
        </w:tc>
      </w:tr>
    </w:tbl>
    <w:p xmlns:wp14="http://schemas.microsoft.com/office/word/2010/wordml" w:rsidP="5966783F" wp14:paraId="066F6E2A" wp14:textId="68C92C50">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If the Board insists on selecting exactly two projects, B + C has the highest combined NPV, although it is still negative at approximately £5.22 million. Under value-maximisation principles, the stronger recommendation is to invest only £50 million in Project C and leave the remaining budget uncommitted or seek another positive-NPV project.</w:t>
      </w:r>
    </w:p>
    <w:p xmlns:wp14="http://schemas.microsoft.com/office/word/2010/wordml" w:rsidP="5966783F" wp14:paraId="73BC0FC9" wp14:textId="66460288">
      <w:pPr>
        <w:pStyle w:val="Normal"/>
        <w:keepNext w:val="1"/>
        <w:keepLines w:val="1"/>
        <w:bidi w:val="0"/>
        <w:rPr>
          <w:rFonts w:ascii="Arial" w:hAnsi="Arial" w:eastAsia="Arial" w:cs="Arial"/>
          <w:b w:val="0"/>
          <w:bCs w:val="0"/>
          <w:i w:val="0"/>
          <w:iCs w:val="0"/>
          <w:caps w:val="0"/>
          <w:smallCaps w:val="0"/>
          <w:noProof w:val="0"/>
          <w:color w:val="365F91"/>
          <w:sz w:val="32"/>
          <w:szCs w:val="32"/>
          <w:lang w:val="en-GB"/>
        </w:rPr>
      </w:pPr>
      <w:r w:rsidRPr="5966783F" w:rsidR="320BC377">
        <w:rPr>
          <w:noProof w:val="0"/>
          <w:sz w:val="32"/>
          <w:szCs w:val="32"/>
          <w:lang w:val="en-US"/>
        </w:rPr>
        <w:t>Appendix C – Supporting Financial Data</w:t>
      </w:r>
    </w:p>
    <w:p xmlns:wp14="http://schemas.microsoft.com/office/word/2010/wordml" w:rsidP="5966783F" wp14:paraId="635F05A7" wp14:textId="7289A0CE">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66783F" w:rsidR="320BC3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C1: Supporting Financial Data 2021–2025</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710"/>
        <w:gridCol w:w="1710"/>
        <w:gridCol w:w="1710"/>
        <w:gridCol w:w="1710"/>
        <w:gridCol w:w="1710"/>
        <w:gridCol w:w="1710"/>
      </w:tblGrid>
      <w:tr w:rsidR="5966783F" w:rsidTr="5966783F" w14:paraId="533B7C46">
        <w:trPr>
          <w:trHeight w:val="285"/>
        </w:trPr>
        <w:tc>
          <w:tcPr>
            <w:tcW w:w="1710" w:type="dxa"/>
            <w:tcBorders>
              <w:top w:val="single" w:sz="6"/>
              <w:left w:val="single" w:sz="6"/>
            </w:tcBorders>
            <w:shd w:val="clear" w:color="auto" w:fill="215E99" w:themeFill="text2" w:themeFillTint="BF"/>
            <w:tcMar>
              <w:left w:w="90" w:type="dxa"/>
              <w:right w:w="90" w:type="dxa"/>
            </w:tcMar>
            <w:vAlign w:val="top"/>
          </w:tcPr>
          <w:p w:rsidR="5966783F" w:rsidP="5966783F" w:rsidRDefault="5966783F" w14:paraId="55AA0DC6" w14:textId="0FFE12BA">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Financial item (US$m)</w:t>
            </w:r>
          </w:p>
        </w:tc>
        <w:tc>
          <w:tcPr>
            <w:tcW w:w="1710" w:type="dxa"/>
            <w:tcBorders>
              <w:top w:val="single" w:sz="6"/>
            </w:tcBorders>
            <w:shd w:val="clear" w:color="auto" w:fill="215E99" w:themeFill="text2" w:themeFillTint="BF"/>
            <w:tcMar>
              <w:left w:w="90" w:type="dxa"/>
              <w:right w:w="90" w:type="dxa"/>
            </w:tcMar>
            <w:vAlign w:val="top"/>
          </w:tcPr>
          <w:p w:rsidR="5966783F" w:rsidP="5966783F" w:rsidRDefault="5966783F" w14:paraId="4DD2FC65" w14:textId="4BDF8910">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2021</w:t>
            </w:r>
          </w:p>
        </w:tc>
        <w:tc>
          <w:tcPr>
            <w:tcW w:w="1710" w:type="dxa"/>
            <w:tcBorders>
              <w:top w:val="single" w:sz="6"/>
            </w:tcBorders>
            <w:shd w:val="clear" w:color="auto" w:fill="215E99" w:themeFill="text2" w:themeFillTint="BF"/>
            <w:tcMar>
              <w:left w:w="90" w:type="dxa"/>
              <w:right w:w="90" w:type="dxa"/>
            </w:tcMar>
            <w:vAlign w:val="top"/>
          </w:tcPr>
          <w:p w:rsidR="5966783F" w:rsidP="5966783F" w:rsidRDefault="5966783F" w14:paraId="1480833D" w14:textId="7EFC6669">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2022</w:t>
            </w:r>
          </w:p>
        </w:tc>
        <w:tc>
          <w:tcPr>
            <w:tcW w:w="1710" w:type="dxa"/>
            <w:tcBorders>
              <w:top w:val="single" w:sz="6"/>
            </w:tcBorders>
            <w:shd w:val="clear" w:color="auto" w:fill="215E99" w:themeFill="text2" w:themeFillTint="BF"/>
            <w:tcMar>
              <w:left w:w="90" w:type="dxa"/>
              <w:right w:w="90" w:type="dxa"/>
            </w:tcMar>
            <w:vAlign w:val="top"/>
          </w:tcPr>
          <w:p w:rsidR="5966783F" w:rsidP="5966783F" w:rsidRDefault="5966783F" w14:paraId="6D5C9A58" w14:textId="60A6E62E">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2023</w:t>
            </w:r>
          </w:p>
        </w:tc>
        <w:tc>
          <w:tcPr>
            <w:tcW w:w="1710" w:type="dxa"/>
            <w:tcBorders>
              <w:top w:val="single" w:sz="6"/>
            </w:tcBorders>
            <w:shd w:val="clear" w:color="auto" w:fill="215E99" w:themeFill="text2" w:themeFillTint="BF"/>
            <w:tcMar>
              <w:left w:w="90" w:type="dxa"/>
              <w:right w:w="90" w:type="dxa"/>
            </w:tcMar>
            <w:vAlign w:val="top"/>
          </w:tcPr>
          <w:p w:rsidR="5966783F" w:rsidP="5966783F" w:rsidRDefault="5966783F" w14:paraId="0885AEE9" w14:textId="53B37D8B">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2024</w:t>
            </w:r>
          </w:p>
        </w:tc>
        <w:tc>
          <w:tcPr>
            <w:tcW w:w="1710" w:type="dxa"/>
            <w:tcBorders>
              <w:top w:val="single" w:sz="6"/>
              <w:right w:val="single" w:sz="6"/>
            </w:tcBorders>
            <w:shd w:val="clear" w:color="auto" w:fill="215E99" w:themeFill="text2" w:themeFillTint="BF"/>
            <w:tcMar>
              <w:left w:w="90" w:type="dxa"/>
              <w:right w:w="90" w:type="dxa"/>
            </w:tcMar>
            <w:vAlign w:val="top"/>
          </w:tcPr>
          <w:p w:rsidR="5966783F" w:rsidP="5966783F" w:rsidRDefault="5966783F" w14:paraId="0ED5B97C" w14:textId="7FDC36E9">
            <w:pPr>
              <w:bidi w:val="0"/>
              <w:spacing w:line="360" w:lineRule="auto"/>
              <w:rPr>
                <w:rFonts w:ascii="Arial" w:hAnsi="Arial" w:eastAsia="Arial" w:cs="Arial"/>
                <w:b w:val="0"/>
                <w:bCs w:val="0"/>
                <w:i w:val="0"/>
                <w:iCs w:val="0"/>
                <w:color w:val="F5F5F5"/>
                <w:sz w:val="20"/>
                <w:szCs w:val="20"/>
              </w:rPr>
            </w:pPr>
            <w:r w:rsidRPr="5966783F" w:rsidR="5966783F">
              <w:rPr>
                <w:rFonts w:ascii="Arial" w:hAnsi="Arial" w:eastAsia="Arial" w:cs="Arial"/>
                <w:b w:val="0"/>
                <w:bCs w:val="0"/>
                <w:i w:val="0"/>
                <w:iCs w:val="0"/>
                <w:color w:val="FFFFFF" w:themeColor="background1" w:themeTint="FF" w:themeShade="FF"/>
                <w:sz w:val="20"/>
                <w:szCs w:val="20"/>
                <w:lang w:val="en-US"/>
              </w:rPr>
              <w:t>2025</w:t>
            </w:r>
          </w:p>
        </w:tc>
      </w:tr>
      <w:tr w:rsidR="5966783F" w:rsidTr="5966783F" w14:paraId="1F146406">
        <w:trPr>
          <w:trHeight w:val="285"/>
        </w:trPr>
        <w:tc>
          <w:tcPr>
            <w:tcW w:w="1710" w:type="dxa"/>
            <w:tcBorders>
              <w:left w:val="single" w:sz="6"/>
            </w:tcBorders>
            <w:tcMar>
              <w:left w:w="90" w:type="dxa"/>
              <w:right w:w="90" w:type="dxa"/>
            </w:tcMar>
            <w:vAlign w:val="top"/>
          </w:tcPr>
          <w:p w:rsidR="5966783F" w:rsidP="5966783F" w:rsidRDefault="5966783F" w14:paraId="22B6F283" w14:textId="58B0766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revenue</w:t>
            </w:r>
          </w:p>
        </w:tc>
        <w:tc>
          <w:tcPr>
            <w:tcW w:w="1710" w:type="dxa"/>
            <w:tcMar>
              <w:left w:w="90" w:type="dxa"/>
              <w:right w:w="90" w:type="dxa"/>
            </w:tcMar>
            <w:vAlign w:val="top"/>
          </w:tcPr>
          <w:p w:rsidR="5966783F" w:rsidP="5966783F" w:rsidRDefault="5966783F" w14:paraId="2B7EA85E" w14:textId="261107F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5,788</w:t>
            </w:r>
          </w:p>
        </w:tc>
        <w:tc>
          <w:tcPr>
            <w:tcW w:w="1710" w:type="dxa"/>
            <w:tcMar>
              <w:left w:w="90" w:type="dxa"/>
              <w:right w:w="90" w:type="dxa"/>
            </w:tcMar>
            <w:vAlign w:val="top"/>
          </w:tcPr>
          <w:p w:rsidR="5966783F" w:rsidP="5966783F" w:rsidRDefault="5966783F" w14:paraId="0C6CFB30" w14:textId="517EF93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8,773</w:t>
            </w:r>
          </w:p>
        </w:tc>
        <w:tc>
          <w:tcPr>
            <w:tcW w:w="1710" w:type="dxa"/>
            <w:tcMar>
              <w:left w:w="90" w:type="dxa"/>
              <w:right w:w="90" w:type="dxa"/>
            </w:tcMar>
            <w:vAlign w:val="top"/>
          </w:tcPr>
          <w:p w:rsidR="5966783F" w:rsidP="5966783F" w:rsidRDefault="5966783F" w14:paraId="72E834D9" w14:textId="67F0286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10,235</w:t>
            </w:r>
          </w:p>
        </w:tc>
        <w:tc>
          <w:tcPr>
            <w:tcW w:w="1710" w:type="dxa"/>
            <w:tcMar>
              <w:left w:w="90" w:type="dxa"/>
              <w:right w:w="90" w:type="dxa"/>
            </w:tcMar>
            <w:vAlign w:val="top"/>
          </w:tcPr>
          <w:p w:rsidR="5966783F" w:rsidP="5966783F" w:rsidRDefault="5966783F" w14:paraId="38EBE729" w14:textId="04841EE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11,174</w:t>
            </w:r>
          </w:p>
        </w:tc>
        <w:tc>
          <w:tcPr>
            <w:tcW w:w="1710" w:type="dxa"/>
            <w:tcBorders>
              <w:right w:val="single" w:sz="6"/>
            </w:tcBorders>
            <w:tcMar>
              <w:left w:w="90" w:type="dxa"/>
              <w:right w:w="90" w:type="dxa"/>
            </w:tcMar>
            <w:vAlign w:val="top"/>
          </w:tcPr>
          <w:p w:rsidR="5966783F" w:rsidP="5966783F" w:rsidRDefault="5966783F" w14:paraId="62F85010" w14:textId="15A9851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12,039</w:t>
            </w:r>
          </w:p>
        </w:tc>
      </w:tr>
      <w:tr w:rsidR="5966783F" w:rsidTr="5966783F" w14:paraId="2F029160">
        <w:trPr>
          <w:trHeight w:val="285"/>
        </w:trPr>
        <w:tc>
          <w:tcPr>
            <w:tcW w:w="1710" w:type="dxa"/>
            <w:tcBorders>
              <w:left w:val="single" w:sz="6"/>
            </w:tcBorders>
            <w:tcMar>
              <w:left w:w="90" w:type="dxa"/>
              <w:right w:w="90" w:type="dxa"/>
            </w:tcMar>
            <w:vAlign w:val="top"/>
          </w:tcPr>
          <w:p w:rsidR="5966783F" w:rsidP="5966783F" w:rsidRDefault="5966783F" w14:paraId="7716A207" w14:textId="1800CF6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Operating income</w:t>
            </w:r>
          </w:p>
        </w:tc>
        <w:tc>
          <w:tcPr>
            <w:tcW w:w="1710" w:type="dxa"/>
            <w:tcMar>
              <w:left w:w="90" w:type="dxa"/>
              <w:right w:w="90" w:type="dxa"/>
            </w:tcMar>
            <w:vAlign w:val="top"/>
          </w:tcPr>
          <w:p w:rsidR="5966783F" w:rsidP="5966783F" w:rsidRDefault="5966783F" w14:paraId="183775CE" w14:textId="24B0EFB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1,010</w:t>
            </w:r>
          </w:p>
        </w:tc>
        <w:tc>
          <w:tcPr>
            <w:tcW w:w="1710" w:type="dxa"/>
            <w:tcMar>
              <w:left w:w="90" w:type="dxa"/>
              <w:right w:w="90" w:type="dxa"/>
            </w:tcMar>
            <w:vAlign w:val="top"/>
          </w:tcPr>
          <w:p w:rsidR="5966783F" w:rsidP="5966783F" w:rsidRDefault="5966783F" w14:paraId="17E9F968" w14:textId="07FD17D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2,094</w:t>
            </w:r>
          </w:p>
        </w:tc>
        <w:tc>
          <w:tcPr>
            <w:tcW w:w="1710" w:type="dxa"/>
            <w:tcMar>
              <w:left w:w="90" w:type="dxa"/>
              <w:right w:w="90" w:type="dxa"/>
            </w:tcMar>
            <w:vAlign w:val="top"/>
          </w:tcPr>
          <w:p w:rsidR="5966783F" w:rsidP="5966783F" w:rsidRDefault="5966783F" w14:paraId="04152D0A" w14:textId="7C08581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2,225</w:t>
            </w:r>
          </w:p>
        </w:tc>
        <w:tc>
          <w:tcPr>
            <w:tcW w:w="1710" w:type="dxa"/>
            <w:tcMar>
              <w:left w:w="90" w:type="dxa"/>
              <w:right w:w="90" w:type="dxa"/>
            </w:tcMar>
            <w:vAlign w:val="top"/>
          </w:tcPr>
          <w:p w:rsidR="5966783F" w:rsidP="5966783F" w:rsidRDefault="5966783F" w14:paraId="7069B1DE" w14:textId="576B307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2,370</w:t>
            </w:r>
          </w:p>
        </w:tc>
        <w:tc>
          <w:tcPr>
            <w:tcW w:w="1710" w:type="dxa"/>
            <w:tcBorders>
              <w:right w:val="single" w:sz="6"/>
            </w:tcBorders>
            <w:tcMar>
              <w:left w:w="90" w:type="dxa"/>
              <w:right w:w="90" w:type="dxa"/>
            </w:tcMar>
            <w:vAlign w:val="top"/>
          </w:tcPr>
          <w:p w:rsidR="5966783F" w:rsidP="5966783F" w:rsidRDefault="5966783F" w14:paraId="66A54D01" w14:textId="03A2E07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2,693</w:t>
            </w:r>
          </w:p>
        </w:tc>
      </w:tr>
      <w:tr w:rsidR="5966783F" w:rsidTr="5966783F" w14:paraId="1345CB23">
        <w:trPr>
          <w:trHeight w:val="285"/>
        </w:trPr>
        <w:tc>
          <w:tcPr>
            <w:tcW w:w="1710" w:type="dxa"/>
            <w:tcBorders>
              <w:left w:val="single" w:sz="6"/>
            </w:tcBorders>
            <w:tcMar>
              <w:left w:w="90" w:type="dxa"/>
              <w:right w:w="90" w:type="dxa"/>
            </w:tcMar>
            <w:vAlign w:val="top"/>
          </w:tcPr>
          <w:p w:rsidR="5966783F" w:rsidP="5966783F" w:rsidRDefault="5966783F" w14:paraId="342BCAC8" w14:textId="6D210F9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income</w:t>
            </w:r>
          </w:p>
        </w:tc>
        <w:tc>
          <w:tcPr>
            <w:tcW w:w="1710" w:type="dxa"/>
            <w:tcMar>
              <w:left w:w="90" w:type="dxa"/>
              <w:right w:w="90" w:type="dxa"/>
            </w:tcMar>
            <w:vAlign w:val="top"/>
          </w:tcPr>
          <w:p w:rsidR="5966783F" w:rsidP="5966783F" w:rsidRDefault="5966783F" w14:paraId="60DA5DE5" w14:textId="4684CA3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407</w:t>
            </w:r>
          </w:p>
        </w:tc>
        <w:tc>
          <w:tcPr>
            <w:tcW w:w="1710" w:type="dxa"/>
            <w:tcMar>
              <w:left w:w="90" w:type="dxa"/>
              <w:right w:w="90" w:type="dxa"/>
            </w:tcMar>
            <w:vAlign w:val="top"/>
          </w:tcPr>
          <w:p w:rsidR="5966783F" w:rsidP="5966783F" w:rsidRDefault="5966783F" w14:paraId="34350A1E" w14:textId="5AC149D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1,257</w:t>
            </w:r>
          </w:p>
        </w:tc>
        <w:tc>
          <w:tcPr>
            <w:tcW w:w="1710" w:type="dxa"/>
            <w:tcMar>
              <w:left w:w="90" w:type="dxa"/>
              <w:right w:w="90" w:type="dxa"/>
            </w:tcMar>
            <w:vAlign w:val="top"/>
          </w:tcPr>
          <w:p w:rsidR="5966783F" w:rsidP="5966783F" w:rsidRDefault="5966783F" w14:paraId="70D04E70" w14:textId="1001B0A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1,151</w:t>
            </w:r>
          </w:p>
        </w:tc>
        <w:tc>
          <w:tcPr>
            <w:tcW w:w="1710" w:type="dxa"/>
            <w:tcMar>
              <w:left w:w="90" w:type="dxa"/>
              <w:right w:w="90" w:type="dxa"/>
            </w:tcMar>
            <w:vAlign w:val="top"/>
          </w:tcPr>
          <w:p w:rsidR="5966783F" w:rsidP="5966783F" w:rsidRDefault="5966783F" w14:paraId="184B359D" w14:textId="15001CD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1,539</w:t>
            </w:r>
          </w:p>
        </w:tc>
        <w:tc>
          <w:tcPr>
            <w:tcW w:w="1710" w:type="dxa"/>
            <w:tcBorders>
              <w:right w:val="single" w:sz="6"/>
            </w:tcBorders>
            <w:tcMar>
              <w:left w:w="90" w:type="dxa"/>
              <w:right w:w="90" w:type="dxa"/>
            </w:tcMar>
            <w:vAlign w:val="top"/>
          </w:tcPr>
          <w:p w:rsidR="5966783F" w:rsidP="5966783F" w:rsidRDefault="5966783F" w14:paraId="3F45E9EA" w14:textId="7D5131E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1,461</w:t>
            </w:r>
          </w:p>
        </w:tc>
      </w:tr>
      <w:tr w:rsidR="5966783F" w:rsidTr="5966783F" w14:paraId="13F721C6">
        <w:trPr>
          <w:trHeight w:val="285"/>
        </w:trPr>
        <w:tc>
          <w:tcPr>
            <w:tcW w:w="1710" w:type="dxa"/>
            <w:tcBorders>
              <w:left w:val="single" w:sz="6"/>
            </w:tcBorders>
            <w:tcMar>
              <w:left w:w="90" w:type="dxa"/>
              <w:right w:w="90" w:type="dxa"/>
            </w:tcMar>
            <w:vAlign w:val="top"/>
          </w:tcPr>
          <w:p w:rsidR="5966783F" w:rsidP="5966783F" w:rsidRDefault="5966783F" w14:paraId="18F278FA" w14:textId="0208E95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current assets</w:t>
            </w:r>
          </w:p>
        </w:tc>
        <w:tc>
          <w:tcPr>
            <w:tcW w:w="1710" w:type="dxa"/>
            <w:tcMar>
              <w:left w:w="90" w:type="dxa"/>
              <w:right w:w="90" w:type="dxa"/>
            </w:tcMar>
            <w:vAlign w:val="top"/>
          </w:tcPr>
          <w:p w:rsidR="5966783F" w:rsidP="5966783F" w:rsidRDefault="5966783F" w14:paraId="2C1CA6FE" w14:textId="50A107B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2,871</w:t>
            </w:r>
          </w:p>
        </w:tc>
        <w:tc>
          <w:tcPr>
            <w:tcW w:w="1710" w:type="dxa"/>
            <w:tcMar>
              <w:left w:w="90" w:type="dxa"/>
              <w:right w:w="90" w:type="dxa"/>
            </w:tcMar>
            <w:vAlign w:val="top"/>
          </w:tcPr>
          <w:p w:rsidR="5966783F" w:rsidP="5966783F" w:rsidRDefault="5966783F" w14:paraId="64E7FA35" w14:textId="24117C2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2,870</w:t>
            </w:r>
          </w:p>
        </w:tc>
        <w:tc>
          <w:tcPr>
            <w:tcW w:w="1710" w:type="dxa"/>
            <w:tcMar>
              <w:left w:w="90" w:type="dxa"/>
              <w:right w:w="90" w:type="dxa"/>
            </w:tcMar>
            <w:vAlign w:val="top"/>
          </w:tcPr>
          <w:p w:rsidR="5966783F" w:rsidP="5966783F" w:rsidRDefault="5966783F" w14:paraId="2B7F1B3B" w14:textId="42A2F99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2,614</w:t>
            </w:r>
          </w:p>
        </w:tc>
        <w:tc>
          <w:tcPr>
            <w:tcW w:w="1710" w:type="dxa"/>
            <w:tcMar>
              <w:left w:w="90" w:type="dxa"/>
              <w:right w:w="90" w:type="dxa"/>
            </w:tcMar>
            <w:vAlign w:val="top"/>
          </w:tcPr>
          <w:p w:rsidR="5966783F" w:rsidP="5966783F" w:rsidRDefault="5966783F" w14:paraId="0E1F38FA" w14:textId="5B65F89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3,272</w:t>
            </w:r>
          </w:p>
        </w:tc>
        <w:tc>
          <w:tcPr>
            <w:tcW w:w="1710" w:type="dxa"/>
            <w:tcBorders>
              <w:right w:val="single" w:sz="6"/>
            </w:tcBorders>
            <w:tcMar>
              <w:left w:w="90" w:type="dxa"/>
              <w:right w:w="90" w:type="dxa"/>
            </w:tcMar>
            <w:vAlign w:val="top"/>
          </w:tcPr>
          <w:p w:rsidR="5966783F" w:rsidP="5966783F" w:rsidRDefault="5966783F" w14:paraId="50CE0B02" w14:textId="7C39FFD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2,996</w:t>
            </w:r>
          </w:p>
        </w:tc>
      </w:tr>
      <w:tr w:rsidR="5966783F" w:rsidTr="5966783F" w14:paraId="7791D29C">
        <w:trPr>
          <w:trHeight w:val="285"/>
        </w:trPr>
        <w:tc>
          <w:tcPr>
            <w:tcW w:w="1710" w:type="dxa"/>
            <w:tcBorders>
              <w:left w:val="single" w:sz="6"/>
            </w:tcBorders>
            <w:tcMar>
              <w:left w:w="90" w:type="dxa"/>
              <w:right w:w="90" w:type="dxa"/>
            </w:tcMar>
            <w:vAlign w:val="top"/>
          </w:tcPr>
          <w:p w:rsidR="5966783F" w:rsidP="5966783F" w:rsidRDefault="5966783F" w14:paraId="27FD6C2C" w14:textId="0A0F5C7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current liabilities</w:t>
            </w:r>
          </w:p>
        </w:tc>
        <w:tc>
          <w:tcPr>
            <w:tcW w:w="1710" w:type="dxa"/>
            <w:tcMar>
              <w:left w:w="90" w:type="dxa"/>
              <w:right w:w="90" w:type="dxa"/>
            </w:tcMar>
            <w:vAlign w:val="top"/>
          </w:tcPr>
          <w:p w:rsidR="5966783F" w:rsidP="5966783F" w:rsidRDefault="5966783F" w14:paraId="60697920" w14:textId="4E296E5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3,019</w:t>
            </w:r>
          </w:p>
        </w:tc>
        <w:tc>
          <w:tcPr>
            <w:tcW w:w="1710" w:type="dxa"/>
            <w:tcMar>
              <w:left w:w="90" w:type="dxa"/>
              <w:right w:w="90" w:type="dxa"/>
            </w:tcMar>
            <w:vAlign w:val="top"/>
          </w:tcPr>
          <w:p w:rsidR="5966783F" w:rsidP="5966783F" w:rsidRDefault="5966783F" w14:paraId="34122744" w14:textId="3FB604F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3,372</w:t>
            </w:r>
          </w:p>
        </w:tc>
        <w:tc>
          <w:tcPr>
            <w:tcW w:w="1710" w:type="dxa"/>
            <w:tcMar>
              <w:left w:w="90" w:type="dxa"/>
              <w:right w:w="90" w:type="dxa"/>
            </w:tcMar>
            <w:vAlign w:val="top"/>
          </w:tcPr>
          <w:p w:rsidR="5966783F" w:rsidP="5966783F" w:rsidRDefault="5966783F" w14:paraId="52DAE87D" w14:textId="6B8E00C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3,722</w:t>
            </w:r>
          </w:p>
        </w:tc>
        <w:tc>
          <w:tcPr>
            <w:tcW w:w="1710" w:type="dxa"/>
            <w:tcMar>
              <w:left w:w="90" w:type="dxa"/>
              <w:right w:w="90" w:type="dxa"/>
            </w:tcMar>
            <w:vAlign w:val="top"/>
          </w:tcPr>
          <w:p w:rsidR="5966783F" w:rsidP="5966783F" w:rsidRDefault="5966783F" w14:paraId="1ED27352" w14:textId="3E933FF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4,700</w:t>
            </w:r>
          </w:p>
        </w:tc>
        <w:tc>
          <w:tcPr>
            <w:tcW w:w="1710" w:type="dxa"/>
            <w:tcBorders>
              <w:right w:val="single" w:sz="6"/>
            </w:tcBorders>
            <w:tcMar>
              <w:left w:w="90" w:type="dxa"/>
              <w:right w:w="90" w:type="dxa"/>
            </w:tcMar>
            <w:vAlign w:val="top"/>
          </w:tcPr>
          <w:p w:rsidR="5966783F" w:rsidP="5966783F" w:rsidRDefault="5966783F" w14:paraId="6386579B" w14:textId="5FA6379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4,508</w:t>
            </w:r>
          </w:p>
        </w:tc>
      </w:tr>
      <w:tr w:rsidR="5966783F" w:rsidTr="5966783F" w14:paraId="02E2D5D2">
        <w:trPr>
          <w:trHeight w:val="285"/>
        </w:trPr>
        <w:tc>
          <w:tcPr>
            <w:tcW w:w="1710" w:type="dxa"/>
            <w:tcBorders>
              <w:left w:val="single" w:sz="6"/>
            </w:tcBorders>
            <w:tcMar>
              <w:left w:w="90" w:type="dxa"/>
              <w:right w:w="90" w:type="dxa"/>
            </w:tcMar>
            <w:vAlign w:val="top"/>
          </w:tcPr>
          <w:p w:rsidR="5966783F" w:rsidP="5966783F" w:rsidRDefault="5966783F" w14:paraId="1860D4C2" w14:textId="576E5A7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assets</w:t>
            </w:r>
          </w:p>
        </w:tc>
        <w:tc>
          <w:tcPr>
            <w:tcW w:w="1710" w:type="dxa"/>
            <w:tcMar>
              <w:left w:w="90" w:type="dxa"/>
              <w:right w:w="90" w:type="dxa"/>
            </w:tcMar>
            <w:vAlign w:val="top"/>
          </w:tcPr>
          <w:p w:rsidR="5966783F" w:rsidP="5966783F" w:rsidRDefault="5966783F" w14:paraId="24A49EAD" w14:textId="32CEDAF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15,441</w:t>
            </w:r>
          </w:p>
        </w:tc>
        <w:tc>
          <w:tcPr>
            <w:tcW w:w="1710" w:type="dxa"/>
            <w:tcMar>
              <w:left w:w="90" w:type="dxa"/>
              <w:right w:w="90" w:type="dxa"/>
            </w:tcMar>
            <w:vAlign w:val="top"/>
          </w:tcPr>
          <w:p w:rsidR="5966783F" w:rsidP="5966783F" w:rsidRDefault="5966783F" w14:paraId="18C77F15" w14:textId="3ECE9E3D">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15,512</w:t>
            </w:r>
          </w:p>
        </w:tc>
        <w:tc>
          <w:tcPr>
            <w:tcW w:w="1710" w:type="dxa"/>
            <w:tcMar>
              <w:left w:w="90" w:type="dxa"/>
              <w:right w:w="90" w:type="dxa"/>
            </w:tcMar>
            <w:vAlign w:val="top"/>
          </w:tcPr>
          <w:p w:rsidR="5966783F" w:rsidP="5966783F" w:rsidRDefault="5966783F" w14:paraId="0732B23A" w14:textId="205300B2">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15,401</w:t>
            </w:r>
          </w:p>
        </w:tc>
        <w:tc>
          <w:tcPr>
            <w:tcW w:w="1710" w:type="dxa"/>
            <w:tcMar>
              <w:left w:w="90" w:type="dxa"/>
              <w:right w:w="90" w:type="dxa"/>
            </w:tcMar>
            <w:vAlign w:val="top"/>
          </w:tcPr>
          <w:p w:rsidR="5966783F" w:rsidP="5966783F" w:rsidRDefault="5966783F" w14:paraId="1E5081D9" w14:textId="6919E3AF">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16,522</w:t>
            </w:r>
          </w:p>
        </w:tc>
        <w:tc>
          <w:tcPr>
            <w:tcW w:w="1710" w:type="dxa"/>
            <w:tcBorders>
              <w:right w:val="single" w:sz="6"/>
            </w:tcBorders>
            <w:tcMar>
              <w:left w:w="90" w:type="dxa"/>
              <w:right w:w="90" w:type="dxa"/>
            </w:tcMar>
            <w:vAlign w:val="top"/>
          </w:tcPr>
          <w:p w:rsidR="5966783F" w:rsidP="5966783F" w:rsidRDefault="5966783F" w14:paraId="0F1A5F49" w14:textId="3C0AF98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16,774</w:t>
            </w:r>
          </w:p>
        </w:tc>
      </w:tr>
      <w:tr w:rsidR="5966783F" w:rsidTr="5966783F" w14:paraId="3990324C">
        <w:trPr>
          <w:trHeight w:val="285"/>
        </w:trPr>
        <w:tc>
          <w:tcPr>
            <w:tcW w:w="1710" w:type="dxa"/>
            <w:tcBorders>
              <w:left w:val="single" w:sz="6"/>
            </w:tcBorders>
            <w:tcMar>
              <w:left w:w="90" w:type="dxa"/>
              <w:right w:w="90" w:type="dxa"/>
            </w:tcMar>
            <w:vAlign w:val="top"/>
          </w:tcPr>
          <w:p w:rsidR="5966783F" w:rsidP="5966783F" w:rsidRDefault="5966783F" w14:paraId="22E48839" w14:textId="094A9B4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Property and equipment, net</w:t>
            </w:r>
          </w:p>
        </w:tc>
        <w:tc>
          <w:tcPr>
            <w:tcW w:w="1710" w:type="dxa"/>
            <w:tcMar>
              <w:left w:w="90" w:type="dxa"/>
              <w:right w:w="90" w:type="dxa"/>
            </w:tcMar>
            <w:vAlign w:val="top"/>
          </w:tcPr>
          <w:p w:rsidR="5966783F" w:rsidP="5966783F" w:rsidRDefault="5966783F" w14:paraId="1579A48A" w14:textId="5A7D5420">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305</w:t>
            </w:r>
          </w:p>
        </w:tc>
        <w:tc>
          <w:tcPr>
            <w:tcW w:w="1710" w:type="dxa"/>
            <w:tcMar>
              <w:left w:w="90" w:type="dxa"/>
              <w:right w:w="90" w:type="dxa"/>
            </w:tcMar>
            <w:vAlign w:val="top"/>
          </w:tcPr>
          <w:p w:rsidR="5966783F" w:rsidP="5966783F" w:rsidRDefault="5966783F" w14:paraId="76227A35" w14:textId="5BFBF71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280</w:t>
            </w:r>
          </w:p>
        </w:tc>
        <w:tc>
          <w:tcPr>
            <w:tcW w:w="1710" w:type="dxa"/>
            <w:tcMar>
              <w:left w:w="90" w:type="dxa"/>
              <w:right w:w="90" w:type="dxa"/>
            </w:tcMar>
            <w:vAlign w:val="top"/>
          </w:tcPr>
          <w:p w:rsidR="5966783F" w:rsidP="5966783F" w:rsidRDefault="5966783F" w14:paraId="54A2FC4D" w14:textId="7A1F3157">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382</w:t>
            </w:r>
          </w:p>
        </w:tc>
        <w:tc>
          <w:tcPr>
            <w:tcW w:w="1710" w:type="dxa"/>
            <w:tcMar>
              <w:left w:w="90" w:type="dxa"/>
              <w:right w:w="90" w:type="dxa"/>
            </w:tcMar>
            <w:vAlign w:val="top"/>
          </w:tcPr>
          <w:p w:rsidR="5966783F" w:rsidP="5966783F" w:rsidRDefault="5966783F" w14:paraId="5037ACA2" w14:textId="6387EBF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411</w:t>
            </w:r>
          </w:p>
        </w:tc>
        <w:tc>
          <w:tcPr>
            <w:tcW w:w="1710" w:type="dxa"/>
            <w:tcBorders>
              <w:right w:val="single" w:sz="6"/>
            </w:tcBorders>
            <w:tcMar>
              <w:left w:w="90" w:type="dxa"/>
              <w:right w:w="90" w:type="dxa"/>
            </w:tcMar>
            <w:vAlign w:val="top"/>
          </w:tcPr>
          <w:p w:rsidR="5966783F" w:rsidP="5966783F" w:rsidRDefault="5966783F" w14:paraId="20872A02" w14:textId="59517756">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684</w:t>
            </w:r>
          </w:p>
        </w:tc>
      </w:tr>
      <w:tr w:rsidR="5966783F" w:rsidTr="5966783F" w14:paraId="2C0DFB57">
        <w:trPr>
          <w:trHeight w:val="285"/>
        </w:trPr>
        <w:tc>
          <w:tcPr>
            <w:tcW w:w="1710" w:type="dxa"/>
            <w:tcBorders>
              <w:left w:val="single" w:sz="6"/>
            </w:tcBorders>
            <w:tcMar>
              <w:left w:w="90" w:type="dxa"/>
              <w:right w:w="90" w:type="dxa"/>
            </w:tcMar>
            <w:vAlign w:val="top"/>
          </w:tcPr>
          <w:p w:rsidR="5966783F" w:rsidP="5966783F" w:rsidRDefault="5966783F" w14:paraId="3B0F2021" w14:textId="3FC097E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Interest expense</w:t>
            </w:r>
          </w:p>
        </w:tc>
        <w:tc>
          <w:tcPr>
            <w:tcW w:w="1710" w:type="dxa"/>
            <w:tcMar>
              <w:left w:w="90" w:type="dxa"/>
              <w:right w:w="90" w:type="dxa"/>
            </w:tcMar>
            <w:vAlign w:val="top"/>
          </w:tcPr>
          <w:p w:rsidR="5966783F" w:rsidP="5966783F" w:rsidRDefault="5966783F" w14:paraId="7A709712" w14:textId="03DE71D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397</w:t>
            </w:r>
          </w:p>
        </w:tc>
        <w:tc>
          <w:tcPr>
            <w:tcW w:w="1710" w:type="dxa"/>
            <w:tcMar>
              <w:left w:w="90" w:type="dxa"/>
              <w:right w:w="90" w:type="dxa"/>
            </w:tcMar>
            <w:vAlign w:val="top"/>
          </w:tcPr>
          <w:p w:rsidR="5966783F" w:rsidP="5966783F" w:rsidRDefault="5966783F" w14:paraId="0DD940C5" w14:textId="689218A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415</w:t>
            </w:r>
          </w:p>
        </w:tc>
        <w:tc>
          <w:tcPr>
            <w:tcW w:w="1710" w:type="dxa"/>
            <w:tcMar>
              <w:left w:w="90" w:type="dxa"/>
              <w:right w:w="90" w:type="dxa"/>
            </w:tcMar>
            <w:vAlign w:val="top"/>
          </w:tcPr>
          <w:p w:rsidR="5966783F" w:rsidP="5966783F" w:rsidRDefault="5966783F" w14:paraId="0EA87AA8" w14:textId="005A513A">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464</w:t>
            </w:r>
          </w:p>
        </w:tc>
        <w:tc>
          <w:tcPr>
            <w:tcW w:w="1710" w:type="dxa"/>
            <w:tcMar>
              <w:left w:w="90" w:type="dxa"/>
              <w:right w:w="90" w:type="dxa"/>
            </w:tcMar>
            <w:vAlign w:val="top"/>
          </w:tcPr>
          <w:p w:rsidR="5966783F" w:rsidP="5966783F" w:rsidRDefault="5966783F" w14:paraId="54D2E2F3" w14:textId="1F3B602E">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569</w:t>
            </w:r>
          </w:p>
        </w:tc>
        <w:tc>
          <w:tcPr>
            <w:tcW w:w="1710" w:type="dxa"/>
            <w:tcBorders>
              <w:right w:val="single" w:sz="6"/>
            </w:tcBorders>
            <w:tcMar>
              <w:left w:w="90" w:type="dxa"/>
              <w:right w:w="90" w:type="dxa"/>
            </w:tcMar>
            <w:vAlign w:val="top"/>
          </w:tcPr>
          <w:p w:rsidR="5966783F" w:rsidP="5966783F" w:rsidRDefault="5966783F" w14:paraId="7C901F31" w14:textId="6D1BFB2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620</w:t>
            </w:r>
          </w:p>
        </w:tc>
      </w:tr>
      <w:tr w:rsidR="5966783F" w:rsidTr="5966783F" w14:paraId="1C328A3D">
        <w:trPr>
          <w:trHeight w:val="285"/>
        </w:trPr>
        <w:tc>
          <w:tcPr>
            <w:tcW w:w="1710" w:type="dxa"/>
            <w:tcBorders>
              <w:left w:val="single" w:sz="6"/>
            </w:tcBorders>
            <w:tcMar>
              <w:left w:w="90" w:type="dxa"/>
              <w:right w:w="90" w:type="dxa"/>
            </w:tcMar>
            <w:vAlign w:val="top"/>
          </w:tcPr>
          <w:p w:rsidR="5966783F" w:rsidP="5966783F" w:rsidRDefault="5966783F" w14:paraId="27DE9CCA" w14:textId="2F4104E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Total interest-bearing debt</w:t>
            </w:r>
          </w:p>
        </w:tc>
        <w:tc>
          <w:tcPr>
            <w:tcW w:w="1710" w:type="dxa"/>
            <w:tcMar>
              <w:left w:w="90" w:type="dxa"/>
              <w:right w:w="90" w:type="dxa"/>
            </w:tcMar>
            <w:vAlign w:val="top"/>
          </w:tcPr>
          <w:p w:rsidR="5966783F" w:rsidP="5966783F" w:rsidRDefault="5966783F" w14:paraId="17C058F7" w14:textId="7721CB7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8,766</w:t>
            </w:r>
          </w:p>
        </w:tc>
        <w:tc>
          <w:tcPr>
            <w:tcW w:w="1710" w:type="dxa"/>
            <w:tcMar>
              <w:left w:w="90" w:type="dxa"/>
              <w:right w:w="90" w:type="dxa"/>
            </w:tcMar>
            <w:vAlign w:val="top"/>
          </w:tcPr>
          <w:p w:rsidR="5966783F" w:rsidP="5966783F" w:rsidRDefault="5966783F" w14:paraId="07E33E56" w14:textId="67F12D6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8,747</w:t>
            </w:r>
          </w:p>
        </w:tc>
        <w:tc>
          <w:tcPr>
            <w:tcW w:w="1710" w:type="dxa"/>
            <w:tcMar>
              <w:left w:w="90" w:type="dxa"/>
              <w:right w:w="90" w:type="dxa"/>
            </w:tcMar>
            <w:vAlign w:val="top"/>
          </w:tcPr>
          <w:p w:rsidR="5966783F" w:rsidP="5966783F" w:rsidRDefault="5966783F" w14:paraId="2081E480" w14:textId="2D4204D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9,196</w:t>
            </w:r>
          </w:p>
        </w:tc>
        <w:tc>
          <w:tcPr>
            <w:tcW w:w="1710" w:type="dxa"/>
            <w:tcMar>
              <w:left w:w="90" w:type="dxa"/>
              <w:right w:w="90" w:type="dxa"/>
            </w:tcMar>
            <w:vAlign w:val="top"/>
          </w:tcPr>
          <w:p w:rsidR="5966783F" w:rsidP="5966783F" w:rsidRDefault="5966783F" w14:paraId="25585F3A" w14:textId="4DD6B4D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11,151</w:t>
            </w:r>
          </w:p>
        </w:tc>
        <w:tc>
          <w:tcPr>
            <w:tcW w:w="1710" w:type="dxa"/>
            <w:tcBorders>
              <w:right w:val="single" w:sz="6"/>
            </w:tcBorders>
            <w:tcMar>
              <w:left w:w="90" w:type="dxa"/>
              <w:right w:w="90" w:type="dxa"/>
            </w:tcMar>
            <w:vAlign w:val="top"/>
          </w:tcPr>
          <w:p w:rsidR="5966783F" w:rsidP="5966783F" w:rsidRDefault="5966783F" w14:paraId="1F19E094" w14:textId="686816B5">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12,363</w:t>
            </w:r>
          </w:p>
        </w:tc>
      </w:tr>
      <w:tr w:rsidR="5966783F" w:rsidTr="5966783F" w14:paraId="1CAD80EC">
        <w:trPr>
          <w:trHeight w:val="285"/>
        </w:trPr>
        <w:tc>
          <w:tcPr>
            <w:tcW w:w="1710" w:type="dxa"/>
            <w:tcBorders>
              <w:left w:val="single" w:sz="6"/>
            </w:tcBorders>
            <w:tcMar>
              <w:left w:w="90" w:type="dxa"/>
              <w:right w:w="90" w:type="dxa"/>
            </w:tcMar>
            <w:vAlign w:val="top"/>
          </w:tcPr>
          <w:p w:rsidR="5966783F" w:rsidP="5966783F" w:rsidRDefault="5966783F" w14:paraId="1A9B2E3D" w14:textId="5CEE73F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Hilton stockholders’ equity/(deficit)</w:t>
            </w:r>
          </w:p>
        </w:tc>
        <w:tc>
          <w:tcPr>
            <w:tcW w:w="1710" w:type="dxa"/>
            <w:tcMar>
              <w:left w:w="90" w:type="dxa"/>
              <w:right w:w="90" w:type="dxa"/>
            </w:tcMar>
            <w:vAlign w:val="top"/>
          </w:tcPr>
          <w:p w:rsidR="5966783F" w:rsidP="5966783F" w:rsidRDefault="5966783F" w14:paraId="5467343E" w14:textId="31F25F2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-821</w:t>
            </w:r>
          </w:p>
        </w:tc>
        <w:tc>
          <w:tcPr>
            <w:tcW w:w="1710" w:type="dxa"/>
            <w:tcMar>
              <w:left w:w="90" w:type="dxa"/>
              <w:right w:w="90" w:type="dxa"/>
            </w:tcMar>
            <w:vAlign w:val="top"/>
          </w:tcPr>
          <w:p w:rsidR="5966783F" w:rsidP="5966783F" w:rsidRDefault="5966783F" w14:paraId="00591F3A" w14:textId="1F18F39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-1,102</w:t>
            </w:r>
          </w:p>
        </w:tc>
        <w:tc>
          <w:tcPr>
            <w:tcW w:w="1710" w:type="dxa"/>
            <w:tcMar>
              <w:left w:w="90" w:type="dxa"/>
              <w:right w:w="90" w:type="dxa"/>
            </w:tcMar>
            <w:vAlign w:val="top"/>
          </w:tcPr>
          <w:p w:rsidR="5966783F" w:rsidP="5966783F" w:rsidRDefault="5966783F" w14:paraId="6B684D69" w14:textId="1068C14C">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-2,360</w:t>
            </w:r>
          </w:p>
        </w:tc>
        <w:tc>
          <w:tcPr>
            <w:tcW w:w="1710" w:type="dxa"/>
            <w:tcMar>
              <w:left w:w="90" w:type="dxa"/>
              <w:right w:w="90" w:type="dxa"/>
            </w:tcMar>
            <w:vAlign w:val="top"/>
          </w:tcPr>
          <w:p w:rsidR="5966783F" w:rsidP="5966783F" w:rsidRDefault="5966783F" w14:paraId="302E8942" w14:textId="29A4A313">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-3,727</w:t>
            </w:r>
          </w:p>
        </w:tc>
        <w:tc>
          <w:tcPr>
            <w:tcW w:w="1710" w:type="dxa"/>
            <w:tcBorders>
              <w:right w:val="single" w:sz="6"/>
            </w:tcBorders>
            <w:tcMar>
              <w:left w:w="90" w:type="dxa"/>
              <w:right w:w="90" w:type="dxa"/>
            </w:tcMar>
            <w:vAlign w:val="top"/>
          </w:tcPr>
          <w:p w:rsidR="5966783F" w:rsidP="5966783F" w:rsidRDefault="5966783F" w14:paraId="38B1149B" w14:textId="284538F1">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-5,388</w:t>
            </w:r>
          </w:p>
        </w:tc>
      </w:tr>
      <w:tr w:rsidR="5966783F" w:rsidTr="5966783F" w14:paraId="20EC911C">
        <w:trPr>
          <w:trHeight w:val="285"/>
        </w:trPr>
        <w:tc>
          <w:tcPr>
            <w:tcW w:w="1710" w:type="dxa"/>
            <w:tcBorders>
              <w:left w:val="single" w:sz="6"/>
              <w:bottom w:val="single" w:sz="6"/>
            </w:tcBorders>
            <w:tcMar>
              <w:left w:w="90" w:type="dxa"/>
              <w:right w:w="90" w:type="dxa"/>
            </w:tcMar>
            <w:vAlign w:val="top"/>
          </w:tcPr>
          <w:p w:rsidR="5966783F" w:rsidP="5966783F" w:rsidRDefault="5966783F" w14:paraId="0E1F5641" w14:textId="0498D4E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Net cash from operating activities</w:t>
            </w:r>
          </w:p>
        </w:tc>
        <w:tc>
          <w:tcPr>
            <w:tcW w:w="1710" w:type="dxa"/>
            <w:tcBorders>
              <w:bottom w:val="single" w:sz="6"/>
            </w:tcBorders>
            <w:tcMar>
              <w:left w:w="90" w:type="dxa"/>
              <w:right w:w="90" w:type="dxa"/>
            </w:tcMar>
            <w:vAlign w:val="top"/>
          </w:tcPr>
          <w:p w:rsidR="5966783F" w:rsidP="5966783F" w:rsidRDefault="5966783F" w14:paraId="0CE763F3" w14:textId="5365DF8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109</w:t>
            </w:r>
          </w:p>
        </w:tc>
        <w:tc>
          <w:tcPr>
            <w:tcW w:w="1710" w:type="dxa"/>
            <w:tcBorders>
              <w:bottom w:val="single" w:sz="6"/>
            </w:tcBorders>
            <w:tcMar>
              <w:left w:w="90" w:type="dxa"/>
              <w:right w:w="90" w:type="dxa"/>
            </w:tcMar>
            <w:vAlign w:val="top"/>
          </w:tcPr>
          <w:p w:rsidR="5966783F" w:rsidP="5966783F" w:rsidRDefault="5966783F" w14:paraId="10B772EC" w14:textId="6D396D28">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1,681</w:t>
            </w:r>
          </w:p>
        </w:tc>
        <w:tc>
          <w:tcPr>
            <w:tcW w:w="1710" w:type="dxa"/>
            <w:tcBorders>
              <w:bottom w:val="single" w:sz="6"/>
            </w:tcBorders>
            <w:tcMar>
              <w:left w:w="90" w:type="dxa"/>
              <w:right w:w="90" w:type="dxa"/>
            </w:tcMar>
            <w:vAlign w:val="top"/>
          </w:tcPr>
          <w:p w:rsidR="5966783F" w:rsidP="5966783F" w:rsidRDefault="5966783F" w14:paraId="0D959430" w14:textId="23563AAB">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1,946</w:t>
            </w:r>
          </w:p>
        </w:tc>
        <w:tc>
          <w:tcPr>
            <w:tcW w:w="1710" w:type="dxa"/>
            <w:tcBorders>
              <w:bottom w:val="single" w:sz="6"/>
            </w:tcBorders>
            <w:tcMar>
              <w:left w:w="90" w:type="dxa"/>
              <w:right w:w="90" w:type="dxa"/>
            </w:tcMar>
            <w:vAlign w:val="top"/>
          </w:tcPr>
          <w:p w:rsidR="5966783F" w:rsidP="5966783F" w:rsidRDefault="5966783F" w14:paraId="5A493AB3" w14:textId="57E40329">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2,013</w:t>
            </w:r>
          </w:p>
        </w:tc>
        <w:tc>
          <w:tcPr>
            <w:tcW w:w="1710" w:type="dxa"/>
            <w:tcBorders>
              <w:bottom w:val="single" w:sz="6"/>
              <w:right w:val="single" w:sz="6"/>
            </w:tcBorders>
            <w:tcMar>
              <w:left w:w="90" w:type="dxa"/>
              <w:right w:w="90" w:type="dxa"/>
            </w:tcMar>
            <w:vAlign w:val="top"/>
          </w:tcPr>
          <w:p w:rsidR="5966783F" w:rsidP="5966783F" w:rsidRDefault="5966783F" w14:paraId="0DE272A5" w14:textId="4864FFA4">
            <w:pPr>
              <w:bidi w:val="0"/>
              <w:spacing w:line="360" w:lineRule="auto"/>
              <w:rPr>
                <w:rFonts w:ascii="Arial" w:hAnsi="Arial" w:eastAsia="Arial" w:cs="Arial"/>
                <w:b w:val="0"/>
                <w:bCs w:val="0"/>
                <w:i w:val="0"/>
                <w:iCs w:val="0"/>
                <w:sz w:val="20"/>
                <w:szCs w:val="20"/>
              </w:rPr>
            </w:pPr>
            <w:r w:rsidRPr="5966783F" w:rsidR="5966783F">
              <w:rPr>
                <w:rFonts w:ascii="Arial" w:hAnsi="Arial" w:eastAsia="Arial" w:cs="Arial"/>
                <w:b w:val="0"/>
                <w:bCs w:val="0"/>
                <w:i w:val="0"/>
                <w:iCs w:val="0"/>
                <w:sz w:val="20"/>
                <w:szCs w:val="20"/>
                <w:lang w:val="en-US"/>
              </w:rPr>
              <w:t>2,129</w:t>
            </w:r>
          </w:p>
        </w:tc>
      </w:tr>
    </w:tbl>
    <w:p xmlns:wp14="http://schemas.microsoft.com/office/word/2010/wordml" w:rsidP="5966783F" wp14:paraId="440CB9A7" wp14:textId="4ECEBBCA">
      <w:pPr>
        <w:pStyle w:val="Normal"/>
        <w:keepNext w:val="1"/>
        <w:keepLines w:val="1"/>
        <w:bidi w:val="0"/>
        <w:rPr>
          <w:noProof w:val="0"/>
          <w:sz w:val="32"/>
          <w:szCs w:val="32"/>
          <w:lang w:val="en-US"/>
        </w:rPr>
      </w:pPr>
    </w:p>
    <w:p xmlns:wp14="http://schemas.microsoft.com/office/word/2010/wordml" w:rsidP="5966783F" wp14:paraId="10F81DC0" wp14:textId="268E3A4A">
      <w:pPr>
        <w:pStyle w:val="Normal"/>
        <w:keepNext w:val="1"/>
        <w:keepLines w:val="1"/>
        <w:bidi w:val="0"/>
        <w:rPr>
          <w:rFonts w:ascii="Arial" w:hAnsi="Arial" w:eastAsia="Arial" w:cs="Arial"/>
          <w:b w:val="0"/>
          <w:bCs w:val="0"/>
          <w:i w:val="0"/>
          <w:iCs w:val="0"/>
          <w:caps w:val="0"/>
          <w:smallCaps w:val="0"/>
          <w:noProof w:val="0"/>
          <w:color w:val="365F91"/>
          <w:sz w:val="32"/>
          <w:szCs w:val="32"/>
          <w:lang w:val="en-GB"/>
        </w:rPr>
      </w:pPr>
      <w:r w:rsidRPr="5966783F" w:rsidR="320BC377">
        <w:rPr>
          <w:noProof w:val="0"/>
          <w:sz w:val="32"/>
          <w:szCs w:val="32"/>
          <w:lang w:val="en-US"/>
        </w:rPr>
        <w:t>Appendix D – AI Use Acknowledgement</w:t>
      </w:r>
    </w:p>
    <w:p xmlns:wp14="http://schemas.microsoft.com/office/word/2010/wordml" w:rsidP="5966783F" wp14:paraId="777F53ED" wp14:textId="5E434027">
      <w:pPr>
        <w:bidi w:val="0"/>
        <w:spacing w:line="360" w:lineRule="auto"/>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I acknowledge the use of ChatGPT (</w:t>
      </w:r>
      <w:hyperlink r:id="R48218f3b97304279">
        <w:r w:rsidRPr="5966783F" w:rsidR="320BC377">
          <w:rPr>
            <w:rStyle w:val="Hyperlink"/>
            <w:b w:val="0"/>
            <w:bCs w:val="0"/>
            <w:i w:val="0"/>
            <w:iCs w:val="0"/>
            <w:caps w:val="0"/>
            <w:smallCaps w:val="0"/>
            <w:strike w:val="0"/>
            <w:dstrike w:val="0"/>
            <w:noProof w:val="0"/>
            <w:lang w:val="en-US"/>
          </w:rPr>
          <w:t>https://chatgpt.com/</w:t>
        </w:r>
      </w:hyperlink>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 xml:space="preserve">) on 5 August 2026 to support the </w:t>
      </w: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organisation of financial data, calculation and checking of financial ratios, preparation of investment appraisal tables, and improvement of the presentation of the appendices. I used the prompts: 1. “Calculate Hilton Worldwide’s key financial ratios for 2021–2025 using its annual reports.” 2. “Calculate PBP, ARR, NPV, PI and IRR for Projects A, B and C at an 8% discount rate.” 3. “Prepare the completed appendices in a professionally formatted Word document.” I confirm that I have not presented any AI-generated text as my own work. I reviewed the outputs, checked the figures against Hilton’s published annual reports and retained copies of my drafts, calculations and supporting sources.</w:t>
      </w:r>
    </w:p>
    <w:p xmlns:wp14="http://schemas.microsoft.com/office/word/2010/wordml" w:rsidP="5966783F" wp14:paraId="3C111352" wp14:textId="10EFD318">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966783F" wp14:paraId="54BC4DC5" wp14:textId="67E817D7">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966783F" wp14:paraId="6CC1B00C" wp14:textId="3A1216F7">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966783F" wp14:paraId="23F6BDAE" wp14:textId="43C74DBD">
      <w:pPr>
        <w:pStyle w:val="Normal"/>
        <w:keepNext w:val="1"/>
        <w:keepLines w:val="1"/>
        <w:bidi w:val="0"/>
        <w:rPr>
          <w:rFonts w:ascii="Arial" w:hAnsi="Arial" w:eastAsia="Arial" w:cs="Arial"/>
          <w:b w:val="0"/>
          <w:bCs w:val="0"/>
          <w:i w:val="0"/>
          <w:iCs w:val="0"/>
          <w:caps w:val="0"/>
          <w:smallCaps w:val="0"/>
          <w:noProof w:val="0"/>
          <w:color w:val="365F91"/>
          <w:sz w:val="32"/>
          <w:szCs w:val="32"/>
          <w:lang w:val="en-GB"/>
        </w:rPr>
      </w:pPr>
      <w:r w:rsidRPr="5966783F" w:rsidR="320BC377">
        <w:rPr>
          <w:noProof w:val="0"/>
          <w:sz w:val="32"/>
          <w:szCs w:val="32"/>
          <w:lang w:val="en-US"/>
        </w:rPr>
        <w:t>Sources Used for the Appendices</w:t>
      </w:r>
    </w:p>
    <w:p xmlns:wp14="http://schemas.microsoft.com/office/word/2010/wordml" w:rsidP="5966783F" wp14:paraId="43A37F4C" wp14:textId="512E5F7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Hilton Worldwide Holdings Inc. (2022) Annual Report 2021, Form 10-K.</w:t>
      </w:r>
    </w:p>
    <w:p xmlns:wp14="http://schemas.microsoft.com/office/word/2010/wordml" w:rsidP="5966783F" wp14:paraId="335CAA18" wp14:textId="6C2726D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Hilton Worldwide Holdings Inc. (2023) Annual Report 2022, Form 10-K.</w:t>
      </w:r>
    </w:p>
    <w:p xmlns:wp14="http://schemas.microsoft.com/office/word/2010/wordml" w:rsidP="5966783F" wp14:paraId="0414760B" wp14:textId="77C0A570">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Hilton Worldwide Holdings Inc. (2024) Annual Report 2023, Form 10-K.</w:t>
      </w:r>
    </w:p>
    <w:p xmlns:wp14="http://schemas.microsoft.com/office/word/2010/wordml" w:rsidP="5966783F" wp14:paraId="2BCA6CFA" wp14:textId="0C4ACF0C">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Hilton Worldwide Holdings Inc. (2025) Annual Report 2024, Form 10-K.</w:t>
      </w:r>
    </w:p>
    <w:p xmlns:wp14="http://schemas.microsoft.com/office/word/2010/wordml" w:rsidP="5966783F" wp14:paraId="7EE4276F" wp14:textId="32528488">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Hilton Worldwide Holdings Inc. (2026) Annual Report 2025, Form 10-K.</w:t>
      </w:r>
    </w:p>
    <w:p xmlns:wp14="http://schemas.microsoft.com/office/word/2010/wordml" w:rsidP="5966783F" wp14:paraId="57CCFBA6" wp14:textId="385877A0">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U.S. Securities and Exchange Commission (SEC) EDGAR filing database.</w:t>
      </w:r>
    </w:p>
    <w:p xmlns:wp14="http://schemas.microsoft.com/office/word/2010/wordml" w:rsidP="5966783F" wp14:paraId="5DDAF355" wp14:textId="2FD2B458">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66783F" w:rsidR="320BC377">
        <w:rPr>
          <w:rFonts w:ascii="Arial" w:hAnsi="Arial" w:eastAsia="Arial" w:cs="Arial"/>
          <w:b w:val="0"/>
          <w:bCs w:val="0"/>
          <w:i w:val="0"/>
          <w:iCs w:val="0"/>
          <w:caps w:val="0"/>
          <w:smallCaps w:val="0"/>
          <w:noProof w:val="0"/>
          <w:color w:val="000000" w:themeColor="text1" w:themeTint="FF" w:themeShade="FF"/>
          <w:sz w:val="24"/>
          <w:szCs w:val="24"/>
          <w:lang w:val="en-US"/>
        </w:rPr>
        <w:t>Figures reproduced and analysed from the user-supplied Hilton Worldwide five-year income statement workbook.</w:t>
      </w:r>
    </w:p>
    <w:p xmlns:wp14="http://schemas.microsoft.com/office/word/2010/wordml" w:rsidP="5966783F" wp14:paraId="39DB333F" wp14:textId="42FD6755">
      <w:pPr>
        <w:bidi w:val="0"/>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5966783F" wp14:paraId="188AC9D0" wp14:textId="20C256BC">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76D4733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9ae828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9B0F16"/>
    <w:rsid w:val="0088FA1F"/>
    <w:rsid w:val="0229886D"/>
    <w:rsid w:val="03B55AE4"/>
    <w:rsid w:val="0BDAAF6C"/>
    <w:rsid w:val="191F444E"/>
    <w:rsid w:val="1C86ECB9"/>
    <w:rsid w:val="1E961EC3"/>
    <w:rsid w:val="2483D622"/>
    <w:rsid w:val="24E2B252"/>
    <w:rsid w:val="2A3C21B5"/>
    <w:rsid w:val="2E18A1E0"/>
    <w:rsid w:val="2E617723"/>
    <w:rsid w:val="31EAF569"/>
    <w:rsid w:val="320BC377"/>
    <w:rsid w:val="34933F59"/>
    <w:rsid w:val="37FD36F3"/>
    <w:rsid w:val="383AE383"/>
    <w:rsid w:val="3C47CE3E"/>
    <w:rsid w:val="3D7FA7E3"/>
    <w:rsid w:val="3F243A04"/>
    <w:rsid w:val="43EB6B66"/>
    <w:rsid w:val="45163AE8"/>
    <w:rsid w:val="45413E9B"/>
    <w:rsid w:val="454D66AF"/>
    <w:rsid w:val="47D15B0A"/>
    <w:rsid w:val="4A1F8972"/>
    <w:rsid w:val="4B4ADCC6"/>
    <w:rsid w:val="4C5C3068"/>
    <w:rsid w:val="4F1BE8E8"/>
    <w:rsid w:val="51550E6A"/>
    <w:rsid w:val="53511EA4"/>
    <w:rsid w:val="54738681"/>
    <w:rsid w:val="54ADFA48"/>
    <w:rsid w:val="57B39A35"/>
    <w:rsid w:val="58D51814"/>
    <w:rsid w:val="5966783F"/>
    <w:rsid w:val="6083D3AB"/>
    <w:rsid w:val="608D54BC"/>
    <w:rsid w:val="61D9C1CF"/>
    <w:rsid w:val="649C7B6B"/>
    <w:rsid w:val="6582CAFB"/>
    <w:rsid w:val="690EF9C4"/>
    <w:rsid w:val="699B0F16"/>
    <w:rsid w:val="6A2EE132"/>
    <w:rsid w:val="6DE5DFDC"/>
    <w:rsid w:val="6DF9D42D"/>
    <w:rsid w:val="6E58F5D5"/>
    <w:rsid w:val="700ACCC3"/>
    <w:rsid w:val="714284AF"/>
    <w:rsid w:val="747CA61A"/>
    <w:rsid w:val="79858024"/>
    <w:rsid w:val="7C13BF13"/>
    <w:rsid w:val="7F634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2CD43"/>
  <w15:chartTrackingRefBased/>
  <w15:docId w15:val="{0C9985A0-B122-47C5-B320-B28D2F3683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966783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966783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966783F"/>
    <w:pPr>
      <w:spacing/>
      <w:ind w:left="720"/>
      <w:contextualSpacing/>
    </w:pPr>
  </w:style>
  <w:style w:type="character" w:styleId="Hyperlink">
    <w:uiPriority w:val="99"/>
    <w:name w:val="Hyperlink"/>
    <w:basedOn w:val="DefaultParagraphFont"/>
    <w:unhideWhenUsed/>
    <w:rsid w:val="5966783F"/>
    <w:rPr>
      <w:color w:val="467886"/>
      <w:u w:val="single"/>
    </w:rPr>
  </w:style>
  <w:style w:type="paragraph" w:styleId="TOC1">
    <w:uiPriority w:val="39"/>
    <w:name w:val="toc 1"/>
    <w:basedOn w:val="Normal"/>
    <w:next w:val="Normal"/>
    <w:unhideWhenUsed/>
    <w:rsid w:val="5966783F"/>
    <w:pPr>
      <w:spacing w:after="100"/>
    </w:pPr>
  </w:style>
  <w:style w:type="paragraph" w:styleId="TOC2">
    <w:uiPriority w:val="39"/>
    <w:name w:val="toc 2"/>
    <w:basedOn w:val="Normal"/>
    <w:next w:val="Normal"/>
    <w:unhideWhenUsed/>
    <w:rsid w:val="5966783F"/>
    <w:pPr>
      <w:spacing w:after="100"/>
      <w:ind w:left="220"/>
    </w:pPr>
  </w:style>
  <w:style w:type="character" w:styleId="Heading1Char" w:customStyle="true">
    <w:uiPriority w:val="9"/>
    <w:name w:val="Heading 1 Char"/>
    <w:basedOn w:val="DefaultParagraphFont"/>
    <w:link w:val="Heading1"/>
    <w:rsid w:val="5966783F"/>
    <w:rPr>
      <w:rFonts w:ascii="Aptos Display" w:hAnsi="Aptos Display" w:eastAsia="" w:cs="" w:asciiTheme="majorAscii" w:hAnsiTheme="majorAscii" w:eastAsiaTheme="majorEastAsia" w:cstheme="majorBidi"/>
      <w:color w:val="0F4761" w:themeColor="accent1" w:themeTint="FF" w:themeShade="BF"/>
      <w:sz w:val="40"/>
      <w:szCs w:val="4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3444302" /><Relationship Type="http://schemas.openxmlformats.org/officeDocument/2006/relationships/image" Target="/media/image.jpg" Id="rId1529718725" /><Relationship Type="http://schemas.openxmlformats.org/officeDocument/2006/relationships/hyperlink" Target="https://chatgpt.com/&#8288;" TargetMode="External" Id="R18d2a4cfeb244e16" /><Relationship Type="http://schemas.openxmlformats.org/officeDocument/2006/relationships/hyperlink" Target="https://www.hilton.com/en/corporate/" TargetMode="External" Id="R7df1d4c316ac49ea" /><Relationship Type="http://schemas.openxmlformats.org/officeDocument/2006/relationships/hyperlink" Target="https://www.hilton.com/en/corporate/" TargetMode="External" Id="R8277594f29444092" /><Relationship Type="http://schemas.openxmlformats.org/officeDocument/2006/relationships/hyperlink" Target="https://www.hilton.com/en/corporate/" TargetMode="External" Id="R4c390e66b2624c90" /><Relationship Type="http://schemas.openxmlformats.org/officeDocument/2006/relationships/hyperlink" Target="https://www.hilton.com/en/corporate/" TargetMode="External" Id="Rc6a4ae5c612e4b28" /><Relationship Type="http://schemas.openxmlformats.org/officeDocument/2006/relationships/hyperlink" Target="https://www.hilton.com/en/corporate/" TargetMode="External" Id="R14327b83143e487d" /><Relationship Type="http://schemas.openxmlformats.org/officeDocument/2006/relationships/hyperlink" Target="https://www.imf.org/" TargetMode="External" Id="R05d4602434b7433e" /><Relationship Type="http://schemas.openxmlformats.org/officeDocument/2006/relationships/hyperlink" Target="https://www.worldbank.org/" TargetMode="External" Id="Rcd73ab6165954005" /><Relationship Type="http://schemas.openxmlformats.org/officeDocument/2006/relationships/hyperlink" Target="https://www.unwto.org/" TargetMode="External" Id="R175422805eb34bcc" /><Relationship Type="http://schemas.openxmlformats.org/officeDocument/2006/relationships/hyperlink" Target="https://www.icaew.com/" TargetMode="External" Id="Rd352e2b9d2854e3f" /><Relationship Type="http://schemas.openxmlformats.org/officeDocument/2006/relationships/image" Target="/media/image2.png" Id="rId493172025" /><Relationship Type="http://schemas.openxmlformats.org/officeDocument/2006/relationships/image" Target="/media/image3.png" Id="rId866532803" /><Relationship Type="http://schemas.openxmlformats.org/officeDocument/2006/relationships/image" Target="/media/image4.png" Id="rId1632814224" /><Relationship Type="http://schemas.openxmlformats.org/officeDocument/2006/relationships/hyperlink" Target="https://chatgpt.com/" TargetMode="External" Id="R48218f3b97304279" /><Relationship Type="http://schemas.openxmlformats.org/officeDocument/2006/relationships/numbering" Target="/word/numbering.xml" Id="R91edb01b8aa444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Armands Putersevics (2242532)</dc:creator>
  <keywords/>
  <dc:description/>
  <lastModifiedBy>Armands Putersevics (2242532)</lastModifiedBy>
  <revision>2</revision>
  <dcterms:created xsi:type="dcterms:W3CDTF">2026-08-12T10:30:56.6300903Z</dcterms:created>
  <dcterms:modified xsi:type="dcterms:W3CDTF">2026-08-13T05:57:53.8445251Z</dcterms:modified>
</coreProperties>
</file>