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478435" w14:textId="4F7C99DC" w:rsidR="00ED1049" w:rsidRPr="00DF4C68" w:rsidRDefault="00C31D85" w:rsidP="00DF4C68">
      <w:pPr>
        <w:ind w:left="426"/>
        <w:jc w:val="both"/>
        <w:rPr>
          <w:rFonts w:ascii="Arial" w:hAnsi="Arial" w:cs="Arial"/>
          <w:sz w:val="24"/>
          <w:szCs w:val="24"/>
        </w:rPr>
      </w:pPr>
      <w:r w:rsidRPr="00DF4C68">
        <w:rPr>
          <w:rFonts w:ascii="Arial" w:hAnsi="Arial" w:cs="Arial"/>
          <w:noProof/>
          <w:sz w:val="24"/>
          <w:szCs w:val="24"/>
          <w:lang w:eastAsia="en-GB"/>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DF4C68" w:rsidRDefault="00ED1049" w:rsidP="00DF4C68">
      <w:pPr>
        <w:spacing w:line="360" w:lineRule="auto"/>
        <w:ind w:left="426"/>
        <w:jc w:val="both"/>
        <w:rPr>
          <w:rFonts w:ascii="Arial" w:hAnsi="Arial" w:cs="Arial"/>
          <w:sz w:val="24"/>
          <w:szCs w:val="24"/>
        </w:rPr>
      </w:pPr>
    </w:p>
    <w:p w14:paraId="41A133E3" w14:textId="77777777" w:rsidR="00ED1049" w:rsidRPr="00DF4C68" w:rsidRDefault="00ED1049" w:rsidP="00DF4C68">
      <w:pPr>
        <w:spacing w:line="360" w:lineRule="auto"/>
        <w:ind w:left="426"/>
        <w:jc w:val="both"/>
        <w:rPr>
          <w:rFonts w:ascii="Arial" w:hAnsi="Arial" w:cs="Arial"/>
          <w:sz w:val="24"/>
          <w:szCs w:val="24"/>
        </w:rPr>
      </w:pPr>
    </w:p>
    <w:p w14:paraId="605068F9" w14:textId="77777777" w:rsidR="00ED1049" w:rsidRPr="00DF4C68" w:rsidRDefault="00ED1049" w:rsidP="00DF4C68">
      <w:pPr>
        <w:spacing w:line="360" w:lineRule="auto"/>
        <w:ind w:left="426"/>
        <w:jc w:val="both"/>
        <w:rPr>
          <w:rFonts w:ascii="Arial" w:hAnsi="Arial" w:cs="Arial"/>
          <w:sz w:val="24"/>
          <w:szCs w:val="24"/>
        </w:rPr>
      </w:pPr>
    </w:p>
    <w:p w14:paraId="543861DF" w14:textId="77777777" w:rsidR="00ED1049" w:rsidRPr="00DF4C68" w:rsidRDefault="00ED1049" w:rsidP="00DF4C68">
      <w:pPr>
        <w:jc w:val="both"/>
        <w:rPr>
          <w:rFonts w:ascii="Arial" w:hAnsi="Arial" w:cs="Arial"/>
          <w:sz w:val="24"/>
          <w:szCs w:val="24"/>
        </w:rPr>
      </w:pPr>
    </w:p>
    <w:p w14:paraId="1B9C9B98" w14:textId="77777777" w:rsidR="00C31D85" w:rsidRPr="00DF4C68" w:rsidRDefault="00C31D85" w:rsidP="00DF4C68">
      <w:pPr>
        <w:jc w:val="center"/>
        <w:rPr>
          <w:rFonts w:ascii="Arial" w:hAnsi="Arial" w:cs="Arial"/>
          <w:b/>
          <w:bCs/>
          <w:sz w:val="24"/>
          <w:szCs w:val="24"/>
        </w:rPr>
      </w:pPr>
    </w:p>
    <w:p w14:paraId="216E92B4" w14:textId="602DD2F2" w:rsidR="00C31D85" w:rsidRPr="00DF4C68" w:rsidRDefault="00C31D85" w:rsidP="00DF4C68">
      <w:pPr>
        <w:jc w:val="center"/>
        <w:rPr>
          <w:rFonts w:ascii="Arial" w:hAnsi="Arial" w:cs="Arial"/>
          <w:b/>
          <w:bCs/>
          <w:sz w:val="24"/>
          <w:szCs w:val="24"/>
        </w:rPr>
      </w:pPr>
      <w:r w:rsidRPr="00DF4C68">
        <w:rPr>
          <w:rFonts w:ascii="Arial" w:hAnsi="Arial" w:cs="Arial"/>
          <w:b/>
          <w:bCs/>
          <w:sz w:val="24"/>
          <w:szCs w:val="24"/>
        </w:rPr>
        <w:t>Methods and Search Strategy Academic Poster</w:t>
      </w:r>
    </w:p>
    <w:p w14:paraId="2C135EB3" w14:textId="77777777" w:rsidR="00C31D85" w:rsidRPr="00DF4C68" w:rsidRDefault="00C31D85" w:rsidP="00DF4C68">
      <w:pPr>
        <w:jc w:val="center"/>
        <w:rPr>
          <w:rFonts w:ascii="Arial" w:hAnsi="Arial" w:cs="Arial"/>
          <w:b/>
          <w:bCs/>
          <w:sz w:val="24"/>
          <w:szCs w:val="24"/>
        </w:rPr>
      </w:pPr>
    </w:p>
    <w:p w14:paraId="630B5F3A" w14:textId="77777777" w:rsidR="00C31D85" w:rsidRPr="00DF4C68" w:rsidRDefault="00C31D85" w:rsidP="00DF4C68">
      <w:pPr>
        <w:jc w:val="center"/>
        <w:rPr>
          <w:rFonts w:ascii="Arial" w:hAnsi="Arial" w:cs="Arial"/>
          <w:b/>
          <w:bCs/>
          <w:sz w:val="24"/>
          <w:szCs w:val="24"/>
        </w:rPr>
      </w:pPr>
    </w:p>
    <w:p w14:paraId="3260C959" w14:textId="77777777" w:rsidR="00C31D85" w:rsidRPr="00DF4C68" w:rsidRDefault="00C31D85" w:rsidP="00DF4C68">
      <w:pPr>
        <w:jc w:val="center"/>
        <w:rPr>
          <w:rFonts w:ascii="Arial" w:hAnsi="Arial" w:cs="Arial"/>
          <w:b/>
          <w:bCs/>
          <w:sz w:val="24"/>
          <w:szCs w:val="24"/>
        </w:rPr>
      </w:pPr>
    </w:p>
    <w:p w14:paraId="461920A4" w14:textId="77777777" w:rsidR="00C31D85" w:rsidRPr="00DF4C68" w:rsidRDefault="00C31D85" w:rsidP="00DF4C68">
      <w:pPr>
        <w:tabs>
          <w:tab w:val="left" w:pos="6540"/>
        </w:tabs>
        <w:spacing w:line="360" w:lineRule="auto"/>
        <w:ind w:left="426"/>
        <w:jc w:val="center"/>
        <w:rPr>
          <w:rFonts w:ascii="Arial" w:hAnsi="Arial" w:cs="Arial"/>
          <w:sz w:val="24"/>
          <w:szCs w:val="24"/>
          <w:lang w:val="nl-NL"/>
        </w:rPr>
      </w:pPr>
      <w:r w:rsidRPr="00DF4C68">
        <w:rPr>
          <w:rFonts w:ascii="Arial" w:hAnsi="Arial" w:cs="Arial"/>
          <w:b/>
          <w:bCs/>
          <w:sz w:val="24"/>
          <w:szCs w:val="24"/>
          <w:lang w:val="nl-NL"/>
        </w:rPr>
        <w:t>Student name</w:t>
      </w:r>
      <w:r w:rsidRPr="00DF4C68">
        <w:rPr>
          <w:rFonts w:ascii="Arial" w:hAnsi="Arial" w:cs="Arial"/>
          <w:sz w:val="24"/>
          <w:szCs w:val="24"/>
          <w:lang w:val="nl-NL"/>
        </w:rPr>
        <w:t>: Aysha Bi</w:t>
      </w:r>
    </w:p>
    <w:p w14:paraId="4D060E17" w14:textId="27A80E9A" w:rsidR="00C31D85" w:rsidRPr="00DF4C68" w:rsidRDefault="00C31D85" w:rsidP="00DF4C68">
      <w:pPr>
        <w:tabs>
          <w:tab w:val="left" w:pos="6540"/>
        </w:tabs>
        <w:spacing w:line="360" w:lineRule="auto"/>
        <w:ind w:left="426"/>
        <w:jc w:val="center"/>
        <w:rPr>
          <w:rFonts w:ascii="Arial" w:hAnsi="Arial" w:cs="Arial"/>
          <w:sz w:val="24"/>
          <w:szCs w:val="24"/>
          <w:lang w:val="nl-NL"/>
        </w:rPr>
      </w:pPr>
      <w:r w:rsidRPr="00DF4C68">
        <w:rPr>
          <w:rFonts w:ascii="Arial" w:hAnsi="Arial" w:cs="Arial"/>
          <w:b/>
          <w:bCs/>
          <w:sz w:val="24"/>
          <w:szCs w:val="24"/>
          <w:lang w:val="nl-NL"/>
        </w:rPr>
        <w:t>Student ID</w:t>
      </w:r>
      <w:r w:rsidR="00B6374C">
        <w:rPr>
          <w:rFonts w:ascii="Arial" w:hAnsi="Arial" w:cs="Arial"/>
          <w:sz w:val="24"/>
          <w:szCs w:val="24"/>
          <w:lang w:val="nl-NL"/>
        </w:rPr>
        <w:t xml:space="preserve">: </w:t>
      </w:r>
      <w:r w:rsidR="00A815F1">
        <w:rPr>
          <w:rFonts w:ascii="Arial" w:hAnsi="Arial" w:cs="Arial"/>
          <w:sz w:val="24"/>
          <w:szCs w:val="24"/>
          <w:lang w:val="nl-NL"/>
        </w:rPr>
        <w:t>2318967</w:t>
      </w:r>
    </w:p>
    <w:p w14:paraId="7C577260" w14:textId="77777777" w:rsidR="00C31D85" w:rsidRPr="00DF4C68" w:rsidRDefault="00C31D85" w:rsidP="00DF4C68">
      <w:pPr>
        <w:tabs>
          <w:tab w:val="left" w:pos="6540"/>
        </w:tabs>
        <w:spacing w:line="360" w:lineRule="auto"/>
        <w:ind w:left="426"/>
        <w:jc w:val="center"/>
        <w:rPr>
          <w:rFonts w:ascii="Arial" w:hAnsi="Arial" w:cs="Arial"/>
          <w:sz w:val="24"/>
          <w:szCs w:val="24"/>
          <w:lang w:val="nl-NL"/>
        </w:rPr>
      </w:pPr>
    </w:p>
    <w:p w14:paraId="41CBCDE7" w14:textId="77777777" w:rsidR="00C31D85" w:rsidRPr="00DF4C68" w:rsidRDefault="00C31D85" w:rsidP="00DF4C68">
      <w:pPr>
        <w:tabs>
          <w:tab w:val="left" w:pos="6540"/>
        </w:tabs>
        <w:spacing w:line="360" w:lineRule="auto"/>
        <w:ind w:left="426"/>
        <w:jc w:val="center"/>
        <w:rPr>
          <w:rFonts w:ascii="Arial" w:hAnsi="Arial" w:cs="Arial"/>
          <w:sz w:val="24"/>
          <w:szCs w:val="24"/>
          <w:lang w:val="nl-NL"/>
        </w:rPr>
      </w:pPr>
      <w:r w:rsidRPr="00DF4C68">
        <w:rPr>
          <w:rFonts w:ascii="Arial" w:hAnsi="Arial" w:cs="Arial"/>
          <w:b/>
          <w:bCs/>
          <w:sz w:val="24"/>
          <w:szCs w:val="24"/>
          <w:lang w:val="nl-NL"/>
        </w:rPr>
        <w:t>Module name</w:t>
      </w:r>
      <w:r w:rsidRPr="00DF4C68">
        <w:rPr>
          <w:rFonts w:ascii="Arial" w:hAnsi="Arial" w:cs="Arial"/>
          <w:sz w:val="24"/>
          <w:szCs w:val="24"/>
          <w:lang w:val="nl-NL"/>
        </w:rPr>
        <w:t>: Independent Project</w:t>
      </w:r>
    </w:p>
    <w:p w14:paraId="42A6E8AA" w14:textId="77777777" w:rsidR="00C31D85" w:rsidRPr="00DF4C68" w:rsidRDefault="00C31D85" w:rsidP="00DF4C68">
      <w:pPr>
        <w:tabs>
          <w:tab w:val="left" w:pos="6540"/>
        </w:tabs>
        <w:spacing w:line="360" w:lineRule="auto"/>
        <w:ind w:left="426"/>
        <w:jc w:val="center"/>
        <w:rPr>
          <w:rFonts w:ascii="Arial" w:hAnsi="Arial" w:cs="Arial"/>
          <w:sz w:val="24"/>
          <w:szCs w:val="24"/>
        </w:rPr>
      </w:pPr>
      <w:r w:rsidRPr="00DF4C68">
        <w:rPr>
          <w:rFonts w:ascii="Arial" w:hAnsi="Arial" w:cs="Arial"/>
          <w:b/>
          <w:bCs/>
          <w:sz w:val="24"/>
          <w:szCs w:val="24"/>
        </w:rPr>
        <w:t>Module code</w:t>
      </w:r>
      <w:r w:rsidRPr="00DF4C68">
        <w:rPr>
          <w:rFonts w:ascii="Arial" w:hAnsi="Arial" w:cs="Arial"/>
          <w:sz w:val="24"/>
          <w:szCs w:val="24"/>
        </w:rPr>
        <w:t>: BMHP6020</w:t>
      </w:r>
    </w:p>
    <w:p w14:paraId="41A4DC93" w14:textId="46512763" w:rsidR="00C31D85" w:rsidRPr="00DF4C68" w:rsidRDefault="00CC0A8F" w:rsidP="00DF4C68">
      <w:pPr>
        <w:jc w:val="center"/>
        <w:rPr>
          <w:rFonts w:ascii="Arial" w:hAnsi="Arial" w:cs="Arial"/>
          <w:b/>
          <w:bCs/>
          <w:sz w:val="24"/>
          <w:szCs w:val="24"/>
        </w:rPr>
        <w:sectPr w:rsidR="00C31D85" w:rsidRPr="00DF4C68" w:rsidSect="00C31D85">
          <w:headerReference w:type="default" r:id="rId12"/>
          <w:headerReference w:type="first" r:id="rId13"/>
          <w:pgSz w:w="12240" w:h="15840" w:code="1"/>
          <w:pgMar w:top="720" w:right="576" w:bottom="720" w:left="720" w:header="432" w:footer="288" w:gutter="0"/>
          <w:cols w:space="720"/>
          <w:titlePg/>
          <w:docGrid w:linePitch="360"/>
        </w:sectPr>
      </w:pPr>
      <w:r w:rsidRPr="00DF4C68">
        <w:rPr>
          <w:rFonts w:ascii="Arial" w:hAnsi="Arial" w:cs="Arial"/>
          <w:b/>
          <w:bCs/>
          <w:sz w:val="24"/>
          <w:szCs w:val="24"/>
        </w:rPr>
        <w:br w:type="page"/>
      </w:r>
    </w:p>
    <w:tbl>
      <w:tblPr>
        <w:tblStyle w:val="TableGrid"/>
        <w:tblW w:w="14616" w:type="dxa"/>
        <w:tblLook w:val="04A0" w:firstRow="1" w:lastRow="0" w:firstColumn="1" w:lastColumn="0" w:noHBand="0" w:noVBand="1"/>
      </w:tblPr>
      <w:tblGrid>
        <w:gridCol w:w="7225"/>
        <w:gridCol w:w="7391"/>
      </w:tblGrid>
      <w:tr w:rsidR="00802FF1" w:rsidRPr="00DF4C68" w14:paraId="2F1EE6C0" w14:textId="77777777" w:rsidTr="00F52F83">
        <w:trPr>
          <w:trHeight w:val="597"/>
        </w:trPr>
        <w:tc>
          <w:tcPr>
            <w:tcW w:w="14616" w:type="dxa"/>
            <w:gridSpan w:val="2"/>
            <w:vAlign w:val="center"/>
          </w:tcPr>
          <w:p w14:paraId="2B809516" w14:textId="77777777" w:rsidR="00802FF1" w:rsidRPr="00DF4C68" w:rsidRDefault="00802FF1" w:rsidP="00DF4C68">
            <w:pPr>
              <w:jc w:val="center"/>
              <w:rPr>
                <w:rFonts w:ascii="Arial" w:hAnsi="Arial" w:cs="Arial"/>
                <w:b/>
                <w:bCs/>
                <w:sz w:val="24"/>
                <w:szCs w:val="24"/>
              </w:rPr>
            </w:pPr>
            <w:r w:rsidRPr="00DF4C68">
              <w:rPr>
                <w:rFonts w:ascii="Arial" w:hAnsi="Arial" w:cs="Arial"/>
                <w:b/>
                <w:bCs/>
                <w:sz w:val="24"/>
                <w:szCs w:val="24"/>
              </w:rPr>
              <w:lastRenderedPageBreak/>
              <w:t>The Role of Nurses in Preventing Medication Errors and Enhancing Patient Safety in Healthcare Settings</w:t>
            </w:r>
          </w:p>
          <w:p w14:paraId="080E7EB0" w14:textId="1F253508" w:rsidR="00802FF1" w:rsidRPr="00DF4C68" w:rsidRDefault="00802FF1" w:rsidP="00DF4C68">
            <w:pPr>
              <w:jc w:val="center"/>
              <w:rPr>
                <w:rFonts w:ascii="Arial" w:hAnsi="Arial" w:cs="Arial"/>
                <w:b/>
                <w:bCs/>
                <w:sz w:val="24"/>
                <w:szCs w:val="24"/>
              </w:rPr>
            </w:pPr>
          </w:p>
        </w:tc>
      </w:tr>
      <w:tr w:rsidR="00C31D85" w:rsidRPr="00DF4C68" w14:paraId="51100EC3" w14:textId="77777777" w:rsidTr="00063B85">
        <w:trPr>
          <w:trHeight w:val="1856"/>
        </w:trPr>
        <w:tc>
          <w:tcPr>
            <w:tcW w:w="7225" w:type="dxa"/>
          </w:tcPr>
          <w:p w14:paraId="2DB8B9AA" w14:textId="4FDCA00C" w:rsidR="00DF4C68" w:rsidRPr="00A815F1" w:rsidRDefault="00DF4C68" w:rsidP="00DF4C68">
            <w:pPr>
              <w:jc w:val="both"/>
              <w:rPr>
                <w:rFonts w:ascii="Arial" w:hAnsi="Arial" w:cs="Arial"/>
                <w:b/>
                <w:bCs/>
                <w:sz w:val="24"/>
                <w:szCs w:val="24"/>
                <w:u w:val="single"/>
              </w:rPr>
            </w:pPr>
            <w:r w:rsidRPr="00A815F1">
              <w:rPr>
                <w:rFonts w:ascii="Arial" w:hAnsi="Arial" w:cs="Arial"/>
                <w:b/>
                <w:bCs/>
                <w:sz w:val="24"/>
                <w:szCs w:val="24"/>
                <w:u w:val="single"/>
              </w:rPr>
              <w:t>01 Introduction and Research Aim</w:t>
            </w:r>
          </w:p>
          <w:p w14:paraId="4F873229" w14:textId="3102F666" w:rsidR="000E56ED" w:rsidRPr="00DF4C68" w:rsidRDefault="00514B8F" w:rsidP="00A815F1">
            <w:pPr>
              <w:spacing w:line="360" w:lineRule="auto"/>
              <w:jc w:val="both"/>
              <w:rPr>
                <w:rFonts w:ascii="Arial" w:hAnsi="Arial" w:cs="Arial"/>
                <w:sz w:val="24"/>
                <w:szCs w:val="24"/>
              </w:rPr>
            </w:pPr>
            <w:r w:rsidRPr="00514B8F">
              <w:rPr>
                <w:rFonts w:ascii="Arial" w:hAnsi="Arial" w:cs="Arial"/>
                <w:bCs/>
                <w:sz w:val="24"/>
                <w:szCs w:val="24"/>
              </w:rPr>
              <w:t xml:space="preserve">The purpose of this </w:t>
            </w:r>
            <w:r w:rsidR="00A815F1">
              <w:rPr>
                <w:rFonts w:ascii="Arial" w:hAnsi="Arial" w:cs="Arial"/>
                <w:bCs/>
                <w:sz w:val="24"/>
                <w:szCs w:val="24"/>
              </w:rPr>
              <w:t>methods chapter is to provide a summary of the processes used to locate and appraise the literature used in this dissertation and to analyse the literature with the aim of providing evidence-based recommendations by nurses, healthcare organisations and policymakers</w:t>
            </w:r>
            <w:r w:rsidRPr="00514B8F">
              <w:rPr>
                <w:rFonts w:ascii="Arial" w:hAnsi="Arial" w:cs="Arial"/>
                <w:bCs/>
                <w:sz w:val="24"/>
                <w:szCs w:val="24"/>
              </w:rPr>
              <w:t xml:space="preserve"> that will reduce medication errors and improve patient safety.</w:t>
            </w:r>
          </w:p>
        </w:tc>
        <w:tc>
          <w:tcPr>
            <w:tcW w:w="7391" w:type="dxa"/>
          </w:tcPr>
          <w:p w14:paraId="13C32E15" w14:textId="77777777" w:rsidR="00DF4C68" w:rsidRPr="00A815F1" w:rsidRDefault="00DF4C68" w:rsidP="00DF4C68">
            <w:pPr>
              <w:jc w:val="both"/>
              <w:rPr>
                <w:rFonts w:ascii="Arial" w:hAnsi="Arial" w:cs="Arial"/>
                <w:b/>
                <w:bCs/>
                <w:sz w:val="24"/>
                <w:szCs w:val="24"/>
                <w:u w:val="single"/>
              </w:rPr>
            </w:pPr>
            <w:r w:rsidRPr="00A815F1">
              <w:rPr>
                <w:rFonts w:ascii="Arial" w:hAnsi="Arial" w:cs="Arial"/>
                <w:b/>
                <w:bCs/>
                <w:sz w:val="24"/>
                <w:szCs w:val="24"/>
                <w:u w:val="single"/>
              </w:rPr>
              <w:t>02 Search Strategy</w:t>
            </w:r>
          </w:p>
          <w:p w14:paraId="109C23A4" w14:textId="56D21914" w:rsidR="0029329C" w:rsidRPr="00DF4C68" w:rsidRDefault="00514B8F" w:rsidP="00DF4C68">
            <w:pPr>
              <w:spacing w:line="360" w:lineRule="auto"/>
              <w:jc w:val="both"/>
              <w:rPr>
                <w:rFonts w:ascii="Arial" w:hAnsi="Arial" w:cs="Arial"/>
                <w:sz w:val="24"/>
                <w:szCs w:val="24"/>
              </w:rPr>
            </w:pPr>
            <w:r w:rsidRPr="00514B8F">
              <w:rPr>
                <w:rFonts w:ascii="Arial" w:hAnsi="Arial" w:cs="Arial"/>
                <w:bCs/>
                <w:sz w:val="24"/>
                <w:szCs w:val="24"/>
              </w:rPr>
              <w:t>A search strategy is a process of searching for relevant literature according to well-defined keywords and Boolean operators (Aveyard, 2023). The combination of three concept blocks was used to search with CINAHL, MEDLINE (PubMed) and Google Scholar: “medication error” OR “medication administration error” AND “patient safety” AND (</w:t>
            </w:r>
            <w:proofErr w:type="spellStart"/>
            <w:r w:rsidRPr="00514B8F">
              <w:rPr>
                <w:rFonts w:ascii="Arial" w:hAnsi="Arial" w:cs="Arial"/>
                <w:bCs/>
                <w:sz w:val="24"/>
                <w:szCs w:val="24"/>
              </w:rPr>
              <w:t>nurs</w:t>
            </w:r>
            <w:proofErr w:type="spellEnd"/>
            <w:r w:rsidRPr="00514B8F">
              <w:rPr>
                <w:rFonts w:ascii="Arial" w:hAnsi="Arial" w:cs="Arial"/>
                <w:bCs/>
                <w:sz w:val="24"/>
                <w:szCs w:val="24"/>
              </w:rPr>
              <w:t>).</w:t>
            </w:r>
          </w:p>
        </w:tc>
      </w:tr>
      <w:tr w:rsidR="00C31D85" w:rsidRPr="00DF4C68" w14:paraId="56FBFF17" w14:textId="77777777" w:rsidTr="00063B85">
        <w:trPr>
          <w:trHeight w:val="1856"/>
        </w:trPr>
        <w:tc>
          <w:tcPr>
            <w:tcW w:w="7225" w:type="dxa"/>
          </w:tcPr>
          <w:p w14:paraId="303E1788" w14:textId="77777777" w:rsidR="00DF4C68" w:rsidRPr="00A815F1" w:rsidRDefault="00DF4C68" w:rsidP="00DF4C68">
            <w:pPr>
              <w:jc w:val="both"/>
              <w:rPr>
                <w:rFonts w:ascii="Arial" w:hAnsi="Arial" w:cs="Arial"/>
                <w:b/>
                <w:bCs/>
                <w:sz w:val="24"/>
                <w:szCs w:val="24"/>
                <w:u w:val="single"/>
              </w:rPr>
            </w:pPr>
            <w:r w:rsidRPr="00A815F1">
              <w:rPr>
                <w:rFonts w:ascii="Arial" w:hAnsi="Arial" w:cs="Arial"/>
                <w:b/>
                <w:bCs/>
                <w:sz w:val="24"/>
                <w:szCs w:val="24"/>
              </w:rPr>
              <w:t>0</w:t>
            </w:r>
            <w:r w:rsidRPr="00A815F1">
              <w:rPr>
                <w:rFonts w:ascii="Arial" w:hAnsi="Arial" w:cs="Arial"/>
                <w:b/>
                <w:bCs/>
                <w:sz w:val="24"/>
                <w:szCs w:val="24"/>
                <w:u w:val="single"/>
              </w:rPr>
              <w:t>3 Searching for Information</w:t>
            </w:r>
          </w:p>
          <w:p w14:paraId="701333EA" w14:textId="5B5CB335" w:rsidR="0029329C" w:rsidRPr="00DF4C68" w:rsidRDefault="00514B8F" w:rsidP="00DF4C68">
            <w:pPr>
              <w:spacing w:line="360" w:lineRule="auto"/>
              <w:jc w:val="both"/>
              <w:rPr>
                <w:rFonts w:ascii="Arial" w:hAnsi="Arial" w:cs="Arial"/>
                <w:sz w:val="24"/>
                <w:szCs w:val="24"/>
              </w:rPr>
            </w:pPr>
            <w:r w:rsidRPr="00514B8F">
              <w:rPr>
                <w:rFonts w:ascii="Arial" w:hAnsi="Arial" w:cs="Arial"/>
                <w:bCs/>
                <w:sz w:val="24"/>
                <w:szCs w:val="24"/>
              </w:rPr>
              <w:t>They were conducted in a general manner and then narrowed down by date of publication (past 10 years), care setting, and relevance to nursing. Reference lists of key systematic reviews (</w:t>
            </w:r>
            <w:proofErr w:type="spellStart"/>
            <w:r w:rsidRPr="00514B8F">
              <w:rPr>
                <w:rFonts w:ascii="Arial" w:hAnsi="Arial" w:cs="Arial"/>
                <w:bCs/>
                <w:sz w:val="24"/>
                <w:szCs w:val="24"/>
              </w:rPr>
              <w:t>Keers</w:t>
            </w:r>
            <w:proofErr w:type="spellEnd"/>
            <w:r w:rsidRPr="00514B8F">
              <w:rPr>
                <w:rFonts w:ascii="Arial" w:hAnsi="Arial" w:cs="Arial"/>
                <w:bCs/>
                <w:sz w:val="24"/>
                <w:szCs w:val="24"/>
              </w:rPr>
              <w:t xml:space="preserve"> </w:t>
            </w:r>
            <w:r w:rsidRPr="003E14DE">
              <w:rPr>
                <w:rFonts w:ascii="Arial" w:hAnsi="Arial" w:cs="Arial"/>
                <w:bCs/>
                <w:i/>
                <w:sz w:val="24"/>
                <w:szCs w:val="24"/>
              </w:rPr>
              <w:t>et al</w:t>
            </w:r>
            <w:r w:rsidRPr="00514B8F">
              <w:rPr>
                <w:rFonts w:ascii="Arial" w:hAnsi="Arial" w:cs="Arial"/>
                <w:bCs/>
                <w:sz w:val="24"/>
                <w:szCs w:val="24"/>
              </w:rPr>
              <w:t xml:space="preserve">., 2013; Hodkinson </w:t>
            </w:r>
            <w:r w:rsidRPr="003E14DE">
              <w:rPr>
                <w:rFonts w:ascii="Arial" w:hAnsi="Arial" w:cs="Arial"/>
                <w:bCs/>
                <w:i/>
                <w:sz w:val="24"/>
                <w:szCs w:val="24"/>
              </w:rPr>
              <w:t>et al</w:t>
            </w:r>
            <w:r w:rsidRPr="00514B8F">
              <w:rPr>
                <w:rFonts w:ascii="Arial" w:hAnsi="Arial" w:cs="Arial"/>
                <w:bCs/>
                <w:sz w:val="24"/>
                <w:szCs w:val="24"/>
              </w:rPr>
              <w:t>., 2020) were hand searched to look for other reviews and theoretical models, including Reason's (2000) model of error causation. Following other searches (mostly already identified ("satu</w:t>
            </w:r>
            <w:r w:rsidR="00B43340">
              <w:rPr>
                <w:rFonts w:ascii="Arial" w:hAnsi="Arial" w:cs="Arial"/>
                <w:bCs/>
                <w:sz w:val="24"/>
                <w:szCs w:val="24"/>
              </w:rPr>
              <w:t>ration"</w:t>
            </w:r>
            <w:r w:rsidRPr="00514B8F">
              <w:rPr>
                <w:rFonts w:ascii="Arial" w:hAnsi="Arial" w:cs="Arial"/>
                <w:bCs/>
                <w:sz w:val="24"/>
                <w:szCs w:val="24"/>
              </w:rPr>
              <w:t>), searching was stopped. A targeted search was completed in the WHO and NHS policy and grey literature.</w:t>
            </w:r>
          </w:p>
        </w:tc>
        <w:tc>
          <w:tcPr>
            <w:tcW w:w="7391" w:type="dxa"/>
          </w:tcPr>
          <w:p w14:paraId="3F4F3312" w14:textId="77777777" w:rsidR="00DF4C68" w:rsidRPr="00A815F1" w:rsidRDefault="00DF4C68" w:rsidP="00DF4C68">
            <w:pPr>
              <w:jc w:val="both"/>
              <w:rPr>
                <w:rFonts w:ascii="Arial" w:hAnsi="Arial" w:cs="Arial"/>
                <w:b/>
                <w:bCs/>
                <w:sz w:val="24"/>
                <w:szCs w:val="24"/>
                <w:u w:val="single"/>
              </w:rPr>
            </w:pPr>
            <w:r w:rsidRPr="00A815F1">
              <w:rPr>
                <w:rFonts w:ascii="Arial" w:hAnsi="Arial" w:cs="Arial"/>
                <w:b/>
                <w:bCs/>
                <w:sz w:val="24"/>
                <w:szCs w:val="24"/>
                <w:u w:val="single"/>
              </w:rPr>
              <w:t>04 Key Statistics</w:t>
            </w:r>
          </w:p>
          <w:p w14:paraId="251DE9AA" w14:textId="77777777" w:rsidR="00514B8F" w:rsidRPr="00514B8F" w:rsidRDefault="00514B8F" w:rsidP="00514B8F">
            <w:pPr>
              <w:jc w:val="both"/>
              <w:rPr>
                <w:rFonts w:ascii="Arial" w:hAnsi="Arial" w:cs="Arial"/>
                <w:bCs/>
                <w:sz w:val="24"/>
                <w:szCs w:val="24"/>
              </w:rPr>
            </w:pPr>
            <w:r w:rsidRPr="00514B8F">
              <w:rPr>
                <w:rFonts w:ascii="Arial" w:hAnsi="Arial" w:cs="Arial"/>
                <w:bCs/>
                <w:sz w:val="24"/>
                <w:szCs w:val="24"/>
              </w:rPr>
              <w:t>A number of the literature analysed provided important figures including:</w:t>
            </w:r>
          </w:p>
          <w:p w14:paraId="0799D456" w14:textId="77777777" w:rsidR="00514B8F" w:rsidRPr="00514B8F" w:rsidRDefault="00514B8F" w:rsidP="00514B8F">
            <w:pPr>
              <w:jc w:val="both"/>
              <w:rPr>
                <w:rFonts w:ascii="Arial" w:hAnsi="Arial" w:cs="Arial"/>
                <w:bCs/>
                <w:sz w:val="24"/>
                <w:szCs w:val="24"/>
              </w:rPr>
            </w:pPr>
            <w:r w:rsidRPr="00514B8F">
              <w:rPr>
                <w:rFonts w:ascii="Arial" w:hAnsi="Arial" w:cs="Arial"/>
                <w:bCs/>
                <w:sz w:val="24"/>
                <w:szCs w:val="24"/>
              </w:rPr>
              <w:t xml:space="preserve">Preventable medication harm occurs in ~3% of patients; more than a quarter of this is severe or life threatening (Hodkinson </w:t>
            </w:r>
            <w:r w:rsidRPr="003E14DE">
              <w:rPr>
                <w:rFonts w:ascii="Arial" w:hAnsi="Arial" w:cs="Arial"/>
                <w:bCs/>
                <w:i/>
                <w:sz w:val="24"/>
                <w:szCs w:val="24"/>
              </w:rPr>
              <w:t>et al</w:t>
            </w:r>
            <w:r w:rsidRPr="00514B8F">
              <w:rPr>
                <w:rFonts w:ascii="Arial" w:hAnsi="Arial" w:cs="Arial"/>
                <w:bCs/>
                <w:sz w:val="24"/>
                <w:szCs w:val="24"/>
              </w:rPr>
              <w:t>., 2020).</w:t>
            </w:r>
          </w:p>
          <w:p w14:paraId="337395D9" w14:textId="77777777" w:rsidR="00514B8F" w:rsidRPr="00514B8F" w:rsidRDefault="00514B8F" w:rsidP="00514B8F">
            <w:pPr>
              <w:jc w:val="both"/>
              <w:rPr>
                <w:rFonts w:ascii="Arial" w:hAnsi="Arial" w:cs="Arial"/>
                <w:bCs/>
                <w:sz w:val="24"/>
                <w:szCs w:val="24"/>
              </w:rPr>
            </w:pPr>
            <w:r w:rsidRPr="00514B8F">
              <w:rPr>
                <w:rFonts w:ascii="Arial" w:hAnsi="Arial" w:cs="Arial"/>
                <w:bCs/>
                <w:sz w:val="24"/>
                <w:szCs w:val="24"/>
              </w:rPr>
              <w:t xml:space="preserve">Elliott </w:t>
            </w:r>
            <w:r w:rsidRPr="003E14DE">
              <w:rPr>
                <w:rFonts w:ascii="Arial" w:hAnsi="Arial" w:cs="Arial"/>
                <w:bCs/>
                <w:i/>
                <w:sz w:val="24"/>
                <w:szCs w:val="24"/>
              </w:rPr>
              <w:t>et al</w:t>
            </w:r>
            <w:r w:rsidRPr="00514B8F">
              <w:rPr>
                <w:rFonts w:ascii="Arial" w:hAnsi="Arial" w:cs="Arial"/>
                <w:bCs/>
                <w:sz w:val="24"/>
                <w:szCs w:val="24"/>
              </w:rPr>
              <w:t>., 2021 estimate the number of medication errors to be ~237 million per year in England, with ~ £98 million of avoidable cost, and 1,700+ deaths to be caused by medication errors per year.</w:t>
            </w:r>
          </w:p>
          <w:p w14:paraId="2BBB997C" w14:textId="74487EEB" w:rsidR="005F7D75" w:rsidRPr="00DF4C68" w:rsidRDefault="00514B8F" w:rsidP="00514B8F">
            <w:pPr>
              <w:spacing w:line="360" w:lineRule="auto"/>
              <w:jc w:val="both"/>
              <w:rPr>
                <w:rFonts w:ascii="Arial" w:hAnsi="Arial" w:cs="Arial"/>
                <w:sz w:val="24"/>
                <w:szCs w:val="24"/>
              </w:rPr>
            </w:pPr>
            <w:r w:rsidRPr="00514B8F">
              <w:rPr>
                <w:rFonts w:ascii="Arial" w:hAnsi="Arial" w:cs="Arial"/>
                <w:bCs/>
                <w:sz w:val="24"/>
                <w:szCs w:val="24"/>
              </w:rPr>
              <w:t>In the ICU, the figure of medication errors may be as high as 31.7% (</w:t>
            </w:r>
            <w:proofErr w:type="spellStart"/>
            <w:r w:rsidRPr="00514B8F">
              <w:rPr>
                <w:rFonts w:ascii="Arial" w:hAnsi="Arial" w:cs="Arial"/>
                <w:bCs/>
                <w:sz w:val="24"/>
                <w:szCs w:val="24"/>
              </w:rPr>
              <w:t>Kwiecień-Jaguś</w:t>
            </w:r>
            <w:proofErr w:type="spellEnd"/>
            <w:r w:rsidRPr="00514B8F">
              <w:rPr>
                <w:rFonts w:ascii="Arial" w:hAnsi="Arial" w:cs="Arial"/>
                <w:bCs/>
                <w:sz w:val="24"/>
                <w:szCs w:val="24"/>
              </w:rPr>
              <w:t xml:space="preserve"> </w:t>
            </w:r>
            <w:r w:rsidRPr="003E14DE">
              <w:rPr>
                <w:rFonts w:ascii="Arial" w:hAnsi="Arial" w:cs="Arial"/>
                <w:bCs/>
                <w:i/>
                <w:sz w:val="24"/>
                <w:szCs w:val="24"/>
              </w:rPr>
              <w:t>et al</w:t>
            </w:r>
            <w:r w:rsidRPr="00514B8F">
              <w:rPr>
                <w:rFonts w:ascii="Arial" w:hAnsi="Arial" w:cs="Arial"/>
                <w:bCs/>
                <w:sz w:val="24"/>
                <w:szCs w:val="24"/>
              </w:rPr>
              <w:t>., 2025).</w:t>
            </w:r>
          </w:p>
        </w:tc>
      </w:tr>
      <w:tr w:rsidR="00C31D85" w:rsidRPr="00DF4C68" w14:paraId="71279A0E" w14:textId="77777777" w:rsidTr="00F52F83">
        <w:trPr>
          <w:trHeight w:val="983"/>
        </w:trPr>
        <w:tc>
          <w:tcPr>
            <w:tcW w:w="14616" w:type="dxa"/>
            <w:gridSpan w:val="2"/>
          </w:tcPr>
          <w:p w14:paraId="64C1F08A" w14:textId="77777777" w:rsidR="00DF4C68" w:rsidRPr="00A815F1" w:rsidRDefault="00DF4C68" w:rsidP="00DF4C68">
            <w:pPr>
              <w:jc w:val="both"/>
              <w:rPr>
                <w:rFonts w:ascii="Arial" w:hAnsi="Arial" w:cs="Arial"/>
                <w:b/>
                <w:bCs/>
                <w:sz w:val="24"/>
                <w:szCs w:val="24"/>
                <w:u w:val="single"/>
              </w:rPr>
            </w:pPr>
            <w:r w:rsidRPr="00A815F1">
              <w:rPr>
                <w:rFonts w:ascii="Arial" w:hAnsi="Arial" w:cs="Arial"/>
                <w:b/>
                <w:bCs/>
                <w:sz w:val="24"/>
                <w:szCs w:val="24"/>
                <w:u w:val="single"/>
              </w:rPr>
              <w:t>05 Research Validation and Analysis</w:t>
            </w:r>
          </w:p>
          <w:p w14:paraId="335E98F5" w14:textId="77777777" w:rsidR="00514B8F" w:rsidRPr="00514B8F" w:rsidRDefault="00514B8F" w:rsidP="00514B8F">
            <w:pPr>
              <w:jc w:val="both"/>
              <w:rPr>
                <w:rFonts w:ascii="Arial" w:hAnsi="Arial" w:cs="Arial"/>
                <w:bCs/>
                <w:sz w:val="24"/>
                <w:szCs w:val="24"/>
              </w:rPr>
            </w:pPr>
            <w:r w:rsidRPr="00514B8F">
              <w:rPr>
                <w:rFonts w:ascii="Arial" w:hAnsi="Arial" w:cs="Arial"/>
                <w:bCs/>
                <w:sz w:val="24"/>
                <w:szCs w:val="24"/>
              </w:rPr>
              <w:t>Secondary research validation is to assess the validity of a source before using it for the research, whether it is reliable, accurate and relevant or not (Aveyard, 2023). This was accomplished using the CRAAP test (Blakeslee, 2004): Currency, Relevance, Authority, Accuracy, Purpose.</w:t>
            </w:r>
          </w:p>
          <w:p w14:paraId="7454B819" w14:textId="59237790" w:rsidR="00516CC0" w:rsidRPr="00DF4C68" w:rsidRDefault="00514B8F" w:rsidP="00514B8F">
            <w:pPr>
              <w:spacing w:line="360" w:lineRule="auto"/>
              <w:jc w:val="both"/>
              <w:rPr>
                <w:rFonts w:ascii="Arial" w:hAnsi="Arial" w:cs="Arial"/>
                <w:sz w:val="24"/>
                <w:szCs w:val="24"/>
              </w:rPr>
            </w:pPr>
            <w:r w:rsidRPr="00514B8F">
              <w:rPr>
                <w:rFonts w:ascii="Arial" w:hAnsi="Arial" w:cs="Arial"/>
                <w:bCs/>
                <w:sz w:val="24"/>
                <w:szCs w:val="24"/>
              </w:rPr>
              <w:lastRenderedPageBreak/>
              <w:t>Secondary research analysis is the identification of systematic patterns across a number of sou</w:t>
            </w:r>
            <w:r w:rsidR="00A815F1">
              <w:rPr>
                <w:rFonts w:ascii="Arial" w:hAnsi="Arial" w:cs="Arial"/>
                <w:bCs/>
                <w:sz w:val="24"/>
                <w:szCs w:val="24"/>
              </w:rPr>
              <w:t>rces. Thematic analysis (Braun and</w:t>
            </w:r>
            <w:r w:rsidRPr="00514B8F">
              <w:rPr>
                <w:rFonts w:ascii="Arial" w:hAnsi="Arial" w:cs="Arial"/>
                <w:bCs/>
                <w:sz w:val="24"/>
                <w:szCs w:val="24"/>
              </w:rPr>
              <w:t xml:space="preserve"> Clarke, 2006) was used inductively to arrive at codes and three themes were discussed, which were: causes of error, the nursing role in prevention, and consequences/policy response.</w:t>
            </w:r>
          </w:p>
        </w:tc>
      </w:tr>
      <w:tr w:rsidR="00AB5409" w:rsidRPr="00DF4C68" w14:paraId="1159AF67" w14:textId="77777777" w:rsidTr="00063B85">
        <w:trPr>
          <w:trHeight w:val="1856"/>
        </w:trPr>
        <w:tc>
          <w:tcPr>
            <w:tcW w:w="7225" w:type="dxa"/>
          </w:tcPr>
          <w:p w14:paraId="6A5D5FE6" w14:textId="77777777" w:rsidR="00DF4C68" w:rsidRPr="00A815F1" w:rsidRDefault="00DF4C68" w:rsidP="00DF4C68">
            <w:pPr>
              <w:jc w:val="both"/>
              <w:rPr>
                <w:rFonts w:ascii="Arial" w:hAnsi="Arial" w:cs="Arial"/>
                <w:b/>
                <w:bCs/>
                <w:sz w:val="24"/>
                <w:szCs w:val="24"/>
                <w:u w:val="single"/>
              </w:rPr>
            </w:pPr>
            <w:r w:rsidRPr="00A815F1">
              <w:rPr>
                <w:rFonts w:ascii="Arial" w:hAnsi="Arial" w:cs="Arial"/>
                <w:b/>
                <w:bCs/>
                <w:sz w:val="24"/>
                <w:szCs w:val="24"/>
                <w:u w:val="single"/>
              </w:rPr>
              <w:lastRenderedPageBreak/>
              <w:t>06 Inclusion Criteria</w:t>
            </w:r>
          </w:p>
          <w:p w14:paraId="00628477" w14:textId="4641E7FC" w:rsidR="00516CC0" w:rsidRPr="00DF4C68" w:rsidRDefault="00514B8F" w:rsidP="00DF4C68">
            <w:pPr>
              <w:jc w:val="both"/>
              <w:rPr>
                <w:rFonts w:ascii="Arial" w:hAnsi="Arial" w:cs="Arial"/>
                <w:sz w:val="24"/>
                <w:szCs w:val="24"/>
              </w:rPr>
            </w:pPr>
            <w:r w:rsidRPr="00514B8F">
              <w:rPr>
                <w:rFonts w:ascii="Arial" w:hAnsi="Arial" w:cs="Arial"/>
                <w:bCs/>
                <w:sz w:val="24"/>
                <w:szCs w:val="24"/>
              </w:rPr>
              <w:t>Peer reviewed or published in a recognised health care organisation and published in the previous 10 years in English, not seminal theoretical sources, and to a significant degree related to medication error, patient safety or the nursing role.</w:t>
            </w:r>
          </w:p>
        </w:tc>
        <w:tc>
          <w:tcPr>
            <w:tcW w:w="7391" w:type="dxa"/>
          </w:tcPr>
          <w:p w14:paraId="1AC33B56" w14:textId="77777777" w:rsidR="00DF4C68" w:rsidRPr="00A815F1" w:rsidRDefault="00DF4C68" w:rsidP="00DF4C68">
            <w:pPr>
              <w:jc w:val="both"/>
              <w:rPr>
                <w:rFonts w:ascii="Arial" w:hAnsi="Arial" w:cs="Arial"/>
                <w:b/>
                <w:bCs/>
                <w:sz w:val="24"/>
                <w:szCs w:val="24"/>
                <w:u w:val="single"/>
              </w:rPr>
            </w:pPr>
            <w:r w:rsidRPr="00A815F1">
              <w:rPr>
                <w:rFonts w:ascii="Arial" w:hAnsi="Arial" w:cs="Arial"/>
                <w:b/>
                <w:bCs/>
                <w:sz w:val="24"/>
                <w:szCs w:val="24"/>
                <w:u w:val="single"/>
              </w:rPr>
              <w:t>07 Exclusion Criteria</w:t>
            </w:r>
          </w:p>
          <w:p w14:paraId="253F8839" w14:textId="7F50E7A5" w:rsidR="00516CC0" w:rsidRPr="00DF4C68" w:rsidRDefault="00514B8F" w:rsidP="00DF4C68">
            <w:pPr>
              <w:jc w:val="both"/>
              <w:rPr>
                <w:rFonts w:ascii="Arial" w:hAnsi="Arial" w:cs="Arial"/>
                <w:sz w:val="24"/>
                <w:szCs w:val="24"/>
              </w:rPr>
            </w:pPr>
            <w:r w:rsidRPr="00514B8F">
              <w:rPr>
                <w:rFonts w:ascii="Arial" w:hAnsi="Arial" w:cs="Arial"/>
                <w:bCs/>
                <w:sz w:val="24"/>
                <w:szCs w:val="24"/>
              </w:rPr>
              <w:t>It is not peer reviewed/evidence based (opinion/blog content); It is not in full text; It is not focused on the nursing stage of medication process; It is published more than 10 years ago and not seminal.</w:t>
            </w:r>
          </w:p>
        </w:tc>
      </w:tr>
      <w:tr w:rsidR="00C31D85" w:rsidRPr="00DF4C68" w14:paraId="583C9C87" w14:textId="77777777" w:rsidTr="00F52F83">
        <w:trPr>
          <w:trHeight w:val="1798"/>
        </w:trPr>
        <w:tc>
          <w:tcPr>
            <w:tcW w:w="14616" w:type="dxa"/>
            <w:gridSpan w:val="2"/>
          </w:tcPr>
          <w:p w14:paraId="44C8BC9D" w14:textId="77777777" w:rsidR="00C31D85" w:rsidRPr="00A815F1" w:rsidRDefault="00C31D85" w:rsidP="00DF4C68">
            <w:pPr>
              <w:jc w:val="both"/>
              <w:rPr>
                <w:rFonts w:ascii="Arial" w:hAnsi="Arial" w:cs="Arial"/>
                <w:b/>
                <w:bCs/>
                <w:sz w:val="24"/>
                <w:szCs w:val="24"/>
                <w:u w:val="single"/>
              </w:rPr>
            </w:pPr>
            <w:r w:rsidRPr="00A815F1">
              <w:rPr>
                <w:rFonts w:ascii="Arial" w:hAnsi="Arial" w:cs="Arial"/>
                <w:b/>
                <w:bCs/>
                <w:sz w:val="24"/>
                <w:szCs w:val="24"/>
                <w:u w:val="single"/>
              </w:rPr>
              <w:t>08 Ethical Considerations</w:t>
            </w:r>
          </w:p>
          <w:p w14:paraId="28D04039" w14:textId="19E197E2" w:rsidR="00F52F83" w:rsidRPr="00DF4C68" w:rsidRDefault="00514B8F" w:rsidP="00514B8F">
            <w:pPr>
              <w:pStyle w:val="ListParagraph"/>
              <w:numPr>
                <w:ilvl w:val="0"/>
                <w:numId w:val="12"/>
              </w:numPr>
              <w:jc w:val="both"/>
              <w:rPr>
                <w:rFonts w:ascii="Arial" w:hAnsi="Arial" w:cs="Arial"/>
                <w:sz w:val="24"/>
                <w:szCs w:val="24"/>
              </w:rPr>
            </w:pPr>
            <w:r w:rsidRPr="00514B8F">
              <w:rPr>
                <w:rFonts w:ascii="Arial" w:hAnsi="Arial" w:cs="Arial"/>
                <w:sz w:val="24"/>
                <w:szCs w:val="24"/>
              </w:rPr>
              <w:t>Ethics for secondary research is concerned with the integrity and authenticity of the work of others, and the prevention of plagiarism (Aveyard, 2023). However, no data was gathered with the participants, but rather with data from previous, publicly available and published sources and thus an ethics declaration is not needed. Sources of information were referenced using Harvard referencing, and the results of the studies were reported openly, e.g. the results of the null trial (</w:t>
            </w:r>
            <w:proofErr w:type="spellStart"/>
            <w:r w:rsidRPr="00514B8F">
              <w:rPr>
                <w:rFonts w:ascii="Arial" w:hAnsi="Arial" w:cs="Arial"/>
                <w:sz w:val="24"/>
                <w:szCs w:val="24"/>
              </w:rPr>
              <w:t>Berdot</w:t>
            </w:r>
            <w:proofErr w:type="spellEnd"/>
            <w:r w:rsidRPr="00514B8F">
              <w:rPr>
                <w:rFonts w:ascii="Arial" w:hAnsi="Arial" w:cs="Arial"/>
                <w:sz w:val="24"/>
                <w:szCs w:val="24"/>
              </w:rPr>
              <w:t xml:space="preserve"> </w:t>
            </w:r>
            <w:r w:rsidRPr="003E14DE">
              <w:rPr>
                <w:rFonts w:ascii="Arial" w:hAnsi="Arial" w:cs="Arial"/>
                <w:i/>
                <w:sz w:val="24"/>
                <w:szCs w:val="24"/>
              </w:rPr>
              <w:t>et al</w:t>
            </w:r>
            <w:r w:rsidRPr="00514B8F">
              <w:rPr>
                <w:rFonts w:ascii="Arial" w:hAnsi="Arial" w:cs="Arial"/>
                <w:sz w:val="24"/>
                <w:szCs w:val="24"/>
              </w:rPr>
              <w:t>., 2021).</w:t>
            </w:r>
          </w:p>
        </w:tc>
      </w:tr>
    </w:tbl>
    <w:p w14:paraId="53F82A21" w14:textId="77777777" w:rsidR="00C31D85" w:rsidRPr="00DF4C68" w:rsidRDefault="00C31D85" w:rsidP="00DF4C68">
      <w:pPr>
        <w:jc w:val="both"/>
        <w:rPr>
          <w:rFonts w:ascii="Arial" w:hAnsi="Arial" w:cs="Arial"/>
          <w:sz w:val="24"/>
          <w:szCs w:val="24"/>
        </w:rPr>
        <w:sectPr w:rsidR="00C31D85" w:rsidRPr="00DF4C68" w:rsidSect="00C31D85">
          <w:pgSz w:w="15840" w:h="12240" w:orient="landscape" w:code="1"/>
          <w:pgMar w:top="720" w:right="720" w:bottom="576" w:left="720" w:header="432" w:footer="288" w:gutter="0"/>
          <w:cols w:space="720"/>
          <w:titlePg/>
          <w:docGrid w:linePitch="360"/>
        </w:sectPr>
      </w:pPr>
    </w:p>
    <w:p w14:paraId="489BBCE1" w14:textId="79920A52" w:rsidR="00ED1049" w:rsidRPr="00DF4C68" w:rsidRDefault="00ED1049" w:rsidP="00DF4C68">
      <w:pPr>
        <w:jc w:val="both"/>
        <w:rPr>
          <w:rFonts w:ascii="Arial" w:hAnsi="Arial" w:cs="Arial"/>
          <w:sz w:val="24"/>
          <w:szCs w:val="24"/>
        </w:rPr>
      </w:pPr>
      <w:r w:rsidRPr="00DF4C68">
        <w:rPr>
          <w:rFonts w:ascii="Arial" w:hAnsi="Arial" w:cs="Arial"/>
          <w:b/>
          <w:bCs/>
          <w:sz w:val="24"/>
          <w:szCs w:val="24"/>
        </w:rPr>
        <w:lastRenderedPageBreak/>
        <w:t>References</w:t>
      </w:r>
    </w:p>
    <w:p w14:paraId="364E780A" w14:textId="4221C389" w:rsidR="00EB6F36" w:rsidRPr="00DF4C68" w:rsidRDefault="00EB6F36" w:rsidP="0048729F">
      <w:pPr>
        <w:spacing w:line="360" w:lineRule="auto"/>
        <w:jc w:val="both"/>
        <w:rPr>
          <w:rFonts w:ascii="Arial" w:hAnsi="Arial" w:cs="Arial"/>
          <w:sz w:val="24"/>
          <w:szCs w:val="24"/>
        </w:rPr>
      </w:pPr>
      <w:r w:rsidRPr="00DF4C68">
        <w:rPr>
          <w:rFonts w:ascii="Arial" w:hAnsi="Arial" w:cs="Arial"/>
          <w:sz w:val="24"/>
          <w:szCs w:val="24"/>
        </w:rPr>
        <w:t xml:space="preserve">Aveyard, H. (2023) </w:t>
      </w:r>
      <w:r w:rsidRPr="00A815F1">
        <w:rPr>
          <w:rFonts w:ascii="Arial" w:hAnsi="Arial" w:cs="Arial"/>
          <w:i/>
          <w:sz w:val="24"/>
          <w:szCs w:val="24"/>
        </w:rPr>
        <w:t>Doing a Literature Review in Health and Social Care: A Practical Guide</w:t>
      </w:r>
      <w:r w:rsidRPr="00DF4C68">
        <w:rPr>
          <w:rFonts w:ascii="Arial" w:hAnsi="Arial" w:cs="Arial"/>
          <w:sz w:val="24"/>
          <w:szCs w:val="24"/>
        </w:rPr>
        <w:t xml:space="preserve"> </w:t>
      </w:r>
      <w:r w:rsidR="00A815F1">
        <w:rPr>
          <w:rFonts w:ascii="Arial" w:hAnsi="Arial" w:cs="Arial"/>
          <w:sz w:val="24"/>
          <w:szCs w:val="24"/>
        </w:rPr>
        <w:t>(</w:t>
      </w:r>
      <w:r w:rsidRPr="00DF4C68">
        <w:rPr>
          <w:rFonts w:ascii="Arial" w:hAnsi="Arial" w:cs="Arial"/>
          <w:sz w:val="24"/>
          <w:szCs w:val="24"/>
        </w:rPr>
        <w:t xml:space="preserve">5th </w:t>
      </w:r>
      <w:proofErr w:type="spellStart"/>
      <w:r w:rsidRPr="00DF4C68">
        <w:rPr>
          <w:rFonts w:ascii="Arial" w:hAnsi="Arial" w:cs="Arial"/>
          <w:sz w:val="24"/>
          <w:szCs w:val="24"/>
        </w:rPr>
        <w:t>edn</w:t>
      </w:r>
      <w:proofErr w:type="spellEnd"/>
      <w:r w:rsidR="00A815F1">
        <w:rPr>
          <w:rFonts w:ascii="Arial" w:hAnsi="Arial" w:cs="Arial"/>
          <w:sz w:val="24"/>
          <w:szCs w:val="24"/>
        </w:rPr>
        <w:t>.)</w:t>
      </w:r>
      <w:r w:rsidRPr="00DF4C68">
        <w:rPr>
          <w:rFonts w:ascii="Arial" w:hAnsi="Arial" w:cs="Arial"/>
          <w:sz w:val="24"/>
          <w:szCs w:val="24"/>
        </w:rPr>
        <w:t>. Maidenhead: Open University Press.</w:t>
      </w:r>
    </w:p>
    <w:p w14:paraId="787444DC" w14:textId="0DDC4256" w:rsidR="00EB6F36" w:rsidRPr="00DF4C68" w:rsidRDefault="00EB6F36" w:rsidP="0048729F">
      <w:pPr>
        <w:spacing w:line="360" w:lineRule="auto"/>
        <w:jc w:val="both"/>
        <w:rPr>
          <w:rFonts w:ascii="Arial" w:hAnsi="Arial" w:cs="Arial"/>
          <w:sz w:val="24"/>
          <w:szCs w:val="24"/>
        </w:rPr>
      </w:pPr>
      <w:proofErr w:type="spellStart"/>
      <w:r w:rsidRPr="00DF4C68">
        <w:rPr>
          <w:rFonts w:ascii="Arial" w:hAnsi="Arial" w:cs="Arial"/>
          <w:sz w:val="24"/>
          <w:szCs w:val="24"/>
        </w:rPr>
        <w:t>Berdot</w:t>
      </w:r>
      <w:proofErr w:type="spellEnd"/>
      <w:r w:rsidRPr="00DF4C68">
        <w:rPr>
          <w:rFonts w:ascii="Arial" w:hAnsi="Arial" w:cs="Arial"/>
          <w:sz w:val="24"/>
          <w:szCs w:val="24"/>
        </w:rPr>
        <w:t>, S.</w:t>
      </w:r>
      <w:r w:rsidR="0015390A">
        <w:rPr>
          <w:rFonts w:ascii="Arial" w:hAnsi="Arial" w:cs="Arial"/>
          <w:sz w:val="24"/>
          <w:szCs w:val="24"/>
        </w:rPr>
        <w:t xml:space="preserve"> </w:t>
      </w:r>
      <w:r w:rsidRPr="00DF4C68">
        <w:rPr>
          <w:rFonts w:ascii="Arial" w:hAnsi="Arial" w:cs="Arial"/>
          <w:sz w:val="24"/>
          <w:szCs w:val="24"/>
        </w:rPr>
        <w:t xml:space="preserve">G. </w:t>
      </w:r>
      <w:r w:rsidRPr="00CB1398">
        <w:rPr>
          <w:rFonts w:ascii="Arial" w:hAnsi="Arial" w:cs="Arial"/>
          <w:i/>
          <w:sz w:val="24"/>
          <w:szCs w:val="24"/>
        </w:rPr>
        <w:t>et al.</w:t>
      </w:r>
      <w:r w:rsidRPr="00DF4C68">
        <w:rPr>
          <w:rFonts w:ascii="Arial" w:hAnsi="Arial" w:cs="Arial"/>
          <w:sz w:val="24"/>
          <w:szCs w:val="24"/>
        </w:rPr>
        <w:t xml:space="preserve"> (2021) </w:t>
      </w:r>
      <w:r w:rsidR="0015390A">
        <w:rPr>
          <w:rFonts w:ascii="Arial" w:hAnsi="Arial" w:cs="Arial"/>
          <w:sz w:val="24"/>
          <w:szCs w:val="24"/>
        </w:rPr>
        <w:t>‘</w:t>
      </w:r>
      <w:r w:rsidR="0015390A" w:rsidRPr="0015390A">
        <w:rPr>
          <w:rFonts w:ascii="Arial" w:hAnsi="Arial" w:cs="Arial"/>
          <w:sz w:val="24"/>
          <w:szCs w:val="24"/>
        </w:rPr>
        <w:t xml:space="preserve">Effectiveness of a 'do not interrupt' vest intervention to reduce medication errors during medication administration: a </w:t>
      </w:r>
      <w:proofErr w:type="spellStart"/>
      <w:r w:rsidR="0015390A" w:rsidRPr="0015390A">
        <w:rPr>
          <w:rFonts w:ascii="Arial" w:hAnsi="Arial" w:cs="Arial"/>
          <w:sz w:val="24"/>
          <w:szCs w:val="24"/>
        </w:rPr>
        <w:t>multicenter</w:t>
      </w:r>
      <w:proofErr w:type="spellEnd"/>
      <w:r w:rsidR="0015390A" w:rsidRPr="0015390A">
        <w:rPr>
          <w:rFonts w:ascii="Arial" w:hAnsi="Arial" w:cs="Arial"/>
          <w:sz w:val="24"/>
          <w:szCs w:val="24"/>
        </w:rPr>
        <w:t xml:space="preserve"> cluster randomized controlled trial</w:t>
      </w:r>
      <w:r w:rsidR="0015390A">
        <w:rPr>
          <w:rFonts w:ascii="Arial" w:hAnsi="Arial" w:cs="Arial"/>
          <w:sz w:val="24"/>
          <w:szCs w:val="24"/>
        </w:rPr>
        <w:t>’,</w:t>
      </w:r>
      <w:r w:rsidR="0015390A" w:rsidRPr="0015390A">
        <w:rPr>
          <w:rFonts w:ascii="Arial" w:hAnsi="Arial" w:cs="Arial"/>
          <w:sz w:val="24"/>
          <w:szCs w:val="24"/>
        </w:rPr>
        <w:t xml:space="preserve"> </w:t>
      </w:r>
      <w:r w:rsidR="0015390A" w:rsidRPr="0015390A">
        <w:rPr>
          <w:rFonts w:ascii="Arial" w:hAnsi="Arial" w:cs="Arial"/>
          <w:i/>
          <w:sz w:val="24"/>
          <w:szCs w:val="24"/>
        </w:rPr>
        <w:t>BMC nursing, 20</w:t>
      </w:r>
      <w:r w:rsidR="0015390A" w:rsidRPr="0015390A">
        <w:rPr>
          <w:rFonts w:ascii="Arial" w:hAnsi="Arial" w:cs="Arial"/>
          <w:sz w:val="24"/>
          <w:szCs w:val="24"/>
        </w:rPr>
        <w:t xml:space="preserve">(1), 153. </w:t>
      </w:r>
      <w:r w:rsidR="0015390A">
        <w:rPr>
          <w:rFonts w:ascii="Arial" w:hAnsi="Arial" w:cs="Arial"/>
          <w:sz w:val="24"/>
          <w:szCs w:val="24"/>
        </w:rPr>
        <w:t xml:space="preserve">Available at: </w:t>
      </w:r>
      <w:hyperlink r:id="rId14" w:history="1">
        <w:r w:rsidR="0015390A" w:rsidRPr="00C51419">
          <w:rPr>
            <w:rStyle w:val="Hyperlink"/>
            <w:rFonts w:ascii="Arial" w:hAnsi="Arial" w:cs="Arial"/>
            <w:sz w:val="24"/>
            <w:szCs w:val="24"/>
          </w:rPr>
          <w:t>https://doi.org/10.1186/s12912-021-00671-7</w:t>
        </w:r>
      </w:hyperlink>
      <w:r w:rsidR="0015390A">
        <w:rPr>
          <w:rFonts w:ascii="Arial" w:hAnsi="Arial" w:cs="Arial"/>
          <w:sz w:val="24"/>
          <w:szCs w:val="24"/>
        </w:rPr>
        <w:t xml:space="preserve"> (Accessed: 27 September 2026).</w:t>
      </w:r>
    </w:p>
    <w:p w14:paraId="725FE163" w14:textId="0217A54B" w:rsidR="00EB6F36" w:rsidRPr="00DF4C68" w:rsidRDefault="00846694" w:rsidP="0048729F">
      <w:pPr>
        <w:spacing w:line="360" w:lineRule="auto"/>
        <w:jc w:val="both"/>
        <w:rPr>
          <w:rFonts w:ascii="Arial" w:hAnsi="Arial" w:cs="Arial"/>
          <w:noProof/>
          <w:sz w:val="24"/>
          <w:szCs w:val="24"/>
        </w:rPr>
      </w:pPr>
      <w:r w:rsidRPr="00DF4C68">
        <w:rPr>
          <w:rFonts w:ascii="Arial" w:hAnsi="Arial" w:cs="Arial"/>
          <w:noProof/>
          <w:sz w:val="24"/>
          <w:szCs w:val="24"/>
        </w:rPr>
        <w:t xml:space="preserve">Blakeslee, S. (2004) 'The CRAAP test', </w:t>
      </w:r>
      <w:r w:rsidRPr="00492F38">
        <w:rPr>
          <w:rFonts w:ascii="Arial" w:hAnsi="Arial" w:cs="Arial"/>
          <w:i/>
          <w:noProof/>
          <w:sz w:val="24"/>
          <w:szCs w:val="24"/>
        </w:rPr>
        <w:t>LOEX Quarterly</w:t>
      </w:r>
      <w:r w:rsidRPr="00DF4C68">
        <w:rPr>
          <w:rFonts w:ascii="Arial" w:hAnsi="Arial" w:cs="Arial"/>
          <w:noProof/>
          <w:sz w:val="24"/>
          <w:szCs w:val="24"/>
        </w:rPr>
        <w:t>, 31(3), p.4.</w:t>
      </w:r>
    </w:p>
    <w:p w14:paraId="1117C621" w14:textId="48B26BE6" w:rsidR="005F7D75" w:rsidRPr="00DF4C68" w:rsidRDefault="007A32A7" w:rsidP="0048729F">
      <w:pPr>
        <w:spacing w:line="360" w:lineRule="auto"/>
        <w:jc w:val="both"/>
        <w:rPr>
          <w:rFonts w:ascii="Arial" w:hAnsi="Arial" w:cs="Arial"/>
          <w:noProof/>
          <w:sz w:val="24"/>
          <w:szCs w:val="24"/>
        </w:rPr>
      </w:pPr>
      <w:r w:rsidRPr="007A32A7">
        <w:rPr>
          <w:rFonts w:ascii="Arial" w:hAnsi="Arial" w:cs="Arial"/>
          <w:sz w:val="24"/>
          <w:szCs w:val="24"/>
        </w:rPr>
        <w:t xml:space="preserve">Braun, V. and Clarke, V. (2006) </w:t>
      </w:r>
      <w:r>
        <w:rPr>
          <w:rFonts w:ascii="Arial" w:hAnsi="Arial" w:cs="Arial"/>
          <w:sz w:val="24"/>
          <w:szCs w:val="24"/>
        </w:rPr>
        <w:t>‘</w:t>
      </w:r>
      <w:r w:rsidRPr="007A32A7">
        <w:rPr>
          <w:rFonts w:ascii="Arial" w:hAnsi="Arial" w:cs="Arial"/>
          <w:sz w:val="24"/>
          <w:szCs w:val="24"/>
        </w:rPr>
        <w:t>Using Thematic Analysis in Psychology</w:t>
      </w:r>
      <w:r>
        <w:rPr>
          <w:rFonts w:ascii="Arial" w:hAnsi="Arial" w:cs="Arial"/>
          <w:sz w:val="24"/>
          <w:szCs w:val="24"/>
        </w:rPr>
        <w:t>’,</w:t>
      </w:r>
      <w:r w:rsidRPr="007A32A7">
        <w:rPr>
          <w:rFonts w:ascii="Arial" w:hAnsi="Arial" w:cs="Arial"/>
          <w:sz w:val="24"/>
          <w:szCs w:val="24"/>
        </w:rPr>
        <w:t xml:space="preserve"> </w:t>
      </w:r>
      <w:r w:rsidRPr="007A32A7">
        <w:rPr>
          <w:rFonts w:ascii="Arial" w:hAnsi="Arial" w:cs="Arial"/>
          <w:i/>
          <w:sz w:val="24"/>
          <w:szCs w:val="24"/>
        </w:rPr>
        <w:t>Qualitative Research in Psychology, 3</w:t>
      </w:r>
      <w:r w:rsidRPr="007A32A7">
        <w:rPr>
          <w:rFonts w:ascii="Arial" w:hAnsi="Arial" w:cs="Arial"/>
          <w:sz w:val="24"/>
          <w:szCs w:val="24"/>
        </w:rPr>
        <w:t xml:space="preserve">, 77-101. </w:t>
      </w:r>
      <w:r>
        <w:rPr>
          <w:rFonts w:ascii="Arial" w:hAnsi="Arial" w:cs="Arial"/>
          <w:sz w:val="24"/>
          <w:szCs w:val="24"/>
        </w:rPr>
        <w:t xml:space="preserve">Available at: </w:t>
      </w:r>
      <w:hyperlink r:id="rId15" w:history="1">
        <w:r w:rsidRPr="00C51419">
          <w:rPr>
            <w:rStyle w:val="Hyperlink"/>
            <w:rFonts w:ascii="Arial" w:hAnsi="Arial" w:cs="Arial"/>
            <w:sz w:val="24"/>
            <w:szCs w:val="24"/>
          </w:rPr>
          <w:t>https://doi.org/10.1191/1478088706qp063oa</w:t>
        </w:r>
      </w:hyperlink>
      <w:r>
        <w:rPr>
          <w:rFonts w:ascii="Arial" w:hAnsi="Arial" w:cs="Arial"/>
          <w:sz w:val="24"/>
          <w:szCs w:val="24"/>
        </w:rPr>
        <w:t xml:space="preserve"> </w:t>
      </w:r>
      <w:r>
        <w:rPr>
          <w:rFonts w:ascii="Arial" w:hAnsi="Arial" w:cs="Arial"/>
          <w:sz w:val="24"/>
          <w:szCs w:val="24"/>
        </w:rPr>
        <w:t>(Accessed: 27 September 2026).</w:t>
      </w:r>
    </w:p>
    <w:p w14:paraId="271EF9D4" w14:textId="410E2761" w:rsidR="002D5139" w:rsidRPr="00DF4C68" w:rsidRDefault="002D5139" w:rsidP="002D5139">
      <w:pPr>
        <w:spacing w:line="360" w:lineRule="auto"/>
        <w:jc w:val="both"/>
        <w:rPr>
          <w:rFonts w:ascii="Arial" w:hAnsi="Arial" w:cs="Arial"/>
          <w:noProof/>
          <w:sz w:val="24"/>
          <w:szCs w:val="24"/>
        </w:rPr>
      </w:pPr>
      <w:r>
        <w:rPr>
          <w:rFonts w:ascii="Arial" w:hAnsi="Arial" w:cs="Arial"/>
          <w:sz w:val="24"/>
          <w:szCs w:val="24"/>
        </w:rPr>
        <w:t xml:space="preserve">Elliott, R. A. </w:t>
      </w:r>
      <w:r w:rsidRPr="00CB1398">
        <w:rPr>
          <w:rFonts w:ascii="Arial" w:hAnsi="Arial" w:cs="Arial"/>
          <w:i/>
          <w:sz w:val="24"/>
          <w:szCs w:val="24"/>
        </w:rPr>
        <w:t>et al.</w:t>
      </w:r>
      <w:r w:rsidRPr="002D5139">
        <w:rPr>
          <w:rFonts w:ascii="Arial" w:hAnsi="Arial" w:cs="Arial"/>
          <w:sz w:val="24"/>
          <w:szCs w:val="24"/>
        </w:rPr>
        <w:t xml:space="preserve"> </w:t>
      </w:r>
      <w:r>
        <w:rPr>
          <w:rFonts w:ascii="Arial" w:hAnsi="Arial" w:cs="Arial"/>
          <w:sz w:val="24"/>
          <w:szCs w:val="24"/>
        </w:rPr>
        <w:t>(2021)</w:t>
      </w:r>
      <w:r w:rsidRPr="002D5139">
        <w:rPr>
          <w:rFonts w:ascii="Arial" w:hAnsi="Arial" w:cs="Arial"/>
          <w:sz w:val="24"/>
          <w:szCs w:val="24"/>
        </w:rPr>
        <w:t xml:space="preserve"> </w:t>
      </w:r>
      <w:r>
        <w:rPr>
          <w:rFonts w:ascii="Arial" w:hAnsi="Arial" w:cs="Arial"/>
          <w:sz w:val="24"/>
          <w:szCs w:val="24"/>
        </w:rPr>
        <w:t>‘</w:t>
      </w:r>
      <w:r w:rsidRPr="002D5139">
        <w:rPr>
          <w:rFonts w:ascii="Arial" w:hAnsi="Arial" w:cs="Arial"/>
          <w:sz w:val="24"/>
          <w:szCs w:val="24"/>
        </w:rPr>
        <w:t>Economic analysis of the prevalence and clinical and economic burden of medication error in England</w:t>
      </w:r>
      <w:r>
        <w:rPr>
          <w:rFonts w:ascii="Arial" w:hAnsi="Arial" w:cs="Arial"/>
          <w:sz w:val="24"/>
          <w:szCs w:val="24"/>
        </w:rPr>
        <w:t>’,</w:t>
      </w:r>
      <w:r w:rsidRPr="002D5139">
        <w:rPr>
          <w:rFonts w:ascii="Arial" w:hAnsi="Arial" w:cs="Arial"/>
          <w:sz w:val="24"/>
          <w:szCs w:val="24"/>
        </w:rPr>
        <w:t xml:space="preserve"> </w:t>
      </w:r>
      <w:r w:rsidRPr="002D5139">
        <w:rPr>
          <w:rFonts w:ascii="Arial" w:hAnsi="Arial" w:cs="Arial"/>
          <w:i/>
          <w:sz w:val="24"/>
          <w:szCs w:val="24"/>
        </w:rPr>
        <w:t>BMJ quality &amp; safety, 30</w:t>
      </w:r>
      <w:r w:rsidRPr="002D5139">
        <w:rPr>
          <w:rFonts w:ascii="Arial" w:hAnsi="Arial" w:cs="Arial"/>
          <w:sz w:val="24"/>
          <w:szCs w:val="24"/>
        </w:rPr>
        <w:t xml:space="preserve">(2), 96–105. </w:t>
      </w:r>
      <w:r>
        <w:rPr>
          <w:rFonts w:ascii="Arial" w:hAnsi="Arial" w:cs="Arial"/>
          <w:sz w:val="24"/>
          <w:szCs w:val="24"/>
        </w:rPr>
        <w:t xml:space="preserve">Available at: </w:t>
      </w:r>
      <w:hyperlink r:id="rId16" w:history="1">
        <w:r w:rsidRPr="00C51419">
          <w:rPr>
            <w:rStyle w:val="Hyperlink"/>
            <w:rFonts w:ascii="Arial" w:hAnsi="Arial" w:cs="Arial"/>
            <w:sz w:val="24"/>
            <w:szCs w:val="24"/>
          </w:rPr>
          <w:t>https://doi.org/10.1136/bmjqs-2019-010206</w:t>
        </w:r>
      </w:hyperlink>
      <w:r>
        <w:rPr>
          <w:rFonts w:ascii="Arial" w:hAnsi="Arial" w:cs="Arial"/>
          <w:sz w:val="24"/>
          <w:szCs w:val="24"/>
        </w:rPr>
        <w:t xml:space="preserve"> </w:t>
      </w:r>
      <w:r>
        <w:rPr>
          <w:rFonts w:ascii="Arial" w:hAnsi="Arial" w:cs="Arial"/>
          <w:sz w:val="24"/>
          <w:szCs w:val="24"/>
        </w:rPr>
        <w:t>(Accessed: 2</w:t>
      </w:r>
      <w:r>
        <w:rPr>
          <w:rFonts w:ascii="Arial" w:hAnsi="Arial" w:cs="Arial"/>
          <w:sz w:val="24"/>
          <w:szCs w:val="24"/>
        </w:rPr>
        <w:t>8</w:t>
      </w:r>
      <w:r>
        <w:rPr>
          <w:rFonts w:ascii="Arial" w:hAnsi="Arial" w:cs="Arial"/>
          <w:sz w:val="24"/>
          <w:szCs w:val="24"/>
        </w:rPr>
        <w:t xml:space="preserve"> September 2026).</w:t>
      </w:r>
    </w:p>
    <w:p w14:paraId="7C20071D" w14:textId="7C14DDC6" w:rsidR="005F7D75" w:rsidRPr="00DF4C68" w:rsidRDefault="0070411F" w:rsidP="0070411F">
      <w:pPr>
        <w:spacing w:line="360" w:lineRule="auto"/>
        <w:jc w:val="both"/>
        <w:rPr>
          <w:rFonts w:ascii="Arial" w:hAnsi="Arial" w:cs="Arial"/>
          <w:noProof/>
          <w:sz w:val="24"/>
          <w:szCs w:val="24"/>
        </w:rPr>
      </w:pPr>
      <w:r>
        <w:rPr>
          <w:rFonts w:ascii="Arial" w:hAnsi="Arial" w:cs="Arial"/>
          <w:sz w:val="24"/>
          <w:szCs w:val="24"/>
        </w:rPr>
        <w:t>Hodkinson, A.</w:t>
      </w:r>
      <w:r w:rsidR="005F7D75" w:rsidRPr="00DF4C68">
        <w:rPr>
          <w:rFonts w:ascii="Arial" w:hAnsi="Arial" w:cs="Arial"/>
          <w:sz w:val="24"/>
          <w:szCs w:val="24"/>
        </w:rPr>
        <w:t xml:space="preserve"> </w:t>
      </w:r>
      <w:r w:rsidRPr="00CB1398">
        <w:rPr>
          <w:rFonts w:ascii="Arial" w:hAnsi="Arial" w:cs="Arial"/>
          <w:i/>
          <w:sz w:val="24"/>
          <w:szCs w:val="24"/>
        </w:rPr>
        <w:t>et al.</w:t>
      </w:r>
      <w:r w:rsidR="005F7D75" w:rsidRPr="00DF4C68">
        <w:rPr>
          <w:rFonts w:ascii="Arial" w:hAnsi="Arial" w:cs="Arial"/>
          <w:sz w:val="24"/>
          <w:szCs w:val="24"/>
        </w:rPr>
        <w:t xml:space="preserve"> (2020) </w:t>
      </w:r>
      <w:r>
        <w:rPr>
          <w:rFonts w:ascii="Arial" w:hAnsi="Arial" w:cs="Arial"/>
          <w:sz w:val="24"/>
          <w:szCs w:val="24"/>
        </w:rPr>
        <w:t>‘</w:t>
      </w:r>
      <w:r w:rsidRPr="0070411F">
        <w:rPr>
          <w:rFonts w:ascii="Arial" w:hAnsi="Arial" w:cs="Arial"/>
          <w:sz w:val="24"/>
          <w:szCs w:val="24"/>
        </w:rPr>
        <w:t>Preventable medication harm across health care settings: a systematic review and meta-analysis</w:t>
      </w:r>
      <w:r>
        <w:rPr>
          <w:rFonts w:ascii="Arial" w:hAnsi="Arial" w:cs="Arial"/>
          <w:sz w:val="24"/>
          <w:szCs w:val="24"/>
        </w:rPr>
        <w:t>’,</w:t>
      </w:r>
      <w:r w:rsidRPr="0070411F">
        <w:rPr>
          <w:rFonts w:ascii="Arial" w:hAnsi="Arial" w:cs="Arial"/>
          <w:sz w:val="24"/>
          <w:szCs w:val="24"/>
        </w:rPr>
        <w:t xml:space="preserve"> </w:t>
      </w:r>
      <w:r w:rsidRPr="0070411F">
        <w:rPr>
          <w:rFonts w:ascii="Arial" w:hAnsi="Arial" w:cs="Arial"/>
          <w:i/>
          <w:sz w:val="24"/>
          <w:szCs w:val="24"/>
        </w:rPr>
        <w:t>BMC medicine, 18</w:t>
      </w:r>
      <w:r w:rsidRPr="0070411F">
        <w:rPr>
          <w:rFonts w:ascii="Arial" w:hAnsi="Arial" w:cs="Arial"/>
          <w:sz w:val="24"/>
          <w:szCs w:val="24"/>
        </w:rPr>
        <w:t xml:space="preserve">(1), 313. </w:t>
      </w:r>
      <w:r>
        <w:rPr>
          <w:rFonts w:ascii="Arial" w:hAnsi="Arial" w:cs="Arial"/>
          <w:sz w:val="24"/>
          <w:szCs w:val="24"/>
        </w:rPr>
        <w:t xml:space="preserve">Available at: </w:t>
      </w:r>
      <w:hyperlink r:id="rId17" w:history="1">
        <w:r w:rsidRPr="00C51419">
          <w:rPr>
            <w:rStyle w:val="Hyperlink"/>
            <w:rFonts w:ascii="Arial" w:hAnsi="Arial" w:cs="Arial"/>
            <w:sz w:val="24"/>
            <w:szCs w:val="24"/>
          </w:rPr>
          <w:t>https://doi.org/10.1186/s12916-020-01774-9</w:t>
        </w:r>
      </w:hyperlink>
      <w:r>
        <w:rPr>
          <w:rFonts w:ascii="Arial" w:hAnsi="Arial" w:cs="Arial"/>
          <w:sz w:val="24"/>
          <w:szCs w:val="24"/>
        </w:rPr>
        <w:t xml:space="preserve"> (Accessed: 29 September 2026).</w:t>
      </w:r>
    </w:p>
    <w:p w14:paraId="579172ED" w14:textId="2D9037E7" w:rsidR="005F7D75" w:rsidRPr="00DF4C68" w:rsidRDefault="00CB1398" w:rsidP="0048729F">
      <w:pPr>
        <w:spacing w:line="360" w:lineRule="auto"/>
        <w:jc w:val="both"/>
        <w:rPr>
          <w:rFonts w:ascii="Arial" w:hAnsi="Arial" w:cs="Arial"/>
          <w:noProof/>
          <w:sz w:val="24"/>
          <w:szCs w:val="24"/>
        </w:rPr>
      </w:pPr>
      <w:proofErr w:type="spellStart"/>
      <w:r>
        <w:rPr>
          <w:rFonts w:ascii="Arial" w:hAnsi="Arial" w:cs="Arial"/>
          <w:sz w:val="24"/>
          <w:szCs w:val="24"/>
        </w:rPr>
        <w:t>Keers</w:t>
      </w:r>
      <w:proofErr w:type="spellEnd"/>
      <w:r>
        <w:rPr>
          <w:rFonts w:ascii="Arial" w:hAnsi="Arial" w:cs="Arial"/>
          <w:sz w:val="24"/>
          <w:szCs w:val="24"/>
        </w:rPr>
        <w:t>, R. N.</w:t>
      </w:r>
      <w:r w:rsidRPr="00CB1398">
        <w:rPr>
          <w:rFonts w:ascii="Arial" w:hAnsi="Arial" w:cs="Arial"/>
          <w:sz w:val="24"/>
          <w:szCs w:val="24"/>
        </w:rPr>
        <w:t xml:space="preserve"> </w:t>
      </w:r>
      <w:r w:rsidRPr="00CB1398">
        <w:rPr>
          <w:rFonts w:ascii="Arial" w:hAnsi="Arial" w:cs="Arial"/>
          <w:i/>
          <w:sz w:val="24"/>
          <w:szCs w:val="24"/>
        </w:rPr>
        <w:t>et al.</w:t>
      </w:r>
      <w:r>
        <w:rPr>
          <w:rFonts w:ascii="Arial" w:hAnsi="Arial" w:cs="Arial"/>
          <w:sz w:val="24"/>
          <w:szCs w:val="24"/>
        </w:rPr>
        <w:t xml:space="preserve"> (2013)</w:t>
      </w:r>
      <w:r w:rsidRPr="00CB1398">
        <w:rPr>
          <w:rFonts w:ascii="Arial" w:hAnsi="Arial" w:cs="Arial"/>
          <w:sz w:val="24"/>
          <w:szCs w:val="24"/>
        </w:rPr>
        <w:t xml:space="preserve"> </w:t>
      </w:r>
      <w:r>
        <w:rPr>
          <w:rFonts w:ascii="Arial" w:hAnsi="Arial" w:cs="Arial"/>
          <w:sz w:val="24"/>
          <w:szCs w:val="24"/>
        </w:rPr>
        <w:t>‘</w:t>
      </w:r>
      <w:r w:rsidRPr="00CB1398">
        <w:rPr>
          <w:rFonts w:ascii="Arial" w:hAnsi="Arial" w:cs="Arial"/>
          <w:sz w:val="24"/>
          <w:szCs w:val="24"/>
        </w:rPr>
        <w:t>Causes of medication administration errors in hospitals: a systematic review of quantitative and qualitative evidence</w:t>
      </w:r>
      <w:r>
        <w:rPr>
          <w:rFonts w:ascii="Arial" w:hAnsi="Arial" w:cs="Arial"/>
          <w:sz w:val="24"/>
          <w:szCs w:val="24"/>
        </w:rPr>
        <w:t>’,</w:t>
      </w:r>
      <w:r w:rsidRPr="00CB1398">
        <w:rPr>
          <w:rFonts w:ascii="Arial" w:hAnsi="Arial" w:cs="Arial"/>
          <w:sz w:val="24"/>
          <w:szCs w:val="24"/>
        </w:rPr>
        <w:t xml:space="preserve"> </w:t>
      </w:r>
      <w:r w:rsidRPr="00CB1398">
        <w:rPr>
          <w:rFonts w:ascii="Arial" w:hAnsi="Arial" w:cs="Arial"/>
          <w:i/>
          <w:sz w:val="24"/>
          <w:szCs w:val="24"/>
        </w:rPr>
        <w:t>Drug safety, 36</w:t>
      </w:r>
      <w:r w:rsidRPr="00CB1398">
        <w:rPr>
          <w:rFonts w:ascii="Arial" w:hAnsi="Arial" w:cs="Arial"/>
          <w:sz w:val="24"/>
          <w:szCs w:val="24"/>
        </w:rPr>
        <w:t xml:space="preserve">(11), 1045–1067. </w:t>
      </w:r>
      <w:r>
        <w:rPr>
          <w:rFonts w:ascii="Arial" w:hAnsi="Arial" w:cs="Arial"/>
          <w:sz w:val="24"/>
          <w:szCs w:val="24"/>
        </w:rPr>
        <w:t xml:space="preserve">Available at: </w:t>
      </w:r>
      <w:hyperlink r:id="rId18" w:history="1">
        <w:r w:rsidRPr="00C51419">
          <w:rPr>
            <w:rStyle w:val="Hyperlink"/>
            <w:rFonts w:ascii="Arial" w:hAnsi="Arial" w:cs="Arial"/>
            <w:sz w:val="24"/>
            <w:szCs w:val="24"/>
          </w:rPr>
          <w:t>https://doi.org/10.1007/s40264-013-0090-2</w:t>
        </w:r>
      </w:hyperlink>
      <w:r>
        <w:rPr>
          <w:rFonts w:ascii="Arial" w:hAnsi="Arial" w:cs="Arial"/>
          <w:sz w:val="24"/>
          <w:szCs w:val="24"/>
        </w:rPr>
        <w:t xml:space="preserve"> </w:t>
      </w:r>
      <w:r>
        <w:rPr>
          <w:rFonts w:ascii="Arial" w:hAnsi="Arial" w:cs="Arial"/>
          <w:sz w:val="24"/>
          <w:szCs w:val="24"/>
        </w:rPr>
        <w:t xml:space="preserve">(Accessed: </w:t>
      </w:r>
      <w:r>
        <w:rPr>
          <w:rFonts w:ascii="Arial" w:hAnsi="Arial" w:cs="Arial"/>
          <w:sz w:val="24"/>
          <w:szCs w:val="24"/>
        </w:rPr>
        <w:t>30</w:t>
      </w:r>
      <w:r>
        <w:rPr>
          <w:rFonts w:ascii="Arial" w:hAnsi="Arial" w:cs="Arial"/>
          <w:sz w:val="24"/>
          <w:szCs w:val="24"/>
        </w:rPr>
        <w:t xml:space="preserve"> September 2026).</w:t>
      </w:r>
    </w:p>
    <w:p w14:paraId="59F89357" w14:textId="7420BAAF" w:rsidR="005F7D75" w:rsidRPr="00DF4C68" w:rsidRDefault="00807163" w:rsidP="0048729F">
      <w:pPr>
        <w:spacing w:line="360" w:lineRule="auto"/>
        <w:jc w:val="both"/>
        <w:rPr>
          <w:rFonts w:ascii="Arial" w:hAnsi="Arial" w:cs="Arial"/>
          <w:noProof/>
          <w:sz w:val="24"/>
          <w:szCs w:val="24"/>
        </w:rPr>
      </w:pPr>
      <w:proofErr w:type="spellStart"/>
      <w:r w:rsidRPr="00807163">
        <w:rPr>
          <w:rFonts w:ascii="Arial" w:hAnsi="Arial" w:cs="Arial"/>
          <w:sz w:val="24"/>
          <w:szCs w:val="24"/>
        </w:rPr>
        <w:t>Kwiecień-Jaguś</w:t>
      </w:r>
      <w:proofErr w:type="spellEnd"/>
      <w:r w:rsidRPr="00807163">
        <w:rPr>
          <w:rFonts w:ascii="Arial" w:hAnsi="Arial" w:cs="Arial"/>
          <w:sz w:val="24"/>
          <w:szCs w:val="24"/>
        </w:rPr>
        <w:t xml:space="preserve">, K., </w:t>
      </w:r>
      <w:proofErr w:type="spellStart"/>
      <w:r w:rsidRPr="00807163">
        <w:rPr>
          <w:rFonts w:ascii="Arial" w:hAnsi="Arial" w:cs="Arial"/>
          <w:sz w:val="24"/>
          <w:szCs w:val="24"/>
        </w:rPr>
        <w:t>Mędrzycka-Dąbrowska</w:t>
      </w:r>
      <w:proofErr w:type="spellEnd"/>
      <w:r w:rsidRPr="00807163">
        <w:rPr>
          <w:rFonts w:ascii="Arial" w:hAnsi="Arial" w:cs="Arial"/>
          <w:sz w:val="24"/>
          <w:szCs w:val="24"/>
        </w:rPr>
        <w:t xml:space="preserve">, W., </w:t>
      </w:r>
      <w:r>
        <w:rPr>
          <w:rFonts w:ascii="Arial" w:hAnsi="Arial" w:cs="Arial"/>
          <w:sz w:val="24"/>
          <w:szCs w:val="24"/>
        </w:rPr>
        <w:t xml:space="preserve">and </w:t>
      </w:r>
      <w:proofErr w:type="spellStart"/>
      <w:r>
        <w:rPr>
          <w:rFonts w:ascii="Arial" w:hAnsi="Arial" w:cs="Arial"/>
          <w:sz w:val="24"/>
          <w:szCs w:val="24"/>
        </w:rPr>
        <w:t>Kopeć</w:t>
      </w:r>
      <w:proofErr w:type="spellEnd"/>
      <w:r>
        <w:rPr>
          <w:rFonts w:ascii="Arial" w:hAnsi="Arial" w:cs="Arial"/>
          <w:sz w:val="24"/>
          <w:szCs w:val="24"/>
        </w:rPr>
        <w:t>, M. (2025)</w:t>
      </w:r>
      <w:r w:rsidRPr="00807163">
        <w:rPr>
          <w:rFonts w:ascii="Arial" w:hAnsi="Arial" w:cs="Arial"/>
          <w:sz w:val="24"/>
          <w:szCs w:val="24"/>
        </w:rPr>
        <w:t xml:space="preserve"> </w:t>
      </w:r>
      <w:r>
        <w:rPr>
          <w:rFonts w:ascii="Arial" w:hAnsi="Arial" w:cs="Arial"/>
          <w:sz w:val="24"/>
          <w:szCs w:val="24"/>
        </w:rPr>
        <w:t>‘</w:t>
      </w:r>
      <w:r w:rsidRPr="00807163">
        <w:rPr>
          <w:rFonts w:ascii="Arial" w:hAnsi="Arial" w:cs="Arial"/>
          <w:sz w:val="24"/>
          <w:szCs w:val="24"/>
        </w:rPr>
        <w:t>Understanding Medication Errors in Intensive Care Settings and Operating Rooms-A Systematic Review</w:t>
      </w:r>
      <w:r>
        <w:rPr>
          <w:rFonts w:ascii="Arial" w:hAnsi="Arial" w:cs="Arial"/>
          <w:sz w:val="24"/>
          <w:szCs w:val="24"/>
        </w:rPr>
        <w:t>’,</w:t>
      </w:r>
      <w:r w:rsidRPr="00807163">
        <w:rPr>
          <w:rFonts w:ascii="Arial" w:hAnsi="Arial" w:cs="Arial"/>
          <w:sz w:val="24"/>
          <w:szCs w:val="24"/>
        </w:rPr>
        <w:t xml:space="preserve"> </w:t>
      </w:r>
      <w:proofErr w:type="spellStart"/>
      <w:r w:rsidRPr="00807163">
        <w:rPr>
          <w:rFonts w:ascii="Arial" w:hAnsi="Arial" w:cs="Arial"/>
          <w:i/>
          <w:sz w:val="24"/>
          <w:szCs w:val="24"/>
        </w:rPr>
        <w:t>Medicina</w:t>
      </w:r>
      <w:proofErr w:type="spellEnd"/>
      <w:r w:rsidRPr="00807163">
        <w:rPr>
          <w:rFonts w:ascii="Arial" w:hAnsi="Arial" w:cs="Arial"/>
          <w:i/>
          <w:sz w:val="24"/>
          <w:szCs w:val="24"/>
        </w:rPr>
        <w:t xml:space="preserve"> (Kaunas, Lithuania), 61</w:t>
      </w:r>
      <w:r w:rsidRPr="00807163">
        <w:rPr>
          <w:rFonts w:ascii="Arial" w:hAnsi="Arial" w:cs="Arial"/>
          <w:sz w:val="24"/>
          <w:szCs w:val="24"/>
        </w:rPr>
        <w:t xml:space="preserve">(3), 369. </w:t>
      </w:r>
      <w:r>
        <w:rPr>
          <w:rFonts w:ascii="Arial" w:hAnsi="Arial" w:cs="Arial"/>
          <w:sz w:val="24"/>
          <w:szCs w:val="24"/>
        </w:rPr>
        <w:t xml:space="preserve">Available at: </w:t>
      </w:r>
      <w:hyperlink r:id="rId19" w:history="1">
        <w:r w:rsidRPr="00C51419">
          <w:rPr>
            <w:rStyle w:val="Hyperlink"/>
            <w:rFonts w:ascii="Arial" w:hAnsi="Arial" w:cs="Arial"/>
            <w:sz w:val="24"/>
            <w:szCs w:val="24"/>
          </w:rPr>
          <w:t>https://doi.org/10.3390/medicina61030369</w:t>
        </w:r>
      </w:hyperlink>
      <w:r>
        <w:rPr>
          <w:rFonts w:ascii="Arial" w:hAnsi="Arial" w:cs="Arial"/>
          <w:sz w:val="24"/>
          <w:szCs w:val="24"/>
        </w:rPr>
        <w:t xml:space="preserve"> </w:t>
      </w:r>
    </w:p>
    <w:p w14:paraId="2B1D5641" w14:textId="085E9F4F" w:rsidR="005F7D75" w:rsidRPr="00DF4C68" w:rsidRDefault="00D971CB" w:rsidP="0048729F">
      <w:pPr>
        <w:spacing w:line="360" w:lineRule="auto"/>
        <w:jc w:val="both"/>
        <w:rPr>
          <w:rFonts w:ascii="Arial" w:hAnsi="Arial" w:cs="Arial"/>
          <w:noProof/>
          <w:sz w:val="24"/>
          <w:szCs w:val="24"/>
        </w:rPr>
      </w:pPr>
      <w:r>
        <w:rPr>
          <w:rFonts w:ascii="Arial" w:hAnsi="Arial" w:cs="Arial"/>
          <w:sz w:val="24"/>
          <w:szCs w:val="24"/>
        </w:rPr>
        <w:t>Reason J. (2000)</w:t>
      </w:r>
      <w:r w:rsidRPr="00D971CB">
        <w:rPr>
          <w:rFonts w:ascii="Arial" w:hAnsi="Arial" w:cs="Arial"/>
          <w:sz w:val="24"/>
          <w:szCs w:val="24"/>
        </w:rPr>
        <w:t xml:space="preserve"> </w:t>
      </w:r>
      <w:r>
        <w:rPr>
          <w:rFonts w:ascii="Arial" w:hAnsi="Arial" w:cs="Arial"/>
          <w:sz w:val="24"/>
          <w:szCs w:val="24"/>
        </w:rPr>
        <w:t>‘</w:t>
      </w:r>
      <w:r w:rsidRPr="00D971CB">
        <w:rPr>
          <w:rFonts w:ascii="Arial" w:hAnsi="Arial" w:cs="Arial"/>
          <w:sz w:val="24"/>
          <w:szCs w:val="24"/>
        </w:rPr>
        <w:t>Human error: models and management</w:t>
      </w:r>
      <w:r>
        <w:rPr>
          <w:rFonts w:ascii="Arial" w:hAnsi="Arial" w:cs="Arial"/>
          <w:sz w:val="24"/>
          <w:szCs w:val="24"/>
        </w:rPr>
        <w:t>’,</w:t>
      </w:r>
      <w:r w:rsidRPr="00D971CB">
        <w:rPr>
          <w:rFonts w:ascii="Arial" w:hAnsi="Arial" w:cs="Arial"/>
          <w:sz w:val="24"/>
          <w:szCs w:val="24"/>
        </w:rPr>
        <w:t xml:space="preserve"> </w:t>
      </w:r>
      <w:r w:rsidRPr="00D971CB">
        <w:rPr>
          <w:rFonts w:ascii="Arial" w:hAnsi="Arial" w:cs="Arial"/>
          <w:i/>
          <w:sz w:val="24"/>
          <w:szCs w:val="24"/>
        </w:rPr>
        <w:t>BMJ (Clinical Research Ed.), 320</w:t>
      </w:r>
      <w:r w:rsidRPr="00D971CB">
        <w:rPr>
          <w:rFonts w:ascii="Arial" w:hAnsi="Arial" w:cs="Arial"/>
          <w:sz w:val="24"/>
          <w:szCs w:val="24"/>
        </w:rPr>
        <w:t xml:space="preserve">(7237), 768–770. </w:t>
      </w:r>
      <w:r>
        <w:rPr>
          <w:rFonts w:ascii="Arial" w:hAnsi="Arial" w:cs="Arial"/>
          <w:sz w:val="24"/>
          <w:szCs w:val="24"/>
        </w:rPr>
        <w:t>Availabl</w:t>
      </w:r>
      <w:bookmarkStart w:id="0" w:name="_GoBack"/>
      <w:bookmarkEnd w:id="0"/>
      <w:r>
        <w:rPr>
          <w:rFonts w:ascii="Arial" w:hAnsi="Arial" w:cs="Arial"/>
          <w:sz w:val="24"/>
          <w:szCs w:val="24"/>
        </w:rPr>
        <w:t xml:space="preserve">e at: </w:t>
      </w:r>
      <w:hyperlink r:id="rId20" w:history="1">
        <w:r w:rsidRPr="00C51419">
          <w:rPr>
            <w:rStyle w:val="Hyperlink"/>
            <w:rFonts w:ascii="Arial" w:hAnsi="Arial" w:cs="Arial"/>
            <w:sz w:val="24"/>
            <w:szCs w:val="24"/>
          </w:rPr>
          <w:t>https://doi.org/10.1136/bmj.320.7237.768</w:t>
        </w:r>
      </w:hyperlink>
      <w:r>
        <w:rPr>
          <w:rFonts w:ascii="Arial" w:hAnsi="Arial" w:cs="Arial"/>
          <w:sz w:val="24"/>
          <w:szCs w:val="24"/>
        </w:rPr>
        <w:t xml:space="preserve"> (Accessed: 28 September 2026).</w:t>
      </w:r>
    </w:p>
    <w:sectPr w:rsidR="005F7D75" w:rsidRPr="00DF4C68"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A5AC0B9" w14:textId="77777777" w:rsidR="00FB640A" w:rsidRDefault="00FB640A" w:rsidP="00D210FA">
      <w:pPr>
        <w:spacing w:after="0"/>
      </w:pPr>
      <w:r>
        <w:separator/>
      </w:r>
    </w:p>
  </w:endnote>
  <w:endnote w:type="continuationSeparator" w:id="0">
    <w:p w14:paraId="1ED86DF5" w14:textId="77777777" w:rsidR="00FB640A" w:rsidRDefault="00FB640A"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altName w:val="Century"/>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9C798C" w14:textId="77777777" w:rsidR="00FB640A" w:rsidRDefault="00FB640A" w:rsidP="00D210FA">
      <w:pPr>
        <w:spacing w:after="0"/>
      </w:pPr>
      <w:r>
        <w:separator/>
      </w:r>
    </w:p>
  </w:footnote>
  <w:footnote w:type="continuationSeparator" w:id="0">
    <w:p w14:paraId="6FB61348" w14:textId="77777777" w:rsidR="00FB640A" w:rsidRDefault="00FB640A"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1"/>
  </w:num>
  <w:num w:numId="4">
    <w:abstractNumId w:val="12"/>
  </w:num>
  <w:num w:numId="5">
    <w:abstractNumId w:val="7"/>
  </w:num>
  <w:num w:numId="6">
    <w:abstractNumId w:val="6"/>
  </w:num>
  <w:num w:numId="7">
    <w:abstractNumId w:val="9"/>
  </w:num>
  <w:num w:numId="8">
    <w:abstractNumId w:val="8"/>
  </w:num>
  <w:num w:numId="9">
    <w:abstractNumId w:val="2"/>
  </w:num>
  <w:num w:numId="10">
    <w:abstractNumId w:val="0"/>
  </w:num>
  <w:num w:numId="11">
    <w:abstractNumId w:val="5"/>
  </w:num>
  <w:num w:numId="12">
    <w:abstractNumId w:val="1"/>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3C19"/>
    <w:rsid w:val="00002366"/>
    <w:rsid w:val="00023293"/>
    <w:rsid w:val="00061977"/>
    <w:rsid w:val="00063B85"/>
    <w:rsid w:val="000877C4"/>
    <w:rsid w:val="0008782A"/>
    <w:rsid w:val="000A065A"/>
    <w:rsid w:val="000E56ED"/>
    <w:rsid w:val="00106FC5"/>
    <w:rsid w:val="00120DEC"/>
    <w:rsid w:val="00123C19"/>
    <w:rsid w:val="0015390A"/>
    <w:rsid w:val="001A2DAB"/>
    <w:rsid w:val="001C55B6"/>
    <w:rsid w:val="001D6CC4"/>
    <w:rsid w:val="00206405"/>
    <w:rsid w:val="002341AD"/>
    <w:rsid w:val="00253267"/>
    <w:rsid w:val="002823CD"/>
    <w:rsid w:val="00287787"/>
    <w:rsid w:val="00291685"/>
    <w:rsid w:val="0029329C"/>
    <w:rsid w:val="002B0A3D"/>
    <w:rsid w:val="002D5139"/>
    <w:rsid w:val="002F26AB"/>
    <w:rsid w:val="003007A7"/>
    <w:rsid w:val="003257E1"/>
    <w:rsid w:val="00325DEC"/>
    <w:rsid w:val="00346FFA"/>
    <w:rsid w:val="00385494"/>
    <w:rsid w:val="003A3069"/>
    <w:rsid w:val="003C20B5"/>
    <w:rsid w:val="003E14DE"/>
    <w:rsid w:val="003E545F"/>
    <w:rsid w:val="003F03D2"/>
    <w:rsid w:val="003F1E1A"/>
    <w:rsid w:val="004045E5"/>
    <w:rsid w:val="00421496"/>
    <w:rsid w:val="00422C27"/>
    <w:rsid w:val="0044367C"/>
    <w:rsid w:val="0044412C"/>
    <w:rsid w:val="004642F0"/>
    <w:rsid w:val="0048729F"/>
    <w:rsid w:val="00492F38"/>
    <w:rsid w:val="00500564"/>
    <w:rsid w:val="0051102B"/>
    <w:rsid w:val="00514B8F"/>
    <w:rsid w:val="00516CC0"/>
    <w:rsid w:val="005475F0"/>
    <w:rsid w:val="00582081"/>
    <w:rsid w:val="005838BC"/>
    <w:rsid w:val="005B57E1"/>
    <w:rsid w:val="005E61E0"/>
    <w:rsid w:val="005F0F31"/>
    <w:rsid w:val="005F7D75"/>
    <w:rsid w:val="006024ED"/>
    <w:rsid w:val="0061793F"/>
    <w:rsid w:val="0062123A"/>
    <w:rsid w:val="006605F8"/>
    <w:rsid w:val="006676A1"/>
    <w:rsid w:val="006833BD"/>
    <w:rsid w:val="006D06C8"/>
    <w:rsid w:val="006D2642"/>
    <w:rsid w:val="006E2D42"/>
    <w:rsid w:val="0070411F"/>
    <w:rsid w:val="00720FEE"/>
    <w:rsid w:val="007334F6"/>
    <w:rsid w:val="00764B6F"/>
    <w:rsid w:val="007A32A7"/>
    <w:rsid w:val="007C7319"/>
    <w:rsid w:val="007D43B3"/>
    <w:rsid w:val="007F20B4"/>
    <w:rsid w:val="007F525E"/>
    <w:rsid w:val="00802FF1"/>
    <w:rsid w:val="00807163"/>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4702A"/>
    <w:rsid w:val="00967DAB"/>
    <w:rsid w:val="00990E76"/>
    <w:rsid w:val="00991A53"/>
    <w:rsid w:val="00996F4E"/>
    <w:rsid w:val="009F71FE"/>
    <w:rsid w:val="00A27D8D"/>
    <w:rsid w:val="00A31F33"/>
    <w:rsid w:val="00A70A62"/>
    <w:rsid w:val="00A71DA8"/>
    <w:rsid w:val="00A815F1"/>
    <w:rsid w:val="00A90A7A"/>
    <w:rsid w:val="00AB1210"/>
    <w:rsid w:val="00AB5409"/>
    <w:rsid w:val="00AB770D"/>
    <w:rsid w:val="00AF2088"/>
    <w:rsid w:val="00AF5FB0"/>
    <w:rsid w:val="00B0080A"/>
    <w:rsid w:val="00B0538C"/>
    <w:rsid w:val="00B376E4"/>
    <w:rsid w:val="00B37AB8"/>
    <w:rsid w:val="00B418DE"/>
    <w:rsid w:val="00B43340"/>
    <w:rsid w:val="00B47FE7"/>
    <w:rsid w:val="00B6374C"/>
    <w:rsid w:val="00B67824"/>
    <w:rsid w:val="00BE15BA"/>
    <w:rsid w:val="00C20ED0"/>
    <w:rsid w:val="00C31D85"/>
    <w:rsid w:val="00C348A8"/>
    <w:rsid w:val="00C34FA0"/>
    <w:rsid w:val="00C46111"/>
    <w:rsid w:val="00C47DCC"/>
    <w:rsid w:val="00C83332"/>
    <w:rsid w:val="00C95E04"/>
    <w:rsid w:val="00CB1398"/>
    <w:rsid w:val="00CC0A8F"/>
    <w:rsid w:val="00CC24B6"/>
    <w:rsid w:val="00CD3A64"/>
    <w:rsid w:val="00CE08CD"/>
    <w:rsid w:val="00D0664A"/>
    <w:rsid w:val="00D210FA"/>
    <w:rsid w:val="00D30F1D"/>
    <w:rsid w:val="00D57231"/>
    <w:rsid w:val="00D87B48"/>
    <w:rsid w:val="00D91203"/>
    <w:rsid w:val="00D94FD1"/>
    <w:rsid w:val="00D971CB"/>
    <w:rsid w:val="00DF4C68"/>
    <w:rsid w:val="00E41692"/>
    <w:rsid w:val="00E55D74"/>
    <w:rsid w:val="00E81234"/>
    <w:rsid w:val="00E9037E"/>
    <w:rsid w:val="00EA120D"/>
    <w:rsid w:val="00EA49C3"/>
    <w:rsid w:val="00EB5E14"/>
    <w:rsid w:val="00EB6F36"/>
    <w:rsid w:val="00ED1049"/>
    <w:rsid w:val="00EE19D9"/>
    <w:rsid w:val="00EF26FC"/>
    <w:rsid w:val="00F23E1E"/>
    <w:rsid w:val="00F37523"/>
    <w:rsid w:val="00F50168"/>
    <w:rsid w:val="00F50D34"/>
    <w:rsid w:val="00F52F83"/>
    <w:rsid w:val="00F57F8F"/>
    <w:rsid w:val="00F61360"/>
    <w:rsid w:val="00FB640A"/>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6111"/>
    <w:rPr>
      <w:lang w:val="en-GB"/>
    </w:rPr>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customStyle="1"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15390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53787208">
      <w:bodyDiv w:val="1"/>
      <w:marLeft w:val="0"/>
      <w:marRight w:val="0"/>
      <w:marTop w:val="0"/>
      <w:marBottom w:val="0"/>
      <w:divBdr>
        <w:top w:val="none" w:sz="0" w:space="0" w:color="auto"/>
        <w:left w:val="none" w:sz="0" w:space="0" w:color="auto"/>
        <w:bottom w:val="none" w:sz="0" w:space="0" w:color="auto"/>
        <w:right w:val="none" w:sz="0" w:space="0" w:color="auto"/>
      </w:divBdr>
      <w:divsChild>
        <w:div w:id="69693411">
          <w:marLeft w:val="0"/>
          <w:marRight w:val="0"/>
          <w:marTop w:val="0"/>
          <w:marBottom w:val="0"/>
          <w:divBdr>
            <w:top w:val="single" w:sz="6" w:space="0" w:color="000000"/>
            <w:left w:val="single" w:sz="6" w:space="0" w:color="000000"/>
            <w:bottom w:val="single" w:sz="6" w:space="0" w:color="000000"/>
            <w:right w:val="single" w:sz="6" w:space="0" w:color="000000"/>
          </w:divBdr>
        </w:div>
        <w:div w:id="1419981461">
          <w:marLeft w:val="0"/>
          <w:marRight w:val="0"/>
          <w:marTop w:val="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362245062">
      <w:bodyDiv w:val="1"/>
      <w:marLeft w:val="0"/>
      <w:marRight w:val="0"/>
      <w:marTop w:val="0"/>
      <w:marBottom w:val="0"/>
      <w:divBdr>
        <w:top w:val="none" w:sz="0" w:space="0" w:color="auto"/>
        <w:left w:val="none" w:sz="0" w:space="0" w:color="auto"/>
        <w:bottom w:val="none" w:sz="0" w:space="0" w:color="auto"/>
        <w:right w:val="none" w:sz="0" w:space="0" w:color="auto"/>
      </w:divBdr>
      <w:divsChild>
        <w:div w:id="1713773802">
          <w:marLeft w:val="0"/>
          <w:marRight w:val="0"/>
          <w:marTop w:val="0"/>
          <w:marBottom w:val="0"/>
          <w:divBdr>
            <w:top w:val="single" w:sz="6" w:space="0" w:color="5B616B"/>
            <w:left w:val="single" w:sz="6" w:space="0" w:color="5B616B"/>
            <w:bottom w:val="single" w:sz="6" w:space="0" w:color="5B616B"/>
            <w:right w:val="single" w:sz="6" w:space="0" w:color="5B616B"/>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doi.org/10.1007/s40264-013-0090-2"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doi.org/10.1186/s12916-020-01774-9" TargetMode="External"/><Relationship Id="rId2" Type="http://schemas.openxmlformats.org/officeDocument/2006/relationships/customXml" Target="../customXml/item2.xml"/><Relationship Id="rId16" Type="http://schemas.openxmlformats.org/officeDocument/2006/relationships/hyperlink" Target="https://doi.org/10.1136/bmjqs-2019-010206" TargetMode="External"/><Relationship Id="rId20" Type="http://schemas.openxmlformats.org/officeDocument/2006/relationships/hyperlink" Target="https://doi.org/10.1136/bmj.320.7237.76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191/1478088706qp063oa" TargetMode="External"/><Relationship Id="rId10" Type="http://schemas.openxmlformats.org/officeDocument/2006/relationships/endnotes" Target="endnotes.xml"/><Relationship Id="rId19" Type="http://schemas.openxmlformats.org/officeDocument/2006/relationships/hyperlink" Target="https://doi.org/10.3390/medicina6103036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86/s12912-021-00671-7"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4.xml><?xml version="1.0" encoding="utf-8"?>
<ds:datastoreItem xmlns:ds="http://schemas.openxmlformats.org/officeDocument/2006/customXml" ds:itemID="{F1028CF0-8FE0-4447-A480-7E047EF59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911</Words>
  <Characters>5195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2026-10-08T04:04:00Z</dcterms:created>
  <dcterms:modified xsi:type="dcterms:W3CDTF">2026-10-21T20:42:00Z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9adf47ad46bbe1b0054d25d2d21ad4924ace172b1341199dce55c750342b7f3f</vt:lpwstr>
  </property>
</Properties>
</file>