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B808E" w14:textId="74498FC5" w:rsidR="0095557A" w:rsidRPr="0095557A" w:rsidRDefault="00E22C29" w:rsidP="004505F1">
      <w:pPr>
        <w:spacing w:line="360" w:lineRule="auto"/>
        <w:jc w:val="both"/>
        <w:rPr>
          <w:rFonts w:ascii="Times New Roman" w:hAnsi="Times New Roman" w:cs="Times New Roman"/>
          <w:sz w:val="24"/>
          <w:szCs w:val="24"/>
        </w:rPr>
      </w:pPr>
      <w:r w:rsidRPr="00527F41">
        <w:rPr>
          <w:rFonts w:ascii="Arial" w:hAnsi="Arial" w:cs="Arial"/>
          <w:b/>
          <w:bCs/>
          <w:noProof/>
        </w:rPr>
        <w:drawing>
          <wp:inline distT="0" distB="0" distL="0" distR="0" wp14:anchorId="451D5EEB" wp14:editId="12CF3C02">
            <wp:extent cx="3343275" cy="1343025"/>
            <wp:effectExtent l="0" t="0" r="9525" b="9525"/>
            <wp:docPr id="16842955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16EA12C6" w14:textId="77777777" w:rsidR="00E22C29" w:rsidRDefault="00E22C29" w:rsidP="004505F1">
      <w:pPr>
        <w:spacing w:line="360" w:lineRule="auto"/>
        <w:jc w:val="center"/>
        <w:rPr>
          <w:rFonts w:ascii="Times New Roman" w:hAnsi="Times New Roman" w:cs="Times New Roman"/>
          <w:b/>
          <w:bCs/>
          <w:sz w:val="24"/>
          <w:szCs w:val="24"/>
        </w:rPr>
      </w:pPr>
    </w:p>
    <w:p w14:paraId="01E04799" w14:textId="77777777" w:rsidR="00E22C29" w:rsidRDefault="00E22C29" w:rsidP="004505F1">
      <w:pPr>
        <w:spacing w:line="360" w:lineRule="auto"/>
        <w:jc w:val="center"/>
        <w:rPr>
          <w:rFonts w:ascii="Times New Roman" w:hAnsi="Times New Roman" w:cs="Times New Roman"/>
          <w:b/>
          <w:bCs/>
          <w:sz w:val="24"/>
          <w:szCs w:val="24"/>
        </w:rPr>
      </w:pPr>
    </w:p>
    <w:p w14:paraId="498E546C" w14:textId="77777777" w:rsidR="00E22C29" w:rsidRDefault="00E22C29" w:rsidP="004505F1">
      <w:pPr>
        <w:spacing w:line="360" w:lineRule="auto"/>
        <w:jc w:val="center"/>
        <w:rPr>
          <w:rFonts w:ascii="Times New Roman" w:hAnsi="Times New Roman" w:cs="Times New Roman"/>
          <w:b/>
          <w:bCs/>
          <w:sz w:val="24"/>
          <w:szCs w:val="24"/>
        </w:rPr>
      </w:pPr>
    </w:p>
    <w:p w14:paraId="050FB057" w14:textId="14277A5F" w:rsidR="0095557A" w:rsidRDefault="0095557A" w:rsidP="004505F1">
      <w:pPr>
        <w:spacing w:line="360" w:lineRule="auto"/>
        <w:jc w:val="center"/>
        <w:rPr>
          <w:rFonts w:ascii="Times New Roman" w:hAnsi="Times New Roman" w:cs="Times New Roman"/>
          <w:b/>
          <w:bCs/>
          <w:sz w:val="24"/>
          <w:szCs w:val="24"/>
        </w:rPr>
      </w:pPr>
      <w:r w:rsidRPr="0095557A">
        <w:rPr>
          <w:rFonts w:ascii="Times New Roman" w:hAnsi="Times New Roman" w:cs="Times New Roman"/>
          <w:b/>
          <w:bCs/>
          <w:sz w:val="24"/>
          <w:szCs w:val="24"/>
        </w:rPr>
        <w:t>Health, Wellbeing, and Sustainable Development: A Critical Analysis</w:t>
      </w:r>
    </w:p>
    <w:p w14:paraId="59467FE1" w14:textId="18FB9133" w:rsidR="00D31D57" w:rsidRDefault="00D31D57" w:rsidP="004505F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Name: Agyeiwaa Boakye Mensah</w:t>
      </w:r>
    </w:p>
    <w:p w14:paraId="016E16DC" w14:textId="20E29DAF" w:rsidR="00D31D57" w:rsidRDefault="00D31D57" w:rsidP="004505F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Student Number: 2228231</w:t>
      </w:r>
    </w:p>
    <w:p w14:paraId="04C684EA" w14:textId="6134400B" w:rsidR="00D31D57" w:rsidRDefault="00D31D57" w:rsidP="004505F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Module Code: BMPH</w:t>
      </w:r>
    </w:p>
    <w:p w14:paraId="3DF58ADE" w14:textId="1F5ED197" w:rsidR="00D31D57" w:rsidRDefault="00D31D57" w:rsidP="004505F1">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Lecturer: Sheperd Ziko</w:t>
      </w:r>
    </w:p>
    <w:p w14:paraId="385195D9" w14:textId="570FE171" w:rsidR="004505F1" w:rsidRDefault="004505F1" w:rsidP="00661A84">
      <w:pPr>
        <w:rPr>
          <w:rFonts w:ascii="Times New Roman" w:hAnsi="Times New Roman" w:cs="Times New Roman"/>
          <w:b/>
          <w:bCs/>
          <w:sz w:val="24"/>
          <w:szCs w:val="24"/>
        </w:rPr>
      </w:pPr>
      <w:r>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171722735"/>
        <w:docPartObj>
          <w:docPartGallery w:val="Table of Contents"/>
          <w:docPartUnique/>
        </w:docPartObj>
      </w:sdtPr>
      <w:sdtEndPr>
        <w:rPr>
          <w:rFonts w:ascii="Times New Roman" w:hAnsi="Times New Roman" w:cs="Times New Roman"/>
          <w:b/>
          <w:bCs/>
          <w:noProof/>
          <w:sz w:val="24"/>
          <w:szCs w:val="24"/>
        </w:rPr>
      </w:sdtEndPr>
      <w:sdtContent>
        <w:p w14:paraId="7BA73A6D" w14:textId="63E68DA5" w:rsidR="00661A84" w:rsidRPr="00661A84" w:rsidRDefault="00661A84" w:rsidP="00661A84">
          <w:pPr>
            <w:pStyle w:val="TOCHeading"/>
            <w:jc w:val="center"/>
            <w:rPr>
              <w:rFonts w:ascii="Times New Roman" w:hAnsi="Times New Roman" w:cs="Times New Roman"/>
              <w:b/>
              <w:bCs/>
              <w:color w:val="auto"/>
              <w:sz w:val="24"/>
              <w:szCs w:val="24"/>
            </w:rPr>
          </w:pPr>
          <w:r w:rsidRPr="00661A84">
            <w:rPr>
              <w:rFonts w:ascii="Times New Roman" w:hAnsi="Times New Roman" w:cs="Times New Roman"/>
              <w:b/>
              <w:bCs/>
              <w:color w:val="auto"/>
              <w:sz w:val="24"/>
              <w:szCs w:val="24"/>
            </w:rPr>
            <w:t>Table of Contents</w:t>
          </w:r>
        </w:p>
        <w:p w14:paraId="3F87E277" w14:textId="00DA4EB9"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r w:rsidRPr="00661A84">
            <w:rPr>
              <w:rFonts w:ascii="Times New Roman" w:hAnsi="Times New Roman" w:cs="Times New Roman"/>
              <w:sz w:val="24"/>
              <w:szCs w:val="24"/>
            </w:rPr>
            <w:fldChar w:fldCharType="begin"/>
          </w:r>
          <w:r w:rsidRPr="00661A84">
            <w:rPr>
              <w:rFonts w:ascii="Times New Roman" w:hAnsi="Times New Roman" w:cs="Times New Roman"/>
              <w:sz w:val="24"/>
              <w:szCs w:val="24"/>
            </w:rPr>
            <w:instrText xml:space="preserve"> TOC \o "1-3" \h \z \u </w:instrText>
          </w:r>
          <w:r w:rsidRPr="00661A84">
            <w:rPr>
              <w:rFonts w:ascii="Times New Roman" w:hAnsi="Times New Roman" w:cs="Times New Roman"/>
              <w:sz w:val="24"/>
              <w:szCs w:val="24"/>
            </w:rPr>
            <w:fldChar w:fldCharType="separate"/>
          </w:r>
          <w:hyperlink w:anchor="_Toc212095958" w:history="1">
            <w:r w:rsidRPr="00661A84">
              <w:rPr>
                <w:rStyle w:val="Hyperlink"/>
                <w:rFonts w:ascii="Times New Roman" w:hAnsi="Times New Roman" w:cs="Times New Roman"/>
                <w:noProof/>
                <w:sz w:val="24"/>
                <w:szCs w:val="24"/>
              </w:rPr>
              <w:t>Introduction</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_Toc212095958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3</w:t>
            </w:r>
            <w:r w:rsidRPr="00661A84">
              <w:rPr>
                <w:rFonts w:ascii="Times New Roman" w:hAnsi="Times New Roman" w:cs="Times New Roman"/>
                <w:noProof/>
                <w:webHidden/>
                <w:sz w:val="24"/>
                <w:szCs w:val="24"/>
              </w:rPr>
              <w:fldChar w:fldCharType="end"/>
            </w:r>
          </w:hyperlink>
        </w:p>
        <w:p w14:paraId="5B07C77F" w14:textId="00DBB0C3"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59" w:history="1">
            <w:r w:rsidRPr="00661A84">
              <w:rPr>
                <w:rStyle w:val="Hyperlink"/>
                <w:rFonts w:ascii="Times New Roman" w:hAnsi="Times New Roman" w:cs="Times New Roman"/>
                <w:noProof/>
                <w:sz w:val="24"/>
                <w:szCs w:val="24"/>
              </w:rPr>
              <w:t>Sustainable Development Goal 3: Good Health and Wellbeing</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_Toc212095959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3</w:t>
            </w:r>
            <w:r w:rsidRPr="00661A84">
              <w:rPr>
                <w:rFonts w:ascii="Times New Roman" w:hAnsi="Times New Roman" w:cs="Times New Roman"/>
                <w:noProof/>
                <w:webHidden/>
                <w:sz w:val="24"/>
                <w:szCs w:val="24"/>
              </w:rPr>
              <w:fldChar w:fldCharType="end"/>
            </w:r>
          </w:hyperlink>
        </w:p>
        <w:p w14:paraId="547D2BED" w14:textId="5EE8AB2F"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0" w:history="1">
            <w:r w:rsidRPr="00661A84">
              <w:rPr>
                <w:rStyle w:val="Hyperlink"/>
                <w:rFonts w:ascii="Times New Roman" w:hAnsi="Times New Roman" w:cs="Times New Roman"/>
                <w:noProof/>
                <w:sz w:val="24"/>
                <w:szCs w:val="24"/>
              </w:rPr>
              <w:t>Overview</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_Toc212095960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3</w:t>
            </w:r>
            <w:r w:rsidRPr="00661A84">
              <w:rPr>
                <w:rFonts w:ascii="Times New Roman" w:hAnsi="Times New Roman" w:cs="Times New Roman"/>
                <w:noProof/>
                <w:webHidden/>
                <w:sz w:val="24"/>
                <w:szCs w:val="24"/>
              </w:rPr>
              <w:fldChar w:fldCharType="end"/>
            </w:r>
          </w:hyperlink>
        </w:p>
        <w:p w14:paraId="610B064D" w14:textId="49049D8D"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1" w:history="1">
            <w:r w:rsidRPr="00661A84">
              <w:rPr>
                <w:rStyle w:val="Hyperlink"/>
                <w:rFonts w:ascii="Times New Roman" w:hAnsi="Times New Roman" w:cs="Times New Roman"/>
                <w:noProof/>
                <w:sz w:val="24"/>
                <w:szCs w:val="24"/>
              </w:rPr>
              <w:t>Implications to Health and Wellbeing</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_Toc212095961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3</w:t>
            </w:r>
            <w:r w:rsidRPr="00661A84">
              <w:rPr>
                <w:rFonts w:ascii="Times New Roman" w:hAnsi="Times New Roman" w:cs="Times New Roman"/>
                <w:noProof/>
                <w:webHidden/>
                <w:sz w:val="24"/>
                <w:szCs w:val="24"/>
              </w:rPr>
              <w:fldChar w:fldCharType="end"/>
            </w:r>
          </w:hyperlink>
        </w:p>
        <w:p w14:paraId="7EFDA4B1" w14:textId="6376515C"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62" w:history="1">
            <w:r w:rsidRPr="00661A84">
              <w:rPr>
                <w:rStyle w:val="Hyperlink"/>
                <w:rFonts w:ascii="Times New Roman" w:hAnsi="Times New Roman" w:cs="Times New Roman"/>
                <w:noProof/>
                <w:sz w:val="24"/>
                <w:szCs w:val="24"/>
              </w:rPr>
              <w:t>Sustainable Development Goal 2: Zero Hunger</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_Toc212095962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4</w:t>
            </w:r>
            <w:r w:rsidRPr="00661A84">
              <w:rPr>
                <w:rFonts w:ascii="Times New Roman" w:hAnsi="Times New Roman" w:cs="Times New Roman"/>
                <w:noProof/>
                <w:webHidden/>
                <w:sz w:val="24"/>
                <w:szCs w:val="24"/>
              </w:rPr>
              <w:fldChar w:fldCharType="end"/>
            </w:r>
          </w:hyperlink>
        </w:p>
        <w:p w14:paraId="63A409A4" w14:textId="4A5218DF"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3" w:history="1">
            <w:r w:rsidRPr="00661A84">
              <w:rPr>
                <w:rStyle w:val="Hyperlink"/>
                <w:rFonts w:ascii="Times New Roman" w:hAnsi="Times New Roman" w:cs="Times New Roman"/>
                <w:noProof/>
                <w:sz w:val="24"/>
                <w:szCs w:val="24"/>
              </w:rPr>
              <w:t>Overview</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_Toc212095963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4</w:t>
            </w:r>
            <w:r w:rsidRPr="00661A84">
              <w:rPr>
                <w:rFonts w:ascii="Times New Roman" w:hAnsi="Times New Roman" w:cs="Times New Roman"/>
                <w:noProof/>
                <w:webHidden/>
                <w:sz w:val="24"/>
                <w:szCs w:val="24"/>
              </w:rPr>
              <w:fldChar w:fldCharType="end"/>
            </w:r>
          </w:hyperlink>
        </w:p>
        <w:p w14:paraId="2712D5C9" w14:textId="37C542EB"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4" w:history="1">
            <w:r w:rsidRPr="00661A84">
              <w:rPr>
                <w:rStyle w:val="Hyperlink"/>
                <w:rFonts w:ascii="Times New Roman" w:hAnsi="Times New Roman" w:cs="Times New Roman"/>
                <w:noProof/>
                <w:sz w:val="24"/>
                <w:szCs w:val="24"/>
              </w:rPr>
              <w:t>Health and Wellbeing Effect</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_Toc212095964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5</w:t>
            </w:r>
            <w:r w:rsidRPr="00661A84">
              <w:rPr>
                <w:rFonts w:ascii="Times New Roman" w:hAnsi="Times New Roman" w:cs="Times New Roman"/>
                <w:noProof/>
                <w:webHidden/>
                <w:sz w:val="24"/>
                <w:szCs w:val="24"/>
              </w:rPr>
              <w:fldChar w:fldCharType="end"/>
            </w:r>
          </w:hyperlink>
        </w:p>
        <w:p w14:paraId="18A04781" w14:textId="47F0E52F"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65" w:history="1">
            <w:r w:rsidRPr="00661A84">
              <w:rPr>
                <w:rStyle w:val="Hyperlink"/>
                <w:rFonts w:ascii="Times New Roman" w:hAnsi="Times New Roman" w:cs="Times New Roman"/>
                <w:noProof/>
                <w:sz w:val="24"/>
                <w:szCs w:val="24"/>
              </w:rPr>
              <w:t>National Wellbeing Initiatives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_Toc212095965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6</w:t>
            </w:r>
            <w:r w:rsidRPr="00661A84">
              <w:rPr>
                <w:rFonts w:ascii="Times New Roman" w:hAnsi="Times New Roman" w:cs="Times New Roman"/>
                <w:noProof/>
                <w:webHidden/>
                <w:sz w:val="24"/>
                <w:szCs w:val="24"/>
              </w:rPr>
              <w:fldChar w:fldCharType="end"/>
            </w:r>
          </w:hyperlink>
        </w:p>
        <w:p w14:paraId="57E3DE47" w14:textId="17D22886"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6" w:history="1">
            <w:r w:rsidRPr="00661A84">
              <w:rPr>
                <w:rStyle w:val="Hyperlink"/>
                <w:rFonts w:ascii="Times New Roman" w:hAnsi="Times New Roman" w:cs="Times New Roman"/>
                <w:noProof/>
                <w:sz w:val="24"/>
                <w:szCs w:val="24"/>
              </w:rPr>
              <w:t>Initiative 1: NHS Public Health Campaigns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_Toc212095966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6</w:t>
            </w:r>
            <w:r w:rsidRPr="00661A84">
              <w:rPr>
                <w:rFonts w:ascii="Times New Roman" w:hAnsi="Times New Roman" w:cs="Times New Roman"/>
                <w:noProof/>
                <w:webHidden/>
                <w:sz w:val="24"/>
                <w:szCs w:val="24"/>
              </w:rPr>
              <w:fldChar w:fldCharType="end"/>
            </w:r>
          </w:hyperlink>
        </w:p>
        <w:p w14:paraId="5BD32F65" w14:textId="09AD43C1"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7" w:history="1">
            <w:r w:rsidRPr="00661A84">
              <w:rPr>
                <w:rStyle w:val="Hyperlink"/>
                <w:rFonts w:ascii="Times New Roman" w:hAnsi="Times New Roman" w:cs="Times New Roman"/>
                <w:noProof/>
                <w:sz w:val="24"/>
                <w:szCs w:val="24"/>
              </w:rPr>
              <w:t>Recommendations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_Toc212095967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6</w:t>
            </w:r>
            <w:r w:rsidRPr="00661A84">
              <w:rPr>
                <w:rFonts w:ascii="Times New Roman" w:hAnsi="Times New Roman" w:cs="Times New Roman"/>
                <w:noProof/>
                <w:webHidden/>
                <w:sz w:val="24"/>
                <w:szCs w:val="24"/>
              </w:rPr>
              <w:fldChar w:fldCharType="end"/>
            </w:r>
          </w:hyperlink>
        </w:p>
        <w:p w14:paraId="4FCE1B38" w14:textId="296DB8BC"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68" w:history="1">
            <w:r w:rsidRPr="00661A84">
              <w:rPr>
                <w:rStyle w:val="Hyperlink"/>
                <w:rFonts w:ascii="Times New Roman" w:hAnsi="Times New Roman" w:cs="Times New Roman"/>
                <w:noProof/>
                <w:sz w:val="24"/>
                <w:szCs w:val="24"/>
              </w:rPr>
              <w:t>Initiative 2: Healthy Start Program</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_Toc212095968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6</w:t>
            </w:r>
            <w:r w:rsidRPr="00661A84">
              <w:rPr>
                <w:rFonts w:ascii="Times New Roman" w:hAnsi="Times New Roman" w:cs="Times New Roman"/>
                <w:noProof/>
                <w:webHidden/>
                <w:sz w:val="24"/>
                <w:szCs w:val="24"/>
              </w:rPr>
              <w:fldChar w:fldCharType="end"/>
            </w:r>
          </w:hyperlink>
        </w:p>
        <w:p w14:paraId="30F711E8" w14:textId="5B62A9DB"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69" w:history="1">
            <w:r w:rsidRPr="00661A84">
              <w:rPr>
                <w:rStyle w:val="Hyperlink"/>
                <w:rFonts w:ascii="Times New Roman" w:hAnsi="Times New Roman" w:cs="Times New Roman"/>
                <w:noProof/>
                <w:sz w:val="24"/>
                <w:szCs w:val="24"/>
              </w:rPr>
              <w:t>Recommendations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_Toc212095969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7</w:t>
            </w:r>
            <w:r w:rsidRPr="00661A84">
              <w:rPr>
                <w:rFonts w:ascii="Times New Roman" w:hAnsi="Times New Roman" w:cs="Times New Roman"/>
                <w:noProof/>
                <w:webHidden/>
                <w:sz w:val="24"/>
                <w:szCs w:val="24"/>
              </w:rPr>
              <w:fldChar w:fldCharType="end"/>
            </w:r>
          </w:hyperlink>
        </w:p>
        <w:p w14:paraId="1176AD9A" w14:textId="74953994"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70" w:history="1">
            <w:r w:rsidRPr="00661A84">
              <w:rPr>
                <w:rStyle w:val="Hyperlink"/>
                <w:rFonts w:ascii="Times New Roman" w:hAnsi="Times New Roman" w:cs="Times New Roman"/>
                <w:noProof/>
                <w:sz w:val="24"/>
                <w:szCs w:val="24"/>
              </w:rPr>
              <w:t>Local Wellbeing Initiatives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_Toc212095970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7</w:t>
            </w:r>
            <w:r w:rsidRPr="00661A84">
              <w:rPr>
                <w:rFonts w:ascii="Times New Roman" w:hAnsi="Times New Roman" w:cs="Times New Roman"/>
                <w:noProof/>
                <w:webHidden/>
                <w:sz w:val="24"/>
                <w:szCs w:val="24"/>
              </w:rPr>
              <w:fldChar w:fldCharType="end"/>
            </w:r>
          </w:hyperlink>
        </w:p>
        <w:p w14:paraId="10EEA8E4" w14:textId="6BE30A75"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71" w:history="1">
            <w:r w:rsidRPr="00661A84">
              <w:rPr>
                <w:rStyle w:val="Hyperlink"/>
                <w:rFonts w:ascii="Times New Roman" w:hAnsi="Times New Roman" w:cs="Times New Roman"/>
                <w:noProof/>
                <w:sz w:val="24"/>
                <w:szCs w:val="24"/>
              </w:rPr>
              <w:t>Initiative 1: Community Fitness Programs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_Toc212095971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7</w:t>
            </w:r>
            <w:r w:rsidRPr="00661A84">
              <w:rPr>
                <w:rFonts w:ascii="Times New Roman" w:hAnsi="Times New Roman" w:cs="Times New Roman"/>
                <w:noProof/>
                <w:webHidden/>
                <w:sz w:val="24"/>
                <w:szCs w:val="24"/>
              </w:rPr>
              <w:fldChar w:fldCharType="end"/>
            </w:r>
          </w:hyperlink>
        </w:p>
        <w:p w14:paraId="2ED1F24B" w14:textId="45736654"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72" w:history="1">
            <w:r w:rsidRPr="00661A84">
              <w:rPr>
                <w:rStyle w:val="Hyperlink"/>
                <w:rFonts w:ascii="Times New Roman" w:hAnsi="Times New Roman" w:cs="Times New Roman"/>
                <w:noProof/>
                <w:sz w:val="24"/>
                <w:szCs w:val="24"/>
              </w:rPr>
              <w:t>Recommendations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_Toc212095972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7</w:t>
            </w:r>
            <w:r w:rsidRPr="00661A84">
              <w:rPr>
                <w:rFonts w:ascii="Times New Roman" w:hAnsi="Times New Roman" w:cs="Times New Roman"/>
                <w:noProof/>
                <w:webHidden/>
                <w:sz w:val="24"/>
                <w:szCs w:val="24"/>
              </w:rPr>
              <w:fldChar w:fldCharType="end"/>
            </w:r>
          </w:hyperlink>
        </w:p>
        <w:p w14:paraId="4748FB51" w14:textId="0D76ED28"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73" w:history="1">
            <w:r w:rsidRPr="00661A84">
              <w:rPr>
                <w:rStyle w:val="Hyperlink"/>
                <w:rFonts w:ascii="Times New Roman" w:hAnsi="Times New Roman" w:cs="Times New Roman"/>
                <w:noProof/>
                <w:sz w:val="24"/>
                <w:szCs w:val="24"/>
              </w:rPr>
              <w:t>Initiative 2: Local Food Banks and Nutrition Programs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_Toc212095973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8</w:t>
            </w:r>
            <w:r w:rsidRPr="00661A84">
              <w:rPr>
                <w:rFonts w:ascii="Times New Roman" w:hAnsi="Times New Roman" w:cs="Times New Roman"/>
                <w:noProof/>
                <w:webHidden/>
                <w:sz w:val="24"/>
                <w:szCs w:val="24"/>
              </w:rPr>
              <w:fldChar w:fldCharType="end"/>
            </w:r>
          </w:hyperlink>
        </w:p>
        <w:p w14:paraId="55DE249F" w14:textId="69BF5BD8" w:rsidR="00661A84" w:rsidRPr="00661A84" w:rsidRDefault="00661A84" w:rsidP="00661A84">
          <w:pPr>
            <w:pStyle w:val="TOC2"/>
            <w:tabs>
              <w:tab w:val="right" w:leader="dot" w:pos="9016"/>
            </w:tabs>
            <w:spacing w:line="360" w:lineRule="auto"/>
            <w:rPr>
              <w:rFonts w:ascii="Times New Roman" w:hAnsi="Times New Roman" w:cs="Times New Roman"/>
              <w:noProof/>
              <w:sz w:val="24"/>
              <w:szCs w:val="24"/>
            </w:rPr>
          </w:pPr>
          <w:hyperlink w:anchor="_Toc212095974" w:history="1">
            <w:r w:rsidRPr="00661A84">
              <w:rPr>
                <w:rStyle w:val="Hyperlink"/>
                <w:rFonts w:ascii="Times New Roman" w:hAnsi="Times New Roman" w:cs="Times New Roman"/>
                <w:noProof/>
                <w:sz w:val="24"/>
                <w:szCs w:val="24"/>
              </w:rPr>
              <w:t>Recommendations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_Toc212095974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8</w:t>
            </w:r>
            <w:r w:rsidRPr="00661A84">
              <w:rPr>
                <w:rFonts w:ascii="Times New Roman" w:hAnsi="Times New Roman" w:cs="Times New Roman"/>
                <w:noProof/>
                <w:webHidden/>
                <w:sz w:val="24"/>
                <w:szCs w:val="24"/>
              </w:rPr>
              <w:fldChar w:fldCharType="end"/>
            </w:r>
          </w:hyperlink>
        </w:p>
        <w:p w14:paraId="462FCB91" w14:textId="67488512"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75" w:history="1">
            <w:r w:rsidRPr="00661A84">
              <w:rPr>
                <w:rStyle w:val="Hyperlink"/>
                <w:rFonts w:ascii="Times New Roman" w:hAnsi="Times New Roman" w:cs="Times New Roman"/>
                <w:noProof/>
                <w:sz w:val="24"/>
                <w:szCs w:val="24"/>
              </w:rPr>
              <w:t>Conclusion</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_Toc212095975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8</w:t>
            </w:r>
            <w:r w:rsidRPr="00661A84">
              <w:rPr>
                <w:rFonts w:ascii="Times New Roman" w:hAnsi="Times New Roman" w:cs="Times New Roman"/>
                <w:noProof/>
                <w:webHidden/>
                <w:sz w:val="24"/>
                <w:szCs w:val="24"/>
              </w:rPr>
              <w:fldChar w:fldCharType="end"/>
            </w:r>
          </w:hyperlink>
        </w:p>
        <w:p w14:paraId="32A1516B" w14:textId="1EB880BC" w:rsidR="00661A84" w:rsidRPr="00661A84" w:rsidRDefault="00661A84" w:rsidP="00661A84">
          <w:pPr>
            <w:pStyle w:val="TOC1"/>
            <w:tabs>
              <w:tab w:val="right" w:leader="dot" w:pos="9016"/>
            </w:tabs>
            <w:spacing w:line="360" w:lineRule="auto"/>
            <w:rPr>
              <w:rFonts w:ascii="Times New Roman" w:hAnsi="Times New Roman" w:cs="Times New Roman"/>
              <w:noProof/>
              <w:sz w:val="24"/>
              <w:szCs w:val="24"/>
            </w:rPr>
          </w:pPr>
          <w:hyperlink w:anchor="_Toc212095976" w:history="1">
            <w:r w:rsidRPr="00661A84">
              <w:rPr>
                <w:rStyle w:val="Hyperlink"/>
                <w:rFonts w:ascii="Times New Roman" w:hAnsi="Times New Roman" w:cs="Times New Roman"/>
                <w:noProof/>
                <w:sz w:val="24"/>
                <w:szCs w:val="24"/>
              </w:rPr>
              <w:t>References</w:t>
            </w:r>
            <w:r w:rsidRPr="00661A84">
              <w:rPr>
                <w:rFonts w:ascii="Times New Roman" w:hAnsi="Times New Roman" w:cs="Times New Roman"/>
                <w:noProof/>
                <w:webHidden/>
                <w:sz w:val="24"/>
                <w:szCs w:val="24"/>
              </w:rPr>
              <w:tab/>
            </w:r>
            <w:r w:rsidRPr="00661A84">
              <w:rPr>
                <w:rFonts w:ascii="Times New Roman" w:hAnsi="Times New Roman" w:cs="Times New Roman"/>
                <w:noProof/>
                <w:webHidden/>
                <w:sz w:val="24"/>
                <w:szCs w:val="24"/>
              </w:rPr>
              <w:fldChar w:fldCharType="begin"/>
            </w:r>
            <w:r w:rsidRPr="00661A84">
              <w:rPr>
                <w:rFonts w:ascii="Times New Roman" w:hAnsi="Times New Roman" w:cs="Times New Roman"/>
                <w:noProof/>
                <w:webHidden/>
                <w:sz w:val="24"/>
                <w:szCs w:val="24"/>
              </w:rPr>
              <w:instrText xml:space="preserve"> PAGEREF _Toc212095976 \h </w:instrText>
            </w:r>
            <w:r w:rsidRPr="00661A84">
              <w:rPr>
                <w:rFonts w:ascii="Times New Roman" w:hAnsi="Times New Roman" w:cs="Times New Roman"/>
                <w:noProof/>
                <w:webHidden/>
                <w:sz w:val="24"/>
                <w:szCs w:val="24"/>
              </w:rPr>
            </w:r>
            <w:r w:rsidRPr="00661A84">
              <w:rPr>
                <w:rFonts w:ascii="Times New Roman" w:hAnsi="Times New Roman" w:cs="Times New Roman"/>
                <w:noProof/>
                <w:webHidden/>
                <w:sz w:val="24"/>
                <w:szCs w:val="24"/>
              </w:rPr>
              <w:fldChar w:fldCharType="separate"/>
            </w:r>
            <w:r w:rsidRPr="00661A84">
              <w:rPr>
                <w:rFonts w:ascii="Times New Roman" w:hAnsi="Times New Roman" w:cs="Times New Roman"/>
                <w:noProof/>
                <w:webHidden/>
                <w:sz w:val="24"/>
                <w:szCs w:val="24"/>
              </w:rPr>
              <w:t>10</w:t>
            </w:r>
            <w:r w:rsidRPr="00661A84">
              <w:rPr>
                <w:rFonts w:ascii="Times New Roman" w:hAnsi="Times New Roman" w:cs="Times New Roman"/>
                <w:noProof/>
                <w:webHidden/>
                <w:sz w:val="24"/>
                <w:szCs w:val="24"/>
              </w:rPr>
              <w:fldChar w:fldCharType="end"/>
            </w:r>
          </w:hyperlink>
        </w:p>
        <w:p w14:paraId="5979513F" w14:textId="272F7D4C" w:rsidR="00661A84" w:rsidRPr="00661A84" w:rsidRDefault="00661A84" w:rsidP="00661A84">
          <w:pPr>
            <w:spacing w:line="360" w:lineRule="auto"/>
            <w:rPr>
              <w:rFonts w:ascii="Times New Roman" w:hAnsi="Times New Roman" w:cs="Times New Roman"/>
              <w:sz w:val="24"/>
              <w:szCs w:val="24"/>
            </w:rPr>
          </w:pPr>
          <w:r w:rsidRPr="00661A84">
            <w:rPr>
              <w:rFonts w:ascii="Times New Roman" w:hAnsi="Times New Roman" w:cs="Times New Roman"/>
              <w:b/>
              <w:bCs/>
              <w:noProof/>
              <w:sz w:val="24"/>
              <w:szCs w:val="24"/>
            </w:rPr>
            <w:fldChar w:fldCharType="end"/>
          </w:r>
        </w:p>
      </w:sdtContent>
    </w:sdt>
    <w:p w14:paraId="33005B02" w14:textId="5B52A71C" w:rsidR="004505F1" w:rsidRPr="00661A84" w:rsidRDefault="004505F1" w:rsidP="00661A84">
      <w:pPr>
        <w:spacing w:line="360" w:lineRule="auto"/>
        <w:rPr>
          <w:rFonts w:ascii="Times New Roman" w:hAnsi="Times New Roman" w:cs="Times New Roman"/>
          <w:b/>
          <w:bCs/>
          <w:sz w:val="28"/>
          <w:szCs w:val="28"/>
        </w:rPr>
      </w:pPr>
      <w:r w:rsidRPr="00661A84">
        <w:rPr>
          <w:rFonts w:ascii="Times New Roman" w:hAnsi="Times New Roman" w:cs="Times New Roman"/>
          <w:b/>
          <w:bCs/>
          <w:sz w:val="28"/>
          <w:szCs w:val="28"/>
        </w:rPr>
        <w:br w:type="page"/>
      </w:r>
    </w:p>
    <w:p w14:paraId="45ECAA89" w14:textId="4BC80277" w:rsidR="0095557A" w:rsidRPr="0095557A" w:rsidRDefault="0095557A" w:rsidP="00D30DF3">
      <w:pPr>
        <w:pStyle w:val="Heading1"/>
      </w:pPr>
      <w:bookmarkStart w:id="0" w:name="_Toc212095958"/>
      <w:r w:rsidRPr="0095557A">
        <w:lastRenderedPageBreak/>
        <w:t>Introduction</w:t>
      </w:r>
      <w:bookmarkEnd w:id="0"/>
      <w:r w:rsidRPr="0095557A">
        <w:t xml:space="preserve"> </w:t>
      </w:r>
    </w:p>
    <w:p w14:paraId="5EC1E314" w14:textId="271BB212" w:rsidR="0095557A" w:rsidRPr="0095557A" w:rsidRDefault="0095557A" w:rsidP="00657EAF">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Health and wellbeing are important factors of social and economic growth and the Sustainable Development Goals (SDGs) of the United Nations has given a platform through which the goals can be realised in the world. This report is a critical analysis of the application of health and wellbeing policies, in this case, SDG 3 (Good Health and Wellbeing) and SDG 2 (Zero Hunger) into practise to enhance the quality of life of the citizens. It assesses the efficacy of both national and local programs where the theory and practice are connected with real life examples. Weaknesses of existing policies are also taken into consideration, and strategies are given on how to enhance their use and improve on the community health delivery.</w:t>
      </w:r>
    </w:p>
    <w:p w14:paraId="4F315E1E" w14:textId="5313725C" w:rsidR="0095557A" w:rsidRPr="0095557A" w:rsidRDefault="0095557A" w:rsidP="00D30DF3">
      <w:pPr>
        <w:pStyle w:val="Heading1"/>
      </w:pPr>
      <w:bookmarkStart w:id="1" w:name="_Toc212095959"/>
      <w:r w:rsidRPr="0095557A">
        <w:t>Sustainable Development Goal 3: Good Health and Wellbeing</w:t>
      </w:r>
      <w:bookmarkEnd w:id="1"/>
      <w:r w:rsidRPr="0095557A">
        <w:t xml:space="preserve"> </w:t>
      </w:r>
    </w:p>
    <w:p w14:paraId="5EDC9A0D" w14:textId="5DFF6B89" w:rsidR="00E74F8E" w:rsidRDefault="0095557A" w:rsidP="00D30DF3">
      <w:pPr>
        <w:pStyle w:val="Heading2"/>
      </w:pPr>
      <w:bookmarkStart w:id="2" w:name="_Toc212095960"/>
      <w:r w:rsidRPr="0095557A">
        <w:t>Overview</w:t>
      </w:r>
      <w:bookmarkEnd w:id="2"/>
    </w:p>
    <w:p w14:paraId="5EC12BB6" w14:textId="14B991FD" w:rsidR="0095557A" w:rsidRPr="00E74F8E" w:rsidRDefault="0095557A" w:rsidP="00E74F8E">
      <w:pPr>
        <w:spacing w:line="360" w:lineRule="auto"/>
        <w:jc w:val="both"/>
        <w:rPr>
          <w:rFonts w:ascii="Times New Roman" w:hAnsi="Times New Roman" w:cs="Times New Roman"/>
          <w:sz w:val="24"/>
          <w:szCs w:val="24"/>
        </w:rPr>
      </w:pPr>
      <w:r w:rsidRPr="00E74F8E">
        <w:rPr>
          <w:rFonts w:ascii="Times New Roman" w:hAnsi="Times New Roman" w:cs="Times New Roman"/>
          <w:sz w:val="24"/>
          <w:szCs w:val="24"/>
        </w:rPr>
        <w:t>The goal 3 (SDG 3) seeks to realise healthy lives and wellbeing across all ages. Its overall areas of interest are maternal and child mortality, the fight against communicable diseases such as HIV/AIDS and malaria, non-communicable diseases such as diabetes and cancer as well as mental health promotion</w:t>
      </w:r>
      <w:r w:rsidR="00E160B0">
        <w:rPr>
          <w:rFonts w:ascii="Times New Roman" w:hAnsi="Times New Roman" w:cs="Times New Roman"/>
          <w:sz w:val="24"/>
          <w:szCs w:val="24"/>
        </w:rPr>
        <w:t xml:space="preserve"> (</w:t>
      </w:r>
      <w:r w:rsidR="00E160B0" w:rsidRPr="00E160B0">
        <w:rPr>
          <w:rFonts w:ascii="Times New Roman" w:hAnsi="Times New Roman" w:cs="Times New Roman"/>
          <w:sz w:val="24"/>
          <w:szCs w:val="24"/>
        </w:rPr>
        <w:t>Katsuma, 2022</w:t>
      </w:r>
      <w:r w:rsidR="00E160B0">
        <w:rPr>
          <w:rFonts w:ascii="Times New Roman" w:hAnsi="Times New Roman" w:cs="Times New Roman"/>
          <w:sz w:val="24"/>
          <w:szCs w:val="24"/>
        </w:rPr>
        <w:t>)</w:t>
      </w:r>
      <w:r w:rsidRPr="00E74F8E">
        <w:rPr>
          <w:rFonts w:ascii="Times New Roman" w:hAnsi="Times New Roman" w:cs="Times New Roman"/>
          <w:sz w:val="24"/>
          <w:szCs w:val="24"/>
        </w:rPr>
        <w:t>. SDG 3 is also concerned with diverse issues related to the realisation of Universal Health Coverage (UHC) and equitable access to affordable essential medicines and vaccines. All of these targets are aimed at enhancing life expectancy, decreasing health inequalities, and resilient health systems that are resistant to existing and future health challenges.</w:t>
      </w:r>
    </w:p>
    <w:p w14:paraId="33B6CD32" w14:textId="3AFF656D" w:rsidR="0095557A" w:rsidRPr="004505F1" w:rsidRDefault="0095557A" w:rsidP="00D30DF3">
      <w:pPr>
        <w:pStyle w:val="Heading2"/>
      </w:pPr>
      <w:bookmarkStart w:id="3" w:name="_Toc212095961"/>
      <w:r w:rsidRPr="004505F1">
        <w:t>Implications to Health and Wellbeing</w:t>
      </w:r>
      <w:bookmarkEnd w:id="3"/>
    </w:p>
    <w:p w14:paraId="6969CE29" w14:textId="510327FC" w:rsidR="0095557A" w:rsidRPr="004505F1" w:rsidRDefault="0095557A" w:rsidP="00657EAF">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 xml:space="preserve">SDG 3 has a variety of effects on health. Maternity and child health programmes, including skilled birth attendance and prenatal care, have a great impact on the mortality rates and family wellbeing. National and global vaccination </w:t>
      </w:r>
      <w:r w:rsidR="00E160B0">
        <w:rPr>
          <w:rFonts w:ascii="Times New Roman" w:hAnsi="Times New Roman" w:cs="Times New Roman"/>
          <w:sz w:val="24"/>
          <w:szCs w:val="24"/>
        </w:rPr>
        <w:t>p</w:t>
      </w:r>
      <w:r w:rsidRPr="004505F1">
        <w:rPr>
          <w:rFonts w:ascii="Times New Roman" w:hAnsi="Times New Roman" w:cs="Times New Roman"/>
          <w:sz w:val="24"/>
          <w:szCs w:val="24"/>
        </w:rPr>
        <w:t xml:space="preserve">rogrammes prevent epidemics of infectious diseases, guarding susceptible groups against diseases and decongesting the health care system. </w:t>
      </w:r>
      <w:r w:rsidR="00E160B0" w:rsidRPr="00E160B0">
        <w:rPr>
          <w:rFonts w:ascii="Times New Roman" w:hAnsi="Times New Roman" w:cs="Times New Roman"/>
          <w:sz w:val="24"/>
          <w:szCs w:val="24"/>
        </w:rPr>
        <w:t>Goodwin,</w:t>
      </w:r>
      <w:r w:rsidR="00E160B0">
        <w:rPr>
          <w:rFonts w:ascii="Times New Roman" w:hAnsi="Times New Roman" w:cs="Times New Roman"/>
          <w:sz w:val="24"/>
          <w:szCs w:val="24"/>
        </w:rPr>
        <w:t xml:space="preserve"> </w:t>
      </w:r>
      <w:r w:rsidR="00E160B0" w:rsidRPr="00E160B0">
        <w:rPr>
          <w:rFonts w:ascii="Times New Roman" w:hAnsi="Times New Roman" w:cs="Times New Roman"/>
          <w:sz w:val="24"/>
          <w:szCs w:val="24"/>
        </w:rPr>
        <w:t>and Zaman,</w:t>
      </w:r>
      <w:r w:rsidR="00E160B0">
        <w:rPr>
          <w:rFonts w:ascii="Times New Roman" w:hAnsi="Times New Roman" w:cs="Times New Roman"/>
          <w:sz w:val="24"/>
          <w:szCs w:val="24"/>
        </w:rPr>
        <w:t xml:space="preserve"> (</w:t>
      </w:r>
      <w:r w:rsidR="00E160B0" w:rsidRPr="00E160B0">
        <w:rPr>
          <w:rFonts w:ascii="Times New Roman" w:hAnsi="Times New Roman" w:cs="Times New Roman"/>
          <w:sz w:val="24"/>
          <w:szCs w:val="24"/>
        </w:rPr>
        <w:t>2023</w:t>
      </w:r>
      <w:r w:rsidR="00E160B0">
        <w:rPr>
          <w:rFonts w:ascii="Times New Roman" w:hAnsi="Times New Roman" w:cs="Times New Roman"/>
          <w:sz w:val="24"/>
          <w:szCs w:val="24"/>
        </w:rPr>
        <w:t>) state that m</w:t>
      </w:r>
      <w:r w:rsidRPr="004505F1">
        <w:rPr>
          <w:rFonts w:ascii="Times New Roman" w:hAnsi="Times New Roman" w:cs="Times New Roman"/>
          <w:sz w:val="24"/>
          <w:szCs w:val="24"/>
        </w:rPr>
        <w:t>anagement efforts of non-communicable diseases encourage early diagnosis, compliance with treatment, weight loss, cardiovascular disease, and cancer.</w:t>
      </w:r>
      <w:r w:rsidR="00657EAF">
        <w:rPr>
          <w:rFonts w:ascii="Times New Roman" w:hAnsi="Times New Roman" w:cs="Times New Roman"/>
          <w:sz w:val="24"/>
          <w:szCs w:val="24"/>
        </w:rPr>
        <w:t xml:space="preserve"> </w:t>
      </w:r>
      <w:r w:rsidRPr="004505F1">
        <w:rPr>
          <w:rFonts w:ascii="Times New Roman" w:hAnsi="Times New Roman" w:cs="Times New Roman"/>
          <w:sz w:val="24"/>
          <w:szCs w:val="24"/>
        </w:rPr>
        <w:t xml:space="preserve">Mental health is getting accepted as part of SDG 3. </w:t>
      </w:r>
      <w:r w:rsidR="00683B5D">
        <w:rPr>
          <w:rFonts w:ascii="Times New Roman" w:hAnsi="Times New Roman" w:cs="Times New Roman"/>
          <w:sz w:val="24"/>
          <w:szCs w:val="24"/>
        </w:rPr>
        <w:t xml:space="preserve">However, </w:t>
      </w:r>
      <w:r w:rsidR="00683B5D" w:rsidRPr="00683B5D">
        <w:rPr>
          <w:rFonts w:ascii="Times New Roman" w:hAnsi="Times New Roman" w:cs="Times New Roman"/>
          <w:sz w:val="24"/>
          <w:szCs w:val="24"/>
        </w:rPr>
        <w:t>Breedvelt,</w:t>
      </w:r>
      <w:r w:rsidR="00683B5D">
        <w:rPr>
          <w:rFonts w:ascii="Times New Roman" w:hAnsi="Times New Roman" w:cs="Times New Roman"/>
          <w:sz w:val="24"/>
          <w:szCs w:val="24"/>
        </w:rPr>
        <w:t xml:space="preserve"> et al. (2022) say that t</w:t>
      </w:r>
      <w:r w:rsidRPr="004505F1">
        <w:rPr>
          <w:rFonts w:ascii="Times New Roman" w:hAnsi="Times New Roman" w:cs="Times New Roman"/>
          <w:sz w:val="24"/>
          <w:szCs w:val="24"/>
        </w:rPr>
        <w:t>he stress, anxiety, and depression prevention programmes in the area of public health contribute to the enhancement of social cohesion and productivity and harm stigma. Programmes like local mental health</w:t>
      </w:r>
      <w:r w:rsidR="00657EAF">
        <w:rPr>
          <w:rFonts w:ascii="Times New Roman" w:hAnsi="Times New Roman" w:cs="Times New Roman"/>
          <w:sz w:val="24"/>
          <w:szCs w:val="24"/>
        </w:rPr>
        <w:t xml:space="preserve"> </w:t>
      </w:r>
      <w:r w:rsidRPr="004505F1">
        <w:rPr>
          <w:rFonts w:ascii="Times New Roman" w:hAnsi="Times New Roman" w:cs="Times New Roman"/>
          <w:sz w:val="24"/>
          <w:szCs w:val="24"/>
        </w:rPr>
        <w:t>support groups and national awareness campaigns are some of the initiatives that increase access to services and incorporate mental health within primary care.</w:t>
      </w:r>
      <w:r w:rsidR="00657EAF">
        <w:rPr>
          <w:rFonts w:ascii="Times New Roman" w:hAnsi="Times New Roman" w:cs="Times New Roman"/>
          <w:sz w:val="24"/>
          <w:szCs w:val="24"/>
        </w:rPr>
        <w:t xml:space="preserve"> </w:t>
      </w:r>
      <w:r w:rsidR="00683B5D">
        <w:rPr>
          <w:rFonts w:ascii="Times New Roman" w:hAnsi="Times New Roman" w:cs="Times New Roman"/>
          <w:sz w:val="24"/>
          <w:szCs w:val="24"/>
        </w:rPr>
        <w:t xml:space="preserve">According to, </w:t>
      </w:r>
      <w:r w:rsidR="00683B5D" w:rsidRPr="00683B5D">
        <w:rPr>
          <w:rFonts w:ascii="Times New Roman" w:hAnsi="Times New Roman" w:cs="Times New Roman"/>
          <w:sz w:val="24"/>
          <w:szCs w:val="24"/>
        </w:rPr>
        <w:t xml:space="preserve">World Health Organization, </w:t>
      </w:r>
      <w:r w:rsidR="00683B5D">
        <w:rPr>
          <w:rFonts w:ascii="Times New Roman" w:hAnsi="Times New Roman" w:cs="Times New Roman"/>
          <w:sz w:val="24"/>
          <w:szCs w:val="24"/>
        </w:rPr>
        <w:t>(</w:t>
      </w:r>
      <w:r w:rsidR="00683B5D" w:rsidRPr="00683B5D">
        <w:rPr>
          <w:rFonts w:ascii="Times New Roman" w:hAnsi="Times New Roman" w:cs="Times New Roman"/>
          <w:sz w:val="24"/>
          <w:szCs w:val="24"/>
        </w:rPr>
        <w:t>2021</w:t>
      </w:r>
      <w:r w:rsidR="00683B5D">
        <w:rPr>
          <w:rFonts w:ascii="Times New Roman" w:hAnsi="Times New Roman" w:cs="Times New Roman"/>
          <w:sz w:val="24"/>
          <w:szCs w:val="24"/>
        </w:rPr>
        <w:t>) t</w:t>
      </w:r>
      <w:r w:rsidRPr="004505F1">
        <w:rPr>
          <w:rFonts w:ascii="Times New Roman" w:hAnsi="Times New Roman" w:cs="Times New Roman"/>
          <w:sz w:val="24"/>
          <w:szCs w:val="24"/>
        </w:rPr>
        <w:t xml:space="preserve">he citizens can make informed </w:t>
      </w:r>
      <w:r w:rsidRPr="004505F1">
        <w:rPr>
          <w:rFonts w:ascii="Times New Roman" w:hAnsi="Times New Roman" w:cs="Times New Roman"/>
          <w:sz w:val="24"/>
          <w:szCs w:val="24"/>
        </w:rPr>
        <w:lastRenderedPageBreak/>
        <w:t>decisions through health promotion and disease prevention campaigns, one of these being nutrition, exercise and substance misuse campaigns. Other measures of environmental health like availability of clean water, sanitation and safe working conditions also assist in disease prevention and longevity. Universal Health Coverage helps in bringing equity and social justice to the people, as every citizen can receive necessary healthcare services.</w:t>
      </w:r>
    </w:p>
    <w:p w14:paraId="491B3D21" w14:textId="27E08065" w:rsidR="0095557A" w:rsidRPr="0095557A" w:rsidRDefault="0095557A" w:rsidP="00657EAF">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There are real life applications that demonstrate the SDG 3 influence. The NHS of the UK conducts vaccination and mental health awareness campaigns and healthy lifestyle programmes to enhance the health of the population. WHO-led initiatives fight epidemics and deliver much needed medicines in low-income countries internationally. The attainment of SDG 3 promotes productivity, lowers healthcare expenditure, and promotes social stability, which proves how multidimensional health is in relation to other sustainable development goals such as poverty reduction and gender equality</w:t>
      </w:r>
      <w:r w:rsidR="00683B5D">
        <w:rPr>
          <w:rFonts w:ascii="Times New Roman" w:hAnsi="Times New Roman" w:cs="Times New Roman"/>
          <w:sz w:val="24"/>
          <w:szCs w:val="24"/>
        </w:rPr>
        <w:t xml:space="preserve"> (</w:t>
      </w:r>
      <w:r w:rsidR="00683B5D" w:rsidRPr="00683B5D">
        <w:rPr>
          <w:rFonts w:ascii="Times New Roman" w:hAnsi="Times New Roman" w:cs="Times New Roman"/>
          <w:sz w:val="24"/>
          <w:szCs w:val="24"/>
        </w:rPr>
        <w:t>Rudiger, 2023</w:t>
      </w:r>
      <w:r w:rsidR="00683B5D">
        <w:rPr>
          <w:rFonts w:ascii="Times New Roman" w:hAnsi="Times New Roman" w:cs="Times New Roman"/>
          <w:sz w:val="24"/>
          <w:szCs w:val="24"/>
        </w:rPr>
        <w:t>)</w:t>
      </w:r>
      <w:r w:rsidRPr="004505F1">
        <w:rPr>
          <w:rFonts w:ascii="Times New Roman" w:hAnsi="Times New Roman" w:cs="Times New Roman"/>
          <w:sz w:val="24"/>
          <w:szCs w:val="24"/>
        </w:rPr>
        <w:t>.</w:t>
      </w:r>
      <w:r w:rsidR="00657EAF">
        <w:rPr>
          <w:rFonts w:ascii="Times New Roman" w:hAnsi="Times New Roman" w:cs="Times New Roman"/>
          <w:sz w:val="24"/>
          <w:szCs w:val="24"/>
        </w:rPr>
        <w:t xml:space="preserve"> </w:t>
      </w:r>
      <w:r w:rsidRPr="004505F1">
        <w:rPr>
          <w:rFonts w:ascii="Times New Roman" w:hAnsi="Times New Roman" w:cs="Times New Roman"/>
          <w:sz w:val="24"/>
          <w:szCs w:val="24"/>
        </w:rPr>
        <w:t>By these successes, there are still some problems that include inequality in accessing the said services, insufficient funding of the health system, and the presence of social determinants of health that sustain these inequalities. To deal with such, it is needed to address such with evidence-based policy, citizen participation, and investing in digital technologies in the health sector, including telemedicine and AI-driven diagnostics, to increase reach and efficiency.</w:t>
      </w:r>
    </w:p>
    <w:p w14:paraId="3504E58B" w14:textId="2C17192D" w:rsidR="0095557A" w:rsidRPr="0095557A" w:rsidRDefault="0095557A" w:rsidP="00D30DF3">
      <w:pPr>
        <w:pStyle w:val="Heading1"/>
      </w:pPr>
      <w:bookmarkStart w:id="4" w:name="_Toc212095962"/>
      <w:r w:rsidRPr="0095557A">
        <w:t>Sustainable Development Goal 2: Zero Hunger</w:t>
      </w:r>
      <w:bookmarkEnd w:id="4"/>
      <w:r w:rsidRPr="0095557A">
        <w:t xml:space="preserve"> </w:t>
      </w:r>
    </w:p>
    <w:p w14:paraId="12691561" w14:textId="577681E9" w:rsidR="0095557A" w:rsidRPr="004505F1" w:rsidRDefault="0095557A" w:rsidP="004505F1">
      <w:pPr>
        <w:spacing w:line="360" w:lineRule="auto"/>
        <w:jc w:val="both"/>
        <w:rPr>
          <w:rFonts w:ascii="Times New Roman" w:hAnsi="Times New Roman" w:cs="Times New Roman"/>
          <w:sz w:val="24"/>
          <w:szCs w:val="24"/>
        </w:rPr>
      </w:pPr>
      <w:bookmarkStart w:id="5" w:name="_Toc212095963"/>
      <w:r w:rsidRPr="00D30DF3">
        <w:rPr>
          <w:rStyle w:val="Heading2Char"/>
        </w:rPr>
        <w:t>Overview</w:t>
      </w:r>
      <w:bookmarkEnd w:id="5"/>
      <w:r w:rsidRPr="0095557A">
        <w:rPr>
          <w:rFonts w:ascii="Times New Roman" w:hAnsi="Times New Roman" w:cs="Times New Roman"/>
          <w:b/>
          <w:bCs/>
          <w:sz w:val="24"/>
          <w:szCs w:val="24"/>
        </w:rPr>
        <w:br/>
      </w:r>
      <w:r w:rsidRPr="004505F1">
        <w:rPr>
          <w:rFonts w:ascii="Times New Roman" w:hAnsi="Times New Roman" w:cs="Times New Roman"/>
          <w:sz w:val="24"/>
          <w:szCs w:val="24"/>
        </w:rPr>
        <w:t>The SDG 2 (Sustainable Development Goal 2) is set to eliminate hunger, realise food security and nutrition, and support sustainable agriculture until 2030</w:t>
      </w:r>
      <w:r w:rsidR="00683B5D">
        <w:rPr>
          <w:rFonts w:ascii="Times New Roman" w:hAnsi="Times New Roman" w:cs="Times New Roman"/>
          <w:sz w:val="24"/>
          <w:szCs w:val="24"/>
        </w:rPr>
        <w:t xml:space="preserve"> (</w:t>
      </w:r>
      <w:r w:rsidR="00683B5D" w:rsidRPr="00683B5D">
        <w:rPr>
          <w:rFonts w:ascii="Times New Roman" w:hAnsi="Times New Roman" w:cs="Times New Roman"/>
          <w:sz w:val="24"/>
          <w:szCs w:val="24"/>
        </w:rPr>
        <w:t>Gonzalez, 2022</w:t>
      </w:r>
      <w:r w:rsidR="00683B5D">
        <w:rPr>
          <w:rFonts w:ascii="Times New Roman" w:hAnsi="Times New Roman" w:cs="Times New Roman"/>
          <w:sz w:val="24"/>
          <w:szCs w:val="24"/>
        </w:rPr>
        <w:t>)</w:t>
      </w:r>
      <w:r w:rsidRPr="004505F1">
        <w:rPr>
          <w:rFonts w:ascii="Times New Roman" w:hAnsi="Times New Roman" w:cs="Times New Roman"/>
          <w:sz w:val="24"/>
          <w:szCs w:val="24"/>
        </w:rPr>
        <w:t xml:space="preserve">. This objective tackles the malnutrition, undernourishment, food insecurity, and unsustainable farming patterns in the world, which pose a threat to the health of people </w:t>
      </w:r>
      <w:r w:rsidR="00683B5D">
        <w:rPr>
          <w:rFonts w:ascii="Times New Roman" w:hAnsi="Times New Roman" w:cs="Times New Roman"/>
          <w:sz w:val="24"/>
          <w:szCs w:val="24"/>
        </w:rPr>
        <w:t>and</w:t>
      </w:r>
      <w:r w:rsidRPr="004505F1">
        <w:rPr>
          <w:rFonts w:ascii="Times New Roman" w:hAnsi="Times New Roman" w:cs="Times New Roman"/>
          <w:sz w:val="24"/>
          <w:szCs w:val="24"/>
        </w:rPr>
        <w:t xml:space="preserve"> to environmental sustainability. </w:t>
      </w:r>
      <w:r w:rsidR="00683B5D" w:rsidRPr="00683B5D">
        <w:rPr>
          <w:rFonts w:ascii="Times New Roman" w:hAnsi="Times New Roman" w:cs="Times New Roman"/>
          <w:sz w:val="24"/>
          <w:szCs w:val="24"/>
        </w:rPr>
        <w:t xml:space="preserve">Sengupta, </w:t>
      </w:r>
      <w:r w:rsidR="00683B5D">
        <w:rPr>
          <w:rFonts w:ascii="Times New Roman" w:hAnsi="Times New Roman" w:cs="Times New Roman"/>
          <w:sz w:val="24"/>
          <w:szCs w:val="24"/>
        </w:rPr>
        <w:t>et al. (</w:t>
      </w:r>
      <w:r w:rsidR="00683B5D" w:rsidRPr="00683B5D">
        <w:rPr>
          <w:rFonts w:ascii="Times New Roman" w:hAnsi="Times New Roman" w:cs="Times New Roman"/>
          <w:sz w:val="24"/>
          <w:szCs w:val="24"/>
        </w:rPr>
        <w:t>2024</w:t>
      </w:r>
      <w:r w:rsidR="00683B5D">
        <w:rPr>
          <w:rFonts w:ascii="Times New Roman" w:hAnsi="Times New Roman" w:cs="Times New Roman"/>
          <w:sz w:val="24"/>
          <w:szCs w:val="24"/>
        </w:rPr>
        <w:t>) state that t</w:t>
      </w:r>
      <w:r w:rsidRPr="004505F1">
        <w:rPr>
          <w:rFonts w:ascii="Times New Roman" w:hAnsi="Times New Roman" w:cs="Times New Roman"/>
          <w:sz w:val="24"/>
          <w:szCs w:val="24"/>
        </w:rPr>
        <w:t>he major roadmap involves: providing off-the-book food, food security should be available to every person; multiplying agricultural output; cutting food loss and waste; enhancing the small-scale farmers; and foster sustainable food production systems. The realisation of SDG 2 plays a crucial role in the development of societies and economies, as well as in physical well-being, because it enhances the resilience of the community and inequality.</w:t>
      </w:r>
    </w:p>
    <w:p w14:paraId="6465E0C9" w14:textId="47FFD8E9" w:rsidR="0095557A" w:rsidRPr="004505F1" w:rsidRDefault="0095557A" w:rsidP="00D30DF3">
      <w:pPr>
        <w:pStyle w:val="Heading2"/>
      </w:pPr>
      <w:bookmarkStart w:id="6" w:name="_Toc212095964"/>
      <w:r w:rsidRPr="004505F1">
        <w:t>Health and Wellbeing Effect</w:t>
      </w:r>
      <w:bookmarkEnd w:id="6"/>
    </w:p>
    <w:p w14:paraId="20724D4E" w14:textId="77777777" w:rsidR="00D30DF3" w:rsidRDefault="0095557A" w:rsidP="005F040C">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 xml:space="preserve">Health and wellbeing are based on nutrition. </w:t>
      </w:r>
      <w:r w:rsidR="00683B5D" w:rsidRPr="00683B5D">
        <w:rPr>
          <w:rFonts w:ascii="Times New Roman" w:hAnsi="Times New Roman" w:cs="Times New Roman"/>
          <w:sz w:val="24"/>
          <w:szCs w:val="24"/>
        </w:rPr>
        <w:t>Muriithi Wanjiku</w:t>
      </w:r>
      <w:r w:rsidR="00683B5D" w:rsidRPr="004505F1">
        <w:rPr>
          <w:rFonts w:ascii="Times New Roman" w:hAnsi="Times New Roman" w:cs="Times New Roman"/>
          <w:sz w:val="24"/>
          <w:szCs w:val="24"/>
        </w:rPr>
        <w:t xml:space="preserve"> </w:t>
      </w:r>
      <w:r w:rsidR="00683B5D">
        <w:rPr>
          <w:rFonts w:ascii="Times New Roman" w:hAnsi="Times New Roman" w:cs="Times New Roman"/>
          <w:sz w:val="24"/>
          <w:szCs w:val="24"/>
        </w:rPr>
        <w:t>(n.d.) state that t</w:t>
      </w:r>
      <w:r w:rsidRPr="004505F1">
        <w:rPr>
          <w:rFonts w:ascii="Times New Roman" w:hAnsi="Times New Roman" w:cs="Times New Roman"/>
          <w:sz w:val="24"/>
          <w:szCs w:val="24"/>
        </w:rPr>
        <w:t xml:space="preserve">he sufficient access to healthy food promotes physical, cognitive, and immunity development </w:t>
      </w:r>
      <w:r w:rsidRPr="004505F1">
        <w:rPr>
          <w:rFonts w:ascii="Times New Roman" w:hAnsi="Times New Roman" w:cs="Times New Roman"/>
          <w:sz w:val="24"/>
          <w:szCs w:val="24"/>
        </w:rPr>
        <w:lastRenderedPageBreak/>
        <w:t xml:space="preserve">throughout life. </w:t>
      </w:r>
      <w:r w:rsidR="00683B5D" w:rsidRPr="00683B5D">
        <w:rPr>
          <w:rFonts w:ascii="Times New Roman" w:hAnsi="Times New Roman" w:cs="Times New Roman"/>
          <w:sz w:val="24"/>
          <w:szCs w:val="24"/>
        </w:rPr>
        <w:t xml:space="preserve">Ximenes, </w:t>
      </w:r>
      <w:r w:rsidR="00683B5D">
        <w:rPr>
          <w:rFonts w:ascii="Times New Roman" w:hAnsi="Times New Roman" w:cs="Times New Roman"/>
          <w:sz w:val="24"/>
          <w:szCs w:val="24"/>
        </w:rPr>
        <w:t>(</w:t>
      </w:r>
      <w:r w:rsidR="00683B5D" w:rsidRPr="00683B5D">
        <w:rPr>
          <w:rFonts w:ascii="Times New Roman" w:hAnsi="Times New Roman" w:cs="Times New Roman"/>
          <w:sz w:val="24"/>
          <w:szCs w:val="24"/>
        </w:rPr>
        <w:t>2025</w:t>
      </w:r>
      <w:r w:rsidR="00683B5D">
        <w:rPr>
          <w:rFonts w:ascii="Times New Roman" w:hAnsi="Times New Roman" w:cs="Times New Roman"/>
          <w:sz w:val="24"/>
          <w:szCs w:val="24"/>
        </w:rPr>
        <w:t>) emphasize that i</w:t>
      </w:r>
      <w:r w:rsidRPr="004505F1">
        <w:rPr>
          <w:rFonts w:ascii="Times New Roman" w:hAnsi="Times New Roman" w:cs="Times New Roman"/>
          <w:sz w:val="24"/>
          <w:szCs w:val="24"/>
        </w:rPr>
        <w:t>n children, food security lowers wasting, developmental delays and stunting, enhancing the educational achievements and productivity in the long-term. Proper nutrition in adults boosts energy, immunity power and minimises the predisposition to long-term illnesses like obesity, diabetes, heart diseases, and others. Malnutrition be it undernutrition or overnutrition is a contributing factor in escalating morbidity and mortality; thus, interventions to ensure food availability and quality are important.</w:t>
      </w:r>
      <w:r w:rsidR="005F040C">
        <w:rPr>
          <w:rFonts w:ascii="Times New Roman" w:hAnsi="Times New Roman" w:cs="Times New Roman"/>
          <w:sz w:val="24"/>
          <w:szCs w:val="24"/>
        </w:rPr>
        <w:t xml:space="preserve"> </w:t>
      </w:r>
      <w:r w:rsidRPr="004505F1">
        <w:rPr>
          <w:rFonts w:ascii="Times New Roman" w:hAnsi="Times New Roman" w:cs="Times New Roman"/>
          <w:sz w:val="24"/>
          <w:szCs w:val="24"/>
        </w:rPr>
        <w:t xml:space="preserve">SDG 2 has a number of real-life cases. </w:t>
      </w:r>
      <w:r w:rsidR="00683B5D" w:rsidRPr="00683B5D">
        <w:rPr>
          <w:rFonts w:ascii="Times New Roman" w:hAnsi="Times New Roman" w:cs="Times New Roman"/>
          <w:sz w:val="24"/>
          <w:szCs w:val="24"/>
        </w:rPr>
        <w:t xml:space="preserve">Ximenes, </w:t>
      </w:r>
      <w:r w:rsidR="00683B5D">
        <w:rPr>
          <w:rFonts w:ascii="Times New Roman" w:hAnsi="Times New Roman" w:cs="Times New Roman"/>
          <w:sz w:val="24"/>
          <w:szCs w:val="24"/>
        </w:rPr>
        <w:t>(</w:t>
      </w:r>
      <w:r w:rsidR="00683B5D" w:rsidRPr="00683B5D">
        <w:rPr>
          <w:rFonts w:ascii="Times New Roman" w:hAnsi="Times New Roman" w:cs="Times New Roman"/>
          <w:sz w:val="24"/>
          <w:szCs w:val="24"/>
        </w:rPr>
        <w:t>2025</w:t>
      </w:r>
      <w:r w:rsidR="00683B5D">
        <w:rPr>
          <w:rFonts w:ascii="Times New Roman" w:hAnsi="Times New Roman" w:cs="Times New Roman"/>
          <w:sz w:val="24"/>
          <w:szCs w:val="24"/>
        </w:rPr>
        <w:t>) state that t</w:t>
      </w:r>
      <w:r w:rsidRPr="004505F1">
        <w:rPr>
          <w:rFonts w:ascii="Times New Roman" w:hAnsi="Times New Roman" w:cs="Times New Roman"/>
          <w:sz w:val="24"/>
          <w:szCs w:val="24"/>
        </w:rPr>
        <w:t xml:space="preserve">he Healthy start programme in the United Kingdom entails the vouchering of healthy food and vitamins to pregnant mothers and children under the age of two. This programme enhances maternal and child nutrition, lessens chances of anaemia, and fosters wellbeing of a young child developing early. </w:t>
      </w:r>
    </w:p>
    <w:p w14:paraId="5DADAE68" w14:textId="45992D79" w:rsidR="0095557A" w:rsidRPr="004505F1" w:rsidRDefault="0095557A" w:rsidP="005F040C">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 xml:space="preserve">The community-based interventions, including local food banks and nutrition programmes, can decrease food insecurity and grant the vulnerable populations access to healthy food. </w:t>
      </w:r>
      <w:r w:rsidR="005F040C" w:rsidRPr="005F040C">
        <w:rPr>
          <w:rFonts w:ascii="Times New Roman" w:hAnsi="Times New Roman" w:cs="Times New Roman"/>
          <w:sz w:val="24"/>
          <w:szCs w:val="24"/>
        </w:rPr>
        <w:t>Siiger,</w:t>
      </w:r>
      <w:r w:rsidR="005F040C">
        <w:rPr>
          <w:rFonts w:ascii="Times New Roman" w:hAnsi="Times New Roman" w:cs="Times New Roman"/>
          <w:sz w:val="24"/>
          <w:szCs w:val="24"/>
        </w:rPr>
        <w:t xml:space="preserve"> (</w:t>
      </w:r>
      <w:r w:rsidR="005F040C" w:rsidRPr="005F040C">
        <w:rPr>
          <w:rFonts w:ascii="Times New Roman" w:hAnsi="Times New Roman" w:cs="Times New Roman"/>
          <w:sz w:val="24"/>
          <w:szCs w:val="24"/>
        </w:rPr>
        <w:t>2023</w:t>
      </w:r>
      <w:r w:rsidR="005F040C">
        <w:rPr>
          <w:rFonts w:ascii="Times New Roman" w:hAnsi="Times New Roman" w:cs="Times New Roman"/>
          <w:sz w:val="24"/>
          <w:szCs w:val="24"/>
        </w:rPr>
        <w:t>) state that t</w:t>
      </w:r>
      <w:r w:rsidRPr="004505F1">
        <w:rPr>
          <w:rFonts w:ascii="Times New Roman" w:hAnsi="Times New Roman" w:cs="Times New Roman"/>
          <w:sz w:val="24"/>
          <w:szCs w:val="24"/>
        </w:rPr>
        <w:t xml:space="preserve">he United Nations World Food Programme (WFP) of the world is concerned with hunger in low income and </w:t>
      </w:r>
      <w:r w:rsidR="004505F1" w:rsidRPr="004505F1">
        <w:rPr>
          <w:rFonts w:ascii="Times New Roman" w:hAnsi="Times New Roman" w:cs="Times New Roman"/>
          <w:sz w:val="24"/>
          <w:szCs w:val="24"/>
        </w:rPr>
        <w:t>crisis-stricken</w:t>
      </w:r>
      <w:r w:rsidRPr="004505F1">
        <w:rPr>
          <w:rFonts w:ascii="Times New Roman" w:hAnsi="Times New Roman" w:cs="Times New Roman"/>
          <w:sz w:val="24"/>
          <w:szCs w:val="24"/>
        </w:rPr>
        <w:t xml:space="preserve"> areas and can either provide emergency food, or provide long-term nutrition education programmes to help residents adopt sustainable diets.</w:t>
      </w:r>
      <w:r w:rsidR="005F040C">
        <w:rPr>
          <w:rFonts w:ascii="Times New Roman" w:hAnsi="Times New Roman" w:cs="Times New Roman"/>
          <w:sz w:val="24"/>
          <w:szCs w:val="24"/>
        </w:rPr>
        <w:t xml:space="preserve"> </w:t>
      </w:r>
      <w:r w:rsidR="005F040C" w:rsidRPr="005F040C">
        <w:rPr>
          <w:rFonts w:ascii="Times New Roman" w:hAnsi="Times New Roman" w:cs="Times New Roman"/>
          <w:sz w:val="24"/>
          <w:szCs w:val="24"/>
        </w:rPr>
        <w:t xml:space="preserve">Hurduzeu, </w:t>
      </w:r>
      <w:r w:rsidR="005F040C">
        <w:rPr>
          <w:rFonts w:ascii="Times New Roman" w:hAnsi="Times New Roman" w:cs="Times New Roman"/>
          <w:sz w:val="24"/>
          <w:szCs w:val="24"/>
        </w:rPr>
        <w:t>et al. (2022) say that the s</w:t>
      </w:r>
      <w:r w:rsidRPr="004505F1">
        <w:rPr>
          <w:rFonts w:ascii="Times New Roman" w:hAnsi="Times New Roman" w:cs="Times New Roman"/>
          <w:sz w:val="24"/>
          <w:szCs w:val="24"/>
        </w:rPr>
        <w:t xml:space="preserve">ustainable agriculture, which is associated with SDG 2, has indirect health and wellbeing benefit. Reduced pesticide application, soil conservation, and crop diversification, </w:t>
      </w:r>
      <w:r w:rsidR="005F040C">
        <w:rPr>
          <w:rFonts w:ascii="Times New Roman" w:hAnsi="Times New Roman" w:cs="Times New Roman"/>
          <w:sz w:val="24"/>
          <w:szCs w:val="24"/>
        </w:rPr>
        <w:t xml:space="preserve">and </w:t>
      </w:r>
      <w:r w:rsidRPr="004505F1">
        <w:rPr>
          <w:rFonts w:ascii="Times New Roman" w:hAnsi="Times New Roman" w:cs="Times New Roman"/>
          <w:sz w:val="24"/>
          <w:szCs w:val="24"/>
        </w:rPr>
        <w:t>the formation of local food systems are some of the practises that aid environmental health, lead to a decrease in exposure to toxic chemicals, and improve food quality. Community gardens and urban farming projects are other local projects that promote social unity, equitable access to fresh foods and enable the community to engage in food production.</w:t>
      </w:r>
    </w:p>
    <w:p w14:paraId="1F810232" w14:textId="5CA87EA6" w:rsidR="00DC7BF3" w:rsidRPr="00DC7BF3" w:rsidRDefault="0095557A" w:rsidP="00657EAF">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Although these are good results, SDG 2 has shortcomings</w:t>
      </w:r>
      <w:r w:rsidR="005F040C">
        <w:rPr>
          <w:rFonts w:ascii="Times New Roman" w:hAnsi="Times New Roman" w:cs="Times New Roman"/>
          <w:sz w:val="24"/>
          <w:szCs w:val="24"/>
        </w:rPr>
        <w:t xml:space="preserve"> which include the u</w:t>
      </w:r>
      <w:r w:rsidRPr="004505F1">
        <w:rPr>
          <w:rFonts w:ascii="Times New Roman" w:hAnsi="Times New Roman" w:cs="Times New Roman"/>
          <w:sz w:val="24"/>
          <w:szCs w:val="24"/>
        </w:rPr>
        <w:t>nequal food allocation, culture challenges to change in dietary, climate variations, and financial limitations to long-term sustainability are big challenges</w:t>
      </w:r>
      <w:r w:rsidR="005F040C">
        <w:rPr>
          <w:rFonts w:ascii="Times New Roman" w:hAnsi="Times New Roman" w:cs="Times New Roman"/>
          <w:sz w:val="24"/>
          <w:szCs w:val="24"/>
        </w:rPr>
        <w:t xml:space="preserve"> (</w:t>
      </w:r>
      <w:r w:rsidR="005F040C" w:rsidRPr="005F040C">
        <w:rPr>
          <w:rFonts w:ascii="Times New Roman" w:hAnsi="Times New Roman" w:cs="Times New Roman"/>
          <w:sz w:val="24"/>
          <w:szCs w:val="24"/>
        </w:rPr>
        <w:t xml:space="preserve">Lile, </w:t>
      </w:r>
      <w:r w:rsidR="005F040C">
        <w:rPr>
          <w:rFonts w:ascii="Times New Roman" w:hAnsi="Times New Roman" w:cs="Times New Roman"/>
          <w:sz w:val="24"/>
          <w:szCs w:val="24"/>
        </w:rPr>
        <w:t xml:space="preserve">et al., </w:t>
      </w:r>
      <w:r w:rsidR="005F040C" w:rsidRPr="005F040C">
        <w:rPr>
          <w:rFonts w:ascii="Times New Roman" w:hAnsi="Times New Roman" w:cs="Times New Roman"/>
          <w:sz w:val="24"/>
          <w:szCs w:val="24"/>
        </w:rPr>
        <w:t>2023</w:t>
      </w:r>
      <w:r w:rsidR="005F040C">
        <w:rPr>
          <w:rFonts w:ascii="Times New Roman" w:hAnsi="Times New Roman" w:cs="Times New Roman"/>
          <w:sz w:val="24"/>
          <w:szCs w:val="24"/>
        </w:rPr>
        <w:t>)</w:t>
      </w:r>
      <w:r w:rsidRPr="004505F1">
        <w:rPr>
          <w:rFonts w:ascii="Times New Roman" w:hAnsi="Times New Roman" w:cs="Times New Roman"/>
          <w:sz w:val="24"/>
          <w:szCs w:val="24"/>
        </w:rPr>
        <w:t>. Not all communities can receive programmes because of geographic or socioeconomic reasons, whereas some others cannot receive complete benefits of interventions because of insufficient nutrition literacy or awareness. To combat these problems, it is necessary to incorporate nutrition education with food distribution and the support of smallholder farmers, reinforcement of local food systems, and policies favouring the most vulnerable groups.</w:t>
      </w:r>
    </w:p>
    <w:p w14:paraId="333DFDB3" w14:textId="76B85D7D" w:rsidR="00DC7BF3" w:rsidRPr="00DC7BF3" w:rsidRDefault="00DC7BF3" w:rsidP="00D30DF3">
      <w:pPr>
        <w:pStyle w:val="Heading1"/>
      </w:pPr>
      <w:bookmarkStart w:id="7" w:name="_Toc212095965"/>
      <w:r w:rsidRPr="00DC7BF3">
        <w:lastRenderedPageBreak/>
        <w:t>National Wellbeing Initiatives</w:t>
      </w:r>
      <w:bookmarkEnd w:id="7"/>
      <w:r w:rsidRPr="00DC7BF3">
        <w:t xml:space="preserve"> </w:t>
      </w:r>
    </w:p>
    <w:p w14:paraId="2A94330A" w14:textId="77777777" w:rsidR="004505F1" w:rsidRPr="004505F1" w:rsidRDefault="00DC7BF3" w:rsidP="00D30DF3">
      <w:pPr>
        <w:pStyle w:val="Heading2"/>
      </w:pPr>
      <w:bookmarkStart w:id="8" w:name="_Toc212095966"/>
      <w:r w:rsidRPr="00DC7BF3">
        <w:t>Initiative 1: NHS Public Health Campaigns</w:t>
      </w:r>
      <w:bookmarkEnd w:id="8"/>
    </w:p>
    <w:p w14:paraId="2F2831A6" w14:textId="09B616D8" w:rsidR="00E74F8E" w:rsidRDefault="00E74F8E" w:rsidP="005F040C">
      <w:pPr>
        <w:spacing w:line="360" w:lineRule="auto"/>
        <w:ind w:firstLine="720"/>
        <w:jc w:val="both"/>
        <w:rPr>
          <w:rFonts w:ascii="Times New Roman" w:hAnsi="Times New Roman" w:cs="Times New Roman"/>
          <w:sz w:val="24"/>
          <w:szCs w:val="24"/>
        </w:rPr>
      </w:pPr>
      <w:r w:rsidRPr="00E74F8E">
        <w:rPr>
          <w:rFonts w:ascii="Times New Roman" w:hAnsi="Times New Roman" w:cs="Times New Roman"/>
          <w:sz w:val="24"/>
          <w:szCs w:val="24"/>
        </w:rPr>
        <w:t xml:space="preserve">The NHS has been instrumental in the conduct of several public health campaigns in the UK, which have been essential for the country's national health and sustainability. </w:t>
      </w:r>
      <w:r w:rsidR="005F040C" w:rsidRPr="005F040C">
        <w:rPr>
          <w:rFonts w:ascii="Times New Roman" w:hAnsi="Times New Roman" w:cs="Times New Roman"/>
          <w:sz w:val="24"/>
          <w:szCs w:val="24"/>
        </w:rPr>
        <w:t>Gasmi,</w:t>
      </w:r>
      <w:r w:rsidR="005F040C">
        <w:rPr>
          <w:rFonts w:ascii="Times New Roman" w:hAnsi="Times New Roman" w:cs="Times New Roman"/>
          <w:sz w:val="24"/>
          <w:szCs w:val="24"/>
        </w:rPr>
        <w:t xml:space="preserve"> et al. (</w:t>
      </w:r>
      <w:r w:rsidR="005F040C" w:rsidRPr="005F040C">
        <w:rPr>
          <w:rFonts w:ascii="Times New Roman" w:hAnsi="Times New Roman" w:cs="Times New Roman"/>
          <w:sz w:val="24"/>
          <w:szCs w:val="24"/>
        </w:rPr>
        <w:t>2022</w:t>
      </w:r>
      <w:r w:rsidR="005F040C">
        <w:rPr>
          <w:rFonts w:ascii="Times New Roman" w:hAnsi="Times New Roman" w:cs="Times New Roman"/>
          <w:sz w:val="24"/>
          <w:szCs w:val="24"/>
        </w:rPr>
        <w:t>) highlights that t</w:t>
      </w:r>
      <w:r w:rsidRPr="00E74F8E">
        <w:rPr>
          <w:rFonts w:ascii="Times New Roman" w:hAnsi="Times New Roman" w:cs="Times New Roman"/>
          <w:sz w:val="24"/>
          <w:szCs w:val="24"/>
        </w:rPr>
        <w:t>he vaccination programs against COVID-19 and influenza, smoking cessation initiatives, mental health campaigns (like Time to Change and Every Mind Matters) are among the areas where the NHS has made a significant difference, and all these factors have been responsible for decreasing the number of preventable diseases and promoting healthier lifestyles. Consequently, such initiatives have resulted in better public health, lower disease rates, and hence improved community health. However, difficulties still remain, mainly for the underprivileged and minority groups, who are usually the ones facing the problems of access, and a longer change of fit means more resources and support have to be made available for the people to continue enjoying the health and wellbeing benefits.</w:t>
      </w:r>
    </w:p>
    <w:p w14:paraId="1644B15D" w14:textId="77777777" w:rsidR="00F134BD" w:rsidRDefault="00DC7BF3" w:rsidP="00E160B0">
      <w:pPr>
        <w:spacing w:line="360" w:lineRule="auto"/>
        <w:jc w:val="both"/>
        <w:rPr>
          <w:rStyle w:val="Heading2Char"/>
        </w:rPr>
      </w:pPr>
      <w:bookmarkStart w:id="9" w:name="_Toc212095967"/>
      <w:r w:rsidRPr="00D30DF3">
        <w:rPr>
          <w:rStyle w:val="Heading2Char"/>
        </w:rPr>
        <w:t>Recommendations</w:t>
      </w:r>
      <w:bookmarkEnd w:id="9"/>
    </w:p>
    <w:p w14:paraId="43A12B42" w14:textId="23CA70A3" w:rsidR="00DC7BF3" w:rsidRPr="00DC7BF3" w:rsidRDefault="00F134BD" w:rsidP="00E160B0">
      <w:pPr>
        <w:spacing w:line="360" w:lineRule="auto"/>
        <w:jc w:val="both"/>
        <w:rPr>
          <w:rFonts w:ascii="Times New Roman" w:hAnsi="Times New Roman" w:cs="Times New Roman"/>
          <w:b/>
          <w:bCs/>
          <w:sz w:val="24"/>
          <w:szCs w:val="24"/>
        </w:rPr>
      </w:pPr>
      <w:r w:rsidRPr="00F134BD">
        <w:rPr>
          <w:rFonts w:ascii="Times New Roman" w:hAnsi="Times New Roman" w:cs="Times New Roman"/>
          <w:sz w:val="24"/>
          <w:szCs w:val="24"/>
        </w:rPr>
        <w:t>The NHS will find it imperative to use messaging that is sensitive to various cultures and tailored according to the different populations' needs if the campaigns are to attain greater success. Furthermore, Lupton, (2021) agree that digital technologies like social media, mobile apps, and health websites could not only facilitate access and participation but also have a greater impact on the young, well-connected population. The combo of mobile health units and telehealth services can reach even the most isolated and poor areas. Inviting local stakeholders such as schools, workplaces, and religious groups will not only strengthen the community participation but also help in creating a long-lasting behaviour change through the process of community participation</w:t>
      </w:r>
      <w:r w:rsidR="00A750AB" w:rsidRPr="00657EAF">
        <w:rPr>
          <w:rFonts w:ascii="Times New Roman" w:hAnsi="Times New Roman" w:cs="Times New Roman"/>
          <w:sz w:val="24"/>
          <w:szCs w:val="24"/>
        </w:rPr>
        <w:t>.</w:t>
      </w:r>
    </w:p>
    <w:p w14:paraId="04480F7C" w14:textId="77777777" w:rsidR="004505F1" w:rsidRPr="004505F1" w:rsidRDefault="00DC7BF3" w:rsidP="00D30DF3">
      <w:pPr>
        <w:pStyle w:val="Heading1"/>
      </w:pPr>
      <w:bookmarkStart w:id="10" w:name="_Toc212095968"/>
      <w:r w:rsidRPr="00DC7BF3">
        <w:t>Initiative 2: Healthy Start Program</w:t>
      </w:r>
      <w:bookmarkEnd w:id="10"/>
    </w:p>
    <w:p w14:paraId="59516784" w14:textId="0FD098B3" w:rsidR="00A750AB" w:rsidRPr="004505F1" w:rsidRDefault="00A750AB" w:rsidP="00657EAF">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The Healthy Start program offers pregnant women and families with young children vouchers for nutritious foods and vital vitamins. Its main purposes are to enhance maternal and child nutrition, eliminate malnutrition, and support children's development</w:t>
      </w:r>
      <w:r w:rsidR="005F040C">
        <w:rPr>
          <w:rFonts w:ascii="Times New Roman" w:hAnsi="Times New Roman" w:cs="Times New Roman"/>
          <w:sz w:val="24"/>
          <w:szCs w:val="24"/>
        </w:rPr>
        <w:t xml:space="preserve"> (</w:t>
      </w:r>
      <w:r w:rsidR="005F040C" w:rsidRPr="005F040C">
        <w:rPr>
          <w:rFonts w:ascii="Times New Roman" w:hAnsi="Times New Roman" w:cs="Times New Roman"/>
          <w:sz w:val="24"/>
          <w:szCs w:val="24"/>
        </w:rPr>
        <w:t>Dundas</w:t>
      </w:r>
      <w:r w:rsidR="00B52199">
        <w:rPr>
          <w:rFonts w:ascii="Times New Roman" w:hAnsi="Times New Roman" w:cs="Times New Roman"/>
          <w:sz w:val="24"/>
          <w:szCs w:val="24"/>
        </w:rPr>
        <w:t xml:space="preserve"> et al., 2023)</w:t>
      </w:r>
      <w:r w:rsidRPr="004505F1">
        <w:rPr>
          <w:rFonts w:ascii="Times New Roman" w:hAnsi="Times New Roman" w:cs="Times New Roman"/>
          <w:sz w:val="24"/>
          <w:szCs w:val="24"/>
        </w:rPr>
        <w:t xml:space="preserve">. To point out, the program has already ascertained its effectiveness since its participants have experienced better birth outcomes, less childhood </w:t>
      </w:r>
      <w:r w:rsidR="00657EAF" w:rsidRPr="004505F1">
        <w:rPr>
          <w:rFonts w:ascii="Times New Roman" w:hAnsi="Times New Roman" w:cs="Times New Roman"/>
          <w:sz w:val="24"/>
          <w:szCs w:val="24"/>
        </w:rPr>
        <w:t>anaemia</w:t>
      </w:r>
      <w:r w:rsidRPr="004505F1">
        <w:rPr>
          <w:rFonts w:ascii="Times New Roman" w:hAnsi="Times New Roman" w:cs="Times New Roman"/>
          <w:sz w:val="24"/>
          <w:szCs w:val="24"/>
        </w:rPr>
        <w:t>, and healthier growth patterns for infants and young children.</w:t>
      </w:r>
      <w:r w:rsidR="00657EAF">
        <w:rPr>
          <w:rFonts w:ascii="Times New Roman" w:hAnsi="Times New Roman" w:cs="Times New Roman"/>
          <w:sz w:val="24"/>
          <w:szCs w:val="24"/>
        </w:rPr>
        <w:t xml:space="preserve"> </w:t>
      </w:r>
      <w:r w:rsidRPr="004505F1">
        <w:rPr>
          <w:rFonts w:ascii="Times New Roman" w:hAnsi="Times New Roman" w:cs="Times New Roman"/>
          <w:sz w:val="24"/>
          <w:szCs w:val="24"/>
        </w:rPr>
        <w:t xml:space="preserve">Nonetheless, the program has limitations such as low public awareness, complicated procedures, and unequal access to the service in different geographical </w:t>
      </w:r>
      <w:r w:rsidRPr="004505F1">
        <w:rPr>
          <w:rFonts w:ascii="Times New Roman" w:hAnsi="Times New Roman" w:cs="Times New Roman"/>
          <w:sz w:val="24"/>
          <w:szCs w:val="24"/>
        </w:rPr>
        <w:lastRenderedPageBreak/>
        <w:t>areas especially for disadvantaged communities. Such problems can diminish the project’s outreach and impact.</w:t>
      </w:r>
    </w:p>
    <w:p w14:paraId="22FD091F" w14:textId="13D9BFBA" w:rsidR="00A750AB" w:rsidRPr="004505F1" w:rsidRDefault="004505F1" w:rsidP="00D30DF3">
      <w:pPr>
        <w:pStyle w:val="Heading2"/>
      </w:pPr>
      <w:bookmarkStart w:id="11" w:name="_Toc212095969"/>
      <w:r w:rsidRPr="004505F1">
        <w:t>Recommendations</w:t>
      </w:r>
      <w:bookmarkEnd w:id="11"/>
    </w:p>
    <w:p w14:paraId="76BF9710" w14:textId="15313A62" w:rsidR="00DC7BF3" w:rsidRPr="00DC7BF3" w:rsidRDefault="00A750AB" w:rsidP="008A4EB5">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 xml:space="preserve">A simplification of the application process followed by massive health visitors and local health workers community outreach is the way to go to boost the program’s effectiveness. </w:t>
      </w:r>
      <w:r w:rsidR="00D30DF3">
        <w:rPr>
          <w:rFonts w:ascii="Times New Roman" w:hAnsi="Times New Roman" w:cs="Times New Roman"/>
          <w:sz w:val="24"/>
          <w:szCs w:val="24"/>
        </w:rPr>
        <w:t xml:space="preserve">However, </w:t>
      </w:r>
      <w:r w:rsidR="00B52199">
        <w:rPr>
          <w:rFonts w:ascii="Times New Roman" w:hAnsi="Times New Roman" w:cs="Times New Roman"/>
          <w:sz w:val="24"/>
          <w:szCs w:val="24"/>
        </w:rPr>
        <w:t>by p</w:t>
      </w:r>
      <w:r w:rsidRPr="004505F1">
        <w:rPr>
          <w:rFonts w:ascii="Times New Roman" w:hAnsi="Times New Roman" w:cs="Times New Roman"/>
          <w:sz w:val="24"/>
          <w:szCs w:val="24"/>
        </w:rPr>
        <w:t>roviding nutrition education together with the distribution of vouchers could be instrumental in developing and sustaining desirable dietary practices over the long term</w:t>
      </w:r>
      <w:r w:rsidR="00D30DF3">
        <w:rPr>
          <w:rFonts w:ascii="Times New Roman" w:hAnsi="Times New Roman" w:cs="Times New Roman"/>
          <w:sz w:val="24"/>
          <w:szCs w:val="24"/>
        </w:rPr>
        <w:t xml:space="preserve"> (</w:t>
      </w:r>
      <w:r w:rsidR="00D30DF3" w:rsidRPr="00D30DF3">
        <w:rPr>
          <w:rFonts w:ascii="Times New Roman" w:hAnsi="Times New Roman" w:cs="Times New Roman"/>
          <w:sz w:val="24"/>
          <w:szCs w:val="24"/>
        </w:rPr>
        <w:t>Weingarten, 2023</w:t>
      </w:r>
      <w:r w:rsidR="00D30DF3">
        <w:rPr>
          <w:rFonts w:ascii="Times New Roman" w:hAnsi="Times New Roman" w:cs="Times New Roman"/>
          <w:sz w:val="24"/>
          <w:szCs w:val="24"/>
        </w:rPr>
        <w:t>)</w:t>
      </w:r>
      <w:r w:rsidRPr="004505F1">
        <w:rPr>
          <w:rFonts w:ascii="Times New Roman" w:hAnsi="Times New Roman" w:cs="Times New Roman"/>
          <w:sz w:val="24"/>
          <w:szCs w:val="24"/>
        </w:rPr>
        <w:t>. Cooperation with local supermarkets and retailers can guarantee consumers in all areas will be able to buy nutritious foods; and, there will be an increase in program participation through multi-channel awareness campaigns. Solving these issues will enable the Healthy Start program to more powerfully and broadly contribute to the health and equality promotion in communities.</w:t>
      </w:r>
    </w:p>
    <w:p w14:paraId="3353862E" w14:textId="5918E4B8" w:rsidR="0095557A" w:rsidRPr="0095557A" w:rsidRDefault="0095557A" w:rsidP="00D30DF3">
      <w:pPr>
        <w:pStyle w:val="Heading1"/>
      </w:pPr>
      <w:bookmarkStart w:id="12" w:name="_Toc212095970"/>
      <w:r w:rsidRPr="0095557A">
        <w:t>Local Wellbeing Initiatives</w:t>
      </w:r>
      <w:bookmarkEnd w:id="12"/>
      <w:r w:rsidRPr="0095557A">
        <w:t xml:space="preserve"> </w:t>
      </w:r>
    </w:p>
    <w:p w14:paraId="2D5AF108" w14:textId="77777777" w:rsidR="00DC7BF3" w:rsidRPr="004505F1" w:rsidRDefault="0095557A" w:rsidP="00D30DF3">
      <w:pPr>
        <w:pStyle w:val="Heading2"/>
      </w:pPr>
      <w:bookmarkStart w:id="13" w:name="_Toc212095971"/>
      <w:r w:rsidRPr="0095557A">
        <w:t>Initiative 1: Community Fitness Programs</w:t>
      </w:r>
      <w:bookmarkEnd w:id="13"/>
    </w:p>
    <w:p w14:paraId="5A11FA75" w14:textId="6FE9AD8B" w:rsidR="00E160B0" w:rsidRDefault="00E160B0" w:rsidP="00E160B0">
      <w:pPr>
        <w:spacing w:line="360" w:lineRule="auto"/>
        <w:ind w:firstLine="720"/>
        <w:jc w:val="both"/>
        <w:rPr>
          <w:rFonts w:ascii="Times New Roman" w:hAnsi="Times New Roman" w:cs="Times New Roman"/>
          <w:sz w:val="24"/>
          <w:szCs w:val="24"/>
        </w:rPr>
      </w:pPr>
      <w:r w:rsidRPr="00E160B0">
        <w:rPr>
          <w:rFonts w:ascii="Times New Roman" w:hAnsi="Times New Roman" w:cs="Times New Roman"/>
          <w:sz w:val="24"/>
          <w:szCs w:val="24"/>
        </w:rPr>
        <w:t>Community fitness programs are organized by local councils throughout the UK and they are very helpful for the mental and physical health of the people and also for the sustainable development of the country</w:t>
      </w:r>
      <w:r w:rsidR="00B52199">
        <w:rPr>
          <w:rFonts w:ascii="Times New Roman" w:hAnsi="Times New Roman" w:cs="Times New Roman"/>
          <w:sz w:val="24"/>
          <w:szCs w:val="24"/>
        </w:rPr>
        <w:t xml:space="preserve"> (</w:t>
      </w:r>
      <w:r w:rsidR="00B52199" w:rsidRPr="00B52199">
        <w:rPr>
          <w:rFonts w:ascii="Times New Roman" w:hAnsi="Times New Roman" w:cs="Times New Roman"/>
          <w:sz w:val="24"/>
          <w:szCs w:val="24"/>
        </w:rPr>
        <w:t>Berenguer</w:t>
      </w:r>
      <w:r w:rsidR="00B52199">
        <w:rPr>
          <w:rFonts w:ascii="Times New Roman" w:hAnsi="Times New Roman" w:cs="Times New Roman"/>
          <w:sz w:val="24"/>
          <w:szCs w:val="24"/>
        </w:rPr>
        <w:t xml:space="preserve"> et al., 2022)</w:t>
      </w:r>
      <w:r w:rsidRPr="00E160B0">
        <w:rPr>
          <w:rFonts w:ascii="Times New Roman" w:hAnsi="Times New Roman" w:cs="Times New Roman"/>
          <w:sz w:val="24"/>
          <w:szCs w:val="24"/>
        </w:rPr>
        <w:t xml:space="preserve">. There are different kinds of activities such as walking clubs, cycling groups, sports leagues, and free exercise classes that all are directed towards decreasing the incidence of obesity, heart disease, and other health problems related to one's lifestyle, while at the same time improving one's mental health and social networks. </w:t>
      </w:r>
      <w:r w:rsidR="00B52199" w:rsidRPr="00B52199">
        <w:rPr>
          <w:rFonts w:ascii="Times New Roman" w:hAnsi="Times New Roman" w:cs="Times New Roman"/>
          <w:sz w:val="24"/>
          <w:szCs w:val="24"/>
        </w:rPr>
        <w:t>Lapena</w:t>
      </w:r>
      <w:r w:rsidR="00B52199" w:rsidRPr="00E160B0">
        <w:rPr>
          <w:rFonts w:ascii="Times New Roman" w:hAnsi="Times New Roman" w:cs="Times New Roman"/>
          <w:sz w:val="24"/>
          <w:szCs w:val="24"/>
        </w:rPr>
        <w:t xml:space="preserve"> </w:t>
      </w:r>
      <w:r w:rsidR="00B52199">
        <w:rPr>
          <w:rFonts w:ascii="Times New Roman" w:hAnsi="Times New Roman" w:cs="Times New Roman"/>
          <w:sz w:val="24"/>
          <w:szCs w:val="24"/>
        </w:rPr>
        <w:t>et al. (2022) reveals that v</w:t>
      </w:r>
      <w:r w:rsidRPr="00E160B0">
        <w:rPr>
          <w:rFonts w:ascii="Times New Roman" w:hAnsi="Times New Roman" w:cs="Times New Roman"/>
          <w:sz w:val="24"/>
          <w:szCs w:val="24"/>
        </w:rPr>
        <w:t>arious studies have proved that these programs have a positive impact on the physical activities, stress, and community interaction, particularly among elderly people, and low-income groups. Still, limited funding, lack of participation (mainly due to busy schedules or unawareness), and accessibility problems in rural areas are the main hurdles that make these fitness programs ineffective and unsustainable in the long run.</w:t>
      </w:r>
    </w:p>
    <w:p w14:paraId="53B16272" w14:textId="7EC247BF" w:rsidR="00DC7BF3" w:rsidRPr="004505F1" w:rsidRDefault="00DC7BF3" w:rsidP="00D30DF3">
      <w:pPr>
        <w:pStyle w:val="Heading2"/>
      </w:pPr>
      <w:bookmarkStart w:id="14" w:name="_Toc212095972"/>
      <w:r w:rsidRPr="004505F1">
        <w:t>Recommendations</w:t>
      </w:r>
      <w:bookmarkEnd w:id="14"/>
    </w:p>
    <w:p w14:paraId="74CED618" w14:textId="02D9377C" w:rsidR="0095557A" w:rsidRPr="0095557A" w:rsidRDefault="00DC7BF3" w:rsidP="00E160B0">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 xml:space="preserve">To enhance the participation and sustainability, the local authorities are strongly advised to implement flexible programmes, mobile fitness classes in the community centres and </w:t>
      </w:r>
      <w:r w:rsidR="004505F1" w:rsidRPr="004505F1">
        <w:rPr>
          <w:rFonts w:ascii="Times New Roman" w:hAnsi="Times New Roman" w:cs="Times New Roman"/>
          <w:sz w:val="24"/>
          <w:szCs w:val="24"/>
        </w:rPr>
        <w:t>incentive-based</w:t>
      </w:r>
      <w:r w:rsidRPr="004505F1">
        <w:rPr>
          <w:rFonts w:ascii="Times New Roman" w:hAnsi="Times New Roman" w:cs="Times New Roman"/>
          <w:sz w:val="24"/>
          <w:szCs w:val="24"/>
        </w:rPr>
        <w:t xml:space="preserve"> participation like reward systems or appreciation of regular participation</w:t>
      </w:r>
      <w:r w:rsidR="00B52199">
        <w:rPr>
          <w:rFonts w:ascii="Times New Roman" w:hAnsi="Times New Roman" w:cs="Times New Roman"/>
          <w:sz w:val="24"/>
          <w:szCs w:val="24"/>
        </w:rPr>
        <w:t xml:space="preserve"> (</w:t>
      </w:r>
      <w:r w:rsidR="00B52199" w:rsidRPr="00B52199">
        <w:rPr>
          <w:rFonts w:ascii="Times New Roman" w:hAnsi="Times New Roman" w:cs="Times New Roman"/>
          <w:sz w:val="24"/>
          <w:szCs w:val="24"/>
        </w:rPr>
        <w:t>Huseynov</w:t>
      </w:r>
      <w:r w:rsidR="00B52199">
        <w:rPr>
          <w:rFonts w:ascii="Times New Roman" w:hAnsi="Times New Roman" w:cs="Times New Roman"/>
          <w:sz w:val="24"/>
          <w:szCs w:val="24"/>
        </w:rPr>
        <w:t xml:space="preserve">, </w:t>
      </w:r>
      <w:r w:rsidR="00B52199" w:rsidRPr="00B52199">
        <w:rPr>
          <w:rFonts w:ascii="Times New Roman" w:hAnsi="Times New Roman" w:cs="Times New Roman"/>
          <w:sz w:val="24"/>
          <w:szCs w:val="24"/>
        </w:rPr>
        <w:t>2025</w:t>
      </w:r>
      <w:r w:rsidR="00B52199">
        <w:rPr>
          <w:rFonts w:ascii="Times New Roman" w:hAnsi="Times New Roman" w:cs="Times New Roman"/>
          <w:sz w:val="24"/>
          <w:szCs w:val="24"/>
        </w:rPr>
        <w:t>)</w:t>
      </w:r>
      <w:r w:rsidRPr="004505F1">
        <w:rPr>
          <w:rFonts w:ascii="Times New Roman" w:hAnsi="Times New Roman" w:cs="Times New Roman"/>
          <w:sz w:val="24"/>
          <w:szCs w:val="24"/>
        </w:rPr>
        <w:t xml:space="preserve">. School, workplace, and local business partnerships would reach new heights of programme dissemination, highlight active living among various age groups, and instil the </w:t>
      </w:r>
      <w:r w:rsidRPr="004505F1">
        <w:rPr>
          <w:rFonts w:ascii="Times New Roman" w:hAnsi="Times New Roman" w:cs="Times New Roman"/>
          <w:sz w:val="24"/>
          <w:szCs w:val="24"/>
        </w:rPr>
        <w:lastRenderedPageBreak/>
        <w:t>concept of healthy behaviours into everyday activities. Further awareness of digital tools, including mobile apps and online exercise programmes, may also be worth integrating and enhancing accessibility and interest</w:t>
      </w:r>
      <w:r w:rsidR="0095557A" w:rsidRPr="0095557A">
        <w:rPr>
          <w:rFonts w:ascii="Times New Roman" w:hAnsi="Times New Roman" w:cs="Times New Roman"/>
          <w:sz w:val="24"/>
          <w:szCs w:val="24"/>
        </w:rPr>
        <w:t>.</w:t>
      </w:r>
    </w:p>
    <w:p w14:paraId="7D639AAB" w14:textId="77777777" w:rsidR="00DC7BF3" w:rsidRPr="004505F1" w:rsidRDefault="0095557A" w:rsidP="00D30DF3">
      <w:pPr>
        <w:pStyle w:val="Heading1"/>
      </w:pPr>
      <w:bookmarkStart w:id="15" w:name="_Toc212095973"/>
      <w:r w:rsidRPr="0095557A">
        <w:t>Initiative 2: Local Food Banks and Nutrition Programs</w:t>
      </w:r>
      <w:bookmarkEnd w:id="15"/>
    </w:p>
    <w:p w14:paraId="0AD30F57" w14:textId="05AFF174" w:rsidR="00DC7BF3" w:rsidRPr="004505F1" w:rsidRDefault="00DC7BF3" w:rsidP="00347D07">
      <w:pPr>
        <w:spacing w:line="360" w:lineRule="auto"/>
        <w:ind w:firstLine="720"/>
        <w:jc w:val="both"/>
        <w:rPr>
          <w:rFonts w:ascii="Times New Roman" w:hAnsi="Times New Roman" w:cs="Times New Roman"/>
          <w:sz w:val="24"/>
          <w:szCs w:val="24"/>
        </w:rPr>
      </w:pPr>
      <w:r w:rsidRPr="004505F1">
        <w:rPr>
          <w:rFonts w:ascii="Times New Roman" w:hAnsi="Times New Roman" w:cs="Times New Roman"/>
          <w:sz w:val="24"/>
          <w:szCs w:val="24"/>
        </w:rPr>
        <w:t>Local nutrition programmes and community food banks are crucial in managing food insecurity and enhancing nutrition health to the vulnerable groups. By offering affordable access to healthy nutrients to the families of the low-income population, the elderly and clients facing a crisis, these programmes influence physical health directly and mental one indirectly due to the decrease in the stress-related to food insecurity</w:t>
      </w:r>
      <w:r w:rsidR="00B52199">
        <w:rPr>
          <w:rFonts w:ascii="Times New Roman" w:hAnsi="Times New Roman" w:cs="Times New Roman"/>
          <w:sz w:val="24"/>
          <w:szCs w:val="24"/>
        </w:rPr>
        <w:t xml:space="preserve"> (</w:t>
      </w:r>
      <w:r w:rsidR="00B52199" w:rsidRPr="00B52199">
        <w:rPr>
          <w:rFonts w:ascii="Times New Roman" w:hAnsi="Times New Roman" w:cs="Times New Roman"/>
          <w:sz w:val="24"/>
          <w:szCs w:val="24"/>
        </w:rPr>
        <w:t>Ellis-VanArsdale, 2024</w:t>
      </w:r>
      <w:r w:rsidR="00B52199">
        <w:rPr>
          <w:rFonts w:ascii="Times New Roman" w:hAnsi="Times New Roman" w:cs="Times New Roman"/>
          <w:sz w:val="24"/>
          <w:szCs w:val="24"/>
        </w:rPr>
        <w:t>)</w:t>
      </w:r>
      <w:r w:rsidRPr="004505F1">
        <w:rPr>
          <w:rFonts w:ascii="Times New Roman" w:hAnsi="Times New Roman" w:cs="Times New Roman"/>
          <w:sz w:val="24"/>
          <w:szCs w:val="24"/>
        </w:rPr>
        <w:t xml:space="preserve">. It has been determined that food bank households receive better nutrition, better family health and social support. </w:t>
      </w:r>
      <w:r w:rsidR="00D30DF3" w:rsidRPr="00D30DF3">
        <w:rPr>
          <w:rFonts w:ascii="Times New Roman" w:hAnsi="Times New Roman" w:cs="Times New Roman"/>
          <w:sz w:val="24"/>
          <w:szCs w:val="24"/>
        </w:rPr>
        <w:t xml:space="preserve">Ximenes, </w:t>
      </w:r>
      <w:r w:rsidR="00D30DF3">
        <w:rPr>
          <w:rFonts w:ascii="Times New Roman" w:hAnsi="Times New Roman" w:cs="Times New Roman"/>
          <w:sz w:val="24"/>
          <w:szCs w:val="24"/>
        </w:rPr>
        <w:t>(</w:t>
      </w:r>
      <w:r w:rsidR="00D30DF3" w:rsidRPr="00D30DF3">
        <w:rPr>
          <w:rFonts w:ascii="Times New Roman" w:hAnsi="Times New Roman" w:cs="Times New Roman"/>
          <w:sz w:val="24"/>
          <w:szCs w:val="24"/>
        </w:rPr>
        <w:t>2025</w:t>
      </w:r>
      <w:r w:rsidR="00D30DF3">
        <w:rPr>
          <w:rFonts w:ascii="Times New Roman" w:hAnsi="Times New Roman" w:cs="Times New Roman"/>
          <w:sz w:val="24"/>
          <w:szCs w:val="24"/>
        </w:rPr>
        <w:t>) state that p</w:t>
      </w:r>
      <w:r w:rsidRPr="004505F1">
        <w:rPr>
          <w:rFonts w:ascii="Times New Roman" w:hAnsi="Times New Roman" w:cs="Times New Roman"/>
          <w:sz w:val="24"/>
          <w:szCs w:val="24"/>
        </w:rPr>
        <w:t>rogrammes are then enhanced with other elements, including cooking classes and nutrition education, to promote the sustainable healthy food habits.</w:t>
      </w:r>
      <w:r w:rsidR="00347D07">
        <w:rPr>
          <w:rFonts w:ascii="Times New Roman" w:hAnsi="Times New Roman" w:cs="Times New Roman"/>
          <w:sz w:val="24"/>
          <w:szCs w:val="24"/>
        </w:rPr>
        <w:t xml:space="preserve"> </w:t>
      </w:r>
      <w:r w:rsidRPr="004505F1">
        <w:rPr>
          <w:rFonts w:ascii="Times New Roman" w:hAnsi="Times New Roman" w:cs="Times New Roman"/>
          <w:sz w:val="24"/>
          <w:szCs w:val="24"/>
        </w:rPr>
        <w:t>Nevertheless, these programmes are limited, such as irregular funding and inadequate number of volunteers, and unequal allocation of resources. Geographic differences might also turn out some communities to lack proper assistance and variability of supply and quality of donations may render the quality and supply of food unstable.</w:t>
      </w:r>
    </w:p>
    <w:p w14:paraId="5E00309B" w14:textId="7E476424" w:rsidR="00DC7BF3" w:rsidRDefault="00DC7BF3" w:rsidP="00661A84">
      <w:pPr>
        <w:pStyle w:val="Heading2"/>
      </w:pPr>
      <w:bookmarkStart w:id="16" w:name="_Toc212095974"/>
      <w:r w:rsidRPr="004505F1">
        <w:t>Recommendations</w:t>
      </w:r>
      <w:bookmarkEnd w:id="16"/>
    </w:p>
    <w:p w14:paraId="12227A03" w14:textId="69E512C2" w:rsidR="00F134BD" w:rsidRPr="00F134BD" w:rsidRDefault="00F134BD" w:rsidP="00F134BD">
      <w:pPr>
        <w:spacing w:line="360" w:lineRule="auto"/>
        <w:ind w:firstLine="720"/>
        <w:jc w:val="both"/>
        <w:rPr>
          <w:rFonts w:ascii="Times New Roman" w:hAnsi="Times New Roman" w:cs="Times New Roman"/>
          <w:sz w:val="24"/>
          <w:szCs w:val="24"/>
        </w:rPr>
      </w:pPr>
      <w:r w:rsidRPr="00F134BD">
        <w:rPr>
          <w:rFonts w:ascii="Times New Roman" w:hAnsi="Times New Roman" w:cs="Times New Roman"/>
          <w:sz w:val="24"/>
          <w:szCs w:val="24"/>
        </w:rPr>
        <w:t>The local government and charitable organizations could significantly contribute to the success of the program if they would increase funding, provide fresh produce through closer cooperation with local farmers and the initiation of volunteer engagement programs. Muonde et al. (2024) emphasize the inseparability of nutrition education and food distribution to create a situation where people are able to make informed choices concerning food which consequently leads to long-term health outcomes. Furthermore, the advocacy of community involvement along with a feedback mechanism can be regarded as a means to increase the potency of the programs and to make sure that the services are tailored to meet the various needs of different consumer groups.</w:t>
      </w:r>
    </w:p>
    <w:p w14:paraId="23DF36B9" w14:textId="4AFC4AA2" w:rsidR="0095557A" w:rsidRPr="004505F1" w:rsidRDefault="0095557A" w:rsidP="00661A84">
      <w:pPr>
        <w:pStyle w:val="Heading1"/>
      </w:pPr>
      <w:bookmarkStart w:id="17" w:name="_Toc212095975"/>
      <w:r w:rsidRPr="0095557A">
        <w:t>Conclusion</w:t>
      </w:r>
      <w:bookmarkEnd w:id="17"/>
      <w:r w:rsidRPr="0095557A">
        <w:t xml:space="preserve"> </w:t>
      </w:r>
    </w:p>
    <w:p w14:paraId="151CB232" w14:textId="0A86C5AD" w:rsidR="004505F1" w:rsidRDefault="00F134BD" w:rsidP="00F134BD">
      <w:pPr>
        <w:spacing w:line="360" w:lineRule="auto"/>
        <w:ind w:firstLine="720"/>
        <w:jc w:val="both"/>
        <w:rPr>
          <w:rFonts w:ascii="Times New Roman" w:hAnsi="Times New Roman" w:cs="Times New Roman"/>
          <w:sz w:val="24"/>
          <w:szCs w:val="24"/>
        </w:rPr>
      </w:pPr>
      <w:r w:rsidRPr="00F134BD">
        <w:rPr>
          <w:rFonts w:ascii="Times New Roman" w:hAnsi="Times New Roman" w:cs="Times New Roman"/>
          <w:sz w:val="24"/>
          <w:szCs w:val="24"/>
        </w:rPr>
        <w:t xml:space="preserve">The future of the planet is heavily reliant on the people's health and wellness. Thus, good health and wellbeing are prioritized in the selection of the Sustainable Development Goals (SDGs), with SDG 3 recognizing the need for proper healthcare services, prevention of diseases, and mental health support, whereas SDG 2 points out the interrelationship of hunger and nutrition and that food security is one of the major factors in this aspect. Among the </w:t>
      </w:r>
      <w:r w:rsidRPr="00F134BD">
        <w:rPr>
          <w:rFonts w:ascii="Times New Roman" w:hAnsi="Times New Roman" w:cs="Times New Roman"/>
          <w:sz w:val="24"/>
          <w:szCs w:val="24"/>
        </w:rPr>
        <w:lastRenderedPageBreak/>
        <w:t>initiatives that are very impressively contributing to the population's health in the UK is the National Health Service (NHS) and the Healthy Start Program, while community-based activities like fitness classes and food banks are, on the other hand, spreading their benefits around the local areas in different ways. The problem of inequitable access to healthcare, lack of funds, and social inequalities are some of the challenges that still need to be resolved. Just as these anticipated challenges may be transformed into success stories, by better through focused actions, the use of digital technologies, education, and community engagement, the condition can be improved. Linking global goals with local activities implies that people will be able to reap the rewards of general improvements in the areas of health, mental health, and social health.</w:t>
      </w:r>
      <w:r w:rsidR="004505F1">
        <w:rPr>
          <w:rFonts w:ascii="Times New Roman" w:hAnsi="Times New Roman" w:cs="Times New Roman"/>
          <w:sz w:val="24"/>
          <w:szCs w:val="24"/>
        </w:rPr>
        <w:br w:type="page"/>
      </w:r>
    </w:p>
    <w:p w14:paraId="0DD543BE" w14:textId="3120072E" w:rsidR="004505F1" w:rsidRDefault="004505F1" w:rsidP="004505F1">
      <w:pPr>
        <w:pStyle w:val="Heading1"/>
      </w:pPr>
      <w:bookmarkStart w:id="18" w:name="_Toc212095976"/>
      <w:r>
        <w:lastRenderedPageBreak/>
        <w:t>References</w:t>
      </w:r>
      <w:bookmarkEnd w:id="18"/>
      <w:r>
        <w:t xml:space="preserve"> </w:t>
      </w:r>
    </w:p>
    <w:p w14:paraId="1CBE718B" w14:textId="77777777" w:rsidR="00D30DF3" w:rsidRDefault="00D30DF3" w:rsidP="004505F1">
      <w:pPr>
        <w:spacing w:line="360" w:lineRule="auto"/>
        <w:ind w:left="720" w:hanging="720"/>
        <w:jc w:val="both"/>
        <w:rPr>
          <w:rFonts w:ascii="Times New Roman" w:hAnsi="Times New Roman" w:cs="Times New Roman"/>
          <w:sz w:val="24"/>
          <w:szCs w:val="24"/>
        </w:rPr>
      </w:pPr>
      <w:r w:rsidRPr="00B52199">
        <w:rPr>
          <w:rFonts w:ascii="Times New Roman" w:hAnsi="Times New Roman" w:cs="Times New Roman"/>
          <w:sz w:val="24"/>
          <w:szCs w:val="24"/>
        </w:rPr>
        <w:t>Berenguer, S.C., Torrent, A.R., Dordá, J.M. and Casadevall, S.R., 2022. How to guarantee food supply during pandemics?: Rethinking local food systems from peri-urban strategic agents’ behaviour: The case study of the Barcelona Metropolitan Region. </w:t>
      </w:r>
      <w:r w:rsidRPr="00B52199">
        <w:rPr>
          <w:rFonts w:ascii="Times New Roman" w:hAnsi="Times New Roman" w:cs="Times New Roman"/>
          <w:i/>
          <w:iCs/>
          <w:sz w:val="24"/>
          <w:szCs w:val="24"/>
        </w:rPr>
        <w:t>Investigaciones Geográficas (España)</w:t>
      </w:r>
      <w:r w:rsidRPr="00B52199">
        <w:rPr>
          <w:rFonts w:ascii="Times New Roman" w:hAnsi="Times New Roman" w:cs="Times New Roman"/>
          <w:sz w:val="24"/>
          <w:szCs w:val="24"/>
        </w:rPr>
        <w:t>, (77), pp.363-379.</w:t>
      </w:r>
    </w:p>
    <w:p w14:paraId="51169545"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Breedvelt, J.J., Tiemeier, H., Sharples, E., Galea, S., Niedzwiedz, C., Elliott, I. and Bockting, C.L., 2022. The effects of neighbourhood social cohesion on preventing depression and anxiety among adolescents and young adults: rapid review. </w:t>
      </w:r>
      <w:r w:rsidRPr="00683B5D">
        <w:rPr>
          <w:rFonts w:ascii="Times New Roman" w:hAnsi="Times New Roman" w:cs="Times New Roman"/>
          <w:i/>
          <w:iCs/>
          <w:sz w:val="24"/>
          <w:szCs w:val="24"/>
        </w:rPr>
        <w:t>BJPsych open</w:t>
      </w:r>
      <w:r w:rsidRPr="00683B5D">
        <w:rPr>
          <w:rFonts w:ascii="Times New Roman" w:hAnsi="Times New Roman" w:cs="Times New Roman"/>
          <w:sz w:val="24"/>
          <w:szCs w:val="24"/>
        </w:rPr>
        <w:t>, </w:t>
      </w:r>
      <w:r w:rsidRPr="00683B5D">
        <w:rPr>
          <w:rFonts w:ascii="Times New Roman" w:hAnsi="Times New Roman" w:cs="Times New Roman"/>
          <w:i/>
          <w:iCs/>
          <w:sz w:val="24"/>
          <w:szCs w:val="24"/>
        </w:rPr>
        <w:t>8</w:t>
      </w:r>
      <w:r w:rsidRPr="00683B5D">
        <w:rPr>
          <w:rFonts w:ascii="Times New Roman" w:hAnsi="Times New Roman" w:cs="Times New Roman"/>
          <w:sz w:val="24"/>
          <w:szCs w:val="24"/>
        </w:rPr>
        <w:t>(4), p.e97.</w:t>
      </w:r>
    </w:p>
    <w:p w14:paraId="6A69659C"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Dundas, R., Boroujerdi, M., Browne, S., Deidda, M., Bradshaw, P., Craig, P., McIntosh, E., Parkes, A., Wight, D., Wright, C. and Leyland, A.H., 2023. Evaluation of the Healthy Start voucher scheme on maternal vitamin use and child breastfeeding: a natural experiment using data linkage. </w:t>
      </w:r>
      <w:r w:rsidRPr="005F040C">
        <w:rPr>
          <w:rFonts w:ascii="Times New Roman" w:hAnsi="Times New Roman" w:cs="Times New Roman"/>
          <w:i/>
          <w:iCs/>
          <w:sz w:val="24"/>
          <w:szCs w:val="24"/>
        </w:rPr>
        <w:t>Public Health Research</w:t>
      </w:r>
      <w:r w:rsidRPr="005F040C">
        <w:rPr>
          <w:rFonts w:ascii="Times New Roman" w:hAnsi="Times New Roman" w:cs="Times New Roman"/>
          <w:sz w:val="24"/>
          <w:szCs w:val="24"/>
        </w:rPr>
        <w:t>, </w:t>
      </w:r>
      <w:r w:rsidRPr="005F040C">
        <w:rPr>
          <w:rFonts w:ascii="Times New Roman" w:hAnsi="Times New Roman" w:cs="Times New Roman"/>
          <w:i/>
          <w:iCs/>
          <w:sz w:val="24"/>
          <w:szCs w:val="24"/>
        </w:rPr>
        <w:t>11</w:t>
      </w:r>
      <w:r w:rsidRPr="005F040C">
        <w:rPr>
          <w:rFonts w:ascii="Times New Roman" w:hAnsi="Times New Roman" w:cs="Times New Roman"/>
          <w:sz w:val="24"/>
          <w:szCs w:val="24"/>
        </w:rPr>
        <w:t>(11), pp.1-101.</w:t>
      </w:r>
    </w:p>
    <w:p w14:paraId="686C00F0" w14:textId="77777777" w:rsidR="00D30DF3" w:rsidRDefault="00D30DF3" w:rsidP="004505F1">
      <w:pPr>
        <w:spacing w:line="360" w:lineRule="auto"/>
        <w:ind w:left="720" w:hanging="720"/>
        <w:jc w:val="both"/>
        <w:rPr>
          <w:rFonts w:ascii="Times New Roman" w:hAnsi="Times New Roman" w:cs="Times New Roman"/>
          <w:sz w:val="24"/>
          <w:szCs w:val="24"/>
        </w:rPr>
      </w:pPr>
      <w:r w:rsidRPr="00B52199">
        <w:rPr>
          <w:rFonts w:ascii="Times New Roman" w:hAnsi="Times New Roman" w:cs="Times New Roman"/>
          <w:sz w:val="24"/>
          <w:szCs w:val="24"/>
        </w:rPr>
        <w:t>Ellis-VanArsdale, R., 2024. </w:t>
      </w:r>
      <w:r w:rsidRPr="00B52199">
        <w:rPr>
          <w:rFonts w:ascii="Times New Roman" w:hAnsi="Times New Roman" w:cs="Times New Roman"/>
          <w:i/>
          <w:iCs/>
          <w:sz w:val="24"/>
          <w:szCs w:val="24"/>
        </w:rPr>
        <w:t>Food Insecurity, Psychological Distress, and Discrimination of Older Black Women in Central Texas</w:t>
      </w:r>
      <w:r w:rsidRPr="00B52199">
        <w:rPr>
          <w:rFonts w:ascii="Times New Roman" w:hAnsi="Times New Roman" w:cs="Times New Roman"/>
          <w:sz w:val="24"/>
          <w:szCs w:val="24"/>
        </w:rPr>
        <w:t> (Doctoral dissertation, Walden University).</w:t>
      </w:r>
    </w:p>
    <w:p w14:paraId="126CED47"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Gasmi, A., Noor, S., Piscopo, S., Résimont, S. and Menzel, A., 2022. Increasing efficacy of covid-19 vaccines by lifestyle interventions. </w:t>
      </w:r>
      <w:r w:rsidRPr="005F040C">
        <w:rPr>
          <w:rFonts w:ascii="Times New Roman" w:hAnsi="Times New Roman" w:cs="Times New Roman"/>
          <w:i/>
          <w:iCs/>
          <w:sz w:val="24"/>
          <w:szCs w:val="24"/>
        </w:rPr>
        <w:t>Archives of Razi Institute</w:t>
      </w:r>
      <w:r w:rsidRPr="005F040C">
        <w:rPr>
          <w:rFonts w:ascii="Times New Roman" w:hAnsi="Times New Roman" w:cs="Times New Roman"/>
          <w:sz w:val="24"/>
          <w:szCs w:val="24"/>
        </w:rPr>
        <w:t>, </w:t>
      </w:r>
      <w:r w:rsidRPr="005F040C">
        <w:rPr>
          <w:rFonts w:ascii="Times New Roman" w:hAnsi="Times New Roman" w:cs="Times New Roman"/>
          <w:i/>
          <w:iCs/>
          <w:sz w:val="24"/>
          <w:szCs w:val="24"/>
        </w:rPr>
        <w:t>77</w:t>
      </w:r>
      <w:r w:rsidRPr="005F040C">
        <w:rPr>
          <w:rFonts w:ascii="Times New Roman" w:hAnsi="Times New Roman" w:cs="Times New Roman"/>
          <w:sz w:val="24"/>
          <w:szCs w:val="24"/>
        </w:rPr>
        <w:t>(5), p.1527.</w:t>
      </w:r>
    </w:p>
    <w:p w14:paraId="77D77A75"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Gonzalez, C.G., 2022. SDG 2: End Hunger, Achieve food security and improved nutrition, and promote sustainable agriculture.</w:t>
      </w:r>
    </w:p>
    <w:p w14:paraId="2081C727" w14:textId="77777777" w:rsidR="00D30DF3" w:rsidRDefault="00D30DF3" w:rsidP="004505F1">
      <w:pPr>
        <w:spacing w:line="360" w:lineRule="auto"/>
        <w:ind w:left="720" w:hanging="720"/>
        <w:jc w:val="both"/>
        <w:rPr>
          <w:rFonts w:ascii="Times New Roman" w:hAnsi="Times New Roman" w:cs="Times New Roman"/>
          <w:sz w:val="24"/>
          <w:szCs w:val="24"/>
        </w:rPr>
      </w:pPr>
      <w:r w:rsidRPr="00E160B0">
        <w:rPr>
          <w:rFonts w:ascii="Times New Roman" w:hAnsi="Times New Roman" w:cs="Times New Roman"/>
          <w:sz w:val="24"/>
          <w:szCs w:val="24"/>
        </w:rPr>
        <w:t>Goodwin, J. and Zaman, U., 2023. mental health stigma and UN sustainable development goals. </w:t>
      </w:r>
      <w:r w:rsidRPr="00E160B0">
        <w:rPr>
          <w:rFonts w:ascii="Times New Roman" w:hAnsi="Times New Roman" w:cs="Times New Roman"/>
          <w:i/>
          <w:iCs/>
          <w:sz w:val="24"/>
          <w:szCs w:val="24"/>
        </w:rPr>
        <w:t>Frontiers in psychiatry</w:t>
      </w:r>
      <w:r w:rsidRPr="00E160B0">
        <w:rPr>
          <w:rFonts w:ascii="Times New Roman" w:hAnsi="Times New Roman" w:cs="Times New Roman"/>
          <w:sz w:val="24"/>
          <w:szCs w:val="24"/>
        </w:rPr>
        <w:t>, </w:t>
      </w:r>
      <w:r w:rsidRPr="00E160B0">
        <w:rPr>
          <w:rFonts w:ascii="Times New Roman" w:hAnsi="Times New Roman" w:cs="Times New Roman"/>
          <w:i/>
          <w:iCs/>
          <w:sz w:val="24"/>
          <w:szCs w:val="24"/>
        </w:rPr>
        <w:t>14</w:t>
      </w:r>
      <w:r w:rsidRPr="00E160B0">
        <w:rPr>
          <w:rFonts w:ascii="Times New Roman" w:hAnsi="Times New Roman" w:cs="Times New Roman"/>
          <w:sz w:val="24"/>
          <w:szCs w:val="24"/>
        </w:rPr>
        <w:t>, p.1190406.</w:t>
      </w:r>
    </w:p>
    <w:p w14:paraId="2DC1E555"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Hurduzeu, G., Pânzaru, R.L., Medelete, D.M., Ciobanu, A. and Enea, C., 2022. The development of sustainable agriculture in EU countries and the potential achievement of sustainable development goals specific targets (SDG 2). </w:t>
      </w:r>
      <w:r w:rsidRPr="005F040C">
        <w:rPr>
          <w:rFonts w:ascii="Times New Roman" w:hAnsi="Times New Roman" w:cs="Times New Roman"/>
          <w:i/>
          <w:iCs/>
          <w:sz w:val="24"/>
          <w:szCs w:val="24"/>
        </w:rPr>
        <w:t>Sustainability</w:t>
      </w:r>
      <w:r w:rsidRPr="005F040C">
        <w:rPr>
          <w:rFonts w:ascii="Times New Roman" w:hAnsi="Times New Roman" w:cs="Times New Roman"/>
          <w:sz w:val="24"/>
          <w:szCs w:val="24"/>
        </w:rPr>
        <w:t>, </w:t>
      </w:r>
      <w:r w:rsidRPr="005F040C">
        <w:rPr>
          <w:rFonts w:ascii="Times New Roman" w:hAnsi="Times New Roman" w:cs="Times New Roman"/>
          <w:i/>
          <w:iCs/>
          <w:sz w:val="24"/>
          <w:szCs w:val="24"/>
        </w:rPr>
        <w:t>14</w:t>
      </w:r>
      <w:r w:rsidRPr="005F040C">
        <w:rPr>
          <w:rFonts w:ascii="Times New Roman" w:hAnsi="Times New Roman" w:cs="Times New Roman"/>
          <w:sz w:val="24"/>
          <w:szCs w:val="24"/>
        </w:rPr>
        <w:t>(23), p.15798.</w:t>
      </w:r>
    </w:p>
    <w:p w14:paraId="0287B045" w14:textId="77777777" w:rsidR="00D30DF3" w:rsidRDefault="00D30DF3" w:rsidP="004505F1">
      <w:pPr>
        <w:spacing w:line="360" w:lineRule="auto"/>
        <w:ind w:left="720" w:hanging="720"/>
        <w:jc w:val="both"/>
        <w:rPr>
          <w:rFonts w:ascii="Times New Roman" w:hAnsi="Times New Roman" w:cs="Times New Roman"/>
          <w:sz w:val="24"/>
          <w:szCs w:val="24"/>
        </w:rPr>
      </w:pPr>
      <w:r w:rsidRPr="00B52199">
        <w:rPr>
          <w:rFonts w:ascii="Times New Roman" w:hAnsi="Times New Roman" w:cs="Times New Roman"/>
          <w:sz w:val="24"/>
          <w:szCs w:val="24"/>
        </w:rPr>
        <w:t>Huseynov, A., 2025. Modular system for corporate mobility management.</w:t>
      </w:r>
    </w:p>
    <w:p w14:paraId="2A81F7FF" w14:textId="77777777" w:rsidR="00D30DF3" w:rsidRDefault="00D30DF3" w:rsidP="004505F1">
      <w:pPr>
        <w:spacing w:line="360" w:lineRule="auto"/>
        <w:ind w:left="720" w:hanging="720"/>
        <w:jc w:val="both"/>
        <w:rPr>
          <w:rFonts w:ascii="Times New Roman" w:hAnsi="Times New Roman" w:cs="Times New Roman"/>
          <w:sz w:val="24"/>
          <w:szCs w:val="24"/>
        </w:rPr>
      </w:pPr>
      <w:r w:rsidRPr="00E160B0">
        <w:rPr>
          <w:rFonts w:ascii="Times New Roman" w:hAnsi="Times New Roman" w:cs="Times New Roman"/>
          <w:sz w:val="24"/>
          <w:szCs w:val="24"/>
        </w:rPr>
        <w:t>Katsuma, Y., 2022. Global Health diplomacy to combat communicable diseases and to promote universal health coverage in achieving the sustainable development goal 3. In Sustainable Development Disciplines for Humanity: Breaking Down the 5Ps—People, Planet, Prosperity, Peace, and Partnerships (pp. 17-35). Singapore: Springer Nature Singapore.</w:t>
      </w:r>
    </w:p>
    <w:p w14:paraId="5713BC91" w14:textId="77777777" w:rsidR="00D30DF3" w:rsidRDefault="00D30DF3" w:rsidP="004505F1">
      <w:pPr>
        <w:spacing w:line="360" w:lineRule="auto"/>
        <w:ind w:left="720" w:hanging="720"/>
        <w:jc w:val="both"/>
        <w:rPr>
          <w:rFonts w:ascii="Times New Roman" w:hAnsi="Times New Roman" w:cs="Times New Roman"/>
          <w:sz w:val="24"/>
          <w:szCs w:val="24"/>
        </w:rPr>
      </w:pPr>
      <w:r w:rsidRPr="00B52199">
        <w:rPr>
          <w:rFonts w:ascii="Times New Roman" w:hAnsi="Times New Roman" w:cs="Times New Roman"/>
          <w:sz w:val="24"/>
          <w:szCs w:val="24"/>
        </w:rPr>
        <w:lastRenderedPageBreak/>
        <w:t>Lapena, C., Continente, X., Sánchez Mascuñano, A., Mari dell’Olmo, M. and López, M.J., 2022. Effectiveness of a community intervention to reduce social isolation among older people in low-income neighbourhoods. </w:t>
      </w:r>
      <w:r w:rsidRPr="00B52199">
        <w:rPr>
          <w:rFonts w:ascii="Times New Roman" w:hAnsi="Times New Roman" w:cs="Times New Roman"/>
          <w:i/>
          <w:iCs/>
          <w:sz w:val="24"/>
          <w:szCs w:val="24"/>
        </w:rPr>
        <w:t>European journal of public health</w:t>
      </w:r>
      <w:r w:rsidRPr="00B52199">
        <w:rPr>
          <w:rFonts w:ascii="Times New Roman" w:hAnsi="Times New Roman" w:cs="Times New Roman"/>
          <w:sz w:val="24"/>
          <w:szCs w:val="24"/>
        </w:rPr>
        <w:t>, </w:t>
      </w:r>
      <w:r w:rsidRPr="00B52199">
        <w:rPr>
          <w:rFonts w:ascii="Times New Roman" w:hAnsi="Times New Roman" w:cs="Times New Roman"/>
          <w:i/>
          <w:iCs/>
          <w:sz w:val="24"/>
          <w:szCs w:val="24"/>
        </w:rPr>
        <w:t>32</w:t>
      </w:r>
      <w:r w:rsidRPr="00B52199">
        <w:rPr>
          <w:rFonts w:ascii="Times New Roman" w:hAnsi="Times New Roman" w:cs="Times New Roman"/>
          <w:sz w:val="24"/>
          <w:szCs w:val="24"/>
        </w:rPr>
        <w:t>(5), pp.677-683.</w:t>
      </w:r>
    </w:p>
    <w:p w14:paraId="2B35E9BC"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Lile, R., Ocnean, M., Balan, I.M. and KIBA, D., 2023. Challenges for zero hunger (SDG 2): Links with other SDGs. </w:t>
      </w:r>
      <w:r w:rsidRPr="005F040C">
        <w:rPr>
          <w:rFonts w:ascii="Times New Roman" w:hAnsi="Times New Roman" w:cs="Times New Roman"/>
          <w:i/>
          <w:iCs/>
          <w:sz w:val="24"/>
          <w:szCs w:val="24"/>
        </w:rPr>
        <w:t>Transitioning to Zero Hunger. Chapter, MDPI</w:t>
      </w:r>
      <w:r w:rsidRPr="005F040C">
        <w:rPr>
          <w:rFonts w:ascii="Times New Roman" w:hAnsi="Times New Roman" w:cs="Times New Roman"/>
          <w:sz w:val="24"/>
          <w:szCs w:val="24"/>
        </w:rPr>
        <w:t>, pp.9-66.</w:t>
      </w:r>
    </w:p>
    <w:p w14:paraId="4E5489B8"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Lupton, D., 2021. Young people’s use of digital health technologies in the global north: Narrative review. </w:t>
      </w:r>
      <w:r w:rsidRPr="005F040C">
        <w:rPr>
          <w:rFonts w:ascii="Times New Roman" w:hAnsi="Times New Roman" w:cs="Times New Roman"/>
          <w:i/>
          <w:iCs/>
          <w:sz w:val="24"/>
          <w:szCs w:val="24"/>
        </w:rPr>
        <w:t>Journal of Medical Internet Research</w:t>
      </w:r>
      <w:r w:rsidRPr="005F040C">
        <w:rPr>
          <w:rFonts w:ascii="Times New Roman" w:hAnsi="Times New Roman" w:cs="Times New Roman"/>
          <w:sz w:val="24"/>
          <w:szCs w:val="24"/>
        </w:rPr>
        <w:t>, </w:t>
      </w:r>
      <w:r w:rsidRPr="005F040C">
        <w:rPr>
          <w:rFonts w:ascii="Times New Roman" w:hAnsi="Times New Roman" w:cs="Times New Roman"/>
          <w:i/>
          <w:iCs/>
          <w:sz w:val="24"/>
          <w:szCs w:val="24"/>
        </w:rPr>
        <w:t>23</w:t>
      </w:r>
      <w:r w:rsidRPr="005F040C">
        <w:rPr>
          <w:rFonts w:ascii="Times New Roman" w:hAnsi="Times New Roman" w:cs="Times New Roman"/>
          <w:sz w:val="24"/>
          <w:szCs w:val="24"/>
        </w:rPr>
        <w:t>(1), p.e18286.</w:t>
      </w:r>
    </w:p>
    <w:p w14:paraId="1C342912" w14:textId="77777777" w:rsidR="00D30DF3" w:rsidRDefault="00D30DF3" w:rsidP="004505F1">
      <w:pPr>
        <w:spacing w:line="360" w:lineRule="auto"/>
        <w:ind w:left="720" w:hanging="720"/>
        <w:jc w:val="both"/>
        <w:rPr>
          <w:rFonts w:ascii="Times New Roman" w:hAnsi="Times New Roman" w:cs="Times New Roman"/>
          <w:sz w:val="24"/>
          <w:szCs w:val="24"/>
        </w:rPr>
      </w:pPr>
      <w:r w:rsidRPr="00D30DF3">
        <w:rPr>
          <w:rFonts w:ascii="Times New Roman" w:hAnsi="Times New Roman" w:cs="Times New Roman"/>
          <w:sz w:val="24"/>
          <w:szCs w:val="24"/>
        </w:rPr>
        <w:t>Muonde, M., Olorunsogo, T.O., Ogugua, J.O., Maduka, C.P., Omotayo, O., Muonde, M., Olorunsogo, T.O., Ogugua, J.O., Maduka, C.P. and Omotayo, O., 2024. Global nutrition challenges: A public health review of dietary risks and interventions. </w:t>
      </w:r>
      <w:r w:rsidRPr="00D30DF3">
        <w:rPr>
          <w:rFonts w:ascii="Times New Roman" w:hAnsi="Times New Roman" w:cs="Times New Roman"/>
          <w:i/>
          <w:iCs/>
          <w:sz w:val="24"/>
          <w:szCs w:val="24"/>
        </w:rPr>
        <w:t>World Journal of Advanced Research and Reviews</w:t>
      </w:r>
      <w:r w:rsidRPr="00D30DF3">
        <w:rPr>
          <w:rFonts w:ascii="Times New Roman" w:hAnsi="Times New Roman" w:cs="Times New Roman"/>
          <w:sz w:val="24"/>
          <w:szCs w:val="24"/>
        </w:rPr>
        <w:t>, </w:t>
      </w:r>
      <w:r w:rsidRPr="00D30DF3">
        <w:rPr>
          <w:rFonts w:ascii="Times New Roman" w:hAnsi="Times New Roman" w:cs="Times New Roman"/>
          <w:i/>
          <w:iCs/>
          <w:sz w:val="24"/>
          <w:szCs w:val="24"/>
        </w:rPr>
        <w:t>21</w:t>
      </w:r>
      <w:r w:rsidRPr="00D30DF3">
        <w:rPr>
          <w:rFonts w:ascii="Times New Roman" w:hAnsi="Times New Roman" w:cs="Times New Roman"/>
          <w:sz w:val="24"/>
          <w:szCs w:val="24"/>
        </w:rPr>
        <w:t>(1), pp.1467-1478.</w:t>
      </w:r>
    </w:p>
    <w:p w14:paraId="1818471F"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Muriithi Wanjiku, G., The Impact of Malnutrition on Child Development: Understanding Long-Term Health and Cognitive Outcomes.</w:t>
      </w:r>
    </w:p>
    <w:p w14:paraId="766D30D9"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Rudiger, A., 2023. The equity effect of universal health care. </w:t>
      </w:r>
      <w:r w:rsidRPr="00683B5D">
        <w:rPr>
          <w:rFonts w:ascii="Times New Roman" w:hAnsi="Times New Roman" w:cs="Times New Roman"/>
          <w:i/>
          <w:iCs/>
          <w:sz w:val="24"/>
          <w:szCs w:val="24"/>
        </w:rPr>
        <w:t>Health and Human Rights</w:t>
      </w:r>
      <w:r w:rsidRPr="00683B5D">
        <w:rPr>
          <w:rFonts w:ascii="Times New Roman" w:hAnsi="Times New Roman" w:cs="Times New Roman"/>
          <w:sz w:val="24"/>
          <w:szCs w:val="24"/>
        </w:rPr>
        <w:t>, </w:t>
      </w:r>
      <w:r w:rsidRPr="00683B5D">
        <w:rPr>
          <w:rFonts w:ascii="Times New Roman" w:hAnsi="Times New Roman" w:cs="Times New Roman"/>
          <w:i/>
          <w:iCs/>
          <w:sz w:val="24"/>
          <w:szCs w:val="24"/>
        </w:rPr>
        <w:t>25</w:t>
      </w:r>
      <w:r w:rsidRPr="00683B5D">
        <w:rPr>
          <w:rFonts w:ascii="Times New Roman" w:hAnsi="Times New Roman" w:cs="Times New Roman"/>
          <w:sz w:val="24"/>
          <w:szCs w:val="24"/>
        </w:rPr>
        <w:t>(2), p.171.</w:t>
      </w:r>
    </w:p>
    <w:p w14:paraId="55F7E4B3"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Sengupta, S., Choudhary, S., Obayi, R. and Nayak, R., 2024. Reducing food loss through sustainable business models and agricultural innovation systems. </w:t>
      </w:r>
      <w:r w:rsidRPr="00683B5D">
        <w:rPr>
          <w:rFonts w:ascii="Times New Roman" w:hAnsi="Times New Roman" w:cs="Times New Roman"/>
          <w:i/>
          <w:iCs/>
          <w:sz w:val="24"/>
          <w:szCs w:val="24"/>
        </w:rPr>
        <w:t>Supply Chain Management: An International Journal</w:t>
      </w:r>
      <w:r w:rsidRPr="00683B5D">
        <w:rPr>
          <w:rFonts w:ascii="Times New Roman" w:hAnsi="Times New Roman" w:cs="Times New Roman"/>
          <w:sz w:val="24"/>
          <w:szCs w:val="24"/>
        </w:rPr>
        <w:t>, </w:t>
      </w:r>
      <w:r w:rsidRPr="00683B5D">
        <w:rPr>
          <w:rFonts w:ascii="Times New Roman" w:hAnsi="Times New Roman" w:cs="Times New Roman"/>
          <w:i/>
          <w:iCs/>
          <w:sz w:val="24"/>
          <w:szCs w:val="24"/>
        </w:rPr>
        <w:t>29</w:t>
      </w:r>
      <w:r w:rsidRPr="00683B5D">
        <w:rPr>
          <w:rFonts w:ascii="Times New Roman" w:hAnsi="Times New Roman" w:cs="Times New Roman"/>
          <w:sz w:val="24"/>
          <w:szCs w:val="24"/>
        </w:rPr>
        <w:t>(3), pp.540-572.</w:t>
      </w:r>
    </w:p>
    <w:p w14:paraId="220D8836" w14:textId="77777777" w:rsidR="00D30DF3" w:rsidRDefault="00D30DF3" w:rsidP="004505F1">
      <w:pPr>
        <w:spacing w:line="360" w:lineRule="auto"/>
        <w:ind w:left="720" w:hanging="720"/>
        <w:jc w:val="both"/>
        <w:rPr>
          <w:rFonts w:ascii="Times New Roman" w:hAnsi="Times New Roman" w:cs="Times New Roman"/>
          <w:sz w:val="24"/>
          <w:szCs w:val="24"/>
        </w:rPr>
      </w:pPr>
      <w:r w:rsidRPr="005F040C">
        <w:rPr>
          <w:rFonts w:ascii="Times New Roman" w:hAnsi="Times New Roman" w:cs="Times New Roman"/>
          <w:sz w:val="24"/>
          <w:szCs w:val="24"/>
        </w:rPr>
        <w:t>Siiger, C., 2023. Social gastronomy initiatives in Copenhagen, Denmark for food security, sustainability and health. </w:t>
      </w:r>
      <w:r w:rsidRPr="005F040C">
        <w:rPr>
          <w:rFonts w:ascii="Times New Roman" w:hAnsi="Times New Roman" w:cs="Times New Roman"/>
          <w:i/>
          <w:iCs/>
          <w:sz w:val="24"/>
          <w:szCs w:val="24"/>
        </w:rPr>
        <w:t>European Journal of Public Health</w:t>
      </w:r>
      <w:r w:rsidRPr="005F040C">
        <w:rPr>
          <w:rFonts w:ascii="Times New Roman" w:hAnsi="Times New Roman" w:cs="Times New Roman"/>
          <w:sz w:val="24"/>
          <w:szCs w:val="24"/>
        </w:rPr>
        <w:t>, </w:t>
      </w:r>
      <w:r w:rsidRPr="005F040C">
        <w:rPr>
          <w:rFonts w:ascii="Times New Roman" w:hAnsi="Times New Roman" w:cs="Times New Roman"/>
          <w:i/>
          <w:iCs/>
          <w:sz w:val="24"/>
          <w:szCs w:val="24"/>
        </w:rPr>
        <w:t>33</w:t>
      </w:r>
      <w:r w:rsidRPr="005F040C">
        <w:rPr>
          <w:rFonts w:ascii="Times New Roman" w:hAnsi="Times New Roman" w:cs="Times New Roman"/>
          <w:sz w:val="24"/>
          <w:szCs w:val="24"/>
        </w:rPr>
        <w:t>(Supplement_2), pp.ckad160-1094.</w:t>
      </w:r>
    </w:p>
    <w:p w14:paraId="7C2F49A5" w14:textId="77777777" w:rsidR="00D30DF3" w:rsidRDefault="00D30DF3" w:rsidP="004505F1">
      <w:pPr>
        <w:spacing w:line="360" w:lineRule="auto"/>
        <w:ind w:left="720" w:hanging="720"/>
        <w:jc w:val="both"/>
        <w:rPr>
          <w:rFonts w:ascii="Times New Roman" w:hAnsi="Times New Roman" w:cs="Times New Roman"/>
          <w:sz w:val="24"/>
          <w:szCs w:val="24"/>
        </w:rPr>
      </w:pPr>
      <w:r w:rsidRPr="00B52199">
        <w:rPr>
          <w:rFonts w:ascii="Times New Roman" w:hAnsi="Times New Roman" w:cs="Times New Roman"/>
          <w:sz w:val="24"/>
          <w:szCs w:val="24"/>
        </w:rPr>
        <w:t>Thorndike, A.N., Gardner, C.D., Kendrick, K.B., Seligman, H.K., Yaroch, A.L., Gomes, A.V., Ivy, K.N., Scarmo, S., Cotwright, C.J., Schwartz, M.B. and American Heart Association Advocacy Coordinating Committee, 2022. Strengthening US food policies and programs to promote equity in nutrition security: a policy statement from the American Heart Association. </w:t>
      </w:r>
      <w:r w:rsidRPr="00B52199">
        <w:rPr>
          <w:rFonts w:ascii="Times New Roman" w:hAnsi="Times New Roman" w:cs="Times New Roman"/>
          <w:i/>
          <w:iCs/>
          <w:sz w:val="24"/>
          <w:szCs w:val="24"/>
        </w:rPr>
        <w:t>Circulation</w:t>
      </w:r>
      <w:r w:rsidRPr="00B52199">
        <w:rPr>
          <w:rFonts w:ascii="Times New Roman" w:hAnsi="Times New Roman" w:cs="Times New Roman"/>
          <w:sz w:val="24"/>
          <w:szCs w:val="24"/>
        </w:rPr>
        <w:t>, </w:t>
      </w:r>
      <w:r w:rsidRPr="00B52199">
        <w:rPr>
          <w:rFonts w:ascii="Times New Roman" w:hAnsi="Times New Roman" w:cs="Times New Roman"/>
          <w:i/>
          <w:iCs/>
          <w:sz w:val="24"/>
          <w:szCs w:val="24"/>
        </w:rPr>
        <w:t>145</w:t>
      </w:r>
      <w:r w:rsidRPr="00B52199">
        <w:rPr>
          <w:rFonts w:ascii="Times New Roman" w:hAnsi="Times New Roman" w:cs="Times New Roman"/>
          <w:sz w:val="24"/>
          <w:szCs w:val="24"/>
        </w:rPr>
        <w:t>(24), pp.e1077-e1093.</w:t>
      </w:r>
    </w:p>
    <w:p w14:paraId="3D292A77" w14:textId="77777777" w:rsidR="00D30DF3" w:rsidRDefault="00D30DF3" w:rsidP="004505F1">
      <w:pPr>
        <w:spacing w:line="360" w:lineRule="auto"/>
        <w:ind w:left="720" w:hanging="720"/>
        <w:jc w:val="both"/>
        <w:rPr>
          <w:rFonts w:ascii="Times New Roman" w:hAnsi="Times New Roman" w:cs="Times New Roman"/>
          <w:sz w:val="24"/>
          <w:szCs w:val="24"/>
        </w:rPr>
      </w:pPr>
      <w:r w:rsidRPr="00D30DF3">
        <w:rPr>
          <w:rFonts w:ascii="Times New Roman" w:hAnsi="Times New Roman" w:cs="Times New Roman"/>
          <w:sz w:val="24"/>
          <w:szCs w:val="24"/>
        </w:rPr>
        <w:t>Weingarten, N., 2023. </w:t>
      </w:r>
      <w:r w:rsidRPr="00D30DF3">
        <w:rPr>
          <w:rFonts w:ascii="Times New Roman" w:hAnsi="Times New Roman" w:cs="Times New Roman"/>
          <w:i/>
          <w:iCs/>
          <w:sz w:val="24"/>
          <w:szCs w:val="24"/>
        </w:rPr>
        <w:t>The effect of information provision on attitude, intention, and food choice behaviour</w:t>
      </w:r>
      <w:r w:rsidRPr="00D30DF3">
        <w:rPr>
          <w:rFonts w:ascii="Times New Roman" w:hAnsi="Times New Roman" w:cs="Times New Roman"/>
          <w:sz w:val="24"/>
          <w:szCs w:val="24"/>
        </w:rPr>
        <w:t> (Doctoral dissertation, Universitäts-und Landesbibliothek Bonn).</w:t>
      </w:r>
    </w:p>
    <w:p w14:paraId="6F4EE3E1"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lastRenderedPageBreak/>
        <w:t>World Health Organization, 2021. Compendium of WHO and other UN guidance on health and environment.</w:t>
      </w:r>
    </w:p>
    <w:p w14:paraId="408927F9" w14:textId="77777777" w:rsidR="00D30DF3" w:rsidRDefault="00D30DF3" w:rsidP="004505F1">
      <w:pPr>
        <w:spacing w:line="360" w:lineRule="auto"/>
        <w:ind w:left="720" w:hanging="720"/>
        <w:jc w:val="both"/>
        <w:rPr>
          <w:rFonts w:ascii="Times New Roman" w:hAnsi="Times New Roman" w:cs="Times New Roman"/>
          <w:sz w:val="24"/>
          <w:szCs w:val="24"/>
        </w:rPr>
      </w:pPr>
      <w:r w:rsidRPr="00683B5D">
        <w:rPr>
          <w:rFonts w:ascii="Times New Roman" w:hAnsi="Times New Roman" w:cs="Times New Roman"/>
          <w:sz w:val="24"/>
          <w:szCs w:val="24"/>
        </w:rPr>
        <w:t>Ximenes, S.M., 2025. School feeding program and Sustainable Development Goals (SDGs) in education: Linking food security to learning outcomes in Timor-Leste. </w:t>
      </w:r>
      <w:r w:rsidRPr="00683B5D">
        <w:rPr>
          <w:rFonts w:ascii="Times New Roman" w:hAnsi="Times New Roman" w:cs="Times New Roman"/>
          <w:i/>
          <w:iCs/>
          <w:sz w:val="24"/>
          <w:szCs w:val="24"/>
        </w:rPr>
        <w:t>ASEAN Journal for Science Education</w:t>
      </w:r>
      <w:r w:rsidRPr="00683B5D">
        <w:rPr>
          <w:rFonts w:ascii="Times New Roman" w:hAnsi="Times New Roman" w:cs="Times New Roman"/>
          <w:sz w:val="24"/>
          <w:szCs w:val="24"/>
        </w:rPr>
        <w:t>, </w:t>
      </w:r>
      <w:r w:rsidRPr="00683B5D">
        <w:rPr>
          <w:rFonts w:ascii="Times New Roman" w:hAnsi="Times New Roman" w:cs="Times New Roman"/>
          <w:i/>
          <w:iCs/>
          <w:sz w:val="24"/>
          <w:szCs w:val="24"/>
        </w:rPr>
        <w:t>4</w:t>
      </w:r>
      <w:r w:rsidRPr="00683B5D">
        <w:rPr>
          <w:rFonts w:ascii="Times New Roman" w:hAnsi="Times New Roman" w:cs="Times New Roman"/>
          <w:sz w:val="24"/>
          <w:szCs w:val="24"/>
        </w:rPr>
        <w:t>(2), pp.155-168.</w:t>
      </w:r>
    </w:p>
    <w:p w14:paraId="73302082" w14:textId="77777777" w:rsidR="00E160B0" w:rsidRDefault="00E160B0" w:rsidP="004505F1">
      <w:pPr>
        <w:spacing w:line="360" w:lineRule="auto"/>
        <w:ind w:left="720" w:hanging="720"/>
        <w:jc w:val="both"/>
        <w:rPr>
          <w:rFonts w:ascii="Times New Roman" w:hAnsi="Times New Roman" w:cs="Times New Roman"/>
          <w:sz w:val="24"/>
          <w:szCs w:val="24"/>
        </w:rPr>
      </w:pPr>
    </w:p>
    <w:sectPr w:rsidR="00E160B0">
      <w:head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AA565" w14:textId="77777777" w:rsidR="00C20C9C" w:rsidRDefault="00C20C9C" w:rsidP="00661A84">
      <w:pPr>
        <w:spacing w:after="0" w:line="240" w:lineRule="auto"/>
      </w:pPr>
      <w:r>
        <w:separator/>
      </w:r>
    </w:p>
  </w:endnote>
  <w:endnote w:type="continuationSeparator" w:id="0">
    <w:p w14:paraId="339D5141" w14:textId="77777777" w:rsidR="00C20C9C" w:rsidRDefault="00C20C9C" w:rsidP="00661A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22A8E" w14:textId="77777777" w:rsidR="00C20C9C" w:rsidRDefault="00C20C9C" w:rsidP="00661A84">
      <w:pPr>
        <w:spacing w:after="0" w:line="240" w:lineRule="auto"/>
      </w:pPr>
      <w:r>
        <w:separator/>
      </w:r>
    </w:p>
  </w:footnote>
  <w:footnote w:type="continuationSeparator" w:id="0">
    <w:p w14:paraId="6E094094" w14:textId="77777777" w:rsidR="00C20C9C" w:rsidRDefault="00C20C9C" w:rsidP="00661A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9556916"/>
      <w:docPartObj>
        <w:docPartGallery w:val="Page Numbers (Top of Page)"/>
        <w:docPartUnique/>
      </w:docPartObj>
    </w:sdtPr>
    <w:sdtEndPr>
      <w:rPr>
        <w:noProof/>
      </w:rPr>
    </w:sdtEndPr>
    <w:sdtContent>
      <w:p w14:paraId="49001F75" w14:textId="7EE4C712" w:rsidR="00661A84" w:rsidRDefault="00661A8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4937216" w14:textId="77777777" w:rsidR="00661A84" w:rsidRDefault="00661A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C5B1483"/>
    <w:multiLevelType w:val="multilevel"/>
    <w:tmpl w:val="4E7A2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8995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57A"/>
    <w:rsid w:val="000334B5"/>
    <w:rsid w:val="002E6DD1"/>
    <w:rsid w:val="00347D07"/>
    <w:rsid w:val="004505F1"/>
    <w:rsid w:val="004A6FEC"/>
    <w:rsid w:val="004F5920"/>
    <w:rsid w:val="005F040C"/>
    <w:rsid w:val="00624096"/>
    <w:rsid w:val="00657EAF"/>
    <w:rsid w:val="00661A84"/>
    <w:rsid w:val="00683B5D"/>
    <w:rsid w:val="007656CA"/>
    <w:rsid w:val="00885E3C"/>
    <w:rsid w:val="008A4EB5"/>
    <w:rsid w:val="0095557A"/>
    <w:rsid w:val="00A750AB"/>
    <w:rsid w:val="00B52199"/>
    <w:rsid w:val="00BB19C3"/>
    <w:rsid w:val="00BF3556"/>
    <w:rsid w:val="00BF42BF"/>
    <w:rsid w:val="00C20C9C"/>
    <w:rsid w:val="00D30DF3"/>
    <w:rsid w:val="00D31D57"/>
    <w:rsid w:val="00DC7BF3"/>
    <w:rsid w:val="00E160B0"/>
    <w:rsid w:val="00E22C29"/>
    <w:rsid w:val="00E74F8E"/>
    <w:rsid w:val="00F06967"/>
    <w:rsid w:val="00F134BD"/>
    <w:rsid w:val="00F4175A"/>
    <w:rsid w:val="00F80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EF87D"/>
  <w15:chartTrackingRefBased/>
  <w15:docId w15:val="{2E0C148A-637A-44DE-925B-18A78F09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05F1"/>
    <w:pPr>
      <w:keepNext/>
      <w:keepLines/>
      <w:spacing w:before="360" w:after="80"/>
      <w:outlineLvl w:val="0"/>
    </w:pPr>
    <w:rPr>
      <w:rFonts w:ascii="Times New Roman" w:eastAsiaTheme="majorEastAsia" w:hAnsi="Times New Roman" w:cstheme="majorBidi"/>
      <w:b/>
      <w:sz w:val="24"/>
      <w:szCs w:val="40"/>
    </w:rPr>
  </w:style>
  <w:style w:type="paragraph" w:styleId="Heading2">
    <w:name w:val="heading 2"/>
    <w:basedOn w:val="Normal"/>
    <w:next w:val="Normal"/>
    <w:link w:val="Heading2Char"/>
    <w:uiPriority w:val="9"/>
    <w:unhideWhenUsed/>
    <w:qFormat/>
    <w:rsid w:val="00D30DF3"/>
    <w:pPr>
      <w:keepNext/>
      <w:keepLines/>
      <w:spacing w:before="160" w:after="80"/>
      <w:outlineLvl w:val="1"/>
    </w:pPr>
    <w:rPr>
      <w:rFonts w:ascii="Times New Roman" w:eastAsiaTheme="majorEastAsia" w:hAnsi="Times New Roman" w:cstheme="majorBidi"/>
      <w:b/>
      <w:i/>
      <w:sz w:val="24"/>
      <w:szCs w:val="32"/>
    </w:rPr>
  </w:style>
  <w:style w:type="paragraph" w:styleId="Heading3">
    <w:name w:val="heading 3"/>
    <w:basedOn w:val="Normal"/>
    <w:next w:val="Normal"/>
    <w:link w:val="Heading3Char"/>
    <w:uiPriority w:val="9"/>
    <w:semiHidden/>
    <w:unhideWhenUsed/>
    <w:qFormat/>
    <w:rsid w:val="0095557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557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557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55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55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55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55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05F1"/>
    <w:rPr>
      <w:rFonts w:ascii="Times New Roman" w:eastAsiaTheme="majorEastAsia" w:hAnsi="Times New Roman" w:cstheme="majorBidi"/>
      <w:b/>
      <w:sz w:val="24"/>
      <w:szCs w:val="40"/>
    </w:rPr>
  </w:style>
  <w:style w:type="character" w:customStyle="1" w:styleId="Heading2Char">
    <w:name w:val="Heading 2 Char"/>
    <w:basedOn w:val="DefaultParagraphFont"/>
    <w:link w:val="Heading2"/>
    <w:uiPriority w:val="9"/>
    <w:rsid w:val="00D30DF3"/>
    <w:rPr>
      <w:rFonts w:ascii="Times New Roman" w:eastAsiaTheme="majorEastAsia" w:hAnsi="Times New Roman" w:cstheme="majorBidi"/>
      <w:b/>
      <w:i/>
      <w:sz w:val="24"/>
      <w:szCs w:val="32"/>
    </w:rPr>
  </w:style>
  <w:style w:type="character" w:customStyle="1" w:styleId="Heading3Char">
    <w:name w:val="Heading 3 Char"/>
    <w:basedOn w:val="DefaultParagraphFont"/>
    <w:link w:val="Heading3"/>
    <w:uiPriority w:val="9"/>
    <w:semiHidden/>
    <w:rsid w:val="0095557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557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5557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555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55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55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557A"/>
    <w:rPr>
      <w:rFonts w:eastAsiaTheme="majorEastAsia" w:cstheme="majorBidi"/>
      <w:color w:val="272727" w:themeColor="text1" w:themeTint="D8"/>
    </w:rPr>
  </w:style>
  <w:style w:type="paragraph" w:styleId="Title">
    <w:name w:val="Title"/>
    <w:basedOn w:val="Normal"/>
    <w:next w:val="Normal"/>
    <w:link w:val="TitleChar"/>
    <w:uiPriority w:val="10"/>
    <w:qFormat/>
    <w:rsid w:val="009555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55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55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55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557A"/>
    <w:pPr>
      <w:spacing w:before="160"/>
      <w:jc w:val="center"/>
    </w:pPr>
    <w:rPr>
      <w:i/>
      <w:iCs/>
      <w:color w:val="404040" w:themeColor="text1" w:themeTint="BF"/>
    </w:rPr>
  </w:style>
  <w:style w:type="character" w:customStyle="1" w:styleId="QuoteChar">
    <w:name w:val="Quote Char"/>
    <w:basedOn w:val="DefaultParagraphFont"/>
    <w:link w:val="Quote"/>
    <w:uiPriority w:val="29"/>
    <w:rsid w:val="0095557A"/>
    <w:rPr>
      <w:i/>
      <w:iCs/>
      <w:color w:val="404040" w:themeColor="text1" w:themeTint="BF"/>
    </w:rPr>
  </w:style>
  <w:style w:type="paragraph" w:styleId="ListParagraph">
    <w:name w:val="List Paragraph"/>
    <w:basedOn w:val="Normal"/>
    <w:uiPriority w:val="34"/>
    <w:qFormat/>
    <w:rsid w:val="0095557A"/>
    <w:pPr>
      <w:ind w:left="720"/>
      <w:contextualSpacing/>
    </w:pPr>
  </w:style>
  <w:style w:type="character" w:styleId="IntenseEmphasis">
    <w:name w:val="Intense Emphasis"/>
    <w:basedOn w:val="DefaultParagraphFont"/>
    <w:uiPriority w:val="21"/>
    <w:qFormat/>
    <w:rsid w:val="0095557A"/>
    <w:rPr>
      <w:i/>
      <w:iCs/>
      <w:color w:val="2F5496" w:themeColor="accent1" w:themeShade="BF"/>
    </w:rPr>
  </w:style>
  <w:style w:type="paragraph" w:styleId="IntenseQuote">
    <w:name w:val="Intense Quote"/>
    <w:basedOn w:val="Normal"/>
    <w:next w:val="Normal"/>
    <w:link w:val="IntenseQuoteChar"/>
    <w:uiPriority w:val="30"/>
    <w:qFormat/>
    <w:rsid w:val="0095557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557A"/>
    <w:rPr>
      <w:i/>
      <w:iCs/>
      <w:color w:val="2F5496" w:themeColor="accent1" w:themeShade="BF"/>
    </w:rPr>
  </w:style>
  <w:style w:type="character" w:styleId="IntenseReference">
    <w:name w:val="Intense Reference"/>
    <w:basedOn w:val="DefaultParagraphFont"/>
    <w:uiPriority w:val="32"/>
    <w:qFormat/>
    <w:rsid w:val="0095557A"/>
    <w:rPr>
      <w:b/>
      <w:bCs/>
      <w:smallCaps/>
      <w:color w:val="2F5496" w:themeColor="accent1" w:themeShade="BF"/>
      <w:spacing w:val="5"/>
    </w:rPr>
  </w:style>
  <w:style w:type="character" w:styleId="Hyperlink">
    <w:name w:val="Hyperlink"/>
    <w:basedOn w:val="DefaultParagraphFont"/>
    <w:uiPriority w:val="99"/>
    <w:unhideWhenUsed/>
    <w:rsid w:val="0095557A"/>
    <w:rPr>
      <w:color w:val="0563C1" w:themeColor="hyperlink"/>
      <w:u w:val="single"/>
    </w:rPr>
  </w:style>
  <w:style w:type="character" w:styleId="UnresolvedMention">
    <w:name w:val="Unresolved Mention"/>
    <w:basedOn w:val="DefaultParagraphFont"/>
    <w:uiPriority w:val="99"/>
    <w:semiHidden/>
    <w:unhideWhenUsed/>
    <w:rsid w:val="0095557A"/>
    <w:rPr>
      <w:color w:val="605E5C"/>
      <w:shd w:val="clear" w:color="auto" w:fill="E1DFDD"/>
    </w:rPr>
  </w:style>
  <w:style w:type="paragraph" w:styleId="TOCHeading">
    <w:name w:val="TOC Heading"/>
    <w:basedOn w:val="Heading1"/>
    <w:next w:val="Normal"/>
    <w:uiPriority w:val="39"/>
    <w:unhideWhenUsed/>
    <w:qFormat/>
    <w:rsid w:val="00661A84"/>
    <w:pPr>
      <w:spacing w:before="240" w:after="0"/>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661A84"/>
    <w:pPr>
      <w:spacing w:after="100"/>
    </w:pPr>
  </w:style>
  <w:style w:type="paragraph" w:styleId="TOC2">
    <w:name w:val="toc 2"/>
    <w:basedOn w:val="Normal"/>
    <w:next w:val="Normal"/>
    <w:autoRedefine/>
    <w:uiPriority w:val="39"/>
    <w:unhideWhenUsed/>
    <w:rsid w:val="00661A84"/>
    <w:pPr>
      <w:spacing w:after="100"/>
      <w:ind w:left="220"/>
    </w:pPr>
  </w:style>
  <w:style w:type="paragraph" w:styleId="Header">
    <w:name w:val="header"/>
    <w:basedOn w:val="Normal"/>
    <w:link w:val="HeaderChar"/>
    <w:uiPriority w:val="99"/>
    <w:unhideWhenUsed/>
    <w:rsid w:val="00661A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1A84"/>
  </w:style>
  <w:style w:type="paragraph" w:styleId="Footer">
    <w:name w:val="footer"/>
    <w:basedOn w:val="Normal"/>
    <w:link w:val="FooterChar"/>
    <w:uiPriority w:val="99"/>
    <w:unhideWhenUsed/>
    <w:rsid w:val="00661A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1A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C5A3DB-DBD0-4CE1-A881-389C584022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3420</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Agyeiwaa Mensah</dc:creator>
  <cp:keywords/>
  <dc:description/>
  <cp:lastModifiedBy>Agyeiwaa Mensah (2228231)</cp:lastModifiedBy>
  <cp:revision>3</cp:revision>
  <dcterms:created xsi:type="dcterms:W3CDTF">2025-12-09T09:44:00Z</dcterms:created>
  <dcterms:modified xsi:type="dcterms:W3CDTF">2025-12-10T22:01:00Z</dcterms:modified>
</cp:coreProperties>
</file>