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55EE1" w:rsidRPr="00631565" w:rsidRDefault="00E55EE1" w:rsidP="007D39BE">
      <w:pPr>
        <w:spacing w:before="120" w:after="120" w:line="360" w:lineRule="auto"/>
        <w:jc w:val="center"/>
        <w:rPr>
          <w:b/>
          <w:sz w:val="24"/>
          <w:szCs w:val="24"/>
        </w:rPr>
      </w:pPr>
    </w:p>
    <w:p w:rsidR="00E55EE1" w:rsidRPr="00631565" w:rsidRDefault="00E55EE1" w:rsidP="007D39BE">
      <w:pPr>
        <w:spacing w:before="120" w:after="120" w:line="360" w:lineRule="auto"/>
        <w:jc w:val="center"/>
        <w:rPr>
          <w:b/>
          <w:sz w:val="24"/>
          <w:szCs w:val="24"/>
        </w:rPr>
      </w:pPr>
    </w:p>
    <w:p w:rsidR="00E55EE1" w:rsidRPr="00631565" w:rsidRDefault="00E55EE1" w:rsidP="007D39BE">
      <w:pPr>
        <w:spacing w:before="120" w:after="120" w:line="360" w:lineRule="auto"/>
        <w:jc w:val="center"/>
        <w:rPr>
          <w:b/>
          <w:sz w:val="24"/>
          <w:szCs w:val="24"/>
        </w:rPr>
      </w:pPr>
    </w:p>
    <w:p w:rsidR="00E55EE1" w:rsidRPr="00631565" w:rsidRDefault="00E55EE1" w:rsidP="007D39BE">
      <w:pPr>
        <w:spacing w:before="120" w:after="120" w:line="360" w:lineRule="auto"/>
        <w:jc w:val="center"/>
        <w:rPr>
          <w:b/>
          <w:sz w:val="24"/>
          <w:szCs w:val="24"/>
        </w:rPr>
      </w:pPr>
    </w:p>
    <w:p w:rsidR="00E55EE1" w:rsidRPr="00631565" w:rsidRDefault="00E55EE1" w:rsidP="007D39BE">
      <w:pPr>
        <w:spacing w:before="120" w:after="120" w:line="360" w:lineRule="auto"/>
        <w:jc w:val="center"/>
        <w:rPr>
          <w:b/>
          <w:sz w:val="24"/>
          <w:szCs w:val="24"/>
        </w:rPr>
      </w:pPr>
    </w:p>
    <w:p w:rsidR="00E55EE1" w:rsidRPr="00631565" w:rsidRDefault="00E55EE1" w:rsidP="007D39BE">
      <w:pPr>
        <w:spacing w:before="120" w:after="120" w:line="360" w:lineRule="auto"/>
        <w:jc w:val="center"/>
        <w:rPr>
          <w:b/>
          <w:sz w:val="24"/>
          <w:szCs w:val="24"/>
        </w:rPr>
      </w:pPr>
    </w:p>
    <w:p w:rsidR="00E55EE1" w:rsidRPr="00631565" w:rsidRDefault="00E55EE1" w:rsidP="007D39BE">
      <w:pPr>
        <w:spacing w:before="120" w:after="120" w:line="360" w:lineRule="auto"/>
        <w:jc w:val="center"/>
        <w:rPr>
          <w:b/>
          <w:sz w:val="24"/>
          <w:szCs w:val="24"/>
        </w:rPr>
      </w:pPr>
    </w:p>
    <w:p w:rsidR="00E55EE1" w:rsidRPr="00631565" w:rsidRDefault="00E55EE1" w:rsidP="007D39BE">
      <w:pPr>
        <w:spacing w:before="120" w:after="120" w:line="360" w:lineRule="auto"/>
        <w:jc w:val="center"/>
        <w:rPr>
          <w:b/>
          <w:sz w:val="24"/>
          <w:szCs w:val="24"/>
        </w:rPr>
      </w:pPr>
    </w:p>
    <w:p w:rsidR="00EE094C" w:rsidRPr="00631565" w:rsidRDefault="00EE094C" w:rsidP="007D39BE">
      <w:pPr>
        <w:spacing w:before="120" w:after="120" w:line="360" w:lineRule="auto"/>
        <w:jc w:val="center"/>
        <w:rPr>
          <w:b/>
          <w:sz w:val="24"/>
          <w:szCs w:val="24"/>
        </w:rPr>
      </w:pPr>
      <w:r w:rsidRPr="00631565">
        <w:rPr>
          <w:b/>
          <w:sz w:val="24"/>
          <w:szCs w:val="24"/>
        </w:rPr>
        <w:t>Module: Skills Development in the Workplace</w:t>
      </w:r>
    </w:p>
    <w:p w:rsidR="00EE094C" w:rsidRPr="00631565" w:rsidRDefault="00EE094C" w:rsidP="007D39BE">
      <w:pPr>
        <w:spacing w:before="120" w:after="120" w:line="360" w:lineRule="auto"/>
        <w:jc w:val="center"/>
        <w:rPr>
          <w:b/>
          <w:sz w:val="24"/>
          <w:szCs w:val="24"/>
        </w:rPr>
      </w:pPr>
      <w:r w:rsidRPr="00631565">
        <w:rPr>
          <w:b/>
          <w:sz w:val="24"/>
          <w:szCs w:val="24"/>
        </w:rPr>
        <w:t>Module code: ACMA 4013</w:t>
      </w:r>
    </w:p>
    <w:p w:rsidR="00EE094C" w:rsidRPr="00631565" w:rsidRDefault="00EE094C" w:rsidP="007D39BE">
      <w:pPr>
        <w:spacing w:before="120" w:after="120" w:line="360" w:lineRule="auto"/>
        <w:jc w:val="center"/>
        <w:rPr>
          <w:b/>
          <w:sz w:val="24"/>
          <w:szCs w:val="24"/>
        </w:rPr>
      </w:pPr>
      <w:r w:rsidRPr="00631565">
        <w:rPr>
          <w:b/>
          <w:sz w:val="24"/>
          <w:szCs w:val="24"/>
        </w:rPr>
        <w:t>Assignment Title: Reflective Journal</w:t>
      </w:r>
    </w:p>
    <w:p w:rsidR="00EE094C" w:rsidRPr="00631565" w:rsidRDefault="00EE094C" w:rsidP="007D39BE">
      <w:pPr>
        <w:spacing w:before="120" w:after="120" w:line="360" w:lineRule="auto"/>
        <w:jc w:val="center"/>
        <w:rPr>
          <w:b/>
          <w:sz w:val="24"/>
          <w:szCs w:val="24"/>
        </w:rPr>
      </w:pPr>
      <w:r w:rsidRPr="00631565">
        <w:rPr>
          <w:b/>
          <w:sz w:val="24"/>
          <w:szCs w:val="24"/>
        </w:rPr>
        <w:t>[Student Name</w:t>
      </w:r>
      <w:r w:rsidR="002D45CB">
        <w:rPr>
          <w:b/>
          <w:sz w:val="24"/>
          <w:szCs w:val="24"/>
        </w:rPr>
        <w:t xml:space="preserve">: Muhammad </w:t>
      </w:r>
      <w:proofErr w:type="spellStart"/>
      <w:r w:rsidR="002D45CB">
        <w:rPr>
          <w:b/>
          <w:sz w:val="24"/>
          <w:szCs w:val="24"/>
        </w:rPr>
        <w:t>Thahidur</w:t>
      </w:r>
      <w:proofErr w:type="spellEnd"/>
      <w:r w:rsidR="002D45CB">
        <w:rPr>
          <w:b/>
          <w:sz w:val="24"/>
          <w:szCs w:val="24"/>
        </w:rPr>
        <w:t xml:space="preserve"> Rahman </w:t>
      </w:r>
    </w:p>
    <w:p w:rsidR="0003036F" w:rsidRPr="00631565" w:rsidRDefault="00EE094C" w:rsidP="007D39BE">
      <w:pPr>
        <w:spacing w:before="120" w:after="120" w:line="360" w:lineRule="auto"/>
        <w:jc w:val="center"/>
        <w:rPr>
          <w:b/>
          <w:sz w:val="24"/>
          <w:szCs w:val="24"/>
        </w:rPr>
      </w:pPr>
      <w:r w:rsidRPr="00631565">
        <w:rPr>
          <w:b/>
          <w:sz w:val="24"/>
          <w:szCs w:val="24"/>
        </w:rPr>
        <w:t>[Submission Date</w:t>
      </w:r>
      <w:r w:rsidR="002D45CB">
        <w:rPr>
          <w:b/>
          <w:sz w:val="24"/>
          <w:szCs w:val="24"/>
        </w:rPr>
        <w:t xml:space="preserve">: </w:t>
      </w:r>
      <w:r w:rsidR="006F217E">
        <w:rPr>
          <w:b/>
          <w:sz w:val="24"/>
          <w:szCs w:val="24"/>
        </w:rPr>
        <w:t xml:space="preserve">13.06.2023 </w:t>
      </w:r>
    </w:p>
    <w:p w:rsidR="00545FDA" w:rsidRPr="00631565" w:rsidRDefault="0003036F" w:rsidP="007D39BE">
      <w:pPr>
        <w:spacing w:after="160" w:line="360" w:lineRule="auto"/>
        <w:rPr>
          <w:b/>
          <w:sz w:val="24"/>
          <w:szCs w:val="24"/>
        </w:rPr>
      </w:pPr>
      <w:r w:rsidRPr="00631565">
        <w:rPr>
          <w:b/>
          <w:sz w:val="24"/>
          <w:szCs w:val="24"/>
        </w:rPr>
        <w:br w:type="page"/>
      </w:r>
    </w:p>
    <w:sdt>
      <w:sdtPr>
        <w:rPr>
          <w:rFonts w:ascii="Times New Roman" w:eastAsia="Times New Roman" w:hAnsi="Times New Roman" w:cs="Times New Roman"/>
          <w:color w:val="auto"/>
          <w:sz w:val="20"/>
          <w:szCs w:val="20"/>
          <w:lang w:val="en-GB" w:eastAsia="en-GB"/>
        </w:rPr>
        <w:id w:val="1790626589"/>
        <w:docPartObj>
          <w:docPartGallery w:val="Table of Contents"/>
          <w:docPartUnique/>
        </w:docPartObj>
      </w:sdtPr>
      <w:sdtEndPr>
        <w:rPr>
          <w:bCs/>
          <w:noProof/>
          <w:sz w:val="24"/>
          <w:szCs w:val="24"/>
        </w:rPr>
      </w:sdtEndPr>
      <w:sdtContent>
        <w:p w:rsidR="00545FDA" w:rsidRPr="00631565" w:rsidRDefault="00545FDA" w:rsidP="00545FDA">
          <w:pPr>
            <w:pStyle w:val="TOCHeading"/>
            <w:spacing w:line="360" w:lineRule="auto"/>
            <w:jc w:val="center"/>
            <w:rPr>
              <w:rFonts w:ascii="Times New Roman" w:hAnsi="Times New Roman" w:cs="Times New Roman"/>
              <w:b/>
              <w:color w:val="auto"/>
              <w:sz w:val="24"/>
              <w:szCs w:val="24"/>
            </w:rPr>
          </w:pPr>
          <w:r w:rsidRPr="00631565">
            <w:rPr>
              <w:rFonts w:ascii="Times New Roman" w:hAnsi="Times New Roman" w:cs="Times New Roman"/>
              <w:b/>
              <w:color w:val="auto"/>
              <w:sz w:val="24"/>
              <w:szCs w:val="24"/>
            </w:rPr>
            <w:t>Table of Contents</w:t>
          </w:r>
        </w:p>
        <w:p w:rsidR="00545FDA" w:rsidRPr="00631565" w:rsidRDefault="00545FDA" w:rsidP="00545FDA">
          <w:pPr>
            <w:pStyle w:val="TOC1"/>
            <w:tabs>
              <w:tab w:val="right" w:leader="dot" w:pos="9350"/>
            </w:tabs>
            <w:spacing w:line="360" w:lineRule="auto"/>
            <w:rPr>
              <w:noProof/>
              <w:sz w:val="24"/>
              <w:szCs w:val="24"/>
            </w:rPr>
          </w:pPr>
          <w:r w:rsidRPr="00631565">
            <w:rPr>
              <w:sz w:val="24"/>
              <w:szCs w:val="24"/>
            </w:rPr>
            <w:fldChar w:fldCharType="begin"/>
          </w:r>
          <w:r w:rsidRPr="00631565">
            <w:rPr>
              <w:sz w:val="24"/>
              <w:szCs w:val="24"/>
            </w:rPr>
            <w:instrText xml:space="preserve"> TOC \o "1-3" \h \z \u </w:instrText>
          </w:r>
          <w:r w:rsidRPr="00631565">
            <w:rPr>
              <w:sz w:val="24"/>
              <w:szCs w:val="24"/>
            </w:rPr>
            <w:fldChar w:fldCharType="separate"/>
          </w:r>
          <w:hyperlink w:anchor="_Toc137219915" w:history="1">
            <w:r w:rsidRPr="00631565">
              <w:rPr>
                <w:rStyle w:val="Hyperlink"/>
                <w:noProof/>
                <w:color w:val="auto"/>
                <w:sz w:val="24"/>
                <w:szCs w:val="24"/>
              </w:rPr>
              <w:t>Task 1</w:t>
            </w:r>
            <w:r w:rsidRPr="00631565">
              <w:rPr>
                <w:noProof/>
                <w:webHidden/>
                <w:sz w:val="24"/>
                <w:szCs w:val="24"/>
              </w:rPr>
              <w:tab/>
            </w:r>
            <w:r w:rsidRPr="00631565">
              <w:rPr>
                <w:noProof/>
                <w:webHidden/>
                <w:sz w:val="24"/>
                <w:szCs w:val="24"/>
              </w:rPr>
              <w:fldChar w:fldCharType="begin"/>
            </w:r>
            <w:r w:rsidRPr="00631565">
              <w:rPr>
                <w:noProof/>
                <w:webHidden/>
                <w:sz w:val="24"/>
                <w:szCs w:val="24"/>
              </w:rPr>
              <w:instrText xml:space="preserve"> PAGEREF _Toc137219915 \h </w:instrText>
            </w:r>
            <w:r w:rsidRPr="00631565">
              <w:rPr>
                <w:noProof/>
                <w:webHidden/>
                <w:sz w:val="24"/>
                <w:szCs w:val="24"/>
              </w:rPr>
            </w:r>
            <w:r w:rsidRPr="00631565">
              <w:rPr>
                <w:noProof/>
                <w:webHidden/>
                <w:sz w:val="24"/>
                <w:szCs w:val="24"/>
              </w:rPr>
              <w:fldChar w:fldCharType="separate"/>
            </w:r>
            <w:r w:rsidRPr="00631565">
              <w:rPr>
                <w:noProof/>
                <w:webHidden/>
                <w:sz w:val="24"/>
                <w:szCs w:val="24"/>
              </w:rPr>
              <w:t>3</w:t>
            </w:r>
            <w:r w:rsidRPr="00631565">
              <w:rPr>
                <w:noProof/>
                <w:webHidden/>
                <w:sz w:val="24"/>
                <w:szCs w:val="24"/>
              </w:rPr>
              <w:fldChar w:fldCharType="end"/>
            </w:r>
          </w:hyperlink>
        </w:p>
        <w:p w:rsidR="00545FDA" w:rsidRPr="00631565" w:rsidRDefault="00FA7530" w:rsidP="00545FDA">
          <w:pPr>
            <w:pStyle w:val="TOC1"/>
            <w:tabs>
              <w:tab w:val="right" w:leader="dot" w:pos="9350"/>
            </w:tabs>
            <w:spacing w:line="360" w:lineRule="auto"/>
            <w:rPr>
              <w:noProof/>
              <w:sz w:val="24"/>
              <w:szCs w:val="24"/>
            </w:rPr>
          </w:pPr>
          <w:hyperlink w:anchor="_Toc137219916" w:history="1">
            <w:r w:rsidR="00545FDA" w:rsidRPr="00631565">
              <w:rPr>
                <w:rStyle w:val="Hyperlink"/>
                <w:noProof/>
                <w:color w:val="auto"/>
                <w:sz w:val="24"/>
                <w:szCs w:val="24"/>
              </w:rPr>
              <w:t>Task 2</w:t>
            </w:r>
            <w:r w:rsidR="00545FDA" w:rsidRPr="00631565">
              <w:rPr>
                <w:noProof/>
                <w:webHidden/>
                <w:sz w:val="24"/>
                <w:szCs w:val="24"/>
              </w:rPr>
              <w:tab/>
            </w:r>
            <w:r w:rsidR="00545FDA" w:rsidRPr="00631565">
              <w:rPr>
                <w:noProof/>
                <w:webHidden/>
                <w:sz w:val="24"/>
                <w:szCs w:val="24"/>
              </w:rPr>
              <w:fldChar w:fldCharType="begin"/>
            </w:r>
            <w:r w:rsidR="00545FDA" w:rsidRPr="00631565">
              <w:rPr>
                <w:noProof/>
                <w:webHidden/>
                <w:sz w:val="24"/>
                <w:szCs w:val="24"/>
              </w:rPr>
              <w:instrText xml:space="preserve"> PAGEREF _Toc137219916 \h </w:instrText>
            </w:r>
            <w:r w:rsidR="00545FDA" w:rsidRPr="00631565">
              <w:rPr>
                <w:noProof/>
                <w:webHidden/>
                <w:sz w:val="24"/>
                <w:szCs w:val="24"/>
              </w:rPr>
            </w:r>
            <w:r w:rsidR="00545FDA" w:rsidRPr="00631565">
              <w:rPr>
                <w:noProof/>
                <w:webHidden/>
                <w:sz w:val="24"/>
                <w:szCs w:val="24"/>
              </w:rPr>
              <w:fldChar w:fldCharType="separate"/>
            </w:r>
            <w:r w:rsidR="00545FDA" w:rsidRPr="00631565">
              <w:rPr>
                <w:noProof/>
                <w:webHidden/>
                <w:sz w:val="24"/>
                <w:szCs w:val="24"/>
              </w:rPr>
              <w:t>5</w:t>
            </w:r>
            <w:r w:rsidR="00545FDA" w:rsidRPr="00631565">
              <w:rPr>
                <w:noProof/>
                <w:webHidden/>
                <w:sz w:val="24"/>
                <w:szCs w:val="24"/>
              </w:rPr>
              <w:fldChar w:fldCharType="end"/>
            </w:r>
          </w:hyperlink>
        </w:p>
        <w:p w:rsidR="00545FDA" w:rsidRPr="00631565" w:rsidRDefault="00FA7530" w:rsidP="00545FDA">
          <w:pPr>
            <w:pStyle w:val="TOC1"/>
            <w:tabs>
              <w:tab w:val="right" w:leader="dot" w:pos="9350"/>
            </w:tabs>
            <w:spacing w:line="360" w:lineRule="auto"/>
            <w:rPr>
              <w:noProof/>
              <w:sz w:val="24"/>
              <w:szCs w:val="24"/>
            </w:rPr>
          </w:pPr>
          <w:hyperlink w:anchor="_Toc137219917" w:history="1">
            <w:r w:rsidR="00545FDA" w:rsidRPr="00631565">
              <w:rPr>
                <w:rStyle w:val="Hyperlink"/>
                <w:noProof/>
                <w:color w:val="auto"/>
                <w:sz w:val="24"/>
                <w:szCs w:val="24"/>
              </w:rPr>
              <w:t>Task 3</w:t>
            </w:r>
            <w:r w:rsidR="00545FDA" w:rsidRPr="00631565">
              <w:rPr>
                <w:noProof/>
                <w:webHidden/>
                <w:sz w:val="24"/>
                <w:szCs w:val="24"/>
              </w:rPr>
              <w:tab/>
            </w:r>
            <w:r w:rsidR="00545FDA" w:rsidRPr="00631565">
              <w:rPr>
                <w:noProof/>
                <w:webHidden/>
                <w:sz w:val="24"/>
                <w:szCs w:val="24"/>
              </w:rPr>
              <w:fldChar w:fldCharType="begin"/>
            </w:r>
            <w:r w:rsidR="00545FDA" w:rsidRPr="00631565">
              <w:rPr>
                <w:noProof/>
                <w:webHidden/>
                <w:sz w:val="24"/>
                <w:szCs w:val="24"/>
              </w:rPr>
              <w:instrText xml:space="preserve"> PAGEREF _Toc137219917 \h </w:instrText>
            </w:r>
            <w:r w:rsidR="00545FDA" w:rsidRPr="00631565">
              <w:rPr>
                <w:noProof/>
                <w:webHidden/>
                <w:sz w:val="24"/>
                <w:szCs w:val="24"/>
              </w:rPr>
            </w:r>
            <w:r w:rsidR="00545FDA" w:rsidRPr="00631565">
              <w:rPr>
                <w:noProof/>
                <w:webHidden/>
                <w:sz w:val="24"/>
                <w:szCs w:val="24"/>
              </w:rPr>
              <w:fldChar w:fldCharType="separate"/>
            </w:r>
            <w:r w:rsidR="00545FDA" w:rsidRPr="00631565">
              <w:rPr>
                <w:noProof/>
                <w:webHidden/>
                <w:sz w:val="24"/>
                <w:szCs w:val="24"/>
              </w:rPr>
              <w:t>6</w:t>
            </w:r>
            <w:r w:rsidR="00545FDA" w:rsidRPr="00631565">
              <w:rPr>
                <w:noProof/>
                <w:webHidden/>
                <w:sz w:val="24"/>
                <w:szCs w:val="24"/>
              </w:rPr>
              <w:fldChar w:fldCharType="end"/>
            </w:r>
          </w:hyperlink>
        </w:p>
        <w:p w:rsidR="00545FDA" w:rsidRPr="00631565" w:rsidRDefault="00FA7530" w:rsidP="00545FDA">
          <w:pPr>
            <w:pStyle w:val="TOC1"/>
            <w:tabs>
              <w:tab w:val="right" w:leader="dot" w:pos="9350"/>
            </w:tabs>
            <w:spacing w:line="360" w:lineRule="auto"/>
            <w:rPr>
              <w:noProof/>
              <w:sz w:val="24"/>
              <w:szCs w:val="24"/>
            </w:rPr>
          </w:pPr>
          <w:hyperlink w:anchor="_Toc137219918" w:history="1">
            <w:r w:rsidR="00545FDA" w:rsidRPr="00631565">
              <w:rPr>
                <w:rStyle w:val="Hyperlink"/>
                <w:noProof/>
                <w:color w:val="auto"/>
                <w:sz w:val="24"/>
                <w:szCs w:val="24"/>
              </w:rPr>
              <w:t>Task 4</w:t>
            </w:r>
            <w:r w:rsidR="00545FDA" w:rsidRPr="00631565">
              <w:rPr>
                <w:noProof/>
                <w:webHidden/>
                <w:sz w:val="24"/>
                <w:szCs w:val="24"/>
              </w:rPr>
              <w:tab/>
            </w:r>
            <w:r w:rsidR="00545FDA" w:rsidRPr="00631565">
              <w:rPr>
                <w:noProof/>
                <w:webHidden/>
                <w:sz w:val="24"/>
                <w:szCs w:val="24"/>
              </w:rPr>
              <w:fldChar w:fldCharType="begin"/>
            </w:r>
            <w:r w:rsidR="00545FDA" w:rsidRPr="00631565">
              <w:rPr>
                <w:noProof/>
                <w:webHidden/>
                <w:sz w:val="24"/>
                <w:szCs w:val="24"/>
              </w:rPr>
              <w:instrText xml:space="preserve"> PAGEREF _Toc137219918 \h </w:instrText>
            </w:r>
            <w:r w:rsidR="00545FDA" w:rsidRPr="00631565">
              <w:rPr>
                <w:noProof/>
                <w:webHidden/>
                <w:sz w:val="24"/>
                <w:szCs w:val="24"/>
              </w:rPr>
            </w:r>
            <w:r w:rsidR="00545FDA" w:rsidRPr="00631565">
              <w:rPr>
                <w:noProof/>
                <w:webHidden/>
                <w:sz w:val="24"/>
                <w:szCs w:val="24"/>
              </w:rPr>
              <w:fldChar w:fldCharType="separate"/>
            </w:r>
            <w:r w:rsidR="00545FDA" w:rsidRPr="00631565">
              <w:rPr>
                <w:noProof/>
                <w:webHidden/>
                <w:sz w:val="24"/>
                <w:szCs w:val="24"/>
              </w:rPr>
              <w:t>8</w:t>
            </w:r>
            <w:r w:rsidR="00545FDA" w:rsidRPr="00631565">
              <w:rPr>
                <w:noProof/>
                <w:webHidden/>
                <w:sz w:val="24"/>
                <w:szCs w:val="24"/>
              </w:rPr>
              <w:fldChar w:fldCharType="end"/>
            </w:r>
          </w:hyperlink>
        </w:p>
        <w:p w:rsidR="00545FDA" w:rsidRPr="00631565" w:rsidRDefault="00FA7530" w:rsidP="00545FDA">
          <w:pPr>
            <w:pStyle w:val="TOC1"/>
            <w:tabs>
              <w:tab w:val="right" w:leader="dot" w:pos="9350"/>
            </w:tabs>
            <w:spacing w:line="360" w:lineRule="auto"/>
            <w:rPr>
              <w:noProof/>
              <w:sz w:val="24"/>
              <w:szCs w:val="24"/>
            </w:rPr>
          </w:pPr>
          <w:hyperlink w:anchor="_Toc137219919" w:history="1">
            <w:r w:rsidR="00545FDA" w:rsidRPr="00631565">
              <w:rPr>
                <w:rStyle w:val="Hyperlink"/>
                <w:noProof/>
                <w:color w:val="auto"/>
                <w:sz w:val="24"/>
                <w:szCs w:val="24"/>
              </w:rPr>
              <w:t>References</w:t>
            </w:r>
            <w:r w:rsidR="00545FDA" w:rsidRPr="00631565">
              <w:rPr>
                <w:noProof/>
                <w:webHidden/>
                <w:sz w:val="24"/>
                <w:szCs w:val="24"/>
              </w:rPr>
              <w:tab/>
            </w:r>
            <w:r w:rsidR="00545FDA" w:rsidRPr="00631565">
              <w:rPr>
                <w:noProof/>
                <w:webHidden/>
                <w:sz w:val="24"/>
                <w:szCs w:val="24"/>
              </w:rPr>
              <w:fldChar w:fldCharType="begin"/>
            </w:r>
            <w:r w:rsidR="00545FDA" w:rsidRPr="00631565">
              <w:rPr>
                <w:noProof/>
                <w:webHidden/>
                <w:sz w:val="24"/>
                <w:szCs w:val="24"/>
              </w:rPr>
              <w:instrText xml:space="preserve"> PAGEREF _Toc137219919 \h </w:instrText>
            </w:r>
            <w:r w:rsidR="00545FDA" w:rsidRPr="00631565">
              <w:rPr>
                <w:noProof/>
                <w:webHidden/>
                <w:sz w:val="24"/>
                <w:szCs w:val="24"/>
              </w:rPr>
            </w:r>
            <w:r w:rsidR="00545FDA" w:rsidRPr="00631565">
              <w:rPr>
                <w:noProof/>
                <w:webHidden/>
                <w:sz w:val="24"/>
                <w:szCs w:val="24"/>
              </w:rPr>
              <w:fldChar w:fldCharType="separate"/>
            </w:r>
            <w:r w:rsidR="00545FDA" w:rsidRPr="00631565">
              <w:rPr>
                <w:noProof/>
                <w:webHidden/>
                <w:sz w:val="24"/>
                <w:szCs w:val="24"/>
              </w:rPr>
              <w:t>11</w:t>
            </w:r>
            <w:r w:rsidR="00545FDA" w:rsidRPr="00631565">
              <w:rPr>
                <w:noProof/>
                <w:webHidden/>
                <w:sz w:val="24"/>
                <w:szCs w:val="24"/>
              </w:rPr>
              <w:fldChar w:fldCharType="end"/>
            </w:r>
          </w:hyperlink>
        </w:p>
        <w:p w:rsidR="00545FDA" w:rsidRPr="00631565" w:rsidRDefault="00545FDA" w:rsidP="00545FDA">
          <w:pPr>
            <w:spacing w:line="360" w:lineRule="auto"/>
            <w:rPr>
              <w:sz w:val="24"/>
              <w:szCs w:val="24"/>
            </w:rPr>
          </w:pPr>
          <w:r w:rsidRPr="00631565">
            <w:rPr>
              <w:bCs/>
              <w:noProof/>
              <w:sz w:val="24"/>
              <w:szCs w:val="24"/>
            </w:rPr>
            <w:fldChar w:fldCharType="end"/>
          </w:r>
        </w:p>
      </w:sdtContent>
    </w:sdt>
    <w:p w:rsidR="00EE094C" w:rsidRPr="00631565" w:rsidRDefault="00545FDA" w:rsidP="00545FDA">
      <w:pPr>
        <w:spacing w:after="160" w:line="259" w:lineRule="auto"/>
        <w:rPr>
          <w:b/>
          <w:sz w:val="24"/>
          <w:szCs w:val="24"/>
        </w:rPr>
      </w:pPr>
      <w:r w:rsidRPr="00631565">
        <w:rPr>
          <w:b/>
          <w:sz w:val="24"/>
          <w:szCs w:val="24"/>
        </w:rPr>
        <w:br w:type="page"/>
      </w:r>
    </w:p>
    <w:p w:rsidR="00EE094C" w:rsidRPr="00631565" w:rsidRDefault="00E55EE1" w:rsidP="007D39BE">
      <w:pPr>
        <w:pStyle w:val="Heading1"/>
        <w:spacing w:line="360" w:lineRule="auto"/>
        <w:rPr>
          <w:rFonts w:ascii="Times New Roman" w:hAnsi="Times New Roman" w:cs="Times New Roman"/>
          <w:b/>
          <w:color w:val="auto"/>
          <w:sz w:val="24"/>
          <w:szCs w:val="24"/>
        </w:rPr>
      </w:pPr>
      <w:bookmarkStart w:id="0" w:name="_Toc137219915"/>
      <w:r w:rsidRPr="00631565">
        <w:rPr>
          <w:rFonts w:ascii="Times New Roman" w:hAnsi="Times New Roman" w:cs="Times New Roman"/>
          <w:b/>
          <w:color w:val="auto"/>
          <w:sz w:val="24"/>
          <w:szCs w:val="24"/>
        </w:rPr>
        <w:lastRenderedPageBreak/>
        <w:t>Task 1</w:t>
      </w:r>
      <w:bookmarkEnd w:id="0"/>
    </w:p>
    <w:p w:rsidR="00E55EE1" w:rsidRPr="00631565" w:rsidRDefault="00EF0EC9" w:rsidP="007D39BE">
      <w:pPr>
        <w:spacing w:before="120" w:after="120" w:line="360" w:lineRule="auto"/>
        <w:jc w:val="both"/>
        <w:rPr>
          <w:b/>
          <w:sz w:val="24"/>
          <w:szCs w:val="24"/>
        </w:rPr>
      </w:pPr>
      <w:r w:rsidRPr="00631565">
        <w:rPr>
          <w:sz w:val="24"/>
          <w:szCs w:val="24"/>
          <w:shd w:val="clear" w:color="auto" w:fill="FFFFFF"/>
        </w:rPr>
        <w:t>Topic 4 - Making Statements</w:t>
      </w:r>
    </w:p>
    <w:p w:rsidR="001A233E" w:rsidRPr="00631565" w:rsidRDefault="001A233E" w:rsidP="007D39BE">
      <w:pPr>
        <w:spacing w:before="120" w:after="120" w:line="360" w:lineRule="auto"/>
        <w:ind w:firstLine="720"/>
        <w:jc w:val="both"/>
        <w:rPr>
          <w:sz w:val="24"/>
          <w:szCs w:val="24"/>
        </w:rPr>
      </w:pPr>
      <w:r w:rsidRPr="00631565">
        <w:rPr>
          <w:sz w:val="24"/>
          <w:szCs w:val="24"/>
        </w:rPr>
        <w:t>I have had plenty of chances to make statements through the years, both personally and professionally, to share my thoughts, views, sentiments, and assessments. Making statements, an essential component of human communication, enables us to express our viewpoints, influence others, and participate in a variety of dialogues</w:t>
      </w:r>
      <w:r w:rsidR="0003036F" w:rsidRPr="00631565">
        <w:rPr>
          <w:sz w:val="24"/>
          <w:szCs w:val="24"/>
        </w:rPr>
        <w:t xml:space="preserve"> (</w:t>
      </w:r>
      <w:r w:rsidR="0003036F" w:rsidRPr="00631565">
        <w:rPr>
          <w:sz w:val="24"/>
          <w:szCs w:val="24"/>
          <w:shd w:val="clear" w:color="auto" w:fill="FFFFFF"/>
        </w:rPr>
        <w:t>Firth, 2014</w:t>
      </w:r>
      <w:r w:rsidR="0003036F" w:rsidRPr="00631565">
        <w:rPr>
          <w:sz w:val="24"/>
          <w:szCs w:val="24"/>
        </w:rPr>
        <w:t>)</w:t>
      </w:r>
      <w:r w:rsidRPr="00631565">
        <w:rPr>
          <w:sz w:val="24"/>
          <w:szCs w:val="24"/>
        </w:rPr>
        <w:t>. I can now see the value of it carefully, precisely, and empathetically formulating these words after thinking back on my own experiences.</w:t>
      </w:r>
    </w:p>
    <w:p w:rsidR="001A233E" w:rsidRPr="00631565" w:rsidRDefault="001A233E" w:rsidP="007D39BE">
      <w:pPr>
        <w:spacing w:before="120" w:after="120" w:line="360" w:lineRule="auto"/>
        <w:ind w:firstLine="720"/>
        <w:jc w:val="both"/>
        <w:rPr>
          <w:sz w:val="24"/>
          <w:szCs w:val="24"/>
        </w:rPr>
      </w:pPr>
      <w:r w:rsidRPr="00631565">
        <w:rPr>
          <w:sz w:val="24"/>
          <w:szCs w:val="24"/>
        </w:rPr>
        <w:t>My professional path began with an entry-level position at a company. Early on, I was ignorant, often said unfiltered things, and was motivated more by passion than reasoning. I can't help but recognise the development I experienced in my ability to communicate effectively. My first linguistic statements were mostly reactive, tinged with emotion, and devoid of the formal skill required for workplace harmony</w:t>
      </w:r>
      <w:r w:rsidR="0003036F" w:rsidRPr="00631565">
        <w:rPr>
          <w:sz w:val="24"/>
          <w:szCs w:val="24"/>
        </w:rPr>
        <w:t xml:space="preserve"> (</w:t>
      </w:r>
      <w:r w:rsidR="0003036F" w:rsidRPr="00631565">
        <w:rPr>
          <w:sz w:val="24"/>
          <w:szCs w:val="24"/>
          <w:shd w:val="clear" w:color="auto" w:fill="FFFFFF"/>
        </w:rPr>
        <w:t>Samson, 2014</w:t>
      </w:r>
      <w:r w:rsidR="0003036F" w:rsidRPr="00631565">
        <w:rPr>
          <w:sz w:val="24"/>
          <w:szCs w:val="24"/>
        </w:rPr>
        <w:t>)</w:t>
      </w:r>
      <w:r w:rsidRPr="00631565">
        <w:rPr>
          <w:sz w:val="24"/>
          <w:szCs w:val="24"/>
        </w:rPr>
        <w:t>. One event, in particular, jumped out when a customer severely criticised a project I was in charge of. I made a statement that directly blamed my team members as a defensive response. The consequences were harsh and quick. My comments damaged my reputation as an employer and caused chaos and demotivation on the team. This experience opened my eyes to the importance of words, particularly when said by someone in a position of authority.</w:t>
      </w:r>
    </w:p>
    <w:p w:rsidR="001A233E" w:rsidRPr="00631565" w:rsidRDefault="001A233E" w:rsidP="007D39BE">
      <w:pPr>
        <w:spacing w:before="120" w:after="120" w:line="360" w:lineRule="auto"/>
        <w:ind w:firstLine="720"/>
        <w:jc w:val="both"/>
        <w:rPr>
          <w:sz w:val="24"/>
          <w:szCs w:val="24"/>
        </w:rPr>
      </w:pPr>
      <w:r w:rsidRPr="00631565">
        <w:rPr>
          <w:sz w:val="24"/>
          <w:szCs w:val="24"/>
        </w:rPr>
        <w:t>After the event, I studied a lot about leadership and communication to improve and make statements appropriately. I became more aware of the value of courteous, clear communication. This academic achievement in making statements changed my attitude toward making claims; it was not just intellectual. My attention moved from being defensive to encouraging a collaborative and progressive atmosphere. The team spirit, customer happiness, and personal development significantly improved due to this shift, which was not overlooked</w:t>
      </w:r>
      <w:r w:rsidR="0003036F" w:rsidRPr="00631565">
        <w:rPr>
          <w:sz w:val="24"/>
          <w:szCs w:val="24"/>
        </w:rPr>
        <w:t xml:space="preserve"> (</w:t>
      </w:r>
      <w:r w:rsidR="0003036F" w:rsidRPr="00631565">
        <w:rPr>
          <w:sz w:val="24"/>
          <w:szCs w:val="24"/>
          <w:shd w:val="clear" w:color="auto" w:fill="FFFFFF"/>
        </w:rPr>
        <w:t>Wagner et al., 2014</w:t>
      </w:r>
      <w:r w:rsidR="0003036F" w:rsidRPr="00631565">
        <w:rPr>
          <w:sz w:val="24"/>
          <w:szCs w:val="24"/>
        </w:rPr>
        <w:t>)</w:t>
      </w:r>
      <w:r w:rsidRPr="00631565">
        <w:rPr>
          <w:sz w:val="24"/>
          <w:szCs w:val="24"/>
        </w:rPr>
        <w:t>. In addition to making diplomatic statements, I wanted to promote a supportive, collaborative environment. As my communication style developed, I learned to express fair-minded, helpful words that put the emphasis on finding solutions rather than placing blame. It had a tremendous beneficial effect on the dynamics of my team, our relationship with customers, and my growth. This change highlighted the need for thoughtful and sympathetic words to guide professional development. Today, I credit this change in my style of making a statement with a significant portion of my success as an employee.</w:t>
      </w:r>
    </w:p>
    <w:p w:rsidR="001A233E" w:rsidRPr="00631565" w:rsidRDefault="001A233E" w:rsidP="007D39BE">
      <w:pPr>
        <w:spacing w:before="120" w:after="120" w:line="360" w:lineRule="auto"/>
        <w:ind w:firstLine="720"/>
        <w:jc w:val="both"/>
        <w:rPr>
          <w:sz w:val="24"/>
          <w:szCs w:val="24"/>
        </w:rPr>
      </w:pPr>
      <w:r w:rsidRPr="00631565">
        <w:rPr>
          <w:sz w:val="24"/>
          <w:szCs w:val="24"/>
        </w:rPr>
        <w:lastRenderedPageBreak/>
        <w:t xml:space="preserve">Even in my personal life, my statement-making style changed with time. Early on, when I was still naive and confident, I would make aggressive, often dogmatic assertions. Without thinking about how my views would affect my relationships, I would express them. During a contentious argument with a close friend, something changed. An intense conversation with a close friend was a wake-up call, making it clear how damaging unfiltered remarks can be. It compelled me to </w:t>
      </w:r>
      <w:r w:rsidR="00483C4D" w:rsidRPr="00631565">
        <w:rPr>
          <w:sz w:val="24"/>
          <w:szCs w:val="24"/>
        </w:rPr>
        <w:t>revaluate</w:t>
      </w:r>
      <w:r w:rsidRPr="00631565">
        <w:rPr>
          <w:sz w:val="24"/>
          <w:szCs w:val="24"/>
        </w:rPr>
        <w:t xml:space="preserve"> my statement approach and encouraged me to develop empathy and open-mindedness</w:t>
      </w:r>
      <w:r w:rsidR="00483C4D" w:rsidRPr="00631565">
        <w:rPr>
          <w:sz w:val="24"/>
          <w:szCs w:val="24"/>
        </w:rPr>
        <w:t xml:space="preserve"> (</w:t>
      </w:r>
      <w:r w:rsidR="00483C4D" w:rsidRPr="00631565">
        <w:rPr>
          <w:sz w:val="24"/>
          <w:szCs w:val="24"/>
          <w:shd w:val="clear" w:color="auto" w:fill="FFFFFF"/>
        </w:rPr>
        <w:t>Lent, 2013</w:t>
      </w:r>
      <w:r w:rsidR="00483C4D" w:rsidRPr="00631565">
        <w:rPr>
          <w:sz w:val="24"/>
          <w:szCs w:val="24"/>
        </w:rPr>
        <w:t>)</w:t>
      </w:r>
      <w:r w:rsidRPr="00631565">
        <w:rPr>
          <w:sz w:val="24"/>
          <w:szCs w:val="24"/>
        </w:rPr>
        <w:t>. Today, before making statements, I put learning the viewpoints of others first, which has deepened my relationships and fostered openness and respect. My categorical, dismissive remark on a sensitive subject caused repercussions that lasted for weeks. This experience caused me to rethink my strategy. I began to listen and demonstrate empathy before speaking. I discovered that having an open mind and being willing to change my views help build deeper connections.</w:t>
      </w:r>
    </w:p>
    <w:p w:rsidR="00FF05D4" w:rsidRPr="00631565" w:rsidRDefault="00FF05D4" w:rsidP="007D39BE">
      <w:pPr>
        <w:spacing w:before="120" w:after="120" w:line="360" w:lineRule="auto"/>
        <w:ind w:firstLine="720"/>
        <w:jc w:val="both"/>
        <w:rPr>
          <w:sz w:val="24"/>
          <w:szCs w:val="24"/>
        </w:rPr>
      </w:pPr>
      <w:r w:rsidRPr="00631565">
        <w:rPr>
          <w:sz w:val="24"/>
          <w:szCs w:val="24"/>
        </w:rPr>
        <w:t>In educational institutions, professors' remarks significantly impact how students learn. I remember a lecturer who, rather than encouraging intellectual inquiry, often used absolute, uncompromising assertions to instil terror in others. Another professor, on the other hand, promoted a culture of inquiry by using open-ended questions that sparked making statements. I took up those remarks either encouraging conversation and learning or stifling it.</w:t>
      </w:r>
    </w:p>
    <w:p w:rsidR="00E55EE1" w:rsidRPr="00631565" w:rsidRDefault="00FF05D4" w:rsidP="007D39BE">
      <w:pPr>
        <w:spacing w:before="120" w:after="120" w:line="360" w:lineRule="auto"/>
        <w:ind w:firstLine="720"/>
        <w:jc w:val="both"/>
        <w:rPr>
          <w:sz w:val="24"/>
          <w:szCs w:val="24"/>
        </w:rPr>
      </w:pPr>
      <w:r w:rsidRPr="00631565">
        <w:rPr>
          <w:sz w:val="24"/>
          <w:szCs w:val="24"/>
        </w:rPr>
        <w:t>In conclusion, the capacity to communicate is a potent instrument that may significantly impact our professional, academic, and personal life. After reflecting on my experiences, I have concluded that words and statements should not be used as accusatory weapons or overbearing batters but rather as a means of fostering understanding, cooperation, and progress. As a result, it is up to us to make sure that the statements we make are constructive and courteous and improve the society in which we live. Our statements have the potential to alter reality and relationships. Making remarks is a duty in itself, which serves as a means through which we engage with people and project our ideas into the outside world</w:t>
      </w:r>
      <w:r w:rsidR="00483C4D" w:rsidRPr="00631565">
        <w:rPr>
          <w:sz w:val="24"/>
          <w:szCs w:val="24"/>
        </w:rPr>
        <w:t xml:space="preserve"> (</w:t>
      </w:r>
      <w:r w:rsidR="00483C4D" w:rsidRPr="00631565">
        <w:rPr>
          <w:sz w:val="24"/>
          <w:szCs w:val="24"/>
          <w:shd w:val="clear" w:color="auto" w:fill="FFFFFF"/>
        </w:rPr>
        <w:t>Lakshmi and Prasanth, 2018</w:t>
      </w:r>
      <w:r w:rsidR="00483C4D" w:rsidRPr="00631565">
        <w:rPr>
          <w:sz w:val="24"/>
          <w:szCs w:val="24"/>
        </w:rPr>
        <w:t>)</w:t>
      </w:r>
      <w:r w:rsidRPr="00631565">
        <w:rPr>
          <w:sz w:val="24"/>
          <w:szCs w:val="24"/>
        </w:rPr>
        <w:t>. This insight has made me appreciate the worth of carefully writing polite, powerful words. In addition to what we say, it is important to consider how and why we say it. I have learned through navigating through professional environments, interpersonal interactions, and academic environments that the power of words should never be underestimated since they can either create bridges or establish walls. Therefore, it is up to us to use this power wisely, ensuring that our words and statements benefit ourselves and others around us.</w:t>
      </w:r>
    </w:p>
    <w:p w:rsidR="00E55EE1" w:rsidRPr="00631565" w:rsidRDefault="00E55EE1" w:rsidP="007D39BE">
      <w:pPr>
        <w:pStyle w:val="Heading1"/>
        <w:spacing w:line="360" w:lineRule="auto"/>
        <w:rPr>
          <w:rFonts w:ascii="Times New Roman" w:hAnsi="Times New Roman" w:cs="Times New Roman"/>
          <w:b/>
          <w:color w:val="auto"/>
          <w:sz w:val="24"/>
          <w:szCs w:val="24"/>
        </w:rPr>
      </w:pPr>
      <w:bookmarkStart w:id="1" w:name="_Toc137219916"/>
      <w:r w:rsidRPr="00631565">
        <w:rPr>
          <w:rFonts w:ascii="Times New Roman" w:hAnsi="Times New Roman" w:cs="Times New Roman"/>
          <w:b/>
          <w:color w:val="auto"/>
          <w:sz w:val="24"/>
          <w:szCs w:val="24"/>
        </w:rPr>
        <w:lastRenderedPageBreak/>
        <w:t>Task 2</w:t>
      </w:r>
      <w:bookmarkEnd w:id="1"/>
    </w:p>
    <w:p w:rsidR="00E55EE1" w:rsidRPr="00631565" w:rsidRDefault="00EF0EC9" w:rsidP="007D39BE">
      <w:pPr>
        <w:spacing w:before="120" w:after="120" w:line="360" w:lineRule="auto"/>
        <w:jc w:val="both"/>
        <w:rPr>
          <w:b/>
          <w:sz w:val="24"/>
          <w:szCs w:val="24"/>
        </w:rPr>
      </w:pPr>
      <w:r w:rsidRPr="00631565">
        <w:rPr>
          <w:sz w:val="24"/>
          <w:szCs w:val="24"/>
          <w:shd w:val="clear" w:color="auto" w:fill="FFFFFF"/>
        </w:rPr>
        <w:t>Topic 4 - Searching for Solutions</w:t>
      </w:r>
    </w:p>
    <w:p w:rsidR="008064C0" w:rsidRPr="00631565" w:rsidRDefault="008064C0" w:rsidP="007D39BE">
      <w:pPr>
        <w:spacing w:before="120" w:after="120" w:line="360" w:lineRule="auto"/>
        <w:ind w:firstLine="720"/>
        <w:jc w:val="both"/>
        <w:rPr>
          <w:sz w:val="24"/>
          <w:szCs w:val="24"/>
        </w:rPr>
      </w:pPr>
      <w:r w:rsidRPr="00631565">
        <w:rPr>
          <w:sz w:val="24"/>
          <w:szCs w:val="24"/>
        </w:rPr>
        <w:t>My professional, personal, and academic experiences have all been woven together throughout the course of my life by the ability to search for solutions. My viewpoint and skills have considerably changed due to my ability to search for solutions to various issues and obstacles. My skills and perspective have improved due to this ongoing journey, highlighting the importance of successful problem-solving</w:t>
      </w:r>
      <w:r w:rsidR="00F94CA2" w:rsidRPr="00631565">
        <w:rPr>
          <w:sz w:val="24"/>
          <w:szCs w:val="24"/>
        </w:rPr>
        <w:t xml:space="preserve"> (</w:t>
      </w:r>
      <w:proofErr w:type="spellStart"/>
      <w:r w:rsidR="00F94CA2" w:rsidRPr="00631565">
        <w:rPr>
          <w:sz w:val="24"/>
          <w:szCs w:val="24"/>
          <w:shd w:val="clear" w:color="auto" w:fill="FFFFFF"/>
        </w:rPr>
        <w:t>Marsick</w:t>
      </w:r>
      <w:proofErr w:type="spellEnd"/>
      <w:r w:rsidR="00F94CA2" w:rsidRPr="00631565">
        <w:rPr>
          <w:sz w:val="24"/>
          <w:szCs w:val="24"/>
          <w:shd w:val="clear" w:color="auto" w:fill="FFFFFF"/>
        </w:rPr>
        <w:t xml:space="preserve"> and Watkins, 2015</w:t>
      </w:r>
      <w:r w:rsidR="00F94CA2" w:rsidRPr="00631565">
        <w:rPr>
          <w:sz w:val="24"/>
          <w:szCs w:val="24"/>
        </w:rPr>
        <w:t>)</w:t>
      </w:r>
      <w:r w:rsidRPr="00631565">
        <w:rPr>
          <w:sz w:val="24"/>
          <w:szCs w:val="24"/>
        </w:rPr>
        <w:t>.</w:t>
      </w:r>
    </w:p>
    <w:p w:rsidR="008064C0" w:rsidRPr="00631565" w:rsidRDefault="008064C0" w:rsidP="007D39BE">
      <w:pPr>
        <w:spacing w:before="120" w:after="120" w:line="360" w:lineRule="auto"/>
        <w:ind w:firstLine="720"/>
        <w:jc w:val="both"/>
        <w:rPr>
          <w:sz w:val="24"/>
          <w:szCs w:val="24"/>
        </w:rPr>
      </w:pPr>
      <w:r w:rsidRPr="00631565">
        <w:rPr>
          <w:sz w:val="24"/>
          <w:szCs w:val="24"/>
        </w:rPr>
        <w:t>In my line of work, as an employee of a company, I often run across challenging jobs and unforeseen roadblocks. These difficulties were intimidating and overpowering when I was starting. I often felt burdened by the ability to search for solutions. I recall a challenging assignment when the client's needs significantly altered in the middle of it</w:t>
      </w:r>
      <w:r w:rsidR="00F94CA2" w:rsidRPr="00631565">
        <w:rPr>
          <w:sz w:val="24"/>
          <w:szCs w:val="24"/>
        </w:rPr>
        <w:t xml:space="preserve"> (</w:t>
      </w:r>
      <w:r w:rsidR="00F94CA2" w:rsidRPr="00631565">
        <w:rPr>
          <w:sz w:val="24"/>
          <w:szCs w:val="24"/>
          <w:shd w:val="clear" w:color="auto" w:fill="FFFFFF"/>
        </w:rPr>
        <w:t>Stock and Stock, 2013</w:t>
      </w:r>
      <w:r w:rsidR="00F94CA2" w:rsidRPr="00631565">
        <w:rPr>
          <w:sz w:val="24"/>
          <w:szCs w:val="24"/>
        </w:rPr>
        <w:t>)</w:t>
      </w:r>
      <w:r w:rsidRPr="00631565">
        <w:rPr>
          <w:sz w:val="24"/>
          <w:szCs w:val="24"/>
        </w:rPr>
        <w:t>. The stress was great, and my immediate reaction was terror. I was originally overcome with extreme terror. However, this issue forced me to change the way I handle problems.</w:t>
      </w:r>
    </w:p>
    <w:p w:rsidR="00132CDA" w:rsidRPr="00631565" w:rsidRDefault="00132CDA" w:rsidP="007D39BE">
      <w:pPr>
        <w:spacing w:before="120" w:after="120" w:line="360" w:lineRule="auto"/>
        <w:ind w:firstLine="720"/>
        <w:jc w:val="both"/>
        <w:rPr>
          <w:sz w:val="24"/>
          <w:szCs w:val="24"/>
        </w:rPr>
      </w:pPr>
      <w:r w:rsidRPr="00631565">
        <w:rPr>
          <w:sz w:val="24"/>
          <w:szCs w:val="24"/>
        </w:rPr>
        <w:t xml:space="preserve">However, in this circumstance, I saw the value of taking a methodical, composed approach to problem-solving. I assembled everyone; we examined the circumstance, determined the problems, discussed alternative solutions, and then implemented the most workable one. This methodical approach to problem-solving of </w:t>
      </w:r>
      <w:r w:rsidR="00B03696" w:rsidRPr="00631565">
        <w:rPr>
          <w:sz w:val="24"/>
          <w:szCs w:val="24"/>
        </w:rPr>
        <w:t>searching for</w:t>
      </w:r>
      <w:r w:rsidRPr="00631565">
        <w:rPr>
          <w:sz w:val="24"/>
          <w:szCs w:val="24"/>
        </w:rPr>
        <w:t xml:space="preserve"> solutions turned a crisis into a chance for development and learning. It served as the model for my future work, enabling me to overcome obstacles more assuredly and effectively. The crisis served as a springboard for development and learning, and the strategy we came up with became a pillar of my problem-solving toolkit</w:t>
      </w:r>
      <w:r w:rsidR="00F94CA2" w:rsidRPr="00631565">
        <w:rPr>
          <w:sz w:val="24"/>
          <w:szCs w:val="24"/>
        </w:rPr>
        <w:t xml:space="preserve"> (</w:t>
      </w:r>
      <w:proofErr w:type="spellStart"/>
      <w:r w:rsidR="00F94CA2" w:rsidRPr="00631565">
        <w:rPr>
          <w:sz w:val="24"/>
          <w:szCs w:val="24"/>
          <w:shd w:val="clear" w:color="auto" w:fill="FFFFFF"/>
        </w:rPr>
        <w:t>Nowrouzi</w:t>
      </w:r>
      <w:proofErr w:type="spellEnd"/>
      <w:r w:rsidR="00F94CA2" w:rsidRPr="00631565">
        <w:rPr>
          <w:sz w:val="24"/>
          <w:szCs w:val="24"/>
          <w:shd w:val="clear" w:color="auto" w:fill="FFFFFF"/>
        </w:rPr>
        <w:t>-Kia et al., 2019</w:t>
      </w:r>
      <w:r w:rsidR="00F94CA2" w:rsidRPr="00631565">
        <w:rPr>
          <w:sz w:val="24"/>
          <w:szCs w:val="24"/>
        </w:rPr>
        <w:t>)</w:t>
      </w:r>
      <w:r w:rsidRPr="00631565">
        <w:rPr>
          <w:sz w:val="24"/>
          <w:szCs w:val="24"/>
        </w:rPr>
        <w:t xml:space="preserve">. </w:t>
      </w:r>
    </w:p>
    <w:p w:rsidR="00F94CA2" w:rsidRPr="00631565" w:rsidRDefault="00132CDA" w:rsidP="007D39BE">
      <w:pPr>
        <w:spacing w:before="120" w:after="120" w:line="360" w:lineRule="auto"/>
        <w:ind w:firstLine="720"/>
        <w:jc w:val="both"/>
        <w:rPr>
          <w:sz w:val="24"/>
          <w:szCs w:val="24"/>
        </w:rPr>
      </w:pPr>
      <w:r w:rsidRPr="00631565">
        <w:rPr>
          <w:sz w:val="24"/>
          <w:szCs w:val="24"/>
        </w:rPr>
        <w:t>My ability to search for solutions has been an equally rewarding adventure in my personal life. I discovered that dealing with personal issues often requires greater reflection and comprehension. For instance, I once had social anxiety, which led me to look for remedies both inside myself and via outside help. I gained an understanding of the value of emotional resilience, self-care, and patience via this process. Because of this experience, I now approach personal difficulties with empathy and compassion, substantially changing how I react. The procedure was illuminating; it gave me the skills to address personal problems with empathy and understanding, which has affected how I deal with personal difficulties today</w:t>
      </w:r>
      <w:r w:rsidR="00F94CA2" w:rsidRPr="00631565">
        <w:rPr>
          <w:sz w:val="24"/>
          <w:szCs w:val="24"/>
        </w:rPr>
        <w:t>.</w:t>
      </w:r>
    </w:p>
    <w:p w:rsidR="00A65D1B" w:rsidRPr="00631565" w:rsidRDefault="00A65D1B" w:rsidP="007D39BE">
      <w:pPr>
        <w:spacing w:before="120" w:after="120" w:line="360" w:lineRule="auto"/>
        <w:ind w:firstLine="720"/>
        <w:jc w:val="both"/>
        <w:rPr>
          <w:sz w:val="24"/>
          <w:szCs w:val="24"/>
        </w:rPr>
      </w:pPr>
      <w:r w:rsidRPr="00631565">
        <w:rPr>
          <w:sz w:val="24"/>
          <w:szCs w:val="24"/>
        </w:rPr>
        <w:t>Education has always played a significant role in searching for solutions. The focus of my academic years was on problem-solving, whether it was for academic issues or philosophical discussions</w:t>
      </w:r>
      <w:r w:rsidR="00F94CA2" w:rsidRPr="00631565">
        <w:rPr>
          <w:sz w:val="24"/>
          <w:szCs w:val="24"/>
        </w:rPr>
        <w:t xml:space="preserve"> (</w:t>
      </w:r>
      <w:r w:rsidR="00F94CA2" w:rsidRPr="00631565">
        <w:rPr>
          <w:sz w:val="24"/>
          <w:szCs w:val="24"/>
          <w:shd w:val="clear" w:color="auto" w:fill="FFFFFF"/>
        </w:rPr>
        <w:t xml:space="preserve">Lee and </w:t>
      </w:r>
      <w:proofErr w:type="spellStart"/>
      <w:r w:rsidR="00F94CA2" w:rsidRPr="00631565">
        <w:rPr>
          <w:sz w:val="24"/>
          <w:szCs w:val="24"/>
          <w:shd w:val="clear" w:color="auto" w:fill="FFFFFF"/>
        </w:rPr>
        <w:t>Trimi</w:t>
      </w:r>
      <w:proofErr w:type="spellEnd"/>
      <w:r w:rsidR="00F94CA2" w:rsidRPr="00631565">
        <w:rPr>
          <w:sz w:val="24"/>
          <w:szCs w:val="24"/>
          <w:shd w:val="clear" w:color="auto" w:fill="FFFFFF"/>
        </w:rPr>
        <w:t>, 2018</w:t>
      </w:r>
      <w:r w:rsidR="00F94CA2" w:rsidRPr="00631565">
        <w:rPr>
          <w:sz w:val="24"/>
          <w:szCs w:val="24"/>
        </w:rPr>
        <w:t>)</w:t>
      </w:r>
      <w:r w:rsidRPr="00631565">
        <w:rPr>
          <w:sz w:val="24"/>
          <w:szCs w:val="24"/>
        </w:rPr>
        <w:t xml:space="preserve">. My lecturer taught me the important lesson that there are often several approaches to searching for solutions. This stance broadened my intellectual horizons, inspiring me to think critically and have an open mind to many points of view. It showed me the value of critical thinking and intellectual curiosity and how vital finding answers is as crucial as finding them. My ability to solve problems flourished in the classroom. </w:t>
      </w:r>
    </w:p>
    <w:p w:rsidR="00E55EE1" w:rsidRPr="00631565" w:rsidRDefault="00A65D1B" w:rsidP="007D39BE">
      <w:pPr>
        <w:spacing w:before="120" w:after="120" w:line="360" w:lineRule="auto"/>
        <w:ind w:firstLine="720"/>
        <w:jc w:val="both"/>
        <w:rPr>
          <w:sz w:val="24"/>
          <w:szCs w:val="24"/>
        </w:rPr>
      </w:pPr>
      <w:r w:rsidRPr="00631565">
        <w:rPr>
          <w:sz w:val="24"/>
          <w:szCs w:val="24"/>
        </w:rPr>
        <w:t>Reflecting on my path, I see how searching for solutions has fostered my development and learning. I now have useful abilities like analytical thinking, creativity, resiliency, and empathy. These experiences, whether at work, in my personal life, or in my educational institution, have taught me that difficulties are not obstacles to growth and learning but rather chances for such things. I am convinced that as I go, my capacity for searching for solutions will continue to direct my path, encouraging development and constructive change. The search for solutions has significantly influenced my personal and professional development. Despite being difficult, the process has given me various abilities, including imaginative thinking, perseverance, empathy, and a methodical approach to problem-solving</w:t>
      </w:r>
      <w:r w:rsidR="00877D00" w:rsidRPr="00631565">
        <w:rPr>
          <w:sz w:val="24"/>
          <w:szCs w:val="24"/>
        </w:rPr>
        <w:t xml:space="preserve"> (</w:t>
      </w:r>
      <w:r w:rsidR="00877D00" w:rsidRPr="00631565">
        <w:rPr>
          <w:sz w:val="24"/>
          <w:szCs w:val="24"/>
          <w:shd w:val="clear" w:color="auto" w:fill="FFFFFF"/>
        </w:rPr>
        <w:t>Friedman, 2014</w:t>
      </w:r>
      <w:r w:rsidR="00877D00" w:rsidRPr="00631565">
        <w:rPr>
          <w:sz w:val="24"/>
          <w:szCs w:val="24"/>
        </w:rPr>
        <w:t>)</w:t>
      </w:r>
      <w:r w:rsidRPr="00631565">
        <w:rPr>
          <w:sz w:val="24"/>
          <w:szCs w:val="24"/>
        </w:rPr>
        <w:t>. My perception of problems as opportunities for learning and growth has been shaped by the lessons I have acquired in the workplace, my personal life, and my academic institutions. I am certain that as I develop, my capacity for problem-solving will still serve as a vital compass, directing my actions and promoting ongoing learning and improvement.</w:t>
      </w:r>
    </w:p>
    <w:p w:rsidR="00E55EE1" w:rsidRPr="00631565" w:rsidRDefault="00E55EE1" w:rsidP="007D39BE">
      <w:pPr>
        <w:pStyle w:val="Heading1"/>
        <w:spacing w:line="360" w:lineRule="auto"/>
        <w:rPr>
          <w:rFonts w:ascii="Times New Roman" w:hAnsi="Times New Roman" w:cs="Times New Roman"/>
          <w:b/>
          <w:color w:val="auto"/>
          <w:sz w:val="24"/>
          <w:szCs w:val="24"/>
        </w:rPr>
      </w:pPr>
      <w:bookmarkStart w:id="2" w:name="_Toc137219917"/>
      <w:r w:rsidRPr="00631565">
        <w:rPr>
          <w:rFonts w:ascii="Times New Roman" w:hAnsi="Times New Roman" w:cs="Times New Roman"/>
          <w:b/>
          <w:color w:val="auto"/>
          <w:sz w:val="24"/>
          <w:szCs w:val="24"/>
        </w:rPr>
        <w:t>Task 3</w:t>
      </w:r>
      <w:bookmarkEnd w:id="2"/>
    </w:p>
    <w:p w:rsidR="00E55EE1" w:rsidRPr="00631565" w:rsidRDefault="00EF0EC9" w:rsidP="007D39BE">
      <w:pPr>
        <w:spacing w:before="120" w:after="120" w:line="360" w:lineRule="auto"/>
        <w:jc w:val="both"/>
        <w:rPr>
          <w:b/>
          <w:sz w:val="24"/>
          <w:szCs w:val="24"/>
        </w:rPr>
      </w:pPr>
      <w:r w:rsidRPr="00631565">
        <w:rPr>
          <w:sz w:val="24"/>
          <w:szCs w:val="24"/>
          <w:shd w:val="clear" w:color="auto" w:fill="FFFFFF"/>
        </w:rPr>
        <w:t>Topic 4 - You must participate to have a chance to win</w:t>
      </w:r>
    </w:p>
    <w:p w:rsidR="008F6D2F" w:rsidRPr="00631565" w:rsidRDefault="008F6D2F" w:rsidP="007D39BE">
      <w:pPr>
        <w:spacing w:before="120" w:after="120" w:line="360" w:lineRule="auto"/>
        <w:ind w:firstLine="720"/>
        <w:jc w:val="both"/>
        <w:rPr>
          <w:sz w:val="24"/>
          <w:szCs w:val="24"/>
        </w:rPr>
      </w:pPr>
      <w:r w:rsidRPr="00631565">
        <w:rPr>
          <w:sz w:val="24"/>
          <w:szCs w:val="24"/>
        </w:rPr>
        <w:t>It has been a guiding philosophy in many facets of my life that you must participate to have a chance to win. This principle captures the essence of active involvement and an eagerness to take risks, and it is relevant to my job environment, personal relationships, and academic endeavours. This concept emphasises the value of being actively involved, taking calculated risks, and appreciating the triumphs and lessons from these efforts.</w:t>
      </w:r>
    </w:p>
    <w:p w:rsidR="008F6D2F" w:rsidRPr="00631565" w:rsidRDefault="008F6D2F" w:rsidP="007D39BE">
      <w:pPr>
        <w:spacing w:before="120" w:after="120" w:line="360" w:lineRule="auto"/>
        <w:jc w:val="both"/>
        <w:rPr>
          <w:sz w:val="24"/>
          <w:szCs w:val="24"/>
        </w:rPr>
      </w:pPr>
    </w:p>
    <w:p w:rsidR="008F6D2F" w:rsidRPr="00631565" w:rsidRDefault="008F6D2F" w:rsidP="007D39BE">
      <w:pPr>
        <w:spacing w:before="120" w:after="120" w:line="360" w:lineRule="auto"/>
        <w:ind w:firstLine="720"/>
        <w:jc w:val="both"/>
        <w:rPr>
          <w:sz w:val="24"/>
          <w:szCs w:val="24"/>
        </w:rPr>
      </w:pPr>
      <w:r w:rsidRPr="00631565">
        <w:rPr>
          <w:sz w:val="24"/>
          <w:szCs w:val="24"/>
        </w:rPr>
        <w:t>When I was a young professional at a business, I saw the value of this idea of participation in my working life. The company's annual innovation challenge served as a pivotal turning point where the idea initially resonated with me in my personal life as well. Sometimes, I would suppress my emotions out of concern about being rejected or misunderstood. However, internal motivation and outside support convinced me to submit a proposal I had been mulling about. To my astonishment, my suggestion was chosen, which resulted in the concept being implemented across the whole organisation and accelerating my career advancement</w:t>
      </w:r>
      <w:r w:rsidR="00877D00" w:rsidRPr="00631565">
        <w:rPr>
          <w:sz w:val="24"/>
          <w:szCs w:val="24"/>
        </w:rPr>
        <w:t xml:space="preserve"> (</w:t>
      </w:r>
      <w:proofErr w:type="spellStart"/>
      <w:r w:rsidR="00877D00" w:rsidRPr="00631565">
        <w:rPr>
          <w:sz w:val="24"/>
          <w:szCs w:val="24"/>
          <w:shd w:val="clear" w:color="auto" w:fill="FFFFFF"/>
        </w:rPr>
        <w:t>Okin</w:t>
      </w:r>
      <w:proofErr w:type="spellEnd"/>
      <w:r w:rsidR="00877D00" w:rsidRPr="00631565">
        <w:rPr>
          <w:sz w:val="24"/>
          <w:szCs w:val="24"/>
          <w:shd w:val="clear" w:color="auto" w:fill="FFFFFF"/>
        </w:rPr>
        <w:t>, 2015</w:t>
      </w:r>
      <w:r w:rsidR="00877D00" w:rsidRPr="00631565">
        <w:rPr>
          <w:sz w:val="24"/>
          <w:szCs w:val="24"/>
        </w:rPr>
        <w:t>)</w:t>
      </w:r>
      <w:r w:rsidRPr="00631565">
        <w:rPr>
          <w:sz w:val="24"/>
          <w:szCs w:val="24"/>
        </w:rPr>
        <w:t>. This event reinforced the value of engaging fully in interpersonal relationships by showing how taking advantage of chances may result in unexpected consequences.</w:t>
      </w:r>
    </w:p>
    <w:p w:rsidR="00C2676B" w:rsidRPr="00631565" w:rsidRDefault="00C2676B" w:rsidP="007D39BE">
      <w:pPr>
        <w:spacing w:before="120" w:after="120" w:line="360" w:lineRule="auto"/>
        <w:ind w:firstLine="720"/>
        <w:jc w:val="both"/>
        <w:rPr>
          <w:sz w:val="24"/>
          <w:szCs w:val="24"/>
        </w:rPr>
      </w:pPr>
      <w:r w:rsidRPr="00631565">
        <w:rPr>
          <w:sz w:val="24"/>
          <w:szCs w:val="24"/>
        </w:rPr>
        <w:t>On a personal level, this idea became very clear during a competition for internal innovation at my company. I was first reluctant to present my proposal due to my concerns about receiving negative feedback from the public and the likelihood of failing. However, I mustered the bravery to engage because I wanted to contribute. My professional trajectory was significantly impacted by the proposal's approval and subsequent execution. This circumstance highlighted the possible benefits of overcoming fear and seizing chances with initiative while providing insightful information on the power of initiative. This crucial interaction reinforced the significant influence of active participation</w:t>
      </w:r>
      <w:r w:rsidR="00877D00" w:rsidRPr="00631565">
        <w:rPr>
          <w:sz w:val="24"/>
          <w:szCs w:val="24"/>
        </w:rPr>
        <w:t xml:space="preserve"> (</w:t>
      </w:r>
      <w:proofErr w:type="spellStart"/>
      <w:r w:rsidR="00877D00" w:rsidRPr="00631565">
        <w:rPr>
          <w:sz w:val="24"/>
          <w:szCs w:val="24"/>
          <w:shd w:val="clear" w:color="auto" w:fill="FFFFFF"/>
        </w:rPr>
        <w:t>Aronoff</w:t>
      </w:r>
      <w:proofErr w:type="spellEnd"/>
      <w:r w:rsidR="00877D00" w:rsidRPr="00631565">
        <w:rPr>
          <w:sz w:val="24"/>
          <w:szCs w:val="24"/>
          <w:shd w:val="clear" w:color="auto" w:fill="FFFFFF"/>
        </w:rPr>
        <w:t xml:space="preserve"> et al., 2019</w:t>
      </w:r>
      <w:r w:rsidR="00877D00" w:rsidRPr="00631565">
        <w:rPr>
          <w:sz w:val="24"/>
          <w:szCs w:val="24"/>
        </w:rPr>
        <w:t>)</w:t>
      </w:r>
      <w:r w:rsidRPr="00631565">
        <w:rPr>
          <w:sz w:val="24"/>
          <w:szCs w:val="24"/>
        </w:rPr>
        <w:t>. Despite the potential for public criticism, engaging resulted in improved research, a larger academic network, and, most importantly, significant personal and professional progress. The encounter confirmed that venturing into unfamiliar, daunting environments may result in unexpected benefits and significant personal growth, despite apparent difficulties.</w:t>
      </w:r>
    </w:p>
    <w:p w:rsidR="00C2676B" w:rsidRPr="00631565" w:rsidRDefault="00C2676B" w:rsidP="007D39BE">
      <w:pPr>
        <w:spacing w:before="120" w:after="120" w:line="360" w:lineRule="auto"/>
        <w:ind w:firstLine="720"/>
        <w:jc w:val="both"/>
        <w:rPr>
          <w:sz w:val="24"/>
          <w:szCs w:val="24"/>
        </w:rPr>
      </w:pPr>
      <w:r w:rsidRPr="00631565">
        <w:rPr>
          <w:sz w:val="24"/>
          <w:szCs w:val="24"/>
        </w:rPr>
        <w:t>The idea of participating to have a chance to win was crucial to my academic experience. Especially when I got the chance to share my research results at an international conference during my postgraduate research studies. Given the competitive atmosphere of the occasion and the calibre of the academics who would be in attendance, I was cautious. However, after considering my prior experiences, I chose to take part. Positive comments and lively discussions prompted by my presentation helped me to improve my study</w:t>
      </w:r>
      <w:r w:rsidR="00877D00" w:rsidRPr="00631565">
        <w:rPr>
          <w:sz w:val="24"/>
          <w:szCs w:val="24"/>
        </w:rPr>
        <w:t xml:space="preserve"> (</w:t>
      </w:r>
      <w:r w:rsidR="00877D00" w:rsidRPr="00631565">
        <w:rPr>
          <w:sz w:val="24"/>
          <w:szCs w:val="24"/>
          <w:shd w:val="clear" w:color="auto" w:fill="FFFFFF"/>
        </w:rPr>
        <w:t>Galea et al., 2014</w:t>
      </w:r>
      <w:r w:rsidR="00877D00" w:rsidRPr="00631565">
        <w:rPr>
          <w:sz w:val="24"/>
          <w:szCs w:val="24"/>
        </w:rPr>
        <w:t>)</w:t>
      </w:r>
      <w:r w:rsidRPr="00631565">
        <w:rPr>
          <w:sz w:val="24"/>
          <w:szCs w:val="24"/>
        </w:rPr>
        <w:t>. The experience emphasised how crucial it is to take calculated risks and actively participate in educational endeavours. However, deciding to present led to helpful comments that significantly improved my study and increased my academic confidence. This experience confirmed the idea that proactive participation might significantly advance academic and personal growth, especially under challenging circumstances. The first fear was palpable. Naturally, I began to feel self-conscious and compare myself to others when I thought about speaking on a stage that was usually reserved for eminent academics. I worried my writing would not withstand professional criticism or appeal to a broad readership. The temptation to reject the offer and stick with my academic network in its cosy haven was sometimes strong. I decided to overcome my apprehension and enter this novel academic setting, nevertheless, by reminding myself of the proverb that I must participate to have a chance to win. This choice entailed numerous hours of extra study, planning, and preparation. Each step was a teaching opportunity that helped me become a better presenter and researcher. The anxiety and self-doubt were still there on the day of the presentation, but they had been replaced with a sense of preparation and calm resolve.</w:t>
      </w:r>
    </w:p>
    <w:p w:rsidR="00E55EE1" w:rsidRPr="00631565" w:rsidRDefault="00006B04" w:rsidP="007D39BE">
      <w:pPr>
        <w:spacing w:before="120" w:after="120" w:line="360" w:lineRule="auto"/>
        <w:ind w:firstLine="720"/>
        <w:jc w:val="both"/>
        <w:rPr>
          <w:sz w:val="24"/>
          <w:szCs w:val="24"/>
        </w:rPr>
      </w:pPr>
      <w:r w:rsidRPr="00631565">
        <w:rPr>
          <w:sz w:val="24"/>
          <w:szCs w:val="24"/>
        </w:rPr>
        <w:t>The adage You must participate to have a chance to win sounds very true in light of these situations. The participation resulted in unforeseen successes and priceless development, whether facing rejection at work, discussing personal issues, or presenting academic findings to renowned researchers. It has solidified my conviction that risk-taking should not be discouraged by fear of failure but rather be fuelled by the bravery to grab possibilities</w:t>
      </w:r>
      <w:r w:rsidR="00877D00" w:rsidRPr="00631565">
        <w:rPr>
          <w:sz w:val="24"/>
          <w:szCs w:val="24"/>
        </w:rPr>
        <w:t xml:space="preserve"> (</w:t>
      </w:r>
      <w:r w:rsidR="00877D00" w:rsidRPr="00631565">
        <w:rPr>
          <w:sz w:val="24"/>
          <w:szCs w:val="24"/>
          <w:shd w:val="clear" w:color="auto" w:fill="FFFFFF"/>
        </w:rPr>
        <w:t>Hunt, 2017</w:t>
      </w:r>
      <w:r w:rsidR="00877D00" w:rsidRPr="00631565">
        <w:rPr>
          <w:sz w:val="24"/>
          <w:szCs w:val="24"/>
        </w:rPr>
        <w:t>)</w:t>
      </w:r>
      <w:r w:rsidRPr="00631565">
        <w:rPr>
          <w:sz w:val="24"/>
          <w:szCs w:val="24"/>
        </w:rPr>
        <w:t>. After all, life is a series of chances that need our participation, willingness to take chances, and acceptance of the results, whether they be triumphs or priceless lessons. My experiences have highlighted the fact that taking chances and actively participating often pave the way for development, success, and perhaps unexpected benefits. This idea serves as a reminder that, despite the dangers involved, we must always work to take advantage of chances since, more often than not, success and important life lessons are waiting on the other side of participation.</w:t>
      </w:r>
    </w:p>
    <w:p w:rsidR="00E55EE1" w:rsidRPr="00631565" w:rsidRDefault="00E55EE1" w:rsidP="007D39BE">
      <w:pPr>
        <w:pStyle w:val="Heading1"/>
        <w:spacing w:line="360" w:lineRule="auto"/>
        <w:rPr>
          <w:rFonts w:ascii="Times New Roman" w:hAnsi="Times New Roman" w:cs="Times New Roman"/>
          <w:b/>
          <w:color w:val="auto"/>
          <w:sz w:val="24"/>
          <w:szCs w:val="24"/>
        </w:rPr>
      </w:pPr>
      <w:bookmarkStart w:id="3" w:name="_Toc137219918"/>
      <w:r w:rsidRPr="00631565">
        <w:rPr>
          <w:rFonts w:ascii="Times New Roman" w:hAnsi="Times New Roman" w:cs="Times New Roman"/>
          <w:b/>
          <w:color w:val="auto"/>
          <w:sz w:val="24"/>
          <w:szCs w:val="24"/>
        </w:rPr>
        <w:t>Task 4</w:t>
      </w:r>
      <w:bookmarkEnd w:id="3"/>
    </w:p>
    <w:p w:rsidR="00E55EE1" w:rsidRPr="00631565" w:rsidRDefault="00EF0EC9" w:rsidP="007D39BE">
      <w:pPr>
        <w:spacing w:before="120" w:after="120" w:line="360" w:lineRule="auto"/>
        <w:jc w:val="both"/>
        <w:rPr>
          <w:b/>
          <w:sz w:val="24"/>
          <w:szCs w:val="24"/>
        </w:rPr>
      </w:pPr>
      <w:r w:rsidRPr="00631565">
        <w:rPr>
          <w:sz w:val="24"/>
          <w:szCs w:val="24"/>
          <w:shd w:val="clear" w:color="auto" w:fill="FFFFFF"/>
        </w:rPr>
        <w:t>Topic 4 - Closing the Loop</w:t>
      </w:r>
    </w:p>
    <w:p w:rsidR="00484C78" w:rsidRPr="00631565" w:rsidRDefault="00484C78" w:rsidP="007D39BE">
      <w:pPr>
        <w:spacing w:before="120" w:after="120" w:line="360" w:lineRule="auto"/>
        <w:ind w:firstLine="720"/>
        <w:jc w:val="both"/>
        <w:rPr>
          <w:sz w:val="24"/>
          <w:szCs w:val="24"/>
        </w:rPr>
      </w:pPr>
      <w:r w:rsidRPr="00631565">
        <w:rPr>
          <w:sz w:val="24"/>
          <w:szCs w:val="24"/>
        </w:rPr>
        <w:t xml:space="preserve">Closing the loop is a philosophy </w:t>
      </w:r>
      <w:r w:rsidR="00F41105">
        <w:rPr>
          <w:sz w:val="24"/>
          <w:szCs w:val="24"/>
        </w:rPr>
        <w:t xml:space="preserve">from the unit </w:t>
      </w:r>
      <w:r w:rsidRPr="00631565">
        <w:rPr>
          <w:sz w:val="24"/>
          <w:szCs w:val="24"/>
        </w:rPr>
        <w:t>that focuses on bringing a process to a successful conclusion by incorporating feedback into the framework for ongoing development. It is an important subject in both the technical sense and in more general elements of life. The main point of this perspective is how the idea of Closing the Loop appeared in my professional environment, personal life, and educational institution</w:t>
      </w:r>
      <w:r w:rsidR="00877D00" w:rsidRPr="00631565">
        <w:rPr>
          <w:sz w:val="24"/>
          <w:szCs w:val="24"/>
        </w:rPr>
        <w:t xml:space="preserve"> (</w:t>
      </w:r>
      <w:r w:rsidR="00877D00" w:rsidRPr="00631565">
        <w:rPr>
          <w:sz w:val="24"/>
          <w:szCs w:val="24"/>
          <w:shd w:val="clear" w:color="auto" w:fill="FFFFFF"/>
        </w:rPr>
        <w:t>Stallman and King, 2016</w:t>
      </w:r>
      <w:r w:rsidR="00877D00" w:rsidRPr="00631565">
        <w:rPr>
          <w:sz w:val="24"/>
          <w:szCs w:val="24"/>
        </w:rPr>
        <w:t>)</w:t>
      </w:r>
      <w:r w:rsidRPr="00631565">
        <w:rPr>
          <w:sz w:val="24"/>
          <w:szCs w:val="24"/>
        </w:rPr>
        <w:t>.</w:t>
      </w:r>
    </w:p>
    <w:p w:rsidR="00484C78" w:rsidRPr="00631565" w:rsidRDefault="00484C78" w:rsidP="007D39BE">
      <w:pPr>
        <w:spacing w:before="120" w:after="120" w:line="360" w:lineRule="auto"/>
        <w:jc w:val="both"/>
        <w:rPr>
          <w:sz w:val="24"/>
          <w:szCs w:val="24"/>
        </w:rPr>
      </w:pPr>
    </w:p>
    <w:p w:rsidR="00484C78" w:rsidRPr="00631565" w:rsidRDefault="00484C78" w:rsidP="007D39BE">
      <w:pPr>
        <w:spacing w:before="120" w:after="120" w:line="360" w:lineRule="auto"/>
        <w:ind w:firstLine="720"/>
        <w:jc w:val="both"/>
        <w:rPr>
          <w:sz w:val="24"/>
          <w:szCs w:val="24"/>
        </w:rPr>
      </w:pPr>
      <w:r w:rsidRPr="00631565">
        <w:rPr>
          <w:sz w:val="24"/>
          <w:szCs w:val="24"/>
        </w:rPr>
        <w:t>I originally learned about Closing the Loop as a crucial part of quality assurance at work. We have a habit of getting feedback from customers and end users as an employee. However, it was when we encountered a project with recurrent problems that things started to change. We came to the realisation that while we were gathering input, it was not being used properly to enhance the product. Then we decided to close the loop by recording the comments, delegating tasks, and setting due dates to guarantee that the essential corrections were performed</w:t>
      </w:r>
      <w:r w:rsidR="00877D00" w:rsidRPr="00631565">
        <w:rPr>
          <w:sz w:val="24"/>
          <w:szCs w:val="24"/>
        </w:rPr>
        <w:t xml:space="preserve"> (</w:t>
      </w:r>
      <w:r w:rsidR="00877D00" w:rsidRPr="00631565">
        <w:rPr>
          <w:sz w:val="24"/>
          <w:szCs w:val="24"/>
          <w:shd w:val="clear" w:color="auto" w:fill="FFFFFF"/>
        </w:rPr>
        <w:t>Sandri et al., 2018</w:t>
      </w:r>
      <w:r w:rsidR="00877D00" w:rsidRPr="00631565">
        <w:rPr>
          <w:sz w:val="24"/>
          <w:szCs w:val="24"/>
        </w:rPr>
        <w:t>)</w:t>
      </w:r>
      <w:r w:rsidRPr="00631565">
        <w:rPr>
          <w:sz w:val="24"/>
          <w:szCs w:val="24"/>
        </w:rPr>
        <w:t>. This method significantly increased the success of our project and customer pleasure. It highlighted the need to use the information for ongoing development in addition to just gathering it.</w:t>
      </w:r>
    </w:p>
    <w:p w:rsidR="00484C78" w:rsidRPr="00631565" w:rsidRDefault="00484C78" w:rsidP="007D39BE">
      <w:pPr>
        <w:spacing w:before="120" w:after="120" w:line="360" w:lineRule="auto"/>
        <w:ind w:firstLine="720"/>
        <w:jc w:val="both"/>
        <w:rPr>
          <w:sz w:val="24"/>
          <w:szCs w:val="24"/>
        </w:rPr>
      </w:pPr>
      <w:r w:rsidRPr="00631565">
        <w:rPr>
          <w:sz w:val="24"/>
          <w:szCs w:val="24"/>
        </w:rPr>
        <w:t>Closing the Loop started to matter in my life regarding relationships and growth. I became aware of how often I would ask for views and suggestions without necessarily acting on them. An incident, in particular, was when a close friend called attention to a communication problem that damaged our friendship. I resolved to close the loop in my personal life by actively focusing on improving my communication skills, accepting comments, and taking the lead from my employment. My friendship with my buddy greatly improved due to purposeful effort, honest communication, and regular check-ins</w:t>
      </w:r>
      <w:r w:rsidR="00877D00" w:rsidRPr="00631565">
        <w:rPr>
          <w:sz w:val="24"/>
          <w:szCs w:val="24"/>
        </w:rPr>
        <w:t xml:space="preserve"> (</w:t>
      </w:r>
      <w:r w:rsidR="00877D00" w:rsidRPr="00631565">
        <w:rPr>
          <w:sz w:val="24"/>
          <w:szCs w:val="24"/>
          <w:shd w:val="clear" w:color="auto" w:fill="FFFFFF"/>
        </w:rPr>
        <w:t>Ziegler et al., 2019</w:t>
      </w:r>
      <w:r w:rsidR="00877D00" w:rsidRPr="00631565">
        <w:rPr>
          <w:sz w:val="24"/>
          <w:szCs w:val="24"/>
        </w:rPr>
        <w:t>)</w:t>
      </w:r>
      <w:r w:rsidRPr="00631565">
        <w:rPr>
          <w:sz w:val="24"/>
          <w:szCs w:val="24"/>
        </w:rPr>
        <w:t>. I learned from this experience how crucial active participation and commitment are to interpersonal development. I became aware of a reoccurring pattern in which I would aggressively seek out views and advice from people but would often fail to apply these realisations to my actions. When I faced a challenging circumstance in my personal life, which reaffirmed the need to recognise feedback and actively incorporate it into my life, this inclination started to shift. My close buddy, with whom I had experienced many highs and lows, expressed worry about a problem gradually harming our friendship: our communication. Initially, we had been at ease discussing our ideas and emotions, but a recent shift in how I communicated seemed to put a wall between us. I was described by my buddy as being distant and unresponsive, which caused misunderstandings and strife in our relationship.</w:t>
      </w:r>
    </w:p>
    <w:p w:rsidR="00C02B20" w:rsidRPr="00631565" w:rsidRDefault="00C02B20" w:rsidP="007D39BE">
      <w:pPr>
        <w:spacing w:before="120" w:after="120" w:line="360" w:lineRule="auto"/>
        <w:ind w:firstLine="720"/>
        <w:jc w:val="both"/>
        <w:rPr>
          <w:sz w:val="24"/>
          <w:szCs w:val="24"/>
        </w:rPr>
      </w:pPr>
      <w:r w:rsidRPr="00631565">
        <w:rPr>
          <w:sz w:val="24"/>
          <w:szCs w:val="24"/>
        </w:rPr>
        <w:t>Closing the loop was a crucial component of my learning process throughout my academic journey. We had a mechanism for providing comments on our work throughout my time at university. Like many other students, I did not give this criticism much thought. However, as I went along, I saw that this criticism offered a chance for improvement. I started carefully reviewing the criticism, asking the teachers to explain my questions, and incorporating what I learned into my next assignments and projects. My learning was enhanced by this practice, in addition to my grades. I came to understand that learning is a continuous process and that Closing the Loop is essential for academic advancement. Like many of my friends, I did not give the criticism on my assignments the proper weight when I first started my academic career</w:t>
      </w:r>
      <w:r w:rsidR="00877D00" w:rsidRPr="00631565">
        <w:rPr>
          <w:sz w:val="24"/>
          <w:szCs w:val="24"/>
        </w:rPr>
        <w:t xml:space="preserve"> (</w:t>
      </w:r>
      <w:r w:rsidR="00877D00" w:rsidRPr="00631565">
        <w:rPr>
          <w:sz w:val="24"/>
          <w:szCs w:val="24"/>
          <w:shd w:val="clear" w:color="auto" w:fill="FFFFFF"/>
        </w:rPr>
        <w:t>Hunt, 2017</w:t>
      </w:r>
      <w:r w:rsidR="00877D00" w:rsidRPr="00631565">
        <w:rPr>
          <w:sz w:val="24"/>
          <w:szCs w:val="24"/>
        </w:rPr>
        <w:t>)</w:t>
      </w:r>
      <w:r w:rsidRPr="00631565">
        <w:rPr>
          <w:sz w:val="24"/>
          <w:szCs w:val="24"/>
        </w:rPr>
        <w:t xml:space="preserve">. I was mostly concerned with my grades and saw comments as an add-on to the learning process. I used a mostly linear strategy, moving directly from one work to the next without </w:t>
      </w:r>
      <w:r w:rsidR="00227093" w:rsidRPr="00631565">
        <w:rPr>
          <w:sz w:val="24"/>
          <w:szCs w:val="24"/>
        </w:rPr>
        <w:t>re-examining</w:t>
      </w:r>
      <w:r w:rsidRPr="00631565">
        <w:rPr>
          <w:sz w:val="24"/>
          <w:szCs w:val="24"/>
        </w:rPr>
        <w:t xml:space="preserve"> the learnings from earlier ones. However, as I became more involved in my studies and the schoolwork got more difficult, I started to see a trend. My academic development was not happening, and my task performance was plateauing. </w:t>
      </w:r>
    </w:p>
    <w:p w:rsidR="00B42BD2" w:rsidRPr="00631565" w:rsidRDefault="00C02B20" w:rsidP="007D39BE">
      <w:pPr>
        <w:spacing w:before="120" w:after="120" w:line="360" w:lineRule="auto"/>
        <w:ind w:firstLine="720"/>
        <w:jc w:val="both"/>
        <w:rPr>
          <w:sz w:val="24"/>
          <w:szCs w:val="24"/>
        </w:rPr>
      </w:pPr>
      <w:r w:rsidRPr="00631565">
        <w:rPr>
          <w:sz w:val="24"/>
          <w:szCs w:val="24"/>
        </w:rPr>
        <w:t>As I reflect on these encounters in many parts of my life, the idea of Closing the Loop becomes a key tenet of ongoing development. The active absorption of feedback is essential for improving work products, strengthening academic performance, and enhancing personal connections</w:t>
      </w:r>
      <w:r w:rsidR="00877D00" w:rsidRPr="00631565">
        <w:rPr>
          <w:sz w:val="24"/>
          <w:szCs w:val="24"/>
        </w:rPr>
        <w:t xml:space="preserve"> (</w:t>
      </w:r>
      <w:r w:rsidR="00877D00" w:rsidRPr="00631565">
        <w:rPr>
          <w:sz w:val="24"/>
          <w:szCs w:val="24"/>
          <w:shd w:val="clear" w:color="auto" w:fill="FFFFFF"/>
        </w:rPr>
        <w:t>Hughes, 2017</w:t>
      </w:r>
      <w:r w:rsidR="00877D00" w:rsidRPr="00631565">
        <w:rPr>
          <w:sz w:val="24"/>
          <w:szCs w:val="24"/>
        </w:rPr>
        <w:t>)</w:t>
      </w:r>
      <w:r w:rsidRPr="00631565">
        <w:rPr>
          <w:sz w:val="24"/>
          <w:szCs w:val="24"/>
        </w:rPr>
        <w:t>. It has taught me that although feedback is a priceless tool, its full potential can only be realised when it is actively used to achieve progress or closing the loop.</w:t>
      </w:r>
    </w:p>
    <w:p w:rsidR="00B42BD2" w:rsidRPr="00631565" w:rsidRDefault="00B42BD2" w:rsidP="007D39BE">
      <w:pPr>
        <w:spacing w:after="160" w:line="360" w:lineRule="auto"/>
        <w:rPr>
          <w:sz w:val="24"/>
          <w:szCs w:val="24"/>
        </w:rPr>
      </w:pPr>
      <w:r w:rsidRPr="00631565">
        <w:rPr>
          <w:sz w:val="24"/>
          <w:szCs w:val="24"/>
        </w:rPr>
        <w:br w:type="page"/>
      </w:r>
    </w:p>
    <w:p w:rsidR="00C02B20" w:rsidRPr="00631565" w:rsidRDefault="00B42BD2" w:rsidP="007D39BE">
      <w:pPr>
        <w:pStyle w:val="Heading1"/>
        <w:spacing w:line="360" w:lineRule="auto"/>
        <w:jc w:val="center"/>
        <w:rPr>
          <w:rFonts w:ascii="Times New Roman" w:hAnsi="Times New Roman" w:cs="Times New Roman"/>
          <w:b/>
          <w:color w:val="auto"/>
          <w:sz w:val="24"/>
          <w:szCs w:val="24"/>
        </w:rPr>
      </w:pPr>
      <w:bookmarkStart w:id="4" w:name="_Toc137219919"/>
      <w:r w:rsidRPr="00631565">
        <w:rPr>
          <w:rFonts w:ascii="Times New Roman" w:hAnsi="Times New Roman" w:cs="Times New Roman"/>
          <w:b/>
          <w:color w:val="auto"/>
          <w:sz w:val="24"/>
          <w:szCs w:val="24"/>
        </w:rPr>
        <w:t>References</w:t>
      </w:r>
      <w:bookmarkEnd w:id="4"/>
    </w:p>
    <w:p w:rsidR="007D39BE" w:rsidRPr="00631565" w:rsidRDefault="007D39BE" w:rsidP="007D39BE">
      <w:pPr>
        <w:spacing w:line="360" w:lineRule="auto"/>
        <w:ind w:left="720" w:hanging="720"/>
        <w:jc w:val="both"/>
        <w:rPr>
          <w:sz w:val="24"/>
          <w:szCs w:val="24"/>
          <w:shd w:val="clear" w:color="auto" w:fill="FFFFFF"/>
        </w:rPr>
      </w:pPr>
      <w:proofErr w:type="spellStart"/>
      <w:r w:rsidRPr="00631565">
        <w:rPr>
          <w:sz w:val="24"/>
          <w:szCs w:val="24"/>
          <w:shd w:val="clear" w:color="auto" w:fill="FFFFFF"/>
        </w:rPr>
        <w:t>Aronoff</w:t>
      </w:r>
      <w:proofErr w:type="spellEnd"/>
      <w:r w:rsidRPr="00631565">
        <w:rPr>
          <w:sz w:val="24"/>
          <w:szCs w:val="24"/>
          <w:shd w:val="clear" w:color="auto" w:fill="FFFFFF"/>
        </w:rPr>
        <w:t xml:space="preserve">, K., </w:t>
      </w:r>
      <w:proofErr w:type="spellStart"/>
      <w:r w:rsidRPr="00631565">
        <w:rPr>
          <w:sz w:val="24"/>
          <w:szCs w:val="24"/>
          <w:shd w:val="clear" w:color="auto" w:fill="FFFFFF"/>
        </w:rPr>
        <w:t>Battistoni</w:t>
      </w:r>
      <w:proofErr w:type="spellEnd"/>
      <w:r w:rsidRPr="00631565">
        <w:rPr>
          <w:sz w:val="24"/>
          <w:szCs w:val="24"/>
          <w:shd w:val="clear" w:color="auto" w:fill="FFFFFF"/>
        </w:rPr>
        <w:t xml:space="preserve">, A., Cohen, D.A. and </w:t>
      </w:r>
      <w:proofErr w:type="spellStart"/>
      <w:r w:rsidRPr="00631565">
        <w:rPr>
          <w:sz w:val="24"/>
          <w:szCs w:val="24"/>
          <w:shd w:val="clear" w:color="auto" w:fill="FFFFFF"/>
        </w:rPr>
        <w:t>Riofrancos</w:t>
      </w:r>
      <w:proofErr w:type="spellEnd"/>
      <w:r w:rsidRPr="00631565">
        <w:rPr>
          <w:sz w:val="24"/>
          <w:szCs w:val="24"/>
          <w:shd w:val="clear" w:color="auto" w:fill="FFFFFF"/>
        </w:rPr>
        <w:t>, T., 2019. </w:t>
      </w:r>
      <w:r w:rsidRPr="00631565">
        <w:rPr>
          <w:i/>
          <w:iCs/>
          <w:sz w:val="24"/>
          <w:szCs w:val="24"/>
          <w:shd w:val="clear" w:color="auto" w:fill="FFFFFF"/>
        </w:rPr>
        <w:t>A planet to win: why we need a Green New Deal</w:t>
      </w:r>
      <w:r w:rsidRPr="00631565">
        <w:rPr>
          <w:sz w:val="24"/>
          <w:szCs w:val="24"/>
          <w:shd w:val="clear" w:color="auto" w:fill="FFFFFF"/>
        </w:rPr>
        <w:t>. Verso Books.</w:t>
      </w:r>
    </w:p>
    <w:p w:rsidR="007D39BE" w:rsidRPr="00631565" w:rsidRDefault="007D39BE" w:rsidP="007D39BE">
      <w:pPr>
        <w:spacing w:line="360" w:lineRule="auto"/>
        <w:ind w:left="720" w:hanging="720"/>
        <w:jc w:val="both"/>
        <w:rPr>
          <w:sz w:val="24"/>
          <w:szCs w:val="24"/>
          <w:shd w:val="clear" w:color="auto" w:fill="FFFFFF"/>
        </w:rPr>
      </w:pPr>
      <w:r w:rsidRPr="00631565">
        <w:rPr>
          <w:sz w:val="24"/>
          <w:szCs w:val="24"/>
          <w:shd w:val="clear" w:color="auto" w:fill="FFFFFF"/>
        </w:rPr>
        <w:t>Firth, A. ed., 2014. </w:t>
      </w:r>
      <w:r w:rsidRPr="00631565">
        <w:rPr>
          <w:i/>
          <w:iCs/>
          <w:sz w:val="24"/>
          <w:szCs w:val="24"/>
          <w:shd w:val="clear" w:color="auto" w:fill="FFFFFF"/>
        </w:rPr>
        <w:t>The discourse of negotiation: Studies of language in the workplace</w:t>
      </w:r>
      <w:r w:rsidRPr="00631565">
        <w:rPr>
          <w:sz w:val="24"/>
          <w:szCs w:val="24"/>
          <w:shd w:val="clear" w:color="auto" w:fill="FFFFFF"/>
        </w:rPr>
        <w:t> (Vol. 15). Elsevier.</w:t>
      </w:r>
    </w:p>
    <w:p w:rsidR="007D39BE" w:rsidRPr="00631565" w:rsidRDefault="007D39BE" w:rsidP="007D39BE">
      <w:pPr>
        <w:spacing w:line="360" w:lineRule="auto"/>
        <w:ind w:left="720" w:hanging="720"/>
        <w:jc w:val="both"/>
        <w:rPr>
          <w:sz w:val="24"/>
          <w:szCs w:val="24"/>
          <w:shd w:val="clear" w:color="auto" w:fill="FFFFFF"/>
        </w:rPr>
      </w:pPr>
      <w:r w:rsidRPr="00631565">
        <w:rPr>
          <w:sz w:val="24"/>
          <w:szCs w:val="24"/>
          <w:shd w:val="clear" w:color="auto" w:fill="FFFFFF"/>
        </w:rPr>
        <w:t>Friedman, S., 2014. </w:t>
      </w:r>
      <w:r w:rsidRPr="00631565">
        <w:rPr>
          <w:i/>
          <w:iCs/>
          <w:sz w:val="24"/>
          <w:szCs w:val="24"/>
          <w:shd w:val="clear" w:color="auto" w:fill="FFFFFF"/>
        </w:rPr>
        <w:t>Total leadership: Be a better leader, have a richer life (with New Preface)</w:t>
      </w:r>
      <w:r w:rsidRPr="00631565">
        <w:rPr>
          <w:sz w:val="24"/>
          <w:szCs w:val="24"/>
          <w:shd w:val="clear" w:color="auto" w:fill="FFFFFF"/>
        </w:rPr>
        <w:t>. Harvard Business Review Press.</w:t>
      </w:r>
    </w:p>
    <w:p w:rsidR="007D39BE" w:rsidRPr="00631565" w:rsidRDefault="007D39BE" w:rsidP="007D39BE">
      <w:pPr>
        <w:spacing w:line="360" w:lineRule="auto"/>
        <w:ind w:left="720" w:hanging="720"/>
        <w:jc w:val="both"/>
        <w:rPr>
          <w:sz w:val="24"/>
          <w:szCs w:val="24"/>
          <w:shd w:val="clear" w:color="auto" w:fill="FFFFFF"/>
        </w:rPr>
      </w:pPr>
      <w:r w:rsidRPr="00631565">
        <w:rPr>
          <w:sz w:val="24"/>
          <w:szCs w:val="24"/>
          <w:shd w:val="clear" w:color="auto" w:fill="FFFFFF"/>
        </w:rPr>
        <w:t xml:space="preserve">Galea, C., </w:t>
      </w:r>
      <w:proofErr w:type="spellStart"/>
      <w:r w:rsidRPr="00631565">
        <w:rPr>
          <w:sz w:val="24"/>
          <w:szCs w:val="24"/>
          <w:shd w:val="clear" w:color="auto" w:fill="FFFFFF"/>
        </w:rPr>
        <w:t>Houkes</w:t>
      </w:r>
      <w:proofErr w:type="spellEnd"/>
      <w:r w:rsidRPr="00631565">
        <w:rPr>
          <w:sz w:val="24"/>
          <w:szCs w:val="24"/>
          <w:shd w:val="clear" w:color="auto" w:fill="FFFFFF"/>
        </w:rPr>
        <w:t xml:space="preserve">, I. and De </w:t>
      </w:r>
      <w:proofErr w:type="spellStart"/>
      <w:r w:rsidRPr="00631565">
        <w:rPr>
          <w:sz w:val="24"/>
          <w:szCs w:val="24"/>
          <w:shd w:val="clear" w:color="auto" w:fill="FFFFFF"/>
        </w:rPr>
        <w:t>Rijk</w:t>
      </w:r>
      <w:proofErr w:type="spellEnd"/>
      <w:r w:rsidRPr="00631565">
        <w:rPr>
          <w:sz w:val="24"/>
          <w:szCs w:val="24"/>
          <w:shd w:val="clear" w:color="auto" w:fill="FFFFFF"/>
        </w:rPr>
        <w:t>, A., 2014. An insider's point of view: how a system of flexible working hours helps employees to strike a proper balance between work and personal life. </w:t>
      </w:r>
      <w:r w:rsidRPr="00631565">
        <w:rPr>
          <w:i/>
          <w:iCs/>
          <w:sz w:val="24"/>
          <w:szCs w:val="24"/>
          <w:shd w:val="clear" w:color="auto" w:fill="FFFFFF"/>
        </w:rPr>
        <w:t>The International Journal of Human Resource Management</w:t>
      </w:r>
      <w:r w:rsidRPr="00631565">
        <w:rPr>
          <w:sz w:val="24"/>
          <w:szCs w:val="24"/>
          <w:shd w:val="clear" w:color="auto" w:fill="FFFFFF"/>
        </w:rPr>
        <w:t>, </w:t>
      </w:r>
      <w:r w:rsidRPr="00631565">
        <w:rPr>
          <w:i/>
          <w:iCs/>
          <w:sz w:val="24"/>
          <w:szCs w:val="24"/>
          <w:shd w:val="clear" w:color="auto" w:fill="FFFFFF"/>
        </w:rPr>
        <w:t>25</w:t>
      </w:r>
      <w:r w:rsidRPr="00631565">
        <w:rPr>
          <w:sz w:val="24"/>
          <w:szCs w:val="24"/>
          <w:shd w:val="clear" w:color="auto" w:fill="FFFFFF"/>
        </w:rPr>
        <w:t>(8), pp.1090-1111.</w:t>
      </w:r>
    </w:p>
    <w:p w:rsidR="007D39BE" w:rsidRPr="00631565" w:rsidRDefault="007D39BE" w:rsidP="007D39BE">
      <w:pPr>
        <w:spacing w:line="360" w:lineRule="auto"/>
        <w:ind w:left="720" w:hanging="720"/>
        <w:jc w:val="both"/>
        <w:rPr>
          <w:sz w:val="24"/>
          <w:szCs w:val="24"/>
        </w:rPr>
      </w:pPr>
      <w:r w:rsidRPr="00631565">
        <w:rPr>
          <w:sz w:val="24"/>
          <w:szCs w:val="24"/>
          <w:shd w:val="clear" w:color="auto" w:fill="FFFFFF"/>
        </w:rPr>
        <w:t>Hughes, R., 2017. The EU circular economy package–life cycle thinking to life cycle law?. </w:t>
      </w:r>
      <w:r w:rsidRPr="00631565">
        <w:rPr>
          <w:i/>
          <w:iCs/>
          <w:sz w:val="24"/>
          <w:szCs w:val="24"/>
          <w:shd w:val="clear" w:color="auto" w:fill="FFFFFF"/>
        </w:rPr>
        <w:t xml:space="preserve">Procedia </w:t>
      </w:r>
      <w:proofErr w:type="spellStart"/>
      <w:r w:rsidRPr="00631565">
        <w:rPr>
          <w:i/>
          <w:iCs/>
          <w:sz w:val="24"/>
          <w:szCs w:val="24"/>
          <w:shd w:val="clear" w:color="auto" w:fill="FFFFFF"/>
        </w:rPr>
        <w:t>Cirp</w:t>
      </w:r>
      <w:proofErr w:type="spellEnd"/>
      <w:r w:rsidRPr="00631565">
        <w:rPr>
          <w:sz w:val="24"/>
          <w:szCs w:val="24"/>
          <w:shd w:val="clear" w:color="auto" w:fill="FFFFFF"/>
        </w:rPr>
        <w:t>, </w:t>
      </w:r>
      <w:r w:rsidRPr="00631565">
        <w:rPr>
          <w:i/>
          <w:iCs/>
          <w:sz w:val="24"/>
          <w:szCs w:val="24"/>
          <w:shd w:val="clear" w:color="auto" w:fill="FFFFFF"/>
        </w:rPr>
        <w:t>61</w:t>
      </w:r>
      <w:r w:rsidRPr="00631565">
        <w:rPr>
          <w:sz w:val="24"/>
          <w:szCs w:val="24"/>
          <w:shd w:val="clear" w:color="auto" w:fill="FFFFFF"/>
        </w:rPr>
        <w:t>, pp.10-16.</w:t>
      </w:r>
    </w:p>
    <w:p w:rsidR="007D39BE" w:rsidRPr="00631565" w:rsidRDefault="007D39BE" w:rsidP="007D39BE">
      <w:pPr>
        <w:spacing w:line="360" w:lineRule="auto"/>
        <w:ind w:left="720" w:hanging="720"/>
        <w:jc w:val="both"/>
        <w:rPr>
          <w:sz w:val="24"/>
          <w:szCs w:val="24"/>
          <w:shd w:val="clear" w:color="auto" w:fill="FFFFFF"/>
        </w:rPr>
      </w:pPr>
      <w:r w:rsidRPr="00631565">
        <w:rPr>
          <w:sz w:val="24"/>
          <w:szCs w:val="24"/>
          <w:shd w:val="clear" w:color="auto" w:fill="FFFFFF"/>
        </w:rPr>
        <w:t>Hunt, P., 2017. A critical condition. In </w:t>
      </w:r>
      <w:r w:rsidRPr="00631565">
        <w:rPr>
          <w:i/>
          <w:iCs/>
          <w:sz w:val="24"/>
          <w:szCs w:val="24"/>
          <w:shd w:val="clear" w:color="auto" w:fill="FFFFFF"/>
        </w:rPr>
        <w:t>Disability, Space, Architecture</w:t>
      </w:r>
      <w:r w:rsidRPr="00631565">
        <w:rPr>
          <w:sz w:val="24"/>
          <w:szCs w:val="24"/>
          <w:shd w:val="clear" w:color="auto" w:fill="FFFFFF"/>
        </w:rPr>
        <w:t> (pp. 33-41). Routledge.</w:t>
      </w:r>
    </w:p>
    <w:p w:rsidR="007D39BE" w:rsidRPr="00631565" w:rsidRDefault="007D39BE" w:rsidP="007D39BE">
      <w:pPr>
        <w:spacing w:line="360" w:lineRule="auto"/>
        <w:ind w:left="720" w:hanging="720"/>
        <w:jc w:val="both"/>
        <w:rPr>
          <w:sz w:val="24"/>
          <w:szCs w:val="24"/>
          <w:shd w:val="clear" w:color="auto" w:fill="FFFFFF"/>
        </w:rPr>
      </w:pPr>
      <w:r w:rsidRPr="00631565">
        <w:rPr>
          <w:sz w:val="24"/>
          <w:szCs w:val="24"/>
          <w:shd w:val="clear" w:color="auto" w:fill="FFFFFF"/>
        </w:rPr>
        <w:t>Lakshmi, N. and Prasanth, V.S., 2018. A study on work-life balance in working women. </w:t>
      </w:r>
      <w:r w:rsidRPr="00631565">
        <w:rPr>
          <w:i/>
          <w:iCs/>
          <w:sz w:val="24"/>
          <w:szCs w:val="24"/>
          <w:shd w:val="clear" w:color="auto" w:fill="FFFFFF"/>
        </w:rPr>
        <w:t>International Journal of Advanced Multidisciplinary Scientific Research</w:t>
      </w:r>
      <w:r w:rsidRPr="00631565">
        <w:rPr>
          <w:sz w:val="24"/>
          <w:szCs w:val="24"/>
          <w:shd w:val="clear" w:color="auto" w:fill="FFFFFF"/>
        </w:rPr>
        <w:t>, </w:t>
      </w:r>
      <w:r w:rsidRPr="00631565">
        <w:rPr>
          <w:i/>
          <w:iCs/>
          <w:sz w:val="24"/>
          <w:szCs w:val="24"/>
          <w:shd w:val="clear" w:color="auto" w:fill="FFFFFF"/>
        </w:rPr>
        <w:t>1</w:t>
      </w:r>
      <w:r w:rsidRPr="00631565">
        <w:rPr>
          <w:sz w:val="24"/>
          <w:szCs w:val="24"/>
          <w:shd w:val="clear" w:color="auto" w:fill="FFFFFF"/>
        </w:rPr>
        <w:t>(7), pp.76-88.</w:t>
      </w:r>
    </w:p>
    <w:p w:rsidR="007D39BE" w:rsidRPr="00631565" w:rsidRDefault="007D39BE" w:rsidP="007D39BE">
      <w:pPr>
        <w:spacing w:line="360" w:lineRule="auto"/>
        <w:ind w:left="720" w:hanging="720"/>
        <w:jc w:val="both"/>
        <w:rPr>
          <w:sz w:val="24"/>
          <w:szCs w:val="24"/>
          <w:shd w:val="clear" w:color="auto" w:fill="FFFFFF"/>
        </w:rPr>
      </w:pPr>
      <w:r w:rsidRPr="00631565">
        <w:rPr>
          <w:sz w:val="24"/>
          <w:szCs w:val="24"/>
          <w:shd w:val="clear" w:color="auto" w:fill="FFFFFF"/>
        </w:rPr>
        <w:t xml:space="preserve">Lee, S.M. and </w:t>
      </w:r>
      <w:proofErr w:type="spellStart"/>
      <w:r w:rsidRPr="00631565">
        <w:rPr>
          <w:sz w:val="24"/>
          <w:szCs w:val="24"/>
          <w:shd w:val="clear" w:color="auto" w:fill="FFFFFF"/>
        </w:rPr>
        <w:t>Trimi</w:t>
      </w:r>
      <w:proofErr w:type="spellEnd"/>
      <w:r w:rsidRPr="00631565">
        <w:rPr>
          <w:sz w:val="24"/>
          <w:szCs w:val="24"/>
          <w:shd w:val="clear" w:color="auto" w:fill="FFFFFF"/>
        </w:rPr>
        <w:t>, S., 2018. Innovation for creating a smart future. </w:t>
      </w:r>
      <w:r w:rsidRPr="00631565">
        <w:rPr>
          <w:i/>
          <w:iCs/>
          <w:sz w:val="24"/>
          <w:szCs w:val="24"/>
          <w:shd w:val="clear" w:color="auto" w:fill="FFFFFF"/>
        </w:rPr>
        <w:t>Journal of Innovation &amp; Knowledge</w:t>
      </w:r>
      <w:r w:rsidRPr="00631565">
        <w:rPr>
          <w:sz w:val="24"/>
          <w:szCs w:val="24"/>
          <w:shd w:val="clear" w:color="auto" w:fill="FFFFFF"/>
        </w:rPr>
        <w:t>, </w:t>
      </w:r>
      <w:r w:rsidRPr="00631565">
        <w:rPr>
          <w:i/>
          <w:iCs/>
          <w:sz w:val="24"/>
          <w:szCs w:val="24"/>
          <w:shd w:val="clear" w:color="auto" w:fill="FFFFFF"/>
        </w:rPr>
        <w:t>3</w:t>
      </w:r>
      <w:r w:rsidRPr="00631565">
        <w:rPr>
          <w:sz w:val="24"/>
          <w:szCs w:val="24"/>
          <w:shd w:val="clear" w:color="auto" w:fill="FFFFFF"/>
        </w:rPr>
        <w:t>(1), pp.1-8.</w:t>
      </w:r>
    </w:p>
    <w:p w:rsidR="007D39BE" w:rsidRPr="00631565" w:rsidRDefault="007D39BE" w:rsidP="007D39BE">
      <w:pPr>
        <w:spacing w:line="360" w:lineRule="auto"/>
        <w:ind w:left="720" w:hanging="720"/>
        <w:jc w:val="both"/>
        <w:rPr>
          <w:sz w:val="24"/>
          <w:szCs w:val="24"/>
          <w:shd w:val="clear" w:color="auto" w:fill="FFFFFF"/>
        </w:rPr>
      </w:pPr>
      <w:r w:rsidRPr="00631565">
        <w:rPr>
          <w:sz w:val="24"/>
          <w:szCs w:val="24"/>
          <w:shd w:val="clear" w:color="auto" w:fill="FFFFFF"/>
        </w:rPr>
        <w:t>Lent, R.W., 2013. Career‐life preparedness: Revisiting career planning and adjustment in the new workplace. </w:t>
      </w:r>
      <w:r w:rsidRPr="00631565">
        <w:rPr>
          <w:i/>
          <w:iCs/>
          <w:sz w:val="24"/>
          <w:szCs w:val="24"/>
          <w:shd w:val="clear" w:color="auto" w:fill="FFFFFF"/>
        </w:rPr>
        <w:t>The Career Development Quarterly</w:t>
      </w:r>
      <w:r w:rsidRPr="00631565">
        <w:rPr>
          <w:sz w:val="24"/>
          <w:szCs w:val="24"/>
          <w:shd w:val="clear" w:color="auto" w:fill="FFFFFF"/>
        </w:rPr>
        <w:t>, </w:t>
      </w:r>
      <w:r w:rsidRPr="00631565">
        <w:rPr>
          <w:i/>
          <w:iCs/>
          <w:sz w:val="24"/>
          <w:szCs w:val="24"/>
          <w:shd w:val="clear" w:color="auto" w:fill="FFFFFF"/>
        </w:rPr>
        <w:t>61</w:t>
      </w:r>
      <w:r w:rsidRPr="00631565">
        <w:rPr>
          <w:sz w:val="24"/>
          <w:szCs w:val="24"/>
          <w:shd w:val="clear" w:color="auto" w:fill="FFFFFF"/>
        </w:rPr>
        <w:t>(1), pp.2-14.</w:t>
      </w:r>
    </w:p>
    <w:p w:rsidR="007D39BE" w:rsidRPr="00631565" w:rsidRDefault="007D39BE" w:rsidP="007D39BE">
      <w:pPr>
        <w:spacing w:line="360" w:lineRule="auto"/>
        <w:ind w:left="720" w:hanging="720"/>
        <w:jc w:val="both"/>
        <w:rPr>
          <w:sz w:val="24"/>
          <w:szCs w:val="24"/>
          <w:shd w:val="clear" w:color="auto" w:fill="FFFFFF"/>
        </w:rPr>
      </w:pPr>
      <w:proofErr w:type="spellStart"/>
      <w:r w:rsidRPr="00631565">
        <w:rPr>
          <w:sz w:val="24"/>
          <w:szCs w:val="24"/>
          <w:shd w:val="clear" w:color="auto" w:fill="FFFFFF"/>
        </w:rPr>
        <w:t>Marsick</w:t>
      </w:r>
      <w:proofErr w:type="spellEnd"/>
      <w:r w:rsidRPr="00631565">
        <w:rPr>
          <w:sz w:val="24"/>
          <w:szCs w:val="24"/>
          <w:shd w:val="clear" w:color="auto" w:fill="FFFFFF"/>
        </w:rPr>
        <w:t>, V.J. and Watkins, K., 2015. </w:t>
      </w:r>
      <w:r w:rsidRPr="00631565">
        <w:rPr>
          <w:i/>
          <w:iCs/>
          <w:sz w:val="24"/>
          <w:szCs w:val="24"/>
          <w:shd w:val="clear" w:color="auto" w:fill="FFFFFF"/>
        </w:rPr>
        <w:t>Informal and incidental learning in the workplace (Routledge Revivals)</w:t>
      </w:r>
      <w:r w:rsidRPr="00631565">
        <w:rPr>
          <w:sz w:val="24"/>
          <w:szCs w:val="24"/>
          <w:shd w:val="clear" w:color="auto" w:fill="FFFFFF"/>
        </w:rPr>
        <w:t>. Routledge.</w:t>
      </w:r>
    </w:p>
    <w:p w:rsidR="007D39BE" w:rsidRPr="00631565" w:rsidRDefault="007D39BE" w:rsidP="007D39BE">
      <w:pPr>
        <w:spacing w:line="360" w:lineRule="auto"/>
        <w:ind w:left="720" w:hanging="720"/>
        <w:jc w:val="both"/>
        <w:rPr>
          <w:sz w:val="24"/>
          <w:szCs w:val="24"/>
          <w:shd w:val="clear" w:color="auto" w:fill="FFFFFF"/>
        </w:rPr>
      </w:pPr>
      <w:proofErr w:type="spellStart"/>
      <w:r w:rsidRPr="00631565">
        <w:rPr>
          <w:sz w:val="24"/>
          <w:szCs w:val="24"/>
          <w:shd w:val="clear" w:color="auto" w:fill="FFFFFF"/>
        </w:rPr>
        <w:t>Nowrouzi</w:t>
      </w:r>
      <w:proofErr w:type="spellEnd"/>
      <w:r w:rsidRPr="00631565">
        <w:rPr>
          <w:sz w:val="24"/>
          <w:szCs w:val="24"/>
          <w:shd w:val="clear" w:color="auto" w:fill="FFFFFF"/>
        </w:rPr>
        <w:t xml:space="preserve">-Kia, B., Isidro, R., Chai, E., </w:t>
      </w:r>
      <w:proofErr w:type="spellStart"/>
      <w:r w:rsidRPr="00631565">
        <w:rPr>
          <w:sz w:val="24"/>
          <w:szCs w:val="24"/>
          <w:shd w:val="clear" w:color="auto" w:fill="FFFFFF"/>
        </w:rPr>
        <w:t>Usuba</w:t>
      </w:r>
      <w:proofErr w:type="spellEnd"/>
      <w:r w:rsidRPr="00631565">
        <w:rPr>
          <w:sz w:val="24"/>
          <w:szCs w:val="24"/>
          <w:shd w:val="clear" w:color="auto" w:fill="FFFFFF"/>
        </w:rPr>
        <w:t>, K. and Chen, A., 2019. Antecedent factors in different types of workplace violence against nurses: a systematic review. </w:t>
      </w:r>
      <w:r w:rsidRPr="00631565">
        <w:rPr>
          <w:i/>
          <w:iCs/>
          <w:sz w:val="24"/>
          <w:szCs w:val="24"/>
          <w:shd w:val="clear" w:color="auto" w:fill="FFFFFF"/>
        </w:rPr>
        <w:t xml:space="preserve">Aggression and violent </w:t>
      </w:r>
      <w:proofErr w:type="spellStart"/>
      <w:r w:rsidRPr="00631565">
        <w:rPr>
          <w:i/>
          <w:iCs/>
          <w:sz w:val="24"/>
          <w:szCs w:val="24"/>
          <w:shd w:val="clear" w:color="auto" w:fill="FFFFFF"/>
        </w:rPr>
        <w:t>behavior</w:t>
      </w:r>
      <w:proofErr w:type="spellEnd"/>
      <w:r w:rsidRPr="00631565">
        <w:rPr>
          <w:sz w:val="24"/>
          <w:szCs w:val="24"/>
          <w:shd w:val="clear" w:color="auto" w:fill="FFFFFF"/>
        </w:rPr>
        <w:t>, </w:t>
      </w:r>
      <w:r w:rsidRPr="00631565">
        <w:rPr>
          <w:i/>
          <w:iCs/>
          <w:sz w:val="24"/>
          <w:szCs w:val="24"/>
          <w:shd w:val="clear" w:color="auto" w:fill="FFFFFF"/>
        </w:rPr>
        <w:t>44</w:t>
      </w:r>
      <w:r w:rsidRPr="00631565">
        <w:rPr>
          <w:sz w:val="24"/>
          <w:szCs w:val="24"/>
          <w:shd w:val="clear" w:color="auto" w:fill="FFFFFF"/>
        </w:rPr>
        <w:t>, pp.1-7.</w:t>
      </w:r>
    </w:p>
    <w:p w:rsidR="007D39BE" w:rsidRPr="00631565" w:rsidRDefault="007D39BE" w:rsidP="007D39BE">
      <w:pPr>
        <w:spacing w:line="360" w:lineRule="auto"/>
        <w:ind w:left="720" w:hanging="720"/>
        <w:jc w:val="both"/>
        <w:rPr>
          <w:sz w:val="24"/>
          <w:szCs w:val="24"/>
          <w:shd w:val="clear" w:color="auto" w:fill="FFFFFF"/>
        </w:rPr>
      </w:pPr>
      <w:proofErr w:type="spellStart"/>
      <w:r w:rsidRPr="00631565">
        <w:rPr>
          <w:sz w:val="24"/>
          <w:szCs w:val="24"/>
          <w:shd w:val="clear" w:color="auto" w:fill="FFFFFF"/>
        </w:rPr>
        <w:t>Okin</w:t>
      </w:r>
      <w:proofErr w:type="spellEnd"/>
      <w:r w:rsidRPr="00631565">
        <w:rPr>
          <w:sz w:val="24"/>
          <w:szCs w:val="24"/>
          <w:shd w:val="clear" w:color="auto" w:fill="FFFFFF"/>
        </w:rPr>
        <w:t>, S.M., 2015. Justice, gender, and the family. In </w:t>
      </w:r>
      <w:r w:rsidRPr="00631565">
        <w:rPr>
          <w:i/>
          <w:iCs/>
          <w:sz w:val="24"/>
          <w:szCs w:val="24"/>
          <w:shd w:val="clear" w:color="auto" w:fill="FFFFFF"/>
        </w:rPr>
        <w:t>Justice, Politics, and the Family</w:t>
      </w:r>
      <w:r w:rsidRPr="00631565">
        <w:rPr>
          <w:sz w:val="24"/>
          <w:szCs w:val="24"/>
          <w:shd w:val="clear" w:color="auto" w:fill="FFFFFF"/>
        </w:rPr>
        <w:t> (pp. 63-87). Routledge.</w:t>
      </w:r>
    </w:p>
    <w:p w:rsidR="007D39BE" w:rsidRPr="00631565" w:rsidRDefault="007D39BE" w:rsidP="007D39BE">
      <w:pPr>
        <w:spacing w:line="360" w:lineRule="auto"/>
        <w:ind w:left="720" w:hanging="720"/>
        <w:jc w:val="both"/>
        <w:rPr>
          <w:sz w:val="24"/>
          <w:szCs w:val="24"/>
          <w:shd w:val="clear" w:color="auto" w:fill="FFFFFF"/>
        </w:rPr>
      </w:pPr>
      <w:r w:rsidRPr="00631565">
        <w:rPr>
          <w:sz w:val="24"/>
          <w:szCs w:val="24"/>
          <w:shd w:val="clear" w:color="auto" w:fill="FFFFFF"/>
        </w:rPr>
        <w:t>Samson, G.N., 2014. Effect of workplace environment on the performance of commercial banks employees in Nakuru town.</w:t>
      </w:r>
    </w:p>
    <w:p w:rsidR="007D39BE" w:rsidRPr="00631565" w:rsidRDefault="007D39BE" w:rsidP="007D39BE">
      <w:pPr>
        <w:spacing w:line="360" w:lineRule="auto"/>
        <w:ind w:left="720" w:hanging="720"/>
        <w:jc w:val="both"/>
        <w:rPr>
          <w:sz w:val="24"/>
          <w:szCs w:val="24"/>
          <w:shd w:val="clear" w:color="auto" w:fill="FFFFFF"/>
        </w:rPr>
      </w:pPr>
      <w:r w:rsidRPr="00631565">
        <w:rPr>
          <w:sz w:val="24"/>
          <w:szCs w:val="24"/>
          <w:shd w:val="clear" w:color="auto" w:fill="FFFFFF"/>
        </w:rPr>
        <w:t>Sandri, O., Holdsworth, S. and Thomas, I., 2018. Assessing graduate sustainability capability post-degree completion: Why is it important and what are the challenges?. </w:t>
      </w:r>
      <w:r w:rsidRPr="00631565">
        <w:rPr>
          <w:i/>
          <w:iCs/>
          <w:sz w:val="24"/>
          <w:szCs w:val="24"/>
          <w:shd w:val="clear" w:color="auto" w:fill="FFFFFF"/>
        </w:rPr>
        <w:t>International Journal of Sustainability in Higher Education</w:t>
      </w:r>
      <w:r w:rsidRPr="00631565">
        <w:rPr>
          <w:sz w:val="24"/>
          <w:szCs w:val="24"/>
          <w:shd w:val="clear" w:color="auto" w:fill="FFFFFF"/>
        </w:rPr>
        <w:t>.</w:t>
      </w:r>
    </w:p>
    <w:p w:rsidR="007D39BE" w:rsidRPr="00631565" w:rsidRDefault="007D39BE" w:rsidP="007D39BE">
      <w:pPr>
        <w:spacing w:line="360" w:lineRule="auto"/>
        <w:ind w:left="720" w:hanging="720"/>
        <w:jc w:val="both"/>
        <w:rPr>
          <w:sz w:val="24"/>
          <w:szCs w:val="24"/>
          <w:shd w:val="clear" w:color="auto" w:fill="FFFFFF"/>
        </w:rPr>
      </w:pPr>
      <w:r w:rsidRPr="00631565">
        <w:rPr>
          <w:sz w:val="24"/>
          <w:szCs w:val="24"/>
          <w:shd w:val="clear" w:color="auto" w:fill="FFFFFF"/>
        </w:rPr>
        <w:t>Stallman, H.M. and King, S., 2016. The Learning Thermometer: Closing the loop between teaching, learning, wellbeing and support in universities. </w:t>
      </w:r>
      <w:r w:rsidRPr="00631565">
        <w:rPr>
          <w:i/>
          <w:iCs/>
          <w:sz w:val="24"/>
          <w:szCs w:val="24"/>
          <w:shd w:val="clear" w:color="auto" w:fill="FFFFFF"/>
        </w:rPr>
        <w:t>Journal of University Teaching &amp; Learning Practice</w:t>
      </w:r>
      <w:r w:rsidRPr="00631565">
        <w:rPr>
          <w:sz w:val="24"/>
          <w:szCs w:val="24"/>
          <w:shd w:val="clear" w:color="auto" w:fill="FFFFFF"/>
        </w:rPr>
        <w:t>, </w:t>
      </w:r>
      <w:r w:rsidRPr="00631565">
        <w:rPr>
          <w:i/>
          <w:iCs/>
          <w:sz w:val="24"/>
          <w:szCs w:val="24"/>
          <w:shd w:val="clear" w:color="auto" w:fill="FFFFFF"/>
        </w:rPr>
        <w:t>13</w:t>
      </w:r>
      <w:r w:rsidRPr="00631565">
        <w:rPr>
          <w:sz w:val="24"/>
          <w:szCs w:val="24"/>
          <w:shd w:val="clear" w:color="auto" w:fill="FFFFFF"/>
        </w:rPr>
        <w:t>(5), p.22.</w:t>
      </w:r>
    </w:p>
    <w:p w:rsidR="007D39BE" w:rsidRPr="00631565" w:rsidRDefault="007D39BE" w:rsidP="007D39BE">
      <w:pPr>
        <w:spacing w:line="360" w:lineRule="auto"/>
        <w:ind w:left="720" w:hanging="720"/>
        <w:jc w:val="both"/>
        <w:rPr>
          <w:sz w:val="24"/>
          <w:szCs w:val="24"/>
          <w:shd w:val="clear" w:color="auto" w:fill="FFFFFF"/>
        </w:rPr>
      </w:pPr>
      <w:r w:rsidRPr="00631565">
        <w:rPr>
          <w:sz w:val="24"/>
          <w:szCs w:val="24"/>
          <w:shd w:val="clear" w:color="auto" w:fill="FFFFFF"/>
        </w:rPr>
        <w:t>Stock, W.G. and Stock, M., 2013. Handbook of information science. In </w:t>
      </w:r>
      <w:r w:rsidRPr="00631565">
        <w:rPr>
          <w:i/>
          <w:iCs/>
          <w:sz w:val="24"/>
          <w:szCs w:val="24"/>
          <w:shd w:val="clear" w:color="auto" w:fill="FFFFFF"/>
        </w:rPr>
        <w:t>Handbook of Information Science</w:t>
      </w:r>
      <w:r w:rsidRPr="00631565">
        <w:rPr>
          <w:sz w:val="24"/>
          <w:szCs w:val="24"/>
          <w:shd w:val="clear" w:color="auto" w:fill="FFFFFF"/>
        </w:rPr>
        <w:t>. De Gruyter Saur.</w:t>
      </w:r>
    </w:p>
    <w:p w:rsidR="007D39BE" w:rsidRPr="00631565" w:rsidRDefault="007D39BE" w:rsidP="007D39BE">
      <w:pPr>
        <w:spacing w:line="360" w:lineRule="auto"/>
        <w:ind w:left="720" w:hanging="720"/>
        <w:jc w:val="both"/>
        <w:rPr>
          <w:sz w:val="24"/>
          <w:szCs w:val="24"/>
          <w:shd w:val="clear" w:color="auto" w:fill="FFFFFF"/>
        </w:rPr>
      </w:pPr>
      <w:r w:rsidRPr="00631565">
        <w:rPr>
          <w:sz w:val="24"/>
          <w:szCs w:val="24"/>
          <w:shd w:val="clear" w:color="auto" w:fill="FFFFFF"/>
        </w:rPr>
        <w:t xml:space="preserve">Wagner, D.T., Barnes, C.M. and Scott, B.A., 2014. Driving it home: How workplace emotional </w:t>
      </w:r>
      <w:proofErr w:type="spellStart"/>
      <w:r w:rsidRPr="00631565">
        <w:rPr>
          <w:sz w:val="24"/>
          <w:szCs w:val="24"/>
          <w:shd w:val="clear" w:color="auto" w:fill="FFFFFF"/>
        </w:rPr>
        <w:t>labor</w:t>
      </w:r>
      <w:proofErr w:type="spellEnd"/>
      <w:r w:rsidRPr="00631565">
        <w:rPr>
          <w:sz w:val="24"/>
          <w:szCs w:val="24"/>
          <w:shd w:val="clear" w:color="auto" w:fill="FFFFFF"/>
        </w:rPr>
        <w:t xml:space="preserve"> harms employee home life. </w:t>
      </w:r>
      <w:r w:rsidRPr="00631565">
        <w:rPr>
          <w:i/>
          <w:iCs/>
          <w:sz w:val="24"/>
          <w:szCs w:val="24"/>
          <w:shd w:val="clear" w:color="auto" w:fill="FFFFFF"/>
        </w:rPr>
        <w:t>Personnel Psychology</w:t>
      </w:r>
      <w:r w:rsidRPr="00631565">
        <w:rPr>
          <w:sz w:val="24"/>
          <w:szCs w:val="24"/>
          <w:shd w:val="clear" w:color="auto" w:fill="FFFFFF"/>
        </w:rPr>
        <w:t>, </w:t>
      </w:r>
      <w:r w:rsidRPr="00631565">
        <w:rPr>
          <w:i/>
          <w:iCs/>
          <w:sz w:val="24"/>
          <w:szCs w:val="24"/>
          <w:shd w:val="clear" w:color="auto" w:fill="FFFFFF"/>
        </w:rPr>
        <w:t>67</w:t>
      </w:r>
      <w:r w:rsidRPr="00631565">
        <w:rPr>
          <w:sz w:val="24"/>
          <w:szCs w:val="24"/>
          <w:shd w:val="clear" w:color="auto" w:fill="FFFFFF"/>
        </w:rPr>
        <w:t>(2), pp.487-516.</w:t>
      </w:r>
    </w:p>
    <w:p w:rsidR="007D39BE" w:rsidRPr="00631565" w:rsidRDefault="007D39BE" w:rsidP="007D39BE">
      <w:pPr>
        <w:spacing w:line="360" w:lineRule="auto"/>
        <w:ind w:left="720" w:hanging="720"/>
        <w:jc w:val="both"/>
        <w:rPr>
          <w:sz w:val="24"/>
          <w:szCs w:val="24"/>
          <w:shd w:val="clear" w:color="auto" w:fill="FFFFFF"/>
        </w:rPr>
      </w:pPr>
      <w:r w:rsidRPr="00631565">
        <w:rPr>
          <w:sz w:val="24"/>
          <w:szCs w:val="24"/>
          <w:shd w:val="clear" w:color="auto" w:fill="FFFFFF"/>
        </w:rPr>
        <w:t xml:space="preserve">Ziegler, D.A., Simon, A.J., Gallen, C.L., Skinner, S., </w:t>
      </w:r>
      <w:proofErr w:type="spellStart"/>
      <w:r w:rsidRPr="00631565">
        <w:rPr>
          <w:sz w:val="24"/>
          <w:szCs w:val="24"/>
          <w:shd w:val="clear" w:color="auto" w:fill="FFFFFF"/>
        </w:rPr>
        <w:t>Janowich</w:t>
      </w:r>
      <w:proofErr w:type="spellEnd"/>
      <w:r w:rsidRPr="00631565">
        <w:rPr>
          <w:sz w:val="24"/>
          <w:szCs w:val="24"/>
          <w:shd w:val="clear" w:color="auto" w:fill="FFFFFF"/>
        </w:rPr>
        <w:t xml:space="preserve">, J.R., </w:t>
      </w:r>
      <w:proofErr w:type="spellStart"/>
      <w:r w:rsidRPr="00631565">
        <w:rPr>
          <w:sz w:val="24"/>
          <w:szCs w:val="24"/>
          <w:shd w:val="clear" w:color="auto" w:fill="FFFFFF"/>
        </w:rPr>
        <w:t>Volponi</w:t>
      </w:r>
      <w:proofErr w:type="spellEnd"/>
      <w:r w:rsidRPr="00631565">
        <w:rPr>
          <w:sz w:val="24"/>
          <w:szCs w:val="24"/>
          <w:shd w:val="clear" w:color="auto" w:fill="FFFFFF"/>
        </w:rPr>
        <w:t xml:space="preserve">, J.J., Rolle, C.E., Mishra, J., Kornfield, J., </w:t>
      </w:r>
      <w:proofErr w:type="spellStart"/>
      <w:r w:rsidRPr="00631565">
        <w:rPr>
          <w:sz w:val="24"/>
          <w:szCs w:val="24"/>
          <w:shd w:val="clear" w:color="auto" w:fill="FFFFFF"/>
        </w:rPr>
        <w:t>Anguera</w:t>
      </w:r>
      <w:proofErr w:type="spellEnd"/>
      <w:r w:rsidRPr="00631565">
        <w:rPr>
          <w:sz w:val="24"/>
          <w:szCs w:val="24"/>
          <w:shd w:val="clear" w:color="auto" w:fill="FFFFFF"/>
        </w:rPr>
        <w:t xml:space="preserve">, J.A. and </w:t>
      </w:r>
      <w:proofErr w:type="spellStart"/>
      <w:r w:rsidRPr="00631565">
        <w:rPr>
          <w:sz w:val="24"/>
          <w:szCs w:val="24"/>
          <w:shd w:val="clear" w:color="auto" w:fill="FFFFFF"/>
        </w:rPr>
        <w:t>Gazzaley</w:t>
      </w:r>
      <w:proofErr w:type="spellEnd"/>
      <w:r w:rsidRPr="00631565">
        <w:rPr>
          <w:sz w:val="24"/>
          <w:szCs w:val="24"/>
          <w:shd w:val="clear" w:color="auto" w:fill="FFFFFF"/>
        </w:rPr>
        <w:t>, A., 2019. Closed-loop digital meditation improves sustained attention in young adults. </w:t>
      </w:r>
      <w:r w:rsidRPr="00631565">
        <w:rPr>
          <w:i/>
          <w:iCs/>
          <w:sz w:val="24"/>
          <w:szCs w:val="24"/>
          <w:shd w:val="clear" w:color="auto" w:fill="FFFFFF"/>
        </w:rPr>
        <w:t>Nature human behaviour</w:t>
      </w:r>
      <w:r w:rsidRPr="00631565">
        <w:rPr>
          <w:sz w:val="24"/>
          <w:szCs w:val="24"/>
          <w:shd w:val="clear" w:color="auto" w:fill="FFFFFF"/>
        </w:rPr>
        <w:t>, </w:t>
      </w:r>
      <w:r w:rsidRPr="00631565">
        <w:rPr>
          <w:i/>
          <w:iCs/>
          <w:sz w:val="24"/>
          <w:szCs w:val="24"/>
          <w:shd w:val="clear" w:color="auto" w:fill="FFFFFF"/>
        </w:rPr>
        <w:t>3</w:t>
      </w:r>
      <w:r w:rsidRPr="00631565">
        <w:rPr>
          <w:sz w:val="24"/>
          <w:szCs w:val="24"/>
          <w:shd w:val="clear" w:color="auto" w:fill="FFFFFF"/>
        </w:rPr>
        <w:t>(7), pp.746-757.</w:t>
      </w:r>
    </w:p>
    <w:p w:rsidR="00B42BD2" w:rsidRPr="00631565" w:rsidRDefault="00B42BD2" w:rsidP="007D39BE">
      <w:pPr>
        <w:spacing w:before="120" w:after="120" w:line="360" w:lineRule="auto"/>
        <w:jc w:val="both"/>
        <w:rPr>
          <w:sz w:val="24"/>
          <w:szCs w:val="24"/>
        </w:rPr>
      </w:pPr>
    </w:p>
    <w:p w:rsidR="00C02B20" w:rsidRPr="00631565" w:rsidRDefault="00C02B20" w:rsidP="007D39BE">
      <w:pPr>
        <w:spacing w:before="120" w:after="120" w:line="360" w:lineRule="auto"/>
        <w:jc w:val="both"/>
        <w:rPr>
          <w:sz w:val="24"/>
          <w:szCs w:val="24"/>
        </w:rPr>
      </w:pPr>
    </w:p>
    <w:p w:rsidR="00484C78" w:rsidRPr="00631565" w:rsidRDefault="00484C78" w:rsidP="007D39BE">
      <w:pPr>
        <w:spacing w:before="120" w:after="120" w:line="360" w:lineRule="auto"/>
        <w:jc w:val="both"/>
        <w:rPr>
          <w:sz w:val="24"/>
          <w:szCs w:val="24"/>
        </w:rPr>
      </w:pPr>
    </w:p>
    <w:p w:rsidR="00E55EE1" w:rsidRPr="00631565" w:rsidRDefault="00E55EE1" w:rsidP="007D39BE">
      <w:pPr>
        <w:spacing w:before="120" w:after="120" w:line="360" w:lineRule="auto"/>
        <w:jc w:val="both"/>
        <w:rPr>
          <w:sz w:val="24"/>
          <w:szCs w:val="24"/>
        </w:rPr>
      </w:pPr>
    </w:p>
    <w:p w:rsidR="00E55EE1" w:rsidRPr="00631565" w:rsidRDefault="00E55EE1" w:rsidP="007D39BE">
      <w:pPr>
        <w:spacing w:before="120" w:after="120" w:line="360" w:lineRule="auto"/>
        <w:jc w:val="both"/>
        <w:rPr>
          <w:b/>
          <w:sz w:val="24"/>
          <w:szCs w:val="24"/>
        </w:rPr>
      </w:pPr>
    </w:p>
    <w:p w:rsidR="00EE094C" w:rsidRPr="00631565" w:rsidRDefault="00EE094C" w:rsidP="007D39BE">
      <w:pPr>
        <w:spacing w:after="160" w:line="360" w:lineRule="auto"/>
        <w:rPr>
          <w:b/>
          <w:sz w:val="24"/>
          <w:szCs w:val="24"/>
        </w:rPr>
      </w:pPr>
      <w:r w:rsidRPr="00631565">
        <w:rPr>
          <w:b/>
          <w:sz w:val="24"/>
          <w:szCs w:val="24"/>
        </w:rPr>
        <w:br w:type="page"/>
      </w:r>
    </w:p>
    <w:p w:rsidR="00EE094C" w:rsidRPr="00631565" w:rsidRDefault="00EE094C" w:rsidP="007D39BE">
      <w:pPr>
        <w:spacing w:before="120" w:after="120" w:line="360" w:lineRule="auto"/>
        <w:jc w:val="both"/>
        <w:rPr>
          <w:b/>
          <w:sz w:val="24"/>
          <w:szCs w:val="24"/>
        </w:rPr>
      </w:pPr>
    </w:p>
    <w:p w:rsidR="00EE094C" w:rsidRPr="00631565" w:rsidRDefault="00EE094C" w:rsidP="007D39BE">
      <w:pPr>
        <w:spacing w:before="120" w:after="120" w:line="360" w:lineRule="auto"/>
        <w:jc w:val="both"/>
        <w:rPr>
          <w:b/>
          <w:sz w:val="24"/>
          <w:szCs w:val="24"/>
        </w:rPr>
      </w:pPr>
    </w:p>
    <w:p w:rsidR="00EE094C" w:rsidRPr="00631565" w:rsidRDefault="00EE094C" w:rsidP="007D39BE">
      <w:pPr>
        <w:spacing w:line="360" w:lineRule="auto"/>
        <w:rPr>
          <w:sz w:val="24"/>
          <w:szCs w:val="24"/>
        </w:rPr>
      </w:pPr>
    </w:p>
    <w:sectPr w:rsidR="00EE094C" w:rsidRPr="00631565" w:rsidSect="00545FDA">
      <w:head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90DCB" w:rsidRDefault="00290DCB" w:rsidP="00545FDA">
      <w:r>
        <w:separator/>
      </w:r>
    </w:p>
  </w:endnote>
  <w:endnote w:type="continuationSeparator" w:id="0">
    <w:p w:rsidR="00290DCB" w:rsidRDefault="00290DCB" w:rsidP="00545F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90DCB" w:rsidRDefault="00290DCB" w:rsidP="00545FDA">
      <w:r>
        <w:separator/>
      </w:r>
    </w:p>
  </w:footnote>
  <w:footnote w:type="continuationSeparator" w:id="0">
    <w:p w:rsidR="00290DCB" w:rsidRDefault="00290DCB" w:rsidP="00545F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4"/>
        <w:szCs w:val="24"/>
      </w:rPr>
      <w:id w:val="1207142232"/>
      <w:docPartObj>
        <w:docPartGallery w:val="Page Numbers (Top of Page)"/>
        <w:docPartUnique/>
      </w:docPartObj>
    </w:sdtPr>
    <w:sdtEndPr>
      <w:rPr>
        <w:noProof/>
      </w:rPr>
    </w:sdtEndPr>
    <w:sdtContent>
      <w:p w:rsidR="00545FDA" w:rsidRPr="00545FDA" w:rsidRDefault="00545FDA">
        <w:pPr>
          <w:pStyle w:val="Header"/>
          <w:jc w:val="right"/>
          <w:rPr>
            <w:sz w:val="24"/>
            <w:szCs w:val="24"/>
          </w:rPr>
        </w:pPr>
        <w:r w:rsidRPr="00545FDA">
          <w:rPr>
            <w:sz w:val="24"/>
            <w:szCs w:val="24"/>
          </w:rPr>
          <w:fldChar w:fldCharType="begin"/>
        </w:r>
        <w:r w:rsidRPr="00545FDA">
          <w:rPr>
            <w:sz w:val="24"/>
            <w:szCs w:val="24"/>
          </w:rPr>
          <w:instrText xml:space="preserve"> PAGE   \* MERGEFORMAT </w:instrText>
        </w:r>
        <w:r w:rsidRPr="00545FDA">
          <w:rPr>
            <w:sz w:val="24"/>
            <w:szCs w:val="24"/>
          </w:rPr>
          <w:fldChar w:fldCharType="separate"/>
        </w:r>
        <w:r w:rsidRPr="00545FDA">
          <w:rPr>
            <w:noProof/>
            <w:sz w:val="24"/>
            <w:szCs w:val="24"/>
          </w:rPr>
          <w:t>2</w:t>
        </w:r>
        <w:r w:rsidRPr="00545FDA">
          <w:rPr>
            <w:noProof/>
            <w:sz w:val="24"/>
            <w:szCs w:val="24"/>
          </w:rPr>
          <w:fldChar w:fldCharType="end"/>
        </w:r>
      </w:p>
    </w:sdtContent>
  </w:sdt>
  <w:p w:rsidR="00545FDA" w:rsidRPr="00545FDA" w:rsidRDefault="00545FDA">
    <w:pPr>
      <w:pStyle w:val="Header"/>
      <w:rPr>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94C"/>
    <w:rsid w:val="00006B04"/>
    <w:rsid w:val="0003036F"/>
    <w:rsid w:val="00047813"/>
    <w:rsid w:val="0009395D"/>
    <w:rsid w:val="00132CDA"/>
    <w:rsid w:val="001A233E"/>
    <w:rsid w:val="00227093"/>
    <w:rsid w:val="00290DCB"/>
    <w:rsid w:val="002D45CB"/>
    <w:rsid w:val="002E5FAC"/>
    <w:rsid w:val="004607F6"/>
    <w:rsid w:val="00483C4D"/>
    <w:rsid w:val="00484C78"/>
    <w:rsid w:val="00545FDA"/>
    <w:rsid w:val="005B4BEF"/>
    <w:rsid w:val="005F2FEE"/>
    <w:rsid w:val="00631565"/>
    <w:rsid w:val="006F217E"/>
    <w:rsid w:val="00704367"/>
    <w:rsid w:val="007D39BE"/>
    <w:rsid w:val="008064C0"/>
    <w:rsid w:val="00877D00"/>
    <w:rsid w:val="008F6D2F"/>
    <w:rsid w:val="00A65D1B"/>
    <w:rsid w:val="00AC227C"/>
    <w:rsid w:val="00B03696"/>
    <w:rsid w:val="00B42BD2"/>
    <w:rsid w:val="00C02B20"/>
    <w:rsid w:val="00C2676B"/>
    <w:rsid w:val="00DF3369"/>
    <w:rsid w:val="00E55EE1"/>
    <w:rsid w:val="00E56CA9"/>
    <w:rsid w:val="00EE094C"/>
    <w:rsid w:val="00EF0EC9"/>
    <w:rsid w:val="00F41105"/>
    <w:rsid w:val="00F94CA2"/>
    <w:rsid w:val="00FF05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9CBA4"/>
  <w15:chartTrackingRefBased/>
  <w15:docId w15:val="{CF66D798-E2B4-4B7E-A0A2-B5223D90D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094C"/>
    <w:pPr>
      <w:spacing w:after="0" w:line="240" w:lineRule="auto"/>
    </w:pPr>
    <w:rPr>
      <w:rFonts w:ascii="Times New Roman" w:eastAsia="Times New Roman" w:hAnsi="Times New Roman" w:cs="Times New Roman"/>
      <w:sz w:val="20"/>
      <w:szCs w:val="20"/>
      <w:lang w:val="en-GB" w:eastAsia="en-GB"/>
    </w:rPr>
  </w:style>
  <w:style w:type="paragraph" w:styleId="Heading1">
    <w:name w:val="heading 1"/>
    <w:basedOn w:val="Normal"/>
    <w:next w:val="Normal"/>
    <w:link w:val="Heading1Char"/>
    <w:uiPriority w:val="9"/>
    <w:qFormat/>
    <w:rsid w:val="005F2FEE"/>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2FEE"/>
    <w:rPr>
      <w:rFonts w:asciiTheme="majorHAnsi" w:eastAsiaTheme="majorEastAsia" w:hAnsiTheme="majorHAnsi" w:cstheme="majorBidi"/>
      <w:color w:val="2F5496" w:themeColor="accent1" w:themeShade="BF"/>
      <w:sz w:val="32"/>
      <w:szCs w:val="32"/>
      <w:lang w:val="en-GB" w:eastAsia="en-GB"/>
    </w:rPr>
  </w:style>
  <w:style w:type="paragraph" w:styleId="ListParagraph">
    <w:name w:val="List Paragraph"/>
    <w:basedOn w:val="Normal"/>
    <w:uiPriority w:val="34"/>
    <w:qFormat/>
    <w:rsid w:val="007D39BE"/>
    <w:pPr>
      <w:ind w:left="720"/>
      <w:contextualSpacing/>
    </w:pPr>
  </w:style>
  <w:style w:type="paragraph" w:styleId="TOCHeading">
    <w:name w:val="TOC Heading"/>
    <w:basedOn w:val="Heading1"/>
    <w:next w:val="Normal"/>
    <w:uiPriority w:val="39"/>
    <w:unhideWhenUsed/>
    <w:qFormat/>
    <w:rsid w:val="00545FDA"/>
    <w:pPr>
      <w:spacing w:line="259" w:lineRule="auto"/>
      <w:outlineLvl w:val="9"/>
    </w:pPr>
    <w:rPr>
      <w:lang w:val="en-US" w:eastAsia="en-US"/>
    </w:rPr>
  </w:style>
  <w:style w:type="paragraph" w:styleId="TOC1">
    <w:name w:val="toc 1"/>
    <w:basedOn w:val="Normal"/>
    <w:next w:val="Normal"/>
    <w:autoRedefine/>
    <w:uiPriority w:val="39"/>
    <w:unhideWhenUsed/>
    <w:rsid w:val="00545FDA"/>
    <w:pPr>
      <w:spacing w:after="100"/>
    </w:pPr>
  </w:style>
  <w:style w:type="character" w:styleId="Hyperlink">
    <w:name w:val="Hyperlink"/>
    <w:basedOn w:val="DefaultParagraphFont"/>
    <w:uiPriority w:val="99"/>
    <w:unhideWhenUsed/>
    <w:rsid w:val="00545FDA"/>
    <w:rPr>
      <w:color w:val="0563C1" w:themeColor="hyperlink"/>
      <w:u w:val="single"/>
    </w:rPr>
  </w:style>
  <w:style w:type="paragraph" w:styleId="Header">
    <w:name w:val="header"/>
    <w:basedOn w:val="Normal"/>
    <w:link w:val="HeaderChar"/>
    <w:uiPriority w:val="99"/>
    <w:unhideWhenUsed/>
    <w:rsid w:val="00545FDA"/>
    <w:pPr>
      <w:tabs>
        <w:tab w:val="center" w:pos="4680"/>
        <w:tab w:val="right" w:pos="9360"/>
      </w:tabs>
    </w:pPr>
  </w:style>
  <w:style w:type="character" w:customStyle="1" w:styleId="HeaderChar">
    <w:name w:val="Header Char"/>
    <w:basedOn w:val="DefaultParagraphFont"/>
    <w:link w:val="Header"/>
    <w:uiPriority w:val="99"/>
    <w:rsid w:val="00545FDA"/>
    <w:rPr>
      <w:rFonts w:ascii="Times New Roman" w:eastAsia="Times New Roman" w:hAnsi="Times New Roman" w:cs="Times New Roman"/>
      <w:sz w:val="20"/>
      <w:szCs w:val="20"/>
      <w:lang w:val="en-GB" w:eastAsia="en-GB"/>
    </w:rPr>
  </w:style>
  <w:style w:type="paragraph" w:styleId="Footer">
    <w:name w:val="footer"/>
    <w:basedOn w:val="Normal"/>
    <w:link w:val="FooterChar"/>
    <w:uiPriority w:val="99"/>
    <w:unhideWhenUsed/>
    <w:rsid w:val="00545FDA"/>
    <w:pPr>
      <w:tabs>
        <w:tab w:val="center" w:pos="4680"/>
        <w:tab w:val="right" w:pos="9360"/>
      </w:tabs>
    </w:pPr>
  </w:style>
  <w:style w:type="character" w:customStyle="1" w:styleId="FooterChar">
    <w:name w:val="Footer Char"/>
    <w:basedOn w:val="DefaultParagraphFont"/>
    <w:link w:val="Footer"/>
    <w:uiPriority w:val="99"/>
    <w:rsid w:val="00545FDA"/>
    <w:rPr>
      <w:rFonts w:ascii="Times New Roman" w:eastAsia="Times New Roman" w:hAnsi="Times New Roman" w:cs="Times New Roman"/>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6D1599-94C9-4A15-8BC1-7D5A3E754D0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3400</Words>
  <Characters>19380</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SourceCode</dc:creator>
  <cp:keywords/>
  <dc:description/>
  <cp:lastModifiedBy>Hasan Miah</cp:lastModifiedBy>
  <cp:revision>2</cp:revision>
  <dcterms:created xsi:type="dcterms:W3CDTF">2023-06-12T16:14:00Z</dcterms:created>
  <dcterms:modified xsi:type="dcterms:W3CDTF">2023-06-12T16:14:00Z</dcterms:modified>
</cp:coreProperties>
</file>