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E48B1" w14:textId="77777777" w:rsidR="008B73D9" w:rsidRDefault="008B73D9" w:rsidP="008B73D9">
      <w:pPr>
        <w:spacing w:line="360" w:lineRule="auto"/>
        <w:jc w:val="both"/>
        <w:rPr>
          <w:rFonts w:ascii="Times New Roman" w:hAnsi="Times New Roman" w:cs="Times New Roman"/>
          <w:b/>
          <w:bCs/>
          <w:sz w:val="36"/>
          <w:szCs w:val="36"/>
        </w:rPr>
      </w:pPr>
    </w:p>
    <w:p w14:paraId="42A76047" w14:textId="77777777" w:rsidR="008B73D9" w:rsidRDefault="008B73D9" w:rsidP="008B73D9">
      <w:pPr>
        <w:spacing w:line="360" w:lineRule="auto"/>
        <w:jc w:val="both"/>
        <w:rPr>
          <w:rFonts w:ascii="Times New Roman" w:hAnsi="Times New Roman" w:cs="Times New Roman"/>
          <w:b/>
          <w:bCs/>
          <w:sz w:val="36"/>
          <w:szCs w:val="36"/>
        </w:rPr>
      </w:pPr>
    </w:p>
    <w:p w14:paraId="2A25638E" w14:textId="77777777" w:rsidR="008B73D9" w:rsidRDefault="008B73D9" w:rsidP="008B73D9">
      <w:pPr>
        <w:spacing w:line="360" w:lineRule="auto"/>
        <w:jc w:val="both"/>
        <w:rPr>
          <w:rFonts w:ascii="Times New Roman" w:hAnsi="Times New Roman" w:cs="Times New Roman"/>
          <w:b/>
          <w:bCs/>
          <w:sz w:val="36"/>
          <w:szCs w:val="36"/>
        </w:rPr>
      </w:pPr>
    </w:p>
    <w:p w14:paraId="7768F74E" w14:textId="77777777" w:rsidR="008B73D9" w:rsidRDefault="008B73D9" w:rsidP="008B73D9">
      <w:pPr>
        <w:spacing w:line="360" w:lineRule="auto"/>
        <w:jc w:val="both"/>
        <w:rPr>
          <w:rFonts w:ascii="Times New Roman" w:hAnsi="Times New Roman" w:cs="Times New Roman"/>
          <w:b/>
          <w:bCs/>
          <w:sz w:val="36"/>
          <w:szCs w:val="36"/>
        </w:rPr>
      </w:pPr>
    </w:p>
    <w:p w14:paraId="10E4586F" w14:textId="77777777" w:rsidR="008B73D9" w:rsidRDefault="008B73D9" w:rsidP="008B73D9">
      <w:pPr>
        <w:spacing w:line="360" w:lineRule="auto"/>
        <w:jc w:val="both"/>
        <w:rPr>
          <w:rFonts w:ascii="Times New Roman" w:hAnsi="Times New Roman" w:cs="Times New Roman"/>
          <w:b/>
          <w:bCs/>
          <w:sz w:val="36"/>
          <w:szCs w:val="36"/>
        </w:rPr>
      </w:pPr>
    </w:p>
    <w:p w14:paraId="23215FC9" w14:textId="77777777" w:rsidR="008B73D9" w:rsidRDefault="008B73D9" w:rsidP="008B73D9">
      <w:pPr>
        <w:spacing w:line="360" w:lineRule="auto"/>
        <w:jc w:val="both"/>
        <w:rPr>
          <w:rFonts w:ascii="Times New Roman" w:hAnsi="Times New Roman" w:cs="Times New Roman"/>
          <w:b/>
          <w:bCs/>
          <w:sz w:val="36"/>
          <w:szCs w:val="36"/>
        </w:rPr>
      </w:pPr>
    </w:p>
    <w:p w14:paraId="5264641B" w14:textId="77777777" w:rsidR="008B73D9" w:rsidRDefault="008B73D9" w:rsidP="008B73D9">
      <w:pPr>
        <w:spacing w:line="360" w:lineRule="auto"/>
        <w:jc w:val="both"/>
        <w:rPr>
          <w:rFonts w:ascii="Times New Roman" w:hAnsi="Times New Roman" w:cs="Times New Roman"/>
          <w:b/>
          <w:bCs/>
          <w:sz w:val="36"/>
          <w:szCs w:val="36"/>
        </w:rPr>
      </w:pPr>
    </w:p>
    <w:p w14:paraId="70614196" w14:textId="77777777" w:rsidR="008B73D9" w:rsidRDefault="008B73D9" w:rsidP="008B73D9">
      <w:pPr>
        <w:spacing w:line="360" w:lineRule="auto"/>
        <w:jc w:val="both"/>
        <w:rPr>
          <w:rFonts w:ascii="Times New Roman" w:hAnsi="Times New Roman" w:cs="Times New Roman"/>
          <w:b/>
          <w:bCs/>
          <w:sz w:val="36"/>
          <w:szCs w:val="36"/>
        </w:rPr>
      </w:pPr>
    </w:p>
    <w:p w14:paraId="5E1E1944" w14:textId="77777777" w:rsidR="008B73D9" w:rsidRDefault="008B73D9" w:rsidP="008B73D9">
      <w:pPr>
        <w:spacing w:line="360" w:lineRule="auto"/>
        <w:jc w:val="both"/>
        <w:rPr>
          <w:rFonts w:ascii="Times New Roman" w:hAnsi="Times New Roman" w:cs="Times New Roman"/>
          <w:b/>
          <w:bCs/>
          <w:sz w:val="36"/>
          <w:szCs w:val="36"/>
        </w:rPr>
      </w:pPr>
    </w:p>
    <w:p w14:paraId="43BC369F" w14:textId="77777777" w:rsidR="008B73D9" w:rsidRPr="00315D71" w:rsidRDefault="008B73D9" w:rsidP="008B73D9">
      <w:pPr>
        <w:spacing w:line="360" w:lineRule="auto"/>
        <w:jc w:val="center"/>
        <w:rPr>
          <w:rFonts w:ascii="Times New Roman" w:hAnsi="Times New Roman" w:cs="Times New Roman"/>
          <w:b/>
          <w:bCs/>
          <w:sz w:val="36"/>
          <w:szCs w:val="36"/>
        </w:rPr>
      </w:pPr>
      <w:r w:rsidRPr="00315D71">
        <w:rPr>
          <w:rFonts w:ascii="Times New Roman" w:hAnsi="Times New Roman" w:cs="Times New Roman"/>
          <w:b/>
          <w:bCs/>
          <w:sz w:val="36"/>
          <w:szCs w:val="36"/>
        </w:rPr>
        <w:t>Marketing Environmental Analysis for Pioneers and Followers</w:t>
      </w:r>
    </w:p>
    <w:p w14:paraId="26884156" w14:textId="77777777" w:rsidR="008B73D9" w:rsidRPr="00315D71" w:rsidRDefault="008B73D9" w:rsidP="008B73D9">
      <w:pPr>
        <w:spacing w:line="360" w:lineRule="auto"/>
        <w:jc w:val="center"/>
        <w:rPr>
          <w:rFonts w:ascii="Times New Roman" w:hAnsi="Times New Roman" w:cs="Times New Roman"/>
          <w:b/>
          <w:bCs/>
        </w:rPr>
      </w:pPr>
      <w:r w:rsidRPr="00315D71">
        <w:rPr>
          <w:rFonts w:ascii="Times New Roman" w:hAnsi="Times New Roman" w:cs="Times New Roman"/>
          <w:b/>
          <w:bCs/>
        </w:rPr>
        <w:t>Industry: Electric Vehicle (EV) Industry</w:t>
      </w:r>
    </w:p>
    <w:p w14:paraId="543F5655" w14:textId="77777777" w:rsidR="008B73D9" w:rsidRPr="00315D71" w:rsidRDefault="008B73D9" w:rsidP="008B73D9">
      <w:pPr>
        <w:spacing w:line="360" w:lineRule="auto"/>
        <w:jc w:val="center"/>
        <w:rPr>
          <w:rFonts w:ascii="Times New Roman" w:hAnsi="Times New Roman" w:cs="Times New Roman"/>
          <w:b/>
          <w:bCs/>
        </w:rPr>
      </w:pPr>
      <w:r w:rsidRPr="00315D71">
        <w:rPr>
          <w:rFonts w:ascii="Times New Roman" w:hAnsi="Times New Roman" w:cs="Times New Roman"/>
          <w:b/>
          <w:bCs/>
        </w:rPr>
        <w:t>Pioneering Organisation: BYD Auto</w:t>
      </w:r>
    </w:p>
    <w:p w14:paraId="1CDFEFC5" w14:textId="77777777" w:rsidR="008B73D9" w:rsidRDefault="008B73D9" w:rsidP="008B73D9">
      <w:pPr>
        <w:spacing w:line="360" w:lineRule="auto"/>
        <w:jc w:val="center"/>
        <w:rPr>
          <w:rFonts w:ascii="Times New Roman" w:hAnsi="Times New Roman" w:cs="Times New Roman"/>
          <w:b/>
          <w:bCs/>
        </w:rPr>
      </w:pPr>
      <w:r w:rsidRPr="00315D71">
        <w:rPr>
          <w:rFonts w:ascii="Times New Roman" w:hAnsi="Times New Roman" w:cs="Times New Roman"/>
          <w:b/>
          <w:bCs/>
        </w:rPr>
        <w:t>Follower Organisation: General Motors (GM)</w:t>
      </w:r>
    </w:p>
    <w:p w14:paraId="55FE19D4" w14:textId="77777777" w:rsidR="008B73D9" w:rsidRDefault="008B73D9" w:rsidP="008B73D9">
      <w:pPr>
        <w:spacing w:line="360" w:lineRule="auto"/>
        <w:jc w:val="both"/>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b/>
          <w:bCs/>
          <w:color w:val="auto"/>
          <w:kern w:val="2"/>
          <w:sz w:val="24"/>
          <w:szCs w:val="24"/>
          <w:lang w:val="en-IN"/>
          <w14:ligatures w14:val="standardContextual"/>
        </w:rPr>
        <w:id w:val="-134723081"/>
        <w:docPartObj>
          <w:docPartGallery w:val="Table of Contents"/>
          <w:docPartUnique/>
        </w:docPartObj>
      </w:sdtPr>
      <w:sdtEndPr>
        <w:rPr>
          <w:noProof/>
        </w:rPr>
      </w:sdtEndPr>
      <w:sdtContent>
        <w:p w14:paraId="1031BBE0" w14:textId="77777777" w:rsidR="008B73D9" w:rsidRPr="000F4176" w:rsidRDefault="008B73D9" w:rsidP="008B73D9">
          <w:pPr>
            <w:pStyle w:val="TOCHeading"/>
            <w:jc w:val="center"/>
            <w:rPr>
              <w:rFonts w:ascii="Times New Roman" w:hAnsi="Times New Roman" w:cs="Times New Roman"/>
              <w:b/>
              <w:bCs/>
              <w:color w:val="auto"/>
              <w:sz w:val="24"/>
              <w:szCs w:val="24"/>
            </w:rPr>
          </w:pPr>
          <w:r w:rsidRPr="000F4176">
            <w:rPr>
              <w:rFonts w:ascii="Times New Roman" w:hAnsi="Times New Roman" w:cs="Times New Roman"/>
              <w:b/>
              <w:bCs/>
              <w:color w:val="auto"/>
              <w:sz w:val="24"/>
              <w:szCs w:val="24"/>
            </w:rPr>
            <w:t>Table of Contents</w:t>
          </w:r>
        </w:p>
        <w:p w14:paraId="5F013C64" w14:textId="77777777" w:rsidR="008B73D9" w:rsidRPr="000F4176" w:rsidRDefault="008B73D9" w:rsidP="008B73D9">
          <w:pPr>
            <w:pStyle w:val="TOC1"/>
            <w:tabs>
              <w:tab w:val="right" w:leader="dot" w:pos="9016"/>
            </w:tabs>
            <w:rPr>
              <w:rFonts w:ascii="Times New Roman" w:hAnsi="Times New Roman" w:cs="Times New Roman"/>
              <w:noProof/>
            </w:rPr>
          </w:pPr>
          <w:r w:rsidRPr="000F4176">
            <w:rPr>
              <w:rFonts w:ascii="Times New Roman" w:hAnsi="Times New Roman" w:cs="Times New Roman"/>
            </w:rPr>
            <w:fldChar w:fldCharType="begin"/>
          </w:r>
          <w:r w:rsidRPr="000F4176">
            <w:rPr>
              <w:rFonts w:ascii="Times New Roman" w:hAnsi="Times New Roman" w:cs="Times New Roman"/>
            </w:rPr>
            <w:instrText xml:space="preserve"> TOC \o "1-3" \h \z \u </w:instrText>
          </w:r>
          <w:r w:rsidRPr="000F4176">
            <w:rPr>
              <w:rFonts w:ascii="Times New Roman" w:hAnsi="Times New Roman" w:cs="Times New Roman"/>
            </w:rPr>
            <w:fldChar w:fldCharType="separate"/>
          </w:r>
          <w:hyperlink w:anchor="_Toc223038374" w:history="1">
            <w:r w:rsidRPr="000F4176">
              <w:rPr>
                <w:rStyle w:val="Hyperlink"/>
                <w:rFonts w:ascii="Times New Roman" w:hAnsi="Times New Roman" w:cs="Times New Roman"/>
                <w:noProof/>
              </w:rPr>
              <w:t>1. Introduction</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_Toc223038374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2</w:t>
            </w:r>
            <w:r w:rsidRPr="000F4176">
              <w:rPr>
                <w:rFonts w:ascii="Times New Roman" w:hAnsi="Times New Roman" w:cs="Times New Roman"/>
                <w:noProof/>
                <w:webHidden/>
              </w:rPr>
              <w:fldChar w:fldCharType="end"/>
            </w:r>
          </w:hyperlink>
        </w:p>
        <w:p w14:paraId="4D76B520" w14:textId="77777777" w:rsidR="008B73D9" w:rsidRPr="000F4176" w:rsidRDefault="008B73D9" w:rsidP="008B73D9">
          <w:pPr>
            <w:pStyle w:val="TOC1"/>
            <w:tabs>
              <w:tab w:val="right" w:leader="dot" w:pos="9016"/>
            </w:tabs>
            <w:rPr>
              <w:rFonts w:ascii="Times New Roman" w:hAnsi="Times New Roman" w:cs="Times New Roman"/>
              <w:noProof/>
            </w:rPr>
          </w:pPr>
          <w:hyperlink w:anchor="_Toc223038375" w:history="1">
            <w:r w:rsidRPr="000F4176">
              <w:rPr>
                <w:rStyle w:val="Hyperlink"/>
                <w:rFonts w:ascii="Times New Roman" w:hAnsi="Times New Roman" w:cs="Times New Roman"/>
                <w:noProof/>
              </w:rPr>
              <w:t>2. Task 1: Critical Analysis of the Macro Marketing Environment</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_Toc223038375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2</w:t>
            </w:r>
            <w:r w:rsidRPr="000F4176">
              <w:rPr>
                <w:rFonts w:ascii="Times New Roman" w:hAnsi="Times New Roman" w:cs="Times New Roman"/>
                <w:noProof/>
                <w:webHidden/>
              </w:rPr>
              <w:fldChar w:fldCharType="end"/>
            </w:r>
          </w:hyperlink>
        </w:p>
        <w:p w14:paraId="5E0F5C92" w14:textId="77777777" w:rsidR="008B73D9" w:rsidRPr="000F4176" w:rsidRDefault="008B73D9" w:rsidP="008B73D9">
          <w:pPr>
            <w:pStyle w:val="TOC2"/>
            <w:tabs>
              <w:tab w:val="right" w:leader="dot" w:pos="9016"/>
            </w:tabs>
            <w:rPr>
              <w:rFonts w:ascii="Times New Roman" w:hAnsi="Times New Roman" w:cs="Times New Roman"/>
              <w:noProof/>
            </w:rPr>
          </w:pPr>
          <w:hyperlink w:anchor="_Toc223038376" w:history="1">
            <w:r w:rsidRPr="000F4176">
              <w:rPr>
                <w:rStyle w:val="Hyperlink"/>
                <w:rFonts w:ascii="Times New Roman" w:hAnsi="Times New Roman" w:cs="Times New Roman"/>
                <w:noProof/>
              </w:rPr>
              <w:t>2.1 Industry Context</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_Toc223038376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2</w:t>
            </w:r>
            <w:r w:rsidRPr="000F4176">
              <w:rPr>
                <w:rFonts w:ascii="Times New Roman" w:hAnsi="Times New Roman" w:cs="Times New Roman"/>
                <w:noProof/>
                <w:webHidden/>
              </w:rPr>
              <w:fldChar w:fldCharType="end"/>
            </w:r>
          </w:hyperlink>
        </w:p>
        <w:p w14:paraId="0E5F45FA" w14:textId="77777777" w:rsidR="008B73D9" w:rsidRPr="000F4176" w:rsidRDefault="008B73D9" w:rsidP="008B73D9">
          <w:pPr>
            <w:pStyle w:val="TOC2"/>
            <w:tabs>
              <w:tab w:val="right" w:leader="dot" w:pos="9016"/>
            </w:tabs>
            <w:rPr>
              <w:rFonts w:ascii="Times New Roman" w:hAnsi="Times New Roman" w:cs="Times New Roman"/>
              <w:noProof/>
            </w:rPr>
          </w:pPr>
          <w:hyperlink w:anchor="_Toc223038377" w:history="1">
            <w:r w:rsidRPr="000F4176">
              <w:rPr>
                <w:rStyle w:val="Hyperlink"/>
                <w:rFonts w:ascii="Times New Roman" w:hAnsi="Times New Roman" w:cs="Times New Roman"/>
                <w:noProof/>
              </w:rPr>
              <w:t>2.2 Macro Actor 1: Technological Forces.</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_Toc223038377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3</w:t>
            </w:r>
            <w:r w:rsidRPr="000F4176">
              <w:rPr>
                <w:rFonts w:ascii="Times New Roman" w:hAnsi="Times New Roman" w:cs="Times New Roman"/>
                <w:noProof/>
                <w:webHidden/>
              </w:rPr>
              <w:fldChar w:fldCharType="end"/>
            </w:r>
          </w:hyperlink>
        </w:p>
        <w:p w14:paraId="780C41BD" w14:textId="77777777" w:rsidR="008B73D9" w:rsidRPr="000F4176" w:rsidRDefault="008B73D9" w:rsidP="008B73D9">
          <w:pPr>
            <w:pStyle w:val="TOC2"/>
            <w:tabs>
              <w:tab w:val="right" w:leader="dot" w:pos="9016"/>
            </w:tabs>
            <w:rPr>
              <w:rFonts w:ascii="Times New Roman" w:hAnsi="Times New Roman" w:cs="Times New Roman"/>
              <w:noProof/>
            </w:rPr>
          </w:pPr>
          <w:hyperlink w:anchor="_Toc223038378" w:history="1">
            <w:r w:rsidRPr="000F4176">
              <w:rPr>
                <w:rStyle w:val="Hyperlink"/>
                <w:rFonts w:ascii="Times New Roman" w:hAnsi="Times New Roman" w:cs="Times New Roman"/>
                <w:noProof/>
              </w:rPr>
              <w:t>2.3 Macro Actor 2: Political and Regulatory Forces.</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_Toc223038378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5</w:t>
            </w:r>
            <w:r w:rsidRPr="000F4176">
              <w:rPr>
                <w:rFonts w:ascii="Times New Roman" w:hAnsi="Times New Roman" w:cs="Times New Roman"/>
                <w:noProof/>
                <w:webHidden/>
              </w:rPr>
              <w:fldChar w:fldCharType="end"/>
            </w:r>
          </w:hyperlink>
        </w:p>
        <w:p w14:paraId="0942D92A" w14:textId="77777777" w:rsidR="008B73D9" w:rsidRPr="000F4176" w:rsidRDefault="008B73D9" w:rsidP="008B73D9">
          <w:pPr>
            <w:pStyle w:val="TOC1"/>
            <w:tabs>
              <w:tab w:val="right" w:leader="dot" w:pos="9016"/>
            </w:tabs>
            <w:rPr>
              <w:rFonts w:ascii="Times New Roman" w:hAnsi="Times New Roman" w:cs="Times New Roman"/>
              <w:noProof/>
            </w:rPr>
          </w:pPr>
          <w:hyperlink w:anchor="_Toc223038379" w:history="1">
            <w:r w:rsidRPr="000F4176">
              <w:rPr>
                <w:rStyle w:val="Hyperlink"/>
                <w:rFonts w:ascii="Times New Roman" w:hAnsi="Times New Roman" w:cs="Times New Roman"/>
                <w:noProof/>
              </w:rPr>
              <w:t>3. Influence on Competitive Position</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_Toc223038379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6</w:t>
            </w:r>
            <w:r w:rsidRPr="000F4176">
              <w:rPr>
                <w:rFonts w:ascii="Times New Roman" w:hAnsi="Times New Roman" w:cs="Times New Roman"/>
                <w:noProof/>
                <w:webHidden/>
              </w:rPr>
              <w:fldChar w:fldCharType="end"/>
            </w:r>
          </w:hyperlink>
        </w:p>
        <w:p w14:paraId="6491CA24" w14:textId="77777777" w:rsidR="008B73D9" w:rsidRPr="000F4176" w:rsidRDefault="008B73D9" w:rsidP="008B73D9">
          <w:pPr>
            <w:pStyle w:val="TOC1"/>
            <w:tabs>
              <w:tab w:val="right" w:leader="dot" w:pos="9016"/>
            </w:tabs>
            <w:rPr>
              <w:rFonts w:ascii="Times New Roman" w:hAnsi="Times New Roman" w:cs="Times New Roman"/>
              <w:noProof/>
            </w:rPr>
          </w:pPr>
          <w:hyperlink w:anchor="_Toc223038380" w:history="1">
            <w:r w:rsidRPr="000F4176">
              <w:rPr>
                <w:rStyle w:val="Hyperlink"/>
                <w:rFonts w:ascii="Times New Roman" w:hAnsi="Times New Roman" w:cs="Times New Roman"/>
                <w:noProof/>
              </w:rPr>
              <w:t>4. Task 2: Strategic Responses to Sustain Growth</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_Toc223038380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7</w:t>
            </w:r>
            <w:r w:rsidRPr="000F4176">
              <w:rPr>
                <w:rFonts w:ascii="Times New Roman" w:hAnsi="Times New Roman" w:cs="Times New Roman"/>
                <w:noProof/>
                <w:webHidden/>
              </w:rPr>
              <w:fldChar w:fldCharType="end"/>
            </w:r>
          </w:hyperlink>
        </w:p>
        <w:p w14:paraId="4804B586" w14:textId="77777777" w:rsidR="008B73D9" w:rsidRPr="000F4176" w:rsidRDefault="008B73D9" w:rsidP="008B73D9">
          <w:pPr>
            <w:pStyle w:val="TOC2"/>
            <w:tabs>
              <w:tab w:val="right" w:leader="dot" w:pos="9016"/>
            </w:tabs>
            <w:rPr>
              <w:rFonts w:ascii="Times New Roman" w:hAnsi="Times New Roman" w:cs="Times New Roman"/>
              <w:noProof/>
            </w:rPr>
          </w:pPr>
          <w:hyperlink w:anchor="_Toc223038381" w:history="1">
            <w:r w:rsidRPr="000F4176">
              <w:rPr>
                <w:rStyle w:val="Hyperlink"/>
                <w:rFonts w:ascii="Times New Roman" w:hAnsi="Times New Roman" w:cs="Times New Roman"/>
                <w:noProof/>
              </w:rPr>
              <w:t>4.1 BYD’s Strategic Response</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_Toc223038381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7</w:t>
            </w:r>
            <w:r w:rsidRPr="000F4176">
              <w:rPr>
                <w:rFonts w:ascii="Times New Roman" w:hAnsi="Times New Roman" w:cs="Times New Roman"/>
                <w:noProof/>
                <w:webHidden/>
              </w:rPr>
              <w:fldChar w:fldCharType="end"/>
            </w:r>
          </w:hyperlink>
        </w:p>
        <w:p w14:paraId="77B4A57A" w14:textId="77777777" w:rsidR="008B73D9" w:rsidRPr="000F4176" w:rsidRDefault="008B73D9" w:rsidP="008B73D9">
          <w:pPr>
            <w:pStyle w:val="TOC2"/>
            <w:tabs>
              <w:tab w:val="right" w:leader="dot" w:pos="9016"/>
            </w:tabs>
            <w:rPr>
              <w:rFonts w:ascii="Times New Roman" w:hAnsi="Times New Roman" w:cs="Times New Roman"/>
              <w:noProof/>
            </w:rPr>
          </w:pPr>
          <w:hyperlink w:anchor="_Toc223038382" w:history="1">
            <w:r w:rsidRPr="000F4176">
              <w:rPr>
                <w:rStyle w:val="Hyperlink"/>
                <w:rFonts w:ascii="Times New Roman" w:hAnsi="Times New Roman" w:cs="Times New Roman"/>
                <w:noProof/>
              </w:rPr>
              <w:t>4.2 GM’s Strategic Response</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_Toc223038382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8</w:t>
            </w:r>
            <w:r w:rsidRPr="000F4176">
              <w:rPr>
                <w:rFonts w:ascii="Times New Roman" w:hAnsi="Times New Roman" w:cs="Times New Roman"/>
                <w:noProof/>
                <w:webHidden/>
              </w:rPr>
              <w:fldChar w:fldCharType="end"/>
            </w:r>
          </w:hyperlink>
        </w:p>
        <w:p w14:paraId="683D2451" w14:textId="77777777" w:rsidR="008B73D9" w:rsidRPr="000F4176" w:rsidRDefault="008B73D9" w:rsidP="008B73D9">
          <w:pPr>
            <w:pStyle w:val="TOC1"/>
            <w:tabs>
              <w:tab w:val="right" w:leader="dot" w:pos="9016"/>
            </w:tabs>
            <w:rPr>
              <w:rFonts w:ascii="Times New Roman" w:hAnsi="Times New Roman" w:cs="Times New Roman"/>
              <w:noProof/>
            </w:rPr>
          </w:pPr>
          <w:hyperlink w:anchor="_Toc223038383" w:history="1">
            <w:r w:rsidRPr="000F4176">
              <w:rPr>
                <w:rStyle w:val="Hyperlink"/>
                <w:rFonts w:ascii="Times New Roman" w:hAnsi="Times New Roman" w:cs="Times New Roman"/>
                <w:noProof/>
              </w:rPr>
              <w:t>5. Comparative Evaluation</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_Toc223038383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8</w:t>
            </w:r>
            <w:r w:rsidRPr="000F4176">
              <w:rPr>
                <w:rFonts w:ascii="Times New Roman" w:hAnsi="Times New Roman" w:cs="Times New Roman"/>
                <w:noProof/>
                <w:webHidden/>
              </w:rPr>
              <w:fldChar w:fldCharType="end"/>
            </w:r>
          </w:hyperlink>
        </w:p>
        <w:p w14:paraId="0CA71FF4" w14:textId="77777777" w:rsidR="008B73D9" w:rsidRPr="000F4176" w:rsidRDefault="008B73D9" w:rsidP="008B73D9">
          <w:pPr>
            <w:pStyle w:val="TOC1"/>
            <w:tabs>
              <w:tab w:val="right" w:leader="dot" w:pos="9016"/>
            </w:tabs>
            <w:rPr>
              <w:rFonts w:ascii="Times New Roman" w:hAnsi="Times New Roman" w:cs="Times New Roman"/>
              <w:noProof/>
            </w:rPr>
          </w:pPr>
          <w:hyperlink w:anchor="_Toc223038384" w:history="1">
            <w:r w:rsidRPr="000F4176">
              <w:rPr>
                <w:rStyle w:val="Hyperlink"/>
                <w:rFonts w:ascii="Times New Roman" w:hAnsi="Times New Roman" w:cs="Times New Roman"/>
                <w:noProof/>
              </w:rPr>
              <w:t>6. Critical Reflection on Pioneer vs Follower Dynamics</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_Toc223038384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9</w:t>
            </w:r>
            <w:r w:rsidRPr="000F4176">
              <w:rPr>
                <w:rFonts w:ascii="Times New Roman" w:hAnsi="Times New Roman" w:cs="Times New Roman"/>
                <w:noProof/>
                <w:webHidden/>
              </w:rPr>
              <w:fldChar w:fldCharType="end"/>
            </w:r>
          </w:hyperlink>
        </w:p>
        <w:p w14:paraId="02819608" w14:textId="77777777" w:rsidR="008B73D9" w:rsidRPr="000F4176" w:rsidRDefault="008B73D9" w:rsidP="008B73D9">
          <w:pPr>
            <w:pStyle w:val="TOC1"/>
            <w:tabs>
              <w:tab w:val="right" w:leader="dot" w:pos="9016"/>
            </w:tabs>
            <w:rPr>
              <w:rFonts w:ascii="Times New Roman" w:hAnsi="Times New Roman" w:cs="Times New Roman"/>
              <w:noProof/>
            </w:rPr>
          </w:pPr>
          <w:hyperlink w:anchor="_Toc223038385" w:history="1">
            <w:r w:rsidRPr="000F4176">
              <w:rPr>
                <w:rStyle w:val="Hyperlink"/>
                <w:rFonts w:ascii="Times New Roman" w:hAnsi="Times New Roman" w:cs="Times New Roman"/>
                <w:noProof/>
              </w:rPr>
              <w:t>Conclusion</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_Toc223038385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10</w:t>
            </w:r>
            <w:r w:rsidRPr="000F4176">
              <w:rPr>
                <w:rFonts w:ascii="Times New Roman" w:hAnsi="Times New Roman" w:cs="Times New Roman"/>
                <w:noProof/>
                <w:webHidden/>
              </w:rPr>
              <w:fldChar w:fldCharType="end"/>
            </w:r>
          </w:hyperlink>
        </w:p>
        <w:p w14:paraId="406561D6" w14:textId="77777777" w:rsidR="008B73D9" w:rsidRPr="000F4176" w:rsidRDefault="008B73D9" w:rsidP="008B73D9">
          <w:pPr>
            <w:pStyle w:val="TOC1"/>
            <w:tabs>
              <w:tab w:val="right" w:leader="dot" w:pos="9016"/>
            </w:tabs>
            <w:rPr>
              <w:rFonts w:ascii="Times New Roman" w:hAnsi="Times New Roman" w:cs="Times New Roman"/>
              <w:noProof/>
            </w:rPr>
          </w:pPr>
          <w:hyperlink w:anchor="_Toc223038386" w:history="1">
            <w:r w:rsidRPr="000F4176">
              <w:rPr>
                <w:rStyle w:val="Hyperlink"/>
                <w:rFonts w:ascii="Times New Roman" w:hAnsi="Times New Roman" w:cs="Times New Roman"/>
                <w:noProof/>
              </w:rPr>
              <w:t>References</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_Toc223038386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11</w:t>
            </w:r>
            <w:r w:rsidRPr="000F4176">
              <w:rPr>
                <w:rFonts w:ascii="Times New Roman" w:hAnsi="Times New Roman" w:cs="Times New Roman"/>
                <w:noProof/>
                <w:webHidden/>
              </w:rPr>
              <w:fldChar w:fldCharType="end"/>
            </w:r>
          </w:hyperlink>
        </w:p>
        <w:p w14:paraId="0C6719AD" w14:textId="77777777" w:rsidR="008B73D9" w:rsidRDefault="008B73D9" w:rsidP="008B73D9">
          <w:r w:rsidRPr="000F4176">
            <w:rPr>
              <w:rFonts w:ascii="Times New Roman" w:hAnsi="Times New Roman" w:cs="Times New Roman"/>
              <w:b/>
              <w:bCs/>
              <w:noProof/>
            </w:rPr>
            <w:fldChar w:fldCharType="end"/>
          </w:r>
        </w:p>
      </w:sdtContent>
    </w:sdt>
    <w:p w14:paraId="6A50BE8A" w14:textId="77777777" w:rsidR="008B73D9" w:rsidRDefault="008B73D9" w:rsidP="008B73D9">
      <w:pPr>
        <w:rPr>
          <w:rFonts w:ascii="Times New Roman" w:hAnsi="Times New Roman" w:cs="Times New Roman"/>
          <w:b/>
          <w:bCs/>
        </w:rPr>
      </w:pPr>
      <w:r>
        <w:br w:type="page"/>
      </w:r>
    </w:p>
    <w:p w14:paraId="36AA92EB" w14:textId="77777777" w:rsidR="008B73D9" w:rsidRDefault="008B73D9" w:rsidP="008B73D9">
      <w:pPr>
        <w:pStyle w:val="Heading1"/>
      </w:pPr>
      <w:bookmarkStart w:id="0" w:name="_Toc223038374"/>
      <w:r w:rsidRPr="00315D71">
        <w:lastRenderedPageBreak/>
        <w:t>1. Introduction</w:t>
      </w:r>
      <w:bookmarkEnd w:id="0"/>
    </w:p>
    <w:p w14:paraId="48D31298"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The electric vehicle (EV) business is one of the most important structural changes in the contemporary industrial history. Electrification, contrary to incremental automotive innovation, dismantles the fundamental technological systems, supply chains, cost models, and the value propositions to consumers. The strategic marketing management in this context involves systematic analysis of the macro-environmental forces and its implications to competitive positioning.</w:t>
      </w:r>
    </w:p>
    <w:p w14:paraId="647D2729"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The essay critically evaluates two macro-marketing actors, which are technological advancement and political-regulatory environment, and how these two forces have brought both opportunities and threats to BYD (a first-mover EV manufacturer) and General Motors (a follower traditional automotive company moving to EVs). This is then followed by a comparison of their strategic response based on Porters Generic Strategies and Ansoff Growth Matrix; how each company is able to show its competitive advantage in an ever-changing macro environment.</w:t>
      </w:r>
    </w:p>
    <w:p w14:paraId="305436D9" w14:textId="77777777" w:rsidR="008B73D9" w:rsidRPr="00315D71" w:rsidRDefault="008B73D9" w:rsidP="008B73D9">
      <w:pPr>
        <w:pStyle w:val="Heading1"/>
      </w:pPr>
      <w:bookmarkStart w:id="1" w:name="_Toc223038375"/>
      <w:r w:rsidRPr="00315D71">
        <w:t>2. Task 1: Critical Analysis of the Macro Marketing Environment</w:t>
      </w:r>
      <w:bookmarkEnd w:id="1"/>
      <w:r w:rsidRPr="00315D71">
        <w:t xml:space="preserve"> </w:t>
      </w:r>
    </w:p>
    <w:p w14:paraId="29C8EC57" w14:textId="77777777" w:rsidR="008B73D9" w:rsidRDefault="008B73D9" w:rsidP="008B73D9">
      <w:pPr>
        <w:pStyle w:val="Heading2"/>
      </w:pPr>
      <w:bookmarkStart w:id="2" w:name="_Toc223038376"/>
      <w:r w:rsidRPr="00315D71">
        <w:t xml:space="preserve">2.1 </w:t>
      </w:r>
      <w:r w:rsidRPr="00042D7C">
        <w:t>Industry</w:t>
      </w:r>
      <w:r w:rsidRPr="00315D71">
        <w:t xml:space="preserve"> Context</w:t>
      </w:r>
      <w:bookmarkEnd w:id="2"/>
    </w:p>
    <w:p w14:paraId="1C1F805A"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The world market in the electric vehicle (EV) market has reached a period of increased structural change. With decarbonisation pledges, brisk battery knowledge and increasing environmental consciousness in the consumer market, EVs have ceased to be seen as niche options and now form the main focus of automotive growth strategies. On the major economies, governments are imposing a limit on emissions and eliminating internal combustion engines, radically transforming the competitive environment. China has become the leading EV market, in terms of capacity and consumerization, and changed the industry relations in the world and strengthened international competition.</w:t>
      </w:r>
    </w:p>
    <w:p w14:paraId="7F8BBFC1" w14:textId="77777777" w:rsidR="008B73D9" w:rsidRDefault="008B73D9" w:rsidP="008B73D9">
      <w:pPr>
        <w:spacing w:line="360" w:lineRule="auto"/>
        <w:jc w:val="center"/>
        <w:rPr>
          <w:rFonts w:ascii="Times New Roman" w:hAnsi="Times New Roman" w:cs="Times New Roman"/>
        </w:rPr>
      </w:pPr>
      <w:r>
        <w:rPr>
          <w:noProof/>
        </w:rPr>
        <w:lastRenderedPageBreak/>
        <w:drawing>
          <wp:inline distT="0" distB="0" distL="0" distR="0" wp14:anchorId="3D666A27" wp14:editId="1D032746">
            <wp:extent cx="4084320" cy="2958937"/>
            <wp:effectExtent l="0" t="0" r="0" b="0"/>
            <wp:docPr id="1" name="Picture 1" descr="IEA's Global EV Outlook 2024: Another Year of EV Expan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EA's Global EV Outlook 2024: Another Year of EV Expansio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088372" cy="2961872"/>
                    </a:xfrm>
                    <a:prstGeom prst="rect">
                      <a:avLst/>
                    </a:prstGeom>
                    <a:noFill/>
                    <a:ln>
                      <a:noFill/>
                    </a:ln>
                  </pic:spPr>
                </pic:pic>
              </a:graphicData>
            </a:graphic>
          </wp:inline>
        </w:drawing>
      </w:r>
    </w:p>
    <w:p w14:paraId="2F483EC2" w14:textId="77777777" w:rsidR="008B73D9" w:rsidRPr="00042D7C" w:rsidRDefault="008B73D9" w:rsidP="008B73D9">
      <w:pPr>
        <w:spacing w:line="360" w:lineRule="auto"/>
        <w:jc w:val="center"/>
        <w:rPr>
          <w:rFonts w:ascii="Times New Roman" w:hAnsi="Times New Roman" w:cs="Times New Roman"/>
          <w:b/>
          <w:bCs/>
        </w:rPr>
      </w:pPr>
      <w:r w:rsidRPr="00042D7C">
        <w:rPr>
          <w:rFonts w:ascii="Times New Roman" w:hAnsi="Times New Roman" w:cs="Times New Roman"/>
          <w:b/>
          <w:bCs/>
        </w:rPr>
        <w:t>Figure 1: EV market growth (industry context)</w:t>
      </w:r>
    </w:p>
    <w:p w14:paraId="019C64D5" w14:textId="77777777" w:rsidR="008B73D9" w:rsidRPr="00315D71" w:rsidRDefault="008B73D9" w:rsidP="008B73D9">
      <w:pPr>
        <w:spacing w:line="360" w:lineRule="auto"/>
        <w:jc w:val="center"/>
        <w:rPr>
          <w:rFonts w:ascii="Times New Roman" w:hAnsi="Times New Roman" w:cs="Times New Roman"/>
        </w:rPr>
      </w:pPr>
      <w:r>
        <w:rPr>
          <w:rFonts w:ascii="Times New Roman" w:hAnsi="Times New Roman" w:cs="Times New Roman"/>
        </w:rPr>
        <w:t xml:space="preserve">(Source: </w:t>
      </w:r>
      <w:r w:rsidRPr="00042D7C">
        <w:rPr>
          <w:rFonts w:ascii="Times New Roman" w:hAnsi="Times New Roman" w:cs="Times New Roman"/>
        </w:rPr>
        <w:t>bing.net</w:t>
      </w:r>
      <w:r>
        <w:rPr>
          <w:rFonts w:ascii="Times New Roman" w:hAnsi="Times New Roman" w:cs="Times New Roman"/>
        </w:rPr>
        <w:t>)</w:t>
      </w:r>
    </w:p>
    <w:p w14:paraId="67D4F660"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In the changing environment, BYD and General Motors (GM) are the diametric opposites of strategic positions. Formally created as a battery manufacturer, BYD used its technological base to become one of the first vertically integrated manufacturers of EVs. This made it have an early structural advantage due to its control over battery development and manufacturing. On the other hand, GM used to be dependent on internal combustion engine vehicles and entered the EV market later by positioning it strategically and making massive capital investment</w:t>
      </w:r>
      <w:r>
        <w:rPr>
          <w:rFonts w:ascii="Times New Roman" w:hAnsi="Times New Roman" w:cs="Times New Roman"/>
        </w:rPr>
        <w:t xml:space="preserve"> (</w:t>
      </w:r>
      <w:proofErr w:type="spellStart"/>
      <w:r w:rsidRPr="00F07517">
        <w:rPr>
          <w:rFonts w:ascii="Times New Roman" w:hAnsi="Times New Roman" w:cs="Times New Roman"/>
        </w:rPr>
        <w:t>Desklib</w:t>
      </w:r>
      <w:proofErr w:type="spellEnd"/>
      <w:r>
        <w:rPr>
          <w:rFonts w:ascii="Times New Roman" w:hAnsi="Times New Roman" w:cs="Times New Roman"/>
        </w:rPr>
        <w:t xml:space="preserve">, </w:t>
      </w:r>
      <w:r w:rsidRPr="00F07517">
        <w:rPr>
          <w:rFonts w:ascii="Times New Roman" w:hAnsi="Times New Roman" w:cs="Times New Roman"/>
        </w:rPr>
        <w:t>2023</w:t>
      </w:r>
      <w:r>
        <w:rPr>
          <w:rFonts w:ascii="Times New Roman" w:hAnsi="Times New Roman" w:cs="Times New Roman"/>
        </w:rPr>
        <w:t>)</w:t>
      </w:r>
      <w:r w:rsidRPr="00315D71">
        <w:rPr>
          <w:rFonts w:ascii="Times New Roman" w:hAnsi="Times New Roman" w:cs="Times New Roman"/>
        </w:rPr>
        <w:t>. The change process at GM is mirrored by the wider adoption of change in response to environmental and technological discontinuity among traditional automakers. Here, strategic positioning and competitive strength are decisive under the influence of the technological and regulatory forces.</w:t>
      </w:r>
    </w:p>
    <w:p w14:paraId="6FFCA727" w14:textId="77777777" w:rsidR="008B73D9" w:rsidRPr="00315D71" w:rsidRDefault="008B73D9" w:rsidP="008B73D9">
      <w:pPr>
        <w:pStyle w:val="Heading2"/>
      </w:pPr>
      <w:bookmarkStart w:id="3" w:name="_Toc223038377"/>
      <w:r w:rsidRPr="00315D71">
        <w:t>2.2 Macro Actor 1: Technological Forces.</w:t>
      </w:r>
      <w:bookmarkEnd w:id="3"/>
    </w:p>
    <w:p w14:paraId="4AA56626"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The major competitive force in the EV industry is technological advancement. Performance and scalability of the products are based on battery efficiency, cost reduction, digital connectivity, and software integration. Compared to a traditional automotive competition that is focused on mechanical engineering, EV competition is more preoccupied with battery innovation, artificial intelligence, and modular platform architecture.</w:t>
      </w:r>
    </w:p>
    <w:p w14:paraId="464C97B2"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BYD (Pioneer) opportunities.</w:t>
      </w:r>
    </w:p>
    <w:p w14:paraId="036463FB"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lastRenderedPageBreak/>
        <w:t xml:space="preserve">The early technological dominance of a key EV component was achieved through the early technological dominance of batteries, which BYD was practiced in. Its innovation of the </w:t>
      </w:r>
      <w:r w:rsidRPr="00315D71">
        <w:rPr>
          <w:rFonts w:ascii="Times New Roman" w:hAnsi="Times New Roman" w:cs="Times New Roman" w:hint="cs"/>
        </w:rPr>
        <w:t>“</w:t>
      </w:r>
      <w:r w:rsidRPr="00315D71">
        <w:rPr>
          <w:rFonts w:ascii="Times New Roman" w:hAnsi="Times New Roman" w:cs="Times New Roman"/>
        </w:rPr>
        <w:t>Blade Battery improved the standards of safety and cost-efficiency, and product differentiation was strengthened</w:t>
      </w:r>
      <w:r>
        <w:rPr>
          <w:rFonts w:ascii="Times New Roman" w:hAnsi="Times New Roman" w:cs="Times New Roman"/>
        </w:rPr>
        <w:t xml:space="preserve"> (</w:t>
      </w:r>
      <w:r w:rsidRPr="003D4A33">
        <w:rPr>
          <w:rFonts w:ascii="Times New Roman" w:hAnsi="Times New Roman" w:cs="Times New Roman"/>
        </w:rPr>
        <w:t>An</w:t>
      </w:r>
      <w:r>
        <w:rPr>
          <w:rFonts w:ascii="Times New Roman" w:hAnsi="Times New Roman" w:cs="Times New Roman"/>
        </w:rPr>
        <w:t xml:space="preserve">, </w:t>
      </w:r>
      <w:r w:rsidRPr="003D4A33">
        <w:rPr>
          <w:rFonts w:ascii="Times New Roman" w:hAnsi="Times New Roman" w:cs="Times New Roman"/>
        </w:rPr>
        <w:t>2021</w:t>
      </w:r>
      <w:r>
        <w:rPr>
          <w:rFonts w:ascii="Times New Roman" w:hAnsi="Times New Roman" w:cs="Times New Roman"/>
        </w:rPr>
        <w:t>)</w:t>
      </w:r>
      <w:r w:rsidRPr="00315D71">
        <w:rPr>
          <w:rFonts w:ascii="Times New Roman" w:hAnsi="Times New Roman" w:cs="Times New Roman"/>
        </w:rPr>
        <w:t>. Vertical integration of the battery production, semiconductors and vehicle assembly decreases reliance on its external suppliers and protects the company against supply chain and volatility. Such a combined framework also enables BYD to enjoy cost leadership and also be technologically differentiated.</w:t>
      </w:r>
    </w:p>
    <w:p w14:paraId="3D5C3F45"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Also, technological capability within the organization helps to speed up the innovation process. With core inputs under control, BYD will be able to react to changes in the costs of materials or the regulatory requirements with more flexibility. This cost-effectiveness and innovation as a product make it stronger in regard to positioning as a competitor, especially in markets that are price sensitive</w:t>
      </w:r>
      <w:r>
        <w:rPr>
          <w:rFonts w:ascii="Times New Roman" w:hAnsi="Times New Roman" w:cs="Times New Roman"/>
        </w:rPr>
        <w:t xml:space="preserve"> (</w:t>
      </w:r>
      <w:proofErr w:type="spellStart"/>
      <w:r w:rsidRPr="003D4A33">
        <w:rPr>
          <w:rFonts w:ascii="Times New Roman" w:hAnsi="Times New Roman" w:cs="Times New Roman"/>
        </w:rPr>
        <w:t>Aeternus</w:t>
      </w:r>
      <w:proofErr w:type="spellEnd"/>
      <w:r>
        <w:rPr>
          <w:rFonts w:ascii="Times New Roman" w:hAnsi="Times New Roman" w:cs="Times New Roman"/>
        </w:rPr>
        <w:t xml:space="preserve">, </w:t>
      </w:r>
      <w:r w:rsidRPr="003D4A33">
        <w:rPr>
          <w:rFonts w:ascii="Times New Roman" w:hAnsi="Times New Roman" w:cs="Times New Roman"/>
        </w:rPr>
        <w:t>2024</w:t>
      </w:r>
      <w:r>
        <w:rPr>
          <w:rFonts w:ascii="Times New Roman" w:hAnsi="Times New Roman" w:cs="Times New Roman"/>
        </w:rPr>
        <w:t>)</w:t>
      </w:r>
      <w:r w:rsidRPr="00315D71">
        <w:rPr>
          <w:rFonts w:ascii="Times New Roman" w:hAnsi="Times New Roman" w:cs="Times New Roman"/>
        </w:rPr>
        <w:t>.</w:t>
      </w:r>
    </w:p>
    <w:p w14:paraId="16F3FE8E"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Threats for BYD</w:t>
      </w:r>
    </w:p>
    <w:p w14:paraId="297941D0"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But technological diffusion makes exclusivity depreciate as time goes by. International rivals are putting massive resources in the next generation battery technologies including solid-state systems and sophisticated auto-driving systems. Reducing the innovation cycles heighten the R&amp;D spending and the degree of competition. Another risk that BYD has to face with going international is the intellectual property risks and the necessity to adjust the technological specifications to various regulatory and consumer contexts to fit the new setting. Therefore, the technological advantage was only temporary, and in order to stay competitive, one needs to make constant investments.</w:t>
      </w:r>
    </w:p>
    <w:p w14:paraId="2BDE9331"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GM (Follower) Opportunities.</w:t>
      </w:r>
    </w:p>
    <w:p w14:paraId="14C19559"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 xml:space="preserve">Being a follower, GM will also enjoy the benefit of watching the early developments in the industry and will not incur the initial cost of experimentation. Its </w:t>
      </w:r>
      <w:proofErr w:type="spellStart"/>
      <w:r w:rsidRPr="00315D71">
        <w:rPr>
          <w:rFonts w:ascii="Times New Roman" w:hAnsi="Times New Roman" w:cs="Times New Roman"/>
        </w:rPr>
        <w:t>Ultium</w:t>
      </w:r>
      <w:proofErr w:type="spellEnd"/>
      <w:r w:rsidRPr="00315D71">
        <w:rPr>
          <w:rFonts w:ascii="Times New Roman" w:hAnsi="Times New Roman" w:cs="Times New Roman"/>
        </w:rPr>
        <w:t xml:space="preserve"> battery platform is also a strategic consolidation strategy, which allows it to scale multiple vehicle models. Standardisation of battery architecture will enable GM to cut down on the cost of production and still be flexible</w:t>
      </w:r>
      <w:r>
        <w:rPr>
          <w:rFonts w:ascii="Times New Roman" w:hAnsi="Times New Roman" w:cs="Times New Roman"/>
        </w:rPr>
        <w:t xml:space="preserve"> (</w:t>
      </w:r>
      <w:r w:rsidRPr="003D4A33">
        <w:rPr>
          <w:rFonts w:ascii="Times New Roman" w:hAnsi="Times New Roman" w:cs="Times New Roman"/>
        </w:rPr>
        <w:t>Statista</w:t>
      </w:r>
      <w:r>
        <w:rPr>
          <w:rFonts w:ascii="Times New Roman" w:hAnsi="Times New Roman" w:cs="Times New Roman"/>
        </w:rPr>
        <w:t xml:space="preserve">, </w:t>
      </w:r>
      <w:r w:rsidRPr="003D4A33">
        <w:rPr>
          <w:rFonts w:ascii="Times New Roman" w:hAnsi="Times New Roman" w:cs="Times New Roman"/>
        </w:rPr>
        <w:t>2025</w:t>
      </w:r>
      <w:r>
        <w:rPr>
          <w:rFonts w:ascii="Times New Roman" w:hAnsi="Times New Roman" w:cs="Times New Roman"/>
        </w:rPr>
        <w:t>)</w:t>
      </w:r>
      <w:r w:rsidRPr="00315D71">
        <w:rPr>
          <w:rFonts w:ascii="Times New Roman" w:hAnsi="Times New Roman" w:cs="Times New Roman"/>
        </w:rPr>
        <w:t>.</w:t>
      </w:r>
    </w:p>
    <w:p w14:paraId="618B22F0"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Technological uncertainty is also minimized through strategic alliances and joint ventures. Also, the global manufacturing base of GM enables a quick growth in production as soon as technological feasibility is determined. This scale benefit can be used to achieve competitive equity with EV adoption growing.</w:t>
      </w:r>
    </w:p>
    <w:p w14:paraId="31C84674" w14:textId="77777777" w:rsidR="008B73D9" w:rsidRPr="00042D7C" w:rsidRDefault="008B73D9" w:rsidP="008B73D9">
      <w:pPr>
        <w:spacing w:line="360" w:lineRule="auto"/>
        <w:jc w:val="both"/>
        <w:rPr>
          <w:rFonts w:ascii="Times New Roman" w:hAnsi="Times New Roman" w:cs="Times New Roman"/>
          <w:b/>
          <w:bCs/>
        </w:rPr>
      </w:pPr>
      <w:r w:rsidRPr="00042D7C">
        <w:rPr>
          <w:rFonts w:ascii="Times New Roman" w:hAnsi="Times New Roman" w:cs="Times New Roman"/>
          <w:b/>
          <w:bCs/>
        </w:rPr>
        <w:lastRenderedPageBreak/>
        <w:t>Threats for GM</w:t>
      </w:r>
    </w:p>
    <w:p w14:paraId="6B438DE1"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GM is still bound by its old systems of operation despite its major investments. The shift of the production on the basis of combustion to EV platforms presupposes the reorganization of supply chains, re-training of work forces capacities, and balancing between the production systems of both systems during the interim period. It is also constrained by technological reliance on external suppliers of technological assistance in creating proprietary differentiation as opposed to vertically integrated competitors such as BYD.</w:t>
      </w:r>
    </w:p>
    <w:p w14:paraId="19A6E45B"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Critical Evaluation</w:t>
      </w:r>
    </w:p>
    <w:p w14:paraId="32933507"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 xml:space="preserve">The early integration and innovation </w:t>
      </w:r>
      <w:proofErr w:type="gramStart"/>
      <w:r w:rsidRPr="00315D71">
        <w:rPr>
          <w:rFonts w:ascii="Times New Roman" w:hAnsi="Times New Roman" w:cs="Times New Roman"/>
        </w:rPr>
        <w:t>is</w:t>
      </w:r>
      <w:proofErr w:type="gramEnd"/>
      <w:r w:rsidRPr="00315D71">
        <w:rPr>
          <w:rFonts w:ascii="Times New Roman" w:hAnsi="Times New Roman" w:cs="Times New Roman"/>
        </w:rPr>
        <w:t xml:space="preserve"> rewarded and this is first favoured by technological forces. But with knowledge diffusion and standardisation of production through modular platforms, the gap can be bridged by the followers. Sustainable competitive advantage does not only rely on technological invention, but rather on the ability to combine, grow as well as constantly improve innovation ecosystems.</w:t>
      </w:r>
    </w:p>
    <w:p w14:paraId="54660956" w14:textId="77777777" w:rsidR="008B73D9" w:rsidRPr="00315D71" w:rsidRDefault="008B73D9" w:rsidP="008B73D9">
      <w:pPr>
        <w:pStyle w:val="Heading2"/>
      </w:pPr>
      <w:bookmarkStart w:id="4" w:name="_Toc223038378"/>
      <w:r w:rsidRPr="00315D71">
        <w:t>2.3 Macro Actor 2: Political and Regulatory Forces.</w:t>
      </w:r>
      <w:bookmarkEnd w:id="4"/>
    </w:p>
    <w:p w14:paraId="69810022"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One of the structural drivers of the growth of EVs is the government policy. The consumer demand and production incentives are directly influenced by the subsidies, emission requirements, and carbon neutrality.</w:t>
      </w:r>
    </w:p>
    <w:p w14:paraId="14EEF4AB"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Opportunities for BYD</w:t>
      </w:r>
    </w:p>
    <w:p w14:paraId="2E2CEF35"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The industrial policy of the Chinese government has actively assisted the local manufacturers of EVs by providing subsidies, investing in infrastructure, and protecting the industry. BYD enjoyed positive domestic environment that helped it produce in large volumes and be cost competitive. Export is also generated by international carbon reduction commitments especially as western countries are increasing the electrification requirements.</w:t>
      </w:r>
    </w:p>
    <w:p w14:paraId="0CE188BE"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Threats for BYD</w:t>
      </w:r>
    </w:p>
    <w:p w14:paraId="43479540"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Expansion risks, however, are geopolitical tensions and trade restrictions. Sales in the West could be hindered by tariff barriers and regulatory inspections. The variations in the safety and sourcing standards between different jurisdictions complicate compliance and raise operating expenses.</w:t>
      </w:r>
    </w:p>
    <w:p w14:paraId="2C3582E1"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Opportunities for GM</w:t>
      </w:r>
    </w:p>
    <w:p w14:paraId="1BEAC848"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lastRenderedPageBreak/>
        <w:t>The promotion of domestic EV production and backup of batteries in the US is pushed by the Inflation Reduction Act. GM will have the advantage of North American manufacturing subsidies, which will improve the justification of investments. Internal change is also spurred by regulatory requirements, where corporate strategy is in line with environmental policy.</w:t>
      </w:r>
    </w:p>
    <w:p w14:paraId="19124421"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Threats for GM</w:t>
      </w:r>
    </w:p>
    <w:p w14:paraId="6CCC74E3"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However, regulatory dates cause time constraint and financial hazard. The inability to achieve the electrification targets might lead to the imposition of penalties and the loss of image. The differences in policies in international markets also make strategic planning more difficult.</w:t>
      </w:r>
    </w:p>
    <w:p w14:paraId="7AAD0C91"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Critical Evaluation</w:t>
      </w:r>
    </w:p>
    <w:p w14:paraId="5BC80A4A"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Political forces create asymmetric impacts depending on the geographical alignment and organisational structure. BYD is enjoying scaling which is backed by the government in China whereas GM is enjoying domestic production incentives in the US. Regulatory complexity however brings about uncertainty to both the firms. Macro forces thus at the same time facilitate growth and create structural constraints which make long-term competitiveness impossible without adaptive strategic management.</w:t>
      </w:r>
    </w:p>
    <w:p w14:paraId="243F9D37" w14:textId="77777777" w:rsidR="008B73D9" w:rsidRDefault="008B73D9" w:rsidP="008B73D9">
      <w:pPr>
        <w:pStyle w:val="Heading1"/>
      </w:pPr>
      <w:bookmarkStart w:id="5" w:name="_Toc223038379"/>
      <w:r w:rsidRPr="00315D71">
        <w:t>3. Influence on Competitive Position</w:t>
      </w:r>
      <w:bookmarkEnd w:id="5"/>
    </w:p>
    <w:p w14:paraId="377F02C6"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A combination of technological and regulatory forces transforms the competitive structure of the EV industry and changes the cost dynamics, entry barriers, and differentiation sources. The vertically integrated model can help BYD to have a stronger competitive base by ensuring that its costs are controlled and that there is increased autonomy in regard to technology. The capability of placing control over the production of batteries and other critical components increases the flexibility of pricing and minimizes the risk of supplier volatility, which supports the cost leadership and product differentiation. This has been integrated to enable long-term competitive survival within the increasingly competitive global markets</w:t>
      </w:r>
      <w:r>
        <w:rPr>
          <w:rFonts w:ascii="Times New Roman" w:hAnsi="Times New Roman" w:cs="Times New Roman"/>
        </w:rPr>
        <w:t xml:space="preserve"> (</w:t>
      </w:r>
      <w:r w:rsidRPr="00F07517">
        <w:rPr>
          <w:rFonts w:ascii="Times New Roman" w:hAnsi="Times New Roman" w:cs="Times New Roman"/>
        </w:rPr>
        <w:t>Wang</w:t>
      </w:r>
      <w:r>
        <w:rPr>
          <w:rFonts w:ascii="Times New Roman" w:hAnsi="Times New Roman" w:cs="Times New Roman"/>
        </w:rPr>
        <w:t xml:space="preserve">, </w:t>
      </w:r>
      <w:r w:rsidRPr="00F07517">
        <w:rPr>
          <w:rFonts w:ascii="Times New Roman" w:hAnsi="Times New Roman" w:cs="Times New Roman"/>
        </w:rPr>
        <w:t>2024</w:t>
      </w:r>
      <w:r>
        <w:rPr>
          <w:rFonts w:ascii="Times New Roman" w:hAnsi="Times New Roman" w:cs="Times New Roman"/>
        </w:rPr>
        <w:t>)</w:t>
      </w:r>
      <w:r w:rsidRPr="00315D71">
        <w:rPr>
          <w:rFonts w:ascii="Times New Roman" w:hAnsi="Times New Roman" w:cs="Times New Roman"/>
        </w:rPr>
        <w:t>.</w:t>
      </w:r>
    </w:p>
    <w:p w14:paraId="1E9A3DD3"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Conversely, GM has made its competitive advantages in terms of scale of manufacturing, world-wide brand image and huge distribution channels. These resources give transition leverage in the process of electrification; they however do not necessarily guarantee technological superiority. With EV rivalry turning to battery efficiency, software functionality and digital interconnectedness, the old benefit might not be adequate without the same level of innovation intensity.</w:t>
      </w:r>
    </w:p>
    <w:p w14:paraId="1E427D9A"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lastRenderedPageBreak/>
        <w:t>The standardisation of technologies also reduces barriers to entry, as new manufacturers of EV can now get access to modular battery platforms and international supply chains. Meanwhile, the established automakers are being electrified at an accelerated pace due to regulatory requirements, which have increased competition as companies fight to gain market share in an already booming but heavily saturated market. As a result, dynamic capabilities: continuous innovation, strategic agility, integration within an ecosystem, and so on are increasingly becoming the determinants of competitive advantage, as opposed to the first-mover timing or history of market dominance.</w:t>
      </w:r>
    </w:p>
    <w:p w14:paraId="77D94E64" w14:textId="77777777" w:rsidR="008B73D9" w:rsidRPr="00315D71" w:rsidRDefault="008B73D9" w:rsidP="008B73D9">
      <w:pPr>
        <w:pStyle w:val="Heading1"/>
      </w:pPr>
      <w:bookmarkStart w:id="6" w:name="_Toc223038380"/>
      <w:r w:rsidRPr="00315D71">
        <w:t>4. Task 2: Strategic Responses to Sustain Growth</w:t>
      </w:r>
      <w:bookmarkEnd w:id="6"/>
      <w:r w:rsidRPr="00315D71">
        <w:t xml:space="preserve"> </w:t>
      </w:r>
    </w:p>
    <w:p w14:paraId="66A13D2D" w14:textId="77777777" w:rsidR="008B73D9" w:rsidRDefault="008B73D9" w:rsidP="008B73D9">
      <w:pPr>
        <w:pStyle w:val="Heading2"/>
      </w:pPr>
      <w:bookmarkStart w:id="7" w:name="_Toc223038381"/>
      <w:r w:rsidRPr="00315D71">
        <w:t>4.1 BYD</w:t>
      </w:r>
      <w:r w:rsidRPr="00315D71">
        <w:rPr>
          <w:rFonts w:hint="cs"/>
        </w:rPr>
        <w:t>’</w:t>
      </w:r>
      <w:r w:rsidRPr="00315D71">
        <w:t>s Strategic Response</w:t>
      </w:r>
      <w:bookmarkEnd w:id="7"/>
    </w:p>
    <w:p w14:paraId="52B4C216"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4.1.1 Porter</w:t>
      </w:r>
      <w:r w:rsidRPr="00315D71">
        <w:rPr>
          <w:rFonts w:ascii="Times New Roman" w:hAnsi="Times New Roman" w:cs="Times New Roman" w:hint="cs"/>
          <w:b/>
          <w:bCs/>
        </w:rPr>
        <w:t>’</w:t>
      </w:r>
      <w:r w:rsidRPr="00315D71">
        <w:rPr>
          <w:rFonts w:ascii="Times New Roman" w:hAnsi="Times New Roman" w:cs="Times New Roman"/>
          <w:b/>
          <w:bCs/>
        </w:rPr>
        <w:t>s Generic Strategy</w:t>
      </w:r>
    </w:p>
    <w:p w14:paraId="7B869E8E"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 xml:space="preserve">BYD uses a hybrid business strategy (cost leadership and differentiation). By vertical integration, especially in battery production, BYD is able to experience </w:t>
      </w:r>
      <w:proofErr w:type="gramStart"/>
      <w:r w:rsidRPr="00315D71">
        <w:rPr>
          <w:rFonts w:ascii="Times New Roman" w:hAnsi="Times New Roman" w:cs="Times New Roman"/>
        </w:rPr>
        <w:t>high cost</w:t>
      </w:r>
      <w:proofErr w:type="gramEnd"/>
      <w:r w:rsidRPr="00315D71">
        <w:rPr>
          <w:rFonts w:ascii="Times New Roman" w:hAnsi="Times New Roman" w:cs="Times New Roman"/>
        </w:rPr>
        <w:t xml:space="preserve"> efficiencies, coupled with technological differentiation. This integration helps the company to manage the key inputs, minimise the dependence on the outside suppliers, and stabilize the pricing systems in the unstable markets on the raw materials</w:t>
      </w:r>
      <w:r>
        <w:rPr>
          <w:rFonts w:ascii="Times New Roman" w:hAnsi="Times New Roman" w:cs="Times New Roman"/>
        </w:rPr>
        <w:t xml:space="preserve"> (</w:t>
      </w:r>
      <w:r w:rsidRPr="007B2202">
        <w:rPr>
          <w:rFonts w:ascii="Times New Roman" w:hAnsi="Times New Roman" w:cs="Times New Roman"/>
        </w:rPr>
        <w:t>Team, 2025</w:t>
      </w:r>
      <w:r>
        <w:rPr>
          <w:rFonts w:ascii="Times New Roman" w:hAnsi="Times New Roman" w:cs="Times New Roman"/>
        </w:rPr>
        <w:t>)</w:t>
      </w:r>
      <w:r w:rsidRPr="00315D71">
        <w:rPr>
          <w:rFonts w:ascii="Times New Roman" w:hAnsi="Times New Roman" w:cs="Times New Roman"/>
        </w:rPr>
        <w:t>.</w:t>
      </w:r>
    </w:p>
    <w:p w14:paraId="767DA23F"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 xml:space="preserve">Contrary to EV pioneers that focus on high-margin markets, BYD consciously aims at low-end market pricing, especially in China and other developing Asian markets. BYD maximizes access through providing high-tech cars at affordable prices without compromising on innovation status. This two-way positioning will enable the firm to achieve wider market share and adapt strategic ease in a range of price points. This hybrid model promotes strength in an ever-competitive world </w:t>
      </w:r>
      <w:proofErr w:type="gramStart"/>
      <w:r w:rsidRPr="00315D71">
        <w:rPr>
          <w:rFonts w:ascii="Times New Roman" w:hAnsi="Times New Roman" w:cs="Times New Roman"/>
        </w:rPr>
        <w:t>markets</w:t>
      </w:r>
      <w:r>
        <w:rPr>
          <w:rFonts w:ascii="Times New Roman" w:hAnsi="Times New Roman" w:cs="Times New Roman"/>
        </w:rPr>
        <w:t xml:space="preserve"> (</w:t>
      </w:r>
      <w:r w:rsidRPr="00203D52">
        <w:rPr>
          <w:rFonts w:ascii="Times New Roman" w:hAnsi="Times New Roman" w:cs="Times New Roman"/>
        </w:rPr>
        <w:t>Xie</w:t>
      </w:r>
      <w:r>
        <w:rPr>
          <w:rFonts w:ascii="Times New Roman" w:hAnsi="Times New Roman" w:cs="Times New Roman"/>
        </w:rPr>
        <w:t xml:space="preserve">, </w:t>
      </w:r>
      <w:r w:rsidRPr="00203D52">
        <w:rPr>
          <w:rFonts w:ascii="Times New Roman" w:hAnsi="Times New Roman" w:cs="Times New Roman"/>
        </w:rPr>
        <w:t>2024</w:t>
      </w:r>
      <w:r>
        <w:rPr>
          <w:rFonts w:ascii="Times New Roman" w:hAnsi="Times New Roman" w:cs="Times New Roman"/>
        </w:rPr>
        <w:t>)</w:t>
      </w:r>
      <w:proofErr w:type="gramEnd"/>
      <w:r w:rsidRPr="00315D71">
        <w:rPr>
          <w:rFonts w:ascii="Times New Roman" w:hAnsi="Times New Roman" w:cs="Times New Roman"/>
        </w:rPr>
        <w:t>.</w:t>
      </w:r>
    </w:p>
    <w:p w14:paraId="4CC6440C"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4.1.2 Ansoff</w:t>
      </w:r>
      <w:r w:rsidRPr="00315D71">
        <w:rPr>
          <w:rFonts w:ascii="Times New Roman" w:hAnsi="Times New Roman" w:cs="Times New Roman" w:hint="cs"/>
          <w:b/>
          <w:bCs/>
        </w:rPr>
        <w:t>’</w:t>
      </w:r>
      <w:r w:rsidRPr="00315D71">
        <w:rPr>
          <w:rFonts w:ascii="Times New Roman" w:hAnsi="Times New Roman" w:cs="Times New Roman"/>
          <w:b/>
          <w:bCs/>
        </w:rPr>
        <w:t>s Growth Matrix</w:t>
      </w:r>
    </w:p>
    <w:p w14:paraId="6D2D4F42"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The growth of BYD is consistent with several aspects of the framework by Ansoff.</w:t>
      </w:r>
    </w:p>
    <w:p w14:paraId="7E467B14"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Market Penetration: The company is in the process of strengthening its hold in the high-demand EV market of China.</w:t>
      </w:r>
    </w:p>
    <w:p w14:paraId="70ECA1E1"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Market Development: Geographic diversification is demonstrated by international expansion of the company in Europe and southeast Asia, both by export and strategic alliance.</w:t>
      </w:r>
    </w:p>
    <w:p w14:paraId="410B1911"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lastRenderedPageBreak/>
        <w:t>Product Development BYD also launches hybrid and fully electric vehicles that align with the needs of various consumers and add more depth to the portfolio.</w:t>
      </w:r>
    </w:p>
    <w:p w14:paraId="61CD8368"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Diversification: Transition to electric buses and energy storage systems expand the range of revenues beyond passenger cars.</w:t>
      </w:r>
    </w:p>
    <w:p w14:paraId="24370BA4"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Generally, the strategy of BYD indicates restrained but aggressive global expansion on the basis of technological self-sufficiency.</w:t>
      </w:r>
    </w:p>
    <w:p w14:paraId="6EC66AC4" w14:textId="77777777" w:rsidR="008B73D9" w:rsidRPr="00315D71" w:rsidRDefault="008B73D9" w:rsidP="008B73D9">
      <w:pPr>
        <w:pStyle w:val="Heading2"/>
      </w:pPr>
      <w:bookmarkStart w:id="8" w:name="_Toc223038382"/>
      <w:r w:rsidRPr="00315D71">
        <w:t>4.2 GM</w:t>
      </w:r>
      <w:r w:rsidRPr="00315D71">
        <w:rPr>
          <w:rFonts w:hint="cs"/>
        </w:rPr>
        <w:t>’</w:t>
      </w:r>
      <w:r w:rsidRPr="00315D71">
        <w:t>s Strategic Response</w:t>
      </w:r>
      <w:bookmarkEnd w:id="8"/>
    </w:p>
    <w:p w14:paraId="4CFAD963"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4.2.1 Porter</w:t>
      </w:r>
      <w:r w:rsidRPr="00315D71">
        <w:rPr>
          <w:rFonts w:ascii="Times New Roman" w:hAnsi="Times New Roman" w:cs="Times New Roman" w:hint="cs"/>
          <w:b/>
          <w:bCs/>
        </w:rPr>
        <w:t>’</w:t>
      </w:r>
      <w:r w:rsidRPr="00315D71">
        <w:rPr>
          <w:rFonts w:ascii="Times New Roman" w:hAnsi="Times New Roman" w:cs="Times New Roman"/>
          <w:b/>
          <w:bCs/>
        </w:rPr>
        <w:t>s Generic Strategy</w:t>
      </w:r>
    </w:p>
    <w:p w14:paraId="4E72924A"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GM also aims at differentiation which is enabled by scale efficiency. Instead of focusing on price competition GM can use the multiple-brand portfolio, such as Chevrolet, Cadillac, and GMC, to remodel itself in electrification. The strategy focuses on sustainability-oriented branding and the trust of the consumers. This strategy is to modernise brand equity, but not to forget the identity.</w:t>
      </w:r>
    </w:p>
    <w:p w14:paraId="1C630D3B" w14:textId="77777777" w:rsidR="008B73D9" w:rsidRPr="00315D71" w:rsidRDefault="008B73D9" w:rsidP="008B73D9">
      <w:pPr>
        <w:spacing w:line="360" w:lineRule="auto"/>
        <w:jc w:val="both"/>
        <w:rPr>
          <w:rFonts w:ascii="Times New Roman" w:hAnsi="Times New Roman" w:cs="Times New Roman"/>
          <w:b/>
          <w:bCs/>
        </w:rPr>
      </w:pPr>
      <w:r w:rsidRPr="00315D71">
        <w:rPr>
          <w:rFonts w:ascii="Times New Roman" w:hAnsi="Times New Roman" w:cs="Times New Roman"/>
          <w:b/>
          <w:bCs/>
        </w:rPr>
        <w:t>4.2.2 Ansoff</w:t>
      </w:r>
      <w:r w:rsidRPr="00315D71">
        <w:rPr>
          <w:rFonts w:ascii="Times New Roman" w:hAnsi="Times New Roman" w:cs="Times New Roman" w:hint="cs"/>
          <w:b/>
          <w:bCs/>
        </w:rPr>
        <w:t>’</w:t>
      </w:r>
      <w:r w:rsidRPr="00315D71">
        <w:rPr>
          <w:rFonts w:ascii="Times New Roman" w:hAnsi="Times New Roman" w:cs="Times New Roman"/>
          <w:b/>
          <w:bCs/>
        </w:rPr>
        <w:t>s Growth Matrix</w:t>
      </w:r>
    </w:p>
    <w:p w14:paraId="1EFF5CF0"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 xml:space="preserve">Electrification strategy of GM is mostly a reflection of product development and strategy rejuvenation. Electrified variants of existing models based on the </w:t>
      </w:r>
      <w:proofErr w:type="spellStart"/>
      <w:r w:rsidRPr="00315D71">
        <w:rPr>
          <w:rFonts w:ascii="Times New Roman" w:hAnsi="Times New Roman" w:cs="Times New Roman"/>
        </w:rPr>
        <w:t>Ultium</w:t>
      </w:r>
      <w:proofErr w:type="spellEnd"/>
      <w:r w:rsidRPr="00315D71">
        <w:rPr>
          <w:rFonts w:ascii="Times New Roman" w:hAnsi="Times New Roman" w:cs="Times New Roman"/>
        </w:rPr>
        <w:t xml:space="preserve"> platform support the technological standardisation of brands. GM has a large number of dealerships that help in penetrating the market and the adoption of the EVs is speedy. At the same time, the company sheds off non-core combustion assets to shift capital to EV investment</w:t>
      </w:r>
      <w:r>
        <w:rPr>
          <w:rFonts w:ascii="Times New Roman" w:hAnsi="Times New Roman" w:cs="Times New Roman"/>
        </w:rPr>
        <w:t xml:space="preserve"> (</w:t>
      </w:r>
      <w:r w:rsidRPr="000D227C">
        <w:rPr>
          <w:rFonts w:ascii="Times New Roman" w:hAnsi="Times New Roman" w:cs="Times New Roman"/>
        </w:rPr>
        <w:t>Guo</w:t>
      </w:r>
      <w:r>
        <w:rPr>
          <w:rFonts w:ascii="Times New Roman" w:hAnsi="Times New Roman" w:cs="Times New Roman"/>
        </w:rPr>
        <w:t xml:space="preserve"> </w:t>
      </w:r>
      <w:r>
        <w:rPr>
          <w:rFonts w:ascii="Times New Roman" w:hAnsi="Times New Roman" w:cs="Times New Roman"/>
          <w:i/>
          <w:iCs/>
        </w:rPr>
        <w:t>et al.</w:t>
      </w:r>
      <w:r>
        <w:rPr>
          <w:rFonts w:ascii="Times New Roman" w:hAnsi="Times New Roman" w:cs="Times New Roman"/>
        </w:rPr>
        <w:t xml:space="preserve"> </w:t>
      </w:r>
      <w:r w:rsidRPr="000D227C">
        <w:rPr>
          <w:rFonts w:ascii="Times New Roman" w:hAnsi="Times New Roman" w:cs="Times New Roman"/>
        </w:rPr>
        <w:t>2023</w:t>
      </w:r>
      <w:r>
        <w:rPr>
          <w:rFonts w:ascii="Times New Roman" w:hAnsi="Times New Roman" w:cs="Times New Roman"/>
        </w:rPr>
        <w:t>)</w:t>
      </w:r>
      <w:r w:rsidRPr="00315D71">
        <w:rPr>
          <w:rFonts w:ascii="Times New Roman" w:hAnsi="Times New Roman" w:cs="Times New Roman"/>
        </w:rPr>
        <w:t>.</w:t>
      </w:r>
    </w:p>
    <w:p w14:paraId="459D281F"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The change at GM is not disruptive, but instead incremental, focusing on organisational restructuring and scalable adaptation, instead of expanding the eco-system.</w:t>
      </w:r>
    </w:p>
    <w:p w14:paraId="39190B4C" w14:textId="77777777" w:rsidR="008B73D9" w:rsidRDefault="008B73D9" w:rsidP="008B73D9">
      <w:pPr>
        <w:pStyle w:val="Heading1"/>
      </w:pPr>
      <w:bookmarkStart w:id="9" w:name="_Toc223038383"/>
      <w:r w:rsidRPr="00315D71">
        <w:t>5. Comparative Evaluation</w:t>
      </w:r>
      <w:bookmarkEnd w:id="9"/>
    </w:p>
    <w:p w14:paraId="10D33AE1"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t xml:space="preserve">Comparative analysis of BYD and General Motors (GM) exposes opposing sources of competitive advantage which are determined by structural positioning and strategic orientation. BYD shows a better vertical integration especially battery production and key components, allowing it to have more flexibility in costs and operational control. This combination minimizes supplier risk and increases competitiveness in prices, especially in the mass-market. Internalization of key technological skills will enhance the cost leadership and differentiation of BYD that will position it well in price sensitive and </w:t>
      </w:r>
      <w:proofErr w:type="gramStart"/>
      <w:r w:rsidRPr="00315D71">
        <w:rPr>
          <w:rFonts w:ascii="Times New Roman" w:hAnsi="Times New Roman" w:cs="Times New Roman"/>
        </w:rPr>
        <w:t>fast growing</w:t>
      </w:r>
      <w:proofErr w:type="gramEnd"/>
      <w:r w:rsidRPr="00315D71">
        <w:rPr>
          <w:rFonts w:ascii="Times New Roman" w:hAnsi="Times New Roman" w:cs="Times New Roman"/>
        </w:rPr>
        <w:t xml:space="preserve"> markets.</w:t>
      </w:r>
    </w:p>
    <w:p w14:paraId="12867C2B" w14:textId="77777777" w:rsidR="008B73D9" w:rsidRPr="00315D71" w:rsidRDefault="008B73D9" w:rsidP="008B73D9">
      <w:pPr>
        <w:spacing w:line="360" w:lineRule="auto"/>
        <w:jc w:val="both"/>
        <w:rPr>
          <w:rFonts w:ascii="Times New Roman" w:hAnsi="Times New Roman" w:cs="Times New Roman"/>
        </w:rPr>
      </w:pPr>
      <w:r w:rsidRPr="00315D71">
        <w:rPr>
          <w:rFonts w:ascii="Times New Roman" w:hAnsi="Times New Roman" w:cs="Times New Roman"/>
        </w:rPr>
        <w:lastRenderedPageBreak/>
        <w:t>Conversely, GM has been able to gain its competitive edge mainly due to scale of manufacturing, internationally known brands and credibility of institutions. It has a large production and dealership network that gives it transition leverage as the industry becomes electric. Nevertheless, GM is more complex organisationally as it still has legacy combustion businesses and has to deal with parallel production systems in the process of transition. This organizational shift adds to strategic risk and resource pressure.</w:t>
      </w:r>
    </w:p>
    <w:p w14:paraId="4C563A76"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Through a Resource-Based View (RBV), the battery control possessed by BYD is a more unique and possibly long-term competitive advantage. Design, production, and internal battery integration is also a strong and comparatively uncommon asset in the EV industry. On the other hand, the strengths of GM, including scale efficiency, brand equity, and reach of distribution are appreciated but they are not as unique within the mature automotive markets and can be more readily replicated by other established automotive producers.</w:t>
      </w:r>
    </w:p>
    <w:p w14:paraId="230DAD97" w14:textId="77777777" w:rsidR="008B73D9" w:rsidRDefault="008B73D9" w:rsidP="008B73D9">
      <w:pPr>
        <w:spacing w:line="360" w:lineRule="auto"/>
        <w:jc w:val="both"/>
        <w:rPr>
          <w:rFonts w:ascii="Times New Roman" w:hAnsi="Times New Roman" w:cs="Times New Roman"/>
        </w:rPr>
      </w:pPr>
      <w:r w:rsidRPr="00315D71">
        <w:rPr>
          <w:rFonts w:ascii="Times New Roman" w:hAnsi="Times New Roman" w:cs="Times New Roman"/>
        </w:rPr>
        <w:t>Finally, dynamic capability development is important in strategic effectiveness of both firms. With the increasing rate of technological innovation and the changing nature of regulatory frameworks, a sustained competitiveness will necessitate constant adaptation and reinvestment and alignment to the ecosystem as opposed to the existing strengths on their own.</w:t>
      </w:r>
    </w:p>
    <w:p w14:paraId="5EC942D6" w14:textId="77777777" w:rsidR="008B73D9" w:rsidRDefault="008B73D9" w:rsidP="008B73D9">
      <w:pPr>
        <w:pStyle w:val="Heading1"/>
      </w:pPr>
      <w:bookmarkStart w:id="10" w:name="_Toc223038384"/>
      <w:r w:rsidRPr="00042D7C">
        <w:t>6. Critical Reflection on Pioneer vs Follower Dynamics</w:t>
      </w:r>
      <w:bookmarkEnd w:id="10"/>
      <w:r w:rsidRPr="00042D7C">
        <w:t xml:space="preserve"> </w:t>
      </w:r>
    </w:p>
    <w:p w14:paraId="6A15E26F" w14:textId="77777777" w:rsidR="008B73D9" w:rsidRPr="0067733C" w:rsidRDefault="008B73D9" w:rsidP="008B73D9">
      <w:pPr>
        <w:spacing w:line="360" w:lineRule="auto"/>
        <w:jc w:val="both"/>
        <w:rPr>
          <w:rFonts w:ascii="Times New Roman" w:hAnsi="Times New Roman" w:cs="Times New Roman"/>
          <w:b/>
          <w:bCs/>
        </w:rPr>
      </w:pPr>
      <w:r w:rsidRPr="00042D7C">
        <w:rPr>
          <w:rFonts w:ascii="Times New Roman" w:hAnsi="Times New Roman" w:cs="Times New Roman"/>
        </w:rPr>
        <w:t>There is no guarantee that pioneer advantage is a sustained one, especially in rapidly diffusing, regulatory expediency technology industries. The vertical integration and early battery technology at BYD gave the company a strong competitive advantage, as it was easy to control costs and product differentiation. But with battery technologies being standardised and world competition spending a lot of money in research and development, the monopoly of first-mover innovation might slowly fade away. The first-mover advantages should be sustained with the ability to renew and improve the ecosystem rather than depend on the past positioning</w:t>
      </w:r>
      <w:r>
        <w:rPr>
          <w:rFonts w:ascii="Times New Roman" w:hAnsi="Times New Roman" w:cs="Times New Roman"/>
        </w:rPr>
        <w:t xml:space="preserve"> (</w:t>
      </w:r>
      <w:r w:rsidRPr="00F07517">
        <w:rPr>
          <w:rFonts w:ascii="Times New Roman" w:hAnsi="Times New Roman" w:cs="Times New Roman"/>
        </w:rPr>
        <w:t>Malte Karstan</w:t>
      </w:r>
      <w:r>
        <w:rPr>
          <w:rFonts w:ascii="Times New Roman" w:hAnsi="Times New Roman" w:cs="Times New Roman"/>
        </w:rPr>
        <w:t xml:space="preserve">, </w:t>
      </w:r>
      <w:r w:rsidRPr="00F07517">
        <w:rPr>
          <w:rFonts w:ascii="Times New Roman" w:hAnsi="Times New Roman" w:cs="Times New Roman"/>
        </w:rPr>
        <w:t>2025</w:t>
      </w:r>
      <w:r>
        <w:rPr>
          <w:rFonts w:ascii="Times New Roman" w:hAnsi="Times New Roman" w:cs="Times New Roman"/>
        </w:rPr>
        <w:t>)</w:t>
      </w:r>
      <w:r w:rsidRPr="00042D7C">
        <w:rPr>
          <w:rFonts w:ascii="Times New Roman" w:hAnsi="Times New Roman" w:cs="Times New Roman"/>
        </w:rPr>
        <w:t>.</w:t>
      </w:r>
    </w:p>
    <w:p w14:paraId="649C9C3B" w14:textId="77777777" w:rsidR="008B73D9" w:rsidRPr="00042D7C" w:rsidRDefault="008B73D9" w:rsidP="008B73D9">
      <w:pPr>
        <w:spacing w:line="360" w:lineRule="auto"/>
        <w:jc w:val="both"/>
        <w:rPr>
          <w:rFonts w:ascii="Times New Roman" w:hAnsi="Times New Roman" w:cs="Times New Roman"/>
        </w:rPr>
      </w:pPr>
      <w:r w:rsidRPr="00042D7C">
        <w:rPr>
          <w:rFonts w:ascii="Times New Roman" w:hAnsi="Times New Roman" w:cs="Times New Roman"/>
        </w:rPr>
        <w:t>On the other hand, the follower status of GM minimizes the exposure to the technological uncertainty at the initial stage and capital risk. GM reduces the experimentation costs by watching the market trends and capitalizing on modular platforms. However, follower strategy has the risk of strategic lag in case change is not fast enough. In high-speed macro-environmental situations, the inability to adapt in time may result in gaps in capability and loss of competitive relevance.</w:t>
      </w:r>
    </w:p>
    <w:p w14:paraId="67227074" w14:textId="77777777" w:rsidR="008B73D9" w:rsidRPr="00315D71" w:rsidRDefault="008B73D9" w:rsidP="008B73D9">
      <w:pPr>
        <w:spacing w:line="360" w:lineRule="auto"/>
        <w:jc w:val="both"/>
        <w:rPr>
          <w:rFonts w:ascii="Times New Roman" w:hAnsi="Times New Roman" w:cs="Times New Roman"/>
        </w:rPr>
      </w:pPr>
      <w:r w:rsidRPr="00042D7C">
        <w:rPr>
          <w:rFonts w:ascii="Times New Roman" w:hAnsi="Times New Roman" w:cs="Times New Roman"/>
        </w:rPr>
        <w:lastRenderedPageBreak/>
        <w:t>And finally, the continued benefit in the EV sector is less about timeliness of entry and more about the strategic renewal that is dynamic. The ability to adapt, achieve resource integration, and keep up with the changing technological and regulatory forces are what defines the long-term results. Trajectories of pioneers and followers are thus dependent on strategic responsiveness, but not on market entry time.</w:t>
      </w:r>
    </w:p>
    <w:p w14:paraId="2F40F6FF" w14:textId="77777777" w:rsidR="008B73D9" w:rsidRDefault="008B73D9" w:rsidP="008B73D9">
      <w:pPr>
        <w:pStyle w:val="Heading1"/>
      </w:pPr>
      <w:bookmarkStart w:id="11" w:name="_Toc223038385"/>
      <w:r w:rsidRPr="00042D7C">
        <w:t>Conclusion</w:t>
      </w:r>
      <w:bookmarkEnd w:id="11"/>
    </w:p>
    <w:p w14:paraId="6A505AD8" w14:textId="77777777" w:rsidR="008B73D9" w:rsidRDefault="008B73D9" w:rsidP="008B73D9">
      <w:pPr>
        <w:spacing w:line="360" w:lineRule="auto"/>
        <w:jc w:val="both"/>
        <w:rPr>
          <w:rFonts w:ascii="Times New Roman" w:hAnsi="Times New Roman" w:cs="Times New Roman"/>
        </w:rPr>
      </w:pPr>
      <w:r w:rsidRPr="00042D7C">
        <w:rPr>
          <w:rFonts w:ascii="Times New Roman" w:hAnsi="Times New Roman" w:cs="Times New Roman"/>
        </w:rPr>
        <w:t>The discussion shows that the competitive positioning of the EV industry is essentially determined by the impacts of technological and regulatory forces at the macro-environmental level. The structural cost and differentiation advantages that BYD has built through its early vertical integration and battery innovation have ensured its success in entering the electrification strategy despite the complexity in its organisation, whereas GM is supported by its scale and brand credibility. Nevertheless, pioneer advantage is not an everlasting phenomenon, and follower strategy is not necessarily a worse one. Constant competitiveness relies on the development of dynamic capabilities, strategic responsiveness and constant adaptability to the changing technology and policy world. All in all, the success of EVs in the long term will depend on how individual firms manage to adapt, innovate, and integrate the resources in an ever-changing global market.</w:t>
      </w:r>
    </w:p>
    <w:p w14:paraId="27B9F1E1" w14:textId="77777777" w:rsidR="008B73D9" w:rsidRDefault="008B73D9" w:rsidP="008B73D9">
      <w:pPr>
        <w:rPr>
          <w:rFonts w:ascii="Times New Roman" w:hAnsi="Times New Roman" w:cs="Times New Roman"/>
        </w:rPr>
      </w:pPr>
      <w:r>
        <w:rPr>
          <w:rFonts w:ascii="Times New Roman" w:hAnsi="Times New Roman" w:cs="Times New Roman"/>
        </w:rPr>
        <w:br w:type="page"/>
      </w:r>
    </w:p>
    <w:p w14:paraId="2380FD50" w14:textId="77777777" w:rsidR="008B73D9" w:rsidRPr="00203D52" w:rsidRDefault="008B73D9" w:rsidP="008B73D9">
      <w:pPr>
        <w:pStyle w:val="Heading1"/>
      </w:pPr>
      <w:bookmarkStart w:id="12" w:name="_Toc223038386"/>
      <w:r w:rsidRPr="00203D52">
        <w:lastRenderedPageBreak/>
        <w:t>References</w:t>
      </w:r>
      <w:bookmarkEnd w:id="12"/>
    </w:p>
    <w:p w14:paraId="26829EDC" w14:textId="77777777" w:rsidR="008B73D9" w:rsidRPr="00D65718" w:rsidRDefault="008B73D9" w:rsidP="008B73D9">
      <w:pPr>
        <w:spacing w:line="360" w:lineRule="auto"/>
        <w:jc w:val="both"/>
        <w:rPr>
          <w:rFonts w:ascii="Times New Roman" w:hAnsi="Times New Roman" w:cs="Times New Roman"/>
        </w:rPr>
      </w:pPr>
      <w:proofErr w:type="spellStart"/>
      <w:r w:rsidRPr="007C19E9">
        <w:rPr>
          <w:rFonts w:ascii="Times New Roman" w:hAnsi="Times New Roman" w:cs="Times New Roman"/>
        </w:rPr>
        <w:t>Aeternus</w:t>
      </w:r>
      <w:proofErr w:type="spellEnd"/>
      <w:r w:rsidRPr="007C19E9">
        <w:rPr>
          <w:rFonts w:ascii="Times New Roman" w:hAnsi="Times New Roman" w:cs="Times New Roman"/>
        </w:rPr>
        <w:t xml:space="preserve"> (2024). </w:t>
      </w:r>
      <w:r w:rsidRPr="007C19E9">
        <w:rPr>
          <w:rFonts w:ascii="Times New Roman" w:hAnsi="Times New Roman" w:cs="Times New Roman"/>
          <w:i/>
          <w:iCs/>
        </w:rPr>
        <w:t xml:space="preserve">The Journey to the Top: BYD’s Marketing Strategy - </w:t>
      </w:r>
      <w:proofErr w:type="spellStart"/>
      <w:r w:rsidRPr="007C19E9">
        <w:rPr>
          <w:rFonts w:ascii="Times New Roman" w:hAnsi="Times New Roman" w:cs="Times New Roman"/>
          <w:i/>
          <w:iCs/>
        </w:rPr>
        <w:t>Aeternus</w:t>
      </w:r>
      <w:proofErr w:type="spellEnd"/>
      <w:r w:rsidRPr="007C19E9">
        <w:rPr>
          <w:rFonts w:ascii="Times New Roman" w:hAnsi="Times New Roman" w:cs="Times New Roman"/>
          <w:i/>
          <w:iCs/>
        </w:rPr>
        <w:t xml:space="preserve"> | Digital Marketing Agency</w:t>
      </w:r>
      <w:r w:rsidRPr="007C19E9">
        <w:rPr>
          <w:rFonts w:ascii="Times New Roman" w:hAnsi="Times New Roman" w:cs="Times New Roman"/>
        </w:rPr>
        <w:t xml:space="preserve">. [online] </w:t>
      </w:r>
      <w:proofErr w:type="spellStart"/>
      <w:r w:rsidRPr="007C19E9">
        <w:rPr>
          <w:rFonts w:ascii="Times New Roman" w:hAnsi="Times New Roman" w:cs="Times New Roman"/>
        </w:rPr>
        <w:t>Aeternus</w:t>
      </w:r>
      <w:proofErr w:type="spellEnd"/>
      <w:r w:rsidRPr="007C19E9">
        <w:rPr>
          <w:rFonts w:ascii="Times New Roman" w:hAnsi="Times New Roman" w:cs="Times New Roman"/>
        </w:rPr>
        <w:t xml:space="preserve"> | Digital Marketing Agency -. Available at: </w:t>
      </w:r>
      <w:hyperlink r:id="rId5" w:history="1">
        <w:r w:rsidRPr="006C4E52">
          <w:rPr>
            <w:rStyle w:val="Hyperlink"/>
            <w:rFonts w:ascii="Times New Roman" w:hAnsi="Times New Roman" w:cs="Times New Roman"/>
          </w:rPr>
          <w:t>https://www.aeternus.rs/the-journey-to-the-top-byds-marketing-strategy/</w:t>
        </w:r>
      </w:hyperlink>
      <w:r w:rsidRPr="007C19E9">
        <w:rPr>
          <w:rFonts w:ascii="Times New Roman" w:hAnsi="Times New Roman" w:cs="Times New Roman"/>
        </w:rPr>
        <w:t>.</w:t>
      </w:r>
      <w:r>
        <w:rPr>
          <w:rFonts w:ascii="Times New Roman" w:hAnsi="Times New Roman" w:cs="Times New Roman"/>
        </w:rPr>
        <w:t xml:space="preserve"> </w:t>
      </w:r>
    </w:p>
    <w:p w14:paraId="7C152B9F" w14:textId="77777777" w:rsidR="008B73D9" w:rsidRPr="00042D7C" w:rsidRDefault="008B73D9" w:rsidP="008B73D9">
      <w:pPr>
        <w:spacing w:line="360" w:lineRule="auto"/>
        <w:jc w:val="both"/>
        <w:rPr>
          <w:rFonts w:ascii="Times New Roman" w:hAnsi="Times New Roman" w:cs="Times New Roman"/>
        </w:rPr>
      </w:pPr>
      <w:r w:rsidRPr="007F5782">
        <w:rPr>
          <w:rFonts w:ascii="Times New Roman" w:hAnsi="Times New Roman" w:cs="Times New Roman"/>
        </w:rPr>
        <w:t xml:space="preserve">Alonso, T. (2022). Strategy Study: The Journey of General Motors. [online] www.cascade.app. Available at: </w:t>
      </w:r>
      <w:hyperlink r:id="rId6" w:history="1">
        <w:r w:rsidRPr="006C4E52">
          <w:rPr>
            <w:rStyle w:val="Hyperlink"/>
            <w:rFonts w:ascii="Times New Roman" w:hAnsi="Times New Roman" w:cs="Times New Roman"/>
          </w:rPr>
          <w:t>https://www.cascade.app/studies/general-motors-strategy-study</w:t>
        </w:r>
      </w:hyperlink>
      <w:r w:rsidRPr="007F5782">
        <w:rPr>
          <w:rFonts w:ascii="Times New Roman" w:hAnsi="Times New Roman" w:cs="Times New Roman"/>
        </w:rPr>
        <w:t>.</w:t>
      </w:r>
      <w:r>
        <w:rPr>
          <w:rFonts w:ascii="Times New Roman" w:hAnsi="Times New Roman" w:cs="Times New Roman"/>
        </w:rPr>
        <w:t xml:space="preserve"> </w:t>
      </w:r>
    </w:p>
    <w:p w14:paraId="53375A76" w14:textId="77777777" w:rsidR="008B73D9" w:rsidRDefault="008B73D9" w:rsidP="008B73D9">
      <w:pPr>
        <w:spacing w:line="360" w:lineRule="auto"/>
        <w:jc w:val="both"/>
        <w:rPr>
          <w:rFonts w:ascii="Times New Roman" w:hAnsi="Times New Roman" w:cs="Times New Roman"/>
        </w:rPr>
      </w:pPr>
      <w:r w:rsidRPr="00FB1081">
        <w:rPr>
          <w:rFonts w:ascii="Times New Roman" w:hAnsi="Times New Roman" w:cs="Times New Roman"/>
        </w:rPr>
        <w:t xml:space="preserve">An, T. (2021). The Strategic Group Analysis of BYD New Energy Vehicles </w:t>
      </w:r>
      <w:proofErr w:type="gramStart"/>
      <w:r w:rsidRPr="00FB1081">
        <w:rPr>
          <w:rFonts w:ascii="Times New Roman" w:hAnsi="Times New Roman" w:cs="Times New Roman"/>
        </w:rPr>
        <w:t>From</w:t>
      </w:r>
      <w:proofErr w:type="gramEnd"/>
      <w:r w:rsidRPr="00FB1081">
        <w:rPr>
          <w:rFonts w:ascii="Times New Roman" w:hAnsi="Times New Roman" w:cs="Times New Roman"/>
        </w:rPr>
        <w:t xml:space="preserve"> the Perspective of Value Chain. [online] Available at: </w:t>
      </w:r>
      <w:hyperlink r:id="rId7" w:history="1">
        <w:r w:rsidRPr="00255184">
          <w:rPr>
            <w:rStyle w:val="Hyperlink"/>
            <w:rFonts w:ascii="Times New Roman" w:hAnsi="Times New Roman" w:cs="Times New Roman"/>
          </w:rPr>
          <w:t>https://www.atlantis-press.com/article/125951619.pdf</w:t>
        </w:r>
      </w:hyperlink>
      <w:r w:rsidRPr="00FB1081">
        <w:rPr>
          <w:rFonts w:ascii="Times New Roman" w:hAnsi="Times New Roman" w:cs="Times New Roman"/>
        </w:rPr>
        <w:t>.</w:t>
      </w:r>
      <w:r>
        <w:rPr>
          <w:rFonts w:ascii="Times New Roman" w:hAnsi="Times New Roman" w:cs="Times New Roman"/>
        </w:rPr>
        <w:t xml:space="preserve">  </w:t>
      </w:r>
    </w:p>
    <w:p w14:paraId="0D9649B2" w14:textId="77777777" w:rsidR="008B73D9" w:rsidRDefault="008B73D9" w:rsidP="008B73D9">
      <w:pPr>
        <w:spacing w:line="360" w:lineRule="auto"/>
        <w:jc w:val="both"/>
        <w:rPr>
          <w:rFonts w:ascii="Times New Roman" w:hAnsi="Times New Roman" w:cs="Times New Roman"/>
        </w:rPr>
      </w:pPr>
      <w:proofErr w:type="spellStart"/>
      <w:r w:rsidRPr="00B109B4">
        <w:rPr>
          <w:rFonts w:ascii="Times New Roman" w:hAnsi="Times New Roman" w:cs="Times New Roman"/>
        </w:rPr>
        <w:t>Desklib</w:t>
      </w:r>
      <w:proofErr w:type="spellEnd"/>
      <w:r w:rsidRPr="00B109B4">
        <w:rPr>
          <w:rFonts w:ascii="Times New Roman" w:hAnsi="Times New Roman" w:cs="Times New Roman"/>
        </w:rPr>
        <w:t xml:space="preserve"> (2023). General Motors (GM) Business Environment Report Analysis. [online] Desklib.com. Available at: </w:t>
      </w:r>
      <w:hyperlink r:id="rId8" w:history="1">
        <w:r w:rsidRPr="006C4E52">
          <w:rPr>
            <w:rStyle w:val="Hyperlink"/>
            <w:rFonts w:ascii="Times New Roman" w:hAnsi="Times New Roman" w:cs="Times New Roman"/>
          </w:rPr>
          <w:t>https://desklib.com/study-documents/general-motors-business/</w:t>
        </w:r>
      </w:hyperlink>
      <w:r>
        <w:rPr>
          <w:rFonts w:ascii="Times New Roman" w:hAnsi="Times New Roman" w:cs="Times New Roman"/>
        </w:rPr>
        <w:t xml:space="preserve"> </w:t>
      </w:r>
      <w:r w:rsidRPr="00B109B4">
        <w:rPr>
          <w:rFonts w:ascii="Times New Roman" w:hAnsi="Times New Roman" w:cs="Times New Roman"/>
        </w:rPr>
        <w:t xml:space="preserve"> [Accessed 26 Feb. 2026].</w:t>
      </w:r>
    </w:p>
    <w:p w14:paraId="5995E98F" w14:textId="77777777" w:rsidR="008B73D9" w:rsidRPr="007F5782" w:rsidRDefault="008B73D9" w:rsidP="008B73D9">
      <w:pPr>
        <w:spacing w:line="360" w:lineRule="auto"/>
        <w:jc w:val="both"/>
        <w:rPr>
          <w:rFonts w:ascii="Times New Roman" w:hAnsi="Times New Roman" w:cs="Times New Roman"/>
        </w:rPr>
      </w:pPr>
      <w:r w:rsidRPr="00D753D5">
        <w:rPr>
          <w:rFonts w:ascii="Times New Roman" w:hAnsi="Times New Roman" w:cs="Times New Roman"/>
        </w:rPr>
        <w:t>Guo, Z., Sun, T. and Yang, D. (2023). An Overall Analysis of General Motors Company. BCP Business &amp; Management, 38, pp.1690</w:t>
      </w:r>
      <w:r w:rsidRPr="00D753D5">
        <w:rPr>
          <w:rFonts w:ascii="Times New Roman" w:hAnsi="Times New Roman" w:cs="Times New Roman" w:hint="cs"/>
        </w:rPr>
        <w:t>–</w:t>
      </w:r>
      <w:r w:rsidRPr="00D753D5">
        <w:rPr>
          <w:rFonts w:ascii="Times New Roman" w:hAnsi="Times New Roman" w:cs="Times New Roman"/>
        </w:rPr>
        <w:t xml:space="preserve">1698. </w:t>
      </w:r>
      <w:proofErr w:type="spellStart"/>
      <w:r w:rsidRPr="00D753D5">
        <w:rPr>
          <w:rFonts w:ascii="Times New Roman" w:hAnsi="Times New Roman" w:cs="Times New Roman"/>
        </w:rPr>
        <w:t>doi</w:t>
      </w:r>
      <w:proofErr w:type="spellEnd"/>
      <w:r w:rsidRPr="00D753D5">
        <w:rPr>
          <w:rFonts w:ascii="Times New Roman" w:hAnsi="Times New Roman" w:cs="Times New Roman"/>
        </w:rPr>
        <w:t>:</w:t>
      </w:r>
      <w:r>
        <w:rPr>
          <w:rFonts w:ascii="Times New Roman" w:hAnsi="Times New Roman" w:cs="Times New Roman"/>
        </w:rPr>
        <w:t xml:space="preserve"> </w:t>
      </w:r>
      <w:hyperlink r:id="rId9" w:history="1">
        <w:r w:rsidRPr="006C4E52">
          <w:rPr>
            <w:rStyle w:val="Hyperlink"/>
            <w:rFonts w:ascii="Times New Roman" w:hAnsi="Times New Roman" w:cs="Times New Roman"/>
          </w:rPr>
          <w:t>https://doi.org/10.54691/bcpbm.v38i.3953</w:t>
        </w:r>
      </w:hyperlink>
      <w:r w:rsidRPr="00D753D5">
        <w:rPr>
          <w:rFonts w:ascii="Times New Roman" w:hAnsi="Times New Roman" w:cs="Times New Roman"/>
        </w:rPr>
        <w:t>.</w:t>
      </w:r>
      <w:r>
        <w:rPr>
          <w:rFonts w:ascii="Times New Roman" w:hAnsi="Times New Roman" w:cs="Times New Roman"/>
        </w:rPr>
        <w:t xml:space="preserve">  </w:t>
      </w:r>
    </w:p>
    <w:p w14:paraId="672E001E" w14:textId="77777777" w:rsidR="008B73D9" w:rsidRPr="00B109B4" w:rsidRDefault="008B73D9" w:rsidP="008B73D9">
      <w:pPr>
        <w:spacing w:line="360" w:lineRule="auto"/>
        <w:jc w:val="both"/>
        <w:rPr>
          <w:rFonts w:ascii="Times New Roman" w:hAnsi="Times New Roman" w:cs="Times New Roman"/>
        </w:rPr>
      </w:pPr>
      <w:r>
        <w:rPr>
          <w:rFonts w:ascii="Times New Roman" w:hAnsi="Times New Roman" w:cs="Times New Roman"/>
        </w:rPr>
        <w:t xml:space="preserve"> </w:t>
      </w:r>
      <w:r w:rsidRPr="00B87E4E">
        <w:rPr>
          <w:rFonts w:ascii="Times New Roman" w:hAnsi="Times New Roman" w:cs="Times New Roman"/>
        </w:rPr>
        <w:t xml:space="preserve">Malte Karstan (2025). General Motors: From EV Pioneer to </w:t>
      </w:r>
      <w:r w:rsidRPr="00B87E4E">
        <w:rPr>
          <w:rFonts w:ascii="Times New Roman" w:hAnsi="Times New Roman" w:cs="Times New Roman" w:hint="cs"/>
        </w:rPr>
        <w:t>‘</w:t>
      </w:r>
      <w:r w:rsidRPr="00B87E4E">
        <w:rPr>
          <w:rFonts w:ascii="Times New Roman" w:hAnsi="Times New Roman" w:cs="Times New Roman"/>
        </w:rPr>
        <w:t>One of Many.</w:t>
      </w:r>
      <w:r w:rsidRPr="00B87E4E">
        <w:rPr>
          <w:rFonts w:ascii="Times New Roman" w:hAnsi="Times New Roman" w:cs="Times New Roman" w:hint="cs"/>
        </w:rPr>
        <w:t>’</w:t>
      </w:r>
      <w:r w:rsidRPr="00B87E4E">
        <w:rPr>
          <w:rFonts w:ascii="Times New Roman" w:hAnsi="Times New Roman" w:cs="Times New Roman"/>
        </w:rPr>
        <w:t xml:space="preserve"> What Happened? [online] Linkedin.com. Available at: </w:t>
      </w:r>
      <w:hyperlink r:id="rId10" w:history="1">
        <w:r w:rsidRPr="006C4E52">
          <w:rPr>
            <w:rStyle w:val="Hyperlink"/>
            <w:rFonts w:ascii="Times New Roman" w:hAnsi="Times New Roman" w:cs="Times New Roman"/>
          </w:rPr>
          <w:t>https://www.linkedin.com/posts/malte-karstan_automotive-ev-generalmotors-activity-7364359120201703424-dquO</w:t>
        </w:r>
      </w:hyperlink>
      <w:r>
        <w:rPr>
          <w:rFonts w:ascii="Times New Roman" w:hAnsi="Times New Roman" w:cs="Times New Roman"/>
        </w:rPr>
        <w:t xml:space="preserve"> </w:t>
      </w:r>
      <w:r w:rsidRPr="00B87E4E">
        <w:rPr>
          <w:rFonts w:ascii="Times New Roman" w:hAnsi="Times New Roman" w:cs="Times New Roman"/>
        </w:rPr>
        <w:t xml:space="preserve"> [Accessed 26 Feb. 2026].</w:t>
      </w:r>
    </w:p>
    <w:p w14:paraId="6AC771B0" w14:textId="77777777" w:rsidR="008B73D9" w:rsidRDefault="008B73D9" w:rsidP="008B73D9">
      <w:pPr>
        <w:spacing w:line="360" w:lineRule="auto"/>
        <w:jc w:val="both"/>
        <w:rPr>
          <w:rFonts w:ascii="Times New Roman" w:hAnsi="Times New Roman" w:cs="Times New Roman"/>
        </w:rPr>
      </w:pPr>
      <w:r w:rsidRPr="00D65718">
        <w:rPr>
          <w:rFonts w:ascii="Times New Roman" w:hAnsi="Times New Roman" w:cs="Times New Roman"/>
        </w:rPr>
        <w:t xml:space="preserve">Statista. (2025). Topic: BYD Auto. [online] Available at: </w:t>
      </w:r>
      <w:hyperlink r:id="rId11" w:history="1">
        <w:r w:rsidRPr="006C4E52">
          <w:rPr>
            <w:rStyle w:val="Hyperlink"/>
            <w:rFonts w:ascii="Times New Roman" w:hAnsi="Times New Roman" w:cs="Times New Roman"/>
          </w:rPr>
          <w:t>https://www.statista.com/topics/9590/byd-auto/?srsltid=AfmBOood1psodyqn0UBSIO8W_wWNh--GDdm5ApOY4JVKm-_5vbuvq3g-</w:t>
        </w:r>
      </w:hyperlink>
      <w:r>
        <w:rPr>
          <w:rFonts w:ascii="Times New Roman" w:hAnsi="Times New Roman" w:cs="Times New Roman"/>
        </w:rPr>
        <w:t xml:space="preserve"> </w:t>
      </w:r>
      <w:r w:rsidRPr="00D65718">
        <w:rPr>
          <w:rFonts w:ascii="Times New Roman" w:hAnsi="Times New Roman" w:cs="Times New Roman"/>
        </w:rPr>
        <w:t xml:space="preserve"> [Accessed 26 Feb. 2026].</w:t>
      </w:r>
      <w:r>
        <w:rPr>
          <w:rFonts w:ascii="Times New Roman" w:hAnsi="Times New Roman" w:cs="Times New Roman"/>
        </w:rPr>
        <w:t xml:space="preserve"> </w:t>
      </w:r>
    </w:p>
    <w:p w14:paraId="00615145" w14:textId="77777777" w:rsidR="008B73D9" w:rsidRDefault="008B73D9" w:rsidP="008B73D9">
      <w:pPr>
        <w:spacing w:line="360" w:lineRule="auto"/>
        <w:jc w:val="both"/>
        <w:rPr>
          <w:rFonts w:ascii="Times New Roman" w:hAnsi="Times New Roman" w:cs="Times New Roman"/>
        </w:rPr>
      </w:pPr>
      <w:r w:rsidRPr="002921F1">
        <w:rPr>
          <w:rFonts w:ascii="Times New Roman" w:hAnsi="Times New Roman" w:cs="Times New Roman"/>
        </w:rPr>
        <w:t xml:space="preserve">Team, P. (2025). What </w:t>
      </w:r>
      <w:proofErr w:type="gramStart"/>
      <w:r w:rsidRPr="002921F1">
        <w:rPr>
          <w:rFonts w:ascii="Times New Roman" w:hAnsi="Times New Roman" w:cs="Times New Roman"/>
        </w:rPr>
        <w:t>is</w:t>
      </w:r>
      <w:proofErr w:type="gramEnd"/>
      <w:r w:rsidRPr="002921F1">
        <w:rPr>
          <w:rFonts w:ascii="Times New Roman" w:hAnsi="Times New Roman" w:cs="Times New Roman"/>
        </w:rPr>
        <w:t xml:space="preserve"> Sales and Marketing Strategy of General Motors Company? [online] Porter</w:t>
      </w:r>
      <w:r w:rsidRPr="002921F1">
        <w:rPr>
          <w:rFonts w:ascii="Times New Roman" w:hAnsi="Times New Roman" w:cs="Times New Roman" w:hint="cs"/>
        </w:rPr>
        <w:t>’</w:t>
      </w:r>
      <w:r w:rsidRPr="002921F1">
        <w:rPr>
          <w:rFonts w:ascii="Times New Roman" w:hAnsi="Times New Roman" w:cs="Times New Roman"/>
        </w:rPr>
        <w:t xml:space="preserve">s Five Forces. Available at: </w:t>
      </w:r>
      <w:hyperlink r:id="rId12" w:history="1">
        <w:r w:rsidRPr="006C4E52">
          <w:rPr>
            <w:rStyle w:val="Hyperlink"/>
            <w:rFonts w:ascii="Times New Roman" w:hAnsi="Times New Roman" w:cs="Times New Roman"/>
          </w:rPr>
          <w:t>https://portersfiveforce.com/blogs/marketing-strategy/gm</w:t>
        </w:r>
      </w:hyperlink>
      <w:r w:rsidRPr="002921F1">
        <w:rPr>
          <w:rFonts w:ascii="Times New Roman" w:hAnsi="Times New Roman" w:cs="Times New Roman"/>
        </w:rPr>
        <w:t>.</w:t>
      </w:r>
      <w:r>
        <w:rPr>
          <w:rFonts w:ascii="Times New Roman" w:hAnsi="Times New Roman" w:cs="Times New Roman"/>
        </w:rPr>
        <w:t xml:space="preserve"> </w:t>
      </w:r>
    </w:p>
    <w:p w14:paraId="30777FEF" w14:textId="77777777" w:rsidR="008B73D9" w:rsidRDefault="008B73D9" w:rsidP="008B73D9">
      <w:pPr>
        <w:spacing w:line="360" w:lineRule="auto"/>
        <w:jc w:val="both"/>
        <w:rPr>
          <w:rFonts w:ascii="Times New Roman" w:hAnsi="Times New Roman" w:cs="Times New Roman"/>
        </w:rPr>
      </w:pPr>
      <w:r w:rsidRPr="00CC625B">
        <w:rPr>
          <w:rFonts w:ascii="Times New Roman" w:hAnsi="Times New Roman" w:cs="Times New Roman"/>
        </w:rPr>
        <w:t xml:space="preserve">Wang, Z. (2024). Analysis of SWOT Model Analysis BYD Automobile Marketing Strategy. Finance &amp; Economics, 1(9). </w:t>
      </w:r>
      <w:proofErr w:type="spellStart"/>
      <w:r w:rsidRPr="00CC625B">
        <w:rPr>
          <w:rFonts w:ascii="Times New Roman" w:hAnsi="Times New Roman" w:cs="Times New Roman"/>
        </w:rPr>
        <w:t>doi</w:t>
      </w:r>
      <w:proofErr w:type="spellEnd"/>
      <w:r w:rsidRPr="00CC625B">
        <w:rPr>
          <w:rFonts w:ascii="Times New Roman" w:hAnsi="Times New Roman" w:cs="Times New Roman"/>
        </w:rPr>
        <w:t>:</w:t>
      </w:r>
      <w:r>
        <w:rPr>
          <w:rFonts w:ascii="Times New Roman" w:hAnsi="Times New Roman" w:cs="Times New Roman"/>
        </w:rPr>
        <w:t xml:space="preserve"> </w:t>
      </w:r>
      <w:hyperlink r:id="rId13" w:history="1">
        <w:r w:rsidRPr="006C4E52">
          <w:rPr>
            <w:rStyle w:val="Hyperlink"/>
            <w:rFonts w:ascii="Times New Roman" w:hAnsi="Times New Roman" w:cs="Times New Roman"/>
          </w:rPr>
          <w:t>https://doi.org/10.61173/yg86a139</w:t>
        </w:r>
      </w:hyperlink>
      <w:r w:rsidRPr="00CC625B">
        <w:rPr>
          <w:rFonts w:ascii="Times New Roman" w:hAnsi="Times New Roman" w:cs="Times New Roman"/>
        </w:rPr>
        <w:t>.</w:t>
      </w:r>
      <w:r>
        <w:rPr>
          <w:rFonts w:ascii="Times New Roman" w:hAnsi="Times New Roman" w:cs="Times New Roman"/>
        </w:rPr>
        <w:t xml:space="preserve"> </w:t>
      </w:r>
    </w:p>
    <w:p w14:paraId="7373D2AF" w14:textId="77777777" w:rsidR="008B73D9" w:rsidRPr="00FB1081" w:rsidRDefault="008B73D9" w:rsidP="008B73D9">
      <w:pPr>
        <w:spacing w:line="360" w:lineRule="auto"/>
        <w:jc w:val="both"/>
        <w:rPr>
          <w:rFonts w:ascii="Times New Roman" w:hAnsi="Times New Roman" w:cs="Times New Roman"/>
        </w:rPr>
      </w:pPr>
      <w:r w:rsidRPr="00DB32D6">
        <w:rPr>
          <w:rFonts w:ascii="Times New Roman" w:hAnsi="Times New Roman" w:cs="Times New Roman"/>
        </w:rPr>
        <w:t>Xie, Y. (2024). Analysis of Marketing Strategies for New Energy Vehicles: A Case Study of BYD. Journal of Education Humanities and Social Sciences, [online] 42, pp.1091</w:t>
      </w:r>
      <w:r w:rsidRPr="00DB32D6">
        <w:rPr>
          <w:rFonts w:ascii="Times New Roman" w:hAnsi="Times New Roman" w:cs="Times New Roman" w:hint="cs"/>
        </w:rPr>
        <w:t>–</w:t>
      </w:r>
      <w:r w:rsidRPr="00DB32D6">
        <w:rPr>
          <w:rFonts w:ascii="Times New Roman" w:hAnsi="Times New Roman" w:cs="Times New Roman"/>
        </w:rPr>
        <w:t xml:space="preserve">1095. </w:t>
      </w:r>
      <w:proofErr w:type="spellStart"/>
      <w:r w:rsidRPr="00DB32D6">
        <w:rPr>
          <w:rFonts w:ascii="Times New Roman" w:hAnsi="Times New Roman" w:cs="Times New Roman"/>
        </w:rPr>
        <w:t>doi</w:t>
      </w:r>
      <w:proofErr w:type="spellEnd"/>
      <w:r w:rsidRPr="00DB32D6">
        <w:rPr>
          <w:rFonts w:ascii="Times New Roman" w:hAnsi="Times New Roman" w:cs="Times New Roman"/>
        </w:rPr>
        <w:t>:</w:t>
      </w:r>
      <w:r>
        <w:rPr>
          <w:rFonts w:ascii="Times New Roman" w:hAnsi="Times New Roman" w:cs="Times New Roman"/>
        </w:rPr>
        <w:t xml:space="preserve"> </w:t>
      </w:r>
      <w:hyperlink r:id="rId14" w:history="1">
        <w:r w:rsidRPr="00255184">
          <w:rPr>
            <w:rStyle w:val="Hyperlink"/>
            <w:rFonts w:ascii="Times New Roman" w:hAnsi="Times New Roman" w:cs="Times New Roman"/>
          </w:rPr>
          <w:t>https://doi.org/10.54097/fsa6ds20</w:t>
        </w:r>
      </w:hyperlink>
      <w:r w:rsidRPr="00DB32D6">
        <w:rPr>
          <w:rFonts w:ascii="Times New Roman" w:hAnsi="Times New Roman" w:cs="Times New Roman"/>
        </w:rPr>
        <w:t>.</w:t>
      </w:r>
      <w:r>
        <w:rPr>
          <w:rFonts w:ascii="Times New Roman" w:hAnsi="Times New Roman" w:cs="Times New Roman"/>
        </w:rPr>
        <w:t xml:space="preserve"> </w:t>
      </w:r>
    </w:p>
    <w:p w14:paraId="22A8185E" w14:textId="77777777" w:rsidR="00481991" w:rsidRDefault="00481991"/>
    <w:sectPr w:rsidR="00481991" w:rsidSect="008B73D9">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7491685"/>
      <w:docPartObj>
        <w:docPartGallery w:val="Page Numbers (Bottom of Page)"/>
        <w:docPartUnique/>
      </w:docPartObj>
    </w:sdtPr>
    <w:sdtEndPr>
      <w:rPr>
        <w:noProof/>
      </w:rPr>
    </w:sdtEndPr>
    <w:sdtContent>
      <w:p w14:paraId="1D065863" w14:textId="77777777" w:rsidR="008B73D9" w:rsidRDefault="008B73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798B09" w14:textId="77777777" w:rsidR="008B73D9" w:rsidRDefault="008B73D9">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3D9"/>
    <w:rsid w:val="00481991"/>
    <w:rsid w:val="00600525"/>
    <w:rsid w:val="006603A3"/>
    <w:rsid w:val="008B73D9"/>
    <w:rsid w:val="00B561C5"/>
    <w:rsid w:val="00DD66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E629E"/>
  <w15:chartTrackingRefBased/>
  <w15:docId w15:val="{CD6239B2-FA93-4222-9AD8-211A88517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3D9"/>
    <w:rPr>
      <w:lang w:val="en-IN"/>
    </w:rPr>
  </w:style>
  <w:style w:type="paragraph" w:styleId="Heading1">
    <w:name w:val="heading 1"/>
    <w:basedOn w:val="Normal"/>
    <w:next w:val="Normal"/>
    <w:link w:val="Heading1Char"/>
    <w:uiPriority w:val="9"/>
    <w:qFormat/>
    <w:rsid w:val="008B73D9"/>
    <w:pPr>
      <w:keepNext/>
      <w:keepLines/>
      <w:spacing w:before="360" w:after="80"/>
      <w:outlineLvl w:val="0"/>
    </w:pPr>
    <w:rPr>
      <w:rFonts w:asciiTheme="majorHAnsi" w:eastAsiaTheme="majorEastAsia" w:hAnsiTheme="majorHAnsi" w:cstheme="majorBidi"/>
      <w:color w:val="2F5496" w:themeColor="accent1" w:themeShade="BF"/>
      <w:sz w:val="40"/>
      <w:szCs w:val="40"/>
      <w:lang w:val="en-US"/>
    </w:rPr>
  </w:style>
  <w:style w:type="paragraph" w:styleId="Heading2">
    <w:name w:val="heading 2"/>
    <w:basedOn w:val="Normal"/>
    <w:next w:val="Normal"/>
    <w:link w:val="Heading2Char"/>
    <w:uiPriority w:val="9"/>
    <w:unhideWhenUsed/>
    <w:qFormat/>
    <w:rsid w:val="008B73D9"/>
    <w:pPr>
      <w:keepNext/>
      <w:keepLines/>
      <w:spacing w:before="160" w:after="80"/>
      <w:outlineLvl w:val="1"/>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8B73D9"/>
    <w:pPr>
      <w:keepNext/>
      <w:keepLines/>
      <w:spacing w:before="160" w:after="80"/>
      <w:outlineLvl w:val="2"/>
    </w:pPr>
    <w:rPr>
      <w:rFonts w:eastAsiaTheme="majorEastAsia" w:cstheme="majorBidi"/>
      <w:color w:val="2F5496" w:themeColor="accent1" w:themeShade="BF"/>
      <w:sz w:val="28"/>
      <w:szCs w:val="28"/>
      <w:lang w:val="en-US"/>
    </w:rPr>
  </w:style>
  <w:style w:type="paragraph" w:styleId="Heading4">
    <w:name w:val="heading 4"/>
    <w:basedOn w:val="Normal"/>
    <w:next w:val="Normal"/>
    <w:link w:val="Heading4Char"/>
    <w:uiPriority w:val="9"/>
    <w:semiHidden/>
    <w:unhideWhenUsed/>
    <w:qFormat/>
    <w:rsid w:val="008B73D9"/>
    <w:pPr>
      <w:keepNext/>
      <w:keepLines/>
      <w:spacing w:before="80" w:after="40"/>
      <w:outlineLvl w:val="3"/>
    </w:pPr>
    <w:rPr>
      <w:rFonts w:eastAsiaTheme="majorEastAsia" w:cstheme="majorBidi"/>
      <w:i/>
      <w:iCs/>
      <w:color w:val="2F5496" w:themeColor="accent1" w:themeShade="BF"/>
      <w:lang w:val="en-US"/>
    </w:rPr>
  </w:style>
  <w:style w:type="paragraph" w:styleId="Heading5">
    <w:name w:val="heading 5"/>
    <w:basedOn w:val="Normal"/>
    <w:next w:val="Normal"/>
    <w:link w:val="Heading5Char"/>
    <w:uiPriority w:val="9"/>
    <w:semiHidden/>
    <w:unhideWhenUsed/>
    <w:qFormat/>
    <w:rsid w:val="008B73D9"/>
    <w:pPr>
      <w:keepNext/>
      <w:keepLines/>
      <w:spacing w:before="80" w:after="40"/>
      <w:outlineLvl w:val="4"/>
    </w:pPr>
    <w:rPr>
      <w:rFonts w:eastAsiaTheme="majorEastAsia" w:cstheme="majorBidi"/>
      <w:color w:val="2F5496" w:themeColor="accent1" w:themeShade="BF"/>
      <w:lang w:val="en-US"/>
    </w:rPr>
  </w:style>
  <w:style w:type="paragraph" w:styleId="Heading6">
    <w:name w:val="heading 6"/>
    <w:basedOn w:val="Normal"/>
    <w:next w:val="Normal"/>
    <w:link w:val="Heading6Char"/>
    <w:uiPriority w:val="9"/>
    <w:semiHidden/>
    <w:unhideWhenUsed/>
    <w:qFormat/>
    <w:rsid w:val="008B73D9"/>
    <w:pPr>
      <w:keepNext/>
      <w:keepLines/>
      <w:spacing w:before="40" w:after="0"/>
      <w:outlineLvl w:val="5"/>
    </w:pPr>
    <w:rPr>
      <w:rFonts w:eastAsiaTheme="majorEastAsia" w:cstheme="majorBidi"/>
      <w:i/>
      <w:iCs/>
      <w:color w:val="595959" w:themeColor="text1" w:themeTint="A6"/>
      <w:lang w:val="en-US"/>
    </w:rPr>
  </w:style>
  <w:style w:type="paragraph" w:styleId="Heading7">
    <w:name w:val="heading 7"/>
    <w:basedOn w:val="Normal"/>
    <w:next w:val="Normal"/>
    <w:link w:val="Heading7Char"/>
    <w:uiPriority w:val="9"/>
    <w:semiHidden/>
    <w:unhideWhenUsed/>
    <w:qFormat/>
    <w:rsid w:val="008B73D9"/>
    <w:pPr>
      <w:keepNext/>
      <w:keepLines/>
      <w:spacing w:before="40" w:after="0"/>
      <w:outlineLvl w:val="6"/>
    </w:pPr>
    <w:rPr>
      <w:rFonts w:eastAsiaTheme="majorEastAsia" w:cstheme="majorBidi"/>
      <w:color w:val="595959" w:themeColor="text1" w:themeTint="A6"/>
      <w:lang w:val="en-US"/>
    </w:rPr>
  </w:style>
  <w:style w:type="paragraph" w:styleId="Heading8">
    <w:name w:val="heading 8"/>
    <w:basedOn w:val="Normal"/>
    <w:next w:val="Normal"/>
    <w:link w:val="Heading8Char"/>
    <w:uiPriority w:val="9"/>
    <w:semiHidden/>
    <w:unhideWhenUsed/>
    <w:qFormat/>
    <w:rsid w:val="008B73D9"/>
    <w:pPr>
      <w:keepNext/>
      <w:keepLines/>
      <w:spacing w:after="0"/>
      <w:outlineLvl w:val="7"/>
    </w:pPr>
    <w:rPr>
      <w:rFonts w:eastAsiaTheme="majorEastAsia" w:cstheme="majorBidi"/>
      <w:i/>
      <w:iCs/>
      <w:color w:val="272727" w:themeColor="text1" w:themeTint="D8"/>
      <w:lang w:val="en-US"/>
    </w:rPr>
  </w:style>
  <w:style w:type="paragraph" w:styleId="Heading9">
    <w:name w:val="heading 9"/>
    <w:basedOn w:val="Normal"/>
    <w:next w:val="Normal"/>
    <w:link w:val="Heading9Char"/>
    <w:uiPriority w:val="9"/>
    <w:semiHidden/>
    <w:unhideWhenUsed/>
    <w:qFormat/>
    <w:rsid w:val="008B73D9"/>
    <w:pPr>
      <w:keepNext/>
      <w:keepLines/>
      <w:spacing w:after="0"/>
      <w:outlineLvl w:val="8"/>
    </w:pPr>
    <w:rPr>
      <w:rFonts w:eastAsiaTheme="majorEastAsia" w:cstheme="majorBidi"/>
      <w:color w:val="272727" w:themeColor="text1" w:themeTint="D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3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B73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B73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73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73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73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3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3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3D9"/>
    <w:rPr>
      <w:rFonts w:eastAsiaTheme="majorEastAsia" w:cstheme="majorBidi"/>
      <w:color w:val="272727" w:themeColor="text1" w:themeTint="D8"/>
    </w:rPr>
  </w:style>
  <w:style w:type="paragraph" w:styleId="Title">
    <w:name w:val="Title"/>
    <w:basedOn w:val="Normal"/>
    <w:next w:val="Normal"/>
    <w:link w:val="TitleChar"/>
    <w:uiPriority w:val="10"/>
    <w:qFormat/>
    <w:rsid w:val="008B73D9"/>
    <w:pPr>
      <w:spacing w:after="8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8B73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3D9"/>
    <w:pPr>
      <w:numPr>
        <w:ilvl w:val="1"/>
      </w:numPr>
    </w:pPr>
    <w:rPr>
      <w:rFonts w:eastAsiaTheme="majorEastAsia" w:cstheme="majorBidi"/>
      <w:color w:val="595959" w:themeColor="text1" w:themeTint="A6"/>
      <w:spacing w:val="15"/>
      <w:sz w:val="28"/>
      <w:szCs w:val="28"/>
      <w:lang w:val="en-US"/>
    </w:rPr>
  </w:style>
  <w:style w:type="character" w:customStyle="1" w:styleId="SubtitleChar">
    <w:name w:val="Subtitle Char"/>
    <w:basedOn w:val="DefaultParagraphFont"/>
    <w:link w:val="Subtitle"/>
    <w:uiPriority w:val="11"/>
    <w:rsid w:val="008B73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3D9"/>
    <w:pPr>
      <w:spacing w:before="160"/>
      <w:jc w:val="center"/>
    </w:pPr>
    <w:rPr>
      <w:i/>
      <w:iCs/>
      <w:color w:val="404040" w:themeColor="text1" w:themeTint="BF"/>
      <w:lang w:val="en-US"/>
    </w:rPr>
  </w:style>
  <w:style w:type="character" w:customStyle="1" w:styleId="QuoteChar">
    <w:name w:val="Quote Char"/>
    <w:basedOn w:val="DefaultParagraphFont"/>
    <w:link w:val="Quote"/>
    <w:uiPriority w:val="29"/>
    <w:rsid w:val="008B73D9"/>
    <w:rPr>
      <w:i/>
      <w:iCs/>
      <w:color w:val="404040" w:themeColor="text1" w:themeTint="BF"/>
    </w:rPr>
  </w:style>
  <w:style w:type="paragraph" w:styleId="ListParagraph">
    <w:name w:val="List Paragraph"/>
    <w:basedOn w:val="Normal"/>
    <w:uiPriority w:val="34"/>
    <w:qFormat/>
    <w:rsid w:val="008B73D9"/>
    <w:pPr>
      <w:ind w:left="720"/>
      <w:contextualSpacing/>
    </w:pPr>
    <w:rPr>
      <w:lang w:val="en-US"/>
    </w:rPr>
  </w:style>
  <w:style w:type="character" w:styleId="IntenseEmphasis">
    <w:name w:val="Intense Emphasis"/>
    <w:basedOn w:val="DefaultParagraphFont"/>
    <w:uiPriority w:val="21"/>
    <w:qFormat/>
    <w:rsid w:val="008B73D9"/>
    <w:rPr>
      <w:i/>
      <w:iCs/>
      <w:color w:val="2F5496" w:themeColor="accent1" w:themeShade="BF"/>
    </w:rPr>
  </w:style>
  <w:style w:type="paragraph" w:styleId="IntenseQuote">
    <w:name w:val="Intense Quote"/>
    <w:basedOn w:val="Normal"/>
    <w:next w:val="Normal"/>
    <w:link w:val="IntenseQuoteChar"/>
    <w:uiPriority w:val="30"/>
    <w:qFormat/>
    <w:rsid w:val="008B73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lang w:val="en-US"/>
    </w:rPr>
  </w:style>
  <w:style w:type="character" w:customStyle="1" w:styleId="IntenseQuoteChar">
    <w:name w:val="Intense Quote Char"/>
    <w:basedOn w:val="DefaultParagraphFont"/>
    <w:link w:val="IntenseQuote"/>
    <w:uiPriority w:val="30"/>
    <w:rsid w:val="008B73D9"/>
    <w:rPr>
      <w:i/>
      <w:iCs/>
      <w:color w:val="2F5496" w:themeColor="accent1" w:themeShade="BF"/>
    </w:rPr>
  </w:style>
  <w:style w:type="character" w:styleId="IntenseReference">
    <w:name w:val="Intense Reference"/>
    <w:basedOn w:val="DefaultParagraphFont"/>
    <w:uiPriority w:val="32"/>
    <w:qFormat/>
    <w:rsid w:val="008B73D9"/>
    <w:rPr>
      <w:b/>
      <w:bCs/>
      <w:smallCaps/>
      <w:color w:val="2F5496" w:themeColor="accent1" w:themeShade="BF"/>
      <w:spacing w:val="5"/>
    </w:rPr>
  </w:style>
  <w:style w:type="paragraph" w:styleId="Footer">
    <w:name w:val="footer"/>
    <w:basedOn w:val="Normal"/>
    <w:link w:val="FooterChar"/>
    <w:uiPriority w:val="99"/>
    <w:unhideWhenUsed/>
    <w:rsid w:val="008B7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3D9"/>
    <w:rPr>
      <w:lang w:val="en-IN"/>
    </w:rPr>
  </w:style>
  <w:style w:type="character" w:styleId="Hyperlink">
    <w:name w:val="Hyperlink"/>
    <w:basedOn w:val="DefaultParagraphFont"/>
    <w:uiPriority w:val="99"/>
    <w:unhideWhenUsed/>
    <w:rsid w:val="008B73D9"/>
    <w:rPr>
      <w:color w:val="0563C1" w:themeColor="hyperlink"/>
      <w:u w:val="single"/>
    </w:rPr>
  </w:style>
  <w:style w:type="paragraph" w:styleId="TOCHeading">
    <w:name w:val="TOC Heading"/>
    <w:basedOn w:val="Heading1"/>
    <w:next w:val="Normal"/>
    <w:uiPriority w:val="39"/>
    <w:unhideWhenUsed/>
    <w:qFormat/>
    <w:rsid w:val="008B73D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B73D9"/>
    <w:pPr>
      <w:spacing w:after="100"/>
    </w:pPr>
  </w:style>
  <w:style w:type="paragraph" w:styleId="TOC2">
    <w:name w:val="toc 2"/>
    <w:basedOn w:val="Normal"/>
    <w:next w:val="Normal"/>
    <w:autoRedefine/>
    <w:uiPriority w:val="39"/>
    <w:unhideWhenUsed/>
    <w:rsid w:val="008B73D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sklib.com/study-documents/general-motors-business/" TargetMode="External"/><Relationship Id="rId13" Type="http://schemas.openxmlformats.org/officeDocument/2006/relationships/hyperlink" Target="https://doi.org/10.61173/yg86a139" TargetMode="External"/><Relationship Id="rId3" Type="http://schemas.openxmlformats.org/officeDocument/2006/relationships/webSettings" Target="webSettings.xml"/><Relationship Id="rId7" Type="http://schemas.openxmlformats.org/officeDocument/2006/relationships/hyperlink" Target="https://www.atlantis-press.com/article/125951619.pdf" TargetMode="External"/><Relationship Id="rId12" Type="http://schemas.openxmlformats.org/officeDocument/2006/relationships/hyperlink" Target="https://portersfiveforce.com/blogs/marketing-strategy/g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ascade.app/studies/general-motors-strategy-study" TargetMode="External"/><Relationship Id="rId11" Type="http://schemas.openxmlformats.org/officeDocument/2006/relationships/hyperlink" Target="https://www.statista.com/topics/9590/byd-auto/?srsltid=AfmBOood1psodyqn0UBSIO8W_wWNh--GDdm5ApOY4JVKm-_5vbuvq3g-" TargetMode="External"/><Relationship Id="rId5" Type="http://schemas.openxmlformats.org/officeDocument/2006/relationships/hyperlink" Target="https://www.aeternus.rs/the-journey-to-the-top-byds-marketing-strategy/" TargetMode="External"/><Relationship Id="rId15" Type="http://schemas.openxmlformats.org/officeDocument/2006/relationships/footer" Target="footer1.xml"/><Relationship Id="rId10" Type="http://schemas.openxmlformats.org/officeDocument/2006/relationships/hyperlink" Target="https://www.linkedin.com/posts/malte-karstan_automotive-ev-generalmotors-activity-7364359120201703424-dquO" TargetMode="External"/><Relationship Id="rId4" Type="http://schemas.openxmlformats.org/officeDocument/2006/relationships/image" Target="media/image1.png"/><Relationship Id="rId9" Type="http://schemas.openxmlformats.org/officeDocument/2006/relationships/hyperlink" Target="https://doi.org/10.54691/bcpbm.v38i.3953" TargetMode="External"/><Relationship Id="rId14" Type="http://schemas.openxmlformats.org/officeDocument/2006/relationships/hyperlink" Target="https://doi.org/10.54097/fsa6d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3391</Words>
  <Characters>19331</Characters>
  <Application>Microsoft Office Word</Application>
  <DocSecurity>0</DocSecurity>
  <Lines>161</Lines>
  <Paragraphs>45</Paragraphs>
  <ScaleCrop>false</ScaleCrop>
  <Company/>
  <LinksUpToDate>false</LinksUpToDate>
  <CharactersWithSpaces>22677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Jeel anghan</dc:creator>
  <cp:keywords/>
  <dc:description/>
  <cp:lastModifiedBy>Jeel anghan</cp:lastModifiedBy>
  <cp:revision>1</cp:revision>
  <dcterms:created xsi:type="dcterms:W3CDTF">2026-02-26T19:18:00Z</dcterms:created>
  <dcterms:modified xsi:type="dcterms:W3CDTF">2026-02-26T19:19:00Z</dcterms:modified>
</cp:coreProperties>
</file>