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4B9" w:rsidRDefault="009104B9" w:rsidP="00C86FD5">
      <w:pPr>
        <w:pStyle w:val="Title"/>
      </w:pPr>
      <w:r>
        <w:t xml:space="preserve">Character Dossier </w:t>
      </w:r>
    </w:p>
    <w:p w:rsidR="00C86FD5" w:rsidRDefault="00C86FD5" w:rsidP="00583D73">
      <w:pPr>
        <w:spacing w:after="0" w:line="480" w:lineRule="auto"/>
        <w:jc w:val="both"/>
        <w:rPr>
          <w:rFonts w:ascii="Arial" w:hAnsi="Arial" w:cs="Arial"/>
          <w:sz w:val="24"/>
        </w:rPr>
      </w:pPr>
    </w:p>
    <w:p w:rsidR="00932267" w:rsidRDefault="00994E0F" w:rsidP="00C86FD5">
      <w:pPr>
        <w:spacing w:after="0" w:line="480" w:lineRule="auto"/>
        <w:ind w:firstLine="720"/>
        <w:jc w:val="both"/>
        <w:rPr>
          <w:rFonts w:ascii="Arial" w:hAnsi="Arial" w:cs="Arial"/>
          <w:sz w:val="24"/>
        </w:rPr>
      </w:pPr>
      <w:r w:rsidRPr="00D9404A">
        <w:rPr>
          <w:rFonts w:ascii="Arial" w:hAnsi="Arial" w:cs="Arial"/>
          <w:sz w:val="24"/>
        </w:rPr>
        <w:t>I will be playing the part of the head of the merchants of</w:t>
      </w:r>
      <w:r w:rsidR="00050EAB" w:rsidRPr="00D9404A">
        <w:rPr>
          <w:rFonts w:ascii="Arial" w:hAnsi="Arial" w:cs="Arial"/>
          <w:sz w:val="24"/>
        </w:rPr>
        <w:t xml:space="preserve"> </w:t>
      </w:r>
      <w:r w:rsidRPr="00D9404A">
        <w:rPr>
          <w:rFonts w:ascii="Arial" w:hAnsi="Arial" w:cs="Arial"/>
          <w:sz w:val="24"/>
        </w:rPr>
        <w:t xml:space="preserve">Alexandria, who is also </w:t>
      </w:r>
      <w:r w:rsidR="00050EAB" w:rsidRPr="00D9404A">
        <w:rPr>
          <w:rFonts w:ascii="Arial" w:hAnsi="Arial" w:cs="Arial"/>
          <w:sz w:val="24"/>
        </w:rPr>
        <w:t>part of the chiefs of the union of Alexandrian merchants</w:t>
      </w:r>
      <w:r w:rsidRPr="00D9404A">
        <w:rPr>
          <w:rFonts w:ascii="Arial" w:hAnsi="Arial" w:cs="Arial"/>
          <w:sz w:val="24"/>
        </w:rPr>
        <w:t>.</w:t>
      </w:r>
      <w:r w:rsidR="00EC14ED">
        <w:rPr>
          <w:rFonts w:ascii="Arial" w:hAnsi="Arial" w:cs="Arial"/>
          <w:sz w:val="24"/>
        </w:rPr>
        <w:t xml:space="preserve"> My character is Greek due to the cultural problems prevalent in Alexandria at the time, Alexandria was considered Greek / Macedonian by the greater part of the population, due to being founded by Alexander the Great, therefore it is necessary and relevant for my character to be Greek so that he is historically accurate with being allowed into the court and to act as a city official.</w:t>
      </w:r>
      <w:r w:rsidR="005D4797">
        <w:rPr>
          <w:rStyle w:val="FootnoteReference"/>
          <w:rFonts w:ascii="Arial" w:hAnsi="Arial" w:cs="Arial"/>
          <w:sz w:val="24"/>
        </w:rPr>
        <w:footnoteReference w:id="1"/>
      </w:r>
      <w:r w:rsidRPr="00D9404A">
        <w:rPr>
          <w:rFonts w:ascii="Arial" w:hAnsi="Arial" w:cs="Arial"/>
          <w:sz w:val="24"/>
        </w:rPr>
        <w:t xml:space="preserve"> </w:t>
      </w:r>
    </w:p>
    <w:p w:rsidR="00932267" w:rsidRDefault="00932267" w:rsidP="00583D73">
      <w:pPr>
        <w:spacing w:after="0" w:line="480" w:lineRule="auto"/>
        <w:jc w:val="both"/>
        <w:rPr>
          <w:rFonts w:ascii="Arial" w:hAnsi="Arial" w:cs="Arial"/>
          <w:sz w:val="24"/>
        </w:rPr>
      </w:pPr>
    </w:p>
    <w:p w:rsidR="00EC14ED" w:rsidRPr="00C86FD5" w:rsidRDefault="00932267" w:rsidP="00583D73">
      <w:pPr>
        <w:spacing w:after="0" w:line="480" w:lineRule="auto"/>
        <w:jc w:val="both"/>
        <w:rPr>
          <w:rFonts w:ascii="Arial" w:hAnsi="Arial" w:cs="Arial"/>
          <w:sz w:val="24"/>
        </w:rPr>
      </w:pPr>
      <w:r w:rsidRPr="00C86FD5">
        <w:rPr>
          <w:rFonts w:ascii="Arial" w:hAnsi="Arial" w:cs="Arial"/>
          <w:sz w:val="24"/>
        </w:rPr>
        <w:t>This is how I imagine my</w:t>
      </w:r>
      <w:r w:rsidR="00E209A5" w:rsidRPr="00C86FD5">
        <w:rPr>
          <w:rFonts w:ascii="Arial" w:hAnsi="Arial" w:cs="Arial"/>
          <w:sz w:val="24"/>
        </w:rPr>
        <w:t xml:space="preserve"> character</w:t>
      </w:r>
      <w:r w:rsidRPr="00C86FD5">
        <w:rPr>
          <w:rFonts w:ascii="Arial" w:hAnsi="Arial" w:cs="Arial"/>
          <w:sz w:val="24"/>
        </w:rPr>
        <w:t>: he</w:t>
      </w:r>
      <w:r w:rsidR="00E209A5" w:rsidRPr="00C86FD5">
        <w:rPr>
          <w:rFonts w:ascii="Arial" w:hAnsi="Arial" w:cs="Arial"/>
          <w:sz w:val="24"/>
        </w:rPr>
        <w:t xml:space="preserve"> has brown hair and brown eyes with a slightly tanned complexion, which is exaggerated by further prolonged exposure to the sun, which he is not that happy about as the imminent danger of skin cancer weighs hea</w:t>
      </w:r>
      <w:r w:rsidR="00D53AA1">
        <w:rPr>
          <w:rFonts w:ascii="Arial" w:hAnsi="Arial" w:cs="Arial"/>
          <w:sz w:val="24"/>
        </w:rPr>
        <w:t xml:space="preserve">vily on his mind, he prays to </w:t>
      </w:r>
      <w:proofErr w:type="spellStart"/>
      <w:r w:rsidR="00D53AA1">
        <w:rPr>
          <w:rFonts w:ascii="Arial" w:hAnsi="Arial" w:cs="Arial"/>
          <w:sz w:val="24"/>
        </w:rPr>
        <w:t>Se</w:t>
      </w:r>
      <w:r w:rsidR="00E209A5" w:rsidRPr="00C86FD5">
        <w:rPr>
          <w:rFonts w:ascii="Arial" w:hAnsi="Arial" w:cs="Arial"/>
          <w:sz w:val="24"/>
        </w:rPr>
        <w:t>rapis</w:t>
      </w:r>
      <w:proofErr w:type="spellEnd"/>
      <w:r w:rsidR="00EC76FF">
        <w:rPr>
          <w:rStyle w:val="FootnoteReference"/>
          <w:rFonts w:ascii="Arial" w:hAnsi="Arial" w:cs="Arial"/>
          <w:sz w:val="24"/>
        </w:rPr>
        <w:footnoteReference w:id="2"/>
      </w:r>
      <w:r w:rsidR="00E209A5" w:rsidRPr="00C86FD5">
        <w:rPr>
          <w:rFonts w:ascii="Arial" w:hAnsi="Arial" w:cs="Arial"/>
          <w:sz w:val="24"/>
        </w:rPr>
        <w:t xml:space="preserve"> daily for help in preventing such terrible skin diseases.</w:t>
      </w:r>
      <w:r w:rsidRPr="00C86FD5">
        <w:rPr>
          <w:rFonts w:ascii="Arial" w:hAnsi="Arial" w:cs="Arial"/>
          <w:sz w:val="24"/>
        </w:rPr>
        <w:t xml:space="preserve"> H</w:t>
      </w:r>
      <w:r w:rsidR="003550F1">
        <w:rPr>
          <w:rFonts w:ascii="Arial" w:hAnsi="Arial" w:cs="Arial"/>
          <w:sz w:val="24"/>
        </w:rPr>
        <w:t xml:space="preserve">is name is </w:t>
      </w:r>
      <w:proofErr w:type="spellStart"/>
      <w:r w:rsidR="003550F1">
        <w:rPr>
          <w:rFonts w:ascii="Arial" w:hAnsi="Arial" w:cs="Arial"/>
          <w:sz w:val="24"/>
        </w:rPr>
        <w:t>Stephanos</w:t>
      </w:r>
      <w:proofErr w:type="spellEnd"/>
      <w:r w:rsidR="003550F1">
        <w:rPr>
          <w:rFonts w:ascii="Arial" w:hAnsi="Arial" w:cs="Arial"/>
          <w:sz w:val="24"/>
        </w:rPr>
        <w:t xml:space="preserve"> </w:t>
      </w:r>
      <w:proofErr w:type="spellStart"/>
      <w:r w:rsidR="003550F1">
        <w:rPr>
          <w:rFonts w:ascii="Arial" w:hAnsi="Arial" w:cs="Arial"/>
          <w:sz w:val="24"/>
        </w:rPr>
        <w:t>Polikakas</w:t>
      </w:r>
      <w:proofErr w:type="spellEnd"/>
      <w:r w:rsidRPr="00C86FD5">
        <w:rPr>
          <w:rFonts w:ascii="Arial" w:hAnsi="Arial" w:cs="Arial"/>
          <w:sz w:val="24"/>
        </w:rPr>
        <w:t xml:space="preserve">. </w:t>
      </w:r>
    </w:p>
    <w:p w:rsidR="00EC14ED" w:rsidRDefault="00EC14ED" w:rsidP="00583D73">
      <w:pPr>
        <w:spacing w:after="0" w:line="480" w:lineRule="auto"/>
        <w:jc w:val="both"/>
        <w:rPr>
          <w:rFonts w:ascii="Arial" w:hAnsi="Arial" w:cs="Arial"/>
          <w:sz w:val="24"/>
        </w:rPr>
      </w:pPr>
    </w:p>
    <w:p w:rsidR="00583D73" w:rsidRDefault="00C6197C" w:rsidP="00C86FD5">
      <w:pPr>
        <w:spacing w:after="0" w:line="480" w:lineRule="auto"/>
        <w:ind w:firstLine="720"/>
        <w:jc w:val="both"/>
        <w:rPr>
          <w:rFonts w:ascii="Arial" w:hAnsi="Arial" w:cs="Arial"/>
          <w:sz w:val="24"/>
        </w:rPr>
      </w:pPr>
      <w:r w:rsidRPr="00D9404A">
        <w:rPr>
          <w:rFonts w:ascii="Arial" w:hAnsi="Arial" w:cs="Arial"/>
          <w:sz w:val="24"/>
        </w:rPr>
        <w:t xml:space="preserve">There are </w:t>
      </w:r>
      <w:r w:rsidR="00DD7B2C" w:rsidRPr="00D9404A">
        <w:rPr>
          <w:rFonts w:ascii="Arial" w:hAnsi="Arial" w:cs="Arial"/>
          <w:sz w:val="24"/>
        </w:rPr>
        <w:t>inscriptions</w:t>
      </w:r>
      <w:r w:rsidRPr="00D9404A">
        <w:rPr>
          <w:rFonts w:ascii="Arial" w:hAnsi="Arial" w:cs="Arial"/>
          <w:sz w:val="24"/>
        </w:rPr>
        <w:t xml:space="preserve"> that serve as evidence of a wide range of trade during the second century B.C.</w:t>
      </w:r>
      <w:r w:rsidR="00DD7B2C" w:rsidRPr="00D9404A">
        <w:rPr>
          <w:rStyle w:val="FootnoteReference"/>
          <w:rFonts w:ascii="Arial" w:hAnsi="Arial" w:cs="Arial"/>
          <w:sz w:val="24"/>
        </w:rPr>
        <w:footnoteReference w:id="3"/>
      </w:r>
      <w:r w:rsidR="00DD7B2C" w:rsidRPr="00D9404A">
        <w:rPr>
          <w:rFonts w:ascii="Arial" w:hAnsi="Arial" w:cs="Arial"/>
          <w:sz w:val="24"/>
        </w:rPr>
        <w:t xml:space="preserve"> While Rome was becoming a bigger power in Egypt during this time, trade did not seem affected for the worst in Alexandria even though the merchants had to follow the trade routes favoured by the Romans, meaning th</w:t>
      </w:r>
      <w:r w:rsidR="00FC3F93" w:rsidRPr="00D9404A">
        <w:rPr>
          <w:rFonts w:ascii="Arial" w:hAnsi="Arial" w:cs="Arial"/>
          <w:sz w:val="24"/>
        </w:rPr>
        <w:t>e Red Sea and the Eastern Mediterranean.</w:t>
      </w:r>
      <w:r w:rsidR="00FC3F93" w:rsidRPr="00D9404A">
        <w:rPr>
          <w:rStyle w:val="FootnoteReference"/>
          <w:rFonts w:ascii="Arial" w:hAnsi="Arial" w:cs="Arial"/>
          <w:sz w:val="24"/>
        </w:rPr>
        <w:footnoteReference w:id="4"/>
      </w:r>
      <w:r w:rsidR="00FC3F93" w:rsidRPr="00D9404A">
        <w:rPr>
          <w:rFonts w:ascii="Arial" w:hAnsi="Arial" w:cs="Arial"/>
          <w:sz w:val="24"/>
        </w:rPr>
        <w:t xml:space="preserve"> </w:t>
      </w:r>
      <w:r w:rsidR="00583D73">
        <w:rPr>
          <w:rFonts w:ascii="Arial" w:hAnsi="Arial" w:cs="Arial"/>
          <w:sz w:val="24"/>
        </w:rPr>
        <w:t>Alexandria possessed an international company of sorts charged with the importation of aromata from Punt</w:t>
      </w:r>
      <w:r w:rsidR="00B233CC">
        <w:rPr>
          <w:rFonts w:ascii="Arial" w:hAnsi="Arial" w:cs="Arial"/>
          <w:sz w:val="24"/>
        </w:rPr>
        <w:t>,</w:t>
      </w:r>
      <w:r w:rsidR="00771073">
        <w:rPr>
          <w:rFonts w:ascii="Arial" w:hAnsi="Arial" w:cs="Arial"/>
          <w:sz w:val="24"/>
        </w:rPr>
        <w:t xml:space="preserve"> a papyrus informs us of a </w:t>
      </w:r>
      <w:r w:rsidR="00771073">
        <w:rPr>
          <w:rFonts w:ascii="Arial" w:hAnsi="Arial" w:cs="Arial"/>
          <w:sz w:val="24"/>
        </w:rPr>
        <w:lastRenderedPageBreak/>
        <w:t>maritime loan contract with twelve different names representing a creditor, debtors, guarantors and a banker.</w:t>
      </w:r>
      <w:r w:rsidR="00583D73">
        <w:rPr>
          <w:rStyle w:val="FootnoteReference"/>
          <w:rFonts w:ascii="Arial" w:hAnsi="Arial" w:cs="Arial"/>
          <w:sz w:val="24"/>
        </w:rPr>
        <w:footnoteReference w:id="5"/>
      </w:r>
      <w:r w:rsidR="00771073">
        <w:rPr>
          <w:rFonts w:ascii="Arial" w:hAnsi="Arial" w:cs="Arial"/>
          <w:sz w:val="24"/>
        </w:rPr>
        <w:t xml:space="preserve"> There was an interest on the importation of precious stones as well as frankincense</w:t>
      </w:r>
      <w:r w:rsidR="00F955DF">
        <w:rPr>
          <w:rFonts w:ascii="Arial" w:hAnsi="Arial" w:cs="Arial"/>
          <w:sz w:val="24"/>
        </w:rPr>
        <w:t>.</w:t>
      </w:r>
      <w:r w:rsidR="00F955DF">
        <w:rPr>
          <w:rStyle w:val="FootnoteReference"/>
          <w:rFonts w:ascii="Arial" w:hAnsi="Arial" w:cs="Arial"/>
          <w:sz w:val="24"/>
        </w:rPr>
        <w:footnoteReference w:id="6"/>
      </w:r>
    </w:p>
    <w:p w:rsidR="00050EAB" w:rsidRPr="00D9404A" w:rsidRDefault="00F955DF" w:rsidP="00F955DF">
      <w:pPr>
        <w:spacing w:after="0" w:line="480" w:lineRule="auto"/>
        <w:jc w:val="both"/>
        <w:rPr>
          <w:rFonts w:ascii="Arial" w:hAnsi="Arial" w:cs="Arial"/>
          <w:sz w:val="24"/>
        </w:rPr>
      </w:pPr>
      <w:r>
        <w:rPr>
          <w:rFonts w:ascii="Arial" w:hAnsi="Arial" w:cs="Arial"/>
          <w:sz w:val="24"/>
        </w:rPr>
        <w:t xml:space="preserve"> </w:t>
      </w:r>
    </w:p>
    <w:p w:rsidR="00050EAB" w:rsidRDefault="005345C8" w:rsidP="00A948A8">
      <w:pPr>
        <w:spacing w:after="0" w:line="480" w:lineRule="auto"/>
        <w:ind w:firstLine="720"/>
        <w:jc w:val="both"/>
        <w:rPr>
          <w:rFonts w:ascii="Arial" w:hAnsi="Arial" w:cs="Arial"/>
          <w:sz w:val="24"/>
        </w:rPr>
      </w:pPr>
      <w:r>
        <w:rPr>
          <w:rFonts w:ascii="Arial" w:hAnsi="Arial" w:cs="Arial"/>
          <w:sz w:val="24"/>
        </w:rPr>
        <w:t xml:space="preserve">My character is responsible </w:t>
      </w:r>
      <w:r w:rsidR="00BB0D51">
        <w:rPr>
          <w:rFonts w:ascii="Arial" w:hAnsi="Arial" w:cs="Arial"/>
          <w:sz w:val="24"/>
        </w:rPr>
        <w:t>for</w:t>
      </w:r>
      <w:r>
        <w:rPr>
          <w:rFonts w:ascii="Arial" w:hAnsi="Arial" w:cs="Arial"/>
          <w:sz w:val="24"/>
        </w:rPr>
        <w:t xml:space="preserve"> the trade in Alexandria, including that which occurs due to the merchants base</w:t>
      </w:r>
      <w:r w:rsidR="00DD1678">
        <w:rPr>
          <w:rFonts w:ascii="Arial" w:hAnsi="Arial" w:cs="Arial"/>
          <w:sz w:val="24"/>
        </w:rPr>
        <w:t>d</w:t>
      </w:r>
      <w:r>
        <w:rPr>
          <w:rFonts w:ascii="Arial" w:hAnsi="Arial" w:cs="Arial"/>
          <w:sz w:val="24"/>
        </w:rPr>
        <w:t xml:space="preserve"> out of the city; given that trade on the Red Sea would have happened </w:t>
      </w:r>
      <w:r w:rsidR="00C40CAE">
        <w:rPr>
          <w:rFonts w:ascii="Arial" w:hAnsi="Arial" w:cs="Arial"/>
          <w:sz w:val="24"/>
        </w:rPr>
        <w:t xml:space="preserve">for the most part </w:t>
      </w:r>
      <w:r>
        <w:rPr>
          <w:rFonts w:ascii="Arial" w:hAnsi="Arial" w:cs="Arial"/>
          <w:sz w:val="24"/>
        </w:rPr>
        <w:t>outside of Alexandria.</w:t>
      </w:r>
      <w:r>
        <w:rPr>
          <w:rStyle w:val="FootnoteReference"/>
          <w:rFonts w:ascii="Arial" w:hAnsi="Arial" w:cs="Arial"/>
          <w:sz w:val="24"/>
        </w:rPr>
        <w:footnoteReference w:id="7"/>
      </w:r>
      <w:r w:rsidR="00BB0D51">
        <w:rPr>
          <w:rFonts w:ascii="Arial" w:hAnsi="Arial" w:cs="Arial"/>
          <w:sz w:val="24"/>
        </w:rPr>
        <w:t xml:space="preserve"> Additionally, </w:t>
      </w:r>
      <w:r w:rsidR="00DD1678">
        <w:rPr>
          <w:rFonts w:ascii="Arial" w:hAnsi="Arial" w:cs="Arial"/>
          <w:sz w:val="24"/>
        </w:rPr>
        <w:t>my character is also a court official of Alexandria, this means he is tasked with petitioning the court and king when necessary. Since Alexandria was the centre of trade and had two main harbours</w:t>
      </w:r>
      <w:r w:rsidR="00637D7D">
        <w:rPr>
          <w:rStyle w:val="FootnoteReference"/>
          <w:rFonts w:ascii="Arial" w:hAnsi="Arial" w:cs="Arial"/>
          <w:sz w:val="24"/>
        </w:rPr>
        <w:footnoteReference w:id="8"/>
      </w:r>
      <w:r w:rsidR="00DD1678">
        <w:rPr>
          <w:rFonts w:ascii="Arial" w:hAnsi="Arial" w:cs="Arial"/>
          <w:sz w:val="24"/>
        </w:rPr>
        <w:t xml:space="preserve"> my character is also responsible for making sure that trade happens smoothly, and oversees the m</w:t>
      </w:r>
      <w:r w:rsidR="00530139">
        <w:rPr>
          <w:rFonts w:ascii="Arial" w:hAnsi="Arial" w:cs="Arial"/>
          <w:sz w:val="24"/>
        </w:rPr>
        <w:t>ovement of grain as well as other imported and exported goods such as: spices, ivory, bronze lamps, perfumes, and carpets.</w:t>
      </w:r>
      <w:r w:rsidR="00530139">
        <w:rPr>
          <w:rStyle w:val="FootnoteReference"/>
          <w:rFonts w:ascii="Arial" w:hAnsi="Arial" w:cs="Arial"/>
          <w:sz w:val="24"/>
        </w:rPr>
        <w:footnoteReference w:id="9"/>
      </w:r>
      <w:r w:rsidR="00530139">
        <w:rPr>
          <w:rFonts w:ascii="Arial" w:hAnsi="Arial" w:cs="Arial"/>
          <w:sz w:val="24"/>
        </w:rPr>
        <w:t xml:space="preserve"> The major exports of Alexandria include: textiles (especially linen), papyri, glassware, mosaics, bronze sculptures, and jewellery made with silver and gold, however this gold and silver was imported into Alexandria </w:t>
      </w:r>
      <w:r w:rsidR="00637D7D">
        <w:rPr>
          <w:rFonts w:ascii="Arial" w:hAnsi="Arial" w:cs="Arial"/>
          <w:sz w:val="24"/>
        </w:rPr>
        <w:t>first.</w:t>
      </w:r>
    </w:p>
    <w:p w:rsidR="00530139" w:rsidRDefault="00530139" w:rsidP="00A948A8">
      <w:pPr>
        <w:spacing w:after="0" w:line="480" w:lineRule="auto"/>
        <w:jc w:val="both"/>
        <w:rPr>
          <w:rFonts w:ascii="Arial" w:hAnsi="Arial" w:cs="Arial"/>
          <w:sz w:val="24"/>
        </w:rPr>
      </w:pPr>
    </w:p>
    <w:p w:rsidR="00530139" w:rsidRDefault="00530139" w:rsidP="00A948A8">
      <w:pPr>
        <w:spacing w:after="0" w:line="480" w:lineRule="auto"/>
        <w:ind w:firstLine="720"/>
        <w:jc w:val="both"/>
        <w:rPr>
          <w:rFonts w:ascii="Arial" w:hAnsi="Arial" w:cs="Arial"/>
          <w:sz w:val="24"/>
        </w:rPr>
      </w:pPr>
      <w:r>
        <w:rPr>
          <w:rFonts w:ascii="Arial" w:hAnsi="Arial" w:cs="Arial"/>
          <w:sz w:val="24"/>
        </w:rPr>
        <w:t xml:space="preserve">As an overseer of the mining production my character is responsible for maintaining the quarries of porphyry and granite in the region, as well as the quarries and mines of emerald, topaz, turquoise, amethyst, and other precious stones located within the reach of the kingdom. </w:t>
      </w:r>
    </w:p>
    <w:p w:rsidR="00EC14ED" w:rsidRDefault="00EC14ED" w:rsidP="00A948A8">
      <w:pPr>
        <w:spacing w:after="0" w:line="480" w:lineRule="auto"/>
        <w:jc w:val="both"/>
        <w:rPr>
          <w:rFonts w:ascii="Arial" w:hAnsi="Arial" w:cs="Arial"/>
          <w:sz w:val="24"/>
        </w:rPr>
      </w:pPr>
    </w:p>
    <w:p w:rsidR="00637D7D" w:rsidRDefault="00EC14ED" w:rsidP="00A948A8">
      <w:pPr>
        <w:spacing w:after="0" w:line="480" w:lineRule="auto"/>
        <w:ind w:firstLine="720"/>
        <w:jc w:val="both"/>
        <w:rPr>
          <w:rFonts w:ascii="Arial" w:hAnsi="Arial" w:cs="Arial"/>
          <w:sz w:val="24"/>
        </w:rPr>
      </w:pPr>
      <w:r>
        <w:rPr>
          <w:rFonts w:ascii="Arial" w:hAnsi="Arial" w:cs="Arial"/>
          <w:sz w:val="24"/>
        </w:rPr>
        <w:lastRenderedPageBreak/>
        <w:t>One of the aims of my character is to initiate direct trade with India, so that Alexandrian merchants are able to travel to India directly without Indian me</w:t>
      </w:r>
      <w:r w:rsidR="00455A7E">
        <w:rPr>
          <w:rFonts w:ascii="Arial" w:hAnsi="Arial" w:cs="Arial"/>
          <w:sz w:val="24"/>
        </w:rPr>
        <w:t>rchants having to first trade with other merchants before the goods can be brought to Alexandria.</w:t>
      </w:r>
      <w:r w:rsidR="00455A7E">
        <w:rPr>
          <w:rStyle w:val="FootnoteReference"/>
          <w:rFonts w:ascii="Arial" w:hAnsi="Arial" w:cs="Arial"/>
          <w:sz w:val="24"/>
        </w:rPr>
        <w:footnoteReference w:id="10"/>
      </w:r>
      <w:r w:rsidR="00455A7E">
        <w:rPr>
          <w:rFonts w:ascii="Arial" w:hAnsi="Arial" w:cs="Arial"/>
          <w:sz w:val="24"/>
        </w:rPr>
        <w:t xml:space="preserve"> This is a large task to undertake as up until this point Alexandrian and Egyptian ships would not dare to sail directly to India, and if they did they would do so by hugging the shoreline to stay close to land.</w:t>
      </w:r>
      <w:r w:rsidR="00455A7E">
        <w:rPr>
          <w:rStyle w:val="FootnoteReference"/>
          <w:rFonts w:ascii="Arial" w:hAnsi="Arial" w:cs="Arial"/>
          <w:sz w:val="24"/>
        </w:rPr>
        <w:footnoteReference w:id="11"/>
      </w:r>
      <w:r w:rsidR="00455A7E">
        <w:rPr>
          <w:rFonts w:ascii="Arial" w:hAnsi="Arial" w:cs="Arial"/>
          <w:sz w:val="24"/>
        </w:rPr>
        <w:t xml:space="preserve"> </w:t>
      </w:r>
      <w:r w:rsidR="00637D7D">
        <w:rPr>
          <w:rFonts w:ascii="Arial" w:hAnsi="Arial" w:cs="Arial"/>
          <w:sz w:val="24"/>
        </w:rPr>
        <w:t xml:space="preserve">The secondary aim of this is to establish one of the merchants of Alexandria as the Commander of the Red and Indian Seas, which is historically accurate via an inscription found near </w:t>
      </w:r>
      <w:proofErr w:type="spellStart"/>
      <w:r w:rsidR="00637D7D">
        <w:rPr>
          <w:rFonts w:ascii="Arial" w:hAnsi="Arial" w:cs="Arial"/>
          <w:sz w:val="24"/>
        </w:rPr>
        <w:t>Koptos</w:t>
      </w:r>
      <w:proofErr w:type="spellEnd"/>
      <w:r w:rsidR="00637D7D">
        <w:rPr>
          <w:rFonts w:ascii="Arial" w:hAnsi="Arial" w:cs="Arial"/>
          <w:sz w:val="24"/>
        </w:rPr>
        <w:t>.</w:t>
      </w:r>
      <w:r w:rsidR="00637D7D">
        <w:rPr>
          <w:rStyle w:val="FootnoteReference"/>
          <w:rFonts w:ascii="Arial" w:hAnsi="Arial" w:cs="Arial"/>
          <w:sz w:val="24"/>
        </w:rPr>
        <w:footnoteReference w:id="12"/>
      </w:r>
    </w:p>
    <w:p w:rsidR="00637D7D" w:rsidRDefault="00637D7D" w:rsidP="00A948A8">
      <w:pPr>
        <w:spacing w:after="0" w:line="480" w:lineRule="auto"/>
        <w:jc w:val="both"/>
        <w:rPr>
          <w:rFonts w:ascii="Arial" w:hAnsi="Arial" w:cs="Arial"/>
          <w:sz w:val="24"/>
        </w:rPr>
      </w:pPr>
    </w:p>
    <w:p w:rsidR="00EC14ED" w:rsidRDefault="00455A7E" w:rsidP="00A948A8">
      <w:pPr>
        <w:spacing w:after="0" w:line="480" w:lineRule="auto"/>
        <w:ind w:firstLine="720"/>
        <w:jc w:val="both"/>
        <w:rPr>
          <w:rFonts w:ascii="Arial" w:hAnsi="Arial" w:cs="Arial"/>
          <w:sz w:val="24"/>
        </w:rPr>
      </w:pPr>
      <w:r>
        <w:rPr>
          <w:rFonts w:ascii="Arial" w:hAnsi="Arial" w:cs="Arial"/>
          <w:sz w:val="24"/>
        </w:rPr>
        <w:t xml:space="preserve">My character wishes to petition the King of Egypt and the officials Rome to invest in this project to send Alexandrian merchants sailing across the Indian Sea. The direct sailing to </w:t>
      </w:r>
      <w:r w:rsidR="003550F1">
        <w:rPr>
          <w:rFonts w:ascii="Arial" w:hAnsi="Arial" w:cs="Arial"/>
          <w:sz w:val="24"/>
        </w:rPr>
        <w:t>I</w:t>
      </w:r>
      <w:bookmarkStart w:id="0" w:name="_GoBack"/>
      <w:bookmarkEnd w:id="0"/>
      <w:r>
        <w:rPr>
          <w:rFonts w:ascii="Arial" w:hAnsi="Arial" w:cs="Arial"/>
          <w:sz w:val="24"/>
        </w:rPr>
        <w:t>ndia for tr</w:t>
      </w:r>
      <w:r w:rsidR="00637D7D">
        <w:rPr>
          <w:rFonts w:ascii="Arial" w:hAnsi="Arial" w:cs="Arial"/>
          <w:sz w:val="24"/>
        </w:rPr>
        <w:t>ade is historically backed by an</w:t>
      </w:r>
      <w:r>
        <w:rPr>
          <w:rFonts w:ascii="Arial" w:hAnsi="Arial" w:cs="Arial"/>
          <w:sz w:val="24"/>
        </w:rPr>
        <w:t xml:space="preserve"> inscription</w:t>
      </w:r>
      <w:r w:rsidR="00637D7D">
        <w:rPr>
          <w:rFonts w:ascii="Arial" w:hAnsi="Arial" w:cs="Arial"/>
          <w:sz w:val="24"/>
        </w:rPr>
        <w:t>,</w:t>
      </w:r>
      <w:r>
        <w:rPr>
          <w:rStyle w:val="FootnoteReference"/>
          <w:rFonts w:ascii="Arial" w:hAnsi="Arial" w:cs="Arial"/>
          <w:sz w:val="24"/>
        </w:rPr>
        <w:footnoteReference w:id="13"/>
      </w:r>
      <w:r w:rsidR="00637D7D">
        <w:rPr>
          <w:rFonts w:ascii="Arial" w:hAnsi="Arial" w:cs="Arial"/>
          <w:sz w:val="24"/>
        </w:rPr>
        <w:t xml:space="preserve"> which is said to have been </w:t>
      </w:r>
      <w:r>
        <w:rPr>
          <w:rFonts w:ascii="Arial" w:hAnsi="Arial" w:cs="Arial"/>
          <w:sz w:val="24"/>
        </w:rPr>
        <w:t xml:space="preserve">found near </w:t>
      </w:r>
      <w:proofErr w:type="spellStart"/>
      <w:r>
        <w:rPr>
          <w:rFonts w:ascii="Arial" w:hAnsi="Arial" w:cs="Arial"/>
          <w:sz w:val="24"/>
        </w:rPr>
        <w:t>Koptos</w:t>
      </w:r>
      <w:proofErr w:type="spellEnd"/>
      <w:r>
        <w:rPr>
          <w:rFonts w:ascii="Arial" w:hAnsi="Arial" w:cs="Arial"/>
          <w:sz w:val="24"/>
        </w:rPr>
        <w:t xml:space="preserve"> and is dated to either 110/109 BC or 74/73 BC. </w:t>
      </w:r>
    </w:p>
    <w:p w:rsidR="00637D7D" w:rsidRDefault="00637D7D" w:rsidP="00A948A8">
      <w:pPr>
        <w:spacing w:after="0" w:line="480" w:lineRule="auto"/>
        <w:jc w:val="both"/>
        <w:rPr>
          <w:rFonts w:ascii="Arial" w:hAnsi="Arial" w:cs="Arial"/>
          <w:sz w:val="24"/>
        </w:rPr>
      </w:pPr>
    </w:p>
    <w:p w:rsidR="00637D7D" w:rsidRDefault="00C86FD5" w:rsidP="00A948A8">
      <w:pPr>
        <w:spacing w:after="0" w:line="480" w:lineRule="auto"/>
        <w:ind w:firstLine="720"/>
        <w:jc w:val="both"/>
        <w:rPr>
          <w:rFonts w:ascii="Arial" w:hAnsi="Arial" w:cs="Arial"/>
          <w:sz w:val="24"/>
        </w:rPr>
      </w:pPr>
      <w:r>
        <w:rPr>
          <w:rFonts w:ascii="Arial" w:hAnsi="Arial" w:cs="Arial"/>
          <w:sz w:val="24"/>
        </w:rPr>
        <w:t>Moreover, another of</w:t>
      </w:r>
      <w:r w:rsidR="00637D7D">
        <w:rPr>
          <w:rFonts w:ascii="Arial" w:hAnsi="Arial" w:cs="Arial"/>
          <w:sz w:val="24"/>
        </w:rPr>
        <w:t xml:space="preserve"> the aims of my character is to provide a festival for the King and the visiting roman officials in Alexandria. As a merchant my character is responsible for providing food and wine for this festival; including foods cultivated in the Nile Delta such as cereals, beans, lentils, vines, olives,</w:t>
      </w:r>
      <w:r w:rsidR="00E209A5">
        <w:rPr>
          <w:rFonts w:ascii="Arial" w:hAnsi="Arial" w:cs="Arial"/>
          <w:sz w:val="24"/>
        </w:rPr>
        <w:t xml:space="preserve"> radishes, cucumbers et cetera.</w:t>
      </w:r>
      <w:r w:rsidR="00E209A5">
        <w:rPr>
          <w:rStyle w:val="FootnoteReference"/>
          <w:rFonts w:ascii="Arial" w:hAnsi="Arial" w:cs="Arial"/>
          <w:sz w:val="24"/>
        </w:rPr>
        <w:footnoteReference w:id="14"/>
      </w:r>
      <w:r w:rsidR="00E209A5">
        <w:rPr>
          <w:rFonts w:ascii="Arial" w:hAnsi="Arial" w:cs="Arial"/>
          <w:sz w:val="24"/>
        </w:rPr>
        <w:t xml:space="preserve"> As well as the production of wines made in the region and imported vines from Greece to make wines of different qualities to satisfy all tastes. My character is also in charge of sourcing marble and other hard stone materials that were </w:t>
      </w:r>
      <w:r w:rsidR="00E209A5">
        <w:rPr>
          <w:rFonts w:ascii="Arial" w:hAnsi="Arial" w:cs="Arial"/>
          <w:sz w:val="24"/>
        </w:rPr>
        <w:lastRenderedPageBreak/>
        <w:t xml:space="preserve">commissioned into sculptures for the festival, and petitioning the royal court for the money to produce said sculptures. </w:t>
      </w:r>
    </w:p>
    <w:p w:rsidR="00EC14ED" w:rsidRDefault="00EC14ED" w:rsidP="00A948A8">
      <w:pPr>
        <w:spacing w:after="0" w:line="480" w:lineRule="auto"/>
        <w:jc w:val="both"/>
        <w:rPr>
          <w:rFonts w:ascii="Arial" w:hAnsi="Arial" w:cs="Arial"/>
          <w:sz w:val="24"/>
        </w:rPr>
      </w:pPr>
      <w:r>
        <w:rPr>
          <w:rFonts w:ascii="Arial" w:hAnsi="Arial" w:cs="Arial"/>
          <w:sz w:val="24"/>
        </w:rPr>
        <w:t xml:space="preserve"> </w:t>
      </w:r>
    </w:p>
    <w:p w:rsidR="00932267" w:rsidRDefault="00932267" w:rsidP="00043AB3">
      <w:pPr>
        <w:spacing w:after="0" w:line="480" w:lineRule="auto"/>
        <w:ind w:firstLine="720"/>
        <w:jc w:val="both"/>
        <w:rPr>
          <w:rFonts w:ascii="Arial" w:hAnsi="Arial" w:cs="Arial"/>
          <w:sz w:val="24"/>
        </w:rPr>
      </w:pPr>
      <w:r>
        <w:rPr>
          <w:rFonts w:ascii="Arial" w:hAnsi="Arial" w:cs="Arial"/>
          <w:sz w:val="24"/>
        </w:rPr>
        <w:t>Historically Alexandria was plagued by riots,</w:t>
      </w:r>
      <w:r w:rsidR="00C86FD5">
        <w:rPr>
          <w:rStyle w:val="FootnoteReference"/>
          <w:rFonts w:ascii="Arial" w:hAnsi="Arial" w:cs="Arial"/>
          <w:sz w:val="24"/>
        </w:rPr>
        <w:footnoteReference w:id="15"/>
      </w:r>
      <w:r>
        <w:rPr>
          <w:rFonts w:ascii="Arial" w:hAnsi="Arial" w:cs="Arial"/>
          <w:sz w:val="24"/>
        </w:rPr>
        <w:t xml:space="preserve"> so in order to maintain historical accuracy my character’s role and responsibility (and therefore my own within the group) is to be in charge of any riots that need to happen, these can happen for any reaso</w:t>
      </w:r>
      <w:r w:rsidR="00A04AD5">
        <w:rPr>
          <w:rFonts w:ascii="Arial" w:hAnsi="Arial" w:cs="Arial"/>
          <w:sz w:val="24"/>
        </w:rPr>
        <w:t xml:space="preserve">ns in order to obtain whatever the people of Alexandria want or need from their king. </w:t>
      </w:r>
      <w:r w:rsidR="0049076A">
        <w:rPr>
          <w:rFonts w:ascii="Arial" w:hAnsi="Arial" w:cs="Arial"/>
          <w:sz w:val="24"/>
        </w:rPr>
        <w:t>Among other responsibilities</w:t>
      </w:r>
      <w:r w:rsidR="00A04AD5">
        <w:rPr>
          <w:rFonts w:ascii="Arial" w:hAnsi="Arial" w:cs="Arial"/>
          <w:sz w:val="24"/>
        </w:rPr>
        <w:t xml:space="preserve"> I have within the group is to make sure that the priest has enough resources to perform all tasks necessary to their station, historically the Alexandrians would search the ships for any books and bring them to the library,</w:t>
      </w:r>
      <w:r w:rsidR="006D6AA8">
        <w:rPr>
          <w:rStyle w:val="FootnoteReference"/>
          <w:rFonts w:ascii="Arial" w:hAnsi="Arial" w:cs="Arial"/>
          <w:sz w:val="24"/>
        </w:rPr>
        <w:footnoteReference w:id="16"/>
      </w:r>
      <w:r w:rsidR="00A04AD5">
        <w:rPr>
          <w:rFonts w:ascii="Arial" w:hAnsi="Arial" w:cs="Arial"/>
          <w:sz w:val="24"/>
        </w:rPr>
        <w:t xml:space="preserve"> it is my responsibility to make sure that they are received by the head librarian, as well as overlooking the deals made between the head librarian and other cities regarding books for the Alexandrian library. </w:t>
      </w:r>
    </w:p>
    <w:p w:rsidR="00932267" w:rsidRDefault="00932267" w:rsidP="00A948A8">
      <w:pPr>
        <w:spacing w:after="0" w:line="480" w:lineRule="auto"/>
        <w:jc w:val="both"/>
        <w:rPr>
          <w:rFonts w:ascii="Arial" w:hAnsi="Arial" w:cs="Arial"/>
          <w:sz w:val="24"/>
        </w:rPr>
      </w:pPr>
    </w:p>
    <w:p w:rsidR="00932267" w:rsidRDefault="0092364E" w:rsidP="00A948A8">
      <w:pPr>
        <w:pStyle w:val="Heading1"/>
      </w:pPr>
      <w:r>
        <w:t xml:space="preserve">General </w:t>
      </w:r>
      <w:r w:rsidR="00A948A8">
        <w:t xml:space="preserve">Bibliography </w:t>
      </w:r>
    </w:p>
    <w:p w:rsidR="000036A9" w:rsidRPr="000036A9" w:rsidRDefault="000036A9" w:rsidP="000036A9"/>
    <w:p w:rsidR="00A948A8" w:rsidRDefault="000036A9" w:rsidP="0086326A">
      <w:pPr>
        <w:spacing w:after="0" w:line="480" w:lineRule="auto"/>
        <w:rPr>
          <w:rFonts w:ascii="Arial" w:hAnsi="Arial" w:cs="Arial"/>
          <w:sz w:val="24"/>
        </w:rPr>
      </w:pPr>
      <w:r>
        <w:rPr>
          <w:rFonts w:ascii="Arial" w:hAnsi="Arial" w:cs="Arial"/>
          <w:sz w:val="24"/>
        </w:rPr>
        <w:t>Bevan, E. 1927. The House of Ptolemy. London: Methuen Publishing.</w:t>
      </w:r>
      <w:r w:rsidR="0092364E">
        <w:rPr>
          <w:rFonts w:ascii="Arial" w:hAnsi="Arial" w:cs="Arial"/>
          <w:sz w:val="24"/>
        </w:rPr>
        <w:t xml:space="preserve"> </w:t>
      </w:r>
    </w:p>
    <w:p w:rsidR="000173B7" w:rsidRPr="000173B7" w:rsidRDefault="0046179A" w:rsidP="0086326A">
      <w:pPr>
        <w:spacing w:after="0" w:line="480" w:lineRule="auto"/>
        <w:rPr>
          <w:rFonts w:ascii="Arial" w:hAnsi="Arial" w:cs="Arial"/>
          <w:sz w:val="24"/>
        </w:rPr>
      </w:pPr>
      <w:proofErr w:type="spellStart"/>
      <w:r w:rsidRPr="0046179A">
        <w:rPr>
          <w:rFonts w:ascii="Arial" w:hAnsi="Arial" w:cs="Arial"/>
          <w:sz w:val="24"/>
        </w:rPr>
        <w:t>Durrbach</w:t>
      </w:r>
      <w:proofErr w:type="spellEnd"/>
      <w:r w:rsidRPr="0046179A">
        <w:rPr>
          <w:rFonts w:ascii="Arial" w:hAnsi="Arial" w:cs="Arial"/>
          <w:sz w:val="24"/>
        </w:rPr>
        <w:t xml:space="preserve">, </w:t>
      </w:r>
      <w:proofErr w:type="spellStart"/>
      <w:r w:rsidRPr="0046179A">
        <w:rPr>
          <w:rFonts w:ascii="Arial" w:hAnsi="Arial" w:cs="Arial"/>
          <w:sz w:val="24"/>
        </w:rPr>
        <w:t>Choix</w:t>
      </w:r>
      <w:proofErr w:type="spellEnd"/>
      <w:r w:rsidRPr="0046179A">
        <w:rPr>
          <w:rFonts w:ascii="Arial" w:hAnsi="Arial" w:cs="Arial"/>
          <w:sz w:val="24"/>
        </w:rPr>
        <w:t>, 108</w:t>
      </w:r>
      <w:r>
        <w:rPr>
          <w:rFonts w:ascii="Arial" w:hAnsi="Arial" w:cs="Arial"/>
          <w:sz w:val="24"/>
        </w:rPr>
        <w:t xml:space="preserve"> in </w:t>
      </w:r>
      <w:proofErr w:type="spellStart"/>
      <w:r w:rsidR="000173B7" w:rsidRPr="000173B7">
        <w:rPr>
          <w:rFonts w:ascii="Arial" w:hAnsi="Arial" w:cs="Arial"/>
          <w:sz w:val="24"/>
        </w:rPr>
        <w:t>Dürrbach</w:t>
      </w:r>
      <w:proofErr w:type="spellEnd"/>
      <w:r w:rsidR="000173B7" w:rsidRPr="000173B7">
        <w:rPr>
          <w:rFonts w:ascii="Arial" w:hAnsi="Arial" w:cs="Arial"/>
          <w:sz w:val="24"/>
        </w:rPr>
        <w:t xml:space="preserve">, F. </w:t>
      </w:r>
      <w:r>
        <w:rPr>
          <w:rFonts w:ascii="Arial" w:hAnsi="Arial" w:cs="Arial"/>
          <w:sz w:val="24"/>
        </w:rPr>
        <w:t xml:space="preserve">1921. </w:t>
      </w:r>
      <w:proofErr w:type="spellStart"/>
      <w:r w:rsidR="000173B7" w:rsidRPr="000173B7">
        <w:rPr>
          <w:rFonts w:ascii="Arial" w:hAnsi="Arial" w:cs="Arial"/>
          <w:sz w:val="24"/>
        </w:rPr>
        <w:t>Choix</w:t>
      </w:r>
      <w:proofErr w:type="spellEnd"/>
      <w:r w:rsidR="000173B7" w:rsidRPr="000173B7">
        <w:rPr>
          <w:rFonts w:ascii="Arial" w:hAnsi="Arial" w:cs="Arial"/>
          <w:sz w:val="24"/>
        </w:rPr>
        <w:t xml:space="preserve"> </w:t>
      </w:r>
      <w:proofErr w:type="spellStart"/>
      <w:r w:rsidR="000173B7" w:rsidRPr="000173B7">
        <w:rPr>
          <w:rFonts w:ascii="Arial" w:hAnsi="Arial" w:cs="Arial"/>
          <w:sz w:val="24"/>
        </w:rPr>
        <w:t>d'Inscriptions</w:t>
      </w:r>
      <w:proofErr w:type="spellEnd"/>
      <w:r w:rsidR="000173B7" w:rsidRPr="000173B7">
        <w:rPr>
          <w:rFonts w:ascii="Arial" w:hAnsi="Arial" w:cs="Arial"/>
          <w:sz w:val="24"/>
        </w:rPr>
        <w:t xml:space="preserve"> de </w:t>
      </w:r>
      <w:proofErr w:type="spellStart"/>
      <w:r w:rsidR="000173B7" w:rsidRPr="000173B7">
        <w:rPr>
          <w:rFonts w:ascii="Arial" w:hAnsi="Arial" w:cs="Arial"/>
          <w:sz w:val="24"/>
        </w:rPr>
        <w:t>Délos</w:t>
      </w:r>
      <w:proofErr w:type="spellEnd"/>
      <w:r>
        <w:rPr>
          <w:rFonts w:ascii="Arial" w:hAnsi="Arial" w:cs="Arial"/>
          <w:sz w:val="24"/>
        </w:rPr>
        <w:t>.</w:t>
      </w:r>
    </w:p>
    <w:p w:rsidR="00A948A8" w:rsidRDefault="003E1771" w:rsidP="0086326A">
      <w:pPr>
        <w:spacing w:after="0" w:line="480" w:lineRule="auto"/>
        <w:rPr>
          <w:rFonts w:ascii="Arial" w:hAnsi="Arial" w:cs="Arial"/>
          <w:sz w:val="24"/>
        </w:rPr>
      </w:pPr>
      <w:proofErr w:type="spellStart"/>
      <w:r w:rsidRPr="00B75F48">
        <w:rPr>
          <w:rFonts w:ascii="Arial" w:hAnsi="Arial" w:cs="Arial"/>
          <w:sz w:val="24"/>
        </w:rPr>
        <w:t>Escoffey</w:t>
      </w:r>
      <w:proofErr w:type="spellEnd"/>
      <w:r w:rsidRPr="00B75F48">
        <w:rPr>
          <w:rFonts w:ascii="Arial" w:hAnsi="Arial" w:cs="Arial"/>
          <w:sz w:val="24"/>
        </w:rPr>
        <w:t>, C. 2012. Ancient Alexandria. Alexandria: Bibliotheca Alexandrina.</w:t>
      </w:r>
      <w:r w:rsidR="00B75F48" w:rsidRPr="00B75F48">
        <w:rPr>
          <w:rFonts w:ascii="Arial" w:hAnsi="Arial" w:cs="Arial"/>
          <w:sz w:val="24"/>
        </w:rPr>
        <w:t xml:space="preserve"> </w:t>
      </w:r>
    </w:p>
    <w:p w:rsidR="00120BDE" w:rsidRDefault="00120BDE" w:rsidP="0086326A">
      <w:pPr>
        <w:spacing w:after="0" w:line="480" w:lineRule="auto"/>
        <w:rPr>
          <w:rFonts w:ascii="Arial" w:hAnsi="Arial" w:cs="Arial"/>
          <w:sz w:val="24"/>
        </w:rPr>
      </w:pPr>
      <w:r>
        <w:rPr>
          <w:rFonts w:ascii="Arial" w:hAnsi="Arial" w:cs="Arial"/>
          <w:sz w:val="24"/>
        </w:rPr>
        <w:t xml:space="preserve">Fraser, P. 1986. Ptolemaic Alexandria. </w:t>
      </w:r>
      <w:r w:rsidRPr="00120BDE">
        <w:rPr>
          <w:rFonts w:ascii="Arial" w:hAnsi="Arial" w:cs="Arial"/>
          <w:sz w:val="24"/>
        </w:rPr>
        <w:t>Oxford: Clarendon Press 1972</w:t>
      </w:r>
      <w:r w:rsidR="0092364E">
        <w:rPr>
          <w:rFonts w:ascii="Arial" w:hAnsi="Arial" w:cs="Arial"/>
          <w:sz w:val="24"/>
        </w:rPr>
        <w:t xml:space="preserve"> </w:t>
      </w:r>
    </w:p>
    <w:p w:rsidR="0068506E" w:rsidRDefault="0068506E" w:rsidP="0086326A">
      <w:pPr>
        <w:spacing w:after="0" w:line="480" w:lineRule="auto"/>
        <w:rPr>
          <w:rFonts w:ascii="Arial" w:hAnsi="Arial" w:cs="Arial"/>
          <w:sz w:val="24"/>
        </w:rPr>
      </w:pPr>
      <w:r w:rsidRPr="0068506E">
        <w:rPr>
          <w:rFonts w:ascii="Arial" w:hAnsi="Arial" w:cs="Arial"/>
          <w:sz w:val="24"/>
        </w:rPr>
        <w:t xml:space="preserve">Marlowe, John. </w:t>
      </w:r>
      <w:r>
        <w:rPr>
          <w:rFonts w:ascii="Arial" w:hAnsi="Arial" w:cs="Arial"/>
          <w:sz w:val="24"/>
        </w:rPr>
        <w:t xml:space="preserve">1971. </w:t>
      </w:r>
      <w:r w:rsidRPr="0068506E">
        <w:rPr>
          <w:rFonts w:ascii="Arial" w:hAnsi="Arial" w:cs="Arial"/>
          <w:sz w:val="24"/>
        </w:rPr>
        <w:t xml:space="preserve">The Golden Age of Alexandria. </w:t>
      </w:r>
      <w:r>
        <w:rPr>
          <w:rFonts w:ascii="Arial" w:hAnsi="Arial" w:cs="Arial"/>
          <w:sz w:val="24"/>
        </w:rPr>
        <w:t xml:space="preserve">London: </w:t>
      </w:r>
      <w:r w:rsidRPr="0068506E">
        <w:rPr>
          <w:rFonts w:ascii="Arial" w:hAnsi="Arial" w:cs="Arial"/>
          <w:sz w:val="24"/>
        </w:rPr>
        <w:t xml:space="preserve">Trinity Press. </w:t>
      </w:r>
    </w:p>
    <w:p w:rsidR="00BE06A3" w:rsidRDefault="00BE06A3" w:rsidP="0086326A">
      <w:pPr>
        <w:spacing w:after="0" w:line="480" w:lineRule="auto"/>
        <w:rPr>
          <w:rFonts w:ascii="Arial" w:hAnsi="Arial" w:cs="Arial"/>
          <w:sz w:val="24"/>
        </w:rPr>
      </w:pPr>
      <w:r w:rsidRPr="00BE06A3">
        <w:rPr>
          <w:rFonts w:ascii="Arial" w:hAnsi="Arial" w:cs="Arial"/>
          <w:sz w:val="24"/>
        </w:rPr>
        <w:t>Polybius.</w:t>
      </w:r>
      <w:r>
        <w:rPr>
          <w:rFonts w:ascii="Arial" w:hAnsi="Arial" w:cs="Arial"/>
          <w:sz w:val="24"/>
        </w:rPr>
        <w:t xml:space="preserve"> Histories.</w:t>
      </w:r>
      <w:r>
        <w:rPr>
          <w:rFonts w:ascii="Verdana" w:hAnsi="Verdana"/>
          <w:color w:val="000000"/>
        </w:rPr>
        <w:t xml:space="preserve"> </w:t>
      </w:r>
      <w:r w:rsidRPr="00BE06A3">
        <w:rPr>
          <w:rFonts w:ascii="Arial" w:hAnsi="Arial" w:cs="Arial"/>
          <w:sz w:val="24"/>
        </w:rPr>
        <w:t xml:space="preserve">Evelyn S. </w:t>
      </w:r>
      <w:proofErr w:type="spellStart"/>
      <w:r w:rsidRPr="00BE06A3">
        <w:rPr>
          <w:rFonts w:ascii="Arial" w:hAnsi="Arial" w:cs="Arial"/>
          <w:sz w:val="24"/>
        </w:rPr>
        <w:t>Shuckburgh</w:t>
      </w:r>
      <w:proofErr w:type="spellEnd"/>
      <w:r w:rsidRPr="00BE06A3">
        <w:rPr>
          <w:rFonts w:ascii="Arial" w:hAnsi="Arial" w:cs="Arial"/>
          <w:sz w:val="24"/>
        </w:rPr>
        <w:t>. translator. London, New York. Macmillan</w:t>
      </w:r>
      <w:r>
        <w:rPr>
          <w:rFonts w:ascii="Arial" w:hAnsi="Arial" w:cs="Arial"/>
          <w:sz w:val="24"/>
        </w:rPr>
        <w:t xml:space="preserve">. 1889. Reprint Bloomington </w:t>
      </w:r>
    </w:p>
    <w:p w:rsidR="00BE06A3" w:rsidRDefault="000173B7" w:rsidP="0086326A">
      <w:pPr>
        <w:spacing w:after="0" w:line="480" w:lineRule="auto"/>
        <w:rPr>
          <w:rFonts w:ascii="Arial" w:hAnsi="Arial" w:cs="Arial"/>
          <w:sz w:val="24"/>
          <w:lang w:val="es-VE"/>
        </w:rPr>
      </w:pPr>
      <w:r w:rsidRPr="00BE06A3">
        <w:rPr>
          <w:rFonts w:ascii="Arial" w:hAnsi="Arial" w:cs="Arial"/>
          <w:sz w:val="24"/>
        </w:rPr>
        <w:lastRenderedPageBreak/>
        <w:t xml:space="preserve">Revue des Études Grecques. 1966. Bulletin </w:t>
      </w:r>
      <w:proofErr w:type="spellStart"/>
      <w:r w:rsidRPr="00BE06A3">
        <w:rPr>
          <w:rFonts w:ascii="Arial" w:hAnsi="Arial" w:cs="Arial"/>
          <w:sz w:val="24"/>
        </w:rPr>
        <w:t>épigraphique</w:t>
      </w:r>
      <w:proofErr w:type="spellEnd"/>
      <w:r w:rsidRPr="00BE06A3">
        <w:rPr>
          <w:rFonts w:ascii="Arial" w:hAnsi="Arial" w:cs="Arial"/>
          <w:sz w:val="24"/>
        </w:rPr>
        <w:t xml:space="preserve">, Vol. 79.  N. 374 </w:t>
      </w:r>
      <w:r w:rsidRPr="00B75F48">
        <w:rPr>
          <w:rFonts w:ascii="Arial" w:hAnsi="Arial" w:cs="Arial"/>
          <w:sz w:val="24"/>
          <w:lang w:val="es-VE"/>
        </w:rPr>
        <w:t xml:space="preserve">pp. 335-449 </w:t>
      </w:r>
    </w:p>
    <w:p w:rsidR="00120BDE" w:rsidRDefault="00120BDE" w:rsidP="0086326A">
      <w:pPr>
        <w:spacing w:after="0" w:line="480" w:lineRule="auto"/>
        <w:rPr>
          <w:rFonts w:ascii="Arial" w:hAnsi="Arial" w:cs="Arial"/>
          <w:sz w:val="24"/>
        </w:rPr>
      </w:pPr>
      <w:proofErr w:type="spellStart"/>
      <w:r w:rsidRPr="00120BDE">
        <w:rPr>
          <w:rFonts w:ascii="Arial" w:hAnsi="Arial" w:cs="Arial"/>
          <w:sz w:val="24"/>
        </w:rPr>
        <w:t>Sammelbuch</w:t>
      </w:r>
      <w:proofErr w:type="spellEnd"/>
      <w:r w:rsidRPr="00120BDE">
        <w:rPr>
          <w:rFonts w:ascii="Arial" w:hAnsi="Arial" w:cs="Arial"/>
          <w:sz w:val="24"/>
        </w:rPr>
        <w:t xml:space="preserve">, 8036, </w:t>
      </w:r>
      <w:proofErr w:type="spellStart"/>
      <w:r w:rsidRPr="00120BDE">
        <w:rPr>
          <w:rFonts w:ascii="Arial" w:hAnsi="Arial" w:cs="Arial"/>
          <w:sz w:val="24"/>
        </w:rPr>
        <w:t>Coptos</w:t>
      </w:r>
      <w:proofErr w:type="spellEnd"/>
      <w:r w:rsidRPr="00120BDE">
        <w:rPr>
          <w:rFonts w:ascii="Arial" w:hAnsi="Arial" w:cs="Arial"/>
          <w:sz w:val="24"/>
        </w:rPr>
        <w:t>, Inscriptions Philae, 52 (62 BC)</w:t>
      </w:r>
    </w:p>
    <w:p w:rsidR="00B75F48" w:rsidRDefault="00B75F48" w:rsidP="0086326A">
      <w:pPr>
        <w:spacing w:after="0" w:line="480" w:lineRule="auto"/>
        <w:rPr>
          <w:rFonts w:ascii="Arial" w:hAnsi="Arial" w:cs="Arial"/>
          <w:sz w:val="24"/>
        </w:rPr>
      </w:pPr>
      <w:proofErr w:type="spellStart"/>
      <w:r w:rsidRPr="00B75F48">
        <w:rPr>
          <w:rFonts w:ascii="Arial" w:hAnsi="Arial" w:cs="Arial"/>
          <w:sz w:val="24"/>
        </w:rPr>
        <w:t>Spicq</w:t>
      </w:r>
      <w:proofErr w:type="spellEnd"/>
      <w:r w:rsidRPr="00B75F48">
        <w:rPr>
          <w:rFonts w:ascii="Arial" w:hAnsi="Arial" w:cs="Arial"/>
          <w:sz w:val="24"/>
        </w:rPr>
        <w:t xml:space="preserve">, C. 1991. </w:t>
      </w:r>
      <w:proofErr w:type="spellStart"/>
      <w:r w:rsidRPr="00B75F48">
        <w:rPr>
          <w:rFonts w:ascii="Arial" w:hAnsi="Arial" w:cs="Arial"/>
          <w:sz w:val="24"/>
        </w:rPr>
        <w:t>Lexique</w:t>
      </w:r>
      <w:proofErr w:type="spellEnd"/>
      <w:r w:rsidRPr="00B75F48">
        <w:rPr>
          <w:rFonts w:ascii="Arial" w:hAnsi="Arial" w:cs="Arial"/>
          <w:sz w:val="24"/>
        </w:rPr>
        <w:t xml:space="preserve"> </w:t>
      </w:r>
      <w:proofErr w:type="spellStart"/>
      <w:r w:rsidRPr="00B75F48">
        <w:rPr>
          <w:rFonts w:ascii="Arial" w:hAnsi="Arial" w:cs="Arial"/>
          <w:sz w:val="24"/>
        </w:rPr>
        <w:t>théologique</w:t>
      </w:r>
      <w:proofErr w:type="spellEnd"/>
      <w:r w:rsidRPr="00B75F48">
        <w:rPr>
          <w:rFonts w:ascii="Arial" w:hAnsi="Arial" w:cs="Arial"/>
          <w:sz w:val="24"/>
        </w:rPr>
        <w:t xml:space="preserve"> du Nouveau Testament. Suisse: </w:t>
      </w:r>
      <w:proofErr w:type="spellStart"/>
      <w:r w:rsidRPr="00B75F48">
        <w:rPr>
          <w:rFonts w:ascii="Arial" w:hAnsi="Arial" w:cs="Arial"/>
          <w:sz w:val="24"/>
        </w:rPr>
        <w:t>L’institut</w:t>
      </w:r>
      <w:proofErr w:type="spellEnd"/>
      <w:r w:rsidRPr="00B75F48">
        <w:rPr>
          <w:rFonts w:ascii="Arial" w:hAnsi="Arial" w:cs="Arial"/>
          <w:sz w:val="24"/>
        </w:rPr>
        <w:t xml:space="preserve"> </w:t>
      </w:r>
      <w:proofErr w:type="spellStart"/>
      <w:r w:rsidRPr="00B75F48">
        <w:rPr>
          <w:rFonts w:ascii="Arial" w:hAnsi="Arial" w:cs="Arial"/>
          <w:sz w:val="24"/>
        </w:rPr>
        <w:t>Biblique</w:t>
      </w:r>
      <w:proofErr w:type="spellEnd"/>
      <w:r w:rsidRPr="00B75F48">
        <w:rPr>
          <w:rFonts w:ascii="Arial" w:hAnsi="Arial" w:cs="Arial"/>
          <w:sz w:val="24"/>
        </w:rPr>
        <w:t xml:space="preserve"> de Fribourg. </w:t>
      </w:r>
    </w:p>
    <w:p w:rsidR="00120BDE" w:rsidRDefault="00120BDE" w:rsidP="0086326A">
      <w:pPr>
        <w:spacing w:after="0" w:line="480" w:lineRule="auto"/>
        <w:rPr>
          <w:rFonts w:ascii="Arial" w:hAnsi="Arial" w:cs="Arial"/>
          <w:sz w:val="24"/>
        </w:rPr>
      </w:pPr>
      <w:r w:rsidRPr="00120BDE">
        <w:rPr>
          <w:rFonts w:ascii="Arial" w:hAnsi="Arial" w:cs="Arial"/>
          <w:sz w:val="24"/>
        </w:rPr>
        <w:t>Strabo. ed. H. L. Jones, The Geography of Strabo. Cambridge, Mass.: Harvard University Press; London: William Heinemann, Ltd. 1924.</w:t>
      </w:r>
      <w:r w:rsidR="0086326A">
        <w:rPr>
          <w:rFonts w:ascii="Arial" w:hAnsi="Arial" w:cs="Arial"/>
          <w:sz w:val="24"/>
        </w:rPr>
        <w:t xml:space="preserve"> </w:t>
      </w:r>
    </w:p>
    <w:p w:rsidR="0086326A" w:rsidRPr="00B75F48" w:rsidRDefault="0086326A" w:rsidP="0086326A">
      <w:pPr>
        <w:spacing w:after="0" w:line="480" w:lineRule="auto"/>
        <w:rPr>
          <w:rFonts w:ascii="Arial" w:hAnsi="Arial" w:cs="Arial"/>
          <w:sz w:val="24"/>
        </w:rPr>
      </w:pPr>
      <w:proofErr w:type="spellStart"/>
      <w:r w:rsidRPr="0086326A">
        <w:rPr>
          <w:rFonts w:ascii="Arial" w:hAnsi="Arial" w:cs="Arial"/>
          <w:sz w:val="24"/>
        </w:rPr>
        <w:t>Walbank</w:t>
      </w:r>
      <w:proofErr w:type="spellEnd"/>
      <w:r w:rsidRPr="0086326A">
        <w:rPr>
          <w:rFonts w:ascii="Arial" w:hAnsi="Arial" w:cs="Arial"/>
          <w:sz w:val="24"/>
        </w:rPr>
        <w:t>, F. W.,</w:t>
      </w:r>
      <w:r>
        <w:rPr>
          <w:rFonts w:ascii="Arial" w:hAnsi="Arial" w:cs="Arial"/>
          <w:sz w:val="24"/>
        </w:rPr>
        <w:t>1981.</w:t>
      </w:r>
      <w:r w:rsidRPr="0086326A">
        <w:rPr>
          <w:rFonts w:ascii="Arial" w:hAnsi="Arial" w:cs="Arial"/>
          <w:sz w:val="24"/>
        </w:rPr>
        <w:t xml:space="preserve"> Helle</w:t>
      </w:r>
      <w:r>
        <w:rPr>
          <w:rFonts w:ascii="Arial" w:hAnsi="Arial" w:cs="Arial"/>
          <w:sz w:val="24"/>
        </w:rPr>
        <w:t>nistic World, Harvard U. Press.</w:t>
      </w:r>
    </w:p>
    <w:sectPr w:rsidR="0086326A" w:rsidRPr="00B75F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2D8" w:rsidRDefault="00D342D8" w:rsidP="0048218A">
      <w:pPr>
        <w:spacing w:after="0" w:line="240" w:lineRule="auto"/>
      </w:pPr>
      <w:r>
        <w:separator/>
      </w:r>
    </w:p>
  </w:endnote>
  <w:endnote w:type="continuationSeparator" w:id="0">
    <w:p w:rsidR="00D342D8" w:rsidRDefault="00D342D8" w:rsidP="0048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2D8" w:rsidRDefault="00D342D8" w:rsidP="0048218A">
      <w:pPr>
        <w:spacing w:after="0" w:line="240" w:lineRule="auto"/>
      </w:pPr>
      <w:r>
        <w:separator/>
      </w:r>
    </w:p>
  </w:footnote>
  <w:footnote w:type="continuationSeparator" w:id="0">
    <w:p w:rsidR="00D342D8" w:rsidRDefault="00D342D8" w:rsidP="0048218A">
      <w:pPr>
        <w:spacing w:after="0" w:line="240" w:lineRule="auto"/>
      </w:pPr>
      <w:r>
        <w:continuationSeparator/>
      </w:r>
    </w:p>
  </w:footnote>
  <w:footnote w:id="1">
    <w:p w:rsidR="005D4797" w:rsidRDefault="005D4797">
      <w:pPr>
        <w:pStyle w:val="FootnoteText"/>
      </w:pPr>
      <w:r>
        <w:rPr>
          <w:rStyle w:val="FootnoteReference"/>
        </w:rPr>
        <w:footnoteRef/>
      </w:r>
      <w:r>
        <w:t xml:space="preserve"> Fraser, P. 1972.</w:t>
      </w:r>
    </w:p>
  </w:footnote>
  <w:footnote w:id="2">
    <w:p w:rsidR="00EC76FF" w:rsidRDefault="00EC76FF">
      <w:pPr>
        <w:pStyle w:val="FootnoteText"/>
      </w:pPr>
      <w:r>
        <w:rPr>
          <w:rStyle w:val="FootnoteReference"/>
        </w:rPr>
        <w:footnoteRef/>
      </w:r>
      <w:r>
        <w:t xml:space="preserve"> </w:t>
      </w:r>
      <w:proofErr w:type="spellStart"/>
      <w:r>
        <w:t>Escoffey</w:t>
      </w:r>
      <w:proofErr w:type="spellEnd"/>
      <w:r>
        <w:t>, 2012.</w:t>
      </w:r>
    </w:p>
  </w:footnote>
  <w:footnote w:id="3">
    <w:p w:rsidR="00DD7B2C" w:rsidRDefault="00DD7B2C">
      <w:pPr>
        <w:pStyle w:val="FootnoteText"/>
      </w:pPr>
      <w:r>
        <w:rPr>
          <w:rStyle w:val="FootnoteReference"/>
        </w:rPr>
        <w:footnoteRef/>
      </w:r>
      <w:r>
        <w:t xml:space="preserve"> </w:t>
      </w:r>
      <w:proofErr w:type="spellStart"/>
      <w:r w:rsidRPr="00DD7B2C">
        <w:t>Durrbach</w:t>
      </w:r>
      <w:proofErr w:type="spellEnd"/>
      <w:r w:rsidRPr="00DD7B2C">
        <w:t xml:space="preserve">, </w:t>
      </w:r>
      <w:proofErr w:type="spellStart"/>
      <w:r w:rsidRPr="00DD7B2C">
        <w:t>Choix</w:t>
      </w:r>
      <w:proofErr w:type="spellEnd"/>
      <w:r w:rsidRPr="00DD7B2C">
        <w:t xml:space="preserve"> Ins. Delos 108 (127-116 BC)</w:t>
      </w:r>
    </w:p>
    <w:p w:rsidR="00DD7B2C" w:rsidRDefault="00DD7B2C">
      <w:pPr>
        <w:pStyle w:val="FootnoteText"/>
      </w:pPr>
      <w:r w:rsidRPr="00DD7B2C">
        <w:t xml:space="preserve">Rev. Et. Gr. 52 (1939) p. 483 no. 235 from </w:t>
      </w:r>
      <w:proofErr w:type="spellStart"/>
      <w:r w:rsidRPr="00DD7B2C">
        <w:t>Callatis</w:t>
      </w:r>
      <w:proofErr w:type="spellEnd"/>
      <w:r w:rsidRPr="00DD7B2C">
        <w:t xml:space="preserve"> (NW of the Black Sea)</w:t>
      </w:r>
    </w:p>
  </w:footnote>
  <w:footnote w:id="4">
    <w:p w:rsidR="00FC3F93" w:rsidRDefault="00FC3F93">
      <w:pPr>
        <w:pStyle w:val="FootnoteText"/>
      </w:pPr>
      <w:r>
        <w:rPr>
          <w:rStyle w:val="FootnoteReference"/>
        </w:rPr>
        <w:footnoteRef/>
      </w:r>
      <w:r>
        <w:t xml:space="preserve"> </w:t>
      </w:r>
      <w:r w:rsidR="00583D73">
        <w:t>E. Bevan 4.2</w:t>
      </w:r>
    </w:p>
  </w:footnote>
  <w:footnote w:id="5">
    <w:p w:rsidR="00583D73" w:rsidRDefault="00583D73">
      <w:pPr>
        <w:pStyle w:val="FootnoteText"/>
      </w:pPr>
      <w:r>
        <w:rPr>
          <w:rStyle w:val="FootnoteReference"/>
        </w:rPr>
        <w:footnoteRef/>
      </w:r>
      <w:r>
        <w:t xml:space="preserve"> </w:t>
      </w:r>
      <w:proofErr w:type="spellStart"/>
      <w:r w:rsidRPr="00583D73">
        <w:t>Sammelbuch</w:t>
      </w:r>
      <w:proofErr w:type="spellEnd"/>
      <w:r w:rsidRPr="00583D73">
        <w:t xml:space="preserve"> 7169</w:t>
      </w:r>
    </w:p>
  </w:footnote>
  <w:footnote w:id="6">
    <w:p w:rsidR="00F955DF" w:rsidRDefault="00F955DF">
      <w:pPr>
        <w:pStyle w:val="FootnoteText"/>
      </w:pPr>
      <w:r>
        <w:rPr>
          <w:rStyle w:val="FootnoteReference"/>
        </w:rPr>
        <w:footnoteRef/>
      </w:r>
      <w:r>
        <w:t xml:space="preserve"> </w:t>
      </w:r>
      <w:proofErr w:type="spellStart"/>
      <w:r w:rsidRPr="00F955DF">
        <w:t>Dittenberger</w:t>
      </w:r>
      <w:proofErr w:type="spellEnd"/>
      <w:r w:rsidRPr="00F955DF">
        <w:t>, O.G.I.S. 132</w:t>
      </w:r>
    </w:p>
  </w:footnote>
  <w:footnote w:id="7">
    <w:p w:rsidR="005345C8" w:rsidRDefault="005345C8">
      <w:pPr>
        <w:pStyle w:val="FootnoteText"/>
      </w:pPr>
      <w:r>
        <w:rPr>
          <w:rStyle w:val="FootnoteReference"/>
        </w:rPr>
        <w:footnoteRef/>
      </w:r>
      <w:r>
        <w:t xml:space="preserve"> </w:t>
      </w:r>
      <w:r w:rsidR="00C40CAE" w:rsidRPr="00C40CAE">
        <w:t>Diodorus. 3.47.9</w:t>
      </w:r>
    </w:p>
  </w:footnote>
  <w:footnote w:id="8">
    <w:p w:rsidR="00637D7D" w:rsidRDefault="00637D7D" w:rsidP="00637D7D">
      <w:pPr>
        <w:pStyle w:val="FootnoteText"/>
      </w:pPr>
      <w:r>
        <w:rPr>
          <w:rStyle w:val="FootnoteReference"/>
        </w:rPr>
        <w:footnoteRef/>
      </w:r>
      <w:r>
        <w:t xml:space="preserve"> Strabo 17.1.7</w:t>
      </w:r>
    </w:p>
  </w:footnote>
  <w:footnote w:id="9">
    <w:p w:rsidR="00530139" w:rsidRDefault="00530139">
      <w:pPr>
        <w:pStyle w:val="FootnoteText"/>
      </w:pPr>
      <w:r>
        <w:rPr>
          <w:rStyle w:val="FootnoteReference"/>
        </w:rPr>
        <w:footnoteRef/>
      </w:r>
      <w:r>
        <w:t xml:space="preserve"> Strabo </w:t>
      </w:r>
      <w:r w:rsidR="00B869E4">
        <w:t>17</w:t>
      </w:r>
    </w:p>
  </w:footnote>
  <w:footnote w:id="10">
    <w:p w:rsidR="00455A7E" w:rsidRDefault="00455A7E">
      <w:pPr>
        <w:pStyle w:val="FootnoteText"/>
      </w:pPr>
      <w:r>
        <w:rPr>
          <w:rStyle w:val="FootnoteReference"/>
        </w:rPr>
        <w:footnoteRef/>
      </w:r>
      <w:r>
        <w:t xml:space="preserve"> </w:t>
      </w:r>
      <w:proofErr w:type="spellStart"/>
      <w:r>
        <w:t>Dio</w:t>
      </w:r>
      <w:proofErr w:type="spellEnd"/>
      <w:r>
        <w:t xml:space="preserve"> 3.47.9</w:t>
      </w:r>
    </w:p>
  </w:footnote>
  <w:footnote w:id="11">
    <w:p w:rsidR="00455A7E" w:rsidRDefault="00455A7E">
      <w:pPr>
        <w:pStyle w:val="FootnoteText"/>
      </w:pPr>
      <w:r>
        <w:rPr>
          <w:rStyle w:val="FootnoteReference"/>
        </w:rPr>
        <w:footnoteRef/>
      </w:r>
      <w:r>
        <w:t xml:space="preserve"> L. </w:t>
      </w:r>
      <w:proofErr w:type="spellStart"/>
      <w:r>
        <w:t>Casson</w:t>
      </w:r>
      <w:proofErr w:type="spellEnd"/>
      <w:r>
        <w:t xml:space="preserve"> – The </w:t>
      </w:r>
      <w:proofErr w:type="spellStart"/>
      <w:r>
        <w:t>Periplus</w:t>
      </w:r>
      <w:proofErr w:type="spellEnd"/>
      <w:r>
        <w:t xml:space="preserve"> Maris </w:t>
      </w:r>
      <w:proofErr w:type="spellStart"/>
      <w:r>
        <w:t>Erythraei</w:t>
      </w:r>
      <w:proofErr w:type="spellEnd"/>
      <w:r>
        <w:t xml:space="preserve"> 26 .26-32</w:t>
      </w:r>
    </w:p>
  </w:footnote>
  <w:footnote w:id="12">
    <w:p w:rsidR="00637D7D" w:rsidRDefault="00637D7D">
      <w:pPr>
        <w:pStyle w:val="FootnoteText"/>
      </w:pPr>
      <w:r>
        <w:rPr>
          <w:rStyle w:val="FootnoteReference"/>
        </w:rPr>
        <w:footnoteRef/>
      </w:r>
      <w:r>
        <w:t xml:space="preserve"> Buch 8036 or 2264</w:t>
      </w:r>
    </w:p>
  </w:footnote>
  <w:footnote w:id="13">
    <w:p w:rsidR="00455A7E" w:rsidRDefault="00455A7E">
      <w:pPr>
        <w:pStyle w:val="FootnoteText"/>
      </w:pPr>
      <w:r>
        <w:rPr>
          <w:rStyle w:val="FootnoteReference"/>
        </w:rPr>
        <w:footnoteRef/>
      </w:r>
      <w:r>
        <w:t xml:space="preserve"> </w:t>
      </w:r>
      <w:proofErr w:type="spellStart"/>
      <w:r>
        <w:t>Sammel</w:t>
      </w:r>
      <w:proofErr w:type="spellEnd"/>
      <w:r>
        <w:t xml:space="preserve"> </w:t>
      </w:r>
      <w:proofErr w:type="spellStart"/>
      <w:r>
        <w:t>buch</w:t>
      </w:r>
      <w:proofErr w:type="spellEnd"/>
      <w:r>
        <w:t xml:space="preserve"> 8036 </w:t>
      </w:r>
      <w:proofErr w:type="spellStart"/>
      <w:r>
        <w:t>Koptos</w:t>
      </w:r>
      <w:proofErr w:type="spellEnd"/>
      <w:r>
        <w:t xml:space="preserve"> 110/09 BC or 74/73 BC </w:t>
      </w:r>
      <w:r w:rsidR="00637D7D">
        <w:t>and 2264</w:t>
      </w:r>
    </w:p>
  </w:footnote>
  <w:footnote w:id="14">
    <w:p w:rsidR="00E209A5" w:rsidRDefault="00E209A5">
      <w:pPr>
        <w:pStyle w:val="FootnoteText"/>
      </w:pPr>
      <w:r>
        <w:rPr>
          <w:rStyle w:val="FootnoteReference"/>
        </w:rPr>
        <w:footnoteRef/>
      </w:r>
      <w:r w:rsidR="00B869E4">
        <w:t xml:space="preserve"> </w:t>
      </w:r>
      <w:proofErr w:type="spellStart"/>
      <w:r w:rsidR="00B869E4">
        <w:t>Escoffey</w:t>
      </w:r>
      <w:proofErr w:type="spellEnd"/>
      <w:r w:rsidR="00B869E4">
        <w:t>, 2012.</w:t>
      </w:r>
    </w:p>
  </w:footnote>
  <w:footnote w:id="15">
    <w:p w:rsidR="00C86FD5" w:rsidRDefault="00C86FD5">
      <w:pPr>
        <w:pStyle w:val="FootnoteText"/>
      </w:pPr>
      <w:r>
        <w:rPr>
          <w:rStyle w:val="FootnoteReference"/>
        </w:rPr>
        <w:footnoteRef/>
      </w:r>
      <w:r>
        <w:t xml:space="preserve"> </w:t>
      </w:r>
      <w:proofErr w:type="spellStart"/>
      <w:r w:rsidR="00043AB3" w:rsidRPr="00043AB3">
        <w:t>Walbank</w:t>
      </w:r>
      <w:proofErr w:type="spellEnd"/>
      <w:r w:rsidR="00043AB3">
        <w:t>, 1981.</w:t>
      </w:r>
    </w:p>
  </w:footnote>
  <w:footnote w:id="16">
    <w:p w:rsidR="006D6AA8" w:rsidRDefault="006D6AA8">
      <w:pPr>
        <w:pStyle w:val="FootnoteText"/>
      </w:pPr>
      <w:r>
        <w:rPr>
          <w:rStyle w:val="FootnoteReference"/>
        </w:rPr>
        <w:footnoteRef/>
      </w:r>
      <w:r>
        <w:t xml:space="preserve"> Fraser, P. 1972.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4B9"/>
    <w:rsid w:val="000036A9"/>
    <w:rsid w:val="00004FAB"/>
    <w:rsid w:val="000173B7"/>
    <w:rsid w:val="00043AB3"/>
    <w:rsid w:val="00050EAB"/>
    <w:rsid w:val="00087B89"/>
    <w:rsid w:val="00087E9C"/>
    <w:rsid w:val="0009642A"/>
    <w:rsid w:val="000B0867"/>
    <w:rsid w:val="000E1D83"/>
    <w:rsid w:val="000F100E"/>
    <w:rsid w:val="00120BDE"/>
    <w:rsid w:val="0013588F"/>
    <w:rsid w:val="00152759"/>
    <w:rsid w:val="001F2992"/>
    <w:rsid w:val="00205EC9"/>
    <w:rsid w:val="00206F0B"/>
    <w:rsid w:val="00250ACE"/>
    <w:rsid w:val="00265E48"/>
    <w:rsid w:val="002743A7"/>
    <w:rsid w:val="002A2E33"/>
    <w:rsid w:val="002B39E3"/>
    <w:rsid w:val="002F532D"/>
    <w:rsid w:val="00321C24"/>
    <w:rsid w:val="00354208"/>
    <w:rsid w:val="003550F1"/>
    <w:rsid w:val="003E1771"/>
    <w:rsid w:val="003F31E5"/>
    <w:rsid w:val="004047D9"/>
    <w:rsid w:val="00454CDC"/>
    <w:rsid w:val="00455A7E"/>
    <w:rsid w:val="0046179A"/>
    <w:rsid w:val="00462FAE"/>
    <w:rsid w:val="0048218A"/>
    <w:rsid w:val="0049076A"/>
    <w:rsid w:val="004A0426"/>
    <w:rsid w:val="004E4567"/>
    <w:rsid w:val="00530139"/>
    <w:rsid w:val="005345C8"/>
    <w:rsid w:val="0054223F"/>
    <w:rsid w:val="0054601C"/>
    <w:rsid w:val="00583D73"/>
    <w:rsid w:val="00584E82"/>
    <w:rsid w:val="005D04F1"/>
    <w:rsid w:val="005D4797"/>
    <w:rsid w:val="00606BE4"/>
    <w:rsid w:val="00637D7D"/>
    <w:rsid w:val="00653DD0"/>
    <w:rsid w:val="0068506E"/>
    <w:rsid w:val="006A4E50"/>
    <w:rsid w:val="006C687D"/>
    <w:rsid w:val="006D6AA8"/>
    <w:rsid w:val="0070190D"/>
    <w:rsid w:val="00732565"/>
    <w:rsid w:val="00741BC9"/>
    <w:rsid w:val="00771073"/>
    <w:rsid w:val="007B58E7"/>
    <w:rsid w:val="0080099F"/>
    <w:rsid w:val="008315AB"/>
    <w:rsid w:val="00837052"/>
    <w:rsid w:val="0086326A"/>
    <w:rsid w:val="00872764"/>
    <w:rsid w:val="00883960"/>
    <w:rsid w:val="008E3502"/>
    <w:rsid w:val="008F628B"/>
    <w:rsid w:val="009001DC"/>
    <w:rsid w:val="00902FB1"/>
    <w:rsid w:val="009104B9"/>
    <w:rsid w:val="0092364E"/>
    <w:rsid w:val="00932267"/>
    <w:rsid w:val="00991ED4"/>
    <w:rsid w:val="00994E0F"/>
    <w:rsid w:val="009B42D7"/>
    <w:rsid w:val="009B600F"/>
    <w:rsid w:val="009D0897"/>
    <w:rsid w:val="009E639C"/>
    <w:rsid w:val="00A04AD5"/>
    <w:rsid w:val="00A17CC5"/>
    <w:rsid w:val="00A50FAF"/>
    <w:rsid w:val="00A54370"/>
    <w:rsid w:val="00A62EC0"/>
    <w:rsid w:val="00A81434"/>
    <w:rsid w:val="00A948A8"/>
    <w:rsid w:val="00AA2DB5"/>
    <w:rsid w:val="00AA4514"/>
    <w:rsid w:val="00AB7B86"/>
    <w:rsid w:val="00AE3CE0"/>
    <w:rsid w:val="00B07013"/>
    <w:rsid w:val="00B233CC"/>
    <w:rsid w:val="00B4344B"/>
    <w:rsid w:val="00B75F48"/>
    <w:rsid w:val="00B869E4"/>
    <w:rsid w:val="00BB0D51"/>
    <w:rsid w:val="00BB2BE7"/>
    <w:rsid w:val="00BC533A"/>
    <w:rsid w:val="00BE06A3"/>
    <w:rsid w:val="00C40CAE"/>
    <w:rsid w:val="00C6197C"/>
    <w:rsid w:val="00C86FD5"/>
    <w:rsid w:val="00CB0B1B"/>
    <w:rsid w:val="00CD298F"/>
    <w:rsid w:val="00CD5684"/>
    <w:rsid w:val="00D2180A"/>
    <w:rsid w:val="00D21CDD"/>
    <w:rsid w:val="00D3034D"/>
    <w:rsid w:val="00D342D8"/>
    <w:rsid w:val="00D360EB"/>
    <w:rsid w:val="00D53AA1"/>
    <w:rsid w:val="00D9404A"/>
    <w:rsid w:val="00DC6A59"/>
    <w:rsid w:val="00DD1678"/>
    <w:rsid w:val="00DD7B2C"/>
    <w:rsid w:val="00E052F2"/>
    <w:rsid w:val="00E209A5"/>
    <w:rsid w:val="00E81C8A"/>
    <w:rsid w:val="00EA1CF4"/>
    <w:rsid w:val="00EA5A81"/>
    <w:rsid w:val="00EB52CA"/>
    <w:rsid w:val="00EC14ED"/>
    <w:rsid w:val="00EC76FF"/>
    <w:rsid w:val="00EF4E87"/>
    <w:rsid w:val="00F009A9"/>
    <w:rsid w:val="00F0383C"/>
    <w:rsid w:val="00F532F9"/>
    <w:rsid w:val="00F955DF"/>
    <w:rsid w:val="00FC3F93"/>
    <w:rsid w:val="00FF0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05BE"/>
  <w15:chartTrackingRefBased/>
  <w15:docId w15:val="{3B156727-5472-453D-888A-E7896ACE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48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18A"/>
  </w:style>
  <w:style w:type="paragraph" w:styleId="Footer">
    <w:name w:val="footer"/>
    <w:basedOn w:val="Normal"/>
    <w:link w:val="FooterChar"/>
    <w:uiPriority w:val="99"/>
    <w:unhideWhenUsed/>
    <w:rsid w:val="0048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18A"/>
  </w:style>
  <w:style w:type="paragraph" w:styleId="FootnoteText">
    <w:name w:val="footnote text"/>
    <w:basedOn w:val="Normal"/>
    <w:link w:val="FootnoteTextChar"/>
    <w:uiPriority w:val="99"/>
    <w:semiHidden/>
    <w:unhideWhenUsed/>
    <w:rsid w:val="00DD7B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7B2C"/>
    <w:rPr>
      <w:sz w:val="20"/>
      <w:szCs w:val="20"/>
    </w:rPr>
  </w:style>
  <w:style w:type="character" w:styleId="FootnoteReference">
    <w:name w:val="footnote reference"/>
    <w:basedOn w:val="DefaultParagraphFont"/>
    <w:uiPriority w:val="99"/>
    <w:semiHidden/>
    <w:unhideWhenUsed/>
    <w:rsid w:val="00DD7B2C"/>
    <w:rPr>
      <w:vertAlign w:val="superscript"/>
    </w:rPr>
  </w:style>
  <w:style w:type="paragraph" w:styleId="Title">
    <w:name w:val="Title"/>
    <w:basedOn w:val="Normal"/>
    <w:next w:val="Normal"/>
    <w:link w:val="TitleChar"/>
    <w:uiPriority w:val="10"/>
    <w:qFormat/>
    <w:rsid w:val="00C86F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F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8A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948A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A948A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923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89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Aymerich</dc:creator>
  <cp:keywords/>
  <dc:description/>
  <cp:lastModifiedBy>Kyle Erickson</cp:lastModifiedBy>
  <cp:revision>2</cp:revision>
  <dcterms:created xsi:type="dcterms:W3CDTF">2018-02-08T11:15:00Z</dcterms:created>
  <dcterms:modified xsi:type="dcterms:W3CDTF">2018-02-08T11:15:00Z</dcterms:modified>
</cp:coreProperties>
</file>