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2">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4">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5">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6">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7">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8">
      <w:pPr>
        <w:spacing w:line="480" w:lineRule="auto"/>
        <w:jc w:val="center"/>
        <w:rPr>
          <w:b w:val="1"/>
          <w:sz w:val="32"/>
          <w:szCs w:val="32"/>
        </w:rPr>
      </w:pPr>
      <w:r w:rsidDel="00000000" w:rsidR="00000000" w:rsidRPr="00000000">
        <w:rPr>
          <w:b w:val="1"/>
          <w:sz w:val="32"/>
          <w:szCs w:val="32"/>
          <w:rtl w:val="0"/>
        </w:rPr>
        <w:t xml:space="preserve">Module Title - Criminal law</w:t>
      </w:r>
    </w:p>
    <w:p w:rsidR="00000000" w:rsidDel="00000000" w:rsidP="00000000" w:rsidRDefault="00000000" w:rsidRPr="00000000" w14:paraId="00000009">
      <w:pPr>
        <w:spacing w:line="480" w:lineRule="auto"/>
        <w:jc w:val="center"/>
        <w:rPr>
          <w:b w:val="1"/>
          <w:sz w:val="28"/>
          <w:szCs w:val="28"/>
        </w:rPr>
      </w:pPr>
      <w:r w:rsidDel="00000000" w:rsidR="00000000" w:rsidRPr="00000000">
        <w:rPr>
          <w:b w:val="1"/>
          <w:sz w:val="28"/>
          <w:szCs w:val="28"/>
          <w:rtl w:val="0"/>
        </w:rPr>
        <w:t xml:space="preserve">Assignment Title – Diminished Responsibility</w:t>
      </w:r>
    </w:p>
    <w:p w:rsidR="00000000" w:rsidDel="00000000" w:rsidP="00000000" w:rsidRDefault="00000000" w:rsidRPr="00000000" w14:paraId="0000000A">
      <w:pPr>
        <w:spacing w:line="480" w:lineRule="auto"/>
        <w:jc w:val="center"/>
        <w:rPr/>
      </w:pPr>
      <w:r w:rsidDel="00000000" w:rsidR="00000000" w:rsidRPr="00000000">
        <w:rPr>
          <w:rtl w:val="0"/>
        </w:rPr>
        <w:t xml:space="preserve">Student Name – Lorena Petronela Forcos</w:t>
      </w:r>
    </w:p>
    <w:p w:rsidR="00000000" w:rsidDel="00000000" w:rsidP="00000000" w:rsidRDefault="00000000" w:rsidRPr="00000000" w14:paraId="0000000B">
      <w:pPr>
        <w:spacing w:line="480" w:lineRule="auto"/>
        <w:jc w:val="center"/>
        <w:rPr/>
      </w:pPr>
      <w:r w:rsidDel="00000000" w:rsidR="00000000" w:rsidRPr="00000000">
        <w:rPr>
          <w:rtl w:val="0"/>
        </w:rPr>
        <w:t xml:space="preserve">Student ID – 1710294</w:t>
      </w:r>
    </w:p>
    <w:p w:rsidR="00000000" w:rsidDel="00000000" w:rsidP="00000000" w:rsidRDefault="00000000" w:rsidRPr="00000000" w14:paraId="0000000C">
      <w:pPr>
        <w:spacing w:after="160" w:line="480" w:lineRule="auto"/>
        <w:jc w:val="left"/>
        <w:rPr>
          <w:b w:val="1"/>
        </w:rPr>
      </w:pPr>
      <w:r w:rsidDel="00000000" w:rsidR="00000000" w:rsidRPr="00000000">
        <w:br w:type="page"/>
      </w:r>
      <w:r w:rsidDel="00000000" w:rsidR="00000000" w:rsidRPr="00000000">
        <w:rPr>
          <w:b w:val="1"/>
          <w:rtl w:val="0"/>
        </w:rPr>
        <w:t xml:space="preserve">Introduction</w:t>
      </w:r>
    </w:p>
    <w:p w:rsidR="00000000" w:rsidDel="00000000" w:rsidP="00000000" w:rsidRDefault="00000000" w:rsidRPr="00000000" w14:paraId="0000000D">
      <w:pPr>
        <w:spacing w:after="160" w:line="480" w:lineRule="auto"/>
        <w:rPr/>
      </w:pPr>
      <w:r w:rsidDel="00000000" w:rsidR="00000000" w:rsidRPr="00000000">
        <w:rPr>
          <w:rtl w:val="0"/>
        </w:rPr>
        <w:t xml:space="preserve">The UK government has been very strict towards the crimes happening in the nation and passed several legislations under the criminal law that has been reformed from time to time. The term criminal law refers to that body of law that deals mainly with criminal felonies and also maintains the apprehension, charging and trials of suspected individuals. In other words, it can be said criminal laws are those laws which impose penalties or apply other treatment procedures to the suspected or convicted criminals of the country. Therefore, this essay will be composed to demonstrate knowledge and comprehension of the different social, philosophical and ethical issues that revolve around the criminal law of the UK. This essay will particularly put its focus on discussing the S.2 Homicide Act 1957 by the UK government and explain the requirements of this law for deranged criminals. Thereafter, the essay will also mention the ways by which the s.52 Coroners and Justice Act 2009 reformed criminal law. The advantages and drawbacks received from the changes made will also be emphasised. Further, some recommendations will also be provided that will be aimed to suggest improvements under this area of the law.    </w:t>
      </w:r>
    </w:p>
    <w:p w:rsidR="00000000" w:rsidDel="00000000" w:rsidP="00000000" w:rsidRDefault="00000000" w:rsidRPr="00000000" w14:paraId="0000000E">
      <w:pPr>
        <w:spacing w:after="160" w:line="48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after="160" w:line="480" w:lineRule="auto"/>
        <w:rPr>
          <w:b w:val="1"/>
        </w:rPr>
      </w:pPr>
      <w:r w:rsidDel="00000000" w:rsidR="00000000" w:rsidRPr="00000000">
        <w:rPr>
          <w:b w:val="1"/>
          <w:rtl w:val="0"/>
        </w:rPr>
        <w:t xml:space="preserve">Discussion</w:t>
      </w:r>
    </w:p>
    <w:p w:rsidR="00000000" w:rsidDel="00000000" w:rsidP="00000000" w:rsidRDefault="00000000" w:rsidRPr="00000000" w14:paraId="00000010">
      <w:pPr>
        <w:spacing w:line="480" w:lineRule="auto"/>
        <w:rPr/>
      </w:pPr>
      <w:r w:rsidDel="00000000" w:rsidR="00000000" w:rsidRPr="00000000">
        <w:rPr>
          <w:rtl w:val="0"/>
        </w:rPr>
        <w:t xml:space="preserve">The coroners and justice act of 2009 aims to serve the needs of the people who are mere sufferers at the core of coroner services. The coroner services are particularly delivered within a specialised frame of work that maintains the national standards for the sake of the bereaved people who need help quite drastically. The coroners and justice act of 2009 sometimes are subjected to a well-planned reform for the interests of the public. The coroners and justice act of 2009 are mainly related to the reforms in the statutory practices for the bereaved people to treat most. Several aspects of Guide to Coroners Services with multiple aspects of free charge along with disclosed information about the reforms during the investigations had been the prime focus of it. The flexibility of locations and post-mortem investigations can be examined all over England and Wales rather than the restricted area of Coroner (</w:t>
      </w:r>
      <w:r w:rsidDel="00000000" w:rsidR="00000000" w:rsidRPr="00000000">
        <w:rPr>
          <w:color w:val="222222"/>
          <w:highlight w:val="white"/>
          <w:rtl w:val="0"/>
        </w:rPr>
        <w:t xml:space="preserve">Broadbridge, 2022).</w:t>
      </w:r>
      <w:r w:rsidDel="00000000" w:rsidR="00000000" w:rsidRPr="00000000">
        <w:rPr>
          <w:rtl w:val="0"/>
        </w:rPr>
        <w:t xml:space="preserve"> </w:t>
      </w:r>
    </w:p>
    <w:p w:rsidR="00000000" w:rsidDel="00000000" w:rsidP="00000000" w:rsidRDefault="00000000" w:rsidRPr="00000000" w14:paraId="00000011">
      <w:pPr>
        <w:spacing w:line="480" w:lineRule="auto"/>
        <w:rPr/>
      </w:pPr>
      <w:r w:rsidDel="00000000" w:rsidR="00000000" w:rsidRPr="00000000">
        <w:rPr>
          <w:rtl w:val="0"/>
        </w:rPr>
        <w:t xml:space="preserve">Diminished responsibility is the legal framework and doctrine regarding the accused person that is instrumental in absolving certain parts of criminal activities for individuals that suffer from mental irregularity. The declaration of diminished responsibility equips a mitigating and sustainable defence in circumstances in which the cognitive disorder or deficiency is considered in favour of the alleged person (</w:t>
      </w:r>
      <w:r w:rsidDel="00000000" w:rsidR="00000000" w:rsidRPr="00000000">
        <w:rPr>
          <w:color w:val="222222"/>
          <w:highlight w:val="white"/>
          <w:rtl w:val="0"/>
        </w:rPr>
        <w:t xml:space="preserve">Reed, 2021</w:t>
      </w:r>
      <w:r w:rsidDel="00000000" w:rsidR="00000000" w:rsidRPr="00000000">
        <w:rPr>
          <w:rtl w:val="0"/>
        </w:rPr>
        <w:t xml:space="preserve">). The requirement of proof of mental illness is mandatory regarding the accusation. The judges hold the predominant power to incorporate the decision regarding the mental disorder to convict an alleged person. A mental disorder is recognised as a mental disease to defend the insanity of a person.</w:t>
      </w:r>
      <w:r w:rsidDel="00000000" w:rsidR="00000000" w:rsidRPr="00000000">
        <w:rPr>
          <w:b w:val="1"/>
          <w:rtl w:val="0"/>
        </w:rPr>
        <w:t xml:space="preserve"> </w:t>
      </w:r>
      <w:r w:rsidDel="00000000" w:rsidR="00000000" w:rsidRPr="00000000">
        <w:rPr>
          <w:rtl w:val="0"/>
        </w:rPr>
        <w:t xml:space="preserve">Multiple facets of diminished responsibility come under this section. Section 2 of the homicide act of 1957 has provided in-depth descriptions and requirements for persons with a mental disorder of insanity. According to this legal doctrine, a person liable for killing the other person will not be convicted as the murderer as the particular person has been suffering from an abnormality of mind (</w:t>
      </w:r>
      <w:r w:rsidDel="00000000" w:rsidR="00000000" w:rsidRPr="00000000">
        <w:rPr>
          <w:color w:val="222222"/>
          <w:highlight w:val="white"/>
          <w:rtl w:val="0"/>
        </w:rPr>
        <w:t xml:space="preserve">Aronson, 2022)</w:t>
      </w:r>
      <w:r w:rsidDel="00000000" w:rsidR="00000000" w:rsidRPr="00000000">
        <w:rPr>
          <w:rtl w:val="0"/>
        </w:rPr>
        <w:t xml:space="preserve">. The abnormality can be categorised into multiple stages of insanity as it can be aroused from a retarded growth of the mind or due to any inherent fluctuations induced by multiple standards of illness related to cognitive functions. The mental responsibility of the personnel is tarnished and holds them responsible for the inhumane activities. Another aspect of Section 2 of the homicide act of 1957 specified that in the case of the charge of murder, the defence must prove that the alleged person is charged by virtue of this specific section and not susceptible to condemned murder (</w:t>
      </w:r>
      <w:r w:rsidDel="00000000" w:rsidR="00000000" w:rsidRPr="00000000">
        <w:rPr>
          <w:color w:val="222222"/>
          <w:highlight w:val="white"/>
          <w:rtl w:val="0"/>
        </w:rPr>
        <w:t xml:space="preserve">Richards, 2021</w:t>
      </w:r>
      <w:r w:rsidDel="00000000" w:rsidR="00000000" w:rsidRPr="00000000">
        <w:rPr>
          <w:rtl w:val="0"/>
        </w:rPr>
        <w:t xml:space="preserve">). According to this section, the person who is the principal or accessory in the case of murder can also be condemned for murder and liable to be sentenced to manslaughter. The requirement for the change is pretty evident for the Coroners and Justice Act of 2009 provides significant disadvantages to the judicial system at crucial times (</w:t>
      </w:r>
      <w:r w:rsidDel="00000000" w:rsidR="00000000" w:rsidRPr="00000000">
        <w:rPr>
          <w:color w:val="222222"/>
          <w:highlight w:val="white"/>
          <w:rtl w:val="0"/>
        </w:rPr>
        <w:t xml:space="preserve">Marks, 2023</w:t>
      </w:r>
      <w:r w:rsidDel="00000000" w:rsidR="00000000" w:rsidRPr="00000000">
        <w:rPr>
          <w:rtl w:val="0"/>
        </w:rPr>
        <w:t xml:space="preserve">). The judges are hindered from providing their verdicts according to the mental disabilities of accused persons and had to settle for fewer sentences. </w:t>
      </w:r>
    </w:p>
    <w:p w:rsidR="00000000" w:rsidDel="00000000" w:rsidP="00000000" w:rsidRDefault="00000000" w:rsidRPr="00000000" w14:paraId="00000012">
      <w:pPr>
        <w:spacing w:line="480" w:lineRule="auto"/>
        <w:rPr/>
      </w:pPr>
      <w:r w:rsidDel="00000000" w:rsidR="00000000" w:rsidRPr="00000000">
        <w:rPr>
          <w:rtl w:val="0"/>
        </w:rPr>
        <w:t xml:space="preserve">The formative legal powers are transferred to non-legal persons as a matter of fact that multiple people can take advantage of this section and utilise it as a safeguarded card to escape punishment. The guilty persons cannot escape a sentence for their respective criminal activities (</w:t>
      </w:r>
      <w:r w:rsidDel="00000000" w:rsidR="00000000" w:rsidRPr="00000000">
        <w:rPr>
          <w:color w:val="222222"/>
          <w:highlight w:val="white"/>
          <w:rtl w:val="0"/>
        </w:rPr>
        <w:t xml:space="preserve">Leary, 2021</w:t>
      </w:r>
      <w:r w:rsidDel="00000000" w:rsidR="00000000" w:rsidRPr="00000000">
        <w:rPr>
          <w:rtl w:val="0"/>
        </w:rPr>
        <w:t xml:space="preserve">). The section sometimes safeguards the real criminal who acts like a disabled person to escape punishment. The change is mandatory as the real sufferers are to get the proper benefits from the implemented law and not the imposter who just utilises this act to hide their heinous acts. Section 2 of the Coroners and Justice Act of 2009 holds a significant role in changing the law that regulates criminal offences. Multiple sections of 52, and 57 of the Coroners and Justice Act of 2009 made certain changes in the law of homicide that refers to the killing of a person by another. Section 54 and 55 of the Coroners and Justice Act of 2009 introduces a new partial defence of provocation that is repealed by the next section numbered 56 of the act of 2009. Section 57  of the Coroners and Justice Act of 2009 makes certain amendments to the laws regarding the offence of infanticide(</w:t>
      </w:r>
      <w:r w:rsidDel="00000000" w:rsidR="00000000" w:rsidRPr="00000000">
        <w:rPr>
          <w:color w:val="222222"/>
          <w:highlight w:val="white"/>
          <w:rtl w:val="0"/>
        </w:rPr>
        <w:t xml:space="preserve">Wasik, 2019</w:t>
      </w:r>
      <w:r w:rsidDel="00000000" w:rsidR="00000000" w:rsidRPr="00000000">
        <w:rPr>
          <w:rtl w:val="0"/>
        </w:rPr>
        <w:t xml:space="preserve">). The subsection of the multiple acts applies the partial defence that aims to defend the mental condition regarding the behavioural aspects. The act also enforced several drafting of the new partial defence determining mental conduction. </w:t>
      </w:r>
    </w:p>
    <w:p w:rsidR="00000000" w:rsidDel="00000000" w:rsidP="00000000" w:rsidRDefault="00000000" w:rsidRPr="00000000" w14:paraId="00000013">
      <w:pPr>
        <w:spacing w:line="480" w:lineRule="auto"/>
        <w:rPr>
          <w:color w:val="000000"/>
        </w:rPr>
      </w:pPr>
      <w:r w:rsidDel="00000000" w:rsidR="00000000" w:rsidRPr="00000000">
        <w:rPr>
          <w:rtl w:val="0"/>
        </w:rPr>
        <w:t xml:space="preserve">The s.52 Coroners and Justice Act of 2009 has brought several significant changes to the criminal law of the UK. Under this section of the law, it is given that the resistance to provocation is eliminated and, in its place, emerges a new partial defence action that involves loss of control by the provoker. This legislation by the UK government has been aimed to deal with the partial defence of murder by a deranged individual which is only applicable in both England and Wales</w:t>
      </w:r>
      <w:r w:rsidDel="00000000" w:rsidR="00000000" w:rsidRPr="00000000">
        <w:rPr>
          <w:highlight w:val="white"/>
          <w:rtl w:val="0"/>
        </w:rPr>
        <w:t xml:space="preserve"> (Reed et al, 2021)</w:t>
      </w:r>
      <w:r w:rsidDel="00000000" w:rsidR="00000000" w:rsidRPr="00000000">
        <w:rPr>
          <w:rtl w:val="0"/>
        </w:rPr>
        <w:t xml:space="preserve">. This particular legislation was put into effect in October 2010 that made significant changes to the law of homicide. It goes on that if a mentally unstable person attempts murder then the English jury will change the verdict from murder to manslaughter. Of course, the defendant needs to prove the medical condition for which the person is suffering that led the individual to lose control of their actions (</w:t>
      </w:r>
      <w:r w:rsidDel="00000000" w:rsidR="00000000" w:rsidRPr="00000000">
        <w:rPr>
          <w:highlight w:val="white"/>
          <w:rtl w:val="0"/>
        </w:rPr>
        <w:t xml:space="preserve">Crofts</w:t>
      </w:r>
      <w:r w:rsidDel="00000000" w:rsidR="00000000" w:rsidRPr="00000000">
        <w:rPr>
          <w:rtl w:val="0"/>
        </w:rPr>
        <w:t xml:space="preserve"> and </w:t>
      </w:r>
      <w:r w:rsidDel="00000000" w:rsidR="00000000" w:rsidRPr="00000000">
        <w:rPr>
          <w:highlight w:val="white"/>
          <w:rtl w:val="0"/>
        </w:rPr>
        <w:t xml:space="preserve">Wake, 2021)</w:t>
      </w:r>
      <w:r w:rsidDel="00000000" w:rsidR="00000000" w:rsidRPr="00000000">
        <w:rPr>
          <w:rtl w:val="0"/>
        </w:rPr>
        <w:t xml:space="preserve">. There were some advantages and a few drawbacks that the UK public received out of these necessary changes in the English criminal law system. The first advantage that came is that the truly mentally unstable person gets fair judgement by the jury system for any crimes attempted. However, due to these changes in the law any mentally stable criminal can attempt murder and could fake any medical condition and can escape from the punishment that the defendant deserves</w:t>
      </w:r>
      <w:r w:rsidDel="00000000" w:rsidR="00000000" w:rsidRPr="00000000">
        <w:rPr>
          <w:highlight w:val="white"/>
          <w:rtl w:val="0"/>
        </w:rPr>
        <w:t xml:space="preserve"> (Edwards, 2019)</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4">
      <w:pPr>
        <w:spacing w:after="160" w:line="480" w:lineRule="auto"/>
        <w:rPr/>
      </w:pPr>
      <w:r w:rsidDel="00000000" w:rsidR="00000000" w:rsidRPr="00000000">
        <w:rPr>
          <w:rtl w:val="0"/>
        </w:rPr>
        <w:t xml:space="preserve">The changes that have been brought to the modern criminal law of the UK by the s. 52 Coroners and Justice Act of 2009 has been fair for truly mentally unstable or abnormal individuals. However, criminals with no medical records should not get away from their committed crimes and the UK judicial system should be stricter while dealing with such diminished responsibility murder cases. It is highly suggested to the English judicial system that the solicitors must pay attention to the medical records of the defendants and should be wise while investigating the case. In addition, it is also suggested that the jury must also be fair while passing the verdict to the suspected individuals. It is also recommended that if a mentally unstable person is found for murder it is the responsibility of the jury to see the needs of the defendant and as well as the pleader and equal benefits must be passed for which both parties gain certain benefits. </w:t>
      </w:r>
      <w:r w:rsidDel="00000000" w:rsidR="00000000" w:rsidRPr="00000000">
        <w:br w:type="page"/>
      </w:r>
      <w:r w:rsidDel="00000000" w:rsidR="00000000" w:rsidRPr="00000000">
        <w:rPr>
          <w:rtl w:val="0"/>
        </w:rPr>
      </w:r>
    </w:p>
    <w:p w:rsidR="00000000" w:rsidDel="00000000" w:rsidP="00000000" w:rsidRDefault="00000000" w:rsidRPr="00000000" w14:paraId="00000015">
      <w:pPr>
        <w:spacing w:after="160" w:line="480" w:lineRule="auto"/>
        <w:rPr>
          <w:b w:val="1"/>
        </w:rPr>
      </w:pPr>
      <w:r w:rsidDel="00000000" w:rsidR="00000000" w:rsidRPr="00000000">
        <w:rPr>
          <w:b w:val="1"/>
          <w:rtl w:val="0"/>
        </w:rPr>
        <w:t xml:space="preserve">Conclusion</w:t>
      </w:r>
    </w:p>
    <w:p w:rsidR="00000000" w:rsidDel="00000000" w:rsidP="00000000" w:rsidRDefault="00000000" w:rsidRPr="00000000" w14:paraId="00000016">
      <w:pPr>
        <w:spacing w:after="160" w:line="480" w:lineRule="auto"/>
        <w:rPr/>
      </w:pPr>
      <w:r w:rsidDel="00000000" w:rsidR="00000000" w:rsidRPr="00000000">
        <w:rPr>
          <w:rtl w:val="0"/>
        </w:rPr>
        <w:t xml:space="preserve">This essay has been directed at keeping the criminal law of the UK as the main point of focus. In that instance, the essay has provided a brief overview of criminal law in the UK. The essay has also explained the S.2 Homicide Act 1957 that has been passed by the UK government under the criminal law of the country. The essay has also mentioned the different requirements that have been needed for deranged criminals under this section of the law. Along with that, this essay has also shown pieces of evidence for which changes in the criminal law of the country were needed. Following that, this essay has indulged itself in uncovering the ways by which the s.52 Coroners and Justice Act of 2009 brought specific changes to the existing criminal law of the nation. Thereafter, some suitable suggestions like wiser verdict-making capability by the jury system and improved evidence from the medical records of the defendant have also been added at the end of this essay.     </w:t>
      </w:r>
    </w:p>
    <w:p w:rsidR="00000000" w:rsidDel="00000000" w:rsidP="00000000" w:rsidRDefault="00000000" w:rsidRPr="00000000" w14:paraId="00000017">
      <w:pPr>
        <w:spacing w:after="160" w:line="48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spacing w:line="480" w:lineRule="auto"/>
        <w:rPr/>
      </w:pPr>
      <w:r w:rsidDel="00000000" w:rsidR="00000000" w:rsidRPr="00000000">
        <w:rPr>
          <w:rtl w:val="0"/>
        </w:rPr>
        <w:t xml:space="preserve">References</w:t>
      </w:r>
    </w:p>
    <w:p w:rsidR="00000000" w:rsidDel="00000000" w:rsidP="00000000" w:rsidRDefault="00000000" w:rsidRPr="00000000" w14:paraId="00000019">
      <w:pPr>
        <w:spacing w:line="480" w:lineRule="auto"/>
        <w:rPr/>
      </w:pPr>
      <w:r w:rsidDel="00000000" w:rsidR="00000000" w:rsidRPr="00000000">
        <w:rPr>
          <w:color w:val="222222"/>
          <w:highlight w:val="white"/>
          <w:rtl w:val="0"/>
        </w:rPr>
        <w:t xml:space="preserve">Aronson, J.K., (2022). When I use a word.... Too little healthcare—coroners’ concerns. </w:t>
      </w:r>
      <w:r w:rsidDel="00000000" w:rsidR="00000000" w:rsidRPr="00000000">
        <w:rPr>
          <w:i w:val="1"/>
          <w:color w:val="222222"/>
          <w:highlight w:val="white"/>
          <w:rtl w:val="0"/>
        </w:rPr>
        <w:t xml:space="preserve">bmj</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379</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1A">
      <w:pPr>
        <w:spacing w:line="480" w:lineRule="auto"/>
        <w:rPr/>
      </w:pPr>
      <w:r w:rsidDel="00000000" w:rsidR="00000000" w:rsidRPr="00000000">
        <w:rPr>
          <w:color w:val="222222"/>
          <w:highlight w:val="white"/>
          <w:rtl w:val="0"/>
        </w:rPr>
        <w:t xml:space="preserve">Broadbridge, J., (2022). Re: Rita Britten, deceased Report to Prevent Further Deaths Paragraph 7, Schedule 5 of the Coroners and Justice Act 2009 and Regulations 28 and 29 of the Coroners (Investigations) Regulations 2013.</w:t>
      </w:r>
      <w:r w:rsidDel="00000000" w:rsidR="00000000" w:rsidRPr="00000000">
        <w:rPr>
          <w:rtl w:val="0"/>
        </w:rPr>
      </w:r>
    </w:p>
    <w:p w:rsidR="00000000" w:rsidDel="00000000" w:rsidP="00000000" w:rsidRDefault="00000000" w:rsidRPr="00000000" w14:paraId="0000001B">
      <w:pPr>
        <w:spacing w:line="480" w:lineRule="auto"/>
        <w:rPr>
          <w:highlight w:val="white"/>
        </w:rPr>
      </w:pPr>
      <w:r w:rsidDel="00000000" w:rsidR="00000000" w:rsidRPr="00000000">
        <w:rPr>
          <w:highlight w:val="white"/>
          <w:rtl w:val="0"/>
        </w:rPr>
        <w:t xml:space="preserve">Crofts, T. and Wake, N., (2021). Diminished responsibility determinations in England and Wales and New South Wales: whose role is it anyway?. </w:t>
      </w:r>
      <w:r w:rsidDel="00000000" w:rsidR="00000000" w:rsidRPr="00000000">
        <w:rPr>
          <w:i w:val="1"/>
          <w:highlight w:val="white"/>
          <w:rtl w:val="0"/>
        </w:rPr>
        <w:t xml:space="preserve">Northern Ireland Legal Quarterly</w:t>
      </w:r>
      <w:r w:rsidDel="00000000" w:rsidR="00000000" w:rsidRPr="00000000">
        <w:rPr>
          <w:highlight w:val="white"/>
          <w:rtl w:val="0"/>
        </w:rPr>
        <w:t xml:space="preserve">, </w:t>
      </w:r>
      <w:r w:rsidDel="00000000" w:rsidR="00000000" w:rsidRPr="00000000">
        <w:rPr>
          <w:i w:val="1"/>
          <w:highlight w:val="white"/>
          <w:rtl w:val="0"/>
        </w:rPr>
        <w:t xml:space="preserve">72</w:t>
      </w:r>
      <w:r w:rsidDel="00000000" w:rsidR="00000000" w:rsidRPr="00000000">
        <w:rPr>
          <w:highlight w:val="white"/>
          <w:rtl w:val="0"/>
        </w:rPr>
        <w:t xml:space="preserve">(2), pp.324-362.</w:t>
      </w:r>
    </w:p>
    <w:p w:rsidR="00000000" w:rsidDel="00000000" w:rsidP="00000000" w:rsidRDefault="00000000" w:rsidRPr="00000000" w14:paraId="0000001C">
      <w:pPr>
        <w:spacing w:line="480" w:lineRule="auto"/>
        <w:rPr/>
      </w:pPr>
      <w:r w:rsidDel="00000000" w:rsidR="00000000" w:rsidRPr="00000000">
        <w:rPr>
          <w:highlight w:val="white"/>
          <w:rtl w:val="0"/>
        </w:rPr>
        <w:t xml:space="preserve">Edwards, S.S., (2019). Recognising the Role of the Emotion of Fear in Offences and Defences. </w:t>
      </w:r>
      <w:r w:rsidDel="00000000" w:rsidR="00000000" w:rsidRPr="00000000">
        <w:rPr>
          <w:i w:val="1"/>
          <w:highlight w:val="white"/>
          <w:rtl w:val="0"/>
        </w:rPr>
        <w:t xml:space="preserve">The Journal of Criminal Law</w:t>
      </w:r>
      <w:r w:rsidDel="00000000" w:rsidR="00000000" w:rsidRPr="00000000">
        <w:rPr>
          <w:highlight w:val="white"/>
          <w:rtl w:val="0"/>
        </w:rPr>
        <w:t xml:space="preserve">, </w:t>
      </w:r>
      <w:r w:rsidDel="00000000" w:rsidR="00000000" w:rsidRPr="00000000">
        <w:rPr>
          <w:i w:val="1"/>
          <w:highlight w:val="white"/>
          <w:rtl w:val="0"/>
        </w:rPr>
        <w:t xml:space="preserve">83</w:t>
      </w:r>
      <w:r w:rsidDel="00000000" w:rsidR="00000000" w:rsidRPr="00000000">
        <w:rPr>
          <w:highlight w:val="white"/>
          <w:rtl w:val="0"/>
        </w:rPr>
        <w:t xml:space="preserve">(6), pp.450-472.</w:t>
      </w:r>
      <w:r w:rsidDel="00000000" w:rsidR="00000000" w:rsidRPr="00000000">
        <w:rPr>
          <w:rtl w:val="0"/>
        </w:rPr>
      </w:r>
    </w:p>
    <w:p w:rsidR="00000000" w:rsidDel="00000000" w:rsidP="00000000" w:rsidRDefault="00000000" w:rsidRPr="00000000" w14:paraId="0000001D">
      <w:pPr>
        <w:spacing w:line="480" w:lineRule="auto"/>
        <w:rPr/>
      </w:pPr>
      <w:r w:rsidDel="00000000" w:rsidR="00000000" w:rsidRPr="00000000">
        <w:rPr>
          <w:color w:val="222222"/>
          <w:highlight w:val="white"/>
          <w:rtl w:val="0"/>
        </w:rPr>
        <w:t xml:space="preserve">Leary, A., Bushe, D., Oldman, C., Lawler, J. and Punshon, G., (2021). A thematic analysis of the prevention of future deaths reports in healthcare from HM coroners in England and Wales 2016–2019. </w:t>
      </w:r>
      <w:r w:rsidDel="00000000" w:rsidR="00000000" w:rsidRPr="00000000">
        <w:rPr>
          <w:i w:val="1"/>
          <w:color w:val="222222"/>
          <w:highlight w:val="white"/>
          <w:rtl w:val="0"/>
        </w:rPr>
        <w:t xml:space="preserve">Journal of Patient Safety and Risk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26</w:t>
      </w:r>
      <w:r w:rsidDel="00000000" w:rsidR="00000000" w:rsidRPr="00000000">
        <w:rPr>
          <w:color w:val="222222"/>
          <w:highlight w:val="white"/>
          <w:rtl w:val="0"/>
        </w:rPr>
        <w:t xml:space="preserve">(1), pp.14-21.</w:t>
      </w:r>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color w:val="222222"/>
          <w:highlight w:val="white"/>
          <w:rtl w:val="0"/>
        </w:rPr>
        <w:t xml:space="preserve">Marks, P., (2023). Role of the Coroner. In </w:t>
      </w:r>
      <w:r w:rsidDel="00000000" w:rsidR="00000000" w:rsidRPr="00000000">
        <w:rPr>
          <w:i w:val="1"/>
          <w:color w:val="222222"/>
          <w:highlight w:val="white"/>
          <w:rtl w:val="0"/>
        </w:rPr>
        <w:t xml:space="preserve">The Medical Examiner Service</w:t>
      </w:r>
      <w:r w:rsidDel="00000000" w:rsidR="00000000" w:rsidRPr="00000000">
        <w:rPr>
          <w:color w:val="222222"/>
          <w:highlight w:val="white"/>
          <w:rtl w:val="0"/>
        </w:rPr>
        <w:t xml:space="preserve"> (pp. 111-124). CRC Press.</w:t>
      </w:r>
      <w:r w:rsidDel="00000000" w:rsidR="00000000" w:rsidRPr="00000000">
        <w:rPr>
          <w:rtl w:val="0"/>
        </w:rPr>
      </w:r>
    </w:p>
    <w:p w:rsidR="00000000" w:rsidDel="00000000" w:rsidP="00000000" w:rsidRDefault="00000000" w:rsidRPr="00000000" w14:paraId="0000001F">
      <w:pPr>
        <w:spacing w:line="480" w:lineRule="auto"/>
        <w:rPr>
          <w:highlight w:val="white"/>
        </w:rPr>
      </w:pPr>
      <w:r w:rsidDel="00000000" w:rsidR="00000000" w:rsidRPr="00000000">
        <w:rPr>
          <w:highlight w:val="white"/>
          <w:rtl w:val="0"/>
        </w:rPr>
        <w:t xml:space="preserve">Reed, A., Wake, N. and Simpson, B., (2021). 'Domestic and Comparative Perspectives on Loss of Self-Control and Diminished Responsibility as Partial Defences to Murder: A 10-Year Review of the Coroners and Justice Act 2009 Reform Framework'. </w:t>
      </w:r>
      <w:r w:rsidDel="00000000" w:rsidR="00000000" w:rsidRPr="00000000">
        <w:rPr>
          <w:i w:val="1"/>
          <w:highlight w:val="white"/>
          <w:rtl w:val="0"/>
        </w:rPr>
        <w:t xml:space="preserve">N. Ir. Legal Q.</w:t>
      </w:r>
      <w:r w:rsidDel="00000000" w:rsidR="00000000" w:rsidRPr="00000000">
        <w:rPr>
          <w:highlight w:val="white"/>
          <w:rtl w:val="0"/>
        </w:rPr>
        <w:t xml:space="preserve">, </w:t>
      </w:r>
      <w:r w:rsidDel="00000000" w:rsidR="00000000" w:rsidRPr="00000000">
        <w:rPr>
          <w:i w:val="1"/>
          <w:highlight w:val="white"/>
          <w:rtl w:val="0"/>
        </w:rPr>
        <w:t xml:space="preserve">72</w:t>
      </w:r>
      <w:r w:rsidDel="00000000" w:rsidR="00000000" w:rsidRPr="00000000">
        <w:rPr>
          <w:highlight w:val="white"/>
          <w:rtl w:val="0"/>
        </w:rPr>
        <w:t xml:space="preserve">, p.161.</w:t>
      </w:r>
    </w:p>
    <w:p w:rsidR="00000000" w:rsidDel="00000000" w:rsidP="00000000" w:rsidRDefault="00000000" w:rsidRPr="00000000" w14:paraId="00000020">
      <w:pPr>
        <w:spacing w:line="480" w:lineRule="auto"/>
        <w:rPr/>
      </w:pPr>
      <w:r w:rsidDel="00000000" w:rsidR="00000000" w:rsidRPr="00000000">
        <w:rPr>
          <w:color w:val="222222"/>
          <w:highlight w:val="white"/>
          <w:rtl w:val="0"/>
        </w:rPr>
        <w:t xml:space="preserve">Reed, A., Wake, N. and Simpson, B., (2021). 'Domestic and Comparative Perspectives on Loss of Self-Control and Diminished Responsibility as Partial Defences to Murder: A 10-Year Review of the Coroners and Justice Act 2009 Reform Framework'. </w:t>
      </w:r>
      <w:r w:rsidDel="00000000" w:rsidR="00000000" w:rsidRPr="00000000">
        <w:rPr>
          <w:i w:val="1"/>
          <w:color w:val="222222"/>
          <w:highlight w:val="white"/>
          <w:rtl w:val="0"/>
        </w:rPr>
        <w:t xml:space="preserve">N. Ir. Legal Q.</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72</w:t>
      </w:r>
      <w:r w:rsidDel="00000000" w:rsidR="00000000" w:rsidRPr="00000000">
        <w:rPr>
          <w:color w:val="222222"/>
          <w:highlight w:val="white"/>
          <w:rtl w:val="0"/>
        </w:rPr>
        <w:t xml:space="preserve">, p.161.</w:t>
      </w:r>
      <w:r w:rsidDel="00000000" w:rsidR="00000000" w:rsidRPr="00000000">
        <w:rPr>
          <w:rtl w:val="0"/>
        </w:rPr>
      </w:r>
    </w:p>
    <w:p w:rsidR="00000000" w:rsidDel="00000000" w:rsidP="00000000" w:rsidRDefault="00000000" w:rsidRPr="00000000" w14:paraId="00000021">
      <w:pPr>
        <w:spacing w:line="480" w:lineRule="auto"/>
        <w:rPr/>
      </w:pPr>
      <w:r w:rsidDel="00000000" w:rsidR="00000000" w:rsidRPr="00000000">
        <w:rPr>
          <w:color w:val="222222"/>
          <w:highlight w:val="white"/>
          <w:rtl w:val="0"/>
        </w:rPr>
        <w:t xml:space="preserve">Richards, G.C., Aronson, J.K. and Heneghan, C., (2021) Coroners’ concerns to prevent harms: a series of coroners’ case reports to serve patient safety and educate the public, clinicians and policy-makers. </w:t>
      </w:r>
      <w:r w:rsidDel="00000000" w:rsidR="00000000" w:rsidRPr="00000000">
        <w:rPr>
          <w:i w:val="1"/>
          <w:color w:val="222222"/>
          <w:highlight w:val="white"/>
          <w:rtl w:val="0"/>
        </w:rPr>
        <w:t xml:space="preserve">BMJ Evidence-Based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26</w:t>
      </w:r>
      <w:r w:rsidDel="00000000" w:rsidR="00000000" w:rsidRPr="00000000">
        <w:rPr>
          <w:color w:val="222222"/>
          <w:highlight w:val="white"/>
          <w:rtl w:val="0"/>
        </w:rPr>
        <w:t xml:space="preserve">(2), pp.37-38.</w:t>
      </w:r>
      <w:r w:rsidDel="00000000" w:rsidR="00000000" w:rsidRPr="00000000">
        <w:rPr>
          <w:rtl w:val="0"/>
        </w:rPr>
      </w:r>
    </w:p>
    <w:p w:rsidR="00000000" w:rsidDel="00000000" w:rsidP="00000000" w:rsidRDefault="00000000" w:rsidRPr="00000000" w14:paraId="00000022">
      <w:pPr>
        <w:spacing w:line="480" w:lineRule="auto"/>
        <w:rPr/>
      </w:pPr>
      <w:r w:rsidDel="00000000" w:rsidR="00000000" w:rsidRPr="00000000">
        <w:rPr>
          <w:color w:val="222222"/>
          <w:highlight w:val="white"/>
          <w:rtl w:val="0"/>
        </w:rPr>
        <w:t xml:space="preserve">Wasik, M., (2019). Reflections on the manslaughter sentencing guidelines. </w:t>
      </w:r>
      <w:r w:rsidDel="00000000" w:rsidR="00000000" w:rsidRPr="00000000">
        <w:rPr>
          <w:i w:val="1"/>
          <w:color w:val="222222"/>
          <w:highlight w:val="white"/>
          <w:rtl w:val="0"/>
        </w:rPr>
        <w:t xml:space="preserve">Criminal Law Review</w:t>
      </w:r>
      <w:r w:rsidDel="00000000" w:rsidR="00000000" w:rsidRPr="00000000">
        <w:rPr>
          <w:color w:val="222222"/>
          <w:highlight w:val="white"/>
          <w:rtl w:val="0"/>
        </w:rPr>
        <w:t xml:space="preserve">, (4), pp.315-332.</w:t>
      </w:r>
      <w:r w:rsidDel="00000000" w:rsidR="00000000" w:rsidRPr="00000000">
        <w:rPr>
          <w:rtl w:val="0"/>
        </w:rPr>
      </w:r>
    </w:p>
    <w:p w:rsidR="00000000" w:rsidDel="00000000" w:rsidP="00000000" w:rsidRDefault="00000000" w:rsidRPr="00000000" w14:paraId="00000023">
      <w:pPr>
        <w:spacing w:line="480" w:lineRule="auto"/>
        <w:rPr>
          <w:highlight w:val="white"/>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Criminal Law</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000000"/>
      <w:sz w:val="28"/>
      <w:szCs w:val="28"/>
    </w:rPr>
  </w:style>
  <w:style w:type="paragraph" w:styleId="Heading2">
    <w:name w:val="heading 2"/>
    <w:basedOn w:val="Normal"/>
    <w:next w:val="Normal"/>
    <w:pPr>
      <w:keepNext w:val="1"/>
      <w:keepLines w:val="1"/>
      <w:spacing w:before="40" w:lineRule="auto"/>
    </w:pPr>
    <w:rPr>
      <w:b w:val="1"/>
      <w:sz w:val="26"/>
      <w:szCs w:val="26"/>
    </w:rPr>
  </w:style>
  <w:style w:type="paragraph" w:styleId="Heading3">
    <w:name w:val="heading 3"/>
    <w:basedOn w:val="Normal"/>
    <w:next w:val="Normal"/>
    <w:pPr>
      <w:keepNext w:val="1"/>
      <w:keepLines w:val="1"/>
      <w:spacing w:after="80" w:before="320" w:line="480" w:lineRule="auto"/>
    </w:pPr>
    <w:rPr>
      <w:i w:val="1"/>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E498A"/>
    <w:pPr>
      <w:spacing w:after="0" w:line="240" w:lineRule="auto"/>
      <w:jc w:val="both"/>
    </w:pPr>
    <w:rPr>
      <w:rFonts w:ascii="Times New Roman" w:cs="Times New Roman" w:hAnsi="Times New Roman"/>
      <w:kern w:val="0"/>
      <w:sz w:val="24"/>
      <w:szCs w:val="22"/>
      <w:lang w:bidi="ar-SA" w:eastAsia="en-GB" w:val="en-GB"/>
    </w:rPr>
  </w:style>
  <w:style w:type="paragraph" w:styleId="Heading1">
    <w:name w:val="heading 1"/>
    <w:basedOn w:val="Normal"/>
    <w:next w:val="Normal"/>
    <w:link w:val="Heading1Char"/>
    <w:autoRedefine w:val="1"/>
    <w:uiPriority w:val="9"/>
    <w:qFormat w:val="1"/>
    <w:rsid w:val="009D4D08"/>
    <w:pPr>
      <w:keepNext w:val="1"/>
      <w:keepLines w:val="1"/>
      <w:spacing w:before="240"/>
      <w:outlineLvl w:val="0"/>
    </w:pPr>
    <w:rPr>
      <w:rFonts w:cstheme="majorBidi" w:eastAsiaTheme="majorEastAsia"/>
      <w:b w:val="1"/>
      <w:color w:val="000000" w:themeColor="text1"/>
      <w:sz w:val="28"/>
      <w:szCs w:val="32"/>
      <w:lang w:bidi="th-TH"/>
    </w:rPr>
  </w:style>
  <w:style w:type="paragraph" w:styleId="Heading2">
    <w:name w:val="heading 2"/>
    <w:basedOn w:val="Normal"/>
    <w:next w:val="Normal"/>
    <w:link w:val="Heading2Char"/>
    <w:uiPriority w:val="9"/>
    <w:unhideWhenUsed w:val="1"/>
    <w:qFormat w:val="1"/>
    <w:rsid w:val="005B089D"/>
    <w:pPr>
      <w:keepNext w:val="1"/>
      <w:keepLines w:val="1"/>
      <w:spacing w:before="40"/>
      <w:outlineLvl w:val="1"/>
    </w:pPr>
    <w:rPr>
      <w:rFonts w:cstheme="majorBidi" w:eastAsiaTheme="majorEastAsia"/>
      <w:b w:val="1"/>
      <w:sz w:val="26"/>
      <w:szCs w:val="26"/>
      <w:lang w:bidi="th-TH" w:val="en-US"/>
    </w:rPr>
  </w:style>
  <w:style w:type="paragraph" w:styleId="Heading3">
    <w:name w:val="heading 3"/>
    <w:basedOn w:val="Normal"/>
    <w:next w:val="Normal"/>
    <w:link w:val="Heading3Char"/>
    <w:uiPriority w:val="9"/>
    <w:unhideWhenUsed w:val="1"/>
    <w:qFormat w:val="1"/>
    <w:rsid w:val="00F63071"/>
    <w:pPr>
      <w:keepNext w:val="1"/>
      <w:keepLines w:val="1"/>
      <w:spacing w:after="80" w:before="320" w:line="480" w:lineRule="auto"/>
      <w:outlineLvl w:val="2"/>
    </w:pPr>
    <w:rPr>
      <w:i w:val="1"/>
      <w:szCs w:val="28"/>
      <w:u w:val="single"/>
      <w:lang w:bidi="th-TH"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D4D08"/>
    <w:rPr>
      <w:rFonts w:ascii="Times New Roman" w:hAnsi="Times New Roman" w:cstheme="majorBidi" w:eastAsiaTheme="majorEastAsia"/>
      <w:b w:val="1"/>
      <w:color w:val="000000" w:themeColor="text1"/>
      <w:sz w:val="28"/>
      <w:szCs w:val="32"/>
    </w:rPr>
  </w:style>
  <w:style w:type="character" w:styleId="Heading2Char" w:customStyle="1">
    <w:name w:val="Heading 2 Char"/>
    <w:basedOn w:val="DefaultParagraphFont"/>
    <w:link w:val="Heading2"/>
    <w:uiPriority w:val="9"/>
    <w:rsid w:val="005B089D"/>
    <w:rPr>
      <w:rFonts w:ascii="Times New Roman" w:hAnsi="Times New Roman" w:cstheme="majorBidi" w:eastAsiaTheme="majorEastAsia"/>
      <w:b w:val="1"/>
      <w:sz w:val="26"/>
      <w:szCs w:val="26"/>
    </w:rPr>
  </w:style>
  <w:style w:type="paragraph" w:styleId="Style1" w:customStyle="1">
    <w:name w:val="Style1"/>
    <w:basedOn w:val="Heading3"/>
    <w:link w:val="Style1Char"/>
    <w:qFormat w:val="1"/>
    <w:rsid w:val="00983BA3"/>
    <w:rPr>
      <w:i w:val="0"/>
    </w:rPr>
  </w:style>
  <w:style w:type="character" w:styleId="Style1Char" w:customStyle="1">
    <w:name w:val="Style1 Char"/>
    <w:basedOn w:val="Heading3Char"/>
    <w:link w:val="Style1"/>
    <w:rsid w:val="00983BA3"/>
    <w:rPr>
      <w:rFonts w:ascii="Times New Roman" w:hAnsi="Times New Roman" w:cstheme="majorBidi" w:eastAsiaTheme="majorEastAsia"/>
      <w:bCs w:val="0"/>
      <w:i w:val="0"/>
      <w:iCs w:val="0"/>
      <w:color w:val="000000" w:themeColor="text1"/>
      <w:sz w:val="24"/>
      <w:szCs w:val="30"/>
      <w:u w:val="single"/>
      <w:lang w:bidi="ar-SA" w:eastAsia="en-GB" w:val="en-GB"/>
    </w:rPr>
  </w:style>
  <w:style w:type="character" w:styleId="Heading3Char" w:customStyle="1">
    <w:name w:val="Heading 3 Char"/>
    <w:basedOn w:val="DefaultParagraphFont"/>
    <w:link w:val="Heading3"/>
    <w:uiPriority w:val="9"/>
    <w:rsid w:val="00F63071"/>
    <w:rPr>
      <w:rFonts w:ascii="Times New Roman" w:cs="Arial" w:hAnsi="Times New Roman"/>
      <w:i w:val="1"/>
      <w:sz w:val="24"/>
      <w:u w:val="single"/>
      <w:lang w:val="en"/>
    </w:rPr>
  </w:style>
  <w:style w:type="paragraph" w:styleId="BodyText">
    <w:name w:val="Body Text"/>
    <w:basedOn w:val="Normal"/>
    <w:link w:val="BodyTextChar"/>
    <w:uiPriority w:val="99"/>
    <w:semiHidden w:val="1"/>
    <w:unhideWhenUsed w:val="1"/>
    <w:rsid w:val="000D068E"/>
    <w:pPr>
      <w:spacing w:after="120"/>
    </w:pPr>
  </w:style>
  <w:style w:type="character" w:styleId="BodyTextChar" w:customStyle="1">
    <w:name w:val="Body Text Char"/>
    <w:basedOn w:val="DefaultParagraphFont"/>
    <w:link w:val="BodyText"/>
    <w:uiPriority w:val="99"/>
    <w:semiHidden w:val="1"/>
    <w:rsid w:val="000D068E"/>
    <w:rPr>
      <w:rFonts w:ascii="Times New Roman" w:cs="Arial" w:eastAsia="Arial" w:hAnsi="Times New Roman"/>
      <w:sz w:val="24"/>
      <w:szCs w:val="22"/>
      <w:lang w:bidi="ar-SA" w:val="en-GB"/>
    </w:rPr>
  </w:style>
  <w:style w:type="paragraph" w:styleId="heading20" w:customStyle="1">
    <w:name w:val="heading2"/>
    <w:basedOn w:val="Normal"/>
    <w:link w:val="heading2Char0"/>
    <w:autoRedefine w:val="1"/>
    <w:qFormat w:val="1"/>
    <w:rsid w:val="00A93597"/>
    <w:rPr>
      <w:b w:val="1"/>
      <w:bCs w:val="1"/>
      <w:sz w:val="26"/>
      <w:szCs w:val="28"/>
      <w:lang w:bidi="th-TH"/>
    </w:rPr>
  </w:style>
  <w:style w:type="character" w:styleId="heading2Char0" w:customStyle="1">
    <w:name w:val="heading2 Char"/>
    <w:basedOn w:val="DefaultParagraphFont"/>
    <w:link w:val="heading20"/>
    <w:rsid w:val="00A93597"/>
    <w:rPr>
      <w:rFonts w:ascii="Times New Roman" w:cs="Arial" w:eastAsia="Arial" w:hAnsi="Times New Roman"/>
      <w:b w:val="1"/>
      <w:bCs w:val="1"/>
      <w:sz w:val="26"/>
      <w:lang w:val="en"/>
    </w:rPr>
  </w:style>
  <w:style w:type="paragraph" w:styleId="NoSpacing">
    <w:name w:val="No Spacing"/>
    <w:aliases w:val="Normal 1"/>
    <w:autoRedefine w:val="1"/>
    <w:uiPriority w:val="1"/>
    <w:qFormat w:val="1"/>
    <w:rsid w:val="009D4D08"/>
    <w:pPr>
      <w:spacing w:after="120" w:before="120" w:line="480" w:lineRule="auto"/>
      <w:jc w:val="both"/>
    </w:pPr>
    <w:rPr>
      <w:rFonts w:ascii="Times New Roman" w:hAnsi="Times New Roman"/>
      <w:sz w:val="24"/>
      <w:szCs w:val="22"/>
      <w:lang w:bidi="ar-SA"/>
    </w:rPr>
  </w:style>
  <w:style w:type="paragraph" w:styleId="Header">
    <w:name w:val="header"/>
    <w:basedOn w:val="Normal"/>
    <w:link w:val="HeaderChar"/>
    <w:uiPriority w:val="99"/>
    <w:unhideWhenUsed w:val="1"/>
    <w:rsid w:val="000355B8"/>
    <w:pPr>
      <w:tabs>
        <w:tab w:val="center" w:pos="4680"/>
        <w:tab w:val="right" w:pos="9360"/>
      </w:tabs>
    </w:pPr>
  </w:style>
  <w:style w:type="character" w:styleId="HeaderChar" w:customStyle="1">
    <w:name w:val="Header Char"/>
    <w:basedOn w:val="DefaultParagraphFont"/>
    <w:link w:val="Header"/>
    <w:uiPriority w:val="99"/>
    <w:rsid w:val="000355B8"/>
    <w:rPr>
      <w:rFonts w:ascii="Times New Roman" w:cs="Times New Roman" w:hAnsi="Times New Roman"/>
      <w:kern w:val="0"/>
      <w:sz w:val="24"/>
      <w:szCs w:val="22"/>
      <w:lang w:bidi="ar-SA" w:eastAsia="en-GB" w:val="en-GB"/>
    </w:rPr>
  </w:style>
  <w:style w:type="paragraph" w:styleId="Footer">
    <w:name w:val="footer"/>
    <w:basedOn w:val="Normal"/>
    <w:link w:val="FooterChar"/>
    <w:uiPriority w:val="99"/>
    <w:unhideWhenUsed w:val="1"/>
    <w:rsid w:val="000355B8"/>
    <w:pPr>
      <w:tabs>
        <w:tab w:val="center" w:pos="4680"/>
        <w:tab w:val="right" w:pos="9360"/>
      </w:tabs>
    </w:pPr>
  </w:style>
  <w:style w:type="character" w:styleId="FooterChar" w:customStyle="1">
    <w:name w:val="Footer Char"/>
    <w:basedOn w:val="DefaultParagraphFont"/>
    <w:link w:val="Footer"/>
    <w:uiPriority w:val="99"/>
    <w:rsid w:val="000355B8"/>
    <w:rPr>
      <w:rFonts w:ascii="Times New Roman" w:cs="Times New Roman" w:hAnsi="Times New Roman"/>
      <w:kern w:val="0"/>
      <w:sz w:val="24"/>
      <w:szCs w:val="22"/>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hXaaqUCmgIWZOzdLBDwIr3VvpQ==">AMUW2mUNT15/ToQ6Wn4Lzw7AuS2dGxXQUa4lHUmr2TTz+Ig+QjpeyTlkW6/SL8T+TGQNNVkW4RQDkC2odbaI8jCH+kjz8sK1YaQOQHtrOVh+YZw52NhGbg4=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2023-03-09T08:58:00Z</dcterms:created>
  <dc:creator>x y</dc:creator>
</cp:coreProperties>
</file>