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49AD63" w14:textId="77777777" w:rsidR="00B709C2" w:rsidRPr="00B709C2" w:rsidRDefault="00B709C2" w:rsidP="00B709C2">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ACCOUNTING FUNDAMENTALS</w:t>
      </w:r>
    </w:p>
    <w:p w14:paraId="408D9B29" w14:textId="32470171" w:rsidR="00B709C2" w:rsidRPr="00B709C2" w:rsidRDefault="00B709C2" w:rsidP="00B709C2">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 xml:space="preserve">Name: </w:t>
      </w:r>
      <w:r>
        <w:rPr>
          <w:rFonts w:ascii="Agency FB" w:eastAsia="Times New Roman" w:hAnsi="Agency FB" w:cs="Times New Roman"/>
          <w:b/>
          <w:color w:val="000000" w:themeColor="text1"/>
          <w:sz w:val="32"/>
          <w:szCs w:val="32"/>
        </w:rPr>
        <w:t>Gabor Istvan Kovacs</w:t>
      </w:r>
    </w:p>
    <w:p w14:paraId="138658D3" w14:textId="40507C03" w:rsidR="00B709C2" w:rsidRPr="00B709C2" w:rsidRDefault="00B709C2" w:rsidP="00B709C2">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 xml:space="preserve">Student Number: </w:t>
      </w:r>
      <w:r>
        <w:rPr>
          <w:rFonts w:ascii="Agency FB" w:eastAsia="Times New Roman" w:hAnsi="Agency FB" w:cs="Times New Roman"/>
          <w:b/>
          <w:color w:val="000000" w:themeColor="text1"/>
          <w:sz w:val="32"/>
          <w:szCs w:val="32"/>
        </w:rPr>
        <w:t>2011284</w:t>
      </w:r>
    </w:p>
    <w:p w14:paraId="240A63D5" w14:textId="3D4D59C5" w:rsidR="00B709C2" w:rsidRPr="00B709C2" w:rsidRDefault="00B709C2" w:rsidP="00B709C2">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Module Title</w:t>
      </w:r>
      <w:r>
        <w:rPr>
          <w:rFonts w:ascii="Agency FB" w:eastAsia="Times New Roman" w:hAnsi="Agency FB" w:cs="Times New Roman"/>
          <w:b/>
          <w:color w:val="000000" w:themeColor="text1"/>
          <w:sz w:val="32"/>
          <w:szCs w:val="32"/>
        </w:rPr>
        <w:t>: BABM L4 T1G2</w:t>
      </w:r>
    </w:p>
    <w:p w14:paraId="3DA4994D" w14:textId="39032FD7" w:rsidR="00B709C2" w:rsidRPr="00B709C2" w:rsidRDefault="00B709C2" w:rsidP="00B709C2">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 xml:space="preserve">Assignment Title: </w:t>
      </w:r>
      <w:r>
        <w:rPr>
          <w:rFonts w:ascii="Agency FB" w:eastAsia="Times New Roman" w:hAnsi="Agency FB" w:cs="Times New Roman"/>
          <w:b/>
          <w:color w:val="000000" w:themeColor="text1"/>
          <w:sz w:val="32"/>
          <w:szCs w:val="32"/>
        </w:rPr>
        <w:t>Accounting</w:t>
      </w:r>
    </w:p>
    <w:p w14:paraId="6E99FE47" w14:textId="57C03F3B" w:rsidR="00B709C2" w:rsidRDefault="00B709C2" w:rsidP="00B709C2">
      <w:pPr>
        <w:spacing w:line="360" w:lineRule="auto"/>
        <w:jc w:val="center"/>
        <w:rPr>
          <w:rFonts w:ascii="Agency FB" w:eastAsia="Times New Roman" w:hAnsi="Agency FB" w:cs="Times New Roman"/>
          <w:b/>
          <w:color w:val="000000" w:themeColor="text1"/>
          <w:sz w:val="32"/>
          <w:szCs w:val="32"/>
        </w:rPr>
      </w:pPr>
      <w:r w:rsidRPr="00B709C2">
        <w:rPr>
          <w:rFonts w:ascii="Agency FB" w:eastAsia="Times New Roman" w:hAnsi="Agency FB" w:cs="Times New Roman"/>
          <w:b/>
          <w:color w:val="000000" w:themeColor="text1"/>
          <w:sz w:val="32"/>
          <w:szCs w:val="32"/>
        </w:rPr>
        <w:t>Module Lecturer’s Name</w:t>
      </w:r>
      <w:r>
        <w:rPr>
          <w:rFonts w:ascii="Times New Roman" w:eastAsia="Times New Roman" w:hAnsi="Times New Roman" w:cs="Times New Roman"/>
          <w:b/>
          <w:color w:val="000000" w:themeColor="text1"/>
          <w:sz w:val="32"/>
          <w:szCs w:val="32"/>
        </w:rPr>
        <w:t xml:space="preserve">: </w:t>
      </w:r>
      <w:r w:rsidRPr="00B709C2">
        <w:rPr>
          <w:rFonts w:ascii="Agency FB" w:eastAsia="Times New Roman" w:hAnsi="Agency FB" w:cs="Times New Roman"/>
          <w:b/>
          <w:color w:val="000000" w:themeColor="text1"/>
          <w:sz w:val="32"/>
          <w:szCs w:val="32"/>
        </w:rPr>
        <w:t xml:space="preserve">Dr </w:t>
      </w:r>
      <w:proofErr w:type="spellStart"/>
      <w:r w:rsidRPr="00B709C2">
        <w:rPr>
          <w:rFonts w:ascii="Agency FB" w:eastAsia="Times New Roman" w:hAnsi="Agency FB" w:cs="Times New Roman"/>
          <w:b/>
          <w:color w:val="000000" w:themeColor="text1"/>
          <w:sz w:val="32"/>
          <w:szCs w:val="32"/>
        </w:rPr>
        <w:t>Rexon</w:t>
      </w:r>
      <w:proofErr w:type="spellEnd"/>
      <w:r w:rsidRPr="00B709C2">
        <w:rPr>
          <w:rFonts w:ascii="Agency FB" w:eastAsia="Times New Roman" w:hAnsi="Agency FB" w:cs="Times New Roman"/>
          <w:b/>
          <w:color w:val="000000" w:themeColor="text1"/>
          <w:sz w:val="32"/>
          <w:szCs w:val="32"/>
        </w:rPr>
        <w:t xml:space="preserve"> </w:t>
      </w:r>
      <w:proofErr w:type="spellStart"/>
      <w:r w:rsidRPr="00B709C2">
        <w:rPr>
          <w:rFonts w:ascii="Agency FB" w:eastAsia="Times New Roman" w:hAnsi="Agency FB" w:cs="Times New Roman"/>
          <w:b/>
          <w:color w:val="000000" w:themeColor="text1"/>
          <w:sz w:val="32"/>
          <w:szCs w:val="32"/>
        </w:rPr>
        <w:t>Nting</w:t>
      </w:r>
      <w:proofErr w:type="spellEnd"/>
    </w:p>
    <w:p w14:paraId="0546A4FC" w14:textId="02341644" w:rsidR="00B709C2" w:rsidRDefault="00B709C2" w:rsidP="00B709C2">
      <w:pPr>
        <w:spacing w:line="360" w:lineRule="auto"/>
        <w:jc w:val="center"/>
        <w:rPr>
          <w:rFonts w:ascii="Agency FB" w:eastAsia="Times New Roman" w:hAnsi="Agency FB" w:cs="Times New Roman"/>
          <w:b/>
          <w:color w:val="000000" w:themeColor="text1"/>
          <w:sz w:val="32"/>
          <w:szCs w:val="32"/>
        </w:rPr>
      </w:pPr>
    </w:p>
    <w:p w14:paraId="2346E374" w14:textId="7190AE2F" w:rsidR="00B709C2" w:rsidRDefault="00B709C2" w:rsidP="00B709C2">
      <w:pPr>
        <w:spacing w:line="360" w:lineRule="auto"/>
        <w:jc w:val="center"/>
        <w:rPr>
          <w:rFonts w:ascii="Agency FB" w:eastAsia="Times New Roman" w:hAnsi="Agency FB" w:cs="Times New Roman"/>
          <w:b/>
          <w:color w:val="000000" w:themeColor="text1"/>
          <w:sz w:val="32"/>
          <w:szCs w:val="32"/>
        </w:rPr>
      </w:pPr>
    </w:p>
    <w:p w14:paraId="56773822" w14:textId="36B16252" w:rsidR="00B709C2" w:rsidRDefault="00B709C2" w:rsidP="00B709C2">
      <w:pPr>
        <w:spacing w:line="360" w:lineRule="auto"/>
        <w:jc w:val="center"/>
        <w:rPr>
          <w:rFonts w:ascii="Agency FB" w:eastAsia="Times New Roman" w:hAnsi="Agency FB" w:cs="Times New Roman"/>
          <w:b/>
          <w:color w:val="000000" w:themeColor="text1"/>
          <w:sz w:val="32"/>
          <w:szCs w:val="32"/>
        </w:rPr>
      </w:pPr>
    </w:p>
    <w:p w14:paraId="4E15A1D4" w14:textId="2EEE2B24" w:rsidR="00B709C2" w:rsidRDefault="00B709C2" w:rsidP="00B709C2">
      <w:pPr>
        <w:spacing w:line="360" w:lineRule="auto"/>
        <w:jc w:val="center"/>
        <w:rPr>
          <w:rFonts w:ascii="Agency FB" w:eastAsia="Times New Roman" w:hAnsi="Agency FB" w:cs="Times New Roman"/>
          <w:b/>
          <w:color w:val="000000" w:themeColor="text1"/>
          <w:sz w:val="32"/>
          <w:szCs w:val="32"/>
        </w:rPr>
      </w:pPr>
    </w:p>
    <w:p w14:paraId="01F9D7DA" w14:textId="4A402E29" w:rsidR="00B709C2" w:rsidRDefault="00B709C2" w:rsidP="00B709C2">
      <w:pPr>
        <w:spacing w:line="360" w:lineRule="auto"/>
        <w:ind w:firstLine="720"/>
      </w:pPr>
      <w: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w:t>
      </w:r>
      <w:r w:rsidR="00915863">
        <w:t>plagiarized</w:t>
      </w:r>
      <w:r>
        <w:t xml:space="preserve"> or misrepresented the ideas or language of someone else as my own and that I have fully and accurately attributed any ideas or text of others to the sources and documented each source.</w:t>
      </w:r>
    </w:p>
    <w:p w14:paraId="3E5F439D" w14:textId="0D250CDA" w:rsidR="00B709C2" w:rsidRDefault="00B709C2" w:rsidP="00B709C2">
      <w:pPr>
        <w:spacing w:line="360" w:lineRule="auto"/>
        <w:ind w:firstLine="720"/>
      </w:pPr>
    </w:p>
    <w:p w14:paraId="616AC10A" w14:textId="577C7F2A" w:rsidR="000B440D" w:rsidRDefault="000B440D" w:rsidP="00B709C2">
      <w:pPr>
        <w:spacing w:line="360" w:lineRule="auto"/>
        <w:ind w:firstLine="720"/>
      </w:pPr>
    </w:p>
    <w:p w14:paraId="5E2742A0" w14:textId="2333E232" w:rsidR="000B440D" w:rsidRDefault="000B440D" w:rsidP="00B709C2">
      <w:pPr>
        <w:spacing w:line="360" w:lineRule="auto"/>
        <w:ind w:firstLine="720"/>
      </w:pPr>
    </w:p>
    <w:p w14:paraId="18796B7D" w14:textId="051D4D4A" w:rsidR="000B440D" w:rsidRDefault="000B440D" w:rsidP="00B709C2">
      <w:pPr>
        <w:spacing w:line="360" w:lineRule="auto"/>
        <w:ind w:firstLine="720"/>
      </w:pPr>
    </w:p>
    <w:p w14:paraId="502AD02C" w14:textId="1580FBFB" w:rsidR="000B440D" w:rsidRDefault="000B440D" w:rsidP="00B709C2">
      <w:pPr>
        <w:spacing w:line="360" w:lineRule="auto"/>
        <w:ind w:firstLine="720"/>
      </w:pPr>
    </w:p>
    <w:p w14:paraId="104F976A" w14:textId="58707F12" w:rsidR="000B440D" w:rsidRDefault="000B440D" w:rsidP="00B709C2">
      <w:pPr>
        <w:spacing w:line="360" w:lineRule="auto"/>
        <w:ind w:firstLine="720"/>
      </w:pPr>
    </w:p>
    <w:p w14:paraId="6EC7ACE7" w14:textId="7D41122D" w:rsidR="000B440D" w:rsidRDefault="000B440D" w:rsidP="00B709C2">
      <w:pPr>
        <w:spacing w:line="360" w:lineRule="auto"/>
        <w:ind w:firstLine="720"/>
      </w:pPr>
    </w:p>
    <w:p w14:paraId="446336B8" w14:textId="2D36F9C0" w:rsidR="000B440D" w:rsidRDefault="000B440D" w:rsidP="00B709C2">
      <w:pPr>
        <w:spacing w:line="360" w:lineRule="auto"/>
        <w:ind w:firstLine="720"/>
      </w:pPr>
    </w:p>
    <w:p w14:paraId="31180A7A" w14:textId="0256A7FE" w:rsidR="000B440D" w:rsidRDefault="000B440D" w:rsidP="00B709C2">
      <w:pPr>
        <w:spacing w:line="360" w:lineRule="auto"/>
        <w:ind w:firstLine="720"/>
      </w:pPr>
    </w:p>
    <w:p w14:paraId="51775B31" w14:textId="6AF24F2D" w:rsidR="000B440D" w:rsidRDefault="000B440D" w:rsidP="00B709C2">
      <w:pPr>
        <w:spacing w:line="360" w:lineRule="auto"/>
        <w:ind w:firstLine="720"/>
      </w:pPr>
    </w:p>
    <w:p w14:paraId="6CD46329" w14:textId="2AED18CD" w:rsidR="000B440D" w:rsidRDefault="000B440D" w:rsidP="00B709C2">
      <w:pPr>
        <w:spacing w:line="360" w:lineRule="auto"/>
        <w:ind w:firstLine="720"/>
      </w:pPr>
    </w:p>
    <w:p w14:paraId="64DD4284" w14:textId="174DBE30" w:rsidR="000B440D" w:rsidRDefault="000B440D" w:rsidP="00B709C2">
      <w:pPr>
        <w:spacing w:line="360" w:lineRule="auto"/>
        <w:ind w:firstLine="720"/>
      </w:pPr>
    </w:p>
    <w:p w14:paraId="1C85F10F" w14:textId="597D9A13" w:rsidR="000B440D" w:rsidRDefault="000B440D" w:rsidP="00B709C2">
      <w:pPr>
        <w:spacing w:line="360" w:lineRule="auto"/>
        <w:ind w:firstLine="720"/>
      </w:pPr>
    </w:p>
    <w:p w14:paraId="428CABA3" w14:textId="77777777" w:rsidR="000B440D" w:rsidRDefault="000B440D" w:rsidP="00B709C2">
      <w:pPr>
        <w:spacing w:line="360" w:lineRule="auto"/>
        <w:ind w:firstLine="720"/>
      </w:pPr>
    </w:p>
    <w:sdt>
      <w:sdtPr>
        <w:rPr>
          <w:rFonts w:ascii="Arial" w:eastAsia="Arial" w:hAnsi="Arial" w:cs="Arial"/>
          <w:b w:val="0"/>
          <w:bCs w:val="0"/>
          <w:color w:val="auto"/>
          <w:sz w:val="22"/>
          <w:szCs w:val="22"/>
        </w:rPr>
        <w:id w:val="15579057"/>
        <w:docPartObj>
          <w:docPartGallery w:val="Table of Contents"/>
          <w:docPartUnique/>
        </w:docPartObj>
      </w:sdtPr>
      <w:sdtEndPr/>
      <w:sdtContent>
        <w:p w14:paraId="7F17EC56" w14:textId="77777777" w:rsidR="00B709C2" w:rsidRDefault="00B709C2" w:rsidP="00B709C2">
          <w:pPr>
            <w:pStyle w:val="TOCHeading"/>
            <w:spacing w:line="360" w:lineRule="auto"/>
            <w:jc w:val="center"/>
          </w:pPr>
          <w:r>
            <w:rPr>
              <w:rFonts w:ascii="Times New Roman" w:hAnsi="Times New Roman" w:cs="Times New Roman"/>
              <w:color w:val="000000" w:themeColor="text1"/>
            </w:rPr>
            <w:t>Table of Contents</w:t>
          </w:r>
        </w:p>
        <w:p w14:paraId="53D299C0" w14:textId="77777777" w:rsidR="00B709C2" w:rsidRDefault="00B709C2" w:rsidP="00B709C2">
          <w:pPr>
            <w:pStyle w:val="TOC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r:id="rId5" w:anchor="_Toc55578382"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color w:val="auto"/>
                <w:sz w:val="24"/>
                <w:szCs w:val="24"/>
                <w:u w:val="none"/>
              </w:rPr>
              <w:tab/>
            </w:r>
            <w:r>
              <w:rPr>
                <w:rStyle w:val="Hyperlink"/>
                <w:rFonts w:ascii="Times New Roman" w:hAnsi="Times New Roman" w:cs="Times New Roman"/>
                <w:noProof/>
                <w:webHidden/>
                <w:color w:val="auto"/>
                <w:sz w:val="24"/>
                <w:szCs w:val="24"/>
                <w:u w:val="none"/>
              </w:rPr>
              <w:fldChar w:fldCharType="begin"/>
            </w:r>
            <w:r>
              <w:rPr>
                <w:rStyle w:val="Hyperlink"/>
                <w:rFonts w:ascii="Times New Roman" w:hAnsi="Times New Roman" w:cs="Times New Roman"/>
                <w:noProof/>
                <w:webHidden/>
                <w:color w:val="auto"/>
                <w:sz w:val="24"/>
                <w:szCs w:val="24"/>
                <w:u w:val="none"/>
              </w:rPr>
              <w:instrText xml:space="preserve"> PAGEREF _Toc55578382 \h </w:instrText>
            </w:r>
            <w:r>
              <w:rPr>
                <w:rStyle w:val="Hyperlink"/>
                <w:rFonts w:ascii="Times New Roman" w:hAnsi="Times New Roman" w:cs="Times New Roman"/>
                <w:noProof/>
                <w:webHidden/>
                <w:color w:val="auto"/>
                <w:sz w:val="24"/>
                <w:szCs w:val="24"/>
                <w:u w:val="none"/>
              </w:rPr>
            </w:r>
            <w:r>
              <w:rPr>
                <w:rStyle w:val="Hyperlink"/>
                <w:rFonts w:ascii="Times New Roman" w:hAnsi="Times New Roman" w:cs="Times New Roman"/>
                <w:noProof/>
                <w:webHidden/>
                <w:color w:val="auto"/>
                <w:sz w:val="24"/>
                <w:szCs w:val="24"/>
                <w:u w:val="none"/>
              </w:rPr>
              <w:fldChar w:fldCharType="separate"/>
            </w:r>
            <w:r>
              <w:rPr>
                <w:rStyle w:val="Hyperlink"/>
                <w:rFonts w:ascii="Times New Roman" w:hAnsi="Times New Roman" w:cs="Times New Roman"/>
                <w:noProof/>
                <w:webHidden/>
                <w:color w:val="auto"/>
                <w:sz w:val="24"/>
                <w:szCs w:val="24"/>
                <w:u w:val="none"/>
              </w:rPr>
              <w:t>3</w:t>
            </w:r>
            <w:r>
              <w:rPr>
                <w:rStyle w:val="Hyperlink"/>
                <w:rFonts w:ascii="Times New Roman" w:hAnsi="Times New Roman" w:cs="Times New Roman"/>
                <w:noProof/>
                <w:webHidden/>
                <w:color w:val="auto"/>
                <w:sz w:val="24"/>
                <w:szCs w:val="24"/>
                <w:u w:val="none"/>
              </w:rPr>
              <w:fldChar w:fldCharType="end"/>
            </w:r>
          </w:hyperlink>
        </w:p>
        <w:p w14:paraId="516133FD" w14:textId="77777777" w:rsidR="00B709C2" w:rsidRDefault="00915863" w:rsidP="00B709C2">
          <w:pPr>
            <w:pStyle w:val="TOC1"/>
            <w:tabs>
              <w:tab w:val="right" w:leader="dot" w:pos="9350"/>
            </w:tabs>
            <w:spacing w:line="360" w:lineRule="auto"/>
            <w:rPr>
              <w:rFonts w:ascii="Times New Roman" w:hAnsi="Times New Roman" w:cs="Times New Roman"/>
              <w:noProof/>
              <w:sz w:val="24"/>
              <w:szCs w:val="24"/>
            </w:rPr>
          </w:pPr>
          <w:hyperlink r:id="rId6" w:anchor="_Toc55578383" w:history="1">
            <w:r w:rsidR="00B709C2">
              <w:rPr>
                <w:rStyle w:val="Hyperlink"/>
                <w:rFonts w:ascii="Times New Roman" w:hAnsi="Times New Roman" w:cs="Times New Roman"/>
                <w:noProof/>
                <w:sz w:val="24"/>
                <w:szCs w:val="24"/>
              </w:rPr>
              <w:t>Question 1</w:t>
            </w:r>
            <w:r w:rsidR="00B709C2">
              <w:rPr>
                <w:rStyle w:val="Hyperlink"/>
                <w:rFonts w:ascii="Times New Roman" w:hAnsi="Times New Roman" w:cs="Times New Roman"/>
                <w:noProof/>
                <w:webHidden/>
                <w:color w:val="auto"/>
                <w:sz w:val="24"/>
                <w:szCs w:val="24"/>
                <w:u w:val="none"/>
              </w:rPr>
              <w:tab/>
            </w:r>
            <w:r w:rsidR="00B709C2">
              <w:rPr>
                <w:rStyle w:val="Hyperlink"/>
                <w:rFonts w:ascii="Times New Roman" w:hAnsi="Times New Roman" w:cs="Times New Roman"/>
                <w:noProof/>
                <w:webHidden/>
                <w:color w:val="auto"/>
                <w:sz w:val="24"/>
                <w:szCs w:val="24"/>
                <w:u w:val="none"/>
              </w:rPr>
              <w:fldChar w:fldCharType="begin"/>
            </w:r>
            <w:r w:rsidR="00B709C2">
              <w:rPr>
                <w:rStyle w:val="Hyperlink"/>
                <w:rFonts w:ascii="Times New Roman" w:hAnsi="Times New Roman" w:cs="Times New Roman"/>
                <w:noProof/>
                <w:webHidden/>
                <w:color w:val="auto"/>
                <w:sz w:val="24"/>
                <w:szCs w:val="24"/>
                <w:u w:val="none"/>
              </w:rPr>
              <w:instrText xml:space="preserve"> PAGEREF _Toc55578383 \h </w:instrText>
            </w:r>
            <w:r w:rsidR="00B709C2">
              <w:rPr>
                <w:rStyle w:val="Hyperlink"/>
                <w:rFonts w:ascii="Times New Roman" w:hAnsi="Times New Roman" w:cs="Times New Roman"/>
                <w:noProof/>
                <w:webHidden/>
                <w:color w:val="auto"/>
                <w:sz w:val="24"/>
                <w:szCs w:val="24"/>
                <w:u w:val="none"/>
              </w:rPr>
            </w:r>
            <w:r w:rsidR="00B709C2">
              <w:rPr>
                <w:rStyle w:val="Hyperlink"/>
                <w:rFonts w:ascii="Times New Roman" w:hAnsi="Times New Roman" w:cs="Times New Roman"/>
                <w:noProof/>
                <w:webHidden/>
                <w:color w:val="auto"/>
                <w:sz w:val="24"/>
                <w:szCs w:val="24"/>
                <w:u w:val="none"/>
              </w:rPr>
              <w:fldChar w:fldCharType="separate"/>
            </w:r>
            <w:r w:rsidR="00B709C2">
              <w:rPr>
                <w:rStyle w:val="Hyperlink"/>
                <w:rFonts w:ascii="Times New Roman" w:hAnsi="Times New Roman" w:cs="Times New Roman"/>
                <w:noProof/>
                <w:webHidden/>
                <w:color w:val="auto"/>
                <w:sz w:val="24"/>
                <w:szCs w:val="24"/>
                <w:u w:val="none"/>
              </w:rPr>
              <w:t>3</w:t>
            </w:r>
            <w:r w:rsidR="00B709C2">
              <w:rPr>
                <w:rStyle w:val="Hyperlink"/>
                <w:rFonts w:ascii="Times New Roman" w:hAnsi="Times New Roman" w:cs="Times New Roman"/>
                <w:noProof/>
                <w:webHidden/>
                <w:color w:val="auto"/>
                <w:sz w:val="24"/>
                <w:szCs w:val="24"/>
                <w:u w:val="none"/>
              </w:rPr>
              <w:fldChar w:fldCharType="end"/>
            </w:r>
          </w:hyperlink>
        </w:p>
        <w:p w14:paraId="19145791" w14:textId="77777777" w:rsidR="00B709C2" w:rsidRDefault="00915863" w:rsidP="00B709C2">
          <w:pPr>
            <w:pStyle w:val="TOC1"/>
            <w:tabs>
              <w:tab w:val="right" w:leader="dot" w:pos="9350"/>
            </w:tabs>
            <w:spacing w:line="360" w:lineRule="auto"/>
            <w:rPr>
              <w:rFonts w:ascii="Times New Roman" w:hAnsi="Times New Roman" w:cs="Times New Roman"/>
              <w:noProof/>
              <w:sz w:val="24"/>
              <w:szCs w:val="24"/>
            </w:rPr>
          </w:pPr>
          <w:hyperlink r:id="rId7" w:anchor="_Toc55578384" w:history="1">
            <w:r w:rsidR="00B709C2">
              <w:rPr>
                <w:rStyle w:val="Hyperlink"/>
                <w:rFonts w:ascii="Times New Roman" w:hAnsi="Times New Roman" w:cs="Times New Roman"/>
                <w:noProof/>
                <w:sz w:val="24"/>
                <w:szCs w:val="24"/>
              </w:rPr>
              <w:t>Question 2</w:t>
            </w:r>
            <w:r w:rsidR="00B709C2">
              <w:rPr>
                <w:rStyle w:val="Hyperlink"/>
                <w:rFonts w:ascii="Times New Roman" w:hAnsi="Times New Roman" w:cs="Times New Roman"/>
                <w:noProof/>
                <w:webHidden/>
                <w:color w:val="auto"/>
                <w:sz w:val="24"/>
                <w:szCs w:val="24"/>
                <w:u w:val="none"/>
              </w:rPr>
              <w:tab/>
            </w:r>
            <w:r w:rsidR="00B709C2">
              <w:rPr>
                <w:rStyle w:val="Hyperlink"/>
                <w:rFonts w:ascii="Times New Roman" w:hAnsi="Times New Roman" w:cs="Times New Roman"/>
                <w:noProof/>
                <w:webHidden/>
                <w:color w:val="auto"/>
                <w:sz w:val="24"/>
                <w:szCs w:val="24"/>
                <w:u w:val="none"/>
              </w:rPr>
              <w:fldChar w:fldCharType="begin"/>
            </w:r>
            <w:r w:rsidR="00B709C2">
              <w:rPr>
                <w:rStyle w:val="Hyperlink"/>
                <w:rFonts w:ascii="Times New Roman" w:hAnsi="Times New Roman" w:cs="Times New Roman"/>
                <w:noProof/>
                <w:webHidden/>
                <w:color w:val="auto"/>
                <w:sz w:val="24"/>
                <w:szCs w:val="24"/>
                <w:u w:val="none"/>
              </w:rPr>
              <w:instrText xml:space="preserve"> PAGEREF _Toc55578384 \h </w:instrText>
            </w:r>
            <w:r w:rsidR="00B709C2">
              <w:rPr>
                <w:rStyle w:val="Hyperlink"/>
                <w:rFonts w:ascii="Times New Roman" w:hAnsi="Times New Roman" w:cs="Times New Roman"/>
                <w:noProof/>
                <w:webHidden/>
                <w:color w:val="auto"/>
                <w:sz w:val="24"/>
                <w:szCs w:val="24"/>
                <w:u w:val="none"/>
              </w:rPr>
            </w:r>
            <w:r w:rsidR="00B709C2">
              <w:rPr>
                <w:rStyle w:val="Hyperlink"/>
                <w:rFonts w:ascii="Times New Roman" w:hAnsi="Times New Roman" w:cs="Times New Roman"/>
                <w:noProof/>
                <w:webHidden/>
                <w:color w:val="auto"/>
                <w:sz w:val="24"/>
                <w:szCs w:val="24"/>
                <w:u w:val="none"/>
              </w:rPr>
              <w:fldChar w:fldCharType="separate"/>
            </w:r>
            <w:r w:rsidR="00B709C2">
              <w:rPr>
                <w:rStyle w:val="Hyperlink"/>
                <w:rFonts w:ascii="Times New Roman" w:hAnsi="Times New Roman" w:cs="Times New Roman"/>
                <w:noProof/>
                <w:webHidden/>
                <w:color w:val="auto"/>
                <w:sz w:val="24"/>
                <w:szCs w:val="24"/>
                <w:u w:val="none"/>
              </w:rPr>
              <w:t>7</w:t>
            </w:r>
            <w:r w:rsidR="00B709C2">
              <w:rPr>
                <w:rStyle w:val="Hyperlink"/>
                <w:rFonts w:ascii="Times New Roman" w:hAnsi="Times New Roman" w:cs="Times New Roman"/>
                <w:noProof/>
                <w:webHidden/>
                <w:color w:val="auto"/>
                <w:sz w:val="24"/>
                <w:szCs w:val="24"/>
                <w:u w:val="none"/>
              </w:rPr>
              <w:fldChar w:fldCharType="end"/>
            </w:r>
          </w:hyperlink>
        </w:p>
        <w:p w14:paraId="3C70034F" w14:textId="77777777" w:rsidR="00B709C2" w:rsidRDefault="00915863" w:rsidP="00B709C2">
          <w:pPr>
            <w:pStyle w:val="TOC1"/>
            <w:tabs>
              <w:tab w:val="right" w:leader="dot" w:pos="9350"/>
            </w:tabs>
            <w:spacing w:line="360" w:lineRule="auto"/>
            <w:rPr>
              <w:rFonts w:ascii="Times New Roman" w:hAnsi="Times New Roman" w:cs="Times New Roman"/>
              <w:noProof/>
              <w:sz w:val="24"/>
              <w:szCs w:val="24"/>
            </w:rPr>
          </w:pPr>
          <w:hyperlink r:id="rId8" w:anchor="_Toc55578385" w:history="1">
            <w:r w:rsidR="00B709C2">
              <w:rPr>
                <w:rStyle w:val="Hyperlink"/>
                <w:rFonts w:ascii="Times New Roman" w:hAnsi="Times New Roman" w:cs="Times New Roman"/>
                <w:noProof/>
                <w:sz w:val="24"/>
                <w:szCs w:val="24"/>
              </w:rPr>
              <w:t>Conclusion:</w:t>
            </w:r>
            <w:r w:rsidR="00B709C2">
              <w:rPr>
                <w:rStyle w:val="Hyperlink"/>
                <w:rFonts w:ascii="Times New Roman" w:hAnsi="Times New Roman" w:cs="Times New Roman"/>
                <w:noProof/>
                <w:webHidden/>
                <w:color w:val="auto"/>
                <w:sz w:val="24"/>
                <w:szCs w:val="24"/>
                <w:u w:val="none"/>
              </w:rPr>
              <w:tab/>
            </w:r>
            <w:r w:rsidR="00B709C2">
              <w:rPr>
                <w:rStyle w:val="Hyperlink"/>
                <w:rFonts w:ascii="Times New Roman" w:hAnsi="Times New Roman" w:cs="Times New Roman"/>
                <w:noProof/>
                <w:webHidden/>
                <w:color w:val="auto"/>
                <w:sz w:val="24"/>
                <w:szCs w:val="24"/>
                <w:u w:val="none"/>
              </w:rPr>
              <w:fldChar w:fldCharType="begin"/>
            </w:r>
            <w:r w:rsidR="00B709C2">
              <w:rPr>
                <w:rStyle w:val="Hyperlink"/>
                <w:rFonts w:ascii="Times New Roman" w:hAnsi="Times New Roman" w:cs="Times New Roman"/>
                <w:noProof/>
                <w:webHidden/>
                <w:color w:val="auto"/>
                <w:sz w:val="24"/>
                <w:szCs w:val="24"/>
                <w:u w:val="none"/>
              </w:rPr>
              <w:instrText xml:space="preserve"> PAGEREF _Toc55578385 \h </w:instrText>
            </w:r>
            <w:r w:rsidR="00B709C2">
              <w:rPr>
                <w:rStyle w:val="Hyperlink"/>
                <w:rFonts w:ascii="Times New Roman" w:hAnsi="Times New Roman" w:cs="Times New Roman"/>
                <w:noProof/>
                <w:webHidden/>
                <w:color w:val="auto"/>
                <w:sz w:val="24"/>
                <w:szCs w:val="24"/>
                <w:u w:val="none"/>
              </w:rPr>
            </w:r>
            <w:r w:rsidR="00B709C2">
              <w:rPr>
                <w:rStyle w:val="Hyperlink"/>
                <w:rFonts w:ascii="Times New Roman" w:hAnsi="Times New Roman" w:cs="Times New Roman"/>
                <w:noProof/>
                <w:webHidden/>
                <w:color w:val="auto"/>
                <w:sz w:val="24"/>
                <w:szCs w:val="24"/>
                <w:u w:val="none"/>
              </w:rPr>
              <w:fldChar w:fldCharType="separate"/>
            </w:r>
            <w:r w:rsidR="00B709C2">
              <w:rPr>
                <w:rStyle w:val="Hyperlink"/>
                <w:rFonts w:ascii="Times New Roman" w:hAnsi="Times New Roman" w:cs="Times New Roman"/>
                <w:noProof/>
                <w:webHidden/>
                <w:color w:val="auto"/>
                <w:sz w:val="24"/>
                <w:szCs w:val="24"/>
                <w:u w:val="none"/>
              </w:rPr>
              <w:t>15</w:t>
            </w:r>
            <w:r w:rsidR="00B709C2">
              <w:rPr>
                <w:rStyle w:val="Hyperlink"/>
                <w:rFonts w:ascii="Times New Roman" w:hAnsi="Times New Roman" w:cs="Times New Roman"/>
                <w:noProof/>
                <w:webHidden/>
                <w:color w:val="auto"/>
                <w:sz w:val="24"/>
                <w:szCs w:val="24"/>
                <w:u w:val="none"/>
              </w:rPr>
              <w:fldChar w:fldCharType="end"/>
            </w:r>
          </w:hyperlink>
        </w:p>
        <w:p w14:paraId="303BB8EE" w14:textId="77777777" w:rsidR="00B709C2" w:rsidRDefault="00915863" w:rsidP="00B709C2">
          <w:pPr>
            <w:pStyle w:val="TOC1"/>
            <w:tabs>
              <w:tab w:val="right" w:leader="dot" w:pos="9350"/>
            </w:tabs>
            <w:spacing w:line="360" w:lineRule="auto"/>
            <w:rPr>
              <w:noProof/>
            </w:rPr>
          </w:pPr>
          <w:hyperlink r:id="rId9" w:anchor="_Toc55578386" w:history="1">
            <w:r w:rsidR="00B709C2">
              <w:rPr>
                <w:rStyle w:val="Hyperlink"/>
                <w:rFonts w:ascii="Times New Roman" w:hAnsi="Times New Roman" w:cs="Times New Roman"/>
                <w:noProof/>
                <w:sz w:val="24"/>
                <w:szCs w:val="24"/>
              </w:rPr>
              <w:t>Reference</w:t>
            </w:r>
            <w:r w:rsidR="00B709C2">
              <w:rPr>
                <w:rStyle w:val="Hyperlink"/>
                <w:rFonts w:ascii="Times New Roman" w:hAnsi="Times New Roman" w:cs="Times New Roman"/>
                <w:noProof/>
                <w:webHidden/>
                <w:color w:val="auto"/>
                <w:sz w:val="24"/>
                <w:szCs w:val="24"/>
                <w:u w:val="none"/>
              </w:rPr>
              <w:tab/>
            </w:r>
            <w:r w:rsidR="00B709C2">
              <w:rPr>
                <w:rStyle w:val="Hyperlink"/>
                <w:rFonts w:ascii="Times New Roman" w:hAnsi="Times New Roman" w:cs="Times New Roman"/>
                <w:noProof/>
                <w:webHidden/>
                <w:color w:val="auto"/>
                <w:sz w:val="24"/>
                <w:szCs w:val="24"/>
                <w:u w:val="none"/>
              </w:rPr>
              <w:fldChar w:fldCharType="begin"/>
            </w:r>
            <w:r w:rsidR="00B709C2">
              <w:rPr>
                <w:rStyle w:val="Hyperlink"/>
                <w:rFonts w:ascii="Times New Roman" w:hAnsi="Times New Roman" w:cs="Times New Roman"/>
                <w:noProof/>
                <w:webHidden/>
                <w:color w:val="auto"/>
                <w:sz w:val="24"/>
                <w:szCs w:val="24"/>
                <w:u w:val="none"/>
              </w:rPr>
              <w:instrText xml:space="preserve"> PAGEREF _Toc55578386 \h </w:instrText>
            </w:r>
            <w:r w:rsidR="00B709C2">
              <w:rPr>
                <w:rStyle w:val="Hyperlink"/>
                <w:rFonts w:ascii="Times New Roman" w:hAnsi="Times New Roman" w:cs="Times New Roman"/>
                <w:noProof/>
                <w:webHidden/>
                <w:color w:val="auto"/>
                <w:sz w:val="24"/>
                <w:szCs w:val="24"/>
                <w:u w:val="none"/>
              </w:rPr>
            </w:r>
            <w:r w:rsidR="00B709C2">
              <w:rPr>
                <w:rStyle w:val="Hyperlink"/>
                <w:rFonts w:ascii="Times New Roman" w:hAnsi="Times New Roman" w:cs="Times New Roman"/>
                <w:noProof/>
                <w:webHidden/>
                <w:color w:val="auto"/>
                <w:sz w:val="24"/>
                <w:szCs w:val="24"/>
                <w:u w:val="none"/>
              </w:rPr>
              <w:fldChar w:fldCharType="separate"/>
            </w:r>
            <w:r w:rsidR="00B709C2">
              <w:rPr>
                <w:rStyle w:val="Hyperlink"/>
                <w:rFonts w:ascii="Times New Roman" w:hAnsi="Times New Roman" w:cs="Times New Roman"/>
                <w:noProof/>
                <w:webHidden/>
                <w:color w:val="auto"/>
                <w:sz w:val="24"/>
                <w:szCs w:val="24"/>
                <w:u w:val="none"/>
              </w:rPr>
              <w:t>16</w:t>
            </w:r>
            <w:r w:rsidR="00B709C2">
              <w:rPr>
                <w:rStyle w:val="Hyperlink"/>
                <w:rFonts w:ascii="Times New Roman" w:hAnsi="Times New Roman" w:cs="Times New Roman"/>
                <w:noProof/>
                <w:webHidden/>
                <w:color w:val="auto"/>
                <w:sz w:val="24"/>
                <w:szCs w:val="24"/>
                <w:u w:val="none"/>
              </w:rPr>
              <w:fldChar w:fldCharType="end"/>
            </w:r>
          </w:hyperlink>
        </w:p>
        <w:p w14:paraId="7E324405" w14:textId="77777777" w:rsidR="00B709C2" w:rsidRDefault="00B709C2" w:rsidP="00B709C2">
          <w:pPr>
            <w:spacing w:line="360" w:lineRule="auto"/>
          </w:pPr>
          <w:r>
            <w:fldChar w:fldCharType="end"/>
          </w:r>
        </w:p>
      </w:sdtContent>
    </w:sdt>
    <w:p w14:paraId="24AC034B" w14:textId="77777777" w:rsidR="00B709C2" w:rsidRDefault="00B709C2" w:rsidP="00B709C2">
      <w:pPr>
        <w:spacing w:line="360" w:lineRule="auto"/>
        <w:ind w:firstLine="720"/>
        <w:rPr>
          <w:rFonts w:ascii="Times New Roman" w:eastAsia="Times New Roman" w:hAnsi="Times New Roman" w:cs="Times New Roman"/>
          <w:b/>
          <w:color w:val="000000" w:themeColor="text1"/>
          <w:sz w:val="32"/>
          <w:szCs w:val="32"/>
        </w:rPr>
      </w:pPr>
    </w:p>
    <w:p w14:paraId="4ED3B530" w14:textId="29A152CD" w:rsidR="00DA293C" w:rsidRDefault="00DA293C"/>
    <w:p w14:paraId="2CF239FF" w14:textId="63A7B5F7" w:rsidR="000B440D" w:rsidRDefault="000B440D"/>
    <w:p w14:paraId="33FCA5C3" w14:textId="7E700C4B" w:rsidR="000B440D" w:rsidRDefault="000B440D"/>
    <w:p w14:paraId="2B948D03" w14:textId="7CF277FD" w:rsidR="000B440D" w:rsidRDefault="000B440D"/>
    <w:p w14:paraId="7CF2252F" w14:textId="70897B13" w:rsidR="000B440D" w:rsidRDefault="000B440D"/>
    <w:p w14:paraId="6543839B" w14:textId="6A1CCD50" w:rsidR="000B440D" w:rsidRDefault="000B440D"/>
    <w:p w14:paraId="6DFD6780" w14:textId="2D7899DB" w:rsidR="000B440D" w:rsidRDefault="000B440D"/>
    <w:p w14:paraId="06B31FE2" w14:textId="20DAD2DB" w:rsidR="000B440D" w:rsidRDefault="000B440D"/>
    <w:p w14:paraId="05D7E66A" w14:textId="46AF3597" w:rsidR="000B440D" w:rsidRDefault="000B440D"/>
    <w:p w14:paraId="4AA7CDD4" w14:textId="22900E0B" w:rsidR="000B440D" w:rsidRDefault="000B440D"/>
    <w:p w14:paraId="0B776F2D" w14:textId="7FF0C725" w:rsidR="000B440D" w:rsidRDefault="000B440D"/>
    <w:p w14:paraId="5314C050" w14:textId="5E22B03A" w:rsidR="000B440D" w:rsidRDefault="000B440D"/>
    <w:p w14:paraId="73CF81E0" w14:textId="7AB66249" w:rsidR="000B440D" w:rsidRDefault="000B440D"/>
    <w:p w14:paraId="41E58AB9" w14:textId="1E07ACF5" w:rsidR="000B440D" w:rsidRDefault="000B440D"/>
    <w:p w14:paraId="2782ED00" w14:textId="64CAE31A" w:rsidR="000B440D" w:rsidRDefault="000B440D"/>
    <w:p w14:paraId="56774EEF" w14:textId="3A1C15A5" w:rsidR="000B440D" w:rsidRDefault="000B440D"/>
    <w:p w14:paraId="62772737" w14:textId="102865BD" w:rsidR="000B440D" w:rsidRDefault="000B440D"/>
    <w:p w14:paraId="78D3C7B1" w14:textId="6FA0CECE" w:rsidR="000B440D" w:rsidRDefault="000B440D"/>
    <w:p w14:paraId="072A9845" w14:textId="0820440B" w:rsidR="000B440D" w:rsidRDefault="000B440D"/>
    <w:p w14:paraId="58DF1D95" w14:textId="027EB0D4" w:rsidR="000B440D" w:rsidRDefault="000B440D"/>
    <w:p w14:paraId="5152645F" w14:textId="60E1628F" w:rsidR="000B440D" w:rsidRDefault="000B440D"/>
    <w:p w14:paraId="418EF4D2" w14:textId="2452F335" w:rsidR="000B440D" w:rsidRDefault="000B440D"/>
    <w:p w14:paraId="1D4906B5" w14:textId="1593080D" w:rsidR="000B440D" w:rsidRDefault="000B440D"/>
    <w:p w14:paraId="44A89A56" w14:textId="1335B740" w:rsidR="000B440D" w:rsidRDefault="000B440D"/>
    <w:p w14:paraId="0EC3DC35" w14:textId="0AE39B73" w:rsidR="000B440D" w:rsidRDefault="000B440D"/>
    <w:p w14:paraId="368659C0" w14:textId="5B2DEF1E" w:rsidR="000B440D" w:rsidRDefault="000B440D"/>
    <w:p w14:paraId="0C3B3FF9" w14:textId="77777777" w:rsidR="000B440D" w:rsidRDefault="000B440D"/>
    <w:p w14:paraId="24A3E200" w14:textId="3E21F0C4" w:rsidR="000B440D" w:rsidRDefault="000B440D"/>
    <w:p w14:paraId="371E7615" w14:textId="26A4C62B" w:rsidR="000B440D" w:rsidRDefault="000B440D"/>
    <w:p w14:paraId="1A531E7D" w14:textId="01C5641A" w:rsidR="000B440D" w:rsidRDefault="000B440D"/>
    <w:p w14:paraId="4E00B6AC" w14:textId="77777777" w:rsidR="000B440D" w:rsidRPr="000B440D" w:rsidRDefault="000B440D" w:rsidP="000B440D">
      <w:pPr>
        <w:pStyle w:val="Heading1"/>
        <w:rPr>
          <w:rFonts w:ascii="Times New Roman" w:eastAsia="Arial" w:hAnsi="Times New Roman" w:cs="Arial"/>
          <w:b/>
          <w:bCs/>
          <w:color w:val="000000" w:themeColor="text1"/>
        </w:rPr>
      </w:pPr>
      <w:r w:rsidRPr="000B440D">
        <w:rPr>
          <w:rFonts w:eastAsia="Arial"/>
          <w:b/>
          <w:bCs/>
          <w:color w:val="000000" w:themeColor="text1"/>
        </w:rPr>
        <w:lastRenderedPageBreak/>
        <w:t>Introduction</w:t>
      </w:r>
    </w:p>
    <w:p w14:paraId="0C6CC508" w14:textId="1734CFCA" w:rsidR="000B440D" w:rsidRDefault="000B440D" w:rsidP="000B440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 company can get success if the accounts department of a company is strong. In other words, a good financial department helps to get business succeed. The reputation can be achieved easily if the level of profit keeps increasing day by day. It helps to hold the position in the global market. Any issue regarding the accounts department creates a chance of a complete shutdown of the company. The accounting department is the backbone of a company and helps to gain more profit in progress. In this assignment, two questions are solved with the help of the following data in the given table.</w:t>
      </w:r>
    </w:p>
    <w:p w14:paraId="43CF8C49" w14:textId="77777777" w:rsidR="000B440D" w:rsidRPr="000B440D" w:rsidRDefault="000B440D" w:rsidP="000B440D">
      <w:pPr>
        <w:pStyle w:val="Heading1"/>
        <w:rPr>
          <w:rFonts w:ascii="Times New Roman" w:eastAsia="Arial" w:hAnsi="Times New Roman" w:cs="Arial"/>
          <w:b/>
          <w:bCs/>
          <w:color w:val="000000" w:themeColor="text1"/>
          <w:sz w:val="24"/>
          <w:szCs w:val="40"/>
        </w:rPr>
      </w:pPr>
      <w:bookmarkStart w:id="0" w:name="_Toc55578383"/>
      <w:r w:rsidRPr="000B440D">
        <w:rPr>
          <w:rFonts w:eastAsia="Arial"/>
          <w:b/>
          <w:bCs/>
          <w:color w:val="000000" w:themeColor="text1"/>
        </w:rPr>
        <w:t>Question 1</w:t>
      </w:r>
      <w:bookmarkEnd w:id="0"/>
    </w:p>
    <w:p w14:paraId="0C45B832" w14:textId="4FFF33D0" w:rsidR="000B440D" w:rsidRPr="000B440D" w:rsidRDefault="000B440D" w:rsidP="000B440D">
      <w:pPr>
        <w:pStyle w:val="ListParagraph"/>
        <w:numPr>
          <w:ilvl w:val="0"/>
          <w:numId w:val="2"/>
        </w:numPr>
        <w:spacing w:line="360" w:lineRule="auto"/>
        <w:jc w:val="both"/>
        <w:rPr>
          <w:rFonts w:ascii="Times New Roman" w:eastAsia="Times New Roman" w:hAnsi="Times New Roman" w:cs="Times New Roman"/>
          <w:b/>
          <w:color w:val="000000" w:themeColor="text1"/>
          <w:sz w:val="24"/>
          <w:szCs w:val="24"/>
        </w:rPr>
      </w:pPr>
      <w:r w:rsidRPr="000B440D">
        <w:rPr>
          <w:rFonts w:ascii="Times New Roman" w:eastAsia="Times New Roman" w:hAnsi="Times New Roman" w:cs="Times New Roman"/>
          <w:b/>
          <w:color w:val="000000" w:themeColor="text1"/>
          <w:sz w:val="24"/>
          <w:szCs w:val="24"/>
        </w:rPr>
        <w:t>Preparation of Income Statement</w:t>
      </w:r>
    </w:p>
    <w:p w14:paraId="25B5F185" w14:textId="77777777" w:rsidR="000B440D" w:rsidRPr="000B440D" w:rsidRDefault="000B440D" w:rsidP="000B440D">
      <w:pPr>
        <w:pStyle w:val="ListParagraph"/>
        <w:spacing w:line="360" w:lineRule="auto"/>
        <w:jc w:val="both"/>
        <w:rPr>
          <w:rFonts w:ascii="Times New Roman" w:eastAsia="Times New Roman" w:hAnsi="Times New Roman" w:cs="Times New Roman"/>
          <w:b/>
          <w:color w:val="000000" w:themeColor="text1"/>
          <w:sz w:val="24"/>
          <w:szCs w:val="24"/>
        </w:rPr>
      </w:pPr>
    </w:p>
    <w:tbl>
      <w:tblPr>
        <w:tblW w:w="668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40"/>
        <w:gridCol w:w="960"/>
        <w:gridCol w:w="960"/>
        <w:gridCol w:w="960"/>
        <w:gridCol w:w="960"/>
      </w:tblGrid>
      <w:tr w:rsidR="000B440D" w14:paraId="20E48BF0"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69B80A50"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books of Eccles plc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4708916"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C47EBA7"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E285DA0"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D9CBBFD" w14:textId="77777777" w:rsidR="000B440D" w:rsidRDefault="000B440D">
            <w:pPr>
              <w:rPr>
                <w:sz w:val="20"/>
                <w:szCs w:val="20"/>
                <w:lang w:val="en-GB" w:eastAsia="en-GB"/>
              </w:rPr>
            </w:pPr>
          </w:p>
        </w:tc>
      </w:tr>
      <w:tr w:rsidR="000B440D" w14:paraId="76BA6714"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7AD94469"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Income statement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C226242"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E207064"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D849441"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23858FA" w14:textId="77777777" w:rsidR="000B440D" w:rsidRDefault="000B440D">
            <w:pPr>
              <w:rPr>
                <w:sz w:val="20"/>
                <w:szCs w:val="20"/>
                <w:lang w:val="en-GB" w:eastAsia="en-GB"/>
              </w:rPr>
            </w:pPr>
          </w:p>
        </w:tc>
      </w:tr>
      <w:tr w:rsidR="000B440D" w14:paraId="29302AFD" w14:textId="77777777" w:rsidTr="000B440D">
        <w:trPr>
          <w:trHeight w:val="300"/>
          <w:jc w:val="center"/>
        </w:trPr>
        <w:tc>
          <w:tcPr>
            <w:tcW w:w="5720" w:type="dxa"/>
            <w:gridSpan w:val="4"/>
            <w:tcBorders>
              <w:top w:val="single" w:sz="4" w:space="0" w:color="auto"/>
              <w:left w:val="single" w:sz="4" w:space="0" w:color="auto"/>
              <w:bottom w:val="single" w:sz="4" w:space="0" w:color="auto"/>
              <w:right w:val="single" w:sz="4" w:space="0" w:color="auto"/>
            </w:tcBorders>
            <w:noWrap/>
            <w:vAlign w:val="bottom"/>
            <w:hideMark/>
          </w:tcPr>
          <w:p w14:paraId="681158A2" w14:textId="77777777" w:rsidR="000B440D" w:rsidRDefault="000B440D">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For the year ended 31st December 2019</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C822E1E" w14:textId="77777777" w:rsidR="000B440D" w:rsidRDefault="000B440D">
            <w:pPr>
              <w:rPr>
                <w:rFonts w:ascii="Times New Roman" w:eastAsia="Times New Roman" w:hAnsi="Times New Roman" w:cs="Times New Roman"/>
                <w:color w:val="000000"/>
                <w:sz w:val="24"/>
                <w:szCs w:val="24"/>
              </w:rPr>
            </w:pPr>
          </w:p>
        </w:tc>
      </w:tr>
      <w:tr w:rsidR="000B440D" w14:paraId="433E02EF"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37EDE994"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D26990D"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CCA49BD"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77B8C1C"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9BAEDB4" w14:textId="77777777" w:rsidR="000B440D" w:rsidRDefault="000B440D">
            <w:pPr>
              <w:rPr>
                <w:sz w:val="20"/>
                <w:szCs w:val="20"/>
                <w:lang w:val="en-GB" w:eastAsia="en-GB"/>
              </w:rPr>
            </w:pPr>
          </w:p>
        </w:tc>
      </w:tr>
      <w:tr w:rsidR="000B440D" w14:paraId="790578E1"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3D035DEC"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536EB12"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6E4DE30"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52CD0AB"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34E2C47" w14:textId="77777777" w:rsidR="000B440D" w:rsidRDefault="000B440D">
            <w:pPr>
              <w:rPr>
                <w:sz w:val="20"/>
                <w:szCs w:val="20"/>
                <w:lang w:val="en-GB" w:eastAsia="en-GB"/>
              </w:rPr>
            </w:pPr>
          </w:p>
        </w:tc>
      </w:tr>
      <w:tr w:rsidR="000B440D" w14:paraId="6C4343AB"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61FB4ED1"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particulars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10B842B"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1DA09BD"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4B46045"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6DDF66B" w14:textId="77777777" w:rsidR="000B440D" w:rsidRDefault="000B440D">
            <w:pPr>
              <w:spacing w:line="360" w:lineRule="auto"/>
              <w:jc w:val="right"/>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2018</w:t>
            </w:r>
          </w:p>
        </w:tc>
      </w:tr>
      <w:tr w:rsidR="000B440D" w14:paraId="2EB951C7"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6B87E2B7" w14:textId="77777777" w:rsidR="000B440D" w:rsidRDefault="000B440D">
            <w:pPr>
              <w:rPr>
                <w:rFonts w:ascii="Times New Roman" w:eastAsia="Times New Roman" w:hAnsi="Times New Roman" w:cs="Times New Roman"/>
                <w:b/>
                <w:bCs/>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7118063"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577442F"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B7FA054"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A36ADE0" w14:textId="77777777" w:rsidR="000B440D" w:rsidRDefault="000B440D">
            <w:pPr>
              <w:rPr>
                <w:sz w:val="20"/>
                <w:szCs w:val="20"/>
                <w:lang w:val="en-GB" w:eastAsia="en-GB"/>
              </w:rPr>
            </w:pPr>
          </w:p>
        </w:tc>
      </w:tr>
      <w:tr w:rsidR="000B440D" w14:paraId="0D963D94"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16830C3F"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sales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C799545"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F603D61"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A1F6663"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1A7CDFD"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827630</w:t>
            </w:r>
          </w:p>
        </w:tc>
      </w:tr>
      <w:tr w:rsidR="000B440D" w14:paraId="6A7F38C4"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57C50200" w14:textId="172ABA9F"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cost of goods sold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BEA8C6C"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019DD95"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B566881"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CF412B9"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-578650</w:t>
            </w:r>
          </w:p>
        </w:tc>
      </w:tr>
      <w:tr w:rsidR="000B440D" w14:paraId="2D7C5A37"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2DB1B742"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gross profit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5D022B7"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CD081BF"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60E703B"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2F43404"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248980</w:t>
            </w:r>
          </w:p>
        </w:tc>
      </w:tr>
      <w:tr w:rsidR="000B440D" w14:paraId="0204C499"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169DC4E1"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D96977F"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53EBFF9"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3578F51"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1220ACA" w14:textId="77777777" w:rsidR="000B440D" w:rsidRDefault="000B440D">
            <w:pPr>
              <w:rPr>
                <w:sz w:val="20"/>
                <w:szCs w:val="20"/>
                <w:lang w:val="en-GB" w:eastAsia="en-GB"/>
              </w:rPr>
            </w:pPr>
          </w:p>
        </w:tc>
      </w:tr>
      <w:tr w:rsidR="000B440D" w14:paraId="5E6E6F55"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0BF6D390"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distribution expenses</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71EF4B6"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99EB9D6"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94BF528"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-28000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20900BE" w14:textId="77777777" w:rsidR="000B440D" w:rsidRDefault="000B440D">
            <w:pPr>
              <w:rPr>
                <w:rFonts w:ascii="Times New Roman" w:eastAsia="Times New Roman" w:hAnsi="Times New Roman" w:cs="Times New Roman"/>
                <w:color w:val="000000"/>
                <w:sz w:val="24"/>
                <w:szCs w:val="24"/>
              </w:rPr>
            </w:pPr>
          </w:p>
        </w:tc>
      </w:tr>
      <w:tr w:rsidR="000B440D" w14:paraId="2BF12D81"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4DB208E3" w14:textId="42B1C5AD"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administrative expenses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20BD3B7"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AC5F8DB"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7E8E08B"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BFB1F6B"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-58000</w:t>
            </w:r>
          </w:p>
        </w:tc>
      </w:tr>
      <w:tr w:rsidR="000B440D" w14:paraId="04FFA716"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5E6B7B56"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operating profit</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C678B66"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B5BBD3F"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977D0A8"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48CB4C4"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190980</w:t>
            </w:r>
          </w:p>
        </w:tc>
      </w:tr>
      <w:tr w:rsidR="000B440D" w14:paraId="1FF5E305"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5EB9AF56"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retained earnings</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48866DD"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FDEDFFC"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443AD20"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132000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35571A7" w14:textId="77777777" w:rsidR="000B440D" w:rsidRDefault="000B440D">
            <w:pPr>
              <w:rPr>
                <w:rFonts w:ascii="Times New Roman" w:eastAsia="Times New Roman" w:hAnsi="Times New Roman" w:cs="Times New Roman"/>
                <w:color w:val="000000"/>
                <w:sz w:val="24"/>
                <w:szCs w:val="24"/>
              </w:rPr>
            </w:pPr>
          </w:p>
        </w:tc>
      </w:tr>
      <w:tr w:rsidR="000B440D" w14:paraId="4901C451"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3712F801"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dividend paid</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DC11940"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3F292C1"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BF4BC2C"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6E3B774" w14:textId="77777777" w:rsidR="000B440D" w:rsidRDefault="000B440D">
            <w:pPr>
              <w:rPr>
                <w:rFonts w:ascii="Times New Roman" w:eastAsia="Times New Roman" w:hAnsi="Times New Roman" w:cs="Times New Roman"/>
                <w:color w:val="000000"/>
                <w:sz w:val="24"/>
                <w:szCs w:val="24"/>
              </w:rPr>
            </w:pPr>
          </w:p>
        </w:tc>
      </w:tr>
      <w:tr w:rsidR="000B440D" w14:paraId="5A815232"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63D535D5"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salesman commission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57F277D"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A1AAA97"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C0F6E4B"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70734CD" w14:textId="77777777" w:rsidR="000B440D" w:rsidRDefault="000B440D">
            <w:pPr>
              <w:rPr>
                <w:rFonts w:ascii="Times New Roman" w:eastAsia="Times New Roman" w:hAnsi="Times New Roman" w:cs="Times New Roman"/>
                <w:color w:val="000000"/>
                <w:sz w:val="24"/>
                <w:szCs w:val="24"/>
              </w:rPr>
            </w:pPr>
          </w:p>
        </w:tc>
      </w:tr>
      <w:tr w:rsidR="000B440D" w14:paraId="2D16CB9C"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2E3B2B12"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interest paid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EF02263"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D64096E"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1CA9628"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3EF442A" w14:textId="77777777" w:rsidR="000B440D" w:rsidRDefault="000B440D">
            <w:pPr>
              <w:rPr>
                <w:rFonts w:ascii="Times New Roman" w:eastAsia="Times New Roman" w:hAnsi="Times New Roman" w:cs="Times New Roman"/>
                <w:color w:val="000000"/>
                <w:sz w:val="24"/>
                <w:szCs w:val="24"/>
              </w:rPr>
            </w:pPr>
          </w:p>
        </w:tc>
      </w:tr>
      <w:tr w:rsidR="000B440D" w14:paraId="4ED87009"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5E8DFD08" w14:textId="26B433D7" w:rsidR="000B440D" w:rsidRDefault="00811D1E">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director’s</w:t>
            </w:r>
            <w:r w:rsidR="000B440D">
              <w:rPr>
                <w:rFonts w:ascii="Times New Roman" w:eastAsia="Times New Roman" w:hAnsi="Times New Roman" w:cs="Times New Roman"/>
                <w:color w:val="000000"/>
                <w:sz w:val="24"/>
                <w:szCs w:val="24"/>
              </w:rPr>
              <w:t xml:space="preserve"> remuneration</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8310230"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5B2D9C97"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FDD2CAF"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-5000</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30841FD"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-72000</w:t>
            </w:r>
          </w:p>
        </w:tc>
      </w:tr>
      <w:tr w:rsidR="000B440D" w14:paraId="05D99A82"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604EDD0A"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profit before tax</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C82A552"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B0D08B7"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4E142AB9"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6B7D7AA"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118980</w:t>
            </w:r>
          </w:p>
        </w:tc>
      </w:tr>
      <w:tr w:rsidR="000B440D" w14:paraId="4F4E429B"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0809298C"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corporation tax</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628B9BCD"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20E4ED4D"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0970770C"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3A93B331"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-68000</w:t>
            </w:r>
          </w:p>
        </w:tc>
      </w:tr>
      <w:tr w:rsidR="000B440D" w14:paraId="0777A4CF" w14:textId="77777777" w:rsidTr="000B440D">
        <w:trPr>
          <w:trHeight w:val="300"/>
          <w:jc w:val="center"/>
        </w:trPr>
        <w:tc>
          <w:tcPr>
            <w:tcW w:w="2840" w:type="dxa"/>
            <w:tcBorders>
              <w:top w:val="single" w:sz="4" w:space="0" w:color="auto"/>
              <w:left w:val="single" w:sz="4" w:space="0" w:color="auto"/>
              <w:bottom w:val="single" w:sz="4" w:space="0" w:color="auto"/>
              <w:right w:val="single" w:sz="4" w:space="0" w:color="auto"/>
            </w:tcBorders>
            <w:noWrap/>
            <w:vAlign w:val="bottom"/>
            <w:hideMark/>
          </w:tcPr>
          <w:p w14:paraId="085E0C0E" w14:textId="77777777" w:rsidR="000B440D" w:rsidRDefault="000B440D">
            <w:pP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profit after tax </w:t>
            </w: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B011D1A" w14:textId="77777777" w:rsidR="000B440D" w:rsidRDefault="000B440D">
            <w:pPr>
              <w:rPr>
                <w:rFonts w:ascii="Times New Roman" w:eastAsia="Times New Roman" w:hAnsi="Times New Roman" w:cs="Times New Roman"/>
                <w:color w:val="000000"/>
                <w:sz w:val="24"/>
                <w:szCs w:val="24"/>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4C621C6"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100A6CAB" w14:textId="77777777" w:rsidR="000B440D" w:rsidRDefault="000B440D">
            <w:pPr>
              <w:rPr>
                <w:sz w:val="20"/>
                <w:szCs w:val="20"/>
                <w:lang w:val="en-GB" w:eastAsia="en-GB"/>
              </w:rPr>
            </w:pPr>
          </w:p>
        </w:tc>
        <w:tc>
          <w:tcPr>
            <w:tcW w:w="960" w:type="dxa"/>
            <w:tcBorders>
              <w:top w:val="single" w:sz="4" w:space="0" w:color="auto"/>
              <w:left w:val="single" w:sz="4" w:space="0" w:color="auto"/>
              <w:bottom w:val="single" w:sz="4" w:space="0" w:color="auto"/>
              <w:right w:val="single" w:sz="4" w:space="0" w:color="auto"/>
            </w:tcBorders>
            <w:noWrap/>
            <w:vAlign w:val="bottom"/>
            <w:hideMark/>
          </w:tcPr>
          <w:p w14:paraId="7AF79763" w14:textId="77777777" w:rsidR="000B440D" w:rsidRDefault="000B440D">
            <w:pPr>
              <w:spacing w:line="36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50980</w:t>
            </w:r>
          </w:p>
        </w:tc>
      </w:tr>
    </w:tbl>
    <w:p w14:paraId="121EB4FB" w14:textId="77777777" w:rsidR="000B440D" w:rsidRDefault="000B440D" w:rsidP="000B440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1: Income Statement</w:t>
      </w:r>
    </w:p>
    <w:p w14:paraId="3F11AED1" w14:textId="77777777" w:rsidR="000B440D" w:rsidRDefault="000B440D" w:rsidP="000B440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Researcher)</w:t>
      </w:r>
    </w:p>
    <w:p w14:paraId="246C5328" w14:textId="1783D628" w:rsidR="000B440D" w:rsidRPr="000B440D" w:rsidRDefault="000B440D" w:rsidP="000B440D">
      <w:pPr>
        <w:pStyle w:val="ListParagraph"/>
        <w:numPr>
          <w:ilvl w:val="0"/>
          <w:numId w:val="2"/>
        </w:numPr>
        <w:spacing w:line="360" w:lineRule="auto"/>
        <w:rPr>
          <w:rFonts w:ascii="Times New Roman" w:eastAsia="Times New Roman" w:hAnsi="Times New Roman" w:cs="Times New Roman"/>
          <w:b/>
          <w:color w:val="000000" w:themeColor="text1"/>
          <w:sz w:val="24"/>
          <w:szCs w:val="24"/>
        </w:rPr>
      </w:pPr>
      <w:r w:rsidRPr="000B440D">
        <w:rPr>
          <w:rFonts w:ascii="Times New Roman" w:eastAsia="Times New Roman" w:hAnsi="Times New Roman" w:cs="Times New Roman"/>
          <w:b/>
          <w:color w:val="000000" w:themeColor="text1"/>
          <w:sz w:val="24"/>
          <w:szCs w:val="24"/>
        </w:rPr>
        <w:t>Reason for balances</w:t>
      </w:r>
    </w:p>
    <w:p w14:paraId="6ABEE717" w14:textId="77777777" w:rsidR="000B440D" w:rsidRDefault="000B440D" w:rsidP="000B440D">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Users of financial statement</w:t>
      </w:r>
    </w:p>
    <w:p w14:paraId="38B45B16"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financial statement aims to provide information to the users for decision-making. There are several users of the financial statement, which is produced by any organization. The users of the financial statements are the company management, customers, government, investors, rating agencies, unions, suppliers, lenders, investment analysts, employees, and competitors. According to (Liu, 2020, p. 1500) the description of each one of the users in the financial statement is described along with the reasons behind their need for the information. </w:t>
      </w:r>
    </w:p>
    <w:p w14:paraId="7A172CE3"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Company management</w:t>
      </w:r>
      <w:r>
        <w:rPr>
          <w:rFonts w:ascii="Times New Roman" w:eastAsia="Times New Roman" w:hAnsi="Times New Roman" w:cs="Times New Roman"/>
          <w:sz w:val="24"/>
          <w:szCs w:val="24"/>
          <w:highlight w:val="white"/>
        </w:rPr>
        <w:t>- The management team is needed for understanding the liquidity, profitability and the cash flow within the organization for every month. The financial statement is required so that they can make the financial as well as the operational decisions regarding the business.</w:t>
      </w:r>
    </w:p>
    <w:p w14:paraId="6621EEC2"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Customers</w:t>
      </w:r>
      <w:r>
        <w:rPr>
          <w:rFonts w:ascii="Times New Roman" w:eastAsia="Times New Roman" w:hAnsi="Times New Roman" w:cs="Times New Roman"/>
          <w:sz w:val="24"/>
          <w:szCs w:val="24"/>
          <w:highlight w:val="white"/>
        </w:rPr>
        <w:t>: The customers when they consider the supplier for selecting a contract, they need to review the financial statement firstly. The customers then judge the ability of the supplier for remaining in the business for a long period to provide the services and the goods to be mandated in the contract.</w:t>
      </w:r>
    </w:p>
    <w:p w14:paraId="3ED170B4"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Competitors</w:t>
      </w:r>
      <w:r>
        <w:rPr>
          <w:rFonts w:ascii="Times New Roman" w:eastAsia="Times New Roman" w:hAnsi="Times New Roman" w:cs="Times New Roman"/>
          <w:sz w:val="24"/>
          <w:szCs w:val="24"/>
          <w:highlight w:val="white"/>
        </w:rPr>
        <w:t xml:space="preserve">: The entities, which are competing against the business, are attempted for gaining access to the financial statement. This is required for evaluating the financial condition of prospective competitors. The knowledge that they gained is crucial for assessing the competitive stages. </w:t>
      </w:r>
    </w:p>
    <w:p w14:paraId="03DD7645"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Employee: </w:t>
      </w:r>
      <w:r>
        <w:rPr>
          <w:rFonts w:ascii="Times New Roman" w:eastAsia="Times New Roman" w:hAnsi="Times New Roman" w:cs="Times New Roman"/>
          <w:sz w:val="24"/>
          <w:szCs w:val="24"/>
          <w:highlight w:val="white"/>
        </w:rPr>
        <w:t xml:space="preserve">The company elects for the provision of the financial statement to the employees that are provided with the explanation of the content of documents. This is used for increasing the employee involvement level and business understanding. </w:t>
      </w:r>
    </w:p>
    <w:p w14:paraId="620EF67A"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Investment analysts- </w:t>
      </w:r>
      <w:r>
        <w:rPr>
          <w:rFonts w:ascii="Times New Roman" w:eastAsia="Times New Roman" w:hAnsi="Times New Roman" w:cs="Times New Roman"/>
          <w:sz w:val="24"/>
          <w:szCs w:val="24"/>
          <w:highlight w:val="white"/>
        </w:rPr>
        <w:t xml:space="preserve">The investment analysts who are outside are enthusiastic to observe the financial statement for deciding whether they will be recommending the security of the company to the respective client. </w:t>
      </w:r>
    </w:p>
    <w:p w14:paraId="7312961C"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Governments-</w:t>
      </w:r>
      <w:r>
        <w:rPr>
          <w:rFonts w:ascii="Times New Roman" w:eastAsia="Times New Roman" w:hAnsi="Times New Roman" w:cs="Times New Roman"/>
          <w:sz w:val="24"/>
          <w:szCs w:val="24"/>
          <w:highlight w:val="white"/>
        </w:rPr>
        <w:t xml:space="preserve"> The government under the jurisdiction of whom the company is located can request for the financial statement and thus they can determine if the business can pay the required tax amount. The body of the government within the state, the tax authorities are responsible for especially interesting information about the entity's financial status for </w:t>
      </w:r>
      <w:r>
        <w:rPr>
          <w:rFonts w:ascii="Times New Roman" w:eastAsia="Times New Roman" w:hAnsi="Times New Roman" w:cs="Times New Roman"/>
          <w:sz w:val="24"/>
          <w:szCs w:val="24"/>
          <w:highlight w:val="white"/>
        </w:rPr>
        <w:lastRenderedPageBreak/>
        <w:t>regulatory purposes and taxation. The tax is the computer-based for the operational result and a different tax base. The state knows about the economic status of the taxpayer and thus determines the tax (</w:t>
      </w:r>
      <w:proofErr w:type="spellStart"/>
      <w:r>
        <w:rPr>
          <w:rFonts w:ascii="Times New Roman" w:eastAsia="Times New Roman" w:hAnsi="Times New Roman" w:cs="Times New Roman"/>
          <w:sz w:val="24"/>
          <w:szCs w:val="24"/>
          <w:highlight w:val="white"/>
        </w:rPr>
        <w:t>Bhakare</w:t>
      </w:r>
      <w:proofErr w:type="spellEnd"/>
      <w:r>
        <w:rPr>
          <w:rFonts w:ascii="Times New Roman" w:eastAsia="Times New Roman" w:hAnsi="Times New Roman" w:cs="Times New Roman"/>
          <w:sz w:val="24"/>
          <w:szCs w:val="24"/>
          <w:highlight w:val="white"/>
        </w:rPr>
        <w:t xml:space="preserve">, 2020, p. 45). </w:t>
      </w:r>
    </w:p>
    <w:p w14:paraId="2B15B0AD"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Investor-</w:t>
      </w:r>
      <w:r>
        <w:rPr>
          <w:rFonts w:ascii="Times New Roman" w:eastAsia="Times New Roman" w:hAnsi="Times New Roman" w:cs="Times New Roman"/>
          <w:sz w:val="24"/>
          <w:szCs w:val="24"/>
          <w:highlight w:val="white"/>
        </w:rPr>
        <w:t xml:space="preserve"> The investors are required to know about the provided financial statement. They are owners of the business, and thus, they need to know about investment performance.  </w:t>
      </w:r>
    </w:p>
    <w:p w14:paraId="7A27A41A"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Rating agencies- </w:t>
      </w:r>
      <w:r>
        <w:rPr>
          <w:rFonts w:ascii="Times New Roman" w:eastAsia="Times New Roman" w:hAnsi="Times New Roman" w:cs="Times New Roman"/>
          <w:sz w:val="24"/>
          <w:szCs w:val="24"/>
          <w:highlight w:val="white"/>
        </w:rPr>
        <w:t xml:space="preserve">The rating agencies credit is required to know the review of the financial statement for giving the credit rating to the company as the whole or for the security. </w:t>
      </w:r>
    </w:p>
    <w:p w14:paraId="5DCF6FAE"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Unions- </w:t>
      </w:r>
      <w:r>
        <w:rPr>
          <w:rFonts w:ascii="Times New Roman" w:eastAsia="Times New Roman" w:hAnsi="Times New Roman" w:cs="Times New Roman"/>
          <w:sz w:val="24"/>
          <w:szCs w:val="24"/>
          <w:highlight w:val="white"/>
        </w:rPr>
        <w:t xml:space="preserve">The union wants the statement of financial for evaluating the business ability for paying the compensation and thus benefiting the represented union members. </w:t>
      </w:r>
    </w:p>
    <w:p w14:paraId="79FC5853"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Lenders- </w:t>
      </w:r>
      <w:r>
        <w:rPr>
          <w:rFonts w:ascii="Times New Roman" w:eastAsia="Times New Roman" w:hAnsi="Times New Roman" w:cs="Times New Roman"/>
          <w:sz w:val="24"/>
          <w:szCs w:val="24"/>
          <w:highlight w:val="white"/>
        </w:rPr>
        <w:t>The entity responsible for loaning the amount of money to the organization is called the lender. The person requires the financial statement for estimating the borrowing ability for paying back all the funds that are loaned and those that are related to the interest charges.</w:t>
      </w:r>
    </w:p>
    <w:p w14:paraId="60D55A7E"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Suppliers- </w:t>
      </w:r>
      <w:r>
        <w:rPr>
          <w:rFonts w:ascii="Times New Roman" w:eastAsia="Times New Roman" w:hAnsi="Times New Roman" w:cs="Times New Roman"/>
          <w:sz w:val="24"/>
          <w:szCs w:val="24"/>
          <w:highlight w:val="white"/>
        </w:rPr>
        <w:t xml:space="preserve">The suppliers always require the statements of the finance for deciding if it is safe for extending the company’s credit. </w:t>
      </w:r>
    </w:p>
    <w:p w14:paraId="73FD74CD"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General Public</w:t>
      </w:r>
      <w:r>
        <w:rPr>
          <w:rFonts w:ascii="Times New Roman" w:eastAsia="Times New Roman" w:hAnsi="Times New Roman" w:cs="Times New Roman"/>
          <w:sz w:val="24"/>
          <w:szCs w:val="24"/>
          <w:highlight w:val="white"/>
        </w:rPr>
        <w:t xml:space="preserve">- The outsider of the company like the students, researchers or any analysts are interested in the statement of the financial status of the company due to some valid reasons. </w:t>
      </w:r>
    </w:p>
    <w:p w14:paraId="5D76E54A"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users can be classified as the external user and the internal user:</w:t>
      </w:r>
    </w:p>
    <w:p w14:paraId="35473BCC"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External users are those which do not only directly involve the company but also they hold for some financial interest. The external users are classified into the users that have a direct interest. The examples of the users with a direct interest in investing in the concerned company are the investors, owners, creditors. The other classified type of the external user is the indirect interest for finance which includes the employees, government, and the customers. The other type is internal users. Those users are those who can use the information of accounting for making the decisions that are related to the operations of the company. Some examples of internal users are employees, financial managers and many others (</w:t>
      </w:r>
      <w:proofErr w:type="spellStart"/>
      <w:r>
        <w:rPr>
          <w:rFonts w:ascii="Times New Roman" w:eastAsia="Times New Roman" w:hAnsi="Times New Roman" w:cs="Times New Roman"/>
          <w:sz w:val="24"/>
          <w:szCs w:val="24"/>
          <w:highlight w:val="white"/>
        </w:rPr>
        <w:t>Cioca</w:t>
      </w:r>
      <w:proofErr w:type="spellEnd"/>
      <w:r>
        <w:rPr>
          <w:rFonts w:ascii="Times New Roman" w:eastAsia="Times New Roman" w:hAnsi="Times New Roman" w:cs="Times New Roman"/>
          <w:sz w:val="24"/>
          <w:szCs w:val="24"/>
          <w:highlight w:val="white"/>
        </w:rPr>
        <w:t xml:space="preserve">, 2020, p. 75).  </w:t>
      </w:r>
    </w:p>
    <w:p w14:paraId="08CDDAE1"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p>
    <w:p w14:paraId="5C528E14" w14:textId="26B40D7A" w:rsidR="000B440D" w:rsidRDefault="000B440D" w:rsidP="000B440D">
      <w:pPr>
        <w:pStyle w:val="Normal1"/>
        <w:numPr>
          <w:ilvl w:val="0"/>
          <w:numId w:val="2"/>
        </w:numP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Explanation of the balancing of the statement of financial position </w:t>
      </w:r>
    </w:p>
    <w:p w14:paraId="662172C6" w14:textId="77777777" w:rsidR="000B440D" w:rsidRDefault="000B440D" w:rsidP="000B440D">
      <w:pPr>
        <w:pStyle w:val="Normal1"/>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statement for the financial position which is also known as the balance sheet presents the position of the finance of the entity for the given date. The balance sheet consists of major three components: Liabilities, assets and equity. </w:t>
      </w:r>
    </w:p>
    <w:p w14:paraId="2C3D0A25" w14:textId="77777777" w:rsidR="000B440D" w:rsidRDefault="000B440D" w:rsidP="000B440D">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Liability:</w:t>
      </w:r>
    </w:p>
    <w:p w14:paraId="3CBAFCB7" w14:textId="1ADB829F" w:rsidR="000B440D" w:rsidRDefault="000B440D" w:rsidP="000B440D">
      <w:pPr>
        <w:pStyle w:val="Normal1"/>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liability is the obligation which the business owes and the settlement which involves any resources or cash transfer. In the financial statement, the liability is classified into non-current liability and current liability. The liability which is going to be settled for a longer </w:t>
      </w:r>
      <w:r>
        <w:rPr>
          <w:rFonts w:ascii="Times New Roman" w:eastAsia="Times New Roman" w:hAnsi="Times New Roman" w:cs="Times New Roman"/>
          <w:sz w:val="24"/>
          <w:szCs w:val="24"/>
          <w:highlight w:val="white"/>
        </w:rPr>
        <w:lastRenderedPageBreak/>
        <w:t xml:space="preserve">period is the non-current liability while the liability which is expected to settle within a year is the current liability. Based on nature, the liability can also be classified within the statement of the financial position as borrowings for a shorter term, borrowings for the longer term, trade as well as other payables, the current tax payables. The borrowings for short term include the overdrafts of the bank. Along with the bank loans which are short termed with the repayment schedule ranging lower than 12 months. The borrowings for the longer term also include the installments which are left within the first year of the reporting date. The trade as well as other payables is the liabilities, occurred due to the contractors and the suppliers. The current payable tax is the separate item which is the present with the financial statement for the materiality (Albanese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 p. 20). </w:t>
      </w:r>
    </w:p>
    <w:p w14:paraId="6C7DD910" w14:textId="77777777" w:rsidR="000B440D" w:rsidRDefault="000B440D" w:rsidP="000B440D">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Asset:</w:t>
      </w:r>
    </w:p>
    <w:p w14:paraId="32FD19D3" w14:textId="77777777" w:rsidR="000B440D" w:rsidRDefault="000B440D" w:rsidP="000B440D">
      <w:pPr>
        <w:pStyle w:val="Normal1"/>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asset is the amount which is owned and controlled by the entity for deriving the economic benefits after the proper utilization. Within the balance sheet, the assets can be classified as the non-current asset and current asset, which is dependent on the duration. The asset which requires a larger period for delivering the economic benefits is the non-current asset, while the asset which is expected to realize within a year is the current asset. Based on nature, the asset can be classified in the financial positional statement as the inventories balance, intangible and tangible asset, cash equivalents and cash, trade receivables. </w:t>
      </w:r>
    </w:p>
    <w:p w14:paraId="32D4736B" w14:textId="77777777" w:rsidR="000B440D" w:rsidRDefault="000B440D" w:rsidP="000B440D">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Equity:</w:t>
      </w:r>
    </w:p>
    <w:p w14:paraId="1B5C9974" w14:textId="77777777" w:rsidR="000B440D" w:rsidRDefault="000B440D" w:rsidP="000B440D">
      <w:pPr>
        <w:pStyle w:val="Normal1"/>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equity is an amount that the owner owes in the business. The equity can be derived after the deduction from the total liability from the asset amount. An asset is thus represented as the residual interest of the owner. In the statement of the financial position, the equity is presented as the retained earnings, the share capital and the revaluation reserve. The retained earnings are the net loss or profit within the business after the amount is distributed to the respective owner. The share capital is the amount which is invested by its owner. The revaluation reserve is the surplus amount, which is the surplus of the upward property revaluation, and equipment revaluation. The revaluation reserve can be recognizable within the equity.</w:t>
      </w:r>
    </w:p>
    <w:p w14:paraId="4A77B8DA" w14:textId="77777777" w:rsidR="000B440D" w:rsidRDefault="000B440D" w:rsidP="000B440D">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Balancing of the statement of the financial position:</w:t>
      </w:r>
    </w:p>
    <w:p w14:paraId="6DFB687F" w14:textId="1386B9EE" w:rsidR="000B440D" w:rsidRDefault="000B440D" w:rsidP="000B440D">
      <w:pPr>
        <w:pStyle w:val="Normal1"/>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statement of financial position or a balance sheet is structured in such a way that the asset in the entity is the total of the sum of the equity and liability in the entity. The asset within the entity is financed from the external credit, for example, the trade creditors, bank loan etc. The asset can also be financed from the internal credit, such as the profits, and share capitals. As the capital amount invested by the owner and the borrowings of the owner must equalize </w:t>
      </w:r>
      <w:r>
        <w:rPr>
          <w:rFonts w:ascii="Times New Roman" w:eastAsia="Times New Roman" w:hAnsi="Times New Roman" w:cs="Times New Roman"/>
          <w:sz w:val="24"/>
          <w:szCs w:val="24"/>
          <w:highlight w:val="white"/>
        </w:rPr>
        <w:lastRenderedPageBreak/>
        <w:t>the total asset amount within the business. Thus, the asset of the business equals the total of liability and equity.</w:t>
      </w:r>
    </w:p>
    <w:p w14:paraId="60E4C027" w14:textId="104E74EC"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Thus, the accounting equation can be written as: Assets= Equity + Liability</w:t>
      </w:r>
    </w:p>
    <w:p w14:paraId="42AC8749" w14:textId="77777777" w:rsidR="000B440D" w:rsidRDefault="000B440D" w:rsidP="000B440D">
      <w:pPr>
        <w:pStyle w:val="Normal1"/>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Importance of the statement of financial position:</w:t>
      </w:r>
    </w:p>
    <w:p w14:paraId="6FCEE3AB"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statement of the financial position or the balance sheet is one of the important elements in the finance of any material. The balance sheet is composed of the three different elements called equity, asset and liability. The three components of the balance sheet are required for making any balance sheet. It is also known that the equity within the balance sheet can be derived after the deduction from the total liability from the asset amount at the balance sheet. The statement for the financial position or more commonly known as the balance sheet is required for understanding the financial situation of the entity. The balance sheet is also required for maintaining the financial position of the entity. The sheet is particularly important for determining the financial risk, business risk, liquidity risk, credit risk of the entity. The conjunction used with the entity's financial statement and the competitors' financial statement, this balance sheet helps in the identification of the trends and relationship's that are indicative of the potential areas of problem for improvement in the future. The analysis of this statement is used for predicting the timing, amount and volatility of the future earnings of the entity (Fleckenstein and Longstaff, 2018, p. 67). </w:t>
      </w:r>
    </w:p>
    <w:p w14:paraId="6F010364" w14:textId="77777777" w:rsidR="000B440D" w:rsidRPr="000B440D" w:rsidRDefault="000B440D" w:rsidP="000B440D">
      <w:pPr>
        <w:pStyle w:val="Heading1"/>
        <w:rPr>
          <w:rFonts w:ascii="Times New Roman" w:eastAsia="Arial" w:hAnsi="Times New Roman" w:cs="Arial"/>
          <w:b/>
          <w:bCs/>
          <w:color w:val="000000" w:themeColor="text1"/>
          <w:sz w:val="24"/>
          <w:szCs w:val="40"/>
        </w:rPr>
      </w:pPr>
      <w:bookmarkStart w:id="1" w:name="_Toc55578384"/>
      <w:r w:rsidRPr="000B440D">
        <w:rPr>
          <w:rFonts w:eastAsia="Arial"/>
          <w:b/>
          <w:bCs/>
          <w:color w:val="000000" w:themeColor="text1"/>
          <w:szCs w:val="24"/>
        </w:rPr>
        <w:t>Question</w:t>
      </w:r>
      <w:r w:rsidRPr="000B440D">
        <w:rPr>
          <w:rFonts w:eastAsia="Arial"/>
          <w:b/>
          <w:bCs/>
          <w:color w:val="000000" w:themeColor="text1"/>
        </w:rPr>
        <w:t xml:space="preserve"> 2</w:t>
      </w:r>
      <w:bookmarkEnd w:id="1"/>
    </w:p>
    <w:p w14:paraId="14EBFF4E" w14:textId="55CA8471" w:rsidR="000B440D" w:rsidRDefault="000B440D" w:rsidP="000B440D">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     a) Financial ratio</w:t>
      </w:r>
    </w:p>
    <w:p w14:paraId="3CADFD12"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financial ratio has been divided into 4 categories such as the probability of returning amount, leverage, liquidity, and efficiency. All of them can be estimated with the availability of proper financial values. The financial ratio has been used to compare two financial parameters. It helps to identify the position of a company in the global business. Also, the company is able to compare itself with the other companies in the marketing sector with the help of financial ratios. The impression and the opinion of a company can be made easier by having a look at the financial ratios by shareholders. The current ratio helps to find the relation of credit amount with the debit amount </w:t>
      </w:r>
      <w:r>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Wardand</w:t>
      </w:r>
      <w:proofErr w:type="spellEnd"/>
      <w:r>
        <w:rPr>
          <w:rFonts w:ascii="Times New Roman" w:hAnsi="Times New Roman" w:cs="Times New Roman"/>
          <w:color w:val="000000" w:themeColor="text1"/>
          <w:sz w:val="24"/>
          <w:szCs w:val="24"/>
        </w:rPr>
        <w:t xml:space="preserve"> Calabrese</w:t>
      </w:r>
      <w:r>
        <w:rPr>
          <w:rFonts w:ascii="Times New Roman" w:eastAsia="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2018, p. 65)</w:t>
      </w:r>
      <w:r>
        <w:rPr>
          <w:rFonts w:ascii="Times New Roman" w:eastAsia="Times New Roman" w:hAnsi="Times New Roman" w:cs="Times New Roman"/>
          <w:color w:val="000000" w:themeColor="text1"/>
          <w:sz w:val="24"/>
          <w:szCs w:val="24"/>
        </w:rPr>
        <w:t>. Debit ration helps to get the calculation regarding the balance sheet of the company. The profit margin ratio helps to give ideas about profit and the success of a company.</w:t>
      </w:r>
    </w:p>
    <w:p w14:paraId="79D27C0B" w14:textId="5CD58F1F"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Ratios help to get an idea about the efficiency, profitability, and performance of the company. Shareholders can easily get the idea of having a look at the financial ratio. The process becomes easier about investing for the company based on observable trends of financial </w:t>
      </w:r>
      <w:r>
        <w:rPr>
          <w:rFonts w:ascii="Times New Roman" w:eastAsia="Times New Roman" w:hAnsi="Times New Roman" w:cs="Times New Roman"/>
          <w:color w:val="000000" w:themeColor="text1"/>
          <w:sz w:val="24"/>
          <w:szCs w:val="24"/>
        </w:rPr>
        <w:lastRenderedPageBreak/>
        <w:t>ratios. On the other hand, it helps to get an idea about company performance. The financial ratio helps to get an idea about investment strategy. It can be said that the company follows a good strategy if all the liquidity ratio, quick ratio comes out with a good result.</w:t>
      </w:r>
    </w:p>
    <w:tbl>
      <w:tblPr>
        <w:tblStyle w:val="TableGrid"/>
        <w:tblW w:w="4710" w:type="dxa"/>
        <w:jc w:val="center"/>
        <w:tblInd w:w="0" w:type="dxa"/>
        <w:tblLayout w:type="fixed"/>
        <w:tblLook w:val="0600" w:firstRow="0" w:lastRow="0" w:firstColumn="0" w:lastColumn="0" w:noHBand="1" w:noVBand="1"/>
      </w:tblPr>
      <w:tblGrid>
        <w:gridCol w:w="2430"/>
        <w:gridCol w:w="1140"/>
        <w:gridCol w:w="1140"/>
      </w:tblGrid>
      <w:tr w:rsidR="000B440D" w14:paraId="7331739E"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EDB067"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Liquidity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B952361"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2019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37B106A"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2018</w:t>
            </w:r>
          </w:p>
        </w:tc>
      </w:tr>
      <w:tr w:rsidR="000B440D" w14:paraId="1F8A1297"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B2D6EAE"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FBF3D6"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4C61E6C"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58CFE71D"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EF80047"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Current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2F59F7"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0.917164</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29B3F1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0.773145</w:t>
            </w:r>
          </w:p>
        </w:tc>
      </w:tr>
      <w:tr w:rsidR="000B440D" w14:paraId="2C1EA38C"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E21F3F"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Current asset</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FD59A51"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2303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8DD48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2355</w:t>
            </w:r>
          </w:p>
        </w:tc>
      </w:tr>
      <w:tr w:rsidR="000B440D" w14:paraId="5A15195B"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E74F24D"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Current liabilities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7802F8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2511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ACAA7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3046</w:t>
            </w:r>
          </w:p>
        </w:tc>
      </w:tr>
      <w:tr w:rsidR="000B440D" w14:paraId="6A30B35C"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7AAED1"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B91844E"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88D9241"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623F7BFF"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5DB20D"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quick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A84909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0.635205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AAB71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0.556796</w:t>
            </w:r>
          </w:p>
        </w:tc>
      </w:tr>
      <w:tr w:rsidR="000B440D" w14:paraId="410811E8"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84C2C6"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30F74D"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8C28DA"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21A200C6"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A3BB88"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current assets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5E50D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2303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4FE21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2355</w:t>
            </w:r>
          </w:p>
        </w:tc>
      </w:tr>
      <w:tr w:rsidR="000B440D" w14:paraId="7E9E6DC1"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F04730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inventories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8BE089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708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5B9CE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659</w:t>
            </w:r>
          </w:p>
        </w:tc>
      </w:tr>
      <w:tr w:rsidR="000B440D" w14:paraId="1B0E7CAF"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EE5754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Current liabilities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3D121D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2511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90C61BD"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3046</w:t>
            </w:r>
          </w:p>
        </w:tc>
      </w:tr>
      <w:tr w:rsidR="000B440D" w14:paraId="14624EAA"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D20411"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4F2C662"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0B17F02"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2584EA2C"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70888E"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A337D49"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5A4138"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49064AD0"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1851E1"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0A11E8"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5DE425"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5B79E6D3"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170F292"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cash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51678D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0.088809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25E974"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0.066645</w:t>
            </w:r>
          </w:p>
        </w:tc>
      </w:tr>
      <w:tr w:rsidR="000B440D" w14:paraId="023E7759" w14:textId="77777777" w:rsidTr="000B440D">
        <w:trPr>
          <w:trHeight w:val="755"/>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E9904C4"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cash and cash equivalent</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58C46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201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74286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177</w:t>
            </w:r>
          </w:p>
        </w:tc>
      </w:tr>
      <w:tr w:rsidR="000B440D" w14:paraId="268FA129"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1753DD7"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short term investment</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D236E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22</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0910593"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26</w:t>
            </w:r>
          </w:p>
        </w:tc>
      </w:tr>
      <w:tr w:rsidR="000B440D" w14:paraId="3BDED50E" w14:textId="77777777" w:rsidTr="000B440D">
        <w:trPr>
          <w:trHeight w:val="500"/>
          <w:jc w:val="center"/>
        </w:trPr>
        <w:tc>
          <w:tcPr>
            <w:tcW w:w="243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2663AE"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current liabilities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ECAF67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2511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B5EB8A8"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3046</w:t>
            </w:r>
          </w:p>
        </w:tc>
      </w:tr>
    </w:tbl>
    <w:p w14:paraId="6EA0539F" w14:textId="77777777" w:rsidR="000B440D" w:rsidRDefault="000B440D" w:rsidP="000B440D">
      <w:pPr>
        <w:spacing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lastRenderedPageBreak/>
        <w:t>Table 1: liquidity ratio</w:t>
      </w:r>
    </w:p>
    <w:p w14:paraId="17B4FD4A" w14:textId="77777777" w:rsidR="000B440D" w:rsidRDefault="000B440D" w:rsidP="000B440D">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Researcher)</w:t>
      </w:r>
    </w:p>
    <w:p w14:paraId="1565C38C" w14:textId="77777777" w:rsidR="000B440D" w:rsidRDefault="000B440D" w:rsidP="000B440D">
      <w:pPr>
        <w:spacing w:line="360" w:lineRule="auto"/>
        <w:jc w:val="both"/>
        <w:rPr>
          <w:rFonts w:ascii="Times New Roman" w:eastAsia="Times New Roman" w:hAnsi="Times New Roman" w:cs="Times New Roman"/>
          <w:color w:val="000000" w:themeColor="text1"/>
          <w:sz w:val="24"/>
          <w:szCs w:val="24"/>
        </w:rPr>
      </w:pPr>
    </w:p>
    <w:p w14:paraId="7C0B8628"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liquidity ratio comes with the numerical data about the current ratio, cash ratio, and the quick ratio. In this case the liquid ratio of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has been considered for the period 2018 and 2019. All the numerical data has been given in the question </w:t>
      </w:r>
      <w:r>
        <w:rPr>
          <w:rFonts w:ascii="Times New Roman" w:hAnsi="Times New Roman" w:cs="Times New Roman"/>
          <w:color w:val="000000" w:themeColor="text1"/>
          <w:sz w:val="24"/>
          <w:szCs w:val="24"/>
        </w:rPr>
        <w:t>(Bragg</w:t>
      </w:r>
      <w:r>
        <w:rPr>
          <w:rFonts w:ascii="Times New Roman" w:eastAsia="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2016, p.101)</w:t>
      </w:r>
      <w:r>
        <w:rPr>
          <w:rFonts w:ascii="Times New Roman" w:eastAsia="Times New Roman" w:hAnsi="Times New Roman" w:cs="Times New Roman"/>
          <w:color w:val="000000" w:themeColor="text1"/>
          <w:sz w:val="24"/>
          <w:szCs w:val="24"/>
        </w:rPr>
        <w:t>. The ratio helps to determine the current position and liquid assets available with the company.</w:t>
      </w:r>
    </w:p>
    <w:p w14:paraId="6126A47D" w14:textId="77777777" w:rsidR="000B440D" w:rsidRDefault="000B440D" w:rsidP="000B440D">
      <w:pPr>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 xml:space="preserve">Profitability Ratio </w:t>
      </w:r>
    </w:p>
    <w:tbl>
      <w:tblPr>
        <w:tblStyle w:val="TableGrid"/>
        <w:tblW w:w="4650" w:type="dxa"/>
        <w:jc w:val="center"/>
        <w:tblInd w:w="0" w:type="dxa"/>
        <w:tblLayout w:type="fixed"/>
        <w:tblLook w:val="0600" w:firstRow="0" w:lastRow="0" w:firstColumn="0" w:lastColumn="0" w:noHBand="1" w:noVBand="1"/>
      </w:tblPr>
      <w:tblGrid>
        <w:gridCol w:w="2370"/>
        <w:gridCol w:w="1140"/>
        <w:gridCol w:w="1140"/>
      </w:tblGrid>
      <w:tr w:rsidR="000B440D" w14:paraId="4016BDCC"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814846"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profitability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4BE5861"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2019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5516ED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2018</w:t>
            </w:r>
          </w:p>
        </w:tc>
      </w:tr>
      <w:tr w:rsidR="000B440D" w14:paraId="4D9CF5D2"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37C06B6"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81A5886"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C2CF70"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630B2B5A"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98F5621"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gross profit margin</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AE7E57D"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108.2844</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5BBA6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108.0426</w:t>
            </w:r>
          </w:p>
        </w:tc>
      </w:tr>
      <w:tr w:rsidR="000B440D" w14:paraId="414C331D"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8B1A6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gross profit</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809ACF"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3503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BFFCA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3345</w:t>
            </w:r>
          </w:p>
        </w:tc>
      </w:tr>
      <w:tr w:rsidR="000B440D" w14:paraId="5B5CC62E"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351ABF7"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sales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F3EE0B3"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3235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3EEED1"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3096</w:t>
            </w:r>
          </w:p>
        </w:tc>
      </w:tr>
      <w:tr w:rsidR="000B440D" w14:paraId="0F2F6940"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12BAF1A"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E92A7F"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31030DD"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1059CF5C" w14:textId="77777777" w:rsidTr="000B440D">
        <w:trPr>
          <w:trHeight w:val="755"/>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8E5835C"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operating profit margin</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7ED225D"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24.88408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F4BF74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22.57752</w:t>
            </w:r>
          </w:p>
        </w:tc>
      </w:tr>
      <w:tr w:rsidR="000B440D" w14:paraId="7B47B797"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074C63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operating profit</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AE575AF"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805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FE0B9E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699</w:t>
            </w:r>
          </w:p>
        </w:tc>
      </w:tr>
      <w:tr w:rsidR="000B440D" w14:paraId="52378B82"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5B074E"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sales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434011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3235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A1AD3AD"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3096</w:t>
            </w:r>
          </w:p>
        </w:tc>
      </w:tr>
      <w:tr w:rsidR="000B440D" w14:paraId="68C5803E"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EFD723"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1D3C8D"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7A890BE"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3A136385"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BD5C5B4"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30E7BE8"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B45450"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4CEDD621"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DDB2DF"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net profit margin</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823C86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13.32303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FCC553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11.82171</w:t>
            </w:r>
          </w:p>
        </w:tc>
      </w:tr>
      <w:tr w:rsidR="000B440D" w14:paraId="64136C4C"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3C7DD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net income</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AB47061"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431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74819D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366</w:t>
            </w:r>
          </w:p>
        </w:tc>
      </w:tr>
      <w:tr w:rsidR="000B440D" w14:paraId="78A3D419"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82E85B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sales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CD6D3E"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3235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2E4A53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3096</w:t>
            </w:r>
          </w:p>
        </w:tc>
      </w:tr>
      <w:tr w:rsidR="000B440D" w14:paraId="160BD21F"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00CB31A"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3FB533"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1174DAE" w14:textId="77777777" w:rsidR="000B440D" w:rsidRDefault="000B440D">
            <w:pPr>
              <w:spacing w:line="360" w:lineRule="auto"/>
              <w:ind w:left="100"/>
              <w:jc w:val="center"/>
              <w:rPr>
                <w:rFonts w:ascii="Times New Roman" w:eastAsia="Times New Roman" w:hAnsi="Times New Roman" w:cs="Times New Roman"/>
                <w:color w:val="000000" w:themeColor="text1"/>
                <w:sz w:val="24"/>
                <w:szCs w:val="24"/>
              </w:rPr>
            </w:pPr>
          </w:p>
        </w:tc>
      </w:tr>
      <w:tr w:rsidR="000B440D" w14:paraId="069A9229"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88B4CB"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return on assets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8CBF2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5.798466</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8E8BE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4.733575</w:t>
            </w:r>
          </w:p>
        </w:tc>
      </w:tr>
      <w:tr w:rsidR="000B440D" w14:paraId="12A28454"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2E5F5E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net income</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B18666D"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431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21E620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366</w:t>
            </w:r>
          </w:p>
        </w:tc>
      </w:tr>
      <w:tr w:rsidR="000B440D" w14:paraId="777B8758" w14:textId="77777777" w:rsidTr="000B440D">
        <w:trPr>
          <w:trHeight w:val="500"/>
          <w:jc w:val="center"/>
        </w:trPr>
        <w:tc>
          <w:tcPr>
            <w:tcW w:w="237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FBB346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assets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BD61B8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7433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FE9CD7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7732</w:t>
            </w:r>
          </w:p>
        </w:tc>
      </w:tr>
    </w:tbl>
    <w:p w14:paraId="590441C3" w14:textId="77777777" w:rsidR="000B440D" w:rsidRDefault="000B440D" w:rsidP="000B440D">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2: profitability ratio</w:t>
      </w:r>
    </w:p>
    <w:p w14:paraId="135BCD5B" w14:textId="77777777" w:rsidR="000B440D" w:rsidRDefault="000B440D" w:rsidP="000B440D">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Researcher)</w:t>
      </w:r>
    </w:p>
    <w:p w14:paraId="43E1C4AB"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profitability ratio comes with the gross profit margin, operating profit margin, and net profit margin. The above table carries all the values about the three mentioned ratios. All of the ratios have been directly linked with the accounts department. </w:t>
      </w:r>
    </w:p>
    <w:p w14:paraId="4742BF32" w14:textId="77777777" w:rsidR="000B440D" w:rsidRDefault="000B440D" w:rsidP="000B440D">
      <w:pPr>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Efficiency Ratio</w:t>
      </w:r>
    </w:p>
    <w:tbl>
      <w:tblPr>
        <w:tblStyle w:val="TableGrid"/>
        <w:tblW w:w="5190" w:type="dxa"/>
        <w:jc w:val="center"/>
        <w:tblInd w:w="0" w:type="dxa"/>
        <w:tblLayout w:type="fixed"/>
        <w:tblLook w:val="0600" w:firstRow="0" w:lastRow="0" w:firstColumn="0" w:lastColumn="0" w:noHBand="1" w:noVBand="1"/>
      </w:tblPr>
      <w:tblGrid>
        <w:gridCol w:w="2910"/>
        <w:gridCol w:w="1140"/>
        <w:gridCol w:w="1140"/>
      </w:tblGrid>
      <w:tr w:rsidR="000B440D" w14:paraId="6003CD67"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6ADAA4B"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efficiency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F6AE3E0"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2019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B4E00B"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2018</w:t>
            </w:r>
          </w:p>
        </w:tc>
      </w:tr>
      <w:tr w:rsidR="000B440D" w14:paraId="29BE31A3"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EBC63B"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C2088CB"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72CB8E7"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67785335"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0830B24"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inventory turnover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4F1E2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4.569209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C4468E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4.698027</w:t>
            </w:r>
          </w:p>
        </w:tc>
      </w:tr>
      <w:tr w:rsidR="000B440D" w14:paraId="35511A91"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E1CFF9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cost of goods sold</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985BD1E"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3235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AB4CE0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3096</w:t>
            </w:r>
          </w:p>
        </w:tc>
      </w:tr>
      <w:tr w:rsidR="000B440D" w14:paraId="1C0B0789"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3750AB7"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average inventory</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C28C06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708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269486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659</w:t>
            </w:r>
          </w:p>
        </w:tc>
      </w:tr>
      <w:tr w:rsidR="000B440D" w14:paraId="4F6E223B"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E2CD921"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92A6F9"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A1C6C29"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3100CC86"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241A42"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710343D"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3B0CEF9"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749ECCC4"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6B2EEA6"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Asset Turnover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97A121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170.2632</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B1520F8"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619.2</w:t>
            </w:r>
          </w:p>
        </w:tc>
      </w:tr>
      <w:tr w:rsidR="000B440D" w14:paraId="11DE37D1"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B227304"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sales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A32503"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3235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4CFC5A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3096</w:t>
            </w:r>
          </w:p>
        </w:tc>
      </w:tr>
      <w:tr w:rsidR="000B440D" w14:paraId="68127DB4"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0FFD7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average total Assets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17C2623"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2CFC703"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5</w:t>
            </w:r>
          </w:p>
        </w:tc>
      </w:tr>
      <w:tr w:rsidR="000B440D" w14:paraId="477CA6DB"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86D4466"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2E5C703"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107C48"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5B2D221D"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41A0218"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CF00BA"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45BA747"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10283799"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D828BC6"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Receivable turnover ratio</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439119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2.590072</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C64554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2.405594</w:t>
            </w:r>
          </w:p>
        </w:tc>
      </w:tr>
      <w:tr w:rsidR="000B440D" w14:paraId="67466FB5"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1E9A1E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credit sales</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AF4F30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3235</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1C6B2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3096</w:t>
            </w:r>
          </w:p>
        </w:tc>
      </w:tr>
      <w:tr w:rsidR="000B440D" w14:paraId="16894BA4" w14:textId="77777777" w:rsidTr="000B440D">
        <w:trPr>
          <w:trHeight w:val="755"/>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4385EB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average accounts Receivable</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196D598"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1249</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28D01C3"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1287</w:t>
            </w:r>
          </w:p>
        </w:tc>
      </w:tr>
    </w:tbl>
    <w:p w14:paraId="2C279617" w14:textId="77777777" w:rsidR="000B440D" w:rsidRDefault="000B440D" w:rsidP="000B440D">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3: Efficiency ratio</w:t>
      </w:r>
    </w:p>
    <w:p w14:paraId="05B5BD16" w14:textId="77777777" w:rsidR="000B440D" w:rsidRDefault="000B440D" w:rsidP="000B440D">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Researcher)</w:t>
      </w:r>
    </w:p>
    <w:p w14:paraId="2823A878"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Efficiency ratio encircles </w:t>
      </w:r>
      <w:r>
        <w:rPr>
          <w:rFonts w:ascii="Times New Roman" w:eastAsia="Times New Roman" w:hAnsi="Times New Roman" w:cs="Times New Roman"/>
          <w:b/>
          <w:color w:val="000000" w:themeColor="text1"/>
          <w:sz w:val="24"/>
          <w:szCs w:val="24"/>
        </w:rPr>
        <w:t xml:space="preserve">inventory turnover ratio, Asset Turnover ratio, and Receivable turnover ratio. </w:t>
      </w:r>
      <w:r>
        <w:rPr>
          <w:rFonts w:ascii="Times New Roman" w:eastAsia="Times New Roman" w:hAnsi="Times New Roman" w:cs="Times New Roman"/>
          <w:color w:val="000000" w:themeColor="text1"/>
          <w:sz w:val="24"/>
          <w:szCs w:val="24"/>
        </w:rPr>
        <w:t xml:space="preserve">All of them are included to measure the efficiency of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The performance of the company can be determined well by looking at the efficiency of the company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w:t>
      </w:r>
    </w:p>
    <w:p w14:paraId="7B02D543"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Inventory turnover ratio, Asset Turnover ratio is seen to be decreased in the year 2019. It indicates the performance has dropped in the year 2019 of the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 </w:t>
      </w:r>
      <w:r>
        <w:rPr>
          <w:rFonts w:ascii="Times New Roman" w:eastAsia="Times New Roman" w:hAnsi="Times New Roman" w:cs="Times New Roman"/>
          <w:color w:val="000000" w:themeColor="text1"/>
          <w:sz w:val="24"/>
          <w:szCs w:val="24"/>
        </w:rPr>
        <w:t xml:space="preserve">company. </w:t>
      </w:r>
    </w:p>
    <w:tbl>
      <w:tblPr>
        <w:tblStyle w:val="TableGrid"/>
        <w:tblW w:w="5550" w:type="dxa"/>
        <w:jc w:val="center"/>
        <w:tblInd w:w="0" w:type="dxa"/>
        <w:tblLayout w:type="fixed"/>
        <w:tblLook w:val="0600" w:firstRow="0" w:lastRow="0" w:firstColumn="0" w:lastColumn="0" w:noHBand="1" w:noVBand="1"/>
      </w:tblPr>
      <w:tblGrid>
        <w:gridCol w:w="2910"/>
        <w:gridCol w:w="1500"/>
        <w:gridCol w:w="1140"/>
      </w:tblGrid>
      <w:tr w:rsidR="000B440D" w14:paraId="1DED75FE"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BC6B18" w14:textId="77777777" w:rsidR="000B440D" w:rsidRDefault="000B440D">
            <w:pPr>
              <w:spacing w:before="240" w:line="360" w:lineRule="auto"/>
              <w:ind w:left="100"/>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Leverage ratio</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654604"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93C0089"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3DCB976D"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9D44C2B"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07ADE9F"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4BB3ACD"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40A0F08B"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67CF8F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Debt Ratio</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3687A7E"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2.152849741</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A300E4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2.463942</w:t>
            </w:r>
          </w:p>
        </w:tc>
      </w:tr>
      <w:tr w:rsidR="000B440D" w14:paraId="0F291562"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938DF28"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total debt</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5D5F97F"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6648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CD12945"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7175</w:t>
            </w:r>
          </w:p>
        </w:tc>
      </w:tr>
      <w:tr w:rsidR="000B440D" w14:paraId="4B49A598"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62617D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total equity</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E6E22CB"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3088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239B7B7"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2912</w:t>
            </w:r>
          </w:p>
        </w:tc>
      </w:tr>
      <w:tr w:rsidR="000B440D" w14:paraId="331BDA1E"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362A84F"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ADFD4B6"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7F0272D"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6FC867CC"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4E8B728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debt capital</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6B5D01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0.682826623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7FD6996"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0.699113</w:t>
            </w:r>
          </w:p>
        </w:tc>
      </w:tr>
      <w:tr w:rsidR="000B440D" w14:paraId="49EE93B1"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42E1CF"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total debt</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EDDC73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6648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D2FB2E4"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7175</w:t>
            </w:r>
          </w:p>
        </w:tc>
      </w:tr>
      <w:tr w:rsidR="000B440D" w14:paraId="6528D877"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0A4D659"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total equity</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EC0078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3088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7EC73F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3088</w:t>
            </w:r>
          </w:p>
        </w:tc>
      </w:tr>
      <w:tr w:rsidR="000B440D" w14:paraId="7C599E9E"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B0526FE"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FB5CF57"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E01A31"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0F07EFC2"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2704EB"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4F4660B"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FB7016" w14:textId="77777777" w:rsidR="000B440D" w:rsidRDefault="000B440D">
            <w:pPr>
              <w:spacing w:before="240" w:after="240" w:line="360" w:lineRule="auto"/>
              <w:ind w:left="100"/>
              <w:jc w:val="center"/>
              <w:rPr>
                <w:rFonts w:ascii="Times New Roman" w:eastAsia="Times New Roman" w:hAnsi="Times New Roman" w:cs="Times New Roman"/>
                <w:color w:val="000000" w:themeColor="text1"/>
                <w:sz w:val="24"/>
                <w:szCs w:val="24"/>
              </w:rPr>
            </w:pPr>
          </w:p>
        </w:tc>
      </w:tr>
      <w:tr w:rsidR="000B440D" w14:paraId="2291FA78"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E85B161"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debt assets ratio</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9F2B027"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0.894389883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E5CA0CE"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0.927602</w:t>
            </w:r>
          </w:p>
        </w:tc>
      </w:tr>
      <w:tr w:rsidR="000B440D" w14:paraId="590F3A6D"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5429C31"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total debt</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76EF264"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6648</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7655EA6C"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7175</w:t>
            </w:r>
          </w:p>
        </w:tc>
      </w:tr>
      <w:tr w:rsidR="000B440D" w14:paraId="7750FF9D" w14:textId="77777777" w:rsidTr="000B440D">
        <w:trPr>
          <w:trHeight w:val="500"/>
          <w:jc w:val="center"/>
        </w:trPr>
        <w:tc>
          <w:tcPr>
            <w:tcW w:w="291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84157EA"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assets</w:t>
            </w:r>
          </w:p>
        </w:tc>
        <w:tc>
          <w:tcPr>
            <w:tcW w:w="150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D69090"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7433</w:t>
            </w:r>
          </w:p>
        </w:tc>
        <w:tc>
          <w:tcPr>
            <w:tcW w:w="114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6B74B502" w14:textId="77777777" w:rsidR="000B440D" w:rsidRDefault="000B440D">
            <w:pPr>
              <w:spacing w:before="240" w:line="360" w:lineRule="auto"/>
              <w:ind w:left="100"/>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7735</w:t>
            </w:r>
          </w:p>
        </w:tc>
      </w:tr>
    </w:tbl>
    <w:p w14:paraId="796B2DD5" w14:textId="77777777" w:rsidR="000B440D" w:rsidRDefault="000B440D" w:rsidP="000B440D">
      <w:pPr>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Table 4: leverage ratio</w:t>
      </w:r>
    </w:p>
    <w:p w14:paraId="1FCA31B4" w14:textId="77777777" w:rsidR="000B440D" w:rsidRDefault="000B440D" w:rsidP="000B440D">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 Created by Researcher)</w:t>
      </w:r>
    </w:p>
    <w:p w14:paraId="2AE17A78" w14:textId="77777777" w:rsidR="000B440D" w:rsidRDefault="000B440D" w:rsidP="000B440D">
      <w:pPr>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b) Evaluation of ratios</w:t>
      </w:r>
    </w:p>
    <w:p w14:paraId="27240A4A" w14:textId="5CAC0809"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ab/>
        <w:t xml:space="preserve">The financial ratio gives the knowledge about the position of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in the marketing position. The entire ratio has been determined with the help of data; the ratio indicates that the company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is good enough about holding the market position. Besides all of that the debt value is seen to be decreased in the year 2019.   </w:t>
      </w:r>
    </w:p>
    <w:p w14:paraId="2CAB714E" w14:textId="77777777" w:rsidR="000B440D" w:rsidRDefault="000B440D" w:rsidP="000B440D">
      <w:pPr>
        <w:spacing w:before="240" w:after="240"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quick ratio can be determined by adding the security amount with the cash account. After that, the result has been divided with the current liabilities. Here the quick ratio becomes </w:t>
      </w:r>
      <w:r>
        <w:rPr>
          <w:rFonts w:ascii="Times New Roman" w:eastAsia="Times New Roman" w:hAnsi="Times New Roman" w:cs="Times New Roman"/>
          <w:color w:val="000000" w:themeColor="text1"/>
          <w:sz w:val="24"/>
          <w:szCs w:val="24"/>
        </w:rPr>
        <w:lastRenderedPageBreak/>
        <w:t xml:space="preserve">0.635205 for the year 2019 and the value of the ratio becomes 0.5567896. The current position of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Company has been improved in the year of 2019 from the previous year.</w:t>
      </w:r>
    </w:p>
    <w:p w14:paraId="48268E8F"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Also, the current ratio for the company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has seen to be improved in the year 2019. The ratio becomes 0.917164 in the year 2019 whereas the ratio has been 0.773145 in the year 2018 </w:t>
      </w:r>
      <w:r>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Lallemandand</w:t>
      </w:r>
      <w:proofErr w:type="spellEnd"/>
      <w:r>
        <w:rPr>
          <w:rFonts w:ascii="Times New Roman" w:hAnsi="Times New Roman" w:cs="Times New Roman"/>
          <w:color w:val="000000" w:themeColor="text1"/>
          <w:sz w:val="24"/>
          <w:szCs w:val="24"/>
        </w:rPr>
        <w:t xml:space="preserve"> Strauss</w:t>
      </w:r>
      <w:r>
        <w:rPr>
          <w:rFonts w:ascii="Times New Roman" w:eastAsia="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2016</w:t>
      </w:r>
      <w:r>
        <w:rPr>
          <w:rFonts w:ascii="Times New Roman" w:eastAsia="Times New Roman" w:hAnsi="Times New Roman" w:cs="Times New Roman"/>
          <w:color w:val="000000" w:themeColor="text1"/>
          <w:sz w:val="24"/>
          <w:szCs w:val="24"/>
        </w:rPr>
        <w:t xml:space="preserve">, p. 70). That indicates a progression has been done about the company. The progression has been done in a sufficient amount that carries a significant impact on the accounts department of the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Company.</w:t>
      </w:r>
    </w:p>
    <w:p w14:paraId="0A37D9E5" w14:textId="2B0E3FA3" w:rsidR="000B440D" w:rsidRDefault="000B440D" w:rsidP="000B440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The cash ratio has also seen to be improved in the year 2019. The cash ratio has been 0.888809 about the year 2019. The cash ratio is 0.666645 in the year 2018. The numerical value of the cash ratio has been seen to be improved in the long term. The company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can get a high position in the marketing sector. The accounts departments get the ability to gain </w:t>
      </w:r>
    </w:p>
    <w:p w14:paraId="1BAEE6C8" w14:textId="77777777" w:rsidR="000B440D" w:rsidRDefault="000B440D" w:rsidP="000B440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Success in the global market competition as the cash ratio has seen to be improved from the past year.</w:t>
      </w:r>
    </w:p>
    <w:p w14:paraId="1FD8502A"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 The gross profit margin has seen to be increased in the small term. The amount of gross profit has been estimated to be 108.2844 in the year 2019 whereas the value has been estimated to be 108.0426 in the year 2018 </w:t>
      </w:r>
      <w:r>
        <w:rPr>
          <w:rFonts w:ascii="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Okekeand</w:t>
      </w:r>
      <w:proofErr w:type="spellEnd"/>
      <w:r>
        <w:rPr>
          <w:rFonts w:ascii="Times New Roman" w:hAnsi="Times New Roman" w:cs="Times New Roman"/>
          <w:color w:val="000000" w:themeColor="text1"/>
          <w:sz w:val="24"/>
          <w:szCs w:val="24"/>
        </w:rPr>
        <w:t xml:space="preserve"> Nwankpa2017</w:t>
      </w:r>
      <w:r>
        <w:rPr>
          <w:rFonts w:ascii="Times New Roman" w:eastAsia="Times New Roman" w:hAnsi="Times New Roman" w:cs="Times New Roman"/>
          <w:color w:val="000000" w:themeColor="text1"/>
          <w:sz w:val="24"/>
          <w:szCs w:val="24"/>
        </w:rPr>
        <w:t xml:space="preserve">, p. </w:t>
      </w:r>
      <w:r>
        <w:rPr>
          <w:rFonts w:ascii="Times New Roman" w:hAnsi="Times New Roman" w:cs="Times New Roman"/>
          <w:color w:val="000000" w:themeColor="text1"/>
          <w:sz w:val="24"/>
          <w:szCs w:val="24"/>
        </w:rPr>
        <w:t>281</w:t>
      </w:r>
      <w:r>
        <w:rPr>
          <w:rFonts w:ascii="Times New Roman" w:eastAsia="Times New Roman" w:hAnsi="Times New Roman" w:cs="Times New Roman"/>
          <w:color w:val="000000" w:themeColor="text1"/>
          <w:sz w:val="24"/>
          <w:szCs w:val="24"/>
        </w:rPr>
        <w:t xml:space="preserve">). It indicates the company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is able to hold a great position in the global market sector by reporting an expanded profit base.  </w:t>
      </w:r>
    </w:p>
    <w:p w14:paraId="48881600"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operating profit margin also helps to indicate the current position of a company in the global marketing sector. The numerical value of operating profit margin has been observed to be 24.88408 in the year 2019 whereas the value has been 22.55752 in the year 2018. The position of the company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becomes stronger in the current situation as the operating profit margin within one year is improved indicating the better performance of operating activities. </w:t>
      </w:r>
    </w:p>
    <w:p w14:paraId="27C0E76D" w14:textId="4C255B55"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net profit margin has also improved within one year. It increased 13.323303 from the value of 11082171 estimated in 2019.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Company is surely able to hold the position in a strong way within its operating industry and has demonstrated better progress represented in the form of larger net profit for the current year.  The return of assets also has been seen to improve and has been estimated to be 1.066 (approximately). The increasing value of the return on assets ratio implies that the company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 </w:t>
      </w:r>
      <w:r>
        <w:rPr>
          <w:rFonts w:ascii="Times New Roman" w:eastAsia="Times New Roman" w:hAnsi="Times New Roman" w:cs="Times New Roman"/>
          <w:color w:val="000000" w:themeColor="text1"/>
          <w:sz w:val="24"/>
          <w:szCs w:val="24"/>
        </w:rPr>
        <w:t xml:space="preserve">deals with the marketing position and utilizes its assets in a good way. The reputation and the business path of the company are very successful to expand its business in the year 2019 </w:t>
      </w:r>
      <w:r>
        <w:rPr>
          <w:rFonts w:ascii="Times New Roman" w:hAnsi="Times New Roman" w:cs="Times New Roman"/>
          <w:color w:val="000000" w:themeColor="text1"/>
          <w:sz w:val="24"/>
          <w:szCs w:val="24"/>
        </w:rPr>
        <w:t>(Monte</w:t>
      </w:r>
      <w:r>
        <w:rPr>
          <w:rFonts w:ascii="Times New Roman" w:eastAsia="Times New Roman" w:hAnsi="Times New Roman" w:cs="Times New Roman"/>
          <w:color w:val="000000" w:themeColor="text1"/>
          <w:sz w:val="24"/>
          <w:szCs w:val="24"/>
        </w:rPr>
        <w:t>‐</w:t>
      </w:r>
      <w:proofErr w:type="spellStart"/>
      <w:r>
        <w:rPr>
          <w:rFonts w:ascii="Times New Roman" w:hAnsi="Times New Roman" w:cs="Times New Roman"/>
          <w:color w:val="000000" w:themeColor="text1"/>
          <w:sz w:val="24"/>
          <w:szCs w:val="24"/>
        </w:rPr>
        <w:t>Mor</w:t>
      </w:r>
      <w:r>
        <w:rPr>
          <w:rFonts w:ascii="Times New Roman" w:eastAsia="Times New Roman" w:hAnsi="Times New Roman" w:cs="Times New Roman"/>
          <w:i/>
          <w:color w:val="000000" w:themeColor="text1"/>
          <w:sz w:val="24"/>
          <w:szCs w:val="24"/>
        </w:rPr>
        <w:t>et</w:t>
      </w:r>
      <w:proofErr w:type="spellEnd"/>
      <w:r>
        <w:rPr>
          <w:rFonts w:ascii="Times New Roman" w:eastAsia="Times New Roman" w:hAnsi="Times New Roman" w:cs="Times New Roman"/>
          <w:i/>
          <w:color w:val="000000" w:themeColor="text1"/>
          <w:sz w:val="24"/>
          <w:szCs w:val="24"/>
        </w:rPr>
        <w:t xml:space="preserve"> al.</w:t>
      </w:r>
      <w:r>
        <w:rPr>
          <w:rFonts w:ascii="Times New Roman" w:hAnsi="Times New Roman" w:cs="Times New Roman"/>
          <w:color w:val="000000" w:themeColor="text1"/>
          <w:sz w:val="24"/>
          <w:szCs w:val="24"/>
        </w:rPr>
        <w:t>2018</w:t>
      </w:r>
      <w:r>
        <w:rPr>
          <w:rFonts w:ascii="Times New Roman" w:eastAsia="Times New Roman" w:hAnsi="Times New Roman" w:cs="Times New Roman"/>
          <w:color w:val="000000" w:themeColor="text1"/>
          <w:sz w:val="24"/>
          <w:szCs w:val="24"/>
        </w:rPr>
        <w:t xml:space="preserve">, p. </w:t>
      </w:r>
      <w:r>
        <w:rPr>
          <w:rFonts w:ascii="Times New Roman" w:hAnsi="Times New Roman" w:cs="Times New Roman"/>
          <w:color w:val="000000" w:themeColor="text1"/>
          <w:sz w:val="24"/>
          <w:szCs w:val="24"/>
        </w:rPr>
        <w:t>175</w:t>
      </w:r>
      <w:r>
        <w:rPr>
          <w:rFonts w:ascii="Times New Roman" w:eastAsia="Times New Roman" w:hAnsi="Times New Roman" w:cs="Times New Roman"/>
          <w:color w:val="000000" w:themeColor="text1"/>
          <w:sz w:val="24"/>
          <w:szCs w:val="24"/>
        </w:rPr>
        <w:t>).</w:t>
      </w:r>
    </w:p>
    <w:p w14:paraId="2E7B09E1" w14:textId="30463F70" w:rsidR="000B440D" w:rsidRDefault="000B440D" w:rsidP="000B440D">
      <w:pPr>
        <w:spacing w:before="240" w:after="240" w:line="360" w:lineRule="auto"/>
        <w:ind w:firstLine="720"/>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The leverage ratio comes with the debt ratio, debt capital, and debts assets ratio. All the ratios have seen to be decreased in the year 2019. It indicates that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r>
        <w:rPr>
          <w:rFonts w:ascii="Times New Roman" w:eastAsia="Times New Roman" w:hAnsi="Times New Roman" w:cs="Times New Roman"/>
          <w:color w:val="000000" w:themeColor="text1"/>
          <w:sz w:val="24"/>
          <w:szCs w:val="24"/>
        </w:rPr>
        <w:t xml:space="preserve"> can increase the market position and as a result profit can be seen about the business process of </w:t>
      </w:r>
      <w:proofErr w:type="spellStart"/>
      <w:r>
        <w:rPr>
          <w:rFonts w:ascii="Times New Roman" w:eastAsia="Times New Roman" w:hAnsi="Times New Roman" w:cs="Times New Roman"/>
          <w:b/>
          <w:color w:val="000000" w:themeColor="text1"/>
          <w:sz w:val="24"/>
          <w:szCs w:val="24"/>
        </w:rPr>
        <w:t>chocco</w:t>
      </w:r>
      <w:proofErr w:type="spellEnd"/>
      <w:r>
        <w:rPr>
          <w:rFonts w:ascii="Times New Roman" w:eastAsia="Times New Roman" w:hAnsi="Times New Roman" w:cs="Times New Roman"/>
          <w:b/>
          <w:color w:val="000000" w:themeColor="text1"/>
          <w:sz w:val="24"/>
          <w:szCs w:val="24"/>
        </w:rPr>
        <w:t xml:space="preserve"> plc.</w:t>
      </w:r>
    </w:p>
    <w:p w14:paraId="4136C8F1" w14:textId="77777777" w:rsidR="000B440D" w:rsidRDefault="000B440D" w:rsidP="000B440D">
      <w:pPr>
        <w:spacing w:before="240" w:after="240"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efficiency ratio is seen to be decreased in the year 2019. It indicates that the company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gets difficulty to hold the position in the global market. The business path may get some barriers to gain profit. The quality of the product may get decreased due to the lowest efficiency. It affects the accounts department of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in an effective way. Success cannot be achieved easily. The reputation of </w:t>
      </w:r>
      <w:proofErr w:type="spellStart"/>
      <w:r>
        <w:rPr>
          <w:rFonts w:ascii="Times New Roman" w:eastAsia="Times New Roman" w:hAnsi="Times New Roman" w:cs="Times New Roman"/>
          <w:color w:val="000000" w:themeColor="text1"/>
          <w:sz w:val="24"/>
          <w:szCs w:val="24"/>
        </w:rPr>
        <w:t>choco</w:t>
      </w:r>
      <w:proofErr w:type="spellEnd"/>
      <w:r>
        <w:rPr>
          <w:rFonts w:ascii="Times New Roman" w:eastAsia="Times New Roman" w:hAnsi="Times New Roman" w:cs="Times New Roman"/>
          <w:color w:val="000000" w:themeColor="text1"/>
          <w:sz w:val="24"/>
          <w:szCs w:val="24"/>
        </w:rPr>
        <w:t xml:space="preserve"> plc also gets decreased with poor efficiency </w:t>
      </w:r>
      <w:r>
        <w:rPr>
          <w:rFonts w:ascii="Times New Roman" w:hAnsi="Times New Roman" w:cs="Times New Roman"/>
          <w:color w:val="000000" w:themeColor="text1"/>
          <w:sz w:val="24"/>
          <w:szCs w:val="24"/>
        </w:rPr>
        <w:t>(Caswell</w:t>
      </w:r>
      <w:r>
        <w:rPr>
          <w:rFonts w:ascii="Times New Roman" w:eastAsia="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2019</w:t>
      </w:r>
      <w:r>
        <w:rPr>
          <w:rFonts w:ascii="Times New Roman" w:eastAsia="Times New Roman" w:hAnsi="Times New Roman" w:cs="Times New Roman"/>
          <w:color w:val="000000" w:themeColor="text1"/>
          <w:sz w:val="24"/>
          <w:szCs w:val="24"/>
        </w:rPr>
        <w:t xml:space="preserve">, p. 17).  The business strategy that has been applied by </w:t>
      </w:r>
      <w:proofErr w:type="spellStart"/>
      <w:r>
        <w:rPr>
          <w:rFonts w:ascii="Times New Roman" w:eastAsia="Times New Roman" w:hAnsi="Times New Roman" w:cs="Times New Roman"/>
          <w:color w:val="000000" w:themeColor="text1"/>
          <w:sz w:val="24"/>
          <w:szCs w:val="24"/>
        </w:rPr>
        <w:t>chocco</w:t>
      </w:r>
      <w:proofErr w:type="spellEnd"/>
      <w:r>
        <w:rPr>
          <w:rFonts w:ascii="Times New Roman" w:eastAsia="Times New Roman" w:hAnsi="Times New Roman" w:cs="Times New Roman"/>
          <w:color w:val="000000" w:themeColor="text1"/>
          <w:sz w:val="24"/>
          <w:szCs w:val="24"/>
        </w:rPr>
        <w:t xml:space="preserve"> plc is not good enough for gaining a high profit with comparison to other companies.</w:t>
      </w:r>
    </w:p>
    <w:p w14:paraId="6DC794F9" w14:textId="229ACFC8" w:rsidR="000B440D" w:rsidRDefault="000B440D" w:rsidP="000B440D">
      <w:pPr>
        <w:pStyle w:val="Heading1"/>
        <w:rPr>
          <w:rFonts w:eastAsia="Arial"/>
          <w:b/>
          <w:bCs/>
          <w:color w:val="000000" w:themeColor="text1"/>
        </w:rPr>
      </w:pPr>
      <w:bookmarkStart w:id="2" w:name="_Toc55578385"/>
      <w:r w:rsidRPr="000B440D">
        <w:rPr>
          <w:rFonts w:eastAsia="Arial"/>
          <w:b/>
          <w:bCs/>
          <w:color w:val="000000" w:themeColor="text1"/>
        </w:rPr>
        <w:t>Conclusion</w:t>
      </w:r>
      <w:bookmarkEnd w:id="2"/>
    </w:p>
    <w:p w14:paraId="2821F3F7" w14:textId="77777777" w:rsidR="000B440D" w:rsidRPr="000B440D" w:rsidRDefault="000B440D" w:rsidP="000B440D"/>
    <w:p w14:paraId="1CAB02FB" w14:textId="77777777" w:rsidR="000B440D" w:rsidRDefault="000B440D" w:rsidP="000B440D">
      <w:pPr>
        <w:spacing w:line="360" w:lineRule="auto"/>
        <w:ind w:firstLine="720"/>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The project can be concluded which contains two questions which is solved with the help of the balance sheets and different data provided. </w:t>
      </w:r>
      <w:r>
        <w:rPr>
          <w:rFonts w:ascii="Times New Roman" w:eastAsia="Times New Roman" w:hAnsi="Times New Roman" w:cs="Times New Roman"/>
          <w:sz w:val="24"/>
          <w:szCs w:val="24"/>
          <w:highlight w:val="white"/>
        </w:rPr>
        <w:t>The financial statement aims to provide information to the users for decision-making. There are several users of the financial statement, which is produced by any organization.</w:t>
      </w:r>
    </w:p>
    <w:p w14:paraId="679E07A9" w14:textId="77777777" w:rsidR="000B440D" w:rsidRDefault="000B440D" w:rsidP="000B440D">
      <w:pPr>
        <w:spacing w:line="360" w:lineRule="auto"/>
        <w:rPr>
          <w:rFonts w:ascii="Times New Roman" w:hAnsi="Times New Roman" w:cs="Times New Roman"/>
          <w:b/>
          <w:color w:val="000000" w:themeColor="text1"/>
          <w:sz w:val="24"/>
          <w:szCs w:val="40"/>
        </w:rPr>
      </w:pPr>
      <w:r>
        <w:rPr>
          <w:rFonts w:ascii="Times New Roman" w:hAnsi="Times New Roman" w:cs="Times New Roman"/>
        </w:rPr>
        <w:br w:type="page"/>
      </w:r>
    </w:p>
    <w:p w14:paraId="3498CC3E" w14:textId="77777777" w:rsidR="000B440D" w:rsidRDefault="000B440D" w:rsidP="000B440D">
      <w:pPr>
        <w:pStyle w:val="Heading1"/>
        <w:rPr>
          <w:rFonts w:ascii="Times New Roman" w:eastAsia="Arial" w:hAnsi="Times New Roman" w:cs="Times New Roman"/>
          <w:b/>
          <w:color w:val="000000" w:themeColor="text1"/>
          <w:sz w:val="24"/>
          <w:szCs w:val="40"/>
        </w:rPr>
      </w:pPr>
      <w:bookmarkStart w:id="3" w:name="_Toc55578386"/>
      <w:r>
        <w:rPr>
          <w:rFonts w:eastAsia="Arial" w:cs="Times New Roman"/>
        </w:rPr>
        <w:lastRenderedPageBreak/>
        <w:t>Reference</w:t>
      </w:r>
      <w:bookmarkEnd w:id="3"/>
    </w:p>
    <w:p w14:paraId="64E024F0"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Albanese, C., </w:t>
      </w:r>
      <w:proofErr w:type="spellStart"/>
      <w:r>
        <w:rPr>
          <w:rFonts w:ascii="Times New Roman" w:eastAsia="Times New Roman" w:hAnsi="Times New Roman" w:cs="Times New Roman"/>
          <w:sz w:val="24"/>
          <w:szCs w:val="24"/>
          <w:highlight w:val="white"/>
        </w:rPr>
        <w:t>Crépey</w:t>
      </w:r>
      <w:proofErr w:type="spellEnd"/>
      <w:r>
        <w:rPr>
          <w:rFonts w:ascii="Times New Roman" w:eastAsia="Times New Roman" w:hAnsi="Times New Roman" w:cs="Times New Roman"/>
          <w:sz w:val="24"/>
          <w:szCs w:val="24"/>
          <w:highlight w:val="white"/>
        </w:rPr>
        <w:t xml:space="preserve">, S., Hoskinson, R. and </w:t>
      </w:r>
      <w:proofErr w:type="spellStart"/>
      <w:r>
        <w:rPr>
          <w:rFonts w:ascii="Times New Roman" w:eastAsia="Times New Roman" w:hAnsi="Times New Roman" w:cs="Times New Roman"/>
          <w:sz w:val="24"/>
          <w:szCs w:val="24"/>
          <w:highlight w:val="white"/>
        </w:rPr>
        <w:t>Saadeddine</w:t>
      </w:r>
      <w:proofErr w:type="spellEnd"/>
      <w:r>
        <w:rPr>
          <w:rFonts w:ascii="Times New Roman" w:eastAsia="Times New Roman" w:hAnsi="Times New Roman" w:cs="Times New Roman"/>
          <w:sz w:val="24"/>
          <w:szCs w:val="24"/>
          <w:highlight w:val="white"/>
        </w:rPr>
        <w:t xml:space="preserve">, B., 2020. XVA analysis from the balance sheet. </w:t>
      </w:r>
      <w:r>
        <w:rPr>
          <w:rFonts w:ascii="Times New Roman" w:eastAsia="Times New Roman" w:hAnsi="Times New Roman" w:cs="Times New Roman"/>
          <w:i/>
          <w:sz w:val="24"/>
          <w:szCs w:val="24"/>
          <w:highlight w:val="white"/>
        </w:rPr>
        <w:t>Quantitative Finance</w:t>
      </w:r>
      <w:r>
        <w:rPr>
          <w:rFonts w:ascii="Times New Roman" w:eastAsia="Times New Roman" w:hAnsi="Times New Roman" w:cs="Times New Roman"/>
          <w:sz w:val="24"/>
          <w:szCs w:val="24"/>
          <w:highlight w:val="white"/>
        </w:rPr>
        <w:t>, pp.1-25.</w:t>
      </w:r>
    </w:p>
    <w:p w14:paraId="05F5F0CB"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Avhad</w:t>
      </w:r>
      <w:proofErr w:type="spellEnd"/>
      <w:r>
        <w:rPr>
          <w:rFonts w:ascii="Times New Roman" w:eastAsia="Times New Roman" w:hAnsi="Times New Roman" w:cs="Times New Roman"/>
          <w:sz w:val="24"/>
          <w:szCs w:val="24"/>
          <w:highlight w:val="white"/>
        </w:rPr>
        <w:t>, S.M. and Yadav, R.R., 2020. Cash Flow Statement.</w:t>
      </w:r>
    </w:p>
    <w:p w14:paraId="47235AE9"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Bhakare</w:t>
      </w:r>
      <w:proofErr w:type="spellEnd"/>
      <w:r>
        <w:rPr>
          <w:rFonts w:ascii="Times New Roman" w:eastAsia="Times New Roman" w:hAnsi="Times New Roman" w:cs="Times New Roman"/>
          <w:sz w:val="24"/>
          <w:szCs w:val="24"/>
          <w:highlight w:val="white"/>
        </w:rPr>
        <w:t>, J., 2020. Financial Statement: Basics &amp; Analysis.</w:t>
      </w:r>
    </w:p>
    <w:p w14:paraId="32637B35"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Bragg, S.M., 2016. Cost accounting fundamentals. </w:t>
      </w:r>
      <w:r>
        <w:rPr>
          <w:rFonts w:ascii="Times New Roman" w:eastAsia="Times New Roman" w:hAnsi="Times New Roman" w:cs="Times New Roman"/>
          <w:i/>
          <w:color w:val="000000" w:themeColor="text1"/>
          <w:sz w:val="24"/>
          <w:szCs w:val="24"/>
        </w:rPr>
        <w:t>Colorado, CO: Accounting Tools</w:t>
      </w:r>
      <w:r>
        <w:rPr>
          <w:rFonts w:ascii="Times New Roman" w:eastAsia="Times New Roman" w:hAnsi="Times New Roman" w:cs="Times New Roman"/>
          <w:color w:val="000000" w:themeColor="text1"/>
          <w:sz w:val="24"/>
          <w:szCs w:val="24"/>
        </w:rPr>
        <w:t>.</w:t>
      </w:r>
    </w:p>
    <w:p w14:paraId="2D7A5C93"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Cioca</w:t>
      </w:r>
      <w:proofErr w:type="spellEnd"/>
      <w:r>
        <w:rPr>
          <w:rFonts w:ascii="Times New Roman" w:eastAsia="Times New Roman" w:hAnsi="Times New Roman" w:cs="Times New Roman"/>
          <w:sz w:val="24"/>
          <w:szCs w:val="24"/>
          <w:highlight w:val="white"/>
        </w:rPr>
        <w:t xml:space="preserve">, I.C., 2020. The Importance Of Financial Statements In The Decision-Making Process. </w:t>
      </w:r>
      <w:r>
        <w:rPr>
          <w:rFonts w:ascii="Times New Roman" w:eastAsia="Times New Roman" w:hAnsi="Times New Roman" w:cs="Times New Roman"/>
          <w:i/>
          <w:sz w:val="24"/>
          <w:szCs w:val="24"/>
          <w:highlight w:val="white"/>
        </w:rPr>
        <w:t xml:space="preserve">Annales Universitatis </w:t>
      </w:r>
      <w:proofErr w:type="spellStart"/>
      <w:r>
        <w:rPr>
          <w:rFonts w:ascii="Times New Roman" w:eastAsia="Times New Roman" w:hAnsi="Times New Roman" w:cs="Times New Roman"/>
          <w:i/>
          <w:sz w:val="24"/>
          <w:szCs w:val="24"/>
          <w:highlight w:val="white"/>
        </w:rPr>
        <w:t>Apulensis</w:t>
      </w:r>
      <w:proofErr w:type="spellEnd"/>
      <w:r>
        <w:rPr>
          <w:rFonts w:ascii="Times New Roman" w:eastAsia="Times New Roman" w:hAnsi="Times New Roman" w:cs="Times New Roman"/>
          <w:i/>
          <w:sz w:val="24"/>
          <w:szCs w:val="24"/>
          <w:highlight w:val="white"/>
        </w:rPr>
        <w:t xml:space="preserve"> Series </w:t>
      </w:r>
      <w:proofErr w:type="spellStart"/>
      <w:r>
        <w:rPr>
          <w:rFonts w:ascii="Times New Roman" w:eastAsia="Times New Roman" w:hAnsi="Times New Roman" w:cs="Times New Roman"/>
          <w:i/>
          <w:sz w:val="24"/>
          <w:szCs w:val="24"/>
          <w:highlight w:val="white"/>
        </w:rPr>
        <w:t>Oeconomica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w:t>
      </w:r>
      <w:r>
        <w:rPr>
          <w:rFonts w:ascii="Times New Roman" w:eastAsia="Times New Roman" w:hAnsi="Times New Roman" w:cs="Times New Roman"/>
          <w:sz w:val="24"/>
          <w:szCs w:val="24"/>
          <w:highlight w:val="white"/>
        </w:rPr>
        <w:t>(22), pp.73-83.</w:t>
      </w:r>
    </w:p>
    <w:p w14:paraId="4A3E2F58" w14:textId="77777777" w:rsidR="000B440D" w:rsidRDefault="000B440D" w:rsidP="000B440D">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Fleckenstein, M. and Longstaff, F.A., 2018. </w:t>
      </w:r>
      <w:r>
        <w:rPr>
          <w:rFonts w:ascii="Times New Roman" w:eastAsia="Times New Roman" w:hAnsi="Times New Roman" w:cs="Times New Roman"/>
          <w:i/>
          <w:sz w:val="24"/>
          <w:szCs w:val="24"/>
          <w:highlight w:val="white"/>
        </w:rPr>
        <w:t>Shadow funding costs: Measuring the cost of balance sheet constraints</w:t>
      </w:r>
      <w:r>
        <w:rPr>
          <w:rFonts w:ascii="Times New Roman" w:eastAsia="Times New Roman" w:hAnsi="Times New Roman" w:cs="Times New Roman"/>
          <w:sz w:val="24"/>
          <w:szCs w:val="24"/>
          <w:highlight w:val="white"/>
        </w:rPr>
        <w:t xml:space="preserve"> (No. w24224). National Bureau of Economic Research.</w:t>
      </w:r>
    </w:p>
    <w:p w14:paraId="4EAB28CC"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Karavias</w:t>
      </w:r>
      <w:proofErr w:type="spellEnd"/>
      <w:r>
        <w:rPr>
          <w:rFonts w:ascii="Times New Roman" w:hAnsi="Times New Roman" w:cs="Times New Roman"/>
          <w:color w:val="000000" w:themeColor="text1"/>
          <w:sz w:val="24"/>
          <w:szCs w:val="24"/>
        </w:rPr>
        <w:t xml:space="preserve">, Y., </w:t>
      </w:r>
      <w:proofErr w:type="spellStart"/>
      <w:r>
        <w:rPr>
          <w:rFonts w:ascii="Times New Roman" w:hAnsi="Times New Roman" w:cs="Times New Roman"/>
          <w:color w:val="000000" w:themeColor="text1"/>
          <w:sz w:val="24"/>
          <w:szCs w:val="24"/>
        </w:rPr>
        <w:t>Spilioti</w:t>
      </w:r>
      <w:proofErr w:type="spellEnd"/>
      <w:r>
        <w:rPr>
          <w:rFonts w:ascii="Times New Roman" w:hAnsi="Times New Roman" w:cs="Times New Roman"/>
          <w:color w:val="000000" w:themeColor="text1"/>
          <w:sz w:val="24"/>
          <w:szCs w:val="24"/>
        </w:rPr>
        <w:t xml:space="preserve">, S. and </w:t>
      </w:r>
      <w:proofErr w:type="spellStart"/>
      <w:r>
        <w:rPr>
          <w:rFonts w:ascii="Times New Roman" w:hAnsi="Times New Roman" w:cs="Times New Roman"/>
          <w:color w:val="000000" w:themeColor="text1"/>
          <w:sz w:val="24"/>
          <w:szCs w:val="24"/>
        </w:rPr>
        <w:t>Tzavalis</w:t>
      </w:r>
      <w:proofErr w:type="spellEnd"/>
      <w:r>
        <w:rPr>
          <w:rFonts w:ascii="Times New Roman" w:hAnsi="Times New Roman" w:cs="Times New Roman"/>
          <w:color w:val="000000" w:themeColor="text1"/>
          <w:sz w:val="24"/>
          <w:szCs w:val="24"/>
        </w:rPr>
        <w:t xml:space="preserve">, E., 2020. Investor sentiment effects on share price deviations from their intrinsic values based on accounting fundamentals. </w:t>
      </w:r>
      <w:r>
        <w:rPr>
          <w:rFonts w:ascii="Times New Roman" w:eastAsia="Times New Roman" w:hAnsi="Times New Roman" w:cs="Times New Roman"/>
          <w:i/>
          <w:color w:val="000000" w:themeColor="text1"/>
          <w:sz w:val="24"/>
          <w:szCs w:val="24"/>
        </w:rPr>
        <w:t>Review of Quantitative Finance and Accounting</w:t>
      </w:r>
      <w:r>
        <w:rPr>
          <w:rFonts w:ascii="Times New Roman" w:eastAsia="Times New Roman" w:hAnsi="Times New Roman" w:cs="Times New Roman"/>
          <w:color w:val="000000" w:themeColor="text1"/>
          <w:sz w:val="24"/>
          <w:szCs w:val="24"/>
        </w:rPr>
        <w:t>, pp.1-29.</w:t>
      </w:r>
    </w:p>
    <w:p w14:paraId="1748EE2F"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Lallemand</w:t>
      </w:r>
      <w:proofErr w:type="spellEnd"/>
      <w:r>
        <w:rPr>
          <w:rFonts w:ascii="Times New Roman" w:hAnsi="Times New Roman" w:cs="Times New Roman"/>
          <w:color w:val="000000" w:themeColor="text1"/>
          <w:sz w:val="24"/>
          <w:szCs w:val="24"/>
        </w:rPr>
        <w:t xml:space="preserve">, J. and Strauss, J., 2016. Can We Count on Accounting Fundamentals for Industry Portfolio Allocation?. </w:t>
      </w:r>
      <w:r>
        <w:rPr>
          <w:rFonts w:ascii="Times New Roman" w:eastAsia="Times New Roman" w:hAnsi="Times New Roman" w:cs="Times New Roman"/>
          <w:i/>
          <w:color w:val="000000" w:themeColor="text1"/>
          <w:sz w:val="24"/>
          <w:szCs w:val="24"/>
        </w:rPr>
        <w:t>The Journal of Portfolio Management</w:t>
      </w:r>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42</w:t>
      </w:r>
      <w:r>
        <w:rPr>
          <w:rFonts w:ascii="Times New Roman" w:eastAsia="Times New Roman" w:hAnsi="Times New Roman" w:cs="Times New Roman"/>
          <w:color w:val="000000" w:themeColor="text1"/>
          <w:sz w:val="24"/>
          <w:szCs w:val="24"/>
        </w:rPr>
        <w:t>(4), pp.70-87.</w:t>
      </w:r>
    </w:p>
    <w:p w14:paraId="63E62CE8"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Monte</w:t>
      </w:r>
      <w:r>
        <w:rPr>
          <w:rFonts w:ascii="Cambria Math" w:eastAsia="Times New Roman" w:hAnsi="Cambria Math" w:cs="Times New Roman"/>
          <w:color w:val="000000" w:themeColor="text1"/>
          <w:sz w:val="24"/>
          <w:szCs w:val="24"/>
        </w:rPr>
        <w:t>‐</w:t>
      </w:r>
      <w:proofErr w:type="spellStart"/>
      <w:r>
        <w:rPr>
          <w:rFonts w:ascii="Times New Roman" w:hAnsi="Times New Roman" w:cs="Times New Roman"/>
          <w:color w:val="000000" w:themeColor="text1"/>
          <w:sz w:val="24"/>
          <w:szCs w:val="24"/>
        </w:rPr>
        <w:t>Mor</w:t>
      </w:r>
      <w:proofErr w:type="spellEnd"/>
      <w:r>
        <w:rPr>
          <w:rFonts w:ascii="Times New Roman" w:hAnsi="Times New Roman" w:cs="Times New Roman"/>
          <w:color w:val="000000" w:themeColor="text1"/>
          <w:sz w:val="24"/>
          <w:szCs w:val="24"/>
        </w:rPr>
        <w:t xml:space="preserve">, D.S., </w:t>
      </w:r>
      <w:proofErr w:type="spellStart"/>
      <w:r>
        <w:rPr>
          <w:rFonts w:ascii="Times New Roman" w:hAnsi="Times New Roman" w:cs="Times New Roman"/>
          <w:color w:val="000000" w:themeColor="text1"/>
          <w:sz w:val="24"/>
          <w:szCs w:val="24"/>
        </w:rPr>
        <w:t>Galdi</w:t>
      </w:r>
      <w:proofErr w:type="spellEnd"/>
      <w:r>
        <w:rPr>
          <w:rFonts w:ascii="Times New Roman" w:hAnsi="Times New Roman" w:cs="Times New Roman"/>
          <w:color w:val="000000" w:themeColor="text1"/>
          <w:sz w:val="24"/>
          <w:szCs w:val="24"/>
        </w:rPr>
        <w:t xml:space="preserve">, F.C. and Costa, C.M., 2018. The role of accounting fundamentals and other information in analyst forecast errors. </w:t>
      </w:r>
      <w:r>
        <w:rPr>
          <w:rFonts w:ascii="Times New Roman" w:eastAsia="Times New Roman" w:hAnsi="Times New Roman" w:cs="Times New Roman"/>
          <w:i/>
          <w:color w:val="000000" w:themeColor="text1"/>
          <w:sz w:val="24"/>
          <w:szCs w:val="24"/>
        </w:rPr>
        <w:t>International Finance</w:t>
      </w:r>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21</w:t>
      </w:r>
      <w:r>
        <w:rPr>
          <w:rFonts w:ascii="Times New Roman" w:eastAsia="Times New Roman" w:hAnsi="Times New Roman" w:cs="Times New Roman"/>
          <w:color w:val="000000" w:themeColor="text1"/>
          <w:sz w:val="24"/>
          <w:szCs w:val="24"/>
        </w:rPr>
        <w:t>(2), pp.175-194.</w:t>
      </w:r>
      <w:r>
        <w:rPr>
          <w:rFonts w:ascii="Times New Roman" w:eastAsia="Times New Roman" w:hAnsi="Times New Roman" w:cs="Times New Roman"/>
          <w:sz w:val="24"/>
          <w:szCs w:val="24"/>
          <w:highlight w:val="white"/>
        </w:rPr>
        <w:t xml:space="preserve">Liu, W., 2020. How Useful Is It for Banks to Analyze Financial Statements? </w:t>
      </w:r>
      <w:r>
        <w:rPr>
          <w:rFonts w:ascii="Times New Roman" w:eastAsia="Times New Roman" w:hAnsi="Times New Roman" w:cs="Times New Roman"/>
          <w:i/>
          <w:sz w:val="24"/>
          <w:szCs w:val="24"/>
          <w:highlight w:val="white"/>
        </w:rPr>
        <w:t>American Journal of Industrial and Business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(8), pp.1488-1504.</w:t>
      </w:r>
    </w:p>
    <w:p w14:paraId="1055A417"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Okeke, R.C. and </w:t>
      </w:r>
      <w:proofErr w:type="spellStart"/>
      <w:r>
        <w:rPr>
          <w:rFonts w:ascii="Times New Roman" w:hAnsi="Times New Roman" w:cs="Times New Roman"/>
          <w:color w:val="000000" w:themeColor="text1"/>
          <w:sz w:val="24"/>
          <w:szCs w:val="24"/>
        </w:rPr>
        <w:t>Nwankpa</w:t>
      </w:r>
      <w:proofErr w:type="spellEnd"/>
      <w:r>
        <w:rPr>
          <w:rFonts w:ascii="Times New Roman" w:hAnsi="Times New Roman" w:cs="Times New Roman"/>
          <w:color w:val="000000" w:themeColor="text1"/>
          <w:sz w:val="24"/>
          <w:szCs w:val="24"/>
        </w:rPr>
        <w:t xml:space="preserve">, L.O., 2017. The accounting fundamentals of multilevel marketing, income security and the poverty challenge in Nigeria. </w:t>
      </w:r>
      <w:r>
        <w:rPr>
          <w:rFonts w:ascii="Times New Roman" w:eastAsia="Times New Roman" w:hAnsi="Times New Roman" w:cs="Times New Roman"/>
          <w:i/>
          <w:color w:val="000000" w:themeColor="text1"/>
          <w:sz w:val="24"/>
          <w:szCs w:val="24"/>
        </w:rPr>
        <w:t>World Scientific News</w:t>
      </w:r>
      <w:r>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i/>
          <w:color w:val="000000" w:themeColor="text1"/>
          <w:sz w:val="24"/>
          <w:szCs w:val="24"/>
        </w:rPr>
        <w:t>77</w:t>
      </w:r>
      <w:r>
        <w:rPr>
          <w:rFonts w:ascii="Times New Roman" w:eastAsia="Times New Roman" w:hAnsi="Times New Roman" w:cs="Times New Roman"/>
          <w:color w:val="000000" w:themeColor="text1"/>
          <w:sz w:val="24"/>
          <w:szCs w:val="24"/>
        </w:rPr>
        <w:t>(2), pp.281-297.</w:t>
      </w:r>
    </w:p>
    <w:p w14:paraId="4084B7BC"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Ward, D.M. and Calabrese, T., 2018. </w:t>
      </w:r>
      <w:r>
        <w:rPr>
          <w:rFonts w:ascii="Times New Roman" w:eastAsia="Times New Roman" w:hAnsi="Times New Roman" w:cs="Times New Roman"/>
          <w:i/>
          <w:color w:val="000000" w:themeColor="text1"/>
          <w:sz w:val="24"/>
          <w:szCs w:val="24"/>
        </w:rPr>
        <w:t>Accounting fundamentals for health care management</w:t>
      </w:r>
      <w:r>
        <w:rPr>
          <w:rFonts w:ascii="Times New Roman" w:eastAsia="Times New Roman" w:hAnsi="Times New Roman" w:cs="Times New Roman"/>
          <w:color w:val="000000" w:themeColor="text1"/>
          <w:sz w:val="24"/>
          <w:szCs w:val="24"/>
        </w:rPr>
        <w:t>. Jones &amp; Bartlett Learning.</w:t>
      </w:r>
    </w:p>
    <w:p w14:paraId="3E8975AC" w14:textId="77777777" w:rsidR="000B440D" w:rsidRDefault="000B440D" w:rsidP="000B440D">
      <w:pPr>
        <w:spacing w:before="240" w:after="240" w:line="360" w:lineRule="auto"/>
        <w:ind w:left="360"/>
        <w:jc w:val="both"/>
        <w:rPr>
          <w:rFonts w:ascii="Times New Roman" w:eastAsia="Times New Roman" w:hAnsi="Times New Roman" w:cs="Times New Roman"/>
          <w:color w:val="000000" w:themeColor="text1"/>
          <w:sz w:val="24"/>
          <w:szCs w:val="24"/>
        </w:rPr>
      </w:pPr>
    </w:p>
    <w:p w14:paraId="3A74212D" w14:textId="77777777" w:rsidR="000B440D" w:rsidRDefault="000B440D" w:rsidP="000B440D">
      <w:pPr>
        <w:spacing w:before="240" w:after="240" w:line="360" w:lineRule="auto"/>
        <w:jc w:val="both"/>
        <w:rPr>
          <w:rFonts w:ascii="Times New Roman" w:eastAsia="Times New Roman" w:hAnsi="Times New Roman" w:cs="Times New Roman"/>
          <w:color w:val="000000" w:themeColor="text1"/>
          <w:sz w:val="24"/>
          <w:szCs w:val="24"/>
        </w:rPr>
      </w:pPr>
    </w:p>
    <w:p w14:paraId="0C9DDFE3" w14:textId="77777777" w:rsidR="000B440D" w:rsidRDefault="000B440D"/>
    <w:sectPr w:rsidR="000B44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B263E2"/>
    <w:multiLevelType w:val="hybridMultilevel"/>
    <w:tmpl w:val="AA8E7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011E75"/>
    <w:multiLevelType w:val="hybridMultilevel"/>
    <w:tmpl w:val="6DD28D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93C"/>
    <w:rsid w:val="000B440D"/>
    <w:rsid w:val="00811D1E"/>
    <w:rsid w:val="00915863"/>
    <w:rsid w:val="00B709C2"/>
    <w:rsid w:val="00DA2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36877"/>
  <w15:chartTrackingRefBased/>
  <w15:docId w15:val="{02E4B0E8-AAEC-4456-AAFD-26B2FA83E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9C2"/>
    <w:pPr>
      <w:spacing w:after="0" w:line="276" w:lineRule="auto"/>
    </w:pPr>
    <w:rPr>
      <w:rFonts w:ascii="Arial" w:eastAsia="Arial" w:hAnsi="Arial" w:cs="Arial"/>
      <w:lang w:val="en-US"/>
    </w:rPr>
  </w:style>
  <w:style w:type="paragraph" w:styleId="Heading1">
    <w:name w:val="heading 1"/>
    <w:basedOn w:val="Normal"/>
    <w:next w:val="Normal"/>
    <w:link w:val="Heading1Char"/>
    <w:uiPriority w:val="9"/>
    <w:qFormat/>
    <w:rsid w:val="00B709C2"/>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709C2"/>
    <w:rPr>
      <w:color w:val="0563C1" w:themeColor="hyperlink"/>
      <w:u w:val="single"/>
    </w:rPr>
  </w:style>
  <w:style w:type="paragraph" w:styleId="TOC1">
    <w:name w:val="toc 1"/>
    <w:basedOn w:val="Normal"/>
    <w:next w:val="Normal"/>
    <w:autoRedefine/>
    <w:uiPriority w:val="39"/>
    <w:semiHidden/>
    <w:unhideWhenUsed/>
    <w:rsid w:val="00B709C2"/>
    <w:pPr>
      <w:spacing w:after="100"/>
    </w:pPr>
  </w:style>
  <w:style w:type="character" w:customStyle="1" w:styleId="Heading1Char">
    <w:name w:val="Heading 1 Char"/>
    <w:basedOn w:val="DefaultParagraphFont"/>
    <w:link w:val="Heading1"/>
    <w:uiPriority w:val="9"/>
    <w:rsid w:val="00B709C2"/>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B709C2"/>
    <w:pPr>
      <w:spacing w:before="480"/>
      <w:outlineLvl w:val="9"/>
    </w:pPr>
    <w:rPr>
      <w:b/>
      <w:bCs/>
      <w:sz w:val="28"/>
      <w:szCs w:val="28"/>
    </w:rPr>
  </w:style>
  <w:style w:type="paragraph" w:styleId="ListParagraph">
    <w:name w:val="List Paragraph"/>
    <w:basedOn w:val="Normal"/>
    <w:uiPriority w:val="34"/>
    <w:qFormat/>
    <w:rsid w:val="000B440D"/>
    <w:pPr>
      <w:ind w:left="720"/>
      <w:contextualSpacing/>
    </w:pPr>
  </w:style>
  <w:style w:type="paragraph" w:customStyle="1" w:styleId="Normal1">
    <w:name w:val="Normal1"/>
    <w:rsid w:val="000B440D"/>
    <w:pPr>
      <w:spacing w:after="0" w:line="276" w:lineRule="auto"/>
    </w:pPr>
    <w:rPr>
      <w:rFonts w:ascii="Arial" w:eastAsia="Arial" w:hAnsi="Arial" w:cs="Arial"/>
      <w:lang w:val="en-US"/>
    </w:rPr>
  </w:style>
  <w:style w:type="table" w:styleId="TableGrid">
    <w:name w:val="Table Grid"/>
    <w:basedOn w:val="TableNormal"/>
    <w:uiPriority w:val="59"/>
    <w:rsid w:val="000B440D"/>
    <w:pPr>
      <w:spacing w:after="0" w:line="240" w:lineRule="auto"/>
    </w:pPr>
    <w:rPr>
      <w:rFonts w:ascii="Arial" w:eastAsia="Arial" w:hAnsi="Arial" w:cs="Arial"/>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228621">
      <w:bodyDiv w:val="1"/>
      <w:marLeft w:val="0"/>
      <w:marRight w:val="0"/>
      <w:marTop w:val="0"/>
      <w:marBottom w:val="0"/>
      <w:divBdr>
        <w:top w:val="none" w:sz="0" w:space="0" w:color="auto"/>
        <w:left w:val="none" w:sz="0" w:space="0" w:color="auto"/>
        <w:bottom w:val="none" w:sz="0" w:space="0" w:color="auto"/>
        <w:right w:val="none" w:sz="0" w:space="0" w:color="auto"/>
      </w:divBdr>
    </w:div>
    <w:div w:id="1434209612">
      <w:bodyDiv w:val="1"/>
      <w:marLeft w:val="0"/>
      <w:marRight w:val="0"/>
      <w:marTop w:val="0"/>
      <w:marBottom w:val="0"/>
      <w:divBdr>
        <w:top w:val="none" w:sz="0" w:space="0" w:color="auto"/>
        <w:left w:val="none" w:sz="0" w:space="0" w:color="auto"/>
        <w:bottom w:val="none" w:sz="0" w:space="0" w:color="auto"/>
        <w:right w:val="none" w:sz="0" w:space="0" w:color="auto"/>
      </w:divBdr>
    </w:div>
    <w:div w:id="1858277738">
      <w:bodyDiv w:val="1"/>
      <w:marLeft w:val="0"/>
      <w:marRight w:val="0"/>
      <w:marTop w:val="0"/>
      <w:marBottom w:val="0"/>
      <w:divBdr>
        <w:top w:val="none" w:sz="0" w:space="0" w:color="auto"/>
        <w:left w:val="none" w:sz="0" w:space="0" w:color="auto"/>
        <w:bottom w:val="none" w:sz="0" w:space="0" w:color="auto"/>
        <w:right w:val="none" w:sz="0" w:space="0" w:color="auto"/>
      </w:divBdr>
    </w:div>
    <w:div w:id="214481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Kellmanor\Desktop\Gabriela-Bandac.8-days.docx" TargetMode="External"/><Relationship Id="rId3" Type="http://schemas.openxmlformats.org/officeDocument/2006/relationships/settings" Target="settings.xml"/><Relationship Id="rId7" Type="http://schemas.openxmlformats.org/officeDocument/2006/relationships/hyperlink" Target="file:///C:\Users\Kellmanor\Desktop\Gabriela-Bandac.8-days.doc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Kellmanor\Desktop\Gabriela-Bandac.8-days.docx" TargetMode="External"/><Relationship Id="rId11" Type="http://schemas.openxmlformats.org/officeDocument/2006/relationships/theme" Target="theme/theme1.xml"/><Relationship Id="rId5" Type="http://schemas.openxmlformats.org/officeDocument/2006/relationships/hyperlink" Target="file:///C:\Users\Kellmanor\Desktop\Gabriela-Bandac.8-days.docx"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Kellmanor\Desktop\Gabriela-Bandac.8-days.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Pages>
  <Words>3363</Words>
  <Characters>19171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Kellmanor</dc:creator>
  <cp:keywords/>
  <dc:description/>
  <cp:lastModifiedBy>Gabor Istvan Kovacs (2011284)</cp:lastModifiedBy>
  <cp:revision>6</cp:revision>
  <dcterms:created xsi:type="dcterms:W3CDTF">2020-11-13T14:51:00Z</dcterms:created>
  <dcterms:modified xsi:type="dcterms:W3CDTF">2020-11-13T15:17:00Z</dcterms:modified>
</cp:coreProperties>
</file>