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50927947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Name: Folake Monsurat Alabi</w:t>
      </w:r>
    </w:p>
    <w:p w:rsidR="00000000" w:rsidDel="00000000" w:rsidP="00000000" w:rsidRDefault="00000000" w:rsidRPr="00000000" w14:paraId="00000008">
      <w:pPr>
        <w:jc w:val="both"/>
        <w:rPr>
          <w:sz w:val="28"/>
          <w:szCs w:val="28"/>
        </w:rPr>
      </w:pPr>
      <w:r w:rsidDel="00000000" w:rsidR="00000000" w:rsidRPr="00000000">
        <w:rPr>
          <w:sz w:val="28"/>
          <w:szCs w:val="28"/>
          <w:rtl w:val="0"/>
        </w:rPr>
        <w:t xml:space="preserve">Student ID: 2513650</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Module Code: LCHS 4001</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Module: Academic and Employability skills</w:t>
      </w:r>
    </w:p>
    <w:p w:rsidR="00000000" w:rsidDel="00000000" w:rsidP="00000000" w:rsidRDefault="00000000" w:rsidRPr="00000000" w14:paraId="0000000B">
      <w:pPr>
        <w:jc w:val="both"/>
        <w:rPr>
          <w:sz w:val="28"/>
          <w:szCs w:val="28"/>
        </w:rPr>
      </w:pPr>
      <w:r w:rsidDel="00000000" w:rsidR="00000000" w:rsidRPr="00000000">
        <w:rPr>
          <w:sz w:val="28"/>
          <w:szCs w:val="28"/>
          <w:rtl w:val="0"/>
        </w:rPr>
        <w:t xml:space="preserve">Lecturer: Natalie</w:t>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rtl w:val="0"/>
        </w:rPr>
      </w:r>
    </w:p>
    <w:p w:rsidR="00000000" w:rsidDel="00000000" w:rsidP="00000000" w:rsidRDefault="00000000" w:rsidRPr="00000000" w14:paraId="0000000E">
      <w:pPr>
        <w:jc w:val="both"/>
        <w:rPr>
          <w:sz w:val="28"/>
          <w:szCs w:val="28"/>
        </w:rPr>
      </w:pPr>
      <w:r w:rsidDel="00000000" w:rsidR="00000000" w:rsidRPr="00000000">
        <w:rPr>
          <w:rtl w:val="0"/>
        </w:rPr>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8"/>
          <w:szCs w:val="28"/>
        </w:rPr>
      </w:pPr>
      <w:r w:rsidDel="00000000" w:rsidR="00000000" w:rsidRPr="00000000">
        <w:rPr>
          <w:rtl w:val="0"/>
        </w:rPr>
      </w:r>
    </w:p>
    <w:p w:rsidR="00000000" w:rsidDel="00000000" w:rsidP="00000000" w:rsidRDefault="00000000" w:rsidRPr="00000000" w14:paraId="00000011">
      <w:pPr>
        <w:jc w:val="both"/>
        <w:rPr>
          <w:sz w:val="28"/>
          <w:szCs w:val="28"/>
        </w:rPr>
      </w:pPr>
      <w:r w:rsidDel="00000000" w:rsidR="00000000" w:rsidRPr="00000000">
        <w:rPr>
          <w:rtl w:val="0"/>
        </w:rPr>
      </w:r>
    </w:p>
    <w:p w:rsidR="00000000" w:rsidDel="00000000" w:rsidP="00000000" w:rsidRDefault="00000000" w:rsidRPr="00000000" w14:paraId="00000012">
      <w:pPr>
        <w:jc w:val="both"/>
        <w:rPr>
          <w:sz w:val="28"/>
          <w:szCs w:val="28"/>
        </w:rPr>
      </w:pPr>
      <w:r w:rsidDel="00000000" w:rsidR="00000000" w:rsidRPr="00000000">
        <w:rPr>
          <w:rtl w:val="0"/>
        </w:rPr>
      </w:r>
    </w:p>
    <w:p w:rsidR="00000000" w:rsidDel="00000000" w:rsidP="00000000" w:rsidRDefault="00000000" w:rsidRPr="00000000" w14:paraId="00000013">
      <w:pPr>
        <w:jc w:val="both"/>
        <w:rPr>
          <w:sz w:val="28"/>
          <w:szCs w:val="28"/>
        </w:rPr>
      </w:pPr>
      <w:r w:rsidDel="00000000" w:rsidR="00000000" w:rsidRPr="00000000">
        <w:rPr>
          <w:sz w:val="28"/>
          <w:szCs w:val="28"/>
          <w:rtl w:val="0"/>
        </w:rPr>
        <w:tab/>
        <w:tab/>
        <w:tab/>
        <w:tab/>
        <w:t xml:space="preserve">Submitted on:    13</w:t>
      </w:r>
      <w:r w:rsidDel="00000000" w:rsidR="00000000" w:rsidRPr="00000000">
        <w:rPr>
          <w:sz w:val="28"/>
          <w:szCs w:val="28"/>
          <w:vertAlign w:val="superscript"/>
          <w:rtl w:val="0"/>
        </w:rPr>
        <w:t xml:space="preserve">th</w:t>
      </w:r>
      <w:r w:rsidDel="00000000" w:rsidR="00000000" w:rsidRPr="00000000">
        <w:rPr>
          <w:sz w:val="28"/>
          <w:szCs w:val="28"/>
          <w:rtl w:val="0"/>
        </w:rPr>
        <w:t xml:space="preserve"> December 2025</w:t>
      </w:r>
    </w:p>
    <w:p w:rsidR="00000000" w:rsidDel="00000000" w:rsidP="00000000" w:rsidRDefault="00000000" w:rsidRPr="00000000" w14:paraId="00000014">
      <w:pPr>
        <w:jc w:val="both"/>
        <w:rPr>
          <w:sz w:val="28"/>
          <w:szCs w:val="28"/>
        </w:rPr>
      </w:pPr>
      <w:r w:rsidDel="00000000" w:rsidR="00000000" w:rsidRPr="00000000">
        <w:rPr>
          <w:rtl w:val="0"/>
        </w:rPr>
      </w:r>
    </w:p>
    <w:p w:rsidR="00000000" w:rsidDel="00000000" w:rsidP="00000000" w:rsidRDefault="00000000" w:rsidRPr="00000000" w14:paraId="00000015">
      <w:pPr>
        <w:jc w:val="both"/>
        <w:rPr>
          <w:sz w:val="28"/>
          <w:szCs w:val="28"/>
        </w:rPr>
      </w:pPr>
      <w:r w:rsidDel="00000000" w:rsidR="00000000" w:rsidRPr="00000000">
        <w:rPr>
          <w:rtl w:val="0"/>
        </w:rPr>
      </w:r>
    </w:p>
    <w:p w:rsidR="00000000" w:rsidDel="00000000" w:rsidP="00000000" w:rsidRDefault="00000000" w:rsidRPr="00000000" w14:paraId="00000016">
      <w:pPr>
        <w:jc w:val="both"/>
        <w:rPr>
          <w:sz w:val="28"/>
          <w:szCs w:val="28"/>
        </w:rPr>
      </w:pPr>
      <w:r w:rsidDel="00000000" w:rsidR="00000000" w:rsidRPr="00000000">
        <w:rPr>
          <w:rtl w:val="0"/>
        </w:rPr>
      </w:r>
    </w:p>
    <w:p w:rsidR="00000000" w:rsidDel="00000000" w:rsidP="00000000" w:rsidRDefault="00000000" w:rsidRPr="00000000" w14:paraId="00000017">
      <w:pPr>
        <w:jc w:val="both"/>
        <w:rPr>
          <w:sz w:val="28"/>
          <w:szCs w:val="28"/>
        </w:rPr>
      </w:pPr>
      <w:r w:rsidDel="00000000" w:rsidR="00000000" w:rsidRPr="00000000">
        <w:rPr>
          <w:rtl w:val="0"/>
        </w:rPr>
      </w:r>
    </w:p>
    <w:p w:rsidR="00000000" w:rsidDel="00000000" w:rsidP="00000000" w:rsidRDefault="00000000" w:rsidRPr="00000000" w14:paraId="00000018">
      <w:pPr>
        <w:jc w:val="both"/>
        <w:rPr>
          <w:sz w:val="28"/>
          <w:szCs w:val="28"/>
        </w:rPr>
      </w:pPr>
      <w:r w:rsidDel="00000000" w:rsidR="00000000" w:rsidRPr="00000000">
        <w:rPr>
          <w:rtl w:val="0"/>
        </w:rPr>
      </w:r>
    </w:p>
    <w:p w:rsidR="00000000" w:rsidDel="00000000" w:rsidP="00000000" w:rsidRDefault="00000000" w:rsidRPr="00000000" w14:paraId="00000019">
      <w:pPr>
        <w:jc w:val="both"/>
        <w:rPr>
          <w:sz w:val="28"/>
          <w:szCs w:val="28"/>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Quattrocento Sans" w:cs="Quattrocento Sans" w:eastAsia="Quattrocento Sans" w:hAnsi="Quattrocento Sans"/>
          <w:b w:val="0"/>
          <w:bCs w:val="0"/>
          <w:i w:val="0"/>
          <w:iCs w:val="0"/>
          <w:smallCaps w:val="0"/>
          <w:strike w:val="0"/>
          <w:color w:val="4472c4"/>
          <w:sz w:val="28"/>
          <w:szCs w:val="28"/>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4471c4"/>
          <w:sz w:val="28"/>
          <w:szCs w:val="28"/>
          <w:u w:val="none"/>
          <w:shd w:fill="auto" w:val="clear"/>
          <w:vertAlign w:val="baseline"/>
          <w:rtl w:val="0"/>
        </w:rPr>
        <w:t xml:space="preserve">Table of Contents</w:t>
      </w:r>
      <w:r w:rsidDel="00000000" w:rsidR="00000000" w:rsidRPr="00000000">
        <w:rPr>
          <w:rtl w:val="0"/>
        </w:rPr>
      </w:r>
    </w:p>
    <w:sdt>
      <w:sdtPr>
        <w:id w:val="-418607874"/>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ugafzbobr5wa">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1.1 Introduction</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mdcxpbdzmjqg">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2 Mental Health Support Worker in the Health and Social Care Field</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usnnmg4umr3j">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2.1 Description of Mental Health Support Worker in Health and Social Care</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1xeusbqkxvwg">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2.2 Explanation of Most Significant Skills Needed for Mental Health Support Worker in Health and Social Care</w:t>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r9g0j5r4qlyx">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3 Strategies for Skill Improvement for Mental Health Support Worker</w:t>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hgyy8oncy1g9">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3.1 Three Strategies to Improve the Skills for Mental Health Support Worker</w:t>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v413aqswg3pm">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4 Conclusion</w:t>
              <w:tab/>
              <w:t xml:space="preserve">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spfkpd3ianq1">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5 Reference List</w:t>
              <w:tab/>
              <w:t xml:space="preserve">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jc w:val="both"/>
        <w:rPr>
          <w:b w:val="1"/>
          <w:bCs w:val="1"/>
          <w:sz w:val="28"/>
          <w:szCs w:val="28"/>
        </w:rPr>
      </w:pPr>
      <w:r w:rsidDel="00000000" w:rsidR="00000000" w:rsidRPr="00000000">
        <w:rPr>
          <w:rtl w:val="0"/>
        </w:rPr>
      </w:r>
    </w:p>
    <w:p w:rsidR="00000000" w:rsidDel="00000000" w:rsidP="00000000" w:rsidRDefault="00000000" w:rsidRPr="00000000" w14:paraId="00000026">
      <w:pPr>
        <w:jc w:val="both"/>
        <w:rPr>
          <w:b w:val="1"/>
          <w:bCs w:val="1"/>
          <w:sz w:val="28"/>
          <w:szCs w:val="28"/>
        </w:rPr>
      </w:pPr>
      <w:r w:rsidDel="00000000" w:rsidR="00000000" w:rsidRPr="00000000">
        <w:rPr>
          <w:rtl w:val="0"/>
        </w:rPr>
      </w:r>
    </w:p>
    <w:p w:rsidR="00000000" w:rsidDel="00000000" w:rsidP="00000000" w:rsidRDefault="00000000" w:rsidRPr="00000000" w14:paraId="00000027">
      <w:pPr>
        <w:jc w:val="both"/>
        <w:rPr>
          <w:b w:val="1"/>
          <w:bCs w:val="1"/>
          <w:sz w:val="28"/>
          <w:szCs w:val="28"/>
        </w:rPr>
      </w:pPr>
      <w:r w:rsidDel="00000000" w:rsidR="00000000" w:rsidRPr="00000000">
        <w:rPr>
          <w:rtl w:val="0"/>
        </w:rPr>
      </w:r>
    </w:p>
    <w:p w:rsidR="00000000" w:rsidDel="00000000" w:rsidP="00000000" w:rsidRDefault="00000000" w:rsidRPr="00000000" w14:paraId="00000028">
      <w:pPr>
        <w:jc w:val="both"/>
        <w:rPr>
          <w:b w:val="1"/>
          <w:bCs w:val="1"/>
          <w:sz w:val="28"/>
          <w:szCs w:val="28"/>
        </w:rPr>
      </w:pPr>
      <w:r w:rsidDel="00000000" w:rsidR="00000000" w:rsidRPr="00000000">
        <w:rPr>
          <w:rtl w:val="0"/>
        </w:rPr>
      </w:r>
    </w:p>
    <w:p w:rsidR="00000000" w:rsidDel="00000000" w:rsidP="00000000" w:rsidRDefault="00000000" w:rsidRPr="00000000" w14:paraId="00000029">
      <w:pPr>
        <w:jc w:val="both"/>
        <w:rPr>
          <w:b w:val="1"/>
          <w:bCs w:val="1"/>
          <w:sz w:val="28"/>
          <w:szCs w:val="28"/>
        </w:rPr>
      </w:pPr>
      <w:r w:rsidDel="00000000" w:rsidR="00000000" w:rsidRPr="00000000">
        <w:rPr>
          <w:rtl w:val="0"/>
        </w:rPr>
      </w:r>
    </w:p>
    <w:p w:rsidR="00000000" w:rsidDel="00000000" w:rsidP="00000000" w:rsidRDefault="00000000" w:rsidRPr="00000000" w14:paraId="0000002A">
      <w:pPr>
        <w:jc w:val="both"/>
        <w:rPr>
          <w:b w:val="1"/>
          <w:bCs w:val="1"/>
          <w:sz w:val="28"/>
          <w:szCs w:val="28"/>
        </w:rPr>
      </w:pPr>
      <w:r w:rsidDel="00000000" w:rsidR="00000000" w:rsidRPr="00000000">
        <w:rPr>
          <w:rtl w:val="0"/>
        </w:rPr>
      </w:r>
    </w:p>
    <w:p w:rsidR="00000000" w:rsidDel="00000000" w:rsidP="00000000" w:rsidRDefault="00000000" w:rsidRPr="00000000" w14:paraId="0000002B">
      <w:pPr>
        <w:jc w:val="both"/>
        <w:rPr>
          <w:b w:val="1"/>
          <w:bCs w:val="1"/>
          <w:sz w:val="28"/>
          <w:szCs w:val="28"/>
        </w:rPr>
      </w:pPr>
      <w:r w:rsidDel="00000000" w:rsidR="00000000" w:rsidRPr="00000000">
        <w:rPr>
          <w:rtl w:val="0"/>
        </w:rPr>
      </w:r>
    </w:p>
    <w:p w:rsidR="00000000" w:rsidDel="00000000" w:rsidP="00000000" w:rsidRDefault="00000000" w:rsidRPr="00000000" w14:paraId="0000002C">
      <w:pPr>
        <w:jc w:val="both"/>
        <w:rPr>
          <w:b w:val="1"/>
          <w:bCs w:val="1"/>
          <w:sz w:val="28"/>
          <w:szCs w:val="28"/>
        </w:rPr>
      </w:pPr>
      <w:r w:rsidDel="00000000" w:rsidR="00000000" w:rsidRPr="00000000">
        <w:rPr>
          <w:rtl w:val="0"/>
        </w:rPr>
      </w:r>
    </w:p>
    <w:p w:rsidR="00000000" w:rsidDel="00000000" w:rsidP="00000000" w:rsidRDefault="00000000" w:rsidRPr="00000000" w14:paraId="0000002D">
      <w:pPr>
        <w:jc w:val="both"/>
        <w:rPr>
          <w:b w:val="1"/>
          <w:bCs w:val="1"/>
          <w:sz w:val="28"/>
          <w:szCs w:val="28"/>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bCs w:val="1"/>
          <w:sz w:val="21"/>
          <w:szCs w:val="21"/>
        </w:rPr>
      </w:pPr>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2"/>
        <w:rPr>
          <w:color w:val="4472c4"/>
        </w:rPr>
      </w:pPr>
      <w:bookmarkStart w:colFirst="0" w:colLast="0" w:name="_heading=h.ugafzbobr5wa" w:id="0"/>
      <w:bookmarkEnd w:id="0"/>
      <w:r w:rsidDel="00000000" w:rsidR="00000000" w:rsidRPr="00000000">
        <w:rPr>
          <w:color w:val="4471c4"/>
          <w:rtl w:val="0"/>
        </w:rPr>
        <w:t xml:space="preserve">1.1 Introduction</w:t>
      </w:r>
      <w:r w:rsidDel="00000000" w:rsidR="00000000" w:rsidRPr="00000000">
        <w:rPr>
          <w:rtl w:val="0"/>
        </w:rPr>
      </w:r>
    </w:p>
    <w:p w:rsidR="00000000" w:rsidDel="00000000" w:rsidP="00000000" w:rsidRDefault="00000000" w:rsidRPr="00000000" w14:paraId="00000031">
      <w:pPr>
        <w:spacing w:after="0" w:line="240" w:lineRule="auto"/>
        <w:rPr>
          <w:sz w:val="21"/>
          <w:szCs w:val="21"/>
        </w:rPr>
      </w:pPr>
      <w:r w:rsidDel="00000000" w:rsidR="00000000" w:rsidRPr="00000000">
        <w:rPr>
          <w:sz w:val="21"/>
          <w:szCs w:val="21"/>
          <w:rtl w:val="0"/>
        </w:rPr>
        <w:t xml:space="preserve">The landscape of UK mental health care has shifted significantly, moving from clinical, hospital-centred models to holistic, community-based support (Njuguna et al., 2025). At the heart of this transition sits the Mental Health Support Worker (MHSW). Often misunderstood as merely custodial, this role actually serves as the primary bridge between clinical treatment and a patient’s lived reality (Njuguna et al., 2025). This report explores the MHSW role, specifically examining three critical skills: active listening, emotional resilience, and teamwork (Kanter et al., 2025; Wu and Lu, 2025). It then proposes evidence-based strategies to develop these competencies, aiming to understand the human architecture required to support vulnerable individuals.</w:t>
      </w:r>
    </w:p>
    <w:p w:rsidR="00000000" w:rsidDel="00000000" w:rsidP="00000000" w:rsidRDefault="00000000" w:rsidRPr="00000000" w14:paraId="00000032">
      <w:pPr>
        <w:spacing w:after="0" w:line="240" w:lineRule="auto"/>
        <w:rPr>
          <w:sz w:val="22"/>
          <w:szCs w:val="22"/>
        </w:rPr>
      </w:pPr>
      <w:r w:rsidDel="00000000" w:rsidR="00000000" w:rsidRPr="00000000">
        <w:rPr>
          <w:rtl w:val="0"/>
        </w:rPr>
      </w:r>
    </w:p>
    <w:p w:rsidR="00000000" w:rsidDel="00000000" w:rsidP="00000000" w:rsidRDefault="00000000" w:rsidRPr="00000000" w14:paraId="00000033">
      <w:pPr>
        <w:pStyle w:val="Heading2"/>
        <w:rPr>
          <w:color w:val="4472c4"/>
        </w:rPr>
      </w:pPr>
      <w:bookmarkStart w:colFirst="0" w:colLast="0" w:name="_heading=h.mdcxpbdzmjqg" w:id="1"/>
      <w:bookmarkEnd w:id="1"/>
      <w:r w:rsidDel="00000000" w:rsidR="00000000" w:rsidRPr="00000000">
        <w:rPr>
          <w:color w:val="4471c4"/>
          <w:rtl w:val="0"/>
        </w:rPr>
        <w:t xml:space="preserve">2 Mental Health Support Worker in the Health and Social Care Field</w:t>
      </w:r>
      <w:r w:rsidDel="00000000" w:rsidR="00000000" w:rsidRPr="00000000">
        <w:rPr>
          <w:rtl w:val="0"/>
        </w:rPr>
      </w:r>
    </w:p>
    <w:p w:rsidR="00000000" w:rsidDel="00000000" w:rsidP="00000000" w:rsidRDefault="00000000" w:rsidRPr="00000000" w14:paraId="00000034">
      <w:pPr>
        <w:spacing w:after="0" w:line="240" w:lineRule="auto"/>
        <w:jc w:val="both"/>
        <w:rPr>
          <w:sz w:val="21"/>
          <w:szCs w:val="21"/>
        </w:rPr>
      </w:pPr>
      <w:r w:rsidDel="00000000" w:rsidR="00000000" w:rsidRPr="00000000">
        <w:rPr>
          <w:rtl w:val="0"/>
        </w:rPr>
      </w:r>
    </w:p>
    <w:p w:rsidR="00000000" w:rsidDel="00000000" w:rsidP="00000000" w:rsidRDefault="00000000" w:rsidRPr="00000000" w14:paraId="00000035">
      <w:pPr>
        <w:pStyle w:val="Heading2"/>
        <w:rPr>
          <w:color w:val="4472c4"/>
        </w:rPr>
      </w:pPr>
      <w:bookmarkStart w:colFirst="0" w:colLast="0" w:name="_heading=h.usnnmg4umr3j" w:id="2"/>
      <w:bookmarkEnd w:id="2"/>
      <w:r w:rsidDel="00000000" w:rsidR="00000000" w:rsidRPr="00000000">
        <w:rPr>
          <w:color w:val="4471c4"/>
          <w:rtl w:val="0"/>
        </w:rPr>
        <w:t xml:space="preserve">2.1 Description of Mental Health Support Worker in Health and Social Care </w:t>
      </w:r>
      <w:r w:rsidDel="00000000" w:rsidR="00000000" w:rsidRPr="00000000">
        <w:rPr>
          <w:rtl w:val="0"/>
        </w:rPr>
      </w:r>
    </w:p>
    <w:p w:rsidR="00000000" w:rsidDel="00000000" w:rsidP="00000000" w:rsidRDefault="00000000" w:rsidRPr="00000000" w14:paraId="00000036">
      <w:pPr>
        <w:spacing w:after="0" w:line="240" w:lineRule="auto"/>
        <w:jc w:val="both"/>
        <w:rPr>
          <w:sz w:val="22"/>
          <w:szCs w:val="22"/>
        </w:rPr>
      </w:pPr>
      <w:r w:rsidDel="00000000" w:rsidR="00000000" w:rsidRPr="00000000">
        <w:rPr>
          <w:rtl w:val="0"/>
        </w:rPr>
      </w:r>
    </w:p>
    <w:p w:rsidR="00000000" w:rsidDel="00000000" w:rsidP="00000000" w:rsidRDefault="00000000" w:rsidRPr="00000000" w14:paraId="00000037">
      <w:pPr>
        <w:spacing w:after="0" w:line="240" w:lineRule="auto"/>
        <w:jc w:val="both"/>
        <w:rPr>
          <w:sz w:val="22"/>
          <w:szCs w:val="22"/>
        </w:rPr>
      </w:pPr>
      <w:r w:rsidDel="00000000" w:rsidR="00000000" w:rsidRPr="00000000">
        <w:rPr>
          <w:sz w:val="22"/>
          <w:szCs w:val="22"/>
          <w:rtl w:val="0"/>
        </w:rPr>
        <w:t xml:space="preserve">An MHSW operates on the front lines, often spending more time with service users than psychiatrists or specialist nurses. Whether in a secure unit or the community, the core objective is promoting recovery. NHS Health Careers (2025) suggests the role is fundamentally practical, involving daily living activities like hygiene or budgeting, tasks that often slide with severe illness.</w:t>
      </w:r>
    </w:p>
    <w:p w:rsidR="00000000" w:rsidDel="00000000" w:rsidP="00000000" w:rsidRDefault="00000000" w:rsidRPr="00000000" w14:paraId="00000038">
      <w:pPr>
        <w:spacing w:after="0" w:line="240" w:lineRule="auto"/>
        <w:jc w:val="both"/>
        <w:rPr>
          <w:sz w:val="22"/>
          <w:szCs w:val="22"/>
        </w:rPr>
      </w:pPr>
      <w:r w:rsidDel="00000000" w:rsidR="00000000" w:rsidRPr="00000000">
        <w:rPr>
          <w:sz w:val="22"/>
          <w:szCs w:val="22"/>
          <w:rtl w:val="0"/>
        </w:rPr>
        <w:t xml:space="preserve">But it goes deeper than practical support. MHSW is frequently the first to notice subtle behavioral changes, like withdrawal or speech shifts, that indicate relapse (Skills for Care, 2023). They are also tasked with de-escalation; rather than just restraining a distressed patient, they attempt to create a safe psychological space (Hallett et al., 2024). This demands a balance of authority and compassion, alongside administrative duties like risk assessments that keep the multi-disciplinary team informed (Njuguna et al., 2025)</w:t>
      </w:r>
    </w:p>
    <w:p w:rsidR="00000000" w:rsidDel="00000000" w:rsidP="00000000" w:rsidRDefault="00000000" w:rsidRPr="00000000" w14:paraId="00000039">
      <w:pPr>
        <w:spacing w:after="0" w:line="240" w:lineRule="auto"/>
        <w:jc w:val="both"/>
        <w:rPr>
          <w:sz w:val="22"/>
          <w:szCs w:val="22"/>
        </w:rPr>
      </w:pPr>
      <w:r w:rsidDel="00000000" w:rsidR="00000000" w:rsidRPr="00000000">
        <w:rPr>
          <w:rtl w:val="0"/>
        </w:rPr>
      </w:r>
    </w:p>
    <w:p w:rsidR="00000000" w:rsidDel="00000000" w:rsidP="00000000" w:rsidRDefault="00000000" w:rsidRPr="00000000" w14:paraId="0000003A">
      <w:pPr>
        <w:pStyle w:val="Heading2"/>
        <w:rPr>
          <w:color w:val="4472c4"/>
        </w:rPr>
      </w:pPr>
      <w:bookmarkStart w:colFirst="0" w:colLast="0" w:name="_heading=h.1xeusbqkxvwg" w:id="3"/>
      <w:bookmarkEnd w:id="3"/>
      <w:r w:rsidDel="00000000" w:rsidR="00000000" w:rsidRPr="00000000">
        <w:rPr>
          <w:color w:val="4471c4"/>
          <w:rtl w:val="0"/>
        </w:rPr>
        <w:t xml:space="preserve">2.2 Explanation of Most Significant Skills Needed for Mental Health Support Worker in Health and Social Care</w:t>
      </w:r>
      <w:r w:rsidDel="00000000" w:rsidR="00000000" w:rsidRPr="00000000">
        <w:rPr>
          <w:rtl w:val="0"/>
        </w:rPr>
      </w:r>
    </w:p>
    <w:p w:rsidR="00000000" w:rsidDel="00000000" w:rsidP="00000000" w:rsidRDefault="00000000" w:rsidRPr="00000000" w14:paraId="0000003B">
      <w:pPr>
        <w:spacing w:after="0" w:line="240" w:lineRule="auto"/>
        <w:jc w:val="both"/>
        <w:rPr>
          <w:sz w:val="22"/>
          <w:szCs w:val="22"/>
        </w:rPr>
      </w:pPr>
      <w:r w:rsidDel="00000000" w:rsidR="00000000" w:rsidRPr="00000000">
        <w:rPr>
          <w:sz w:val="22"/>
          <w:szCs w:val="22"/>
          <w:rtl w:val="0"/>
        </w:rPr>
        <w:t xml:space="preserve">To function effectively in such a volatile environment, technical knowledge is useful, but interpersonal skills are non-negotiable. Three specific skills stand out as essential: active listening, emotional resilience, and teamwork.</w:t>
      </w:r>
    </w:p>
    <w:p w:rsidR="00000000" w:rsidDel="00000000" w:rsidP="00000000" w:rsidRDefault="00000000" w:rsidRPr="00000000" w14:paraId="0000003C">
      <w:pPr>
        <w:spacing w:after="0" w:line="240" w:lineRule="auto"/>
        <w:jc w:val="both"/>
        <w:rPr>
          <w:sz w:val="22"/>
          <w:szCs w:val="22"/>
        </w:rPr>
      </w:pPr>
      <w:r w:rsidDel="00000000" w:rsidR="00000000" w:rsidRPr="00000000">
        <w:rPr>
          <w:sz w:val="22"/>
          <w:szCs w:val="22"/>
          <w:rtl w:val="0"/>
        </w:rPr>
        <w:t xml:space="preserve">Active Listening</w:t>
      </w:r>
    </w:p>
    <w:p w:rsidR="00000000" w:rsidDel="00000000" w:rsidP="00000000" w:rsidRDefault="00000000" w:rsidRPr="00000000" w14:paraId="0000003D">
      <w:pPr>
        <w:spacing w:after="0" w:line="240" w:lineRule="auto"/>
        <w:jc w:val="both"/>
        <w:rPr>
          <w:sz w:val="22"/>
          <w:szCs w:val="22"/>
        </w:rPr>
      </w:pPr>
      <w:r w:rsidDel="00000000" w:rsidR="00000000" w:rsidRPr="00000000">
        <w:rPr>
          <w:sz w:val="22"/>
          <w:szCs w:val="22"/>
          <w:rtl w:val="0"/>
        </w:rPr>
        <w:t xml:space="preserve">Active listening is distinct from hearing; it’s a psychological discipline. Rogers (cited in Thompson, 2021) described it as listening without judgment to grasp the speaker's internal frame of reference. This is crucial because patients often struggle to articulate distress clearly. If a worker only listens for "facts," they miss the emotional reality driving the behaviour. </w:t>
      </w:r>
    </w:p>
    <w:p w:rsidR="00000000" w:rsidDel="00000000" w:rsidP="00000000" w:rsidRDefault="00000000" w:rsidRPr="00000000" w14:paraId="0000003E">
      <w:pPr>
        <w:spacing w:after="0" w:line="240" w:lineRule="auto"/>
        <w:jc w:val="both"/>
        <w:rPr>
          <w:sz w:val="22"/>
          <w:szCs w:val="22"/>
        </w:rPr>
      </w:pPr>
      <w:r w:rsidDel="00000000" w:rsidR="00000000" w:rsidRPr="00000000">
        <w:rPr>
          <w:rtl w:val="0"/>
        </w:rPr>
      </w:r>
    </w:p>
    <w:p w:rsidR="00000000" w:rsidDel="00000000" w:rsidP="00000000" w:rsidRDefault="00000000" w:rsidRPr="00000000" w14:paraId="0000003F">
      <w:pPr>
        <w:spacing w:after="0" w:line="240" w:lineRule="auto"/>
        <w:jc w:val="both"/>
        <w:rPr>
          <w:sz w:val="22"/>
          <w:szCs w:val="22"/>
        </w:rPr>
      </w:pPr>
      <w:r w:rsidDel="00000000" w:rsidR="00000000" w:rsidRPr="00000000">
        <w:rPr>
          <w:sz w:val="22"/>
          <w:szCs w:val="22"/>
          <w:rtl w:val="0"/>
        </w:rPr>
        <w:t xml:space="preserve">Consider a service user refusing medication because it’s "poison." A passive listener just records "refused medication." An active listener, however, hears the fear behind the statement, perhaps discovering that side effects are causing physical pain. This builds the "therapeutic alliance," often the strongest predictor of positive outcomes (Mind, 2022). Without this depth, care becomes transactional rather than transformational.</w:t>
      </w:r>
    </w:p>
    <w:p w:rsidR="00000000" w:rsidDel="00000000" w:rsidP="00000000" w:rsidRDefault="00000000" w:rsidRPr="00000000" w14:paraId="00000040">
      <w:pPr>
        <w:spacing w:after="0" w:line="240" w:lineRule="auto"/>
        <w:jc w:val="both"/>
        <w:rPr>
          <w:sz w:val="22"/>
          <w:szCs w:val="22"/>
        </w:rPr>
      </w:pPr>
      <w:r w:rsidDel="00000000" w:rsidR="00000000" w:rsidRPr="00000000">
        <w:rPr>
          <w:rtl w:val="0"/>
        </w:rPr>
      </w:r>
    </w:p>
    <w:p w:rsidR="00000000" w:rsidDel="00000000" w:rsidP="00000000" w:rsidRDefault="00000000" w:rsidRPr="00000000" w14:paraId="00000041">
      <w:pPr>
        <w:spacing w:after="0" w:line="240" w:lineRule="auto"/>
        <w:jc w:val="both"/>
        <w:rPr>
          <w:sz w:val="22"/>
          <w:szCs w:val="22"/>
        </w:rPr>
      </w:pPr>
      <w:r w:rsidDel="00000000" w:rsidR="00000000" w:rsidRPr="00000000">
        <w:rPr>
          <w:sz w:val="22"/>
          <w:szCs w:val="22"/>
          <w:rtl w:val="0"/>
        </w:rPr>
        <w:t xml:space="preserve">Emotional Resilience</w:t>
      </w:r>
    </w:p>
    <w:p w:rsidR="00000000" w:rsidDel="00000000" w:rsidP="00000000" w:rsidRDefault="00000000" w:rsidRPr="00000000" w14:paraId="00000042">
      <w:pPr>
        <w:spacing w:after="0" w:line="240" w:lineRule="auto"/>
        <w:jc w:val="both"/>
        <w:rPr>
          <w:sz w:val="22"/>
          <w:szCs w:val="22"/>
        </w:rPr>
      </w:pPr>
      <w:r w:rsidDel="00000000" w:rsidR="00000000" w:rsidRPr="00000000">
        <w:rPr>
          <w:sz w:val="22"/>
          <w:szCs w:val="22"/>
          <w:rtl w:val="0"/>
        </w:rPr>
        <w:t xml:space="preserve">Mental health environments are emotionally charged. Workers face trauma, aggression, and profound suffering. Resilience here doesn't mean being "tough"; it’s the capacity to remain professional despite emotional pressure (Grant and Kinman, 2014). It’s about absorbing others' distress without being consumed by it.</w:t>
      </w:r>
    </w:p>
    <w:p w:rsidR="00000000" w:rsidDel="00000000" w:rsidP="00000000" w:rsidRDefault="00000000" w:rsidRPr="00000000" w14:paraId="00000043">
      <w:pPr>
        <w:spacing w:after="0" w:line="240" w:lineRule="auto"/>
        <w:jc w:val="both"/>
        <w:rPr>
          <w:sz w:val="22"/>
          <w:szCs w:val="22"/>
        </w:rPr>
      </w:pPr>
      <w:r w:rsidDel="00000000" w:rsidR="00000000" w:rsidRPr="00000000">
        <w:rPr>
          <w:rtl w:val="0"/>
        </w:rPr>
      </w:r>
    </w:p>
    <w:p w:rsidR="00000000" w:rsidDel="00000000" w:rsidP="00000000" w:rsidRDefault="00000000" w:rsidRPr="00000000" w14:paraId="00000044">
      <w:pPr>
        <w:spacing w:after="0" w:line="240" w:lineRule="auto"/>
        <w:jc w:val="both"/>
        <w:rPr>
          <w:sz w:val="22"/>
          <w:szCs w:val="22"/>
        </w:rPr>
      </w:pPr>
      <w:r w:rsidDel="00000000" w:rsidR="00000000" w:rsidRPr="00000000">
        <w:rPr>
          <w:sz w:val="22"/>
          <w:szCs w:val="22"/>
          <w:rtl w:val="0"/>
        </w:rPr>
        <w:t xml:space="preserve">Patients often project frustration onto staff. A worker might spend weeks building rapport, only to face abuse during a crisis. Without resilience, they might take this personally, leading to defensive reactions that damage the therapeutic relationship. Worse, a lack of resilience drives burnout (Wu and Lu, 2025). If staff cannot regulate their own responses, they can't help a distressed patient regulate theirs (Georgakopoulou et al., 2024)</w:t>
      </w:r>
    </w:p>
    <w:p w:rsidR="00000000" w:rsidDel="00000000" w:rsidP="00000000" w:rsidRDefault="00000000" w:rsidRPr="00000000" w14:paraId="00000045">
      <w:pPr>
        <w:spacing w:after="0" w:line="240" w:lineRule="auto"/>
        <w:jc w:val="both"/>
        <w:rPr>
          <w:sz w:val="22"/>
          <w:szCs w:val="22"/>
        </w:rPr>
      </w:pPr>
      <w:r w:rsidDel="00000000" w:rsidR="00000000" w:rsidRPr="00000000">
        <w:rPr>
          <w:rtl w:val="0"/>
        </w:rPr>
      </w:r>
    </w:p>
    <w:p w:rsidR="00000000" w:rsidDel="00000000" w:rsidP="00000000" w:rsidRDefault="00000000" w:rsidRPr="00000000" w14:paraId="00000046">
      <w:pPr>
        <w:spacing w:after="0" w:line="240" w:lineRule="auto"/>
        <w:jc w:val="both"/>
        <w:rPr>
          <w:sz w:val="22"/>
          <w:szCs w:val="22"/>
        </w:rPr>
      </w:pPr>
      <w:r w:rsidDel="00000000" w:rsidR="00000000" w:rsidRPr="00000000">
        <w:rPr>
          <w:sz w:val="22"/>
          <w:szCs w:val="22"/>
          <w:rtl w:val="0"/>
        </w:rPr>
        <w:t xml:space="preserve">Teamwork and Collaboration</w:t>
      </w:r>
    </w:p>
    <w:p w:rsidR="00000000" w:rsidDel="00000000" w:rsidP="00000000" w:rsidRDefault="00000000" w:rsidRPr="00000000" w14:paraId="00000047">
      <w:pPr>
        <w:spacing w:after="0" w:line="240" w:lineRule="auto"/>
        <w:jc w:val="both"/>
        <w:rPr>
          <w:sz w:val="22"/>
          <w:szCs w:val="22"/>
        </w:rPr>
      </w:pPr>
      <w:r w:rsidDel="00000000" w:rsidR="00000000" w:rsidRPr="00000000">
        <w:rPr>
          <w:sz w:val="22"/>
          <w:szCs w:val="22"/>
          <w:rtl w:val="0"/>
        </w:rPr>
        <w:t xml:space="preserve">Mental health care is rarely a solo endeavour; it relies on the Multi-Disciplinary Team (MDT) (Hannigan et al., 2018). The MHSW works alongside nurses and psychiatrists, which is vital because the information ecosystem is fragmented, a psychiatrist might see a patient for twenty minutes, while the support worker is there for eight hours.</w:t>
      </w:r>
    </w:p>
    <w:p w:rsidR="00000000" w:rsidDel="00000000" w:rsidP="00000000" w:rsidRDefault="00000000" w:rsidRPr="00000000" w14:paraId="00000048">
      <w:pPr>
        <w:spacing w:after="0" w:line="240" w:lineRule="auto"/>
        <w:jc w:val="both"/>
        <w:rPr>
          <w:sz w:val="22"/>
          <w:szCs w:val="22"/>
        </w:rPr>
      </w:pPr>
      <w:r w:rsidDel="00000000" w:rsidR="00000000" w:rsidRPr="00000000">
        <w:rPr>
          <w:rtl w:val="0"/>
        </w:rPr>
      </w:r>
    </w:p>
    <w:p w:rsidR="00000000" w:rsidDel="00000000" w:rsidP="00000000" w:rsidRDefault="00000000" w:rsidRPr="00000000" w14:paraId="00000049">
      <w:pPr>
        <w:spacing w:after="0" w:line="240" w:lineRule="auto"/>
        <w:jc w:val="both"/>
        <w:rPr>
          <w:sz w:val="22"/>
          <w:szCs w:val="22"/>
        </w:rPr>
      </w:pPr>
      <w:r w:rsidDel="00000000" w:rsidR="00000000" w:rsidRPr="00000000">
        <w:rPr>
          <w:sz w:val="22"/>
          <w:szCs w:val="22"/>
          <w:rtl w:val="0"/>
        </w:rPr>
        <w:t xml:space="preserve">If a usually chatty patient becomes silent and gives away possessions, a red flag for suicide, the support worker must convey this to the team. If they lack the communication skills to do so, the risk assessment fails (Bowers et al., 2015). Effective teamwork ensures the "baton" of care passes safely between shifts, preventing "splitting," where patients might play staff against each other. A cohesive team creates a secure container for the patient (Rosen et al., 2018).</w:t>
      </w:r>
    </w:p>
    <w:p w:rsidR="00000000" w:rsidDel="00000000" w:rsidP="00000000" w:rsidRDefault="00000000" w:rsidRPr="00000000" w14:paraId="0000004A">
      <w:pPr>
        <w:spacing w:after="0" w:line="240" w:lineRule="auto"/>
        <w:jc w:val="both"/>
        <w:rPr>
          <w:sz w:val="21"/>
          <w:szCs w:val="21"/>
        </w:rPr>
      </w:pPr>
      <w:r w:rsidDel="00000000" w:rsidR="00000000" w:rsidRPr="00000000">
        <w:rPr>
          <w:rtl w:val="0"/>
        </w:rPr>
      </w:r>
    </w:p>
    <w:p w:rsidR="00000000" w:rsidDel="00000000" w:rsidP="00000000" w:rsidRDefault="00000000" w:rsidRPr="00000000" w14:paraId="0000004B">
      <w:pPr>
        <w:pStyle w:val="Heading2"/>
        <w:rPr>
          <w:color w:val="4472c4"/>
        </w:rPr>
      </w:pPr>
      <w:bookmarkStart w:colFirst="0" w:colLast="0" w:name="_heading=h.r9g0j5r4qlyx" w:id="4"/>
      <w:bookmarkEnd w:id="4"/>
      <w:r w:rsidDel="00000000" w:rsidR="00000000" w:rsidRPr="00000000">
        <w:rPr>
          <w:color w:val="4471c4"/>
          <w:rtl w:val="0"/>
        </w:rPr>
        <w:t xml:space="preserve">3 Strategies for Skill Improvement for Mental Health Support Worker</w:t>
      </w:r>
      <w:r w:rsidDel="00000000" w:rsidR="00000000" w:rsidRPr="00000000">
        <w:rPr>
          <w:rtl w:val="0"/>
        </w:rPr>
      </w:r>
    </w:p>
    <w:p w:rsidR="00000000" w:rsidDel="00000000" w:rsidP="00000000" w:rsidRDefault="00000000" w:rsidRPr="00000000" w14:paraId="0000004C">
      <w:pPr>
        <w:pStyle w:val="Heading2"/>
        <w:rPr>
          <w:color w:val="4472c4"/>
        </w:rPr>
      </w:pPr>
      <w:bookmarkStart w:colFirst="0" w:colLast="0" w:name="_heading=h.hgyy8oncy1g9" w:id="5"/>
      <w:bookmarkEnd w:id="5"/>
      <w:r w:rsidDel="00000000" w:rsidR="00000000" w:rsidRPr="00000000">
        <w:rPr>
          <w:color w:val="4471c4"/>
          <w:rtl w:val="0"/>
        </w:rPr>
        <w:t xml:space="preserve">3.1 Three Strategies to Improve the Skills for Mental Health Support Worker</w:t>
      </w:r>
      <w:r w:rsidDel="00000000" w:rsidR="00000000" w:rsidRPr="00000000">
        <w:rPr>
          <w:rtl w:val="0"/>
        </w:rPr>
      </w:r>
    </w:p>
    <w:p w:rsidR="00000000" w:rsidDel="00000000" w:rsidP="00000000" w:rsidRDefault="00000000" w:rsidRPr="00000000" w14:paraId="0000004D">
      <w:pPr>
        <w:spacing w:after="0" w:lineRule="auto"/>
        <w:rPr>
          <w:sz w:val="22"/>
          <w:szCs w:val="22"/>
        </w:rPr>
      </w:pPr>
      <w:r w:rsidDel="00000000" w:rsidR="00000000" w:rsidRPr="00000000">
        <w:rPr>
          <w:sz w:val="22"/>
          <w:szCs w:val="22"/>
          <w:rtl w:val="0"/>
        </w:rPr>
        <w:t xml:space="preserve">Identifying these skills is straightforward, developing them requires deliberate strategy. Competence in social care is not static, it must be cultivated.</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Quattrocento Sans" w:cs="Quattrocento Sans" w:eastAsia="Quattrocento Sans" w:hAnsi="Quattrocento Sans"/>
          <w:b w:val="1"/>
          <w:bCs w:val="1"/>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bCs w:val="1"/>
          <w:i w:val="0"/>
          <w:iCs w:val="0"/>
          <w:smallCaps w:val="0"/>
          <w:strike w:val="0"/>
          <w:color w:val="000000"/>
          <w:sz w:val="22"/>
          <w:szCs w:val="22"/>
          <w:u w:val="none"/>
          <w:shd w:fill="auto" w:val="clear"/>
          <w:vertAlign w:val="baseline"/>
          <w:rtl w:val="0"/>
        </w:rPr>
        <w:t xml:space="preserve">Developing Active Listening</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Active listening is hard to learn from a textbook since it relies on real-time nuance. A robust strategy is Simulation-Based Learning (SBL). While students often find role-play awkward, it provides a "safe to fail" environment (Health Education England, 2023).</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Learners interacts with an actor playing a distressed user. The scenario pauses at intervals for immediate feedback on tone or silence (Stenseth, 2025). Did they interrupt too soon? Did they validate the emotion? Unlike clinical practice, where mistakes harm rapport, simulation allows for refinement. By practising techniques like paraphrasing, the worker builds muscle memory, making these skills instinctive during real crises (Luebbert et al., 2023)</w:t>
      </w:r>
    </w:p>
    <w:p w:rsidR="00000000" w:rsidDel="00000000" w:rsidP="00000000" w:rsidRDefault="00000000" w:rsidRPr="00000000" w14:paraId="00000051">
      <w:pPr>
        <w:spacing w:after="0" w:lineRule="auto"/>
        <w:rPr>
          <w:sz w:val="22"/>
          <w:szCs w:val="22"/>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Quattrocento Sans" w:cs="Quattrocento Sans" w:eastAsia="Quattrocento Sans" w:hAnsi="Quattrocento Sans"/>
          <w:b w:val="1"/>
          <w:bCs w:val="1"/>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bCs w:val="1"/>
          <w:i w:val="0"/>
          <w:iCs w:val="0"/>
          <w:smallCaps w:val="0"/>
          <w:strike w:val="0"/>
          <w:color w:val="000000"/>
          <w:sz w:val="22"/>
          <w:szCs w:val="22"/>
          <w:u w:val="none"/>
          <w:shd w:fill="auto" w:val="clear"/>
          <w:vertAlign w:val="baseline"/>
          <w:rtl w:val="0"/>
        </w:rPr>
        <w:t xml:space="preserve">Developing Emotional Resilience</w:t>
      </w:r>
    </w:p>
    <w:p w:rsidR="00000000" w:rsidDel="00000000" w:rsidP="00000000" w:rsidRDefault="00000000" w:rsidRPr="00000000" w14:paraId="00000053">
      <w:pPr>
        <w:spacing w:after="0" w:lineRule="auto"/>
        <w:ind w:left="720" w:firstLine="0"/>
        <w:rPr>
          <w:sz w:val="22"/>
          <w:szCs w:val="22"/>
        </w:rPr>
      </w:pPr>
      <w:r w:rsidDel="00000000" w:rsidR="00000000" w:rsidRPr="00000000">
        <w:rPr>
          <w:sz w:val="22"/>
          <w:szCs w:val="22"/>
          <w:rtl w:val="0"/>
        </w:rPr>
        <w:t xml:space="preserve">Resilience isn't just a personality trait; it requires structural support. The most effective strategy is Clinical Supervision, distinct from managerial supervision regarding rotas. This is protected time to reflect on the emotional impact of the work (Care Quality Commission, 2024).</w:t>
      </w:r>
    </w:p>
    <w:p w:rsidR="00000000" w:rsidDel="00000000" w:rsidP="00000000" w:rsidRDefault="00000000" w:rsidRPr="00000000" w14:paraId="00000054">
      <w:pPr>
        <w:spacing w:after="0" w:lineRule="auto"/>
        <w:ind w:left="720" w:firstLine="0"/>
        <w:rPr>
          <w:sz w:val="22"/>
          <w:szCs w:val="22"/>
        </w:rPr>
      </w:pPr>
      <w:r w:rsidDel="00000000" w:rsidR="00000000" w:rsidRPr="00000000">
        <w:rPr>
          <w:sz w:val="22"/>
          <w:szCs w:val="22"/>
          <w:rtl w:val="0"/>
        </w:rPr>
        <w:t xml:space="preserve">The mechanism here is "containment" (Ruch, 2007). Dealing with violent outbursts creates an emotional load. If not "unpacked," this accumulates into stress (Edwards et al., 2000). Supervision provides space to process these feelings, validating the worker's reactions and separating them from the patient's projections. Regularising this practice builds a psychological toolkit, preventing the hardening of attitudes that signals burnout (Cutcliffe and Hyrkäs, 2006).</w:t>
      </w:r>
    </w:p>
    <w:p w:rsidR="00000000" w:rsidDel="00000000" w:rsidP="00000000" w:rsidRDefault="00000000" w:rsidRPr="00000000" w14:paraId="00000055">
      <w:pPr>
        <w:spacing w:after="0" w:lineRule="auto"/>
        <w:rPr>
          <w:sz w:val="22"/>
          <w:szCs w:val="22"/>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Quattrocento Sans" w:cs="Quattrocento Sans" w:eastAsia="Quattrocento Sans" w:hAnsi="Quattrocento Sans"/>
          <w:b w:val="1"/>
          <w:bCs w:val="1"/>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bCs w:val="1"/>
          <w:i w:val="0"/>
          <w:iCs w:val="0"/>
          <w:smallCaps w:val="0"/>
          <w:strike w:val="0"/>
          <w:color w:val="000000"/>
          <w:sz w:val="22"/>
          <w:szCs w:val="22"/>
          <w:u w:val="none"/>
          <w:shd w:fill="auto" w:val="clear"/>
          <w:vertAlign w:val="baseline"/>
          <w:rtl w:val="0"/>
        </w:rPr>
        <w:t xml:space="preserve">Developing Teamwork: Interprofessional Education (IPE)</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To improve collaboration, it is insufficient to simply place people in the same room. A targeted strategy is Interprofessional Education (IPE). This involves training sessions where support workers learn alongside nurses, social workers, and therapists, rather than in professional silos (Marcussen et al., 2019).</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Quattrocento Sans" w:cs="Quattrocento Sans" w:eastAsia="Quattrocento Sans" w:hAnsi="Quattrocento Sans"/>
          <w:b w:val="1"/>
          <w:bCs w:val="1"/>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The strategy functions through breaking down hierarchies. A support worker might feel intimidated to speak up to a consultant psychiatrist in a hospital hierarchy system. During IPE sessions, the focused is often on case studies or safeguarding reviews, force different disciplines to solve problems together on equal footing (Gleeson et al., 2023). This fosters "role understanding", learning exactly what the other person does and what pressures they are under. If a support worker understands why a nurse needs specific data for a medication round, they are more likely to provide it proactively. This shared learning builds mutual respect and a common language, which translates directly to the ward floor (Otte et al., 2020). When staff train together, they are more likely to trust one another during an emergency.</w:t>
      </w:r>
      <w:r w:rsidDel="00000000" w:rsidR="00000000" w:rsidRPr="00000000">
        <w:rPr>
          <w:rtl w:val="0"/>
        </w:rPr>
      </w:r>
    </w:p>
    <w:p w:rsidR="00000000" w:rsidDel="00000000" w:rsidP="00000000" w:rsidRDefault="00000000" w:rsidRPr="00000000" w14:paraId="00000059">
      <w:pPr>
        <w:spacing w:after="0" w:lineRule="auto"/>
        <w:rPr>
          <w:sz w:val="22"/>
          <w:szCs w:val="22"/>
        </w:rPr>
      </w:pPr>
      <w:r w:rsidDel="00000000" w:rsidR="00000000" w:rsidRPr="00000000">
        <w:rPr>
          <w:rtl w:val="0"/>
        </w:rPr>
      </w:r>
    </w:p>
    <w:p w:rsidR="00000000" w:rsidDel="00000000" w:rsidP="00000000" w:rsidRDefault="00000000" w:rsidRPr="00000000" w14:paraId="0000005A">
      <w:pPr>
        <w:pStyle w:val="Heading2"/>
        <w:rPr>
          <w:color w:val="4472c4"/>
        </w:rPr>
      </w:pPr>
      <w:bookmarkStart w:colFirst="0" w:colLast="0" w:name="_heading=h.v413aqswg3pm" w:id="6"/>
      <w:bookmarkEnd w:id="6"/>
      <w:r w:rsidDel="00000000" w:rsidR="00000000" w:rsidRPr="00000000">
        <w:rPr>
          <w:color w:val="4471c4"/>
          <w:rtl w:val="0"/>
        </w:rPr>
        <w:t xml:space="preserve">4 Conclusion</w:t>
      </w:r>
      <w:r w:rsidDel="00000000" w:rsidR="00000000" w:rsidRPr="00000000">
        <w:rPr>
          <w:rtl w:val="0"/>
        </w:rPr>
      </w:r>
    </w:p>
    <w:p w:rsidR="00000000" w:rsidDel="00000000" w:rsidP="00000000" w:rsidRDefault="00000000" w:rsidRPr="00000000" w14:paraId="0000005B">
      <w:pPr>
        <w:rPr>
          <w:sz w:val="21"/>
          <w:szCs w:val="21"/>
        </w:rPr>
      </w:pPr>
      <w:r w:rsidDel="00000000" w:rsidR="00000000" w:rsidRPr="00000000">
        <w:rPr>
          <w:sz w:val="21"/>
          <w:szCs w:val="21"/>
          <w:rtl w:val="0"/>
        </w:rPr>
        <w:t xml:space="preserve">Mental Health Support Worker role is complex and it demands a mix of practical utility and emotional intelligence. It is not merely a stepping stone to other careers but a distinct profession that carries the weight of daily patient interaction. As discussed, ones ability to listen actively, remain resilient under pressure, and collaborate within a team are not optional "soft skills" but clinically necessary. Safety is compromised and recovery is stalled without them. However, these skills do not appear by magic. They require structural investment, through simulation training, clinical supervision, and interprofessional learning. By treating the development of these skills with the same seriousness as clinical procedures, the health and social care sector can ensure that support workers are not just present, but truly effective in their vital work.</w:t>
      </w:r>
      <w:r w:rsidDel="00000000" w:rsidR="00000000" w:rsidRPr="00000000">
        <w:br w:type="page"/>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D">
      <w:pPr>
        <w:pStyle w:val="Heading2"/>
        <w:rPr>
          <w:color w:val="4472c4"/>
        </w:rPr>
      </w:pPr>
      <w:bookmarkStart w:colFirst="0" w:colLast="0" w:name="_heading=h.spfkpd3ianq1" w:id="7"/>
      <w:bookmarkEnd w:id="7"/>
      <w:r w:rsidDel="00000000" w:rsidR="00000000" w:rsidRPr="00000000">
        <w:rPr>
          <w:color w:val="4471c4"/>
          <w:rtl w:val="0"/>
        </w:rPr>
        <w:t xml:space="preserve">5 Reference List</w:t>
      </w:r>
      <w:r w:rsidDel="00000000" w:rsidR="00000000" w:rsidRPr="00000000">
        <w:rPr>
          <w:rtl w:val="0"/>
        </w:rPr>
      </w:r>
    </w:p>
    <w:p w:rsidR="00000000" w:rsidDel="00000000" w:rsidP="00000000" w:rsidRDefault="00000000" w:rsidRPr="00000000" w14:paraId="0000005E">
      <w:pPr>
        <w:rPr>
          <w:sz w:val="22"/>
          <w:szCs w:val="22"/>
        </w:rPr>
      </w:pPr>
      <w:r w:rsidDel="00000000" w:rsidR="00000000" w:rsidRPr="00000000">
        <w:rPr>
          <w:sz w:val="22"/>
          <w:szCs w:val="22"/>
          <w:rtl w:val="0"/>
        </w:rPr>
        <w:t xml:space="preserve">Bowers, L., James, K., Quirk, A., Simpson, A., Stewart, D. and Hodsoll, J. (2015) Reducing conflict and containment rates on acute psychiatric wards: the Safewards cluster randomised controlled trial. International Journal of Nursing Studies, 52(9), pp.1412–1422. Available at: https://www.sciencedirect.com/science/article/pii/S0020748915001980 (Accessed: 12 November 2025).</w:t>
      </w:r>
    </w:p>
    <w:p w:rsidR="00000000" w:rsidDel="00000000" w:rsidP="00000000" w:rsidRDefault="00000000" w:rsidRPr="00000000" w14:paraId="0000005F">
      <w:pPr>
        <w:rPr>
          <w:sz w:val="22"/>
          <w:szCs w:val="22"/>
        </w:rPr>
      </w:pPr>
      <w:r w:rsidDel="00000000" w:rsidR="00000000" w:rsidRPr="00000000">
        <w:rPr>
          <w:sz w:val="22"/>
          <w:szCs w:val="22"/>
          <w:rtl w:val="0"/>
        </w:rPr>
        <w:t xml:space="preserve">Care Quality Commission (2024) Supporting the workforce: The importance of supervision in mental health services. London: CQC. Available at: https://www.cqc.org.uk/ (Accessed: 3 December 2025).</w:t>
      </w:r>
    </w:p>
    <w:p w:rsidR="00000000" w:rsidDel="00000000" w:rsidP="00000000" w:rsidRDefault="00000000" w:rsidRPr="00000000" w14:paraId="00000060">
      <w:pPr>
        <w:rPr>
          <w:sz w:val="22"/>
          <w:szCs w:val="22"/>
        </w:rPr>
      </w:pPr>
      <w:r w:rsidDel="00000000" w:rsidR="00000000" w:rsidRPr="00000000">
        <w:rPr>
          <w:sz w:val="22"/>
          <w:szCs w:val="22"/>
          <w:rtl w:val="0"/>
        </w:rPr>
        <w:t xml:space="preserve">Cutcliffe, J.R. and Hyrkäs, K. (2006) Multidisciplinary clinical supervision within mental health care: a review. Journal of Nursing Management, 14(8), pp.605–613. Available at: https://pubmed.ncbi.nlm.nih.gov/16918833/ (Accessed: 25 November 2025).</w:t>
      </w:r>
    </w:p>
    <w:p w:rsidR="00000000" w:rsidDel="00000000" w:rsidP="00000000" w:rsidRDefault="00000000" w:rsidRPr="00000000" w14:paraId="00000061">
      <w:pPr>
        <w:rPr>
          <w:sz w:val="22"/>
          <w:szCs w:val="22"/>
        </w:rPr>
      </w:pPr>
      <w:r w:rsidDel="00000000" w:rsidR="00000000" w:rsidRPr="00000000">
        <w:rPr>
          <w:sz w:val="22"/>
          <w:szCs w:val="22"/>
          <w:rtl w:val="0"/>
        </w:rPr>
        <w:t xml:space="preserve">Edwards, D., Burnard, P., Coyle, D., Fothergill, A. and Hannigan, B. (2000) Stress and burnout in community mental health nursing: a review of the literature. Journal of Psychiatric and Mental Health Nursing, 7(1), pp.7–14. Available at: https://onlinelibrary.wiley.com/doi/10.1046/j.1365-2850.2000.00258.x (Accessed: 5 November 2025).</w:t>
      </w:r>
    </w:p>
    <w:p w:rsidR="00000000" w:rsidDel="00000000" w:rsidP="00000000" w:rsidRDefault="00000000" w:rsidRPr="00000000" w14:paraId="00000062">
      <w:pPr>
        <w:rPr>
          <w:sz w:val="22"/>
          <w:szCs w:val="22"/>
        </w:rPr>
      </w:pPr>
      <w:r w:rsidDel="00000000" w:rsidR="00000000" w:rsidRPr="00000000">
        <w:rPr>
          <w:sz w:val="22"/>
          <w:szCs w:val="22"/>
          <w:rtl w:val="0"/>
        </w:rPr>
        <w:t xml:space="preserve">Georgakopoulou, V., Karadas, G., Olugbade, O.A. and Saidy, J. (2024) The effect of patient aggression on healthcare workers' mental health and anxiety mediated by psychological well-being during the COVID-19 outbreak. Current Psychology, 14(1). Available at: https://doi.org/10.1177/21582440231225553 (Accessed: 18 November 2025).</w:t>
      </w:r>
    </w:p>
    <w:p w:rsidR="00000000" w:rsidDel="00000000" w:rsidP="00000000" w:rsidRDefault="00000000" w:rsidRPr="00000000" w14:paraId="00000063">
      <w:pPr>
        <w:rPr>
          <w:sz w:val="22"/>
          <w:szCs w:val="22"/>
        </w:rPr>
      </w:pPr>
      <w:r w:rsidDel="00000000" w:rsidR="00000000" w:rsidRPr="00000000">
        <w:rPr>
          <w:sz w:val="22"/>
          <w:szCs w:val="22"/>
          <w:rtl w:val="0"/>
        </w:rPr>
        <w:t xml:space="preserve">Gleeson, L., O’Brien, B., O’Mahony, M. and Byrne, D. (2023) Interprofessional communication in the hospital setting: a systematic review. Journal of Interprofessional Care, 37(2), pp.256–267. Available at: https://pubmed.ncbi.nlm.nih.gov/35109753/ (Accessed: 1 December 2025).</w:t>
      </w:r>
    </w:p>
    <w:p w:rsidR="00000000" w:rsidDel="00000000" w:rsidP="00000000" w:rsidRDefault="00000000" w:rsidRPr="00000000" w14:paraId="00000064">
      <w:pPr>
        <w:rPr>
          <w:sz w:val="22"/>
          <w:szCs w:val="22"/>
        </w:rPr>
      </w:pPr>
      <w:r w:rsidDel="00000000" w:rsidR="00000000" w:rsidRPr="00000000">
        <w:rPr>
          <w:sz w:val="22"/>
          <w:szCs w:val="22"/>
          <w:rtl w:val="0"/>
        </w:rPr>
        <w:t xml:space="preserve">Grant, L. and Kinman, G. (2014) Developing Resilience for Social Work Practice. London: Palgrave Macmillan. Available at: https://www.bloomsbury.com/uk/developing-resilience-for-social-work-practice-9781137302496/ (Accessed: 28 November 2025).</w:t>
      </w:r>
    </w:p>
    <w:p w:rsidR="00000000" w:rsidDel="00000000" w:rsidP="00000000" w:rsidRDefault="00000000" w:rsidRPr="00000000" w14:paraId="00000065">
      <w:pPr>
        <w:rPr>
          <w:sz w:val="22"/>
          <w:szCs w:val="22"/>
        </w:rPr>
      </w:pPr>
      <w:r w:rsidDel="00000000" w:rsidR="00000000" w:rsidRPr="00000000">
        <w:rPr>
          <w:sz w:val="22"/>
          <w:szCs w:val="22"/>
          <w:rtl w:val="0"/>
        </w:rPr>
        <w:t xml:space="preserve">Hallett, N., Huber, J.W., Leese, M. and Dickens, G.L. (2024) De-escalating aggression in acute inpatient mental health settings: a behaviour change theory-informed, secondary qualitative analysis of staff and patient perspectives. BMC Psychiatry, 24(1). Available at: https://www.ncbi.nlm.nih.gov/pmc/articles/PMC11301843/ (Accessed: 10 November 2025).</w:t>
      </w:r>
    </w:p>
    <w:p w:rsidR="00000000" w:rsidDel="00000000" w:rsidP="00000000" w:rsidRDefault="00000000" w:rsidRPr="00000000" w14:paraId="00000066">
      <w:pPr>
        <w:rPr>
          <w:sz w:val="22"/>
          <w:szCs w:val="22"/>
        </w:rPr>
      </w:pPr>
      <w:r w:rsidDel="00000000" w:rsidR="00000000" w:rsidRPr="00000000">
        <w:rPr>
          <w:sz w:val="22"/>
          <w:szCs w:val="22"/>
          <w:rtl w:val="0"/>
        </w:rPr>
        <w:t xml:space="preserve">Hannigan, B., Simpson, A., Coffey, M., Barlow, S. and Jones, A. (2018) Care coordination in community mental health: a study of the working of community mental health teams. Health Services and Delivery Research, 6(11). Available at: https://pubmed.ncbi.nlm.nih.gov/30220895/ (Accessed: 14 November 2025).</w:t>
      </w:r>
    </w:p>
    <w:p w:rsidR="00000000" w:rsidDel="00000000" w:rsidP="00000000" w:rsidRDefault="00000000" w:rsidRPr="00000000" w14:paraId="00000067">
      <w:pPr>
        <w:rPr>
          <w:sz w:val="22"/>
          <w:szCs w:val="22"/>
        </w:rPr>
      </w:pPr>
      <w:r w:rsidDel="00000000" w:rsidR="00000000" w:rsidRPr="00000000">
        <w:rPr>
          <w:sz w:val="22"/>
          <w:szCs w:val="22"/>
          <w:rtl w:val="0"/>
        </w:rPr>
        <w:t xml:space="preserve">Kanter, J.B., Lannin, D., McCaig, J. and Yazedjian, A. (2025) Enhancing listening skills among future public health professionals: a pre-post educational intervention study. Frontiers in Public Health, 13. Available at: https://www.frontiersin.org/articles/10.3389/fpubh.2025.1637788/full (Accessed: 22 November 2025).</w:t>
      </w:r>
    </w:p>
    <w:p w:rsidR="00000000" w:rsidDel="00000000" w:rsidP="00000000" w:rsidRDefault="00000000" w:rsidRPr="00000000" w14:paraId="00000068">
      <w:pPr>
        <w:rPr>
          <w:sz w:val="22"/>
          <w:szCs w:val="22"/>
        </w:rPr>
      </w:pPr>
      <w:r w:rsidDel="00000000" w:rsidR="00000000" w:rsidRPr="00000000">
        <w:rPr>
          <w:sz w:val="22"/>
          <w:szCs w:val="22"/>
          <w:rtl w:val="0"/>
        </w:rPr>
        <w:t xml:space="preserve">Luebbert, R., Popkess, A. and Oliva, N. (2023) Standardized patient simulations for mental health nursing: a systematic review. Nurse Education in Practice, 68, p.105953. Available at: https://pubmed.ncbi.nlm.nih.gov/37382349/ (Accessed: 30 November 2025).</w:t>
      </w:r>
    </w:p>
    <w:p w:rsidR="00000000" w:rsidDel="00000000" w:rsidP="00000000" w:rsidRDefault="00000000" w:rsidRPr="00000000" w14:paraId="00000069">
      <w:pPr>
        <w:rPr>
          <w:sz w:val="22"/>
          <w:szCs w:val="22"/>
        </w:rPr>
      </w:pPr>
      <w:r w:rsidDel="00000000" w:rsidR="00000000" w:rsidRPr="00000000">
        <w:rPr>
          <w:sz w:val="22"/>
          <w:szCs w:val="22"/>
          <w:rtl w:val="0"/>
        </w:rPr>
        <w:t xml:space="preserve">Marcussen, M., Nørgaard, B. and Arnfred, S. (2019) Interprofessional clinical training in mental health improves students' readiness for interprofessional collaboration: a non-randomized intervention study. BMC Medical Education, 19(1). Available at: https://bmcmededuc.biomedcentral.com/articles/10.1186/s12909-019-1465-6 (Accessed: 4 December 2025).</w:t>
      </w:r>
    </w:p>
    <w:p w:rsidR="00000000" w:rsidDel="00000000" w:rsidP="00000000" w:rsidRDefault="00000000" w:rsidRPr="00000000" w14:paraId="0000006A">
      <w:pPr>
        <w:rPr>
          <w:sz w:val="22"/>
          <w:szCs w:val="22"/>
        </w:rPr>
      </w:pPr>
      <w:r w:rsidDel="00000000" w:rsidR="00000000" w:rsidRPr="00000000">
        <w:rPr>
          <w:sz w:val="22"/>
          <w:szCs w:val="22"/>
          <w:rtl w:val="0"/>
        </w:rPr>
        <w:t xml:space="preserve">NHS Health Careers (2025) Mental health support worker. Available at: https://www.england.nhs.uk/mental-health/working-in-mental-health/ (Accessed: 10 November 2025).</w:t>
      </w:r>
    </w:p>
    <w:p w:rsidR="00000000" w:rsidDel="00000000" w:rsidP="00000000" w:rsidRDefault="00000000" w:rsidRPr="00000000" w14:paraId="0000006B">
      <w:pPr>
        <w:rPr>
          <w:sz w:val="22"/>
          <w:szCs w:val="22"/>
        </w:rPr>
      </w:pPr>
      <w:r w:rsidDel="00000000" w:rsidR="00000000" w:rsidRPr="00000000">
        <w:rPr>
          <w:sz w:val="22"/>
          <w:szCs w:val="22"/>
          <w:rtl w:val="0"/>
        </w:rPr>
        <w:t xml:space="preserve">Njuguna, M., Ngune, I. and Middlewick, Y. (2025) Mental Health Support Workers Perspectives on Barriers to and Facilitators of the Effective Delivery of their Roles: A Systematic Review and Meta-aggregation. Community Mental Health Journal. Available at: https://link.springer.com/article/10.1007/s10597-025-01490-9 (Accessed: 20 November 2025).</w:t>
      </w:r>
    </w:p>
    <w:p w:rsidR="00000000" w:rsidDel="00000000" w:rsidP="00000000" w:rsidRDefault="00000000" w:rsidRPr="00000000" w14:paraId="0000006C">
      <w:pPr>
        <w:rPr>
          <w:sz w:val="22"/>
          <w:szCs w:val="22"/>
        </w:rPr>
      </w:pPr>
      <w:r w:rsidDel="00000000" w:rsidR="00000000" w:rsidRPr="00000000">
        <w:rPr>
          <w:sz w:val="22"/>
          <w:szCs w:val="22"/>
          <w:rtl w:val="0"/>
        </w:rPr>
        <w:t xml:space="preserve">Otte, I., Werneke, U. and Parkes, J. (2020) Peer support workers' role and expertise and interprofessional learning in mental health care: a scoping review. Journal of Interprofessional Care, 35(3), pp.1–13. Available at: https://pubmed.ncbi.nlm.nih.gov/35129027/ (Accessed: 2 November 2025).</w:t>
      </w:r>
    </w:p>
    <w:p w:rsidR="00000000" w:rsidDel="00000000" w:rsidP="00000000" w:rsidRDefault="00000000" w:rsidRPr="00000000" w14:paraId="0000006D">
      <w:pPr>
        <w:rPr>
          <w:sz w:val="22"/>
          <w:szCs w:val="22"/>
        </w:rPr>
      </w:pPr>
      <w:r w:rsidDel="00000000" w:rsidR="00000000" w:rsidRPr="00000000">
        <w:rPr>
          <w:sz w:val="22"/>
          <w:szCs w:val="22"/>
          <w:rtl w:val="0"/>
        </w:rPr>
        <w:t xml:space="preserve">Rosen, M.A., DiazGranados, D., Dietz, A.S., Benishek, L.E., Thompson, D., Pronovost, P.J. and Weaver, S.J. (2018) Teamwork in healthcare: Key discoveries enabling safer, high-quality care. American Psychologist, 73(4), p.433. Available at: https://pubmed.ncbi.nlm.nih.gov/29792459/ (Accessed: 26 November 2025).</w:t>
      </w:r>
    </w:p>
    <w:p w:rsidR="00000000" w:rsidDel="00000000" w:rsidP="00000000" w:rsidRDefault="00000000" w:rsidRPr="00000000" w14:paraId="0000006E">
      <w:pPr>
        <w:rPr>
          <w:sz w:val="22"/>
          <w:szCs w:val="22"/>
        </w:rPr>
      </w:pPr>
      <w:r w:rsidDel="00000000" w:rsidR="00000000" w:rsidRPr="00000000">
        <w:rPr>
          <w:sz w:val="22"/>
          <w:szCs w:val="22"/>
          <w:rtl w:val="0"/>
        </w:rPr>
        <w:t xml:space="preserve">Ruch, G. (2007) Reflective practice in contemporary child-care social work: the role of containment. British Journal of Social Work, 37(4), pp.659–680. Available at: https://eprints.soton.ac.uk/35153/ (Accessed: 16 November 2025).</w:t>
      </w:r>
    </w:p>
    <w:p w:rsidR="00000000" w:rsidDel="00000000" w:rsidP="00000000" w:rsidRDefault="00000000" w:rsidRPr="00000000" w14:paraId="0000006F">
      <w:pPr>
        <w:rPr>
          <w:sz w:val="22"/>
          <w:szCs w:val="22"/>
        </w:rPr>
      </w:pPr>
      <w:r w:rsidDel="00000000" w:rsidR="00000000" w:rsidRPr="00000000">
        <w:rPr>
          <w:sz w:val="22"/>
          <w:szCs w:val="22"/>
          <w:rtl w:val="0"/>
        </w:rPr>
        <w:t xml:space="preserve">Skills for Care (2023) Core principles for mental health support workers. Leeds: Skills for Care. Available at: https://www.skillsforcare.org.uk/resources/documents/Developing-your-workforce/Care-topics/Learning-disability-and-mental-health/Common-core-principles-to-support-good-mental-health.pdf  (Accessed: 12 November 2025).</w:t>
      </w:r>
    </w:p>
    <w:p w:rsidR="00000000" w:rsidDel="00000000" w:rsidP="00000000" w:rsidRDefault="00000000" w:rsidRPr="00000000" w14:paraId="00000070">
      <w:pPr>
        <w:rPr>
          <w:sz w:val="22"/>
          <w:szCs w:val="22"/>
        </w:rPr>
      </w:pPr>
      <w:r w:rsidDel="00000000" w:rsidR="00000000" w:rsidRPr="00000000">
        <w:rPr>
          <w:sz w:val="22"/>
          <w:szCs w:val="22"/>
          <w:rtl w:val="0"/>
        </w:rPr>
        <w:t xml:space="preserve">Stenseth, H.V. (2025) Simulation-based learning supported by technology to enhance critical thinking in nursing students: Scoping review. Journal of Medical Internet Research, 27, e58744. Available at: https://www.jmir.org/2025/1/e58744 (Accessed: 7 December 2025).</w:t>
      </w:r>
    </w:p>
    <w:p w:rsidR="00000000" w:rsidDel="00000000" w:rsidP="00000000" w:rsidRDefault="00000000" w:rsidRPr="00000000" w14:paraId="00000071">
      <w:pPr>
        <w:rPr>
          <w:sz w:val="22"/>
          <w:szCs w:val="22"/>
        </w:rPr>
      </w:pPr>
      <w:r w:rsidDel="00000000" w:rsidR="00000000" w:rsidRPr="00000000">
        <w:rPr>
          <w:sz w:val="22"/>
          <w:szCs w:val="22"/>
          <w:rtl w:val="0"/>
        </w:rPr>
        <w:t xml:space="preserve">Thompson, N. (2021) People Skills. 5th ed. London: Red Globe Press. Available at: https://www.bloomsbury.com/uk/people-skills-9781352012248/ (Accessed: 13 November 2025).</w:t>
      </w:r>
    </w:p>
    <w:p w:rsidR="00000000" w:rsidDel="00000000" w:rsidP="00000000" w:rsidRDefault="00000000" w:rsidRPr="00000000" w14:paraId="00000072">
      <w:pPr>
        <w:rPr>
          <w:color w:val="ff0000"/>
        </w:rPr>
      </w:pPr>
      <w:r w:rsidDel="00000000" w:rsidR="00000000" w:rsidRPr="00000000">
        <w:rPr>
          <w:sz w:val="22"/>
          <w:szCs w:val="22"/>
          <w:rtl w:val="0"/>
        </w:rPr>
        <w:t xml:space="preserve">Wu, Y. and Lu, Y. (2025) Understanding compassion fatigue among social workers: a scoping review. Frontiers in Psychology, 16. Available at: https://www.frontiersin.org/articles/10.3389/fpsyg.2025.1500305/full (Accessed: 1 December 2025).</w:t>
      </w:r>
      <w:r w:rsidDel="00000000" w:rsidR="00000000" w:rsidRPr="00000000">
        <w:rPr>
          <w:rtl w:val="0"/>
        </w:rPr>
      </w:r>
    </w:p>
    <w:sectPr>
      <w:headerReference r:id="rId8" w:type="default"/>
      <w:headerReference r:id="rId9" w:type="even"/>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eading1Char" w:customStyle="1">
    <w:name w:val="Heading 1 Char"/>
    <w:basedOn w:val="DefaultParagraphFont"/>
    <w:link w:val="Heading1"/>
    <w:uiPriority w:val="9"/>
    <w:rsid w:val="00500295"/>
    <w:rPr>
      <w:rFonts w:ascii="Segoe UI" w:hAnsi="Segoe UI" w:cstheme="majorBidi" w:eastAsiaTheme="majorEastAsia"/>
      <w:b w:val="1"/>
      <w:color w:val="2f5496" w:themeColor="accent1" w:themeShade="0000BF"/>
      <w:sz w:val="32"/>
      <w:szCs w:val="32"/>
    </w:rPr>
  </w:style>
  <w:style w:type="paragraph" w:styleId="TOCHeading">
    <w:name w:val="TOC Heading"/>
    <w:basedOn w:val="Heading1"/>
    <w:next w:val="Normal"/>
    <w:uiPriority w:val="39"/>
    <w:unhideWhenUsed w:val="1"/>
    <w:qFormat w:val="1"/>
    <w:rsid w:val="00184A9A"/>
    <w:pPr>
      <w:spacing w:before="480" w:line="276" w:lineRule="auto"/>
      <w:outlineLvl w:val="9"/>
    </w:pPr>
    <w:rPr>
      <w:b w:val="0"/>
      <w:bCs w:val="1"/>
      <w:kern w:val="0"/>
      <w:sz w:val="28"/>
      <w:szCs w:val="28"/>
      <w:lang w:eastAsia="en-US" w:val="en-US"/>
    </w:rPr>
  </w:style>
  <w:style w:type="paragraph" w:styleId="TOC1">
    <w:name w:val="toc 1"/>
    <w:basedOn w:val="Normal"/>
    <w:next w:val="Normal"/>
    <w:autoRedefine w:val="1"/>
    <w:uiPriority w:val="39"/>
    <w:unhideWhenUsed w:val="1"/>
    <w:rsid w:val="00184A9A"/>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184A9A"/>
    <w:pPr>
      <w:spacing w:after="0" w:before="120"/>
      <w:ind w:left="220"/>
    </w:pPr>
    <w:rPr>
      <w:rFonts w:cstheme="minorHAnsi"/>
      <w:b w:val="1"/>
      <w:bCs w:val="1"/>
    </w:rPr>
  </w:style>
  <w:style w:type="paragraph" w:styleId="TOC3">
    <w:name w:val="toc 3"/>
    <w:basedOn w:val="Normal"/>
    <w:next w:val="Normal"/>
    <w:autoRedefine w:val="1"/>
    <w:uiPriority w:val="39"/>
    <w:semiHidden w:val="1"/>
    <w:unhideWhenUsed w:val="1"/>
    <w:rsid w:val="00184A9A"/>
    <w:pPr>
      <w:spacing w:after="0"/>
      <w:ind w:left="440"/>
    </w:pPr>
    <w:rPr>
      <w:rFonts w:cstheme="minorHAnsi"/>
      <w:szCs w:val="20"/>
    </w:rPr>
  </w:style>
  <w:style w:type="paragraph" w:styleId="TOC4">
    <w:name w:val="toc 4"/>
    <w:basedOn w:val="Normal"/>
    <w:next w:val="Normal"/>
    <w:autoRedefine w:val="1"/>
    <w:uiPriority w:val="39"/>
    <w:semiHidden w:val="1"/>
    <w:unhideWhenUsed w:val="1"/>
    <w:rsid w:val="00184A9A"/>
    <w:pPr>
      <w:spacing w:after="0"/>
      <w:ind w:left="660"/>
    </w:pPr>
    <w:rPr>
      <w:rFonts w:cstheme="minorHAnsi"/>
      <w:szCs w:val="20"/>
    </w:rPr>
  </w:style>
  <w:style w:type="paragraph" w:styleId="TOC5">
    <w:name w:val="toc 5"/>
    <w:basedOn w:val="Normal"/>
    <w:next w:val="Normal"/>
    <w:autoRedefine w:val="1"/>
    <w:uiPriority w:val="39"/>
    <w:semiHidden w:val="1"/>
    <w:unhideWhenUsed w:val="1"/>
    <w:rsid w:val="00184A9A"/>
    <w:pPr>
      <w:spacing w:after="0"/>
      <w:ind w:left="880"/>
    </w:pPr>
    <w:rPr>
      <w:rFonts w:cstheme="minorHAnsi"/>
      <w:szCs w:val="20"/>
    </w:rPr>
  </w:style>
  <w:style w:type="paragraph" w:styleId="TOC6">
    <w:name w:val="toc 6"/>
    <w:basedOn w:val="Normal"/>
    <w:next w:val="Normal"/>
    <w:autoRedefine w:val="1"/>
    <w:uiPriority w:val="39"/>
    <w:semiHidden w:val="1"/>
    <w:unhideWhenUsed w:val="1"/>
    <w:rsid w:val="00184A9A"/>
    <w:pPr>
      <w:spacing w:after="0"/>
      <w:ind w:left="1100"/>
    </w:pPr>
    <w:rPr>
      <w:rFonts w:cstheme="minorHAnsi"/>
      <w:szCs w:val="20"/>
    </w:rPr>
  </w:style>
  <w:style w:type="paragraph" w:styleId="TOC7">
    <w:name w:val="toc 7"/>
    <w:basedOn w:val="Normal"/>
    <w:next w:val="Normal"/>
    <w:autoRedefine w:val="1"/>
    <w:uiPriority w:val="39"/>
    <w:semiHidden w:val="1"/>
    <w:unhideWhenUsed w:val="1"/>
    <w:rsid w:val="00184A9A"/>
    <w:pPr>
      <w:spacing w:after="0"/>
      <w:ind w:left="1320"/>
    </w:pPr>
    <w:rPr>
      <w:rFonts w:cstheme="minorHAnsi"/>
      <w:szCs w:val="20"/>
    </w:rPr>
  </w:style>
  <w:style w:type="paragraph" w:styleId="TOC8">
    <w:name w:val="toc 8"/>
    <w:basedOn w:val="Normal"/>
    <w:next w:val="Normal"/>
    <w:autoRedefine w:val="1"/>
    <w:uiPriority w:val="39"/>
    <w:semiHidden w:val="1"/>
    <w:unhideWhenUsed w:val="1"/>
    <w:rsid w:val="00184A9A"/>
    <w:pPr>
      <w:spacing w:after="0"/>
      <w:ind w:left="1540"/>
    </w:pPr>
    <w:rPr>
      <w:rFonts w:cstheme="minorHAnsi"/>
      <w:szCs w:val="20"/>
    </w:rPr>
  </w:style>
  <w:style w:type="paragraph" w:styleId="TOC9">
    <w:name w:val="toc 9"/>
    <w:basedOn w:val="Normal"/>
    <w:next w:val="Normal"/>
    <w:autoRedefine w:val="1"/>
    <w:uiPriority w:val="39"/>
    <w:semiHidden w:val="1"/>
    <w:unhideWhenUsed w:val="1"/>
    <w:rsid w:val="00184A9A"/>
    <w:pPr>
      <w:spacing w:after="0"/>
      <w:ind w:left="1760"/>
    </w:pPr>
    <w:rPr>
      <w:rFonts w:cstheme="minorHAnsi"/>
      <w:szCs w:val="20"/>
    </w:rPr>
  </w:style>
  <w:style w:type="character" w:styleId="Hyperlink">
    <w:name w:val="Hyperlink"/>
    <w:basedOn w:val="DefaultParagraphFont"/>
    <w:uiPriority w:val="99"/>
    <w:unhideWhenUsed w:val="1"/>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semiHidden w:val="1"/>
    <w:rsid w:val="008B0B22"/>
    <w:rPr>
      <w:rFonts w:asciiTheme="majorHAnsi" w:cstheme="majorBidi" w:eastAsiaTheme="majorEastAsia" w:hAnsiTheme="majorHAnsi"/>
      <w:color w:val="1f3763" w:themeColor="accent1" w:themeShade="00007F"/>
      <w:sz w:val="24"/>
      <w:szCs w:val="24"/>
    </w:rPr>
  </w:style>
  <w:style w:type="paragraph" w:styleId="NormalWeb">
    <w:name w:val="Normal (Web)"/>
    <w:basedOn w:val="Normal"/>
    <w:uiPriority w:val="99"/>
    <w:semiHidden w:val="1"/>
    <w:unhideWhenUsed w:val="1"/>
    <w:rsid w:val="008B0B22"/>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8B0B22"/>
    <w:rPr>
      <w:b w:val="1"/>
      <w:bCs w:val="1"/>
    </w:rPr>
  </w:style>
  <w:style w:type="character" w:styleId="Emphasis">
    <w:name w:val="Emphasis"/>
    <w:basedOn w:val="DefaultParagraphFont"/>
    <w:uiPriority w:val="20"/>
    <w:qFormat w:val="1"/>
    <w:rsid w:val="008B0B22"/>
    <w:rPr>
      <w:i w:val="1"/>
      <w:iCs w:val="1"/>
    </w:rPr>
  </w:style>
  <w:style w:type="paragraph" w:styleId="Header">
    <w:name w:val="header"/>
    <w:basedOn w:val="Normal"/>
    <w:link w:val="HeaderChar"/>
    <w:uiPriority w:val="99"/>
    <w:unhideWhenUsed w:val="1"/>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val="1"/>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val="1"/>
    <w:unhideWhenUsed w:val="1"/>
    <w:rsid w:val="00D676C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9ImHtxAoQ1/zLScr176ZwlIMYw==">CgMxLjAyDmgudWdhZnpib2JyNXdhMg5oLm1kY3hwYmR6bWpxZzIOaC51c25ubWc0dW1yM2oyDmguMXhldXNicWt4dndnMg5oLnI5ZzBqNXI0cWx5eDIOaC5oZ3l5OG9uY3kxZzkyDmgudjQxM2Fxc3dnM3BtMg5oLnNwZmtwZDNpYW5xMTgAciExSm51LVFFRGJQUlBsby13X2dqb0NxbjhPMVpidldlRV8=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2025-12-13T14:18:00Z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