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EB508" w14:textId="77777777" w:rsidR="00417CE5" w:rsidRDefault="00417CE5" w:rsidP="00417CE5">
      <w:pPr>
        <w:jc w:val="center"/>
        <w:rPr>
          <w:b/>
          <w:bCs/>
        </w:rPr>
      </w:pPr>
    </w:p>
    <w:p w14:paraId="6523D8C2" w14:textId="77777777" w:rsidR="00417CE5" w:rsidRDefault="00417CE5" w:rsidP="00417CE5">
      <w:pPr>
        <w:jc w:val="center"/>
        <w:rPr>
          <w:b/>
          <w:bCs/>
        </w:rPr>
      </w:pPr>
    </w:p>
    <w:p w14:paraId="2B3F770D" w14:textId="77777777" w:rsidR="00417CE5" w:rsidRDefault="00417CE5" w:rsidP="00417CE5">
      <w:pPr>
        <w:jc w:val="center"/>
        <w:rPr>
          <w:b/>
          <w:bCs/>
        </w:rPr>
      </w:pPr>
    </w:p>
    <w:p w14:paraId="3CC6E8C4" w14:textId="77777777" w:rsidR="00417CE5" w:rsidRDefault="00417CE5" w:rsidP="00417CE5">
      <w:pPr>
        <w:jc w:val="center"/>
        <w:rPr>
          <w:b/>
          <w:bCs/>
        </w:rPr>
      </w:pPr>
    </w:p>
    <w:p w14:paraId="35DC8623" w14:textId="77777777" w:rsidR="00417CE5" w:rsidRDefault="00417CE5" w:rsidP="00417CE5">
      <w:pPr>
        <w:jc w:val="center"/>
        <w:rPr>
          <w:b/>
          <w:bCs/>
        </w:rPr>
      </w:pPr>
    </w:p>
    <w:p w14:paraId="6812CBDF" w14:textId="77777777" w:rsidR="00417CE5" w:rsidRDefault="00417CE5" w:rsidP="00417CE5">
      <w:pPr>
        <w:spacing w:line="360" w:lineRule="auto"/>
        <w:jc w:val="center"/>
        <w:rPr>
          <w:b/>
          <w:bCs/>
        </w:rPr>
      </w:pPr>
    </w:p>
    <w:p w14:paraId="34241E14" w14:textId="77777777" w:rsidR="00417CE5" w:rsidRDefault="00417CE5" w:rsidP="00417CE5">
      <w:pPr>
        <w:spacing w:line="360" w:lineRule="auto"/>
        <w:jc w:val="center"/>
        <w:rPr>
          <w:b/>
          <w:bCs/>
        </w:rPr>
      </w:pPr>
    </w:p>
    <w:p w14:paraId="68A2A69A" w14:textId="77777777" w:rsidR="00417CE5" w:rsidRDefault="00417CE5" w:rsidP="00417CE5">
      <w:pPr>
        <w:spacing w:line="360" w:lineRule="auto"/>
        <w:jc w:val="center"/>
        <w:rPr>
          <w:b/>
          <w:bCs/>
        </w:rPr>
      </w:pPr>
    </w:p>
    <w:p w14:paraId="790B3652" w14:textId="77777777" w:rsidR="00417CE5" w:rsidRDefault="00417CE5" w:rsidP="00417CE5">
      <w:pPr>
        <w:spacing w:line="360" w:lineRule="auto"/>
        <w:jc w:val="center"/>
        <w:rPr>
          <w:b/>
          <w:bCs/>
        </w:rPr>
      </w:pPr>
    </w:p>
    <w:p w14:paraId="4EAD2F67" w14:textId="77777777" w:rsidR="00417CE5" w:rsidRDefault="00417CE5" w:rsidP="00417CE5">
      <w:pPr>
        <w:spacing w:line="360" w:lineRule="auto"/>
        <w:jc w:val="center"/>
        <w:rPr>
          <w:b/>
          <w:bCs/>
        </w:rPr>
      </w:pPr>
    </w:p>
    <w:p w14:paraId="42DE4AC5" w14:textId="77777777" w:rsidR="00417CE5" w:rsidRPr="005C7520" w:rsidRDefault="00417CE5" w:rsidP="00417CE5">
      <w:pPr>
        <w:spacing w:line="360" w:lineRule="auto"/>
        <w:jc w:val="center"/>
        <w:rPr>
          <w:rFonts w:ascii="Arial" w:hAnsi="Arial" w:cs="Arial"/>
          <w:b/>
          <w:sz w:val="28"/>
          <w:szCs w:val="28"/>
        </w:rPr>
      </w:pPr>
      <w:r w:rsidRPr="005C7520">
        <w:rPr>
          <w:rFonts w:ascii="Arial" w:hAnsi="Arial" w:cs="Arial"/>
          <w:b/>
          <w:sz w:val="28"/>
          <w:szCs w:val="28"/>
        </w:rPr>
        <w:t>Amy Robinson (Student Number: 30001126)</w:t>
      </w:r>
    </w:p>
    <w:p w14:paraId="64E745D3" w14:textId="4A4FC84D" w:rsidR="00417CE5" w:rsidRPr="00417CE5" w:rsidRDefault="00417CE5" w:rsidP="00417CE5">
      <w:pPr>
        <w:pStyle w:val="AssignHeader"/>
        <w:rPr>
          <w:rFonts w:cs="Arial"/>
          <w:szCs w:val="36"/>
        </w:rPr>
      </w:pPr>
      <w:r w:rsidRPr="00417CE5">
        <w:rPr>
          <w:rFonts w:cs="Arial"/>
          <w:szCs w:val="36"/>
        </w:rPr>
        <w:t>ECAD700</w:t>
      </w:r>
      <w:r w:rsidRPr="00417CE5">
        <w:rPr>
          <w:rFonts w:cs="Arial"/>
          <w:szCs w:val="36"/>
        </w:rPr>
        <w:t>4</w:t>
      </w:r>
      <w:r w:rsidRPr="00417CE5">
        <w:rPr>
          <w:rFonts w:cs="Arial"/>
          <w:szCs w:val="36"/>
        </w:rPr>
        <w:t xml:space="preserve"> Title: Design, conduct and critically evaluate a close-to-practice research project focusing on the model of the transformative teacher in developing practice that has a positive impact on the learner.</w:t>
      </w:r>
      <w:r w:rsidRPr="00417CE5">
        <w:rPr>
          <w:rFonts w:cs="Arial"/>
          <w:szCs w:val="36"/>
        </w:rPr>
        <w:t xml:space="preserve"> (4,500 words)</w:t>
      </w:r>
    </w:p>
    <w:p w14:paraId="176E9CD3" w14:textId="64FF19E0" w:rsidR="00417CE5" w:rsidRPr="005C7520" w:rsidRDefault="00417CE5" w:rsidP="00417CE5">
      <w:pPr>
        <w:spacing w:line="360" w:lineRule="auto"/>
        <w:jc w:val="center"/>
        <w:rPr>
          <w:rFonts w:ascii="Arial" w:hAnsi="Arial" w:cs="Arial"/>
          <w:sz w:val="28"/>
          <w:szCs w:val="28"/>
        </w:rPr>
      </w:pPr>
      <w:r w:rsidRPr="005C7520">
        <w:rPr>
          <w:rFonts w:ascii="Arial" w:hAnsi="Arial" w:cs="Arial"/>
          <w:sz w:val="28"/>
          <w:szCs w:val="28"/>
        </w:rPr>
        <w:t xml:space="preserve">Word count: </w:t>
      </w:r>
      <w:r w:rsidR="00CB26C4">
        <w:rPr>
          <w:rFonts w:ascii="Arial" w:hAnsi="Arial" w:cs="Arial"/>
          <w:sz w:val="28"/>
          <w:szCs w:val="28"/>
        </w:rPr>
        <w:t>4,566</w:t>
      </w:r>
    </w:p>
    <w:p w14:paraId="5B51B7D1" w14:textId="00810217" w:rsidR="00417CE5" w:rsidRPr="002D597C" w:rsidRDefault="00417CE5" w:rsidP="00DD502B">
      <w:pPr>
        <w:spacing w:line="360" w:lineRule="auto"/>
      </w:pPr>
      <w:r>
        <w:br w:type="page"/>
      </w:r>
    </w:p>
    <w:p w14:paraId="2C0B9976" w14:textId="577C9B4C" w:rsidR="00371D1B" w:rsidRDefault="00371D1B" w:rsidP="007E7ED7">
      <w:pPr>
        <w:spacing w:line="360" w:lineRule="auto"/>
        <w:rPr>
          <w:rFonts w:ascii="Arial" w:hAnsi="Arial" w:cs="Arial"/>
          <w:b/>
          <w:bCs/>
          <w:kern w:val="0"/>
          <w:sz w:val="28"/>
          <w:szCs w:val="28"/>
        </w:rPr>
      </w:pPr>
      <w:r w:rsidRPr="00591759">
        <w:rPr>
          <w:rFonts w:ascii="Arial" w:hAnsi="Arial" w:cs="Arial"/>
          <w:b/>
          <w:bCs/>
          <w:kern w:val="0"/>
          <w:sz w:val="28"/>
          <w:szCs w:val="28"/>
        </w:rPr>
        <w:lastRenderedPageBreak/>
        <w:t>Aim, focus and purpose of the research / Research Context</w:t>
      </w:r>
    </w:p>
    <w:p w14:paraId="37274932" w14:textId="77777777" w:rsidR="00AC1810" w:rsidRPr="00055254" w:rsidRDefault="00AC1810" w:rsidP="007E7ED7">
      <w:pPr>
        <w:spacing w:line="360" w:lineRule="auto"/>
        <w:rPr>
          <w:rFonts w:ascii="Arial" w:hAnsi="Arial" w:cs="Arial"/>
          <w:b/>
          <w:bCs/>
          <w:kern w:val="0"/>
          <w:sz w:val="28"/>
          <w:szCs w:val="28"/>
        </w:rPr>
      </w:pPr>
    </w:p>
    <w:p w14:paraId="1D2EDD13" w14:textId="77777777" w:rsidR="00355BF3" w:rsidRPr="007E7ED7" w:rsidRDefault="00355BF3" w:rsidP="007E7ED7">
      <w:pPr>
        <w:spacing w:line="360" w:lineRule="auto"/>
        <w:rPr>
          <w:rFonts w:ascii="Arial" w:hAnsi="Arial" w:cs="Arial"/>
          <w:sz w:val="22"/>
          <w:szCs w:val="22"/>
        </w:rPr>
      </w:pPr>
      <w:r w:rsidRPr="007E7ED7">
        <w:rPr>
          <w:rFonts w:ascii="Arial" w:hAnsi="Arial" w:cs="Arial"/>
          <w:sz w:val="22"/>
          <w:szCs w:val="22"/>
        </w:rPr>
        <w:t>The aim of this research project is to explore the affect that daily wellbeing check ins have on building student relationships in a year 4/5 classroom.</w:t>
      </w:r>
      <w:r w:rsidRPr="007E7ED7">
        <w:rPr>
          <w:rFonts w:ascii="Arial" w:hAnsi="Arial" w:cs="Arial"/>
          <w:color w:val="0D0D0D"/>
          <w:sz w:val="22"/>
          <w:szCs w:val="22"/>
          <w:shd w:val="clear" w:color="auto" w:fill="FFFFFF"/>
        </w:rPr>
        <w:t xml:space="preserve"> An additional aim is for the research to inform my practice and address the QTS professional standards. </w:t>
      </w:r>
    </w:p>
    <w:p w14:paraId="06559B2E" w14:textId="77777777" w:rsidR="00355BF3" w:rsidRPr="007E7ED7" w:rsidRDefault="00355BF3"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4EA72E" w:themeColor="accent6"/>
          <w:kern w:val="0"/>
          <w:sz w:val="22"/>
          <w:szCs w:val="22"/>
        </w:rPr>
      </w:pPr>
    </w:p>
    <w:p w14:paraId="10B0FEEE" w14:textId="5D9FD122" w:rsidR="00B76909" w:rsidRDefault="007E7ED7"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Throughout my time on my first placement my mentor frequently expressed her admiration for my </w:t>
      </w:r>
      <w:r w:rsidR="00B76909" w:rsidRPr="007E7ED7">
        <w:rPr>
          <w:rFonts w:ascii="Arial" w:hAnsi="Arial" w:cs="Arial"/>
          <w:kern w:val="0"/>
          <w:sz w:val="22"/>
          <w:szCs w:val="22"/>
        </w:rPr>
        <w:t>ability to build positive relationships with the pupils in a year 1 classroom</w:t>
      </w:r>
      <w:r>
        <w:rPr>
          <w:rFonts w:ascii="Arial" w:hAnsi="Arial" w:cs="Arial"/>
          <w:kern w:val="0"/>
          <w:sz w:val="22"/>
          <w:szCs w:val="22"/>
        </w:rPr>
        <w:t xml:space="preserve">; this led to me questioning whether these positive relationships were built through </w:t>
      </w:r>
      <w:r w:rsidR="00B76909" w:rsidRPr="007E7ED7">
        <w:rPr>
          <w:rFonts w:ascii="Arial" w:hAnsi="Arial" w:cs="Arial"/>
          <w:kern w:val="0"/>
          <w:sz w:val="22"/>
          <w:szCs w:val="22"/>
        </w:rPr>
        <w:t>daily wellbeing check ins</w:t>
      </w:r>
      <w:r>
        <w:rPr>
          <w:rFonts w:ascii="Arial" w:hAnsi="Arial" w:cs="Arial"/>
          <w:kern w:val="0"/>
          <w:sz w:val="22"/>
          <w:szCs w:val="22"/>
        </w:rPr>
        <w:t xml:space="preserve">, and whether the pupils were able to build positive relationships with each other due to the influence of the daily check ins. </w:t>
      </w:r>
    </w:p>
    <w:p w14:paraId="0C9D2653" w14:textId="77777777" w:rsidR="007E7ED7" w:rsidRPr="007E7ED7" w:rsidRDefault="007E7ED7"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1EC50B3A" w14:textId="795E44ED" w:rsidR="00591759" w:rsidRDefault="007E7ED7" w:rsidP="005917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I feel strongly that pupils</w:t>
      </w:r>
      <w:r w:rsidR="00B76909" w:rsidRPr="007E7ED7">
        <w:rPr>
          <w:rFonts w:ascii="Arial" w:hAnsi="Arial" w:cs="Arial"/>
          <w:kern w:val="0"/>
          <w:sz w:val="22"/>
          <w:szCs w:val="22"/>
        </w:rPr>
        <w:t xml:space="preserve">’ wellbeing is </w:t>
      </w:r>
      <w:r>
        <w:rPr>
          <w:rFonts w:ascii="Arial" w:hAnsi="Arial" w:cs="Arial"/>
          <w:kern w:val="0"/>
          <w:sz w:val="22"/>
          <w:szCs w:val="22"/>
        </w:rPr>
        <w:t xml:space="preserve">of equal </w:t>
      </w:r>
      <w:r w:rsidR="00B76909" w:rsidRPr="007E7ED7">
        <w:rPr>
          <w:rFonts w:ascii="Arial" w:hAnsi="Arial" w:cs="Arial"/>
          <w:kern w:val="0"/>
          <w:sz w:val="22"/>
          <w:szCs w:val="22"/>
        </w:rPr>
        <w:t>importan</w:t>
      </w:r>
      <w:r>
        <w:rPr>
          <w:rFonts w:ascii="Arial" w:hAnsi="Arial" w:cs="Arial"/>
          <w:kern w:val="0"/>
          <w:sz w:val="22"/>
          <w:szCs w:val="22"/>
        </w:rPr>
        <w:t xml:space="preserve">ce to their academic ability, and that if their wellbeing needs are not met, </w:t>
      </w:r>
      <w:r w:rsidRPr="00B334F9">
        <w:rPr>
          <w:rFonts w:ascii="Arial" w:hAnsi="Arial" w:cs="Arial"/>
          <w:kern w:val="0"/>
          <w:sz w:val="22"/>
          <w:szCs w:val="22"/>
        </w:rPr>
        <w:t>their ability to access the learning is also hindered.</w:t>
      </w:r>
      <w:r w:rsidR="00B76909" w:rsidRPr="00B334F9">
        <w:rPr>
          <w:rFonts w:ascii="Arial" w:hAnsi="Arial" w:cs="Arial"/>
          <w:kern w:val="0"/>
          <w:sz w:val="22"/>
          <w:szCs w:val="22"/>
        </w:rPr>
        <w:t xml:space="preserve"> </w:t>
      </w:r>
      <w:r w:rsidRPr="00B334F9">
        <w:rPr>
          <w:rFonts w:ascii="Arial" w:hAnsi="Arial" w:cs="Arial"/>
          <w:kern w:val="0"/>
          <w:sz w:val="22"/>
          <w:szCs w:val="22"/>
        </w:rPr>
        <w:t>T</w:t>
      </w:r>
      <w:r w:rsidR="00B76909" w:rsidRPr="00B334F9">
        <w:rPr>
          <w:rFonts w:ascii="Arial" w:hAnsi="Arial" w:cs="Arial"/>
          <w:kern w:val="0"/>
          <w:sz w:val="22"/>
          <w:szCs w:val="22"/>
        </w:rPr>
        <w:t xml:space="preserve">his </w:t>
      </w:r>
      <w:r w:rsidRPr="00B334F9">
        <w:rPr>
          <w:rFonts w:ascii="Arial" w:hAnsi="Arial" w:cs="Arial"/>
          <w:kern w:val="0"/>
          <w:sz w:val="22"/>
          <w:szCs w:val="22"/>
        </w:rPr>
        <w:t xml:space="preserve">focus on wellbeing </w:t>
      </w:r>
      <w:r w:rsidR="00B76909" w:rsidRPr="00B334F9">
        <w:rPr>
          <w:rFonts w:ascii="Arial" w:hAnsi="Arial" w:cs="Arial"/>
          <w:kern w:val="0"/>
          <w:sz w:val="22"/>
          <w:szCs w:val="22"/>
        </w:rPr>
        <w:t xml:space="preserve">is reflected in Donaldson’s </w:t>
      </w:r>
      <w:r w:rsidRPr="00B334F9">
        <w:rPr>
          <w:rFonts w:ascii="Arial" w:hAnsi="Arial" w:cs="Arial"/>
          <w:kern w:val="0"/>
          <w:sz w:val="22"/>
          <w:szCs w:val="22"/>
        </w:rPr>
        <w:t xml:space="preserve">(2015) </w:t>
      </w:r>
      <w:r w:rsidR="00B76909" w:rsidRPr="00B334F9">
        <w:rPr>
          <w:rFonts w:ascii="Arial" w:hAnsi="Arial" w:cs="Arial"/>
          <w:kern w:val="0"/>
          <w:sz w:val="22"/>
          <w:szCs w:val="22"/>
        </w:rPr>
        <w:t>four purposes by wanting to creat</w:t>
      </w:r>
      <w:r w:rsidR="00B334F9" w:rsidRPr="00B334F9">
        <w:rPr>
          <w:rFonts w:ascii="Arial" w:hAnsi="Arial" w:cs="Arial"/>
          <w:kern w:val="0"/>
          <w:sz w:val="22"/>
          <w:szCs w:val="22"/>
        </w:rPr>
        <w:t xml:space="preserve">e “healthy confident individuals that </w:t>
      </w:r>
      <w:r w:rsidR="00B334F9" w:rsidRPr="00B334F9">
        <w:rPr>
          <w:rFonts w:ascii="Arial" w:hAnsi="Arial" w:cs="Arial"/>
          <w:sz w:val="22"/>
          <w:szCs w:val="22"/>
        </w:rPr>
        <w:t>are building their mental and emotional well-being by developing confidence, resilience and empathy</w:t>
      </w:r>
      <w:r w:rsidR="00B334F9">
        <w:rPr>
          <w:rFonts w:ascii="Arial" w:hAnsi="Arial" w:cs="Arial"/>
          <w:sz w:val="22"/>
          <w:szCs w:val="22"/>
        </w:rPr>
        <w:t>” (Donaldson, 2015, p. 30).</w:t>
      </w:r>
      <w:r w:rsidR="00363AED">
        <w:rPr>
          <w:rFonts w:ascii="Arial" w:hAnsi="Arial" w:cs="Arial"/>
          <w:kern w:val="0"/>
          <w:sz w:val="22"/>
          <w:szCs w:val="22"/>
        </w:rPr>
        <w:t xml:space="preserve"> This focus on wellbeing links to the PLP and </w:t>
      </w:r>
      <w:r w:rsidR="000F5B86" w:rsidRPr="00363AED">
        <w:rPr>
          <w:rFonts w:ascii="Arial" w:hAnsi="Arial" w:cs="Arial"/>
          <w:kern w:val="0"/>
          <w:sz w:val="22"/>
          <w:szCs w:val="22"/>
        </w:rPr>
        <w:t>QTS strands</w:t>
      </w:r>
      <w:r w:rsidR="00363AED">
        <w:rPr>
          <w:rFonts w:ascii="Arial" w:hAnsi="Arial" w:cs="Arial"/>
          <w:kern w:val="0"/>
          <w:sz w:val="22"/>
          <w:szCs w:val="22"/>
        </w:rPr>
        <w:t xml:space="preserve"> in numerous ways, it enables the m</w:t>
      </w:r>
      <w:r w:rsidR="000F5B86" w:rsidRPr="00363AED">
        <w:rPr>
          <w:rFonts w:ascii="Arial" w:hAnsi="Arial" w:cs="Arial"/>
          <w:kern w:val="0"/>
          <w:sz w:val="22"/>
          <w:szCs w:val="22"/>
        </w:rPr>
        <w:t>anaging</w:t>
      </w:r>
      <w:r w:rsidR="00363AED">
        <w:rPr>
          <w:rFonts w:ascii="Arial" w:hAnsi="Arial" w:cs="Arial"/>
          <w:kern w:val="0"/>
          <w:sz w:val="22"/>
          <w:szCs w:val="22"/>
        </w:rPr>
        <w:t xml:space="preserve"> of</w:t>
      </w:r>
      <w:r w:rsidR="000F5B86" w:rsidRPr="00363AED">
        <w:rPr>
          <w:rFonts w:ascii="Arial" w:hAnsi="Arial" w:cs="Arial"/>
          <w:kern w:val="0"/>
          <w:sz w:val="22"/>
          <w:szCs w:val="22"/>
        </w:rPr>
        <w:t xml:space="preserve"> the learning environment</w:t>
      </w:r>
      <w:r w:rsidR="00363AED">
        <w:rPr>
          <w:rFonts w:ascii="Arial" w:hAnsi="Arial" w:cs="Arial"/>
          <w:kern w:val="0"/>
          <w:sz w:val="22"/>
          <w:szCs w:val="22"/>
        </w:rPr>
        <w:t>, by ensuring that I understand why pupils may be acting in a certain way, and how best to help them, it ensures that I am l</w:t>
      </w:r>
      <w:r w:rsidR="000F5B86" w:rsidRPr="00363AED">
        <w:rPr>
          <w:rFonts w:ascii="Arial" w:hAnsi="Arial" w:cs="Arial"/>
          <w:kern w:val="0"/>
          <w:sz w:val="22"/>
          <w:szCs w:val="22"/>
        </w:rPr>
        <w:t>istening to learners</w:t>
      </w:r>
      <w:r w:rsidR="00363AED">
        <w:rPr>
          <w:rFonts w:ascii="Arial" w:hAnsi="Arial" w:cs="Arial"/>
          <w:kern w:val="0"/>
          <w:sz w:val="22"/>
          <w:szCs w:val="22"/>
        </w:rPr>
        <w:t xml:space="preserve"> in how they feel and how they would like to learn, and also that I’m taking </w:t>
      </w:r>
      <w:r w:rsidR="000F5B86" w:rsidRPr="00363AED">
        <w:rPr>
          <w:rFonts w:ascii="Arial" w:hAnsi="Arial" w:cs="Arial"/>
          <w:kern w:val="0"/>
          <w:sz w:val="22"/>
          <w:szCs w:val="22"/>
        </w:rPr>
        <w:t xml:space="preserve">responsibility for </w:t>
      </w:r>
      <w:r w:rsidR="00363AED">
        <w:rPr>
          <w:rFonts w:ascii="Arial" w:hAnsi="Arial" w:cs="Arial"/>
          <w:kern w:val="0"/>
          <w:sz w:val="22"/>
          <w:szCs w:val="22"/>
        </w:rPr>
        <w:t xml:space="preserve">myself by recognising the needs of others. </w:t>
      </w:r>
    </w:p>
    <w:p w14:paraId="788AA163" w14:textId="77777777" w:rsidR="00591759" w:rsidRDefault="00591759" w:rsidP="005917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2EFF5B7F" w14:textId="7DF56178" w:rsidR="00591759" w:rsidRPr="00591759" w:rsidRDefault="00591759" w:rsidP="005917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The school in which the research took place is a s</w:t>
      </w:r>
      <w:r w:rsidR="000F5B86" w:rsidRPr="00591759">
        <w:rPr>
          <w:rFonts w:ascii="Arial" w:hAnsi="Arial" w:cs="Arial"/>
          <w:kern w:val="0"/>
          <w:sz w:val="22"/>
          <w:szCs w:val="22"/>
        </w:rPr>
        <w:t xml:space="preserve">mall English-medium primary school in South West Wales with 138 pupils on roll, </w:t>
      </w:r>
      <w:r>
        <w:rPr>
          <w:rFonts w:ascii="Arial" w:hAnsi="Arial" w:cs="Arial"/>
          <w:kern w:val="0"/>
          <w:sz w:val="22"/>
          <w:szCs w:val="22"/>
        </w:rPr>
        <w:t xml:space="preserve">with </w:t>
      </w:r>
      <w:r w:rsidR="000F5B86" w:rsidRPr="00591759">
        <w:rPr>
          <w:rFonts w:ascii="Arial" w:hAnsi="Arial" w:cs="Arial"/>
          <w:kern w:val="0"/>
          <w:sz w:val="22"/>
          <w:szCs w:val="22"/>
        </w:rPr>
        <w:t xml:space="preserve">5% </w:t>
      </w:r>
      <w:r>
        <w:rPr>
          <w:rFonts w:ascii="Arial" w:hAnsi="Arial" w:cs="Arial"/>
          <w:kern w:val="0"/>
          <w:sz w:val="22"/>
          <w:szCs w:val="22"/>
        </w:rPr>
        <w:t>of these pupils being eligible for free school meals</w:t>
      </w:r>
      <w:r w:rsidR="000F5B86" w:rsidRPr="00591759">
        <w:rPr>
          <w:rFonts w:ascii="Arial" w:hAnsi="Arial" w:cs="Arial"/>
          <w:kern w:val="0"/>
          <w:sz w:val="22"/>
          <w:szCs w:val="22"/>
        </w:rPr>
        <w:t xml:space="preserve">, </w:t>
      </w:r>
      <w:r>
        <w:rPr>
          <w:rFonts w:ascii="Arial" w:hAnsi="Arial" w:cs="Arial"/>
          <w:kern w:val="0"/>
          <w:sz w:val="22"/>
          <w:szCs w:val="22"/>
        </w:rPr>
        <w:t xml:space="preserve">and </w:t>
      </w:r>
      <w:r w:rsidR="000F5B86" w:rsidRPr="00591759">
        <w:rPr>
          <w:rFonts w:ascii="Arial" w:hAnsi="Arial" w:cs="Arial"/>
          <w:kern w:val="0"/>
          <w:sz w:val="22"/>
          <w:szCs w:val="22"/>
        </w:rPr>
        <w:t>10.4%</w:t>
      </w:r>
      <w:r>
        <w:rPr>
          <w:rFonts w:ascii="Arial" w:hAnsi="Arial" w:cs="Arial"/>
          <w:kern w:val="0"/>
          <w:sz w:val="22"/>
          <w:szCs w:val="22"/>
        </w:rPr>
        <w:t xml:space="preserve"> of the school having additional learning needs</w:t>
      </w:r>
      <w:r w:rsidR="00F2760C" w:rsidRPr="00591759">
        <w:rPr>
          <w:rFonts w:ascii="Arial" w:hAnsi="Arial" w:cs="Arial"/>
          <w:kern w:val="0"/>
          <w:sz w:val="22"/>
          <w:szCs w:val="22"/>
        </w:rPr>
        <w:t>.</w:t>
      </w:r>
      <w:r>
        <w:rPr>
          <w:rFonts w:ascii="Arial" w:hAnsi="Arial" w:cs="Arial"/>
          <w:kern w:val="0"/>
          <w:sz w:val="22"/>
          <w:szCs w:val="22"/>
        </w:rPr>
        <w:t xml:space="preserve"> </w:t>
      </w:r>
      <w:r>
        <w:rPr>
          <w:rFonts w:ascii="Arial" w:hAnsi="Arial" w:cs="Arial"/>
          <w:sz w:val="22"/>
          <w:szCs w:val="22"/>
        </w:rPr>
        <w:t>The specific class in which the research took place in a mixed year 4 and year 5 classroom, with 28 pupils in total. The research question is: ‘h</w:t>
      </w:r>
      <w:r w:rsidRPr="008055C8">
        <w:rPr>
          <w:rFonts w:ascii="Arial" w:hAnsi="Arial" w:cs="Arial"/>
          <w:sz w:val="22"/>
          <w:szCs w:val="22"/>
        </w:rPr>
        <w:t xml:space="preserve">ow </w:t>
      </w:r>
      <w:r>
        <w:rPr>
          <w:rFonts w:ascii="Arial" w:hAnsi="Arial" w:cs="Arial"/>
          <w:sz w:val="22"/>
          <w:szCs w:val="22"/>
        </w:rPr>
        <w:t>do</w:t>
      </w:r>
      <w:r w:rsidRPr="008055C8">
        <w:rPr>
          <w:rFonts w:ascii="Arial" w:hAnsi="Arial" w:cs="Arial"/>
          <w:sz w:val="22"/>
          <w:szCs w:val="22"/>
        </w:rPr>
        <w:t xml:space="preserve"> daily wellbeing check ins support relationships in a year 4/5 classroom?</w:t>
      </w:r>
      <w:r>
        <w:rPr>
          <w:rFonts w:ascii="Arial" w:hAnsi="Arial" w:cs="Arial"/>
          <w:sz w:val="22"/>
          <w:szCs w:val="22"/>
        </w:rPr>
        <w:t>’</w:t>
      </w:r>
    </w:p>
    <w:p w14:paraId="4471FDB0" w14:textId="77777777" w:rsidR="00371D1B" w:rsidRPr="007E7ED7" w:rsidRDefault="00371D1B" w:rsidP="007E7ED7">
      <w:pPr>
        <w:spacing w:line="360" w:lineRule="auto"/>
        <w:rPr>
          <w:rFonts w:ascii="Arial" w:hAnsi="Arial" w:cs="Arial"/>
          <w:sz w:val="22"/>
          <w:szCs w:val="22"/>
        </w:rPr>
      </w:pPr>
    </w:p>
    <w:p w14:paraId="36A71B56" w14:textId="50212BED" w:rsidR="00363AED"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3826E8">
        <w:rPr>
          <w:rFonts w:ascii="Arial" w:hAnsi="Arial" w:cs="Arial"/>
          <w:b/>
          <w:bCs/>
          <w:kern w:val="0"/>
          <w:sz w:val="28"/>
          <w:szCs w:val="28"/>
        </w:rPr>
        <w:t>Overview of relevant literature</w:t>
      </w:r>
    </w:p>
    <w:p w14:paraId="0DAA6C92" w14:textId="77777777" w:rsidR="00AC1810" w:rsidRPr="00055254" w:rsidRDefault="00AC1810"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p>
    <w:p w14:paraId="56A08314" w14:textId="77777777" w:rsidR="009932BF" w:rsidRDefault="00363AED"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Pr>
          <w:rFonts w:ascii="Arial" w:hAnsi="Arial" w:cs="Arial"/>
          <w:kern w:val="0"/>
          <w:sz w:val="22"/>
          <w:szCs w:val="22"/>
        </w:rPr>
        <w:t xml:space="preserve">The Welsh Government (2015) put in place an act focusing </w:t>
      </w:r>
      <w:r w:rsidRPr="00363AED">
        <w:rPr>
          <w:rFonts w:ascii="Arial" w:hAnsi="Arial" w:cs="Arial"/>
          <w:kern w:val="0"/>
          <w:sz w:val="22"/>
          <w:szCs w:val="22"/>
        </w:rPr>
        <w:t>specifically on wellbeing called the ‘Wellbeing of Future Generations of Wales Act’ and within this act there are seven wellbeing goals, one of which is to achieve a healthier Wales and a</w:t>
      </w:r>
      <w:r w:rsidRPr="00363AED">
        <w:rPr>
          <w:rFonts w:ascii="Arial" w:hAnsi="Arial" w:cs="Arial"/>
          <w:color w:val="0D0D0D"/>
          <w:sz w:val="22"/>
          <w:szCs w:val="22"/>
          <w:shd w:val="clear" w:color="auto" w:fill="FFFFFF"/>
        </w:rPr>
        <w:t xml:space="preserve"> society where the physical and mental health of individuals is optimized, and where behaviours and choices </w:t>
      </w:r>
      <w:r w:rsidRPr="00363AED">
        <w:rPr>
          <w:rFonts w:ascii="Arial" w:hAnsi="Arial" w:cs="Arial"/>
          <w:color w:val="0D0D0D"/>
          <w:sz w:val="22"/>
          <w:szCs w:val="22"/>
          <w:shd w:val="clear" w:color="auto" w:fill="FFFFFF"/>
        </w:rPr>
        <w:lastRenderedPageBreak/>
        <w:t>that enhance future well-being are well understood.</w:t>
      </w:r>
      <w:r w:rsidR="007B4B86">
        <w:rPr>
          <w:rFonts w:ascii="Arial" w:hAnsi="Arial" w:cs="Arial"/>
          <w:color w:val="0D0D0D"/>
          <w:sz w:val="22"/>
          <w:szCs w:val="22"/>
          <w:shd w:val="clear" w:color="auto" w:fill="FFFFFF"/>
        </w:rPr>
        <w:t xml:space="preserve"> In the same year as this publication came Donaldson’s (2015) four </w:t>
      </w:r>
      <w:r w:rsidR="007B4B86" w:rsidRPr="007B4B86">
        <w:rPr>
          <w:rFonts w:ascii="Arial" w:hAnsi="Arial" w:cs="Arial"/>
          <w:color w:val="0D0D0D"/>
          <w:sz w:val="22"/>
          <w:szCs w:val="22"/>
          <w:shd w:val="clear" w:color="auto" w:fill="FFFFFF"/>
        </w:rPr>
        <w:t xml:space="preserve">purposes that stated that educators should be aspiring to create “healthy, confident individuals who… </w:t>
      </w:r>
      <w:r w:rsidR="007B4B86" w:rsidRPr="007B4B86">
        <w:rPr>
          <w:rFonts w:ascii="Arial" w:hAnsi="Arial" w:cs="Arial"/>
          <w:sz w:val="22"/>
          <w:szCs w:val="22"/>
        </w:rPr>
        <w:t>form positive relationships based upon trust and mutual respect</w:t>
      </w:r>
      <w:r w:rsidR="007B4B86" w:rsidRPr="007B4B86">
        <w:rPr>
          <w:rFonts w:ascii="Arial" w:hAnsi="Arial" w:cs="Arial"/>
          <w:sz w:val="22"/>
          <w:szCs w:val="22"/>
        </w:rPr>
        <w:t>” (Donaldson, 2015, p. 30).</w:t>
      </w:r>
      <w:r w:rsidR="007B4B86">
        <w:t xml:space="preserve"> </w:t>
      </w:r>
    </w:p>
    <w:p w14:paraId="0DA3B804" w14:textId="77777777" w:rsidR="009932BF" w:rsidRDefault="009932BF"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p w14:paraId="2C80C076" w14:textId="0496E682" w:rsidR="009932BF" w:rsidRDefault="007B4B8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 xml:space="preserve">There are numerous studies that indicate that positive relationships between teachers and pupils, as well as amongst peers, can correlate with improved academic performance. </w:t>
      </w:r>
      <w:r w:rsidR="00B850F9">
        <w:rPr>
          <w:rFonts w:ascii="Arial" w:hAnsi="Arial" w:cs="Arial"/>
          <w:color w:val="0D0D0D"/>
          <w:sz w:val="22"/>
          <w:szCs w:val="22"/>
          <w:shd w:val="clear" w:color="auto" w:fill="FFFFFF"/>
        </w:rPr>
        <w:t xml:space="preserve">Hamre and Pianta (2001) and Roorda et al. (2011) both agree that when pupils are feeling supported, valued, and respected by their peers and teachers, they are more likely to seek help when required, persist when faced with a challenge, and engage in learning activities. Although Hamre and Pianta (2001) studied pupils in America, the research is still relevant to research being conducted in Wales as the underlying </w:t>
      </w:r>
      <w:r w:rsidR="00144207">
        <w:rPr>
          <w:rFonts w:ascii="Arial" w:hAnsi="Arial" w:cs="Arial"/>
          <w:color w:val="0D0D0D"/>
          <w:sz w:val="22"/>
          <w:szCs w:val="22"/>
          <w:shd w:val="clear" w:color="auto" w:fill="FFFFFF"/>
        </w:rPr>
        <w:t xml:space="preserve">theme of wellbeing is relevant to pupils across the world. </w:t>
      </w:r>
      <w:r w:rsidR="009932BF">
        <w:rPr>
          <w:rFonts w:ascii="Arial" w:hAnsi="Arial" w:cs="Arial"/>
          <w:color w:val="0D0D0D"/>
          <w:sz w:val="22"/>
          <w:szCs w:val="22"/>
          <w:shd w:val="clear" w:color="auto" w:fill="FFFFFF"/>
        </w:rPr>
        <w:t xml:space="preserve">Rumberger (2011) and Pianta et al. (2003) argue against this notion, and suggest that while positive relationships are important, they may be insufficient in overcoming the significant academic challenges or systemic barrier to learning that pupils are facing. However, they both acknowledge that positive relationships in the classroom can be associated with increased academic outcomes, it is the extent of this impact that they are arguing, and this is due to varying factors such as curriculum relevance, and individual pupil characteristics. </w:t>
      </w:r>
    </w:p>
    <w:p w14:paraId="7E4D3057" w14:textId="77777777" w:rsidR="007B4B86" w:rsidRDefault="007B4B8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p>
    <w:p w14:paraId="3CCACB9B" w14:textId="5F982F19" w:rsidR="001544F0" w:rsidRDefault="005A2FB6" w:rsidP="005A2F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Regular and consistent w</w:t>
      </w:r>
      <w:r w:rsidR="001D4E3A">
        <w:rPr>
          <w:rFonts w:ascii="Arial" w:hAnsi="Arial" w:cs="Arial"/>
          <w:color w:val="0D0D0D"/>
          <w:sz w:val="22"/>
          <w:szCs w:val="22"/>
          <w:shd w:val="clear" w:color="auto" w:fill="FFFFFF"/>
        </w:rPr>
        <w:t xml:space="preserve">ellbeing check-ins </w:t>
      </w:r>
      <w:r>
        <w:rPr>
          <w:rFonts w:ascii="Arial" w:hAnsi="Arial" w:cs="Arial"/>
          <w:color w:val="0D0D0D"/>
          <w:sz w:val="22"/>
          <w:szCs w:val="22"/>
          <w:shd w:val="clear" w:color="auto" w:fill="FFFFFF"/>
        </w:rPr>
        <w:t>represent a proactive approach to recognising pupils needs, aimed at enhancing emotional intelligence, and nurturing a feeling of inclusivity; consequently, these wellbeing check ins foster a positive classroom environment that supports the overall wellbeing of pupils (Roffey, 2012).</w:t>
      </w:r>
      <w:r w:rsidR="00F1321D">
        <w:rPr>
          <w:rFonts w:ascii="Arial" w:hAnsi="Arial" w:cs="Arial"/>
          <w:color w:val="0D0D0D"/>
          <w:sz w:val="22"/>
          <w:szCs w:val="22"/>
          <w:shd w:val="clear" w:color="auto" w:fill="FFFFFF"/>
        </w:rPr>
        <w:t xml:space="preserve"> Further to this, Jennings &amp; Greenberg (2009) explains that consistent wellbeing check ins provide a platform for emotional expression, allowing teachers the opportunity to gain insight into pupils’ wellbeing and address concerns promptly. </w:t>
      </w:r>
      <w:r w:rsidR="00E26252">
        <w:rPr>
          <w:rFonts w:ascii="Arial" w:hAnsi="Arial" w:cs="Arial"/>
          <w:color w:val="0D0D0D"/>
          <w:sz w:val="22"/>
          <w:szCs w:val="22"/>
          <w:shd w:val="clear" w:color="auto" w:fill="FFFFFF"/>
        </w:rPr>
        <w:t>Schonert-Reichl (2017) takes this idea even further by suggesting that providing this structured opportunity for emotional expression, it allows teachers to create a safe and supportive environment which enables pupils to build their sense of trust</w:t>
      </w:r>
      <w:r w:rsidR="00785158">
        <w:rPr>
          <w:rFonts w:ascii="Arial" w:hAnsi="Arial" w:cs="Arial"/>
          <w:color w:val="0D0D0D"/>
          <w:sz w:val="22"/>
          <w:szCs w:val="22"/>
          <w:shd w:val="clear" w:color="auto" w:fill="FFFFFF"/>
        </w:rPr>
        <w:t>,</w:t>
      </w:r>
      <w:r w:rsidR="00E26252">
        <w:rPr>
          <w:rFonts w:ascii="Arial" w:hAnsi="Arial" w:cs="Arial"/>
          <w:color w:val="0D0D0D"/>
          <w:sz w:val="22"/>
          <w:szCs w:val="22"/>
          <w:shd w:val="clear" w:color="auto" w:fill="FFFFFF"/>
        </w:rPr>
        <w:t xml:space="preserve"> and ability to build rapport with their peers. Roffey (2012) extends this argument by explaining that check-ins foster a sense of community amongst peers, which promotes mutual support and empathy; with Wentzel (2010) agreeing that these skills are essential for success in life beyond the classroom, as well as being important to navigating social relationships. </w:t>
      </w:r>
    </w:p>
    <w:p w14:paraId="3ADF233C" w14:textId="77777777" w:rsidR="001544F0" w:rsidRDefault="001544F0" w:rsidP="005A2F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p>
    <w:p w14:paraId="6A0738E6" w14:textId="61B4908B" w:rsidR="005A2FB6" w:rsidRDefault="00C9099E" w:rsidP="005A2F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lastRenderedPageBreak/>
        <w:t>These studies fail to address the dilemma that some teachers may not have sufficient training in dealing with wellbeing sensitively, and the necessary</w:t>
      </w:r>
      <w:r w:rsidR="001544F0">
        <w:rPr>
          <w:rFonts w:ascii="Arial" w:hAnsi="Arial" w:cs="Arial"/>
          <w:color w:val="0D0D0D"/>
          <w:sz w:val="22"/>
          <w:szCs w:val="22"/>
          <w:shd w:val="clear" w:color="auto" w:fill="FFFFFF"/>
        </w:rPr>
        <w:t xml:space="preserve"> steps</w:t>
      </w:r>
      <w:r>
        <w:rPr>
          <w:rFonts w:ascii="Arial" w:hAnsi="Arial" w:cs="Arial"/>
          <w:color w:val="0D0D0D"/>
          <w:sz w:val="22"/>
          <w:szCs w:val="22"/>
          <w:shd w:val="clear" w:color="auto" w:fill="FFFFFF"/>
        </w:rPr>
        <w:t xml:space="preserve"> </w:t>
      </w:r>
      <w:r w:rsidR="001544F0">
        <w:rPr>
          <w:rFonts w:ascii="Arial" w:hAnsi="Arial" w:cs="Arial"/>
          <w:color w:val="0D0D0D"/>
          <w:sz w:val="22"/>
          <w:szCs w:val="22"/>
          <w:shd w:val="clear" w:color="auto" w:fill="FFFFFF"/>
        </w:rPr>
        <w:t>to follow</w:t>
      </w:r>
      <w:r>
        <w:rPr>
          <w:rFonts w:ascii="Arial" w:hAnsi="Arial" w:cs="Arial"/>
          <w:color w:val="0D0D0D"/>
          <w:sz w:val="22"/>
          <w:szCs w:val="22"/>
          <w:shd w:val="clear" w:color="auto" w:fill="FFFFFF"/>
        </w:rPr>
        <w:t xml:space="preserve"> if an area of concerns arises. Tishman et al. (2006) addresses these concerns by explaining that ongoing support to teachers is vital to ensure that check-ins are conducted effectively and sensitively, and that regular teacher training should be built into teachers’ timetables. </w:t>
      </w:r>
      <w:r w:rsidR="001544F0">
        <w:rPr>
          <w:rFonts w:ascii="Arial" w:hAnsi="Arial" w:cs="Arial"/>
          <w:color w:val="0D0D0D"/>
          <w:sz w:val="22"/>
          <w:szCs w:val="22"/>
          <w:shd w:val="clear" w:color="auto" w:fill="FFFFFF"/>
        </w:rPr>
        <w:t>Another criticism of wellbeing check-ins is that strong peer or teacher-pupil relationships may inadvertently lead to a sense of favouritism, leading to feelings of resentment or exclusion amongst pupils (Brophy &amp; Good, 1986).</w:t>
      </w:r>
      <w:r w:rsidR="00D854E7">
        <w:rPr>
          <w:rFonts w:ascii="Arial" w:hAnsi="Arial" w:cs="Arial"/>
          <w:color w:val="0D0D0D"/>
          <w:sz w:val="22"/>
          <w:szCs w:val="22"/>
          <w:shd w:val="clear" w:color="auto" w:fill="FFFFFF"/>
        </w:rPr>
        <w:t xml:space="preserve"> This can be tackled through a whole-school approach to mental health and wellbeing, as this will ensure that pupils have access to the same level of wellbeing support and check-ins throughout their time in education, minimising the risk of bias or favouritism, and promoting a school’s “continual drive to promote resilience within the children and young people in their care” (Howard et al., 2017, p. 26). </w:t>
      </w:r>
      <w:r w:rsidR="00CF5CEF">
        <w:rPr>
          <w:rFonts w:ascii="Arial" w:hAnsi="Arial" w:cs="Arial"/>
          <w:color w:val="0D0D0D"/>
          <w:sz w:val="22"/>
          <w:szCs w:val="22"/>
          <w:shd w:val="clear" w:color="auto" w:fill="FFFFFF"/>
        </w:rPr>
        <w:t xml:space="preserve">Baker et al. (2008) explains that teachers must be very clear with setting appropriate boundaries between themselves and pupils, and teachers must navigate the complexities of building positive rapport, whilst upholding professional standards and safeguarding the wellbeing of all pupils. </w:t>
      </w:r>
      <w:r w:rsidR="00CF5CEF">
        <w:rPr>
          <w:rFonts w:ascii="Arial" w:hAnsi="Arial" w:cs="Arial"/>
          <w:color w:val="0D0D0D"/>
          <w:sz w:val="22"/>
          <w:szCs w:val="22"/>
          <w:shd w:val="clear" w:color="auto" w:fill="FFFFFF"/>
        </w:rPr>
        <w:t>Johnson and Watson (2011)</w:t>
      </w:r>
      <w:r w:rsidR="00CF5CEF">
        <w:rPr>
          <w:rFonts w:ascii="Arial" w:hAnsi="Arial" w:cs="Arial"/>
          <w:color w:val="0D0D0D"/>
          <w:sz w:val="22"/>
          <w:szCs w:val="22"/>
          <w:shd w:val="clear" w:color="auto" w:fill="FFFFFF"/>
        </w:rPr>
        <w:t xml:space="preserve"> </w:t>
      </w:r>
      <w:r w:rsidR="00E70F92">
        <w:rPr>
          <w:rFonts w:ascii="Arial" w:hAnsi="Arial" w:cs="Arial"/>
          <w:color w:val="0D0D0D"/>
          <w:sz w:val="22"/>
          <w:szCs w:val="22"/>
          <w:shd w:val="clear" w:color="auto" w:fill="FFFFFF"/>
        </w:rPr>
        <w:t>take</w:t>
      </w:r>
      <w:r w:rsidR="00CF5CEF">
        <w:rPr>
          <w:rFonts w:ascii="Arial" w:hAnsi="Arial" w:cs="Arial"/>
          <w:color w:val="0D0D0D"/>
          <w:sz w:val="22"/>
          <w:szCs w:val="22"/>
          <w:shd w:val="clear" w:color="auto" w:fill="FFFFFF"/>
        </w:rPr>
        <w:t xml:space="preserve"> this idea further, explaining that a safe learning environment is key when conducting check-ins, and should be the centre </w:t>
      </w:r>
      <w:r w:rsidR="00AA740C">
        <w:rPr>
          <w:rFonts w:ascii="Arial" w:hAnsi="Arial" w:cs="Arial"/>
          <w:color w:val="0D0D0D"/>
          <w:sz w:val="22"/>
          <w:szCs w:val="22"/>
          <w:shd w:val="clear" w:color="auto" w:fill="FFFFFF"/>
        </w:rPr>
        <w:t xml:space="preserve">of </w:t>
      </w:r>
      <w:r w:rsidR="00CF5CEF">
        <w:rPr>
          <w:rFonts w:ascii="Arial" w:hAnsi="Arial" w:cs="Arial"/>
          <w:color w:val="0D0D0D"/>
          <w:sz w:val="22"/>
          <w:szCs w:val="22"/>
          <w:shd w:val="clear" w:color="auto" w:fill="FFFFFF"/>
        </w:rPr>
        <w:t xml:space="preserve">the whole-school approach to wellbeing. </w:t>
      </w:r>
    </w:p>
    <w:p w14:paraId="177972EF" w14:textId="77777777" w:rsidR="00E70F92" w:rsidRDefault="00E70F92" w:rsidP="005A2F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p>
    <w:p w14:paraId="10261393" w14:textId="49CB70CA" w:rsidR="00F00858" w:rsidRPr="00F00858" w:rsidRDefault="00AA740C" w:rsidP="005A2F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 xml:space="preserve">Another important aspect when discussing wellbeing is </w:t>
      </w:r>
      <w:r w:rsidR="00F00858">
        <w:rPr>
          <w:rFonts w:ascii="Arial" w:hAnsi="Arial" w:cs="Arial"/>
          <w:color w:val="0D0D0D"/>
          <w:sz w:val="22"/>
          <w:szCs w:val="22"/>
          <w:shd w:val="clear" w:color="auto" w:fill="FFFFFF"/>
        </w:rPr>
        <w:t xml:space="preserve">that pupils are given the opportunity to have their </w:t>
      </w:r>
      <w:r w:rsidR="00F00858" w:rsidRPr="00F00858">
        <w:rPr>
          <w:rFonts w:ascii="Arial" w:hAnsi="Arial" w:cs="Arial"/>
          <w:color w:val="0D0D0D"/>
          <w:sz w:val="22"/>
          <w:szCs w:val="22"/>
          <w:shd w:val="clear" w:color="auto" w:fill="FFFFFF"/>
        </w:rPr>
        <w:t>voice heard,</w:t>
      </w:r>
      <w:r w:rsidR="00F00858">
        <w:rPr>
          <w:rFonts w:ascii="Arial" w:hAnsi="Arial" w:cs="Arial"/>
          <w:color w:val="0D0D0D"/>
          <w:sz w:val="22"/>
          <w:szCs w:val="22"/>
          <w:shd w:val="clear" w:color="auto" w:fill="FFFFFF"/>
        </w:rPr>
        <w:t xml:space="preserve"> as</w:t>
      </w:r>
      <w:r w:rsidR="00F00858" w:rsidRPr="00F00858">
        <w:rPr>
          <w:rFonts w:ascii="Arial" w:hAnsi="Arial" w:cs="Arial"/>
          <w:color w:val="0D0D0D"/>
          <w:sz w:val="22"/>
          <w:szCs w:val="22"/>
          <w:shd w:val="clear" w:color="auto" w:fill="FFFFFF"/>
        </w:rPr>
        <w:t xml:space="preserve"> under Article 12 of the United Nations Convention on the Rights of the Child it states that “e</w:t>
      </w:r>
      <w:r w:rsidR="00F00858" w:rsidRPr="00F00858">
        <w:rPr>
          <w:rFonts w:ascii="Arial" w:hAnsi="Arial" w:cs="Arial"/>
          <w:sz w:val="22"/>
          <w:szCs w:val="22"/>
        </w:rPr>
        <w:t>very child has the right to express their views, feelings and wishes in all matters affecting them</w:t>
      </w:r>
      <w:r w:rsidR="00F00858" w:rsidRPr="00F00858">
        <w:rPr>
          <w:rFonts w:ascii="Arial" w:hAnsi="Arial" w:cs="Arial"/>
          <w:sz w:val="22"/>
          <w:szCs w:val="22"/>
        </w:rPr>
        <w:t>”</w:t>
      </w:r>
      <w:r w:rsidR="00F00858">
        <w:rPr>
          <w:rFonts w:ascii="Arial" w:hAnsi="Arial" w:cs="Arial"/>
          <w:sz w:val="22"/>
          <w:szCs w:val="22"/>
        </w:rPr>
        <w:t xml:space="preserve"> </w:t>
      </w:r>
      <w:r w:rsidR="00F0404C">
        <w:rPr>
          <w:rFonts w:ascii="Arial" w:hAnsi="Arial" w:cs="Arial"/>
          <w:sz w:val="22"/>
          <w:szCs w:val="22"/>
        </w:rPr>
        <w:t xml:space="preserve">(UNICEF, 1989, p 1). Weare (2015) explains that it is important for children and young people to have a genuine voice, as their wellbeing and mental health rests on their ability to feel a genuine sense of control over themselves. Robinson (2014) </w:t>
      </w:r>
      <w:r>
        <w:rPr>
          <w:rFonts w:ascii="Arial" w:hAnsi="Arial" w:cs="Arial"/>
          <w:sz w:val="22"/>
          <w:szCs w:val="22"/>
        </w:rPr>
        <w:t xml:space="preserve">suggests that when pupils are given these opportunities to be heard, their conflict resolution skills also improve, leading to a reduction in negative incidents in schools, such as bullying. </w:t>
      </w:r>
    </w:p>
    <w:p w14:paraId="271B8121" w14:textId="77777777" w:rsidR="00F00858" w:rsidRPr="00F00858" w:rsidRDefault="00F00858"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4C94D8" w:themeColor="text2" w:themeTint="80"/>
          <w:kern w:val="0"/>
          <w:sz w:val="22"/>
          <w:szCs w:val="22"/>
        </w:rPr>
      </w:pPr>
    </w:p>
    <w:p w14:paraId="7B541A10" w14:textId="2272F63E" w:rsidR="00371D1B"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537310">
        <w:rPr>
          <w:rFonts w:ascii="Arial" w:hAnsi="Arial" w:cs="Arial"/>
          <w:b/>
          <w:bCs/>
          <w:kern w:val="0"/>
          <w:sz w:val="28"/>
          <w:szCs w:val="28"/>
        </w:rPr>
        <w:t>Explanation of Case Study</w:t>
      </w:r>
    </w:p>
    <w:p w14:paraId="001DE284" w14:textId="77777777" w:rsidR="00AC1810" w:rsidRPr="00537310" w:rsidRDefault="00AC1810"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p>
    <w:p w14:paraId="297DD9D7" w14:textId="6C53BCA1" w:rsidR="00DD502B" w:rsidRDefault="00537310" w:rsidP="005373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There are three different types of case study: evaluative, exploratory, and explanatory. </w:t>
      </w:r>
      <w:r w:rsidR="001E6965" w:rsidRPr="00537310">
        <w:rPr>
          <w:rFonts w:ascii="Arial" w:hAnsi="Arial" w:cs="Arial"/>
          <w:kern w:val="0"/>
          <w:sz w:val="22"/>
          <w:szCs w:val="22"/>
        </w:rPr>
        <w:t xml:space="preserve">This research </w:t>
      </w:r>
      <w:r>
        <w:rPr>
          <w:rFonts w:ascii="Arial" w:hAnsi="Arial" w:cs="Arial"/>
          <w:kern w:val="0"/>
          <w:sz w:val="22"/>
          <w:szCs w:val="22"/>
        </w:rPr>
        <w:t xml:space="preserve">project </w:t>
      </w:r>
      <w:r w:rsidR="001E6965" w:rsidRPr="00537310">
        <w:rPr>
          <w:rFonts w:ascii="Arial" w:hAnsi="Arial" w:cs="Arial"/>
          <w:kern w:val="0"/>
          <w:sz w:val="22"/>
          <w:szCs w:val="22"/>
        </w:rPr>
        <w:t>takes a</w:t>
      </w:r>
      <w:r>
        <w:rPr>
          <w:rFonts w:ascii="Arial" w:hAnsi="Arial" w:cs="Arial"/>
          <w:kern w:val="0"/>
          <w:sz w:val="22"/>
          <w:szCs w:val="22"/>
        </w:rPr>
        <w:t>n exploratory</w:t>
      </w:r>
      <w:r w:rsidR="001E6965" w:rsidRPr="00537310">
        <w:rPr>
          <w:rFonts w:ascii="Arial" w:hAnsi="Arial" w:cs="Arial"/>
          <w:kern w:val="0"/>
          <w:sz w:val="22"/>
          <w:szCs w:val="22"/>
        </w:rPr>
        <w:t xml:space="preserve"> case study approac</w:t>
      </w:r>
      <w:r>
        <w:rPr>
          <w:rFonts w:ascii="Arial" w:hAnsi="Arial" w:cs="Arial"/>
          <w:kern w:val="0"/>
          <w:sz w:val="22"/>
          <w:szCs w:val="22"/>
        </w:rPr>
        <w:t xml:space="preserve">h, which can be defined as being an “in-depth exploration from multiple perspectives of the complexity and uniqueness of a particular project, policy, institution, programme, or system in a ‘real life’ context” (Simons, 2009, p. 21), </w:t>
      </w:r>
      <w:r w:rsidR="005C3361">
        <w:rPr>
          <w:rFonts w:ascii="Arial" w:hAnsi="Arial" w:cs="Arial"/>
          <w:kern w:val="0"/>
          <w:sz w:val="22"/>
          <w:szCs w:val="22"/>
        </w:rPr>
        <w:t>Simons (2009) also</w:t>
      </w:r>
      <w:r>
        <w:rPr>
          <w:rFonts w:ascii="Arial" w:hAnsi="Arial" w:cs="Arial"/>
          <w:kern w:val="0"/>
          <w:sz w:val="22"/>
          <w:szCs w:val="22"/>
        </w:rPr>
        <w:t xml:space="preserve"> describe</w:t>
      </w:r>
      <w:r w:rsidR="005C3361">
        <w:rPr>
          <w:rFonts w:ascii="Arial" w:hAnsi="Arial" w:cs="Arial"/>
          <w:kern w:val="0"/>
          <w:sz w:val="22"/>
          <w:szCs w:val="22"/>
        </w:rPr>
        <w:t>s</w:t>
      </w:r>
      <w:r>
        <w:rPr>
          <w:rFonts w:ascii="Arial" w:hAnsi="Arial" w:cs="Arial"/>
          <w:kern w:val="0"/>
          <w:sz w:val="22"/>
          <w:szCs w:val="22"/>
        </w:rPr>
        <w:t xml:space="preserve"> it as research-based, using different methods to </w:t>
      </w:r>
      <w:r>
        <w:rPr>
          <w:rFonts w:ascii="Arial" w:hAnsi="Arial" w:cs="Arial"/>
          <w:kern w:val="0"/>
          <w:sz w:val="22"/>
          <w:szCs w:val="22"/>
        </w:rPr>
        <w:lastRenderedPageBreak/>
        <w:t>gather the evidence</w:t>
      </w:r>
      <w:r w:rsidR="005C3361">
        <w:rPr>
          <w:rFonts w:ascii="Arial" w:hAnsi="Arial" w:cs="Arial"/>
          <w:kern w:val="0"/>
          <w:sz w:val="22"/>
          <w:szCs w:val="22"/>
        </w:rPr>
        <w:t>, with the main purpose being to generate a deep understanding of the topic in question, and can be used to inform professional practice. Yin (</w:t>
      </w:r>
      <w:r w:rsidR="00976FFF">
        <w:rPr>
          <w:rFonts w:ascii="Arial" w:hAnsi="Arial" w:cs="Arial"/>
          <w:kern w:val="0"/>
          <w:sz w:val="22"/>
          <w:szCs w:val="22"/>
        </w:rPr>
        <w:t>2014</w:t>
      </w:r>
      <w:r w:rsidR="005C3361">
        <w:rPr>
          <w:rFonts w:ascii="Arial" w:hAnsi="Arial" w:cs="Arial"/>
          <w:kern w:val="0"/>
          <w:sz w:val="22"/>
          <w:szCs w:val="22"/>
        </w:rPr>
        <w:t xml:space="preserve">) gives a similar understanding of what a case study is, through describing it as an empirical inquiry that is studying something that is happening in the present, in its real-life setting; it involves using evidence obtained through observation, questioning, and drawing conclusions that make inferences about the natural world or human behaviour. </w:t>
      </w:r>
      <w:r w:rsidR="002D0420">
        <w:rPr>
          <w:rFonts w:ascii="Arial" w:hAnsi="Arial" w:cs="Arial"/>
          <w:kern w:val="0"/>
          <w:sz w:val="22"/>
          <w:szCs w:val="22"/>
        </w:rPr>
        <w:t>Case studies allow researchers to explore complex phenomena in their rea</w:t>
      </w:r>
      <w:r w:rsidR="00785158">
        <w:rPr>
          <w:rFonts w:ascii="Arial" w:hAnsi="Arial" w:cs="Arial"/>
          <w:kern w:val="0"/>
          <w:sz w:val="22"/>
          <w:szCs w:val="22"/>
        </w:rPr>
        <w:t>l</w:t>
      </w:r>
      <w:r w:rsidR="002D0420">
        <w:rPr>
          <w:rFonts w:ascii="Arial" w:hAnsi="Arial" w:cs="Arial"/>
          <w:kern w:val="0"/>
          <w:sz w:val="22"/>
          <w:szCs w:val="22"/>
        </w:rPr>
        <w:t xml:space="preserve">-life contexts, which allows a detailed understanding that may not be gained through the use of quantitative data methods alone (Yin, 2014). </w:t>
      </w:r>
      <w:r w:rsidR="006A75AC">
        <w:rPr>
          <w:rFonts w:ascii="Arial" w:hAnsi="Arial" w:cs="Arial"/>
          <w:kern w:val="0"/>
          <w:sz w:val="22"/>
          <w:szCs w:val="22"/>
        </w:rPr>
        <w:t xml:space="preserve">Thomas (2011) goes on to say that a case study is an exploration of </w:t>
      </w:r>
      <w:r w:rsidR="002D0420">
        <w:rPr>
          <w:rFonts w:ascii="Arial" w:hAnsi="Arial" w:cs="Arial"/>
          <w:kern w:val="0"/>
          <w:sz w:val="22"/>
          <w:szCs w:val="22"/>
        </w:rPr>
        <w:t>phenomena and</w:t>
      </w:r>
      <w:r w:rsidR="006A75AC">
        <w:rPr>
          <w:rFonts w:ascii="Arial" w:hAnsi="Arial" w:cs="Arial"/>
          <w:kern w:val="0"/>
          <w:sz w:val="22"/>
          <w:szCs w:val="22"/>
        </w:rPr>
        <w:t xml:space="preserve"> must be studied holistically through at least one type of method, this could be observation, or questioning of the phenomena.</w:t>
      </w:r>
    </w:p>
    <w:p w14:paraId="0AE1D437" w14:textId="77777777" w:rsidR="00DD502B" w:rsidRDefault="00DD502B" w:rsidP="005373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2A84862F" w14:textId="7520B44B" w:rsidR="00F66008" w:rsidRDefault="00F66008" w:rsidP="005373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kern w:val="0"/>
          <w:sz w:val="22"/>
          <w:szCs w:val="22"/>
        </w:rPr>
        <w:t xml:space="preserve">The advantages of case studies are numerous, chiefly they provide rich data related to the research project as they are in depth studies of phenomena, using multiple research methods, and are centred around real-life situations, therefore giving an accurate reflection of the research topic. Case studies allow for a range of data collection, including observations, questionnaires, and interviews, which allow for a holistic view of the subject being studied. </w:t>
      </w:r>
      <w:r w:rsidR="005A7C10">
        <w:rPr>
          <w:rFonts w:ascii="Arial" w:hAnsi="Arial" w:cs="Arial"/>
          <w:kern w:val="0"/>
          <w:sz w:val="22"/>
          <w:szCs w:val="22"/>
        </w:rPr>
        <w:t>Another advantage of case studies is the flexibility that it offers, as they are open-ended and the researcher is able to approach the research and conduct it however</w:t>
      </w:r>
      <w:r w:rsidR="00785158">
        <w:rPr>
          <w:rFonts w:ascii="Arial" w:hAnsi="Arial" w:cs="Arial"/>
          <w:kern w:val="0"/>
          <w:sz w:val="22"/>
          <w:szCs w:val="22"/>
        </w:rPr>
        <w:t xml:space="preserve"> </w:t>
      </w:r>
      <w:r w:rsidR="005A7C10">
        <w:rPr>
          <w:rFonts w:ascii="Arial" w:hAnsi="Arial" w:cs="Arial"/>
          <w:kern w:val="0"/>
          <w:sz w:val="22"/>
          <w:szCs w:val="22"/>
        </w:rPr>
        <w:t xml:space="preserve">they feel works best for the situation, it is also very cost-effective and does not require the researcher to use any other resources than those they already have access to. Case studies can also aid in the advancement of theories by offering empirical evidence to corroborate or enhance current </w:t>
      </w:r>
      <w:r w:rsidR="005A7C10" w:rsidRPr="005A7C10">
        <w:rPr>
          <w:rFonts w:ascii="Arial" w:hAnsi="Arial" w:cs="Arial"/>
          <w:kern w:val="0"/>
          <w:sz w:val="22"/>
          <w:szCs w:val="22"/>
        </w:rPr>
        <w:t>theories, whilst also generating new theoretical insights and perspectives (</w:t>
      </w:r>
      <w:r w:rsidR="005A7C10" w:rsidRPr="005A7C10">
        <w:rPr>
          <w:rFonts w:ascii="Arial" w:hAnsi="Arial" w:cs="Arial"/>
          <w:color w:val="0D0D0D"/>
          <w:sz w:val="22"/>
          <w:szCs w:val="22"/>
          <w:shd w:val="clear" w:color="auto" w:fill="FFFFFF"/>
        </w:rPr>
        <w:t>Eisenhardt, 1989</w:t>
      </w:r>
      <w:r w:rsidR="005A7C10" w:rsidRPr="005A7C10">
        <w:rPr>
          <w:rFonts w:ascii="Arial" w:hAnsi="Arial" w:cs="Arial"/>
          <w:color w:val="0D0D0D"/>
          <w:sz w:val="22"/>
          <w:szCs w:val="22"/>
          <w:shd w:val="clear" w:color="auto" w:fill="FFFFFF"/>
        </w:rPr>
        <w:t>).</w:t>
      </w:r>
    </w:p>
    <w:p w14:paraId="42A44054" w14:textId="77777777" w:rsidR="0031128D" w:rsidRDefault="0031128D" w:rsidP="005373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p>
    <w:p w14:paraId="7D2A015B" w14:textId="371EC5B4" w:rsidR="00F66008" w:rsidRDefault="0031128D" w:rsidP="005373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 xml:space="preserve">There are limitations to using the </w:t>
      </w:r>
      <w:r w:rsidRPr="0031128D">
        <w:rPr>
          <w:rFonts w:ascii="Arial" w:hAnsi="Arial" w:cs="Arial"/>
          <w:color w:val="0D0D0D"/>
          <w:sz w:val="22"/>
          <w:szCs w:val="22"/>
          <w:shd w:val="clear" w:color="auto" w:fill="FFFFFF"/>
        </w:rPr>
        <w:t>case study approach, the first of which is d</w:t>
      </w:r>
      <w:r w:rsidRPr="0031128D">
        <w:rPr>
          <w:rFonts w:ascii="Arial" w:hAnsi="Arial" w:cs="Arial"/>
          <w:color w:val="0D0D0D"/>
          <w:sz w:val="22"/>
          <w:szCs w:val="22"/>
          <w:shd w:val="clear" w:color="auto" w:fill="FFFFFF"/>
        </w:rPr>
        <w:t xml:space="preserve">ue to their subjective nature, </w:t>
      </w:r>
      <w:r w:rsidRPr="0031128D">
        <w:rPr>
          <w:rFonts w:ascii="Arial" w:hAnsi="Arial" w:cs="Arial"/>
          <w:color w:val="0D0D0D"/>
          <w:sz w:val="22"/>
          <w:szCs w:val="22"/>
          <w:shd w:val="clear" w:color="auto" w:fill="FFFFFF"/>
        </w:rPr>
        <w:t>they</w:t>
      </w:r>
      <w:r w:rsidRPr="0031128D">
        <w:rPr>
          <w:rFonts w:ascii="Arial" w:hAnsi="Arial" w:cs="Arial"/>
          <w:color w:val="0D0D0D"/>
          <w:sz w:val="22"/>
          <w:szCs w:val="22"/>
          <w:shd w:val="clear" w:color="auto" w:fill="FFFFFF"/>
        </w:rPr>
        <w:t xml:space="preserve"> are highly susceptible to research bias. The personal values and beliefs of the researcher may influence the objectivity of the analysis, potentially distorting results and overlooking significant findings.</w:t>
      </w:r>
      <w:r w:rsidR="00507A8A">
        <w:rPr>
          <w:rFonts w:ascii="Arial" w:hAnsi="Arial" w:cs="Arial"/>
          <w:color w:val="0D0D0D"/>
          <w:sz w:val="22"/>
          <w:szCs w:val="22"/>
          <w:shd w:val="clear" w:color="auto" w:fill="FFFFFF"/>
        </w:rPr>
        <w:t xml:space="preserve"> There are also concerns over the generalisability of the research findings, as case studies are often focusing on specific contexts, and therefore may not be applied to the general population. Additionally, due to case studies being analysed in real-life contexts, they are not easy to replicate and therefore their reliability could also be questioned; along with the small-scale samples being used, they may not be reliable when looking at the general population, thus correlations identified could also be questioned. The final limitation is that case studies can be resource-intensive and time-consuming, requiring large amounts of time dedicated to data collection and analysis.</w:t>
      </w:r>
    </w:p>
    <w:p w14:paraId="5BD9A54D" w14:textId="7028680A" w:rsidR="00537310" w:rsidRDefault="00537310" w:rsidP="005373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p>
    <w:p w14:paraId="1A2B245D" w14:textId="3B87994A" w:rsidR="00AB3908" w:rsidRPr="00AB3908" w:rsidRDefault="009652A8"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lastRenderedPageBreak/>
        <w:t>A purposeful sampling technique was used in this case study, through using a mixture of typical case and critical case sampling</w:t>
      </w:r>
      <w:r w:rsidR="007845A8">
        <w:rPr>
          <w:rFonts w:ascii="Arial" w:hAnsi="Arial" w:cs="Arial"/>
          <w:color w:val="0D0D0D"/>
          <w:sz w:val="22"/>
          <w:szCs w:val="22"/>
          <w:shd w:val="clear" w:color="auto" w:fill="FFFFFF"/>
        </w:rPr>
        <w:t xml:space="preserve"> (Patton, 2015). This was</w:t>
      </w:r>
      <w:r>
        <w:rPr>
          <w:rFonts w:ascii="Arial" w:hAnsi="Arial" w:cs="Arial"/>
          <w:color w:val="0D0D0D"/>
          <w:sz w:val="22"/>
          <w:szCs w:val="22"/>
          <w:shd w:val="clear" w:color="auto" w:fill="FFFFFF"/>
        </w:rPr>
        <w:t xml:space="preserve"> to ensure that the sample being </w:t>
      </w:r>
      <w:r w:rsidR="007845A8">
        <w:rPr>
          <w:rFonts w:ascii="Arial" w:hAnsi="Arial" w:cs="Arial"/>
          <w:color w:val="0D0D0D"/>
          <w:sz w:val="22"/>
          <w:szCs w:val="22"/>
          <w:shd w:val="clear" w:color="auto" w:fill="FFFFFF"/>
        </w:rPr>
        <w:t>used</w:t>
      </w:r>
      <w:r>
        <w:rPr>
          <w:rFonts w:ascii="Arial" w:hAnsi="Arial" w:cs="Arial"/>
          <w:color w:val="0D0D0D"/>
          <w:sz w:val="22"/>
          <w:szCs w:val="22"/>
          <w:shd w:val="clear" w:color="auto" w:fill="FFFFFF"/>
        </w:rPr>
        <w:t xml:space="preserve"> for the group interview were </w:t>
      </w:r>
      <w:r w:rsidR="007845A8">
        <w:rPr>
          <w:rFonts w:ascii="Arial" w:hAnsi="Arial" w:cs="Arial"/>
          <w:color w:val="0D0D0D"/>
          <w:sz w:val="22"/>
          <w:szCs w:val="22"/>
          <w:shd w:val="clear" w:color="auto" w:fill="FFFFFF"/>
        </w:rPr>
        <w:t xml:space="preserve">reflective of the pupils that would benefit the most from sharing their experiences and opinions. It was noted by the class teacher that some of the pupils were particularly struggling to build positive relationships within the classroom, so it was important to give these pupils the opportunity to discuss and reflect on the daily wellbeing check-ins that were being implemented into class. It was also necessary to include a mixture of typical case sampling, to ensure there was representation from both extremes of the classroom. The sample size for the interview was seven pupils, </w:t>
      </w:r>
      <w:r w:rsidR="00785158">
        <w:rPr>
          <w:rFonts w:ascii="Arial" w:hAnsi="Arial" w:cs="Arial"/>
          <w:color w:val="0D0D0D"/>
          <w:sz w:val="22"/>
          <w:szCs w:val="22"/>
          <w:shd w:val="clear" w:color="auto" w:fill="FFFFFF"/>
        </w:rPr>
        <w:t>with</w:t>
      </w:r>
      <w:r w:rsidR="007845A8">
        <w:rPr>
          <w:rFonts w:ascii="Arial" w:hAnsi="Arial" w:cs="Arial"/>
          <w:color w:val="0D0D0D"/>
          <w:sz w:val="22"/>
          <w:szCs w:val="22"/>
          <w:shd w:val="clear" w:color="auto" w:fill="FFFFFF"/>
        </w:rPr>
        <w:t xml:space="preserve"> </w:t>
      </w:r>
      <w:r w:rsidR="00AB3908">
        <w:rPr>
          <w:rFonts w:ascii="Arial" w:hAnsi="Arial" w:cs="Arial"/>
          <w:color w:val="0D0D0D"/>
          <w:sz w:val="22"/>
          <w:szCs w:val="22"/>
          <w:shd w:val="clear" w:color="auto" w:fill="FFFFFF"/>
        </w:rPr>
        <w:t>twenty-five</w:t>
      </w:r>
      <w:r w:rsidR="007845A8">
        <w:rPr>
          <w:rFonts w:ascii="Arial" w:hAnsi="Arial" w:cs="Arial"/>
          <w:color w:val="0D0D0D"/>
          <w:sz w:val="22"/>
          <w:szCs w:val="22"/>
          <w:shd w:val="clear" w:color="auto" w:fill="FFFFFF"/>
        </w:rPr>
        <w:t xml:space="preserve"> pupils being included in the questionnaire sample. </w:t>
      </w:r>
    </w:p>
    <w:p w14:paraId="01D99160" w14:textId="77777777" w:rsidR="007845A8" w:rsidRPr="007E7ED7" w:rsidRDefault="007845A8"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rPr>
      </w:pPr>
    </w:p>
    <w:p w14:paraId="2DDEA3A5" w14:textId="13354DA9" w:rsidR="00371D1B" w:rsidRPr="000369B3"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0369B3">
        <w:rPr>
          <w:rFonts w:ascii="Arial" w:hAnsi="Arial" w:cs="Arial"/>
          <w:b/>
          <w:bCs/>
          <w:kern w:val="0"/>
          <w:sz w:val="28"/>
          <w:szCs w:val="28"/>
        </w:rPr>
        <w:t>Research methods</w:t>
      </w:r>
    </w:p>
    <w:p w14:paraId="5138ACCF" w14:textId="77777777" w:rsidR="00371D1B"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A02B93" w:themeColor="accent5"/>
          <w:kern w:val="0"/>
          <w:sz w:val="22"/>
          <w:szCs w:val="22"/>
        </w:rPr>
      </w:pPr>
    </w:p>
    <w:p w14:paraId="1245C9AD" w14:textId="6EDF84CD" w:rsidR="005954E5" w:rsidRDefault="00910239"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w:t>
      </w:r>
      <w:r w:rsidR="0012550A">
        <w:rPr>
          <w:rFonts w:ascii="Arial" w:hAnsi="Arial" w:cs="Arial"/>
          <w:kern w:val="0"/>
          <w:sz w:val="22"/>
          <w:szCs w:val="22"/>
        </w:rPr>
        <w:t>two</w:t>
      </w:r>
      <w:r>
        <w:rPr>
          <w:rFonts w:ascii="Arial" w:hAnsi="Arial" w:cs="Arial"/>
          <w:kern w:val="0"/>
          <w:sz w:val="22"/>
          <w:szCs w:val="22"/>
        </w:rPr>
        <w:t xml:space="preserve"> research methods chosen to be used in this case study were a q</w:t>
      </w:r>
      <w:r w:rsidR="005954E5" w:rsidRPr="005954E5">
        <w:rPr>
          <w:rFonts w:ascii="Arial" w:hAnsi="Arial" w:cs="Arial"/>
          <w:kern w:val="0"/>
          <w:sz w:val="22"/>
          <w:szCs w:val="22"/>
        </w:rPr>
        <w:t xml:space="preserve">uestionnaire, </w:t>
      </w:r>
      <w:r w:rsidR="0012550A">
        <w:rPr>
          <w:rFonts w:ascii="Arial" w:hAnsi="Arial" w:cs="Arial"/>
          <w:kern w:val="0"/>
          <w:sz w:val="22"/>
          <w:szCs w:val="22"/>
        </w:rPr>
        <w:t xml:space="preserve">and </w:t>
      </w:r>
      <w:r>
        <w:rPr>
          <w:rFonts w:ascii="Arial" w:hAnsi="Arial" w:cs="Arial"/>
          <w:kern w:val="0"/>
          <w:sz w:val="22"/>
          <w:szCs w:val="22"/>
        </w:rPr>
        <w:t xml:space="preserve">a </w:t>
      </w:r>
      <w:r w:rsidR="005954E5" w:rsidRPr="005954E5">
        <w:rPr>
          <w:rFonts w:ascii="Arial" w:hAnsi="Arial" w:cs="Arial"/>
          <w:kern w:val="0"/>
          <w:sz w:val="22"/>
          <w:szCs w:val="22"/>
        </w:rPr>
        <w:t>group interview.</w:t>
      </w:r>
      <w:r>
        <w:rPr>
          <w:rFonts w:ascii="Arial" w:hAnsi="Arial" w:cs="Arial"/>
          <w:kern w:val="0"/>
          <w:sz w:val="22"/>
          <w:szCs w:val="22"/>
        </w:rPr>
        <w:t xml:space="preserve"> The first research method used was a questionnaire given to pupils at the start of the case study and used as an indicator as to how the pupils felt about conducting daily wellbeing check-ins, and their current effectiveness, based on the check-in process that was being used in the classroom at the time. Consent forms were given to every pupil in the class, with 25 of these being returned; the intention with using the majority of the class was to get an overall feel for how pupils engaged and responded to check-ins. </w:t>
      </w:r>
    </w:p>
    <w:p w14:paraId="5E01BAE7" w14:textId="77777777" w:rsidR="00910239" w:rsidRDefault="00910239"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078484AD" w14:textId="4FA2AADC" w:rsidR="005954E5" w:rsidRDefault="00910239"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The questionnaires were created without a</w:t>
      </w:r>
      <w:r w:rsidR="00757F1F">
        <w:rPr>
          <w:rFonts w:ascii="Arial" w:hAnsi="Arial" w:cs="Arial"/>
          <w:kern w:val="0"/>
          <w:sz w:val="22"/>
          <w:szCs w:val="22"/>
        </w:rPr>
        <w:t xml:space="preserve"> section </w:t>
      </w:r>
      <w:r>
        <w:rPr>
          <w:rFonts w:ascii="Arial" w:hAnsi="Arial" w:cs="Arial"/>
          <w:kern w:val="0"/>
          <w:sz w:val="22"/>
          <w:szCs w:val="22"/>
        </w:rPr>
        <w:t>for pupils to put their names, to ensure anonymity, it was also repeated several times to the pupils not to put their names on the sheets. This anonymity and confidentiality g</w:t>
      </w:r>
      <w:r w:rsidR="0093260F">
        <w:rPr>
          <w:rFonts w:ascii="Arial" w:hAnsi="Arial" w:cs="Arial"/>
          <w:kern w:val="0"/>
          <w:sz w:val="22"/>
          <w:szCs w:val="22"/>
        </w:rPr>
        <w:t>ave</w:t>
      </w:r>
      <w:r>
        <w:rPr>
          <w:rFonts w:ascii="Arial" w:hAnsi="Arial" w:cs="Arial"/>
          <w:kern w:val="0"/>
          <w:sz w:val="22"/>
          <w:szCs w:val="22"/>
        </w:rPr>
        <w:t xml:space="preserve"> participants the confidence to respond honestly, without fear of reprimand</w:t>
      </w:r>
      <w:r w:rsidR="0093260F">
        <w:rPr>
          <w:rFonts w:ascii="Arial" w:hAnsi="Arial" w:cs="Arial"/>
          <w:kern w:val="0"/>
          <w:sz w:val="22"/>
          <w:szCs w:val="22"/>
        </w:rPr>
        <w:t>, and can lead to more accurate responses (Tourangeau et al., 2013), particularly as the questionnaire was asking about how pupils feel when sharing their feelings as a whole-class discussion.</w:t>
      </w:r>
      <w:r w:rsidR="00757F1F">
        <w:rPr>
          <w:rFonts w:ascii="Arial" w:hAnsi="Arial" w:cs="Arial"/>
          <w:kern w:val="0"/>
          <w:sz w:val="22"/>
          <w:szCs w:val="22"/>
        </w:rPr>
        <w:t xml:space="preserve"> Additionally, any queries over accessibility were met by speaking with the class teacher and seeing whether any pupils required support to read the questions, or the questionnaire being delivered electronically or in a more accessible format, this expanded the reach of the case study and promoted inclusivity (Couper, 2017). </w:t>
      </w:r>
      <w:r w:rsidR="005A5897">
        <w:rPr>
          <w:rFonts w:ascii="Arial" w:hAnsi="Arial" w:cs="Arial"/>
          <w:kern w:val="0"/>
          <w:sz w:val="22"/>
          <w:szCs w:val="22"/>
        </w:rPr>
        <w:t xml:space="preserve">Another strength of using a questionnaire is the efficiency and cost-effectiveness, as </w:t>
      </w:r>
      <w:r w:rsidR="00785158">
        <w:rPr>
          <w:rFonts w:ascii="Arial" w:hAnsi="Arial" w:cs="Arial"/>
          <w:kern w:val="0"/>
          <w:sz w:val="22"/>
          <w:szCs w:val="22"/>
        </w:rPr>
        <w:t>it</w:t>
      </w:r>
      <w:r w:rsidR="005A5897">
        <w:rPr>
          <w:rFonts w:ascii="Arial" w:hAnsi="Arial" w:cs="Arial"/>
          <w:kern w:val="0"/>
          <w:sz w:val="22"/>
          <w:szCs w:val="22"/>
        </w:rPr>
        <w:t xml:space="preserve"> allowed for a wide audience to be surveyed in a short period of time, without significant expenses (Bowling, 2014). </w:t>
      </w:r>
    </w:p>
    <w:p w14:paraId="6BD8585C" w14:textId="77777777" w:rsidR="0093260F" w:rsidRDefault="0093260F"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3980B30F" w14:textId="3296C5C2" w:rsidR="006C29F3" w:rsidRDefault="006C29F3"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Some of the limitations of questionnaires include the potential for low response rates, especially when being distributed electronically, which can introduce non-response bias to </w:t>
      </w:r>
      <w:r>
        <w:rPr>
          <w:rFonts w:ascii="Arial" w:hAnsi="Arial" w:cs="Arial"/>
          <w:kern w:val="0"/>
          <w:sz w:val="22"/>
          <w:szCs w:val="22"/>
        </w:rPr>
        <w:lastRenderedPageBreak/>
        <w:t xml:space="preserve">research findings, and can affect the generalisability of findings, according to Groves et al. (2004). </w:t>
      </w:r>
      <w:r w:rsidR="0055691B">
        <w:rPr>
          <w:rFonts w:ascii="Arial" w:hAnsi="Arial" w:cs="Arial"/>
          <w:kern w:val="0"/>
          <w:sz w:val="22"/>
          <w:szCs w:val="22"/>
        </w:rPr>
        <w:t xml:space="preserve">This was </w:t>
      </w:r>
      <w:r w:rsidR="00CF5D51">
        <w:rPr>
          <w:rFonts w:ascii="Arial" w:hAnsi="Arial" w:cs="Arial"/>
          <w:kern w:val="0"/>
          <w:sz w:val="22"/>
          <w:szCs w:val="22"/>
        </w:rPr>
        <w:t xml:space="preserve">considered and </w:t>
      </w:r>
      <w:r w:rsidR="0055691B">
        <w:rPr>
          <w:rFonts w:ascii="Arial" w:hAnsi="Arial" w:cs="Arial"/>
          <w:kern w:val="0"/>
          <w:sz w:val="22"/>
          <w:szCs w:val="22"/>
        </w:rPr>
        <w:t xml:space="preserve">combatted by allocating time within school hours to distribute paper copies to the pupils and </w:t>
      </w:r>
      <w:r w:rsidR="00CF5D51">
        <w:rPr>
          <w:rFonts w:ascii="Arial" w:hAnsi="Arial" w:cs="Arial"/>
          <w:kern w:val="0"/>
          <w:sz w:val="22"/>
          <w:szCs w:val="22"/>
        </w:rPr>
        <w:t xml:space="preserve">by </w:t>
      </w:r>
      <w:r w:rsidR="0055691B">
        <w:rPr>
          <w:rFonts w:ascii="Arial" w:hAnsi="Arial" w:cs="Arial"/>
          <w:kern w:val="0"/>
          <w:sz w:val="22"/>
          <w:szCs w:val="22"/>
        </w:rPr>
        <w:t>ensuring adequate time for completion of the questionnaire.</w:t>
      </w:r>
      <w:r w:rsidR="00CF5D51">
        <w:rPr>
          <w:rFonts w:ascii="Arial" w:hAnsi="Arial" w:cs="Arial"/>
          <w:kern w:val="0"/>
          <w:sz w:val="22"/>
          <w:szCs w:val="22"/>
        </w:rPr>
        <w:t xml:space="preserve"> An important consideration when giving the questionnaire to pupils all sat together in the same class was to avoid social desirability, as Podsakoff et al. (2003) explains, participants may provide responses influenced by what society deems to be a desirable answer, rather than a true reflection of what they feel. This was overcome by thoroughly explaining to pupils at the start of the questionnaire that it was important they answer honestly so that any improvements that need to be made, can be. </w:t>
      </w:r>
    </w:p>
    <w:p w14:paraId="3C5939D5" w14:textId="77777777" w:rsidR="0012550A" w:rsidRDefault="0012550A"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5734BE54" w14:textId="46908485" w:rsidR="004238F6" w:rsidRDefault="00077365"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questionnaire (Appendix 1) </w:t>
      </w:r>
      <w:r w:rsidR="00380634">
        <w:rPr>
          <w:rFonts w:ascii="Arial" w:hAnsi="Arial" w:cs="Arial"/>
          <w:kern w:val="0"/>
          <w:sz w:val="22"/>
          <w:szCs w:val="22"/>
        </w:rPr>
        <w:t>began</w:t>
      </w:r>
      <w:r>
        <w:rPr>
          <w:rFonts w:ascii="Arial" w:hAnsi="Arial" w:cs="Arial"/>
          <w:kern w:val="0"/>
          <w:sz w:val="22"/>
          <w:szCs w:val="22"/>
        </w:rPr>
        <w:t xml:space="preserve"> with a question about the pupils</w:t>
      </w:r>
      <w:r w:rsidR="00380634">
        <w:rPr>
          <w:rFonts w:ascii="Arial" w:hAnsi="Arial" w:cs="Arial"/>
          <w:kern w:val="0"/>
          <w:sz w:val="22"/>
          <w:szCs w:val="22"/>
        </w:rPr>
        <w:t>’</w:t>
      </w:r>
      <w:r>
        <w:rPr>
          <w:rFonts w:ascii="Arial" w:hAnsi="Arial" w:cs="Arial"/>
          <w:kern w:val="0"/>
          <w:sz w:val="22"/>
          <w:szCs w:val="22"/>
        </w:rPr>
        <w:t xml:space="preserve"> personal information, including age, gender and year group</w:t>
      </w:r>
      <w:r w:rsidR="00380634">
        <w:rPr>
          <w:rFonts w:ascii="Arial" w:hAnsi="Arial" w:cs="Arial"/>
          <w:kern w:val="0"/>
          <w:sz w:val="22"/>
          <w:szCs w:val="22"/>
        </w:rPr>
        <w:t>;</w:t>
      </w:r>
      <w:r>
        <w:rPr>
          <w:rFonts w:ascii="Arial" w:hAnsi="Arial" w:cs="Arial"/>
          <w:kern w:val="0"/>
          <w:sz w:val="22"/>
          <w:szCs w:val="22"/>
        </w:rPr>
        <w:t xml:space="preserve"> it was important to include this in the questionnaire as the class teacher</w:t>
      </w:r>
      <w:r w:rsidR="004A4497">
        <w:rPr>
          <w:rFonts w:ascii="Arial" w:hAnsi="Arial" w:cs="Arial"/>
          <w:kern w:val="0"/>
          <w:sz w:val="22"/>
          <w:szCs w:val="22"/>
        </w:rPr>
        <w:t xml:space="preserve"> noted</w:t>
      </w:r>
      <w:r>
        <w:rPr>
          <w:rFonts w:ascii="Arial" w:hAnsi="Arial" w:cs="Arial"/>
          <w:kern w:val="0"/>
          <w:sz w:val="22"/>
          <w:szCs w:val="22"/>
        </w:rPr>
        <w:t xml:space="preserve"> that some of the girls, in particular, were struggling with building positive relationships in the class, and this was to assess whether the data fed back with the same result. Jaccard and Jacoby (2010) discuss the importance of collecting gender and age in research, to allow for detailed subgroup analyses, and they emphasise the importance of these demographic variables when looking at behavioural outcomes.</w:t>
      </w:r>
      <w:r w:rsidR="004A4497">
        <w:rPr>
          <w:rFonts w:ascii="Arial" w:hAnsi="Arial" w:cs="Arial"/>
          <w:kern w:val="0"/>
          <w:sz w:val="22"/>
          <w:szCs w:val="22"/>
        </w:rPr>
        <w:t xml:space="preserve"> Questions two to seven were a mixture of open-ended questions, Likert scale, dichotomous questions, and </w:t>
      </w:r>
      <w:r w:rsidR="00380634">
        <w:rPr>
          <w:rFonts w:ascii="Arial" w:hAnsi="Arial" w:cs="Arial"/>
          <w:kern w:val="0"/>
          <w:sz w:val="22"/>
          <w:szCs w:val="22"/>
        </w:rPr>
        <w:t>multiple-choice</w:t>
      </w:r>
      <w:r w:rsidR="004A4497">
        <w:rPr>
          <w:rFonts w:ascii="Arial" w:hAnsi="Arial" w:cs="Arial"/>
          <w:kern w:val="0"/>
          <w:sz w:val="22"/>
          <w:szCs w:val="22"/>
        </w:rPr>
        <w:t xml:space="preserve"> questions. </w:t>
      </w:r>
      <w:r w:rsidR="00380634">
        <w:rPr>
          <w:rFonts w:ascii="Arial" w:hAnsi="Arial" w:cs="Arial"/>
          <w:kern w:val="0"/>
          <w:sz w:val="22"/>
          <w:szCs w:val="22"/>
        </w:rPr>
        <w:t xml:space="preserve">The questions were designed with clear, concise, and unambiguous language, aimed at ensuring that it was appropriate to the age of class, an important aspect of questionnaire design, as explained by Fowler Jr (2013). The open-ended questions allowed for pupils to give their own views on daily check-ins, without being limited to a set </w:t>
      </w:r>
      <w:r w:rsidR="00785158">
        <w:rPr>
          <w:rFonts w:ascii="Arial" w:hAnsi="Arial" w:cs="Arial"/>
          <w:kern w:val="0"/>
          <w:sz w:val="22"/>
          <w:szCs w:val="22"/>
        </w:rPr>
        <w:t>number</w:t>
      </w:r>
      <w:r w:rsidR="00380634">
        <w:rPr>
          <w:rFonts w:ascii="Arial" w:hAnsi="Arial" w:cs="Arial"/>
          <w:kern w:val="0"/>
          <w:sz w:val="22"/>
          <w:szCs w:val="22"/>
        </w:rPr>
        <w:t xml:space="preserve"> of answers. </w:t>
      </w:r>
      <w:r w:rsidR="00BE460C">
        <w:rPr>
          <w:rFonts w:ascii="Arial" w:hAnsi="Arial" w:cs="Arial"/>
          <w:kern w:val="0"/>
          <w:sz w:val="22"/>
          <w:szCs w:val="22"/>
        </w:rPr>
        <w:t>The standardized nature, simplicity, and ease of interpretation of Likert scales enhances the reliability and replicability of research findings (Gorsuch, 1997; Nunnally and Burnstein, 1994).</w:t>
      </w:r>
    </w:p>
    <w:p w14:paraId="0159EE6D" w14:textId="77777777" w:rsidR="004238F6" w:rsidRDefault="004238F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507950D6" w14:textId="79B7BC77" w:rsidR="004238F6" w:rsidRDefault="004238F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Creswell and Creswell (2017) argue the importance of a mixed-methods approach to research, and that the use of quantitative data from questionnaires, should be supplemented alongside qualitative data methods, such as interviews, to gain a deeper understanding of participants’ perspectives.</w:t>
      </w:r>
      <w:r w:rsidR="00C95E16">
        <w:rPr>
          <w:rFonts w:ascii="Arial" w:hAnsi="Arial" w:cs="Arial"/>
          <w:kern w:val="0"/>
          <w:sz w:val="22"/>
          <w:szCs w:val="22"/>
        </w:rPr>
        <w:t xml:space="preserve"> </w:t>
      </w:r>
      <w:r w:rsidR="0023301A">
        <w:rPr>
          <w:rFonts w:ascii="Arial" w:hAnsi="Arial" w:cs="Arial"/>
          <w:kern w:val="0"/>
          <w:sz w:val="22"/>
          <w:szCs w:val="22"/>
        </w:rPr>
        <w:t>One of the main reasons for choosing a group interview as the second research method was to allow for discussion and dynamic interactions between multiple pupils, utilising the opportunity to gain a broad range of perspectives</w:t>
      </w:r>
      <w:r w:rsidR="0000326C">
        <w:rPr>
          <w:rFonts w:ascii="Arial" w:hAnsi="Arial" w:cs="Arial"/>
          <w:kern w:val="0"/>
          <w:sz w:val="22"/>
          <w:szCs w:val="22"/>
        </w:rPr>
        <w:t xml:space="preserve"> simultaneously (Morgan, 1997). The opportunity to observe the social dynamics between pupils gave an insight that may have been inaccessible through another research method, as argued by Kitzinger (1995).</w:t>
      </w:r>
    </w:p>
    <w:p w14:paraId="07D9186E" w14:textId="77777777" w:rsidR="0000326C" w:rsidRDefault="0000326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2521E7AF" w14:textId="10ADC4A9" w:rsidR="00F10D5C" w:rsidRDefault="0000326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lastRenderedPageBreak/>
        <w:t xml:space="preserve">One of the potential challenges of the group interview method </w:t>
      </w:r>
      <w:r w:rsidR="00F10D5C">
        <w:rPr>
          <w:rFonts w:ascii="Arial" w:hAnsi="Arial" w:cs="Arial"/>
          <w:kern w:val="0"/>
          <w:sz w:val="22"/>
          <w:szCs w:val="22"/>
        </w:rPr>
        <w:t>i</w:t>
      </w:r>
      <w:r>
        <w:rPr>
          <w:rFonts w:ascii="Arial" w:hAnsi="Arial" w:cs="Arial"/>
          <w:kern w:val="0"/>
          <w:sz w:val="22"/>
          <w:szCs w:val="22"/>
        </w:rPr>
        <w:t xml:space="preserve">s ensuring equal participation from the pupils, with potential for certain individuals to dominate the interview, and not allowing for everyone to participate, as explained by Barbour (2007). </w:t>
      </w:r>
      <w:r w:rsidR="00F10D5C">
        <w:rPr>
          <w:rFonts w:ascii="Arial" w:hAnsi="Arial" w:cs="Arial"/>
          <w:kern w:val="0"/>
          <w:sz w:val="22"/>
          <w:szCs w:val="22"/>
        </w:rPr>
        <w:t xml:space="preserve">This was mitigated by ensuring that the pupils felt comfortable and supported to participate, and by creating a structure to the interview questions that ensured equal participation. This led into another challenge that pupils may be hesitant to participate if they felt their answers were </w:t>
      </w:r>
      <w:r w:rsidR="00FB7FE6">
        <w:rPr>
          <w:rFonts w:ascii="Arial" w:hAnsi="Arial" w:cs="Arial"/>
          <w:kern w:val="0"/>
          <w:sz w:val="22"/>
          <w:szCs w:val="22"/>
        </w:rPr>
        <w:t xml:space="preserve">not the same as their peers, for fear of judgement. Kreuger and Casey (2000) explain that a way of overcoming this challenge is to establish trust and confidentiality at the beginning of the interview and remind pupils throughout of their right to withdraw at any time. </w:t>
      </w:r>
      <w:r w:rsidR="00826F66">
        <w:rPr>
          <w:rFonts w:ascii="Arial" w:hAnsi="Arial" w:cs="Arial"/>
          <w:kern w:val="0"/>
          <w:sz w:val="22"/>
          <w:szCs w:val="22"/>
        </w:rPr>
        <w:t xml:space="preserve">Fortunately, the age of the pupils involved was an advantage as they understood assent and confidentiality. </w:t>
      </w:r>
      <w:r w:rsidR="00F10D5C">
        <w:rPr>
          <w:rFonts w:ascii="Arial" w:hAnsi="Arial" w:cs="Arial"/>
          <w:kern w:val="0"/>
          <w:sz w:val="22"/>
          <w:szCs w:val="22"/>
        </w:rPr>
        <w:t xml:space="preserve">The final limitation to a group interview is that the answers are not documented in the same way as on a questionnaire, as the interview is a structured discussion that was not voice recorded, therefore there is room for error in the </w:t>
      </w:r>
      <w:r w:rsidR="00785158">
        <w:rPr>
          <w:rFonts w:ascii="Arial" w:hAnsi="Arial" w:cs="Arial"/>
          <w:kern w:val="0"/>
          <w:sz w:val="22"/>
          <w:szCs w:val="22"/>
        </w:rPr>
        <w:t>documentation</w:t>
      </w:r>
      <w:r w:rsidR="00F10D5C">
        <w:rPr>
          <w:rFonts w:ascii="Arial" w:hAnsi="Arial" w:cs="Arial"/>
          <w:kern w:val="0"/>
          <w:sz w:val="22"/>
          <w:szCs w:val="22"/>
        </w:rPr>
        <w:t xml:space="preserve"> of the information. </w:t>
      </w:r>
    </w:p>
    <w:p w14:paraId="73379A7C" w14:textId="77777777" w:rsidR="004238F6" w:rsidRDefault="004238F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65570EBD" w14:textId="013D7331" w:rsidR="00371D1B" w:rsidRPr="00BA025C" w:rsidRDefault="00055BCA"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interview questions (Appendix 2) were designed with </w:t>
      </w:r>
      <w:r w:rsidR="00E94715">
        <w:rPr>
          <w:rFonts w:ascii="Arial" w:hAnsi="Arial" w:cs="Arial"/>
          <w:kern w:val="0"/>
          <w:sz w:val="22"/>
          <w:szCs w:val="22"/>
        </w:rPr>
        <w:t xml:space="preserve">mostly </w:t>
      </w:r>
      <w:r>
        <w:rPr>
          <w:rFonts w:ascii="Arial" w:hAnsi="Arial" w:cs="Arial"/>
          <w:kern w:val="0"/>
          <w:sz w:val="22"/>
          <w:szCs w:val="22"/>
        </w:rPr>
        <w:t xml:space="preserve">open-ended questions </w:t>
      </w:r>
      <w:r w:rsidR="000F1C45">
        <w:rPr>
          <w:rFonts w:ascii="Arial" w:hAnsi="Arial" w:cs="Arial"/>
          <w:kern w:val="0"/>
          <w:sz w:val="22"/>
          <w:szCs w:val="22"/>
        </w:rPr>
        <w:t xml:space="preserve">allowing for spontaneity and flexibility when conducting the interview, </w:t>
      </w:r>
      <w:r w:rsidR="00CB164F">
        <w:rPr>
          <w:rFonts w:ascii="Arial" w:hAnsi="Arial" w:cs="Arial"/>
          <w:kern w:val="0"/>
          <w:sz w:val="22"/>
          <w:szCs w:val="22"/>
        </w:rPr>
        <w:t xml:space="preserve">a proven successful technique </w:t>
      </w:r>
      <w:r w:rsidR="000F1C45">
        <w:rPr>
          <w:rFonts w:ascii="Arial" w:hAnsi="Arial" w:cs="Arial"/>
          <w:kern w:val="0"/>
          <w:sz w:val="22"/>
          <w:szCs w:val="22"/>
        </w:rPr>
        <w:t>according to Kitzinger (1995).</w:t>
      </w:r>
      <w:r w:rsidR="00E94715">
        <w:rPr>
          <w:rFonts w:ascii="Arial" w:hAnsi="Arial" w:cs="Arial"/>
          <w:kern w:val="0"/>
          <w:sz w:val="22"/>
          <w:szCs w:val="22"/>
        </w:rPr>
        <w:t xml:space="preserve"> The first question was an icebreaker to ensure the pupils were comfortable and relaxed, and reinforced the </w:t>
      </w:r>
      <w:r w:rsidR="00CB164F">
        <w:rPr>
          <w:rFonts w:ascii="Arial" w:hAnsi="Arial" w:cs="Arial"/>
          <w:kern w:val="0"/>
          <w:sz w:val="22"/>
          <w:szCs w:val="22"/>
        </w:rPr>
        <w:t xml:space="preserve">feeling of a </w:t>
      </w:r>
      <w:r w:rsidR="00E94715">
        <w:rPr>
          <w:rFonts w:ascii="Arial" w:hAnsi="Arial" w:cs="Arial"/>
          <w:kern w:val="0"/>
          <w:sz w:val="22"/>
          <w:szCs w:val="22"/>
        </w:rPr>
        <w:t>safe environment being created. The questions then asked the pupils specifically how they felt about conducting wellbeing check ins, and whether there ha</w:t>
      </w:r>
      <w:r w:rsidR="00CB164F">
        <w:rPr>
          <w:rFonts w:ascii="Arial" w:hAnsi="Arial" w:cs="Arial"/>
          <w:kern w:val="0"/>
          <w:sz w:val="22"/>
          <w:szCs w:val="22"/>
        </w:rPr>
        <w:t>d</w:t>
      </w:r>
      <w:r w:rsidR="00E94715">
        <w:rPr>
          <w:rFonts w:ascii="Arial" w:hAnsi="Arial" w:cs="Arial"/>
          <w:kern w:val="0"/>
          <w:sz w:val="22"/>
          <w:szCs w:val="22"/>
        </w:rPr>
        <w:t xml:space="preserve"> been any impact on relationships since the adaptation of the check in system. </w:t>
      </w:r>
      <w:r w:rsidR="006F69C1">
        <w:rPr>
          <w:rFonts w:ascii="Arial" w:hAnsi="Arial" w:cs="Arial"/>
          <w:kern w:val="0"/>
          <w:sz w:val="22"/>
          <w:szCs w:val="22"/>
        </w:rPr>
        <w:t xml:space="preserve">Patton (2015) and Fontana and Frey (2005) agree that interview questions should start with broad, general questions to establish rapport, before progressing to more specific and probing questions that allow for rich and detailed data. </w:t>
      </w:r>
      <w:r w:rsidR="00CA4ABE">
        <w:rPr>
          <w:rFonts w:ascii="Arial" w:hAnsi="Arial" w:cs="Arial"/>
          <w:kern w:val="0"/>
          <w:sz w:val="22"/>
          <w:szCs w:val="22"/>
        </w:rPr>
        <w:t>The final question allowed the pupils to share anything further about the research that had not been asked already, ensuring that all pupils had the opportunity to share their experiences and opinions.</w:t>
      </w:r>
    </w:p>
    <w:p w14:paraId="57DD4472" w14:textId="77777777" w:rsidR="00371D1B" w:rsidRPr="007E7ED7"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rPr>
      </w:pPr>
    </w:p>
    <w:p w14:paraId="5E97B6CF" w14:textId="4CD8971D" w:rsidR="00371D1B" w:rsidRPr="00BA025C"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BA025C">
        <w:rPr>
          <w:rFonts w:ascii="Arial" w:hAnsi="Arial" w:cs="Arial"/>
          <w:b/>
          <w:bCs/>
          <w:kern w:val="0"/>
          <w:sz w:val="28"/>
          <w:szCs w:val="28"/>
        </w:rPr>
        <w:t>Data Presentation and Analysis Methods</w:t>
      </w:r>
    </w:p>
    <w:p w14:paraId="7D4D0487" w14:textId="77777777" w:rsidR="00371D1B"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70C0"/>
          <w:kern w:val="0"/>
          <w:sz w:val="22"/>
          <w:szCs w:val="22"/>
        </w:rPr>
      </w:pPr>
    </w:p>
    <w:p w14:paraId="3AE3F702" w14:textId="5C5A67FF" w:rsidR="00561B58" w:rsidRDefault="008E5324"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quantitative data, gathered through the questionnaire, </w:t>
      </w:r>
      <w:r w:rsidR="00561B58">
        <w:rPr>
          <w:rFonts w:ascii="Arial" w:hAnsi="Arial" w:cs="Arial"/>
          <w:kern w:val="0"/>
          <w:sz w:val="22"/>
          <w:szCs w:val="22"/>
        </w:rPr>
        <w:t>has been</w:t>
      </w:r>
      <w:r>
        <w:rPr>
          <w:rFonts w:ascii="Arial" w:hAnsi="Arial" w:cs="Arial"/>
          <w:kern w:val="0"/>
          <w:sz w:val="22"/>
          <w:szCs w:val="22"/>
        </w:rPr>
        <w:t xml:space="preserve"> presented through the use of bar graphs, chosen to clearly represent the frequency of answers given. </w:t>
      </w:r>
      <w:r w:rsidR="00561B58">
        <w:rPr>
          <w:rFonts w:ascii="Arial" w:hAnsi="Arial" w:cs="Arial"/>
          <w:kern w:val="0"/>
          <w:sz w:val="22"/>
          <w:szCs w:val="22"/>
        </w:rPr>
        <w:t xml:space="preserve">This descriptive statistical data presentation allows for effective visualization of how pupils feel about daily wellbeing check ins. Few (2009) praised the simplicity and ease of interpretation through bar graphs, with Tufte (2001) echoing this sentiment, stating that they are effective at demonstrating trends, and help with comparisons between groups of participants. In this case study, bar graphs lend themselves effectively to the comparison between boys and </w:t>
      </w:r>
      <w:r w:rsidR="00561B58">
        <w:rPr>
          <w:rFonts w:ascii="Arial" w:hAnsi="Arial" w:cs="Arial"/>
          <w:kern w:val="0"/>
          <w:sz w:val="22"/>
          <w:szCs w:val="22"/>
        </w:rPr>
        <w:lastRenderedPageBreak/>
        <w:t>girls in the class and their ability to form positive relationships, through the use of daily wellbeing check ins.</w:t>
      </w:r>
    </w:p>
    <w:p w14:paraId="13A690D8" w14:textId="77777777" w:rsidR="003A321B" w:rsidRDefault="003A32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7FE88132" w14:textId="0460A2B3" w:rsidR="003A321B" w:rsidRDefault="003A32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Thematic analysis </w:t>
      </w:r>
      <w:r w:rsidR="00A14E2C">
        <w:rPr>
          <w:rFonts w:ascii="Arial" w:hAnsi="Arial" w:cs="Arial"/>
          <w:kern w:val="0"/>
          <w:sz w:val="22"/>
          <w:szCs w:val="22"/>
        </w:rPr>
        <w:t>will</w:t>
      </w:r>
      <w:r>
        <w:rPr>
          <w:rFonts w:ascii="Arial" w:hAnsi="Arial" w:cs="Arial"/>
          <w:kern w:val="0"/>
          <w:sz w:val="22"/>
          <w:szCs w:val="22"/>
        </w:rPr>
        <w:t xml:space="preserve"> be used as a method of identifying patterns and themes within the interview question data</w:t>
      </w:r>
      <w:r w:rsidR="00A14E2C">
        <w:rPr>
          <w:rFonts w:ascii="Arial" w:hAnsi="Arial" w:cs="Arial"/>
          <w:kern w:val="0"/>
          <w:sz w:val="22"/>
          <w:szCs w:val="22"/>
        </w:rPr>
        <w:t xml:space="preserve">, it is a form of qualitative data analysis. Braun and Clarke (2006) outline the seven key steps required in the process of thematic analysis, which begins with data familiarisation by re-reading collected data multiple times to ensure understanding of its content, generating initial codes, searching for themes in the coded data, reviewing these themes and refining if necessary, defining and naming themes, writing the analysis, and creating the report. </w:t>
      </w:r>
      <w:r w:rsidR="004E6BC7">
        <w:rPr>
          <w:rFonts w:ascii="Arial" w:hAnsi="Arial" w:cs="Arial"/>
          <w:kern w:val="0"/>
          <w:sz w:val="22"/>
          <w:szCs w:val="22"/>
        </w:rPr>
        <w:t>Guest et al. (2012) further</w:t>
      </w:r>
      <w:r w:rsidR="00EB4FD8">
        <w:rPr>
          <w:rFonts w:ascii="Arial" w:hAnsi="Arial" w:cs="Arial"/>
          <w:kern w:val="0"/>
          <w:sz w:val="22"/>
          <w:szCs w:val="22"/>
        </w:rPr>
        <w:t>s</w:t>
      </w:r>
      <w:r w:rsidR="004E6BC7">
        <w:rPr>
          <w:rFonts w:ascii="Arial" w:hAnsi="Arial" w:cs="Arial"/>
          <w:kern w:val="0"/>
          <w:sz w:val="22"/>
          <w:szCs w:val="22"/>
        </w:rPr>
        <w:t xml:space="preserve"> </w:t>
      </w:r>
      <w:r w:rsidR="00FB7EEE">
        <w:rPr>
          <w:rFonts w:ascii="Arial" w:hAnsi="Arial" w:cs="Arial"/>
          <w:kern w:val="0"/>
          <w:sz w:val="22"/>
          <w:szCs w:val="22"/>
        </w:rPr>
        <w:t xml:space="preserve">this understanding of thematic analysis by explaining that it is a way of systematically organising and interpreting data to uncover patterns and insight into the research topic. </w:t>
      </w:r>
    </w:p>
    <w:p w14:paraId="6B2F8A8E" w14:textId="77777777" w:rsidR="00EB4FD8" w:rsidRDefault="00EB4FD8"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3633B1E8" w14:textId="25AC8583" w:rsidR="00371D1B" w:rsidRPr="00FF54FF" w:rsidRDefault="00EB4FD8"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Several steps were taken to ensure trustworthiness in the thematic analysis. Firstly, the credibility of the data was ensured by spending time at the end of the interview recapping on the answers provided by the pupils, to give time to verify that their views were accurately recorded. The dependability was ensured by keeping a clear record of the </w:t>
      </w:r>
      <w:r w:rsidR="00FF54FF">
        <w:rPr>
          <w:rFonts w:ascii="Arial" w:hAnsi="Arial" w:cs="Arial"/>
          <w:kern w:val="0"/>
          <w:sz w:val="22"/>
          <w:szCs w:val="22"/>
        </w:rPr>
        <w:t>codes and mind map used in the analysis, to ensure transparency and replicability. The confirmability was ensured throughout by continuous reflection on whether any unconscious bias or assumptions were being used and mitigating these. Finally, the transferability of the thematic analysis was ensured by providing detailed descriptions throughout of the context, participants, and findings, and by ensuring that there were no new themes emerging from the data, showing that the data has been comprehensively explored.</w:t>
      </w:r>
    </w:p>
    <w:p w14:paraId="783CEDAA" w14:textId="77777777" w:rsidR="00371D1B" w:rsidRPr="007E7ED7"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rPr>
      </w:pPr>
    </w:p>
    <w:p w14:paraId="54769189" w14:textId="79664A97" w:rsidR="00371D1B" w:rsidRPr="0002778C"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02778C">
        <w:rPr>
          <w:rFonts w:ascii="Arial" w:hAnsi="Arial" w:cs="Arial"/>
          <w:b/>
          <w:bCs/>
          <w:kern w:val="0"/>
          <w:sz w:val="28"/>
          <w:szCs w:val="28"/>
        </w:rPr>
        <w:t>Ethical considerations</w:t>
      </w:r>
    </w:p>
    <w:p w14:paraId="63BA1B7F" w14:textId="77777777" w:rsidR="00371D1B" w:rsidRPr="0002778C"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1CEE0992" w14:textId="4AB1C379" w:rsidR="0002778C" w:rsidRDefault="00EF195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As outline in the attached ethics form (see Appendix 3) </w:t>
      </w:r>
      <w:r w:rsidR="00AC1810">
        <w:rPr>
          <w:rFonts w:ascii="Arial" w:hAnsi="Arial" w:cs="Arial"/>
          <w:kern w:val="0"/>
          <w:sz w:val="22"/>
          <w:szCs w:val="22"/>
        </w:rPr>
        <w:t>BERA’s (2018</w:t>
      </w:r>
      <w:r w:rsidR="00AC1810" w:rsidRPr="00591759">
        <w:rPr>
          <w:rFonts w:ascii="Arial" w:hAnsi="Arial" w:cs="Arial"/>
          <w:kern w:val="0"/>
          <w:sz w:val="22"/>
          <w:szCs w:val="22"/>
        </w:rPr>
        <w:t xml:space="preserve">) </w:t>
      </w:r>
      <w:r w:rsidR="00AC1810">
        <w:rPr>
          <w:rFonts w:ascii="Arial" w:hAnsi="Arial" w:cs="Arial"/>
          <w:kern w:val="0"/>
          <w:sz w:val="22"/>
          <w:szCs w:val="22"/>
        </w:rPr>
        <w:t>e</w:t>
      </w:r>
      <w:r w:rsidR="00AC1810" w:rsidRPr="00591759">
        <w:rPr>
          <w:rFonts w:ascii="Arial" w:hAnsi="Arial" w:cs="Arial"/>
          <w:sz w:val="22"/>
          <w:szCs w:val="22"/>
        </w:rPr>
        <w:t>thical guidelines for educational research</w:t>
      </w:r>
      <w:r w:rsidR="00AC1810" w:rsidRPr="00591759">
        <w:rPr>
          <w:rFonts w:ascii="Arial" w:hAnsi="Arial" w:cs="Arial"/>
          <w:kern w:val="0"/>
          <w:sz w:val="22"/>
          <w:szCs w:val="22"/>
        </w:rPr>
        <w:t xml:space="preserve"> will be</w:t>
      </w:r>
      <w:r w:rsidR="00AC1810">
        <w:rPr>
          <w:rFonts w:ascii="Arial" w:hAnsi="Arial" w:cs="Arial"/>
          <w:kern w:val="0"/>
          <w:sz w:val="22"/>
          <w:szCs w:val="22"/>
        </w:rPr>
        <w:t xml:space="preserve"> followed throughout </w:t>
      </w:r>
      <w:r>
        <w:rPr>
          <w:rFonts w:ascii="Arial" w:hAnsi="Arial" w:cs="Arial"/>
          <w:kern w:val="0"/>
          <w:sz w:val="22"/>
          <w:szCs w:val="22"/>
        </w:rPr>
        <w:t>the case study</w:t>
      </w:r>
      <w:r w:rsidR="00AC1810">
        <w:rPr>
          <w:rFonts w:ascii="Arial" w:hAnsi="Arial" w:cs="Arial"/>
          <w:kern w:val="0"/>
          <w:sz w:val="22"/>
          <w:szCs w:val="22"/>
        </w:rPr>
        <w:t xml:space="preserve"> to ensure anonymity for the school and pupils involved, the school will be referred to as ‘school X’ and the pupils will be referred to as ‘pupil A’, ‘pupil B’ and so on.</w:t>
      </w:r>
      <w:r w:rsidR="00AC1810">
        <w:rPr>
          <w:rFonts w:ascii="Arial" w:hAnsi="Arial" w:cs="Arial"/>
          <w:kern w:val="0"/>
          <w:sz w:val="22"/>
          <w:szCs w:val="22"/>
        </w:rPr>
        <w:t xml:space="preserve"> </w:t>
      </w:r>
      <w:r>
        <w:rPr>
          <w:rFonts w:ascii="Arial" w:hAnsi="Arial" w:cs="Arial"/>
          <w:kern w:val="0"/>
          <w:sz w:val="22"/>
          <w:szCs w:val="22"/>
        </w:rPr>
        <w:t xml:space="preserve">BERA (2018) provides a framework that includes core principles to follow to ensure ethical conduct in educational research, these include the respect for autonomy and the rights of the participants, including the right to informed consent, assent, and voluntary participation. The participants in this research are under the age of 18, therefore parental consent was sought for their participation through consent forms, which were sent home with the pupils (see Appendix 4), and only those that returned the consent form were included in the study. In addition to the consent, verbal assent was </w:t>
      </w:r>
      <w:r>
        <w:rPr>
          <w:rFonts w:ascii="Arial" w:hAnsi="Arial" w:cs="Arial"/>
          <w:kern w:val="0"/>
          <w:sz w:val="22"/>
          <w:szCs w:val="22"/>
        </w:rPr>
        <w:lastRenderedPageBreak/>
        <w:t>explained to the pupils before participating in the questionnaire and the group interview, by explaining that they could withdraw at any point from the research</w:t>
      </w:r>
      <w:r w:rsidR="00933087">
        <w:rPr>
          <w:rFonts w:ascii="Arial" w:hAnsi="Arial" w:cs="Arial"/>
          <w:kern w:val="0"/>
          <w:sz w:val="22"/>
          <w:szCs w:val="22"/>
        </w:rPr>
        <w:t xml:space="preserve"> with no questions asked and with their data being taken out completely. As the pupils participating were aged between 8 and 10 years old, they understood this concept, and did not require any visual cues. </w:t>
      </w:r>
    </w:p>
    <w:p w14:paraId="1BDE76BB" w14:textId="77777777" w:rsidR="0000633C" w:rsidRDefault="0000633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3126A040" w14:textId="20C90580" w:rsidR="00371D1B" w:rsidRPr="003B3665" w:rsidRDefault="0000633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confidentiality </w:t>
      </w:r>
      <w:r w:rsidR="00AF0669">
        <w:rPr>
          <w:rFonts w:ascii="Arial" w:hAnsi="Arial" w:cs="Arial"/>
          <w:kern w:val="0"/>
          <w:sz w:val="22"/>
          <w:szCs w:val="22"/>
        </w:rPr>
        <w:t xml:space="preserve">of </w:t>
      </w:r>
      <w:r>
        <w:rPr>
          <w:rFonts w:ascii="Arial" w:hAnsi="Arial" w:cs="Arial"/>
          <w:kern w:val="0"/>
          <w:sz w:val="22"/>
          <w:szCs w:val="22"/>
        </w:rPr>
        <w:t xml:space="preserve">those involved was further upheld by ensuring that the signed consent forms were kept in a locked file cabinet, and unavailable to anyone except the researcher (see Appendix 3); this also maintains the integrity of the research and demonstrates respect for those willing to participate in the research. Finally, the beneficence of the research was maintained by ensuring that the benefits were maximised, whilst minimising any harm to participants; as outline in the ethics form (see Appendix 3), </w:t>
      </w:r>
      <w:r w:rsidR="003B3665">
        <w:rPr>
          <w:rFonts w:ascii="Arial" w:hAnsi="Arial" w:cs="Arial"/>
          <w:kern w:val="0"/>
          <w:sz w:val="22"/>
          <w:szCs w:val="22"/>
        </w:rPr>
        <w:t>there was a risk of anxiety or distress to participants due to the nature of the wellbeing check-ins, however this was mitigated by ensuring correct support was provided for the pupils and the researcher.</w:t>
      </w:r>
    </w:p>
    <w:p w14:paraId="31DE8A59" w14:textId="77777777" w:rsidR="00371D1B" w:rsidRPr="007E7ED7"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rPr>
      </w:pPr>
    </w:p>
    <w:p w14:paraId="416E3CAB" w14:textId="595CF4FC" w:rsidR="00371D1B" w:rsidRPr="003B3665"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3B3665">
        <w:rPr>
          <w:rFonts w:ascii="Arial" w:hAnsi="Arial" w:cs="Arial"/>
          <w:b/>
          <w:bCs/>
          <w:kern w:val="0"/>
          <w:sz w:val="28"/>
          <w:szCs w:val="28"/>
        </w:rPr>
        <w:t>Results / Analysis of results / Discussion</w:t>
      </w:r>
    </w:p>
    <w:p w14:paraId="5296D727" w14:textId="77777777" w:rsidR="003B3665" w:rsidRDefault="003B3665"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63264AE8" w14:textId="77777777" w:rsidR="00696520" w:rsidRDefault="005369E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Before beginning this case study there was a pre-existing form of daily wellbeing check in being used in the classroom, however it appeared that it was not being utilised as pupils would put their names into an emotion envelope at the start of the day but there was not an opportunity to discuss their feelings. As part of the research I decided to conduct the check ins by asking the pupils to number their emotions from one to ten (one for feeling unhappy, and ten for feeling exceptional), and to explain why they had chosen this number; this was done at the start of the day and I ensured that all pupils were being quiet and respectful when their peers were talking. </w:t>
      </w:r>
    </w:p>
    <w:p w14:paraId="62839FE9" w14:textId="77777777" w:rsidR="00696520" w:rsidRDefault="00696520"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56E62675" w14:textId="65F6112A" w:rsidR="003B3665" w:rsidRDefault="005369E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questionnaire was conducted at the start of the research to gain an insight into the </w:t>
      </w:r>
      <w:r w:rsidR="008C12DE">
        <w:rPr>
          <w:rFonts w:ascii="Arial" w:hAnsi="Arial" w:cs="Arial"/>
          <w:kern w:val="0"/>
          <w:sz w:val="22"/>
          <w:szCs w:val="22"/>
        </w:rPr>
        <w:t>pupils’</w:t>
      </w:r>
      <w:r>
        <w:rPr>
          <w:rFonts w:ascii="Arial" w:hAnsi="Arial" w:cs="Arial"/>
          <w:kern w:val="0"/>
          <w:sz w:val="22"/>
          <w:szCs w:val="22"/>
        </w:rPr>
        <w:t xml:space="preserve"> feelings about check ins and their current relationships with their peers. Appendix 5 shows the results of asking the pupils how they would describe their relationships with their peers, with </w:t>
      </w:r>
      <w:r w:rsidR="008C12DE">
        <w:rPr>
          <w:rFonts w:ascii="Arial" w:hAnsi="Arial" w:cs="Arial"/>
          <w:kern w:val="0"/>
          <w:sz w:val="22"/>
          <w:szCs w:val="22"/>
        </w:rPr>
        <w:t xml:space="preserve">56% of pupils describing the feeling as neutral, and 24% describing the feeling as negative. Even more concerning is when this is categorised into girls </w:t>
      </w:r>
      <w:r w:rsidR="00E356A5">
        <w:rPr>
          <w:rFonts w:ascii="Arial" w:hAnsi="Arial" w:cs="Arial"/>
          <w:kern w:val="0"/>
          <w:sz w:val="22"/>
          <w:szCs w:val="22"/>
        </w:rPr>
        <w:t xml:space="preserve">and boys separately </w:t>
      </w:r>
      <w:r w:rsidR="008C12DE">
        <w:rPr>
          <w:rFonts w:ascii="Arial" w:hAnsi="Arial" w:cs="Arial"/>
          <w:kern w:val="0"/>
          <w:sz w:val="22"/>
          <w:szCs w:val="22"/>
        </w:rPr>
        <w:t>(see Appendix 6)</w:t>
      </w:r>
      <w:r w:rsidR="00B61B3C">
        <w:rPr>
          <w:rFonts w:ascii="Arial" w:hAnsi="Arial" w:cs="Arial"/>
          <w:kern w:val="0"/>
          <w:sz w:val="22"/>
          <w:szCs w:val="22"/>
        </w:rPr>
        <w:t>, the data shows the concern noted by the class teacher tha</w:t>
      </w:r>
      <w:r w:rsidR="00F65750">
        <w:rPr>
          <w:rFonts w:ascii="Arial" w:hAnsi="Arial" w:cs="Arial"/>
          <w:kern w:val="0"/>
          <w:sz w:val="22"/>
          <w:szCs w:val="22"/>
        </w:rPr>
        <w:t>t</w:t>
      </w:r>
      <w:r w:rsidR="00B61B3C">
        <w:rPr>
          <w:rFonts w:ascii="Arial" w:hAnsi="Arial" w:cs="Arial"/>
          <w:kern w:val="0"/>
          <w:sz w:val="22"/>
          <w:szCs w:val="22"/>
        </w:rPr>
        <w:t xml:space="preserve"> girls in the class were struggling to build positive relationships with their peers. </w:t>
      </w:r>
      <w:r w:rsidR="00F65750">
        <w:rPr>
          <w:rFonts w:ascii="Arial" w:hAnsi="Arial" w:cs="Arial"/>
          <w:kern w:val="0"/>
          <w:sz w:val="22"/>
          <w:szCs w:val="22"/>
        </w:rPr>
        <w:t xml:space="preserve">It should be noted, however, that the data </w:t>
      </w:r>
      <w:r w:rsidR="00696520">
        <w:rPr>
          <w:rFonts w:ascii="Arial" w:hAnsi="Arial" w:cs="Arial"/>
          <w:kern w:val="0"/>
          <w:sz w:val="22"/>
          <w:szCs w:val="22"/>
        </w:rPr>
        <w:t xml:space="preserve">also </w:t>
      </w:r>
      <w:r w:rsidR="00F65750">
        <w:rPr>
          <w:rFonts w:ascii="Arial" w:hAnsi="Arial" w:cs="Arial"/>
          <w:kern w:val="0"/>
          <w:sz w:val="22"/>
          <w:szCs w:val="22"/>
        </w:rPr>
        <w:t xml:space="preserve">shows that 23 out of 25 of the pupils found the classroom to be a safe environment, even though they were struggling to build </w:t>
      </w:r>
      <w:r w:rsidR="006D3AB2">
        <w:rPr>
          <w:rFonts w:ascii="Arial" w:hAnsi="Arial" w:cs="Arial"/>
          <w:kern w:val="0"/>
          <w:sz w:val="22"/>
          <w:szCs w:val="22"/>
        </w:rPr>
        <w:t>positive</w:t>
      </w:r>
      <w:r w:rsidR="00F65750">
        <w:rPr>
          <w:rFonts w:ascii="Arial" w:hAnsi="Arial" w:cs="Arial"/>
          <w:kern w:val="0"/>
          <w:sz w:val="22"/>
          <w:szCs w:val="22"/>
        </w:rPr>
        <w:t xml:space="preserve"> relationships. </w:t>
      </w:r>
    </w:p>
    <w:p w14:paraId="58383DE3" w14:textId="77777777" w:rsidR="00B61B3C" w:rsidRDefault="00B61B3C"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6BA9FD2F" w14:textId="65D89B09" w:rsidR="003B574A" w:rsidRDefault="006D3AB2" w:rsidP="003B5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lastRenderedPageBreak/>
        <w:t xml:space="preserve">The results of the thematic analysis are shown in Appendix 7 as a mind map, as the three key themes were identified through thorough analysis of the data; the themes were improved relationships, self-esteem, and feeling safe in class. The overwhelming consensus was that daily wellbeing check ins had improved </w:t>
      </w:r>
      <w:r w:rsidR="003B574A">
        <w:rPr>
          <w:rFonts w:ascii="Arial" w:hAnsi="Arial" w:cs="Arial"/>
          <w:kern w:val="0"/>
          <w:sz w:val="22"/>
          <w:szCs w:val="22"/>
        </w:rPr>
        <w:t>pupils’</w:t>
      </w:r>
      <w:r>
        <w:rPr>
          <w:rFonts w:ascii="Arial" w:hAnsi="Arial" w:cs="Arial"/>
          <w:kern w:val="0"/>
          <w:sz w:val="22"/>
          <w:szCs w:val="22"/>
        </w:rPr>
        <w:t xml:space="preserve"> ability to form positive relationships with their peers, one of the pupils remarked that “my friendships have improved as I know when to check on my friends” (Pupil A</w:t>
      </w:r>
      <w:r w:rsidR="006A1291">
        <w:rPr>
          <w:rFonts w:ascii="Arial" w:hAnsi="Arial" w:cs="Arial"/>
          <w:kern w:val="0"/>
          <w:sz w:val="22"/>
          <w:szCs w:val="22"/>
        </w:rPr>
        <w:t>, 2024</w:t>
      </w:r>
      <w:r>
        <w:rPr>
          <w:rFonts w:ascii="Arial" w:hAnsi="Arial" w:cs="Arial"/>
          <w:kern w:val="0"/>
          <w:sz w:val="22"/>
          <w:szCs w:val="22"/>
        </w:rPr>
        <w:t xml:space="preserve">), due to sharing with the class how everyone was feeling in the morning. </w:t>
      </w:r>
      <w:r w:rsidR="003B574A">
        <w:rPr>
          <w:rFonts w:ascii="Arial" w:hAnsi="Arial" w:cs="Arial"/>
          <w:kern w:val="0"/>
          <w:sz w:val="22"/>
          <w:szCs w:val="22"/>
        </w:rPr>
        <w:t>Another pupil reflected “</w:t>
      </w:r>
      <w:r w:rsidR="003B574A" w:rsidRPr="003B574A">
        <w:rPr>
          <w:rFonts w:ascii="Arial" w:hAnsi="Arial" w:cs="Arial"/>
          <w:kern w:val="0"/>
          <w:sz w:val="22"/>
          <w:szCs w:val="22"/>
        </w:rPr>
        <w:t>I’m more confident in talking about my feelings with my friends”</w:t>
      </w:r>
      <w:r w:rsidR="003B574A">
        <w:rPr>
          <w:rFonts w:ascii="Arial" w:hAnsi="Arial" w:cs="Arial"/>
          <w:kern w:val="0"/>
          <w:sz w:val="22"/>
          <w:szCs w:val="22"/>
        </w:rPr>
        <w:t xml:space="preserve"> (Pupil B</w:t>
      </w:r>
      <w:r w:rsidR="006A1291">
        <w:rPr>
          <w:rFonts w:ascii="Arial" w:hAnsi="Arial" w:cs="Arial"/>
          <w:kern w:val="0"/>
          <w:sz w:val="22"/>
          <w:szCs w:val="22"/>
        </w:rPr>
        <w:t>, 2024</w:t>
      </w:r>
      <w:r w:rsidR="003B574A">
        <w:rPr>
          <w:rFonts w:ascii="Arial" w:hAnsi="Arial" w:cs="Arial"/>
          <w:kern w:val="0"/>
          <w:sz w:val="22"/>
          <w:szCs w:val="22"/>
        </w:rPr>
        <w:t>)</w:t>
      </w:r>
      <w:r w:rsidR="00006273">
        <w:rPr>
          <w:rFonts w:ascii="Arial" w:hAnsi="Arial" w:cs="Arial"/>
          <w:kern w:val="0"/>
          <w:sz w:val="22"/>
          <w:szCs w:val="22"/>
        </w:rPr>
        <w:t xml:space="preserve">, which echoes Brackett et al.’s (2012) sentiment that daily wellbeing check ins support pupils with opportunities to regulate their emotions </w:t>
      </w:r>
      <w:r w:rsidR="005F2B7C">
        <w:rPr>
          <w:rFonts w:ascii="Arial" w:hAnsi="Arial" w:cs="Arial"/>
          <w:kern w:val="0"/>
          <w:sz w:val="22"/>
          <w:szCs w:val="22"/>
        </w:rPr>
        <w:t xml:space="preserve">in a safe, supportive environment. </w:t>
      </w:r>
    </w:p>
    <w:p w14:paraId="45911323" w14:textId="77777777" w:rsidR="003B574A" w:rsidRDefault="003B574A" w:rsidP="003B5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219DB819" w14:textId="6C1B62A1" w:rsidR="003B574A" w:rsidRDefault="006A1291" w:rsidP="003B5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This sense</w:t>
      </w:r>
      <w:r w:rsidR="00422954">
        <w:rPr>
          <w:rFonts w:ascii="Arial" w:hAnsi="Arial" w:cs="Arial"/>
          <w:kern w:val="0"/>
          <w:sz w:val="22"/>
          <w:szCs w:val="22"/>
        </w:rPr>
        <w:t xml:space="preserve"> of</w:t>
      </w:r>
      <w:r>
        <w:rPr>
          <w:rFonts w:ascii="Arial" w:hAnsi="Arial" w:cs="Arial"/>
          <w:kern w:val="0"/>
          <w:sz w:val="22"/>
          <w:szCs w:val="22"/>
        </w:rPr>
        <w:t xml:space="preserve"> safety in the classroom is one of the other key themes identified in the research, with several references being made to it. Pupil C (2024) proudly shared </w:t>
      </w:r>
      <w:r w:rsidRPr="006A1291">
        <w:rPr>
          <w:rFonts w:ascii="Arial" w:hAnsi="Arial" w:cs="Arial"/>
          <w:kern w:val="0"/>
          <w:sz w:val="22"/>
          <w:szCs w:val="22"/>
        </w:rPr>
        <w:t>“I know I can talk about my feelings and why I’m feeling like that, and no one will make fun of me”</w:t>
      </w:r>
      <w:r>
        <w:rPr>
          <w:rFonts w:ascii="Arial" w:hAnsi="Arial" w:cs="Arial"/>
          <w:kern w:val="0"/>
          <w:sz w:val="22"/>
          <w:szCs w:val="22"/>
        </w:rPr>
        <w:t xml:space="preserve">; Durlak et al. (2011) states that positive classroom environments foster a climate which is characterised by inclusivity, cooperation, and mutual respect. </w:t>
      </w:r>
      <w:r w:rsidR="00422954">
        <w:rPr>
          <w:rFonts w:ascii="Arial" w:hAnsi="Arial" w:cs="Arial"/>
          <w:kern w:val="0"/>
          <w:sz w:val="22"/>
          <w:szCs w:val="22"/>
        </w:rPr>
        <w:t>With Pupil D (2024) expressing “</w:t>
      </w:r>
      <w:r w:rsidRPr="006A1291">
        <w:rPr>
          <w:rFonts w:ascii="Arial" w:hAnsi="Arial" w:cs="Arial"/>
          <w:kern w:val="0"/>
          <w:sz w:val="22"/>
          <w:szCs w:val="22"/>
        </w:rPr>
        <w:t>I feel like I’m being looked after when I come to school”</w:t>
      </w:r>
      <w:r w:rsidR="00422954">
        <w:rPr>
          <w:rFonts w:ascii="Arial" w:hAnsi="Arial" w:cs="Arial"/>
          <w:kern w:val="0"/>
          <w:sz w:val="22"/>
          <w:szCs w:val="22"/>
        </w:rPr>
        <w:t xml:space="preserve">, by focusing on pupils’ social-emotional needs, teachers are able to create a safe and nurturing environment where all pupils feel accepted and valued (Zinsser et al., 2018). </w:t>
      </w:r>
    </w:p>
    <w:p w14:paraId="2E63CAE6" w14:textId="77777777" w:rsidR="003B574A" w:rsidRDefault="003B574A" w:rsidP="003B57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2D2E5C03" w14:textId="1422E1F1" w:rsidR="00371D1B" w:rsidRPr="00E038B5" w:rsidRDefault="00BD3FA9"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The final theme identified through thematic analysis of the interview questions was the improvement of pupils’ self-esteem, evident through Pupil B’s (2024) statement of “I used to get upset if my work wasn’t perfect, now I know I’m trying my best.”</w:t>
      </w:r>
      <w:r w:rsidR="005B16F1">
        <w:rPr>
          <w:rFonts w:ascii="Arial" w:hAnsi="Arial" w:cs="Arial"/>
          <w:kern w:val="0"/>
          <w:sz w:val="22"/>
          <w:szCs w:val="22"/>
        </w:rPr>
        <w:t xml:space="preserve"> Huppert and Johnson (2010) and Greenberg et al. (2003) agree that investing in pupils’ wellbeing from an early age can have long-term benefits for physical and mental health outcomes throughout life, and that these check in processes instil valuable resilience strategies and coping skills used beyond the classroom. </w:t>
      </w:r>
      <w:r w:rsidR="00E038B5">
        <w:rPr>
          <w:rFonts w:ascii="Arial" w:hAnsi="Arial" w:cs="Arial"/>
          <w:kern w:val="0"/>
          <w:sz w:val="22"/>
          <w:szCs w:val="22"/>
        </w:rPr>
        <w:t xml:space="preserve">Finally, it was evident that </w:t>
      </w:r>
      <w:r w:rsidR="00AF0669">
        <w:rPr>
          <w:rFonts w:ascii="Arial" w:hAnsi="Arial" w:cs="Arial"/>
          <w:kern w:val="0"/>
          <w:sz w:val="22"/>
          <w:szCs w:val="22"/>
        </w:rPr>
        <w:t>all</w:t>
      </w:r>
      <w:r w:rsidR="00E038B5">
        <w:rPr>
          <w:rFonts w:ascii="Arial" w:hAnsi="Arial" w:cs="Arial"/>
          <w:kern w:val="0"/>
          <w:sz w:val="22"/>
          <w:szCs w:val="22"/>
        </w:rPr>
        <w:t xml:space="preserve"> the participants in the group interview were comfortable and happy to share their views and opinions and contribute equally to the questions being asked. </w:t>
      </w:r>
    </w:p>
    <w:p w14:paraId="668CA7EB" w14:textId="77777777" w:rsidR="00371D1B" w:rsidRPr="007E7ED7"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rPr>
      </w:pPr>
    </w:p>
    <w:p w14:paraId="3D12D17E" w14:textId="72132D9C" w:rsidR="00371D1B" w:rsidRPr="00E038B5"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8"/>
          <w:szCs w:val="28"/>
        </w:rPr>
      </w:pPr>
      <w:r w:rsidRPr="00E038B5">
        <w:rPr>
          <w:rFonts w:ascii="Arial" w:hAnsi="Arial" w:cs="Arial"/>
          <w:b/>
          <w:bCs/>
          <w:kern w:val="0"/>
          <w:sz w:val="28"/>
          <w:szCs w:val="28"/>
        </w:rPr>
        <w:t>Conclusion</w:t>
      </w:r>
      <w:r w:rsidR="00723700">
        <w:rPr>
          <w:rFonts w:ascii="Arial" w:hAnsi="Arial" w:cs="Arial"/>
          <w:b/>
          <w:bCs/>
          <w:kern w:val="0"/>
          <w:sz w:val="28"/>
          <w:szCs w:val="28"/>
        </w:rPr>
        <w:t xml:space="preserve"> and Recommendations</w:t>
      </w:r>
    </w:p>
    <w:p w14:paraId="15FB9090" w14:textId="77777777" w:rsidR="00371D1B" w:rsidRDefault="00371D1B"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12E92D55" w14:textId="642DB6EA" w:rsidR="00E038B5" w:rsidRDefault="009F4ADD"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The reliability of this case study was ensured by incorporating multiple data sources, through the use of questionnaires and a group interview. The reliability was further enhanced by ensuring that all participants were given the same, clear instructions </w:t>
      </w:r>
      <w:r w:rsidR="00A065A6">
        <w:rPr>
          <w:rFonts w:ascii="Arial" w:hAnsi="Arial" w:cs="Arial"/>
          <w:kern w:val="0"/>
          <w:sz w:val="22"/>
          <w:szCs w:val="22"/>
        </w:rPr>
        <w:t xml:space="preserve">at the beginning of these research methods, e.g. for the questionnaire the questions were read out to all </w:t>
      </w:r>
      <w:r w:rsidR="00A065A6">
        <w:rPr>
          <w:rFonts w:ascii="Arial" w:hAnsi="Arial" w:cs="Arial"/>
          <w:kern w:val="0"/>
          <w:sz w:val="22"/>
          <w:szCs w:val="22"/>
        </w:rPr>
        <w:lastRenderedPageBreak/>
        <w:t xml:space="preserve">participants to ensure accessibility for all, and it was repeated that none of them should write their names on the sheet. Within the questionnaire was Leuven scale questions, meaning that results could be easily measured and compared, further enhancing the reliability and validity of the method. </w:t>
      </w:r>
    </w:p>
    <w:p w14:paraId="4CE8F818" w14:textId="77777777" w:rsidR="00A065A6" w:rsidRDefault="00A065A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5166BFA3" w14:textId="39BDBFAC" w:rsidR="00371D1B" w:rsidRDefault="00A065A6"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The data shows that the findings can be generalised as the links with literature and previous studies match the results in this case study, however due to the limitations of the case study, it is not advisable to use them in a separate context. The limitations were the number of participants, and time; given more time it would be appropriate to further enhance the validity of the study by allocating time for peer review</w:t>
      </w:r>
      <w:r w:rsidR="001B7A44">
        <w:rPr>
          <w:rFonts w:ascii="Arial" w:hAnsi="Arial" w:cs="Arial"/>
          <w:kern w:val="0"/>
          <w:sz w:val="22"/>
          <w:szCs w:val="22"/>
        </w:rPr>
        <w:t>.</w:t>
      </w:r>
      <w:r w:rsidR="0004318F">
        <w:rPr>
          <w:rFonts w:ascii="Arial" w:hAnsi="Arial" w:cs="Arial"/>
          <w:kern w:val="0"/>
          <w:sz w:val="22"/>
          <w:szCs w:val="22"/>
        </w:rPr>
        <w:t xml:space="preserve"> </w:t>
      </w:r>
    </w:p>
    <w:p w14:paraId="2063BE63" w14:textId="77777777" w:rsidR="0004318F" w:rsidRDefault="0004318F"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132BAB65" w14:textId="29CFD96B" w:rsidR="00371D1B" w:rsidRDefault="0004318F"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This case study has linked with several strands on the PLP, firstly under Professional Learning is the strand of ‘wider reading and research findings</w:t>
      </w:r>
      <w:r w:rsidR="00723700">
        <w:rPr>
          <w:rFonts w:ascii="Arial" w:hAnsi="Arial" w:cs="Arial"/>
          <w:kern w:val="0"/>
          <w:sz w:val="22"/>
          <w:szCs w:val="22"/>
        </w:rPr>
        <w:t>’</w:t>
      </w:r>
      <w:r>
        <w:rPr>
          <w:rFonts w:ascii="Arial" w:hAnsi="Arial" w:cs="Arial"/>
          <w:kern w:val="0"/>
          <w:sz w:val="22"/>
          <w:szCs w:val="22"/>
        </w:rPr>
        <w:t xml:space="preserve">, which is evident </w:t>
      </w:r>
      <w:r w:rsidR="00723700">
        <w:rPr>
          <w:rFonts w:ascii="Arial" w:hAnsi="Arial" w:cs="Arial"/>
          <w:kern w:val="0"/>
          <w:sz w:val="22"/>
          <w:szCs w:val="22"/>
        </w:rPr>
        <w:t>as thorough research has been conducted on wellbeing and how to create supportive environments. Secondly, under Leadership is the strand of ‘taking responsibility for self’ which has been demonstrated through developing positive relationships with pupils.</w:t>
      </w:r>
    </w:p>
    <w:p w14:paraId="684024D6" w14:textId="77777777" w:rsidR="00723700" w:rsidRDefault="00723700" w:rsidP="007E7E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694283F4" w14:textId="29516E0D" w:rsidR="00B334F9" w:rsidRPr="0011677F" w:rsidRDefault="00723700" w:rsidP="0011677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Throughout this research it has become evident of the positive correlation between daily wellbeing check ins and improved self-esteem, improved relationships in the classroom, and a feeling of safety in school, therefore it is recommended that </w:t>
      </w:r>
      <w:r w:rsidR="0011677F">
        <w:rPr>
          <w:rFonts w:ascii="Arial" w:hAnsi="Arial" w:cs="Arial"/>
          <w:kern w:val="0"/>
          <w:sz w:val="22"/>
          <w:szCs w:val="22"/>
        </w:rPr>
        <w:t xml:space="preserve">a consistent check in system is implemented. It is also clear that this check in system needs to give pupils to opportunity to speak about their feelings and why they are feeling that way, in order to improve emotional literacy and empathy, and therefore, check in systems should be reviewed regularly to ensure that they continue to have a positive effect on the pupils. </w:t>
      </w:r>
    </w:p>
    <w:p w14:paraId="5405A092" w14:textId="4A7668B1" w:rsidR="00B334F9" w:rsidRDefault="00B334F9" w:rsidP="007E7ED7">
      <w:pPr>
        <w:spacing w:line="360" w:lineRule="auto"/>
        <w:rPr>
          <w:rFonts w:ascii="Arial" w:hAnsi="Arial" w:cs="Arial"/>
          <w:sz w:val="22"/>
          <w:szCs w:val="22"/>
        </w:rPr>
      </w:pPr>
    </w:p>
    <w:p w14:paraId="3B9B3DA5" w14:textId="77777777" w:rsidR="00B334F9" w:rsidRDefault="00B334F9">
      <w:pPr>
        <w:rPr>
          <w:rFonts w:ascii="Arial" w:hAnsi="Arial" w:cs="Arial"/>
          <w:sz w:val="22"/>
          <w:szCs w:val="22"/>
        </w:rPr>
      </w:pPr>
      <w:r>
        <w:rPr>
          <w:rFonts w:ascii="Arial" w:hAnsi="Arial" w:cs="Arial"/>
          <w:sz w:val="22"/>
          <w:szCs w:val="22"/>
        </w:rPr>
        <w:br w:type="page"/>
      </w:r>
    </w:p>
    <w:p w14:paraId="45F54070" w14:textId="6CB5E8AB" w:rsidR="00B334F9" w:rsidRDefault="00B334F9" w:rsidP="007E7ED7">
      <w:pPr>
        <w:spacing w:line="360" w:lineRule="auto"/>
        <w:rPr>
          <w:rFonts w:ascii="Arial" w:hAnsi="Arial" w:cs="Arial"/>
          <w:b/>
          <w:bCs/>
          <w:sz w:val="28"/>
          <w:szCs w:val="28"/>
        </w:rPr>
      </w:pPr>
      <w:r w:rsidRPr="00B334F9">
        <w:rPr>
          <w:rFonts w:ascii="Arial" w:hAnsi="Arial" w:cs="Arial"/>
          <w:b/>
          <w:bCs/>
          <w:sz w:val="28"/>
          <w:szCs w:val="28"/>
        </w:rPr>
        <w:lastRenderedPageBreak/>
        <w:t>References</w:t>
      </w:r>
    </w:p>
    <w:p w14:paraId="71777545" w14:textId="77777777" w:rsidR="00CF5CEF" w:rsidRPr="00CF5CEF" w:rsidRDefault="00CF5CEF" w:rsidP="00CF5CEF">
      <w:pPr>
        <w:spacing w:line="360" w:lineRule="auto"/>
        <w:rPr>
          <w:rFonts w:ascii="Arial" w:hAnsi="Arial" w:cs="Arial"/>
          <w:sz w:val="22"/>
          <w:szCs w:val="22"/>
        </w:rPr>
      </w:pPr>
    </w:p>
    <w:p w14:paraId="7829D48A" w14:textId="31C09487" w:rsidR="00CF5CEF" w:rsidRPr="0000326C" w:rsidRDefault="00CF5CEF" w:rsidP="0000326C">
      <w:pPr>
        <w:pStyle w:val="NormalWeb"/>
        <w:shd w:val="clear" w:color="auto" w:fill="FFFFFF"/>
        <w:spacing w:before="0" w:beforeAutospacing="0" w:after="0" w:afterAutospacing="0" w:line="360" w:lineRule="auto"/>
        <w:rPr>
          <w:rFonts w:ascii="Arial" w:hAnsi="Arial" w:cs="Arial"/>
          <w:color w:val="0D0D0D"/>
          <w:sz w:val="22"/>
          <w:szCs w:val="22"/>
        </w:rPr>
      </w:pPr>
      <w:r w:rsidRPr="00CF5CEF">
        <w:rPr>
          <w:rFonts w:ascii="Arial" w:hAnsi="Arial" w:cs="Arial"/>
          <w:color w:val="0D0D0D"/>
          <w:sz w:val="22"/>
          <w:szCs w:val="22"/>
        </w:rPr>
        <w:t xml:space="preserve">Baker, J. A., Grant, S., &amp; Morlock, L. (2008). </w:t>
      </w:r>
      <w:r w:rsidRPr="00CF5CEF">
        <w:rPr>
          <w:rFonts w:ascii="Arial" w:hAnsi="Arial" w:cs="Arial"/>
          <w:i/>
          <w:iCs/>
          <w:color w:val="0D0D0D"/>
          <w:sz w:val="22"/>
          <w:szCs w:val="22"/>
        </w:rPr>
        <w:t xml:space="preserve">The teacher-student relationship as a developmental context for children </w:t>
      </w:r>
      <w:r w:rsidRPr="0000326C">
        <w:rPr>
          <w:rFonts w:ascii="Arial" w:hAnsi="Arial" w:cs="Arial"/>
          <w:i/>
          <w:iCs/>
          <w:color w:val="0D0D0D"/>
          <w:sz w:val="22"/>
          <w:szCs w:val="22"/>
        </w:rPr>
        <w:t xml:space="preserve">with internalizing or externalizing </w:t>
      </w:r>
      <w:r w:rsidRPr="0000326C">
        <w:rPr>
          <w:rFonts w:ascii="Arial" w:hAnsi="Arial" w:cs="Arial"/>
          <w:i/>
          <w:iCs/>
          <w:color w:val="0D0D0D"/>
          <w:sz w:val="22"/>
          <w:szCs w:val="22"/>
        </w:rPr>
        <w:t>behaviour</w:t>
      </w:r>
      <w:r w:rsidRPr="0000326C">
        <w:rPr>
          <w:rFonts w:ascii="Arial" w:hAnsi="Arial" w:cs="Arial"/>
          <w:i/>
          <w:iCs/>
          <w:color w:val="0D0D0D"/>
          <w:sz w:val="22"/>
          <w:szCs w:val="22"/>
        </w:rPr>
        <w:t xml:space="preserve"> problems</w:t>
      </w:r>
      <w:r w:rsidRPr="0000326C">
        <w:rPr>
          <w:rFonts w:ascii="Arial" w:hAnsi="Arial" w:cs="Arial"/>
          <w:color w:val="0D0D0D"/>
          <w:sz w:val="22"/>
          <w:szCs w:val="22"/>
        </w:rPr>
        <w:t>. School Psychology Quarterly, 23(1), 3-15.</w:t>
      </w:r>
    </w:p>
    <w:p w14:paraId="560BD1CF" w14:textId="77777777" w:rsidR="0000326C" w:rsidRDefault="0000326C" w:rsidP="0000326C">
      <w:pPr>
        <w:shd w:val="clear" w:color="auto" w:fill="FFFFFF"/>
        <w:spacing w:line="360" w:lineRule="auto"/>
        <w:rPr>
          <w:rFonts w:ascii="Arial" w:eastAsia="Times New Roman" w:hAnsi="Arial" w:cs="Arial"/>
          <w:color w:val="0D0D0D"/>
          <w:kern w:val="0"/>
          <w:sz w:val="22"/>
          <w:szCs w:val="22"/>
          <w:lang w:eastAsia="en-GB"/>
          <w14:ligatures w14:val="none"/>
        </w:rPr>
      </w:pPr>
    </w:p>
    <w:p w14:paraId="39DCE7F6" w14:textId="33B8DD3A" w:rsidR="0000326C" w:rsidRPr="0000326C" w:rsidRDefault="0000326C" w:rsidP="0000326C">
      <w:pPr>
        <w:shd w:val="clear" w:color="auto" w:fill="FFFFFF"/>
        <w:spacing w:line="360" w:lineRule="auto"/>
        <w:rPr>
          <w:rFonts w:ascii="Arial" w:eastAsia="Times New Roman" w:hAnsi="Arial" w:cs="Arial"/>
          <w:color w:val="0D0D0D"/>
          <w:kern w:val="0"/>
          <w:sz w:val="22"/>
          <w:szCs w:val="22"/>
          <w:lang w:eastAsia="en-GB"/>
          <w14:ligatures w14:val="none"/>
        </w:rPr>
      </w:pPr>
      <w:r w:rsidRPr="0000326C">
        <w:rPr>
          <w:rFonts w:ascii="Arial" w:eastAsia="Times New Roman" w:hAnsi="Arial" w:cs="Arial"/>
          <w:color w:val="0D0D0D"/>
          <w:kern w:val="0"/>
          <w:sz w:val="22"/>
          <w:szCs w:val="22"/>
          <w:lang w:eastAsia="en-GB"/>
          <w14:ligatures w14:val="none"/>
        </w:rPr>
        <w:t xml:space="preserve">Barbour, R. S. (2007). </w:t>
      </w:r>
      <w:r w:rsidRPr="0000326C">
        <w:rPr>
          <w:rFonts w:ascii="Arial" w:eastAsia="Times New Roman" w:hAnsi="Arial" w:cs="Arial"/>
          <w:i/>
          <w:iCs/>
          <w:color w:val="0D0D0D"/>
          <w:kern w:val="0"/>
          <w:sz w:val="22"/>
          <w:szCs w:val="22"/>
          <w:lang w:eastAsia="en-GB"/>
          <w14:ligatures w14:val="none"/>
        </w:rPr>
        <w:t>Doing Focus Groups</w:t>
      </w:r>
      <w:r w:rsidRPr="0000326C">
        <w:rPr>
          <w:rFonts w:ascii="Arial" w:eastAsia="Times New Roman" w:hAnsi="Arial" w:cs="Arial"/>
          <w:color w:val="0D0D0D"/>
          <w:kern w:val="0"/>
          <w:sz w:val="22"/>
          <w:szCs w:val="22"/>
          <w:lang w:eastAsia="en-GB"/>
          <w14:ligatures w14:val="none"/>
        </w:rPr>
        <w:t>. Sage Publications.</w:t>
      </w:r>
    </w:p>
    <w:p w14:paraId="79CBEF4E" w14:textId="77777777" w:rsidR="005A5897" w:rsidRPr="0000326C" w:rsidRDefault="005A5897" w:rsidP="0000326C">
      <w:pPr>
        <w:pStyle w:val="NormalWeb"/>
        <w:shd w:val="clear" w:color="auto" w:fill="FFFFFF"/>
        <w:spacing w:before="0" w:beforeAutospacing="0" w:after="0" w:afterAutospacing="0" w:line="360" w:lineRule="auto"/>
        <w:rPr>
          <w:rFonts w:ascii="Arial" w:hAnsi="Arial" w:cs="Arial"/>
          <w:color w:val="0D0D0D"/>
          <w:sz w:val="22"/>
          <w:szCs w:val="22"/>
        </w:rPr>
      </w:pPr>
    </w:p>
    <w:p w14:paraId="1D8EE51C" w14:textId="6957EBA8" w:rsidR="005A5897" w:rsidRPr="005F2B7C" w:rsidRDefault="005A5897" w:rsidP="005F2B7C">
      <w:pPr>
        <w:pStyle w:val="NormalWeb"/>
        <w:shd w:val="clear" w:color="auto" w:fill="FFFFFF"/>
        <w:spacing w:before="0" w:beforeAutospacing="0" w:after="0" w:afterAutospacing="0" w:line="360" w:lineRule="auto"/>
        <w:rPr>
          <w:rFonts w:ascii="Arial" w:hAnsi="Arial" w:cs="Arial"/>
          <w:color w:val="0D0D0D"/>
          <w:sz w:val="22"/>
          <w:szCs w:val="22"/>
          <w:shd w:val="clear" w:color="auto" w:fill="FFFFFF"/>
        </w:rPr>
      </w:pPr>
      <w:r w:rsidRPr="0000326C">
        <w:rPr>
          <w:rFonts w:ascii="Arial" w:hAnsi="Arial" w:cs="Arial"/>
          <w:color w:val="0D0D0D"/>
          <w:sz w:val="22"/>
          <w:szCs w:val="22"/>
          <w:shd w:val="clear" w:color="auto" w:fill="FFFFFF"/>
        </w:rPr>
        <w:t xml:space="preserve">Bowling, A. (2014). </w:t>
      </w:r>
      <w:r w:rsidRPr="0000326C">
        <w:rPr>
          <w:rFonts w:ascii="Arial" w:hAnsi="Arial" w:cs="Arial"/>
          <w:i/>
          <w:iCs/>
          <w:color w:val="0D0D0D"/>
          <w:sz w:val="22"/>
          <w:szCs w:val="22"/>
          <w:shd w:val="clear" w:color="auto" w:fill="FFFFFF"/>
        </w:rPr>
        <w:t>Research methods in</w:t>
      </w:r>
      <w:r w:rsidRPr="005A5897">
        <w:rPr>
          <w:rFonts w:ascii="Arial" w:hAnsi="Arial" w:cs="Arial"/>
          <w:i/>
          <w:iCs/>
          <w:color w:val="0D0D0D"/>
          <w:sz w:val="22"/>
          <w:szCs w:val="22"/>
          <w:shd w:val="clear" w:color="auto" w:fill="FFFFFF"/>
        </w:rPr>
        <w:t xml:space="preserve"> health: Investigating health and health services.</w:t>
      </w:r>
      <w:r w:rsidRPr="005A5897">
        <w:rPr>
          <w:rFonts w:ascii="Arial" w:hAnsi="Arial" w:cs="Arial"/>
          <w:color w:val="0D0D0D"/>
          <w:sz w:val="22"/>
          <w:szCs w:val="22"/>
          <w:shd w:val="clear" w:color="auto" w:fill="FFFFFF"/>
        </w:rPr>
        <w:t xml:space="preserve"> McGraw-Hill </w:t>
      </w:r>
      <w:r w:rsidRPr="00A14E2C">
        <w:rPr>
          <w:rFonts w:ascii="Arial" w:hAnsi="Arial" w:cs="Arial"/>
          <w:color w:val="0D0D0D"/>
          <w:sz w:val="22"/>
          <w:szCs w:val="22"/>
          <w:shd w:val="clear" w:color="auto" w:fill="FFFFFF"/>
        </w:rPr>
        <w:t>Education (UK).</w:t>
      </w:r>
    </w:p>
    <w:p w14:paraId="6235BC35" w14:textId="77777777" w:rsidR="005F2B7C" w:rsidRPr="005F2B7C" w:rsidRDefault="005F2B7C" w:rsidP="005F2B7C">
      <w:pPr>
        <w:pStyle w:val="NormalWeb"/>
        <w:shd w:val="clear" w:color="auto" w:fill="FFFFFF"/>
        <w:spacing w:before="0" w:beforeAutospacing="0" w:after="0" w:afterAutospacing="0" w:line="360" w:lineRule="auto"/>
        <w:rPr>
          <w:rFonts w:ascii="Arial" w:hAnsi="Arial" w:cs="Arial"/>
          <w:color w:val="0D0D0D"/>
          <w:sz w:val="22"/>
          <w:szCs w:val="22"/>
          <w:shd w:val="clear" w:color="auto" w:fill="FFFFFF"/>
        </w:rPr>
      </w:pPr>
    </w:p>
    <w:p w14:paraId="1582FC6D" w14:textId="33F17AB3" w:rsidR="005F2B7C" w:rsidRPr="005F2B7C" w:rsidRDefault="005F2B7C" w:rsidP="005F2B7C">
      <w:pPr>
        <w:shd w:val="clear" w:color="auto" w:fill="FFFFFF"/>
        <w:spacing w:line="360" w:lineRule="auto"/>
        <w:rPr>
          <w:rFonts w:ascii="Arial" w:eastAsia="Times New Roman" w:hAnsi="Arial" w:cs="Arial"/>
          <w:color w:val="0D0D0D"/>
          <w:kern w:val="0"/>
          <w:sz w:val="22"/>
          <w:szCs w:val="22"/>
          <w:lang w:eastAsia="en-GB"/>
          <w14:ligatures w14:val="none"/>
        </w:rPr>
      </w:pPr>
      <w:r w:rsidRPr="005F2B7C">
        <w:rPr>
          <w:rFonts w:ascii="Arial" w:eastAsia="Times New Roman" w:hAnsi="Arial" w:cs="Arial"/>
          <w:color w:val="0D0D0D"/>
          <w:kern w:val="0"/>
          <w:sz w:val="22"/>
          <w:szCs w:val="22"/>
          <w:lang w:eastAsia="en-GB"/>
          <w14:ligatures w14:val="none"/>
        </w:rPr>
        <w:t xml:space="preserve">Brackett, M. A., et al. (2012). </w:t>
      </w:r>
      <w:r w:rsidRPr="005F2B7C">
        <w:rPr>
          <w:rFonts w:ascii="Arial" w:eastAsia="Times New Roman" w:hAnsi="Arial" w:cs="Arial"/>
          <w:i/>
          <w:iCs/>
          <w:color w:val="0D0D0D"/>
          <w:kern w:val="0"/>
          <w:sz w:val="22"/>
          <w:szCs w:val="22"/>
          <w:lang w:eastAsia="en-GB"/>
          <w14:ligatures w14:val="none"/>
        </w:rPr>
        <w:t>A Sustainable, Skill-Based Approach to Building Healthy Emotion Regulation in Schools</w:t>
      </w:r>
      <w:r w:rsidRPr="005F2B7C">
        <w:rPr>
          <w:rFonts w:ascii="Arial" w:eastAsia="Times New Roman" w:hAnsi="Arial" w:cs="Arial"/>
          <w:color w:val="0D0D0D"/>
          <w:kern w:val="0"/>
          <w:sz w:val="22"/>
          <w:szCs w:val="22"/>
          <w:lang w:eastAsia="en-GB"/>
          <w14:ligatures w14:val="none"/>
        </w:rPr>
        <w:t>. In Handbook of Mindfulness in Education (pp. 31-50). Springer.</w:t>
      </w:r>
    </w:p>
    <w:p w14:paraId="3FB50871" w14:textId="77777777" w:rsidR="00A14E2C" w:rsidRPr="005F2B7C" w:rsidRDefault="00A14E2C" w:rsidP="005F2B7C">
      <w:pPr>
        <w:pStyle w:val="NormalWeb"/>
        <w:shd w:val="clear" w:color="auto" w:fill="FFFFFF"/>
        <w:spacing w:before="0" w:beforeAutospacing="0" w:after="0" w:afterAutospacing="0" w:line="360" w:lineRule="auto"/>
        <w:rPr>
          <w:rFonts w:ascii="Arial" w:hAnsi="Arial" w:cs="Arial"/>
          <w:color w:val="0D0D0D"/>
          <w:sz w:val="22"/>
          <w:szCs w:val="22"/>
          <w:shd w:val="clear" w:color="auto" w:fill="FFFFFF"/>
        </w:rPr>
      </w:pPr>
    </w:p>
    <w:p w14:paraId="06EC7349" w14:textId="53B8353C" w:rsidR="00A14E2C" w:rsidRPr="00A14E2C" w:rsidRDefault="00A14E2C" w:rsidP="005F2B7C">
      <w:pPr>
        <w:shd w:val="clear" w:color="auto" w:fill="FFFFFF"/>
        <w:spacing w:line="360" w:lineRule="auto"/>
        <w:rPr>
          <w:rFonts w:ascii="Arial" w:eastAsia="Times New Roman" w:hAnsi="Arial" w:cs="Arial"/>
          <w:color w:val="0D0D0D"/>
          <w:kern w:val="0"/>
          <w:sz w:val="22"/>
          <w:szCs w:val="22"/>
          <w:lang w:eastAsia="en-GB"/>
          <w14:ligatures w14:val="none"/>
        </w:rPr>
      </w:pPr>
      <w:r w:rsidRPr="00A14E2C">
        <w:rPr>
          <w:rFonts w:ascii="Arial" w:eastAsia="Times New Roman" w:hAnsi="Arial" w:cs="Arial"/>
          <w:color w:val="0D0D0D"/>
          <w:kern w:val="0"/>
          <w:sz w:val="22"/>
          <w:szCs w:val="22"/>
          <w:lang w:eastAsia="en-GB"/>
          <w14:ligatures w14:val="none"/>
        </w:rPr>
        <w:t xml:space="preserve">Braun, V., &amp; Clarke, V. (2006). </w:t>
      </w:r>
      <w:r w:rsidRPr="00A14E2C">
        <w:rPr>
          <w:rFonts w:ascii="Arial" w:eastAsia="Times New Roman" w:hAnsi="Arial" w:cs="Arial"/>
          <w:i/>
          <w:iCs/>
          <w:color w:val="0D0D0D"/>
          <w:kern w:val="0"/>
          <w:sz w:val="22"/>
          <w:szCs w:val="22"/>
          <w:lang w:eastAsia="en-GB"/>
          <w14:ligatures w14:val="none"/>
        </w:rPr>
        <w:t>Using thematic analysis in psychology</w:t>
      </w:r>
      <w:r w:rsidRPr="00A14E2C">
        <w:rPr>
          <w:rFonts w:ascii="Arial" w:eastAsia="Times New Roman" w:hAnsi="Arial" w:cs="Arial"/>
          <w:color w:val="0D0D0D"/>
          <w:kern w:val="0"/>
          <w:sz w:val="22"/>
          <w:szCs w:val="22"/>
          <w:lang w:eastAsia="en-GB"/>
          <w14:ligatures w14:val="none"/>
        </w:rPr>
        <w:t>. Qualitative Research in Psychology, 3(2), 77–101.</w:t>
      </w:r>
    </w:p>
    <w:p w14:paraId="229E270C" w14:textId="77777777" w:rsidR="00CF5CEF" w:rsidRPr="00A14E2C" w:rsidRDefault="00CF5CEF" w:rsidP="00A14E2C">
      <w:pPr>
        <w:pStyle w:val="NormalWeb"/>
        <w:shd w:val="clear" w:color="auto" w:fill="FFFFFF"/>
        <w:spacing w:before="0" w:beforeAutospacing="0" w:after="0" w:afterAutospacing="0" w:line="360" w:lineRule="auto"/>
        <w:rPr>
          <w:rFonts w:ascii="Arial" w:hAnsi="Arial" w:cs="Arial"/>
          <w:color w:val="0D0D0D"/>
          <w:sz w:val="22"/>
          <w:szCs w:val="22"/>
        </w:rPr>
      </w:pPr>
    </w:p>
    <w:p w14:paraId="1FDC7F5E" w14:textId="5D17B494" w:rsidR="00591759" w:rsidRPr="00591759" w:rsidRDefault="00591759" w:rsidP="00A14E2C">
      <w:pPr>
        <w:spacing w:line="360" w:lineRule="auto"/>
        <w:rPr>
          <w:rFonts w:ascii="Arial" w:hAnsi="Arial" w:cs="Arial"/>
          <w:sz w:val="22"/>
          <w:szCs w:val="22"/>
        </w:rPr>
      </w:pPr>
      <w:r w:rsidRPr="00A14E2C">
        <w:rPr>
          <w:rFonts w:ascii="Arial" w:hAnsi="Arial" w:cs="Arial"/>
          <w:sz w:val="22"/>
          <w:szCs w:val="22"/>
        </w:rPr>
        <w:t>British Educational Research</w:t>
      </w:r>
      <w:r w:rsidRPr="005A5897">
        <w:rPr>
          <w:rFonts w:ascii="Arial" w:hAnsi="Arial" w:cs="Arial"/>
          <w:sz w:val="22"/>
          <w:szCs w:val="22"/>
        </w:rPr>
        <w:t xml:space="preserve"> Association.</w:t>
      </w:r>
      <w:r w:rsidRPr="00591759">
        <w:rPr>
          <w:rFonts w:ascii="Arial" w:hAnsi="Arial" w:cs="Arial"/>
          <w:sz w:val="22"/>
          <w:szCs w:val="22"/>
        </w:rPr>
        <w:t xml:space="preserve"> (2018) </w:t>
      </w:r>
      <w:r w:rsidRPr="00591759">
        <w:rPr>
          <w:rFonts w:ascii="Arial" w:hAnsi="Arial" w:cs="Arial"/>
          <w:i/>
          <w:iCs/>
          <w:sz w:val="22"/>
          <w:szCs w:val="22"/>
        </w:rPr>
        <w:t>Ethical guidelines for educational research</w:t>
      </w:r>
      <w:r w:rsidRPr="00591759">
        <w:rPr>
          <w:rFonts w:ascii="Arial" w:hAnsi="Arial" w:cs="Arial"/>
          <w:sz w:val="22"/>
          <w:szCs w:val="22"/>
        </w:rPr>
        <w:t>. 4th edition.</w:t>
      </w:r>
    </w:p>
    <w:p w14:paraId="01B18D16" w14:textId="77777777" w:rsidR="00591759" w:rsidRPr="001544F0" w:rsidRDefault="00591759" w:rsidP="001544F0">
      <w:pPr>
        <w:spacing w:line="360" w:lineRule="auto"/>
        <w:rPr>
          <w:rFonts w:ascii="Arial" w:hAnsi="Arial" w:cs="Arial"/>
          <w:sz w:val="22"/>
          <w:szCs w:val="22"/>
        </w:rPr>
      </w:pPr>
    </w:p>
    <w:p w14:paraId="28A75DA5" w14:textId="4ACD3339" w:rsidR="001544F0" w:rsidRPr="00757F1F" w:rsidRDefault="001544F0" w:rsidP="001544F0">
      <w:pPr>
        <w:pStyle w:val="NormalWeb"/>
        <w:shd w:val="clear" w:color="auto" w:fill="FFFFFF"/>
        <w:spacing w:before="0" w:beforeAutospacing="0" w:after="0" w:afterAutospacing="0" w:line="360" w:lineRule="auto"/>
        <w:rPr>
          <w:rFonts w:ascii="Arial" w:hAnsi="Arial" w:cs="Arial"/>
          <w:color w:val="0D0D0D"/>
          <w:sz w:val="22"/>
          <w:szCs w:val="22"/>
        </w:rPr>
      </w:pPr>
      <w:r w:rsidRPr="001544F0">
        <w:rPr>
          <w:rFonts w:ascii="Arial" w:hAnsi="Arial" w:cs="Arial"/>
          <w:color w:val="0D0D0D"/>
          <w:sz w:val="22"/>
          <w:szCs w:val="22"/>
        </w:rPr>
        <w:t xml:space="preserve">Brophy, J. E., &amp; Good, T. L. (1986). </w:t>
      </w:r>
      <w:r w:rsidRPr="001544F0">
        <w:rPr>
          <w:rFonts w:ascii="Arial" w:hAnsi="Arial" w:cs="Arial"/>
          <w:i/>
          <w:iCs/>
          <w:color w:val="0D0D0D"/>
          <w:sz w:val="22"/>
          <w:szCs w:val="22"/>
        </w:rPr>
        <w:t xml:space="preserve">Teacher </w:t>
      </w:r>
      <w:r w:rsidRPr="001544F0">
        <w:rPr>
          <w:rFonts w:ascii="Arial" w:hAnsi="Arial" w:cs="Arial"/>
          <w:i/>
          <w:iCs/>
          <w:color w:val="0D0D0D"/>
          <w:sz w:val="22"/>
          <w:szCs w:val="22"/>
        </w:rPr>
        <w:t>behaviour</w:t>
      </w:r>
      <w:r w:rsidRPr="001544F0">
        <w:rPr>
          <w:rFonts w:ascii="Arial" w:hAnsi="Arial" w:cs="Arial"/>
          <w:i/>
          <w:iCs/>
          <w:color w:val="0D0D0D"/>
          <w:sz w:val="22"/>
          <w:szCs w:val="22"/>
        </w:rPr>
        <w:t xml:space="preserve"> and student achievement.</w:t>
      </w:r>
      <w:r w:rsidRPr="001544F0">
        <w:rPr>
          <w:rFonts w:ascii="Arial" w:hAnsi="Arial" w:cs="Arial"/>
          <w:color w:val="0D0D0D"/>
          <w:sz w:val="22"/>
          <w:szCs w:val="22"/>
        </w:rPr>
        <w:t xml:space="preserve"> In M. C. Wittrock (Ed.), Handbook of research on </w:t>
      </w:r>
      <w:r w:rsidRPr="00757F1F">
        <w:rPr>
          <w:rFonts w:ascii="Arial" w:hAnsi="Arial" w:cs="Arial"/>
          <w:color w:val="0D0D0D"/>
          <w:sz w:val="22"/>
          <w:szCs w:val="22"/>
        </w:rPr>
        <w:t>teaching (3rd ed., pp. 328-375). Macmillan.</w:t>
      </w:r>
    </w:p>
    <w:p w14:paraId="3AB3EECF" w14:textId="77777777" w:rsidR="00757F1F" w:rsidRPr="00757F1F" w:rsidRDefault="00757F1F" w:rsidP="001544F0">
      <w:pPr>
        <w:pStyle w:val="NormalWeb"/>
        <w:shd w:val="clear" w:color="auto" w:fill="FFFFFF"/>
        <w:spacing w:before="0" w:beforeAutospacing="0" w:after="0" w:afterAutospacing="0" w:line="360" w:lineRule="auto"/>
        <w:rPr>
          <w:rFonts w:ascii="Arial" w:hAnsi="Arial" w:cs="Arial"/>
          <w:color w:val="0D0D0D"/>
          <w:sz w:val="22"/>
          <w:szCs w:val="22"/>
        </w:rPr>
      </w:pPr>
    </w:p>
    <w:p w14:paraId="7942DE46" w14:textId="0D256ABE" w:rsidR="00757F1F" w:rsidRPr="00C95E16" w:rsidRDefault="00757F1F" w:rsidP="001544F0">
      <w:pPr>
        <w:pStyle w:val="NormalWeb"/>
        <w:shd w:val="clear" w:color="auto" w:fill="FFFFFF"/>
        <w:spacing w:before="0" w:beforeAutospacing="0" w:after="0" w:afterAutospacing="0" w:line="360" w:lineRule="auto"/>
        <w:rPr>
          <w:rFonts w:ascii="Arial" w:hAnsi="Arial" w:cs="Arial"/>
          <w:sz w:val="22"/>
          <w:szCs w:val="22"/>
          <w:shd w:val="clear" w:color="auto" w:fill="FFFFFF"/>
        </w:rPr>
      </w:pPr>
      <w:r w:rsidRPr="00757F1F">
        <w:rPr>
          <w:rFonts w:ascii="Arial" w:hAnsi="Arial" w:cs="Arial"/>
          <w:color w:val="0D0D0D"/>
          <w:sz w:val="22"/>
          <w:szCs w:val="22"/>
          <w:shd w:val="clear" w:color="auto" w:fill="FFFFFF"/>
        </w:rPr>
        <w:t xml:space="preserve">Couper, M. P. (2017). </w:t>
      </w:r>
      <w:r w:rsidRPr="00757F1F">
        <w:rPr>
          <w:rFonts w:ascii="Arial" w:hAnsi="Arial" w:cs="Arial"/>
          <w:i/>
          <w:iCs/>
          <w:color w:val="0D0D0D"/>
          <w:sz w:val="22"/>
          <w:szCs w:val="22"/>
          <w:shd w:val="clear" w:color="auto" w:fill="FFFFFF"/>
        </w:rPr>
        <w:t>The future of modes of data collection.</w:t>
      </w:r>
      <w:r w:rsidRPr="00757F1F">
        <w:rPr>
          <w:rFonts w:ascii="Arial" w:hAnsi="Arial" w:cs="Arial"/>
          <w:color w:val="0D0D0D"/>
          <w:sz w:val="22"/>
          <w:szCs w:val="22"/>
          <w:shd w:val="clear" w:color="auto" w:fill="FFFFFF"/>
        </w:rPr>
        <w:t xml:space="preserve"> Public Opinion Quarterly, 81(S1), 274-299.</w:t>
      </w:r>
    </w:p>
    <w:p w14:paraId="7EE16A75" w14:textId="77777777" w:rsidR="00C95E16" w:rsidRPr="00C95E16" w:rsidRDefault="00C95E16" w:rsidP="001544F0">
      <w:pPr>
        <w:pStyle w:val="NormalWeb"/>
        <w:shd w:val="clear" w:color="auto" w:fill="FFFFFF"/>
        <w:spacing w:before="0" w:beforeAutospacing="0" w:after="0" w:afterAutospacing="0" w:line="360" w:lineRule="auto"/>
        <w:rPr>
          <w:rFonts w:ascii="Arial" w:hAnsi="Arial" w:cs="Arial"/>
          <w:sz w:val="22"/>
          <w:szCs w:val="22"/>
          <w:shd w:val="clear" w:color="auto" w:fill="FFFFFF"/>
        </w:rPr>
      </w:pPr>
    </w:p>
    <w:p w14:paraId="1B3AEFB2" w14:textId="3E10682C" w:rsidR="00C95E16" w:rsidRPr="00C95E16" w:rsidRDefault="00C95E16" w:rsidP="001544F0">
      <w:pPr>
        <w:pStyle w:val="NormalWeb"/>
        <w:shd w:val="clear" w:color="auto" w:fill="FFFFFF"/>
        <w:spacing w:before="0" w:beforeAutospacing="0" w:after="0" w:afterAutospacing="0" w:line="360" w:lineRule="auto"/>
        <w:rPr>
          <w:rFonts w:ascii="Arial" w:hAnsi="Arial" w:cs="Arial"/>
          <w:sz w:val="22"/>
          <w:szCs w:val="22"/>
        </w:rPr>
      </w:pPr>
      <w:r w:rsidRPr="00C95E16">
        <w:rPr>
          <w:rFonts w:ascii="Arial" w:hAnsi="Arial" w:cs="Arial"/>
          <w:sz w:val="22"/>
          <w:szCs w:val="22"/>
          <w:shd w:val="clear" w:color="auto" w:fill="FFFFFF"/>
        </w:rPr>
        <w:t xml:space="preserve">Creswell, J. W., &amp; Creswell, J. D. (2017). </w:t>
      </w:r>
      <w:r w:rsidRPr="00C95E16">
        <w:rPr>
          <w:rFonts w:ascii="Arial" w:hAnsi="Arial" w:cs="Arial"/>
          <w:i/>
          <w:iCs/>
          <w:sz w:val="22"/>
          <w:szCs w:val="22"/>
          <w:shd w:val="clear" w:color="auto" w:fill="FFFFFF"/>
        </w:rPr>
        <w:t>Research design: Qualitative, quantitative, and mixed methods approaches.</w:t>
      </w:r>
      <w:r w:rsidRPr="00C95E16">
        <w:rPr>
          <w:rFonts w:ascii="Arial" w:hAnsi="Arial" w:cs="Arial"/>
          <w:sz w:val="22"/>
          <w:szCs w:val="22"/>
          <w:shd w:val="clear" w:color="auto" w:fill="FFFFFF"/>
        </w:rPr>
        <w:t xml:space="preserve"> Sage publications.</w:t>
      </w:r>
    </w:p>
    <w:p w14:paraId="760E6411" w14:textId="77777777" w:rsidR="001544F0" w:rsidRPr="00C95E16" w:rsidRDefault="001544F0" w:rsidP="001544F0">
      <w:pPr>
        <w:spacing w:line="360" w:lineRule="auto"/>
        <w:rPr>
          <w:rFonts w:ascii="Arial" w:hAnsi="Arial" w:cs="Arial"/>
          <w:sz w:val="22"/>
          <w:szCs w:val="22"/>
        </w:rPr>
      </w:pPr>
    </w:p>
    <w:p w14:paraId="012832CC" w14:textId="690F0EA4" w:rsidR="00B334F9" w:rsidRPr="006A1291" w:rsidRDefault="00B334F9" w:rsidP="006A1291">
      <w:pPr>
        <w:spacing w:line="360" w:lineRule="auto"/>
        <w:rPr>
          <w:rFonts w:ascii="Arial" w:hAnsi="Arial" w:cs="Arial"/>
          <w:i/>
          <w:iCs/>
          <w:sz w:val="22"/>
          <w:szCs w:val="22"/>
        </w:rPr>
      </w:pPr>
      <w:r w:rsidRPr="00C95E16">
        <w:rPr>
          <w:rFonts w:ascii="Arial" w:hAnsi="Arial" w:cs="Arial"/>
          <w:sz w:val="22"/>
          <w:szCs w:val="22"/>
        </w:rPr>
        <w:t xml:space="preserve">Donaldson, G. (2015) </w:t>
      </w:r>
      <w:r w:rsidRPr="00C95E16">
        <w:rPr>
          <w:rFonts w:ascii="Arial" w:hAnsi="Arial" w:cs="Arial"/>
          <w:i/>
          <w:iCs/>
          <w:sz w:val="22"/>
          <w:szCs w:val="22"/>
        </w:rPr>
        <w:t xml:space="preserve">Successful </w:t>
      </w:r>
      <w:r w:rsidRPr="00757F1F">
        <w:rPr>
          <w:rFonts w:ascii="Arial" w:hAnsi="Arial" w:cs="Arial"/>
          <w:i/>
          <w:iCs/>
          <w:sz w:val="22"/>
          <w:szCs w:val="22"/>
        </w:rPr>
        <w:t>Futures Independent</w:t>
      </w:r>
      <w:r w:rsidRPr="005A7C10">
        <w:rPr>
          <w:rFonts w:ascii="Arial" w:hAnsi="Arial" w:cs="Arial"/>
          <w:i/>
          <w:iCs/>
          <w:sz w:val="22"/>
          <w:szCs w:val="22"/>
        </w:rPr>
        <w:t xml:space="preserve"> Review of Curriculum and Assessment Arrangements in </w:t>
      </w:r>
      <w:r w:rsidRPr="006A1291">
        <w:rPr>
          <w:rFonts w:ascii="Arial" w:hAnsi="Arial" w:cs="Arial"/>
          <w:i/>
          <w:iCs/>
          <w:sz w:val="22"/>
          <w:szCs w:val="22"/>
        </w:rPr>
        <w:t xml:space="preserve">Wales. </w:t>
      </w:r>
    </w:p>
    <w:p w14:paraId="7DD4D546" w14:textId="77777777" w:rsidR="006A1291" w:rsidRPr="006A1291" w:rsidRDefault="006A1291" w:rsidP="006A1291">
      <w:pPr>
        <w:spacing w:line="360" w:lineRule="auto"/>
        <w:rPr>
          <w:rFonts w:ascii="Arial" w:hAnsi="Arial" w:cs="Arial"/>
          <w:i/>
          <w:iCs/>
          <w:sz w:val="22"/>
          <w:szCs w:val="22"/>
        </w:rPr>
      </w:pPr>
    </w:p>
    <w:p w14:paraId="462AC607" w14:textId="22F9DB19" w:rsidR="006A1291" w:rsidRPr="006A1291" w:rsidRDefault="006A1291" w:rsidP="006A1291">
      <w:pPr>
        <w:shd w:val="clear" w:color="auto" w:fill="FFFFFF"/>
        <w:spacing w:line="360" w:lineRule="auto"/>
        <w:rPr>
          <w:rFonts w:ascii="Arial" w:eastAsia="Times New Roman" w:hAnsi="Arial" w:cs="Arial"/>
          <w:color w:val="0D0D0D"/>
          <w:kern w:val="0"/>
          <w:sz w:val="22"/>
          <w:szCs w:val="22"/>
          <w:lang w:eastAsia="en-GB"/>
          <w14:ligatures w14:val="none"/>
        </w:rPr>
      </w:pPr>
      <w:r w:rsidRPr="006A1291">
        <w:rPr>
          <w:rFonts w:ascii="Arial" w:eastAsia="Times New Roman" w:hAnsi="Arial" w:cs="Arial"/>
          <w:color w:val="0D0D0D"/>
          <w:kern w:val="0"/>
          <w:sz w:val="22"/>
          <w:szCs w:val="22"/>
          <w:lang w:eastAsia="en-GB"/>
          <w14:ligatures w14:val="none"/>
        </w:rPr>
        <w:t xml:space="preserve">Durlak, J. A., et al. (2011). </w:t>
      </w:r>
      <w:r w:rsidRPr="006A1291">
        <w:rPr>
          <w:rFonts w:ascii="Arial" w:eastAsia="Times New Roman" w:hAnsi="Arial" w:cs="Arial"/>
          <w:i/>
          <w:iCs/>
          <w:color w:val="0D0D0D"/>
          <w:kern w:val="0"/>
          <w:sz w:val="22"/>
          <w:szCs w:val="22"/>
          <w:lang w:eastAsia="en-GB"/>
          <w14:ligatures w14:val="none"/>
        </w:rPr>
        <w:t>The Impact of Enhancing Students’ Social and Emotional Learning: A Meta-Analysis of School-Based Universal Interventions</w:t>
      </w:r>
      <w:r w:rsidRPr="006A1291">
        <w:rPr>
          <w:rFonts w:ascii="Arial" w:eastAsia="Times New Roman" w:hAnsi="Arial" w:cs="Arial"/>
          <w:color w:val="0D0D0D"/>
          <w:kern w:val="0"/>
          <w:sz w:val="22"/>
          <w:szCs w:val="22"/>
          <w:lang w:eastAsia="en-GB"/>
          <w14:ligatures w14:val="none"/>
        </w:rPr>
        <w:t>. Child Development, 82(1), 405-432.</w:t>
      </w:r>
    </w:p>
    <w:p w14:paraId="77BAD715" w14:textId="77777777" w:rsidR="005A7C10" w:rsidRPr="005A7C10" w:rsidRDefault="005A7C10" w:rsidP="005A7C10">
      <w:pPr>
        <w:spacing w:line="360" w:lineRule="auto"/>
        <w:rPr>
          <w:rFonts w:ascii="Arial" w:hAnsi="Arial" w:cs="Arial"/>
          <w:i/>
          <w:iCs/>
          <w:sz w:val="22"/>
          <w:szCs w:val="22"/>
        </w:rPr>
      </w:pPr>
    </w:p>
    <w:p w14:paraId="2D19299E" w14:textId="6A1616E4" w:rsidR="005A7C10" w:rsidRPr="00A81EAC" w:rsidRDefault="005A7C10" w:rsidP="00A81EAC">
      <w:pPr>
        <w:shd w:val="clear" w:color="auto" w:fill="FFFFFF"/>
        <w:spacing w:line="360" w:lineRule="auto"/>
        <w:rPr>
          <w:rFonts w:ascii="Arial" w:eastAsia="Times New Roman" w:hAnsi="Arial" w:cs="Arial"/>
          <w:color w:val="0D0D0D"/>
          <w:kern w:val="0"/>
          <w:sz w:val="22"/>
          <w:szCs w:val="22"/>
          <w:lang w:eastAsia="en-GB"/>
          <w14:ligatures w14:val="none"/>
        </w:rPr>
      </w:pPr>
      <w:r w:rsidRPr="005A7C10">
        <w:rPr>
          <w:rFonts w:ascii="Arial" w:eastAsia="Times New Roman" w:hAnsi="Arial" w:cs="Arial"/>
          <w:color w:val="0D0D0D"/>
          <w:kern w:val="0"/>
          <w:sz w:val="22"/>
          <w:szCs w:val="22"/>
          <w:lang w:eastAsia="en-GB"/>
          <w14:ligatures w14:val="none"/>
        </w:rPr>
        <w:t xml:space="preserve">Eisenhardt, K. M. (1989). </w:t>
      </w:r>
      <w:r w:rsidRPr="005A7C10">
        <w:rPr>
          <w:rFonts w:ascii="Arial" w:eastAsia="Times New Roman" w:hAnsi="Arial" w:cs="Arial"/>
          <w:i/>
          <w:iCs/>
          <w:color w:val="0D0D0D"/>
          <w:kern w:val="0"/>
          <w:sz w:val="22"/>
          <w:szCs w:val="22"/>
          <w:lang w:eastAsia="en-GB"/>
          <w14:ligatures w14:val="none"/>
        </w:rPr>
        <w:t>Building theories from case study research</w:t>
      </w:r>
      <w:r w:rsidRPr="005A7C10">
        <w:rPr>
          <w:rFonts w:ascii="Arial" w:eastAsia="Times New Roman" w:hAnsi="Arial" w:cs="Arial"/>
          <w:color w:val="0D0D0D"/>
          <w:kern w:val="0"/>
          <w:sz w:val="22"/>
          <w:szCs w:val="22"/>
          <w:lang w:eastAsia="en-GB"/>
          <w14:ligatures w14:val="none"/>
        </w:rPr>
        <w:t>. Academy of Management Review, 14(4), 532-550.</w:t>
      </w:r>
    </w:p>
    <w:p w14:paraId="3E728615" w14:textId="77777777" w:rsidR="00A81EAC" w:rsidRPr="00A81EAC" w:rsidRDefault="00A81EAC" w:rsidP="00A81EAC">
      <w:pPr>
        <w:shd w:val="clear" w:color="auto" w:fill="FFFFFF"/>
        <w:spacing w:line="360" w:lineRule="auto"/>
        <w:rPr>
          <w:rFonts w:ascii="Arial" w:eastAsia="Times New Roman" w:hAnsi="Arial" w:cs="Arial"/>
          <w:color w:val="0D0D0D"/>
          <w:kern w:val="0"/>
          <w:sz w:val="22"/>
          <w:szCs w:val="22"/>
          <w:lang w:eastAsia="en-GB"/>
          <w14:ligatures w14:val="none"/>
        </w:rPr>
      </w:pPr>
    </w:p>
    <w:p w14:paraId="5F6DBD15" w14:textId="09155D94" w:rsidR="00A81EAC" w:rsidRPr="00A81EAC" w:rsidRDefault="00A81EAC" w:rsidP="00A81EAC">
      <w:pPr>
        <w:pStyle w:val="NormalWeb"/>
        <w:shd w:val="clear" w:color="auto" w:fill="FFFFFF"/>
        <w:spacing w:before="0" w:beforeAutospacing="0" w:after="0" w:afterAutospacing="0" w:line="360" w:lineRule="auto"/>
        <w:rPr>
          <w:rFonts w:ascii="Arial" w:hAnsi="Arial" w:cs="Arial"/>
          <w:color w:val="0D0D0D"/>
          <w:sz w:val="22"/>
          <w:szCs w:val="22"/>
        </w:rPr>
      </w:pPr>
      <w:r w:rsidRPr="00A81EAC">
        <w:rPr>
          <w:rFonts w:ascii="Arial" w:hAnsi="Arial" w:cs="Arial"/>
          <w:color w:val="0D0D0D"/>
          <w:sz w:val="22"/>
          <w:szCs w:val="22"/>
        </w:rPr>
        <w:t xml:space="preserve">Few, S. (2009). </w:t>
      </w:r>
      <w:r w:rsidRPr="00A81EAC">
        <w:rPr>
          <w:rFonts w:ascii="Arial" w:hAnsi="Arial" w:cs="Arial"/>
          <w:i/>
          <w:iCs/>
          <w:color w:val="0D0D0D"/>
          <w:sz w:val="22"/>
          <w:szCs w:val="22"/>
        </w:rPr>
        <w:t>Now You See It: Simple Visualization Techniques for Quantitative Analysis</w:t>
      </w:r>
      <w:r w:rsidRPr="00A81EAC">
        <w:rPr>
          <w:rFonts w:ascii="Arial" w:hAnsi="Arial" w:cs="Arial"/>
          <w:color w:val="0D0D0D"/>
          <w:sz w:val="22"/>
          <w:szCs w:val="22"/>
        </w:rPr>
        <w:t>. Analytics Press.</w:t>
      </w:r>
    </w:p>
    <w:p w14:paraId="103F27DF" w14:textId="77777777" w:rsidR="006F69C1" w:rsidRPr="00A81EAC" w:rsidRDefault="006F69C1" w:rsidP="00A81EAC">
      <w:pPr>
        <w:shd w:val="clear" w:color="auto" w:fill="FFFFFF"/>
        <w:spacing w:line="360" w:lineRule="auto"/>
        <w:rPr>
          <w:rFonts w:ascii="Arial" w:eastAsia="Times New Roman" w:hAnsi="Arial" w:cs="Arial"/>
          <w:color w:val="0D0D0D"/>
          <w:kern w:val="0"/>
          <w:sz w:val="22"/>
          <w:szCs w:val="22"/>
          <w:lang w:eastAsia="en-GB"/>
          <w14:ligatures w14:val="none"/>
        </w:rPr>
      </w:pPr>
    </w:p>
    <w:p w14:paraId="4E618A52" w14:textId="70365E81" w:rsidR="006F69C1" w:rsidRPr="006F69C1" w:rsidRDefault="006F69C1" w:rsidP="00A81EAC">
      <w:pPr>
        <w:shd w:val="clear" w:color="auto" w:fill="FFFFFF"/>
        <w:spacing w:line="360" w:lineRule="auto"/>
        <w:rPr>
          <w:rFonts w:ascii="Arial" w:eastAsia="Times New Roman" w:hAnsi="Arial" w:cs="Arial"/>
          <w:color w:val="0D0D0D"/>
          <w:kern w:val="0"/>
          <w:sz w:val="22"/>
          <w:szCs w:val="22"/>
          <w:lang w:eastAsia="en-GB"/>
          <w14:ligatures w14:val="none"/>
        </w:rPr>
      </w:pPr>
      <w:r w:rsidRPr="006F69C1">
        <w:rPr>
          <w:rFonts w:ascii="Arial" w:eastAsia="Times New Roman" w:hAnsi="Arial" w:cs="Arial"/>
          <w:color w:val="0D0D0D"/>
          <w:kern w:val="0"/>
          <w:sz w:val="22"/>
          <w:szCs w:val="22"/>
          <w:lang w:eastAsia="en-GB"/>
          <w14:ligatures w14:val="none"/>
        </w:rPr>
        <w:t xml:space="preserve">Fontana, A., &amp; Frey, J. H. (2005). </w:t>
      </w:r>
      <w:r w:rsidRPr="006F69C1">
        <w:rPr>
          <w:rFonts w:ascii="Arial" w:eastAsia="Times New Roman" w:hAnsi="Arial" w:cs="Arial"/>
          <w:i/>
          <w:iCs/>
          <w:color w:val="0D0D0D"/>
          <w:kern w:val="0"/>
          <w:sz w:val="22"/>
          <w:szCs w:val="22"/>
          <w:lang w:eastAsia="en-GB"/>
          <w14:ligatures w14:val="none"/>
        </w:rPr>
        <w:t>The Interview: From Structured Questions to Negotiated Text.</w:t>
      </w:r>
      <w:r w:rsidRPr="006F69C1">
        <w:rPr>
          <w:rFonts w:ascii="Arial" w:eastAsia="Times New Roman" w:hAnsi="Arial" w:cs="Arial"/>
          <w:color w:val="0D0D0D"/>
          <w:kern w:val="0"/>
          <w:sz w:val="22"/>
          <w:szCs w:val="22"/>
          <w:lang w:eastAsia="en-GB"/>
          <w14:ligatures w14:val="none"/>
        </w:rPr>
        <w:t xml:space="preserve"> In N. K. Denzin &amp; Y. S. Lincoln (Eds.), The SAGE Handbook of Qualitative Research (3rd ed., pp. 695–727). Sage Publications.</w:t>
      </w:r>
    </w:p>
    <w:p w14:paraId="5DF4728B" w14:textId="77777777" w:rsidR="00380634" w:rsidRPr="006F69C1" w:rsidRDefault="00380634" w:rsidP="006F69C1">
      <w:pPr>
        <w:shd w:val="clear" w:color="auto" w:fill="FFFFFF"/>
        <w:spacing w:line="360" w:lineRule="auto"/>
        <w:rPr>
          <w:rFonts w:ascii="Arial" w:eastAsia="Times New Roman" w:hAnsi="Arial" w:cs="Arial"/>
          <w:color w:val="0D0D0D"/>
          <w:kern w:val="0"/>
          <w:sz w:val="22"/>
          <w:szCs w:val="22"/>
          <w:lang w:eastAsia="en-GB"/>
          <w14:ligatures w14:val="none"/>
        </w:rPr>
      </w:pPr>
    </w:p>
    <w:p w14:paraId="444C69DE" w14:textId="5803C49F" w:rsidR="00380634" w:rsidRPr="00BE460C" w:rsidRDefault="00380634" w:rsidP="006F69C1">
      <w:pPr>
        <w:shd w:val="clear" w:color="auto" w:fill="FFFFFF"/>
        <w:spacing w:line="360" w:lineRule="auto"/>
        <w:rPr>
          <w:rFonts w:ascii="Arial" w:hAnsi="Arial" w:cs="Arial"/>
          <w:color w:val="0D0D0D"/>
          <w:sz w:val="22"/>
          <w:szCs w:val="22"/>
          <w:shd w:val="clear" w:color="auto" w:fill="FFFFFF"/>
        </w:rPr>
      </w:pPr>
      <w:r w:rsidRPr="006F69C1">
        <w:rPr>
          <w:rFonts w:ascii="Arial" w:hAnsi="Arial" w:cs="Arial"/>
          <w:color w:val="0D0D0D"/>
          <w:sz w:val="22"/>
          <w:szCs w:val="22"/>
          <w:shd w:val="clear" w:color="auto" w:fill="FFFFFF"/>
        </w:rPr>
        <w:t xml:space="preserve">Fowler Jr, F. J. (2013). </w:t>
      </w:r>
      <w:r w:rsidRPr="006F69C1">
        <w:rPr>
          <w:rFonts w:ascii="Arial" w:hAnsi="Arial" w:cs="Arial"/>
          <w:i/>
          <w:iCs/>
          <w:color w:val="0D0D0D"/>
          <w:sz w:val="22"/>
          <w:szCs w:val="22"/>
          <w:shd w:val="clear" w:color="auto" w:fill="FFFFFF"/>
        </w:rPr>
        <w:t>Survey research methods.</w:t>
      </w:r>
      <w:r w:rsidRPr="006F69C1">
        <w:rPr>
          <w:rFonts w:ascii="Arial" w:hAnsi="Arial" w:cs="Arial"/>
          <w:color w:val="0D0D0D"/>
          <w:sz w:val="22"/>
          <w:szCs w:val="22"/>
          <w:shd w:val="clear" w:color="auto" w:fill="FFFFFF"/>
        </w:rPr>
        <w:t xml:space="preserve"> Sage</w:t>
      </w:r>
      <w:r w:rsidRPr="00BE460C">
        <w:rPr>
          <w:rFonts w:ascii="Arial" w:hAnsi="Arial" w:cs="Arial"/>
          <w:color w:val="0D0D0D"/>
          <w:sz w:val="22"/>
          <w:szCs w:val="22"/>
          <w:shd w:val="clear" w:color="auto" w:fill="FFFFFF"/>
        </w:rPr>
        <w:t xml:space="preserve"> publications.</w:t>
      </w:r>
    </w:p>
    <w:p w14:paraId="38A9690D" w14:textId="77777777" w:rsidR="00BE460C" w:rsidRPr="00BE460C" w:rsidRDefault="00BE460C" w:rsidP="00BE460C">
      <w:pPr>
        <w:shd w:val="clear" w:color="auto" w:fill="FFFFFF"/>
        <w:spacing w:line="360" w:lineRule="auto"/>
        <w:rPr>
          <w:rFonts w:ascii="Arial" w:hAnsi="Arial" w:cs="Arial"/>
          <w:color w:val="0D0D0D"/>
          <w:sz w:val="22"/>
          <w:szCs w:val="22"/>
          <w:shd w:val="clear" w:color="auto" w:fill="FFFFFF"/>
        </w:rPr>
      </w:pPr>
    </w:p>
    <w:p w14:paraId="084493A2" w14:textId="24D9C99D" w:rsidR="00BE460C" w:rsidRPr="005B16F1" w:rsidRDefault="00BE460C" w:rsidP="005B16F1">
      <w:pPr>
        <w:shd w:val="clear" w:color="auto" w:fill="FFFFFF"/>
        <w:spacing w:line="360" w:lineRule="auto"/>
        <w:rPr>
          <w:rFonts w:ascii="Arial" w:eastAsia="Times New Roman" w:hAnsi="Arial" w:cs="Arial"/>
          <w:color w:val="0D0D0D"/>
          <w:kern w:val="0"/>
          <w:sz w:val="22"/>
          <w:szCs w:val="22"/>
          <w:lang w:eastAsia="en-GB"/>
          <w14:ligatures w14:val="none"/>
        </w:rPr>
      </w:pPr>
      <w:r w:rsidRPr="00396EE9">
        <w:rPr>
          <w:rFonts w:ascii="Arial" w:eastAsia="Times New Roman" w:hAnsi="Arial" w:cs="Arial"/>
          <w:color w:val="0D0D0D"/>
          <w:kern w:val="0"/>
          <w:sz w:val="22"/>
          <w:szCs w:val="22"/>
          <w:lang w:eastAsia="en-GB"/>
          <w14:ligatures w14:val="none"/>
        </w:rPr>
        <w:t xml:space="preserve">Gorsuch, R. L. (1997). </w:t>
      </w:r>
      <w:r w:rsidRPr="00396EE9">
        <w:rPr>
          <w:rFonts w:ascii="Arial" w:eastAsia="Times New Roman" w:hAnsi="Arial" w:cs="Arial"/>
          <w:i/>
          <w:iCs/>
          <w:color w:val="0D0D0D"/>
          <w:kern w:val="0"/>
          <w:sz w:val="22"/>
          <w:szCs w:val="22"/>
          <w:lang w:eastAsia="en-GB"/>
          <w14:ligatures w14:val="none"/>
        </w:rPr>
        <w:t>Exploratory factor analysis: Its role in item analysis.</w:t>
      </w:r>
      <w:r w:rsidRPr="00396EE9">
        <w:rPr>
          <w:rFonts w:ascii="Arial" w:eastAsia="Times New Roman" w:hAnsi="Arial" w:cs="Arial"/>
          <w:color w:val="0D0D0D"/>
          <w:kern w:val="0"/>
          <w:sz w:val="22"/>
          <w:szCs w:val="22"/>
          <w:lang w:eastAsia="en-GB"/>
          <w14:ligatures w14:val="none"/>
        </w:rPr>
        <w:t xml:space="preserve"> Journal of Personality Assessment, 68(3), 532-560.</w:t>
      </w:r>
    </w:p>
    <w:p w14:paraId="424AE406" w14:textId="77777777" w:rsidR="005B16F1" w:rsidRPr="005B16F1" w:rsidRDefault="005B16F1" w:rsidP="005B16F1">
      <w:pPr>
        <w:shd w:val="clear" w:color="auto" w:fill="FFFFFF"/>
        <w:spacing w:line="360" w:lineRule="auto"/>
        <w:rPr>
          <w:rFonts w:ascii="Arial" w:eastAsia="Times New Roman" w:hAnsi="Arial" w:cs="Arial"/>
          <w:color w:val="0D0D0D"/>
          <w:kern w:val="0"/>
          <w:sz w:val="22"/>
          <w:szCs w:val="22"/>
          <w:lang w:eastAsia="en-GB"/>
          <w14:ligatures w14:val="none"/>
        </w:rPr>
      </w:pPr>
    </w:p>
    <w:p w14:paraId="6BFDFD60" w14:textId="0140D4EF" w:rsidR="005B16F1" w:rsidRPr="005B16F1" w:rsidRDefault="005B16F1" w:rsidP="005B16F1">
      <w:pPr>
        <w:shd w:val="clear" w:color="auto" w:fill="FFFFFF"/>
        <w:spacing w:line="360" w:lineRule="auto"/>
        <w:rPr>
          <w:rFonts w:ascii="Arial" w:eastAsia="Times New Roman" w:hAnsi="Arial" w:cs="Arial"/>
          <w:color w:val="0D0D0D"/>
          <w:kern w:val="0"/>
          <w:sz w:val="22"/>
          <w:szCs w:val="22"/>
          <w:lang w:eastAsia="en-GB"/>
          <w14:ligatures w14:val="none"/>
        </w:rPr>
      </w:pPr>
      <w:r w:rsidRPr="005B16F1">
        <w:rPr>
          <w:rFonts w:ascii="Arial" w:eastAsia="Times New Roman" w:hAnsi="Arial" w:cs="Arial"/>
          <w:color w:val="0D0D0D"/>
          <w:kern w:val="0"/>
          <w:sz w:val="22"/>
          <w:szCs w:val="22"/>
          <w:lang w:eastAsia="en-GB"/>
          <w14:ligatures w14:val="none"/>
        </w:rPr>
        <w:t xml:space="preserve">Greenberg, M. T., et al. (2003). </w:t>
      </w:r>
      <w:r w:rsidRPr="005B16F1">
        <w:rPr>
          <w:rFonts w:ascii="Arial" w:eastAsia="Times New Roman" w:hAnsi="Arial" w:cs="Arial"/>
          <w:i/>
          <w:iCs/>
          <w:color w:val="0D0D0D"/>
          <w:kern w:val="0"/>
          <w:sz w:val="22"/>
          <w:szCs w:val="22"/>
          <w:lang w:eastAsia="en-GB"/>
          <w14:ligatures w14:val="none"/>
        </w:rPr>
        <w:t xml:space="preserve">Promoting Emotional Competence in School-Aged Children: The Effects of the PATHS Curriculum. </w:t>
      </w:r>
      <w:r w:rsidRPr="005B16F1">
        <w:rPr>
          <w:rFonts w:ascii="Arial" w:eastAsia="Times New Roman" w:hAnsi="Arial" w:cs="Arial"/>
          <w:color w:val="0D0D0D"/>
          <w:kern w:val="0"/>
          <w:sz w:val="22"/>
          <w:szCs w:val="22"/>
          <w:lang w:eastAsia="en-GB"/>
          <w14:ligatures w14:val="none"/>
        </w:rPr>
        <w:t>Development and Psychopathology, 15(2), 117-136.</w:t>
      </w:r>
    </w:p>
    <w:p w14:paraId="46362486" w14:textId="77777777" w:rsidR="006C29F3" w:rsidRPr="00380634" w:rsidRDefault="006C29F3" w:rsidP="00380634">
      <w:pPr>
        <w:shd w:val="clear" w:color="auto" w:fill="FFFFFF"/>
        <w:spacing w:line="360" w:lineRule="auto"/>
        <w:rPr>
          <w:rFonts w:ascii="Arial" w:eastAsia="Times New Roman" w:hAnsi="Arial" w:cs="Arial"/>
          <w:color w:val="0D0D0D"/>
          <w:kern w:val="0"/>
          <w:sz w:val="22"/>
          <w:szCs w:val="22"/>
          <w:lang w:eastAsia="en-GB"/>
          <w14:ligatures w14:val="none"/>
        </w:rPr>
      </w:pPr>
    </w:p>
    <w:p w14:paraId="4F870E38" w14:textId="55BDE551" w:rsidR="006C29F3" w:rsidRPr="00FB7EEE" w:rsidRDefault="006C29F3" w:rsidP="00FB7EEE">
      <w:pPr>
        <w:shd w:val="clear" w:color="auto" w:fill="FFFFFF"/>
        <w:spacing w:line="360" w:lineRule="auto"/>
        <w:rPr>
          <w:rFonts w:ascii="Arial" w:hAnsi="Arial" w:cs="Arial"/>
          <w:color w:val="0D0D0D"/>
          <w:sz w:val="22"/>
          <w:szCs w:val="22"/>
          <w:shd w:val="clear" w:color="auto" w:fill="FFFFFF"/>
        </w:rPr>
      </w:pPr>
      <w:r w:rsidRPr="00380634">
        <w:rPr>
          <w:rFonts w:ascii="Arial" w:hAnsi="Arial" w:cs="Arial"/>
          <w:color w:val="0D0D0D"/>
          <w:sz w:val="22"/>
          <w:szCs w:val="22"/>
          <w:shd w:val="clear" w:color="auto" w:fill="FFFFFF"/>
        </w:rPr>
        <w:t>Groves, R. M., Fowler Jr</w:t>
      </w:r>
      <w:r w:rsidRPr="006C29F3">
        <w:rPr>
          <w:rFonts w:ascii="Arial" w:hAnsi="Arial" w:cs="Arial"/>
          <w:color w:val="0D0D0D"/>
          <w:sz w:val="22"/>
          <w:szCs w:val="22"/>
          <w:shd w:val="clear" w:color="auto" w:fill="FFFFFF"/>
        </w:rPr>
        <w:t xml:space="preserve">, F. J., Couper, M. P., Lepkowski, J. M., Singer, E., &amp; Tourangeau, R. (2004). </w:t>
      </w:r>
      <w:r w:rsidRPr="006C29F3">
        <w:rPr>
          <w:rFonts w:ascii="Arial" w:hAnsi="Arial" w:cs="Arial"/>
          <w:i/>
          <w:iCs/>
          <w:color w:val="0D0D0D"/>
          <w:sz w:val="22"/>
          <w:szCs w:val="22"/>
          <w:shd w:val="clear" w:color="auto" w:fill="FFFFFF"/>
        </w:rPr>
        <w:t>Survey meth</w:t>
      </w:r>
      <w:r w:rsidRPr="00FB7EEE">
        <w:rPr>
          <w:rFonts w:ascii="Arial" w:hAnsi="Arial" w:cs="Arial"/>
          <w:i/>
          <w:iCs/>
          <w:color w:val="0D0D0D"/>
          <w:sz w:val="22"/>
          <w:szCs w:val="22"/>
          <w:shd w:val="clear" w:color="auto" w:fill="FFFFFF"/>
        </w:rPr>
        <w:t>odology</w:t>
      </w:r>
      <w:r w:rsidRPr="00FB7EEE">
        <w:rPr>
          <w:rFonts w:ascii="Arial" w:hAnsi="Arial" w:cs="Arial"/>
          <w:color w:val="0D0D0D"/>
          <w:sz w:val="22"/>
          <w:szCs w:val="22"/>
          <w:shd w:val="clear" w:color="auto" w:fill="FFFFFF"/>
        </w:rPr>
        <w:t xml:space="preserve"> (Vol. 561). John Wiley &amp; Sons.</w:t>
      </w:r>
    </w:p>
    <w:p w14:paraId="05C59A41" w14:textId="77777777" w:rsidR="00FB7EEE" w:rsidRPr="00FB7EEE" w:rsidRDefault="00FB7EEE" w:rsidP="00FB7EEE">
      <w:pPr>
        <w:shd w:val="clear" w:color="auto" w:fill="FFFFFF"/>
        <w:spacing w:line="360" w:lineRule="auto"/>
        <w:rPr>
          <w:rFonts w:ascii="Arial" w:hAnsi="Arial" w:cs="Arial"/>
          <w:color w:val="0D0D0D"/>
          <w:sz w:val="22"/>
          <w:szCs w:val="22"/>
          <w:shd w:val="clear" w:color="auto" w:fill="FFFFFF"/>
        </w:rPr>
      </w:pPr>
    </w:p>
    <w:p w14:paraId="1A649D8B" w14:textId="56727B60" w:rsidR="00FB7EEE" w:rsidRPr="00FB7EEE" w:rsidRDefault="00FB7EEE" w:rsidP="00FB7EEE">
      <w:pPr>
        <w:shd w:val="clear" w:color="auto" w:fill="FFFFFF"/>
        <w:spacing w:line="360" w:lineRule="auto"/>
        <w:rPr>
          <w:rFonts w:ascii="Arial" w:eastAsia="Times New Roman" w:hAnsi="Arial" w:cs="Arial"/>
          <w:color w:val="0D0D0D"/>
          <w:kern w:val="0"/>
          <w:sz w:val="22"/>
          <w:szCs w:val="22"/>
          <w:lang w:eastAsia="en-GB"/>
          <w14:ligatures w14:val="none"/>
        </w:rPr>
      </w:pPr>
      <w:r w:rsidRPr="004E6BC7">
        <w:rPr>
          <w:rFonts w:ascii="Arial" w:eastAsia="Times New Roman" w:hAnsi="Arial" w:cs="Arial"/>
          <w:color w:val="0D0D0D"/>
          <w:kern w:val="0"/>
          <w:sz w:val="22"/>
          <w:szCs w:val="22"/>
          <w:lang w:eastAsia="en-GB"/>
          <w14:ligatures w14:val="none"/>
        </w:rPr>
        <w:t xml:space="preserve">Guest, G., MacQueen, K. M., &amp; Namey, E. E. (2012). </w:t>
      </w:r>
      <w:r w:rsidRPr="004E6BC7">
        <w:rPr>
          <w:rFonts w:ascii="Arial" w:eastAsia="Times New Roman" w:hAnsi="Arial" w:cs="Arial"/>
          <w:i/>
          <w:iCs/>
          <w:color w:val="0D0D0D"/>
          <w:kern w:val="0"/>
          <w:sz w:val="22"/>
          <w:szCs w:val="22"/>
          <w:lang w:eastAsia="en-GB"/>
          <w14:ligatures w14:val="none"/>
        </w:rPr>
        <w:t>Applied Thematic Analysis</w:t>
      </w:r>
      <w:r w:rsidRPr="004E6BC7">
        <w:rPr>
          <w:rFonts w:ascii="Arial" w:eastAsia="Times New Roman" w:hAnsi="Arial" w:cs="Arial"/>
          <w:color w:val="0D0D0D"/>
          <w:kern w:val="0"/>
          <w:sz w:val="22"/>
          <w:szCs w:val="22"/>
          <w:lang w:eastAsia="en-GB"/>
          <w14:ligatures w14:val="none"/>
        </w:rPr>
        <w:t>. Sage Publications.</w:t>
      </w:r>
    </w:p>
    <w:p w14:paraId="474582CA" w14:textId="77777777" w:rsidR="00B850F9" w:rsidRPr="006C29F3" w:rsidRDefault="00B850F9" w:rsidP="00B850F9">
      <w:pPr>
        <w:spacing w:line="360" w:lineRule="auto"/>
        <w:rPr>
          <w:rFonts w:ascii="Arial" w:hAnsi="Arial" w:cs="Arial"/>
          <w:sz w:val="22"/>
          <w:szCs w:val="22"/>
        </w:rPr>
      </w:pPr>
    </w:p>
    <w:p w14:paraId="2584CA45" w14:textId="0A7EF9FD" w:rsidR="00B850F9" w:rsidRPr="007679F2" w:rsidRDefault="00B850F9" w:rsidP="007679F2">
      <w:pPr>
        <w:pStyle w:val="NormalWeb"/>
        <w:shd w:val="clear" w:color="auto" w:fill="FFFFFF"/>
        <w:spacing w:before="0" w:beforeAutospacing="0" w:after="0" w:afterAutospacing="0" w:line="360" w:lineRule="auto"/>
        <w:rPr>
          <w:rFonts w:ascii="Arial" w:hAnsi="Arial" w:cs="Arial"/>
          <w:sz w:val="22"/>
          <w:szCs w:val="22"/>
        </w:rPr>
      </w:pPr>
      <w:r w:rsidRPr="006C29F3">
        <w:rPr>
          <w:rFonts w:ascii="Arial" w:hAnsi="Arial" w:cs="Arial"/>
          <w:color w:val="0D0D0D"/>
          <w:sz w:val="22"/>
          <w:szCs w:val="22"/>
        </w:rPr>
        <w:t xml:space="preserve">Hamre, B. K., &amp; Pianta, R. C. (2001). </w:t>
      </w:r>
      <w:r w:rsidRPr="006C29F3">
        <w:rPr>
          <w:rFonts w:ascii="Arial" w:hAnsi="Arial" w:cs="Arial"/>
          <w:i/>
          <w:iCs/>
          <w:color w:val="0D0D0D"/>
          <w:sz w:val="22"/>
          <w:szCs w:val="22"/>
        </w:rPr>
        <w:t>Early teacher</w:t>
      </w:r>
      <w:r w:rsidRPr="00B850F9">
        <w:rPr>
          <w:rFonts w:ascii="Arial" w:hAnsi="Arial" w:cs="Arial"/>
          <w:i/>
          <w:iCs/>
          <w:color w:val="0D0D0D"/>
          <w:sz w:val="22"/>
          <w:szCs w:val="22"/>
        </w:rPr>
        <w:t xml:space="preserve">–child relationships and the trajectory of </w:t>
      </w:r>
      <w:r w:rsidRPr="007679F2">
        <w:rPr>
          <w:rFonts w:ascii="Arial" w:hAnsi="Arial" w:cs="Arial"/>
          <w:i/>
          <w:iCs/>
          <w:sz w:val="22"/>
          <w:szCs w:val="22"/>
        </w:rPr>
        <w:t>children's school outcomes through eighth grade.</w:t>
      </w:r>
      <w:r w:rsidRPr="007679F2">
        <w:rPr>
          <w:rFonts w:ascii="Arial" w:hAnsi="Arial" w:cs="Arial"/>
          <w:sz w:val="22"/>
          <w:szCs w:val="22"/>
        </w:rPr>
        <w:t xml:space="preserve"> Child Development, 72(2), 625-638.</w:t>
      </w:r>
    </w:p>
    <w:p w14:paraId="107E5E02" w14:textId="77777777" w:rsidR="001828B6" w:rsidRPr="007679F2" w:rsidRDefault="001828B6" w:rsidP="007679F2">
      <w:pPr>
        <w:pStyle w:val="NormalWeb"/>
        <w:shd w:val="clear" w:color="auto" w:fill="FFFFFF"/>
        <w:spacing w:before="0" w:beforeAutospacing="0" w:after="0" w:afterAutospacing="0" w:line="360" w:lineRule="auto"/>
        <w:rPr>
          <w:rFonts w:ascii="Arial" w:hAnsi="Arial" w:cs="Arial"/>
          <w:sz w:val="22"/>
          <w:szCs w:val="22"/>
        </w:rPr>
      </w:pPr>
    </w:p>
    <w:p w14:paraId="4C01124D" w14:textId="26B81E39" w:rsidR="007679F2" w:rsidRPr="00077365" w:rsidRDefault="007679F2" w:rsidP="00077365">
      <w:pPr>
        <w:pStyle w:val="NormalWeb"/>
        <w:shd w:val="clear" w:color="auto" w:fill="FFFFFF"/>
        <w:spacing w:before="0" w:beforeAutospacing="0" w:after="0" w:afterAutospacing="0" w:line="360" w:lineRule="auto"/>
        <w:rPr>
          <w:rFonts w:ascii="Arial" w:hAnsi="Arial" w:cs="Arial"/>
          <w:sz w:val="22"/>
          <w:szCs w:val="22"/>
        </w:rPr>
      </w:pPr>
      <w:r w:rsidRPr="00077365">
        <w:rPr>
          <w:rFonts w:ascii="Arial" w:hAnsi="Arial" w:cs="Arial"/>
          <w:sz w:val="22"/>
          <w:szCs w:val="22"/>
        </w:rPr>
        <w:t>Howard, C., Burton, M., Levermore, D. and Barrell, R. (2017). </w:t>
      </w:r>
      <w:r w:rsidRPr="00077365">
        <w:rPr>
          <w:rFonts w:ascii="Arial" w:hAnsi="Arial" w:cs="Arial"/>
          <w:i/>
          <w:iCs/>
          <w:sz w:val="22"/>
          <w:szCs w:val="22"/>
        </w:rPr>
        <w:t>Children’s Mental Health and Emotional Well-being in Primary Schools</w:t>
      </w:r>
      <w:r w:rsidRPr="00077365">
        <w:rPr>
          <w:rFonts w:ascii="Arial" w:hAnsi="Arial" w:cs="Arial"/>
          <w:sz w:val="22"/>
          <w:szCs w:val="22"/>
        </w:rPr>
        <w:t>. Learning Matters.</w:t>
      </w:r>
    </w:p>
    <w:p w14:paraId="64994330" w14:textId="77777777" w:rsidR="00077365" w:rsidRPr="00077365" w:rsidRDefault="00077365" w:rsidP="00077365">
      <w:pPr>
        <w:pStyle w:val="NormalWeb"/>
        <w:shd w:val="clear" w:color="auto" w:fill="FFFFFF"/>
        <w:spacing w:before="0" w:beforeAutospacing="0" w:after="0" w:afterAutospacing="0" w:line="360" w:lineRule="auto"/>
        <w:rPr>
          <w:rFonts w:ascii="Arial" w:hAnsi="Arial" w:cs="Arial"/>
          <w:sz w:val="22"/>
          <w:szCs w:val="22"/>
        </w:rPr>
      </w:pPr>
    </w:p>
    <w:p w14:paraId="7E59219D" w14:textId="77777777" w:rsidR="00077365" w:rsidRPr="00077365" w:rsidRDefault="00077365" w:rsidP="00077365">
      <w:pPr>
        <w:shd w:val="clear" w:color="auto" w:fill="FFFFFF"/>
        <w:spacing w:line="360" w:lineRule="auto"/>
        <w:rPr>
          <w:rFonts w:ascii="Arial" w:eastAsia="Times New Roman" w:hAnsi="Arial" w:cs="Arial"/>
          <w:color w:val="0D0D0D"/>
          <w:kern w:val="0"/>
          <w:sz w:val="22"/>
          <w:szCs w:val="22"/>
          <w:lang w:eastAsia="en-GB"/>
          <w14:ligatures w14:val="none"/>
        </w:rPr>
      </w:pPr>
      <w:r w:rsidRPr="00077365">
        <w:rPr>
          <w:rFonts w:ascii="Arial" w:eastAsia="Times New Roman" w:hAnsi="Arial" w:cs="Arial"/>
          <w:color w:val="0D0D0D"/>
          <w:kern w:val="0"/>
          <w:sz w:val="22"/>
          <w:szCs w:val="22"/>
          <w:lang w:eastAsia="en-GB"/>
          <w14:ligatures w14:val="none"/>
        </w:rPr>
        <w:t xml:space="preserve">Jaccard, J., &amp; Jacoby, J. (2010). </w:t>
      </w:r>
      <w:r w:rsidRPr="00077365">
        <w:rPr>
          <w:rFonts w:ascii="Arial" w:eastAsia="Times New Roman" w:hAnsi="Arial" w:cs="Arial"/>
          <w:i/>
          <w:iCs/>
          <w:color w:val="0D0D0D"/>
          <w:kern w:val="0"/>
          <w:sz w:val="22"/>
          <w:szCs w:val="22"/>
          <w:lang w:eastAsia="en-GB"/>
          <w14:ligatures w14:val="none"/>
        </w:rPr>
        <w:t>Theory construction and model-building skills: A practical guide for social scientists.</w:t>
      </w:r>
      <w:r w:rsidRPr="00077365">
        <w:rPr>
          <w:rFonts w:ascii="Arial" w:eastAsia="Times New Roman" w:hAnsi="Arial" w:cs="Arial"/>
          <w:color w:val="0D0D0D"/>
          <w:kern w:val="0"/>
          <w:sz w:val="22"/>
          <w:szCs w:val="22"/>
          <w:lang w:eastAsia="en-GB"/>
          <w14:ligatures w14:val="none"/>
        </w:rPr>
        <w:t xml:space="preserve"> Guilford Press.</w:t>
      </w:r>
    </w:p>
    <w:p w14:paraId="76F21532" w14:textId="77777777" w:rsidR="007679F2" w:rsidRPr="007679F2" w:rsidRDefault="007679F2" w:rsidP="007679F2">
      <w:pPr>
        <w:pStyle w:val="NormalWeb"/>
        <w:shd w:val="clear" w:color="auto" w:fill="FFFFFF"/>
        <w:spacing w:before="0" w:beforeAutospacing="0" w:after="0" w:afterAutospacing="0" w:line="360" w:lineRule="auto"/>
        <w:rPr>
          <w:rFonts w:ascii="Arial" w:hAnsi="Arial" w:cs="Arial"/>
          <w:sz w:val="22"/>
          <w:szCs w:val="22"/>
        </w:rPr>
      </w:pPr>
    </w:p>
    <w:p w14:paraId="7130DC1C" w14:textId="77777777" w:rsidR="001828B6" w:rsidRDefault="001828B6" w:rsidP="007679F2">
      <w:pPr>
        <w:pStyle w:val="NormalWeb"/>
        <w:shd w:val="clear" w:color="auto" w:fill="FFFFFF"/>
        <w:spacing w:before="0" w:beforeAutospacing="0" w:after="0" w:afterAutospacing="0" w:line="360" w:lineRule="auto"/>
        <w:rPr>
          <w:rFonts w:ascii="Arial" w:hAnsi="Arial" w:cs="Arial"/>
          <w:color w:val="0D0D0D"/>
          <w:sz w:val="22"/>
          <w:szCs w:val="22"/>
        </w:rPr>
      </w:pPr>
      <w:r w:rsidRPr="007679F2">
        <w:rPr>
          <w:rFonts w:ascii="Arial" w:hAnsi="Arial" w:cs="Arial"/>
          <w:sz w:val="22"/>
          <w:szCs w:val="22"/>
        </w:rPr>
        <w:t xml:space="preserve">Jennings, P. A., &amp; Greenberg, M. T. (2009). </w:t>
      </w:r>
      <w:r w:rsidRPr="007679F2">
        <w:rPr>
          <w:rFonts w:ascii="Arial" w:hAnsi="Arial" w:cs="Arial"/>
          <w:i/>
          <w:iCs/>
          <w:sz w:val="22"/>
          <w:szCs w:val="22"/>
        </w:rPr>
        <w:t xml:space="preserve">The prosocial classroom: Teacher social and </w:t>
      </w:r>
      <w:r w:rsidRPr="001828B6">
        <w:rPr>
          <w:rFonts w:ascii="Arial" w:hAnsi="Arial" w:cs="Arial"/>
          <w:i/>
          <w:iCs/>
          <w:color w:val="0D0D0D"/>
          <w:sz w:val="22"/>
          <w:szCs w:val="22"/>
        </w:rPr>
        <w:t>emotional competence in relation to student and classroom outcomes.</w:t>
      </w:r>
      <w:r w:rsidRPr="005A2FB6">
        <w:rPr>
          <w:rFonts w:ascii="Arial" w:hAnsi="Arial" w:cs="Arial"/>
          <w:color w:val="0D0D0D"/>
          <w:sz w:val="22"/>
          <w:szCs w:val="22"/>
        </w:rPr>
        <w:t xml:space="preserve"> Review of Educational Research, 79(1), 491-525.</w:t>
      </w:r>
    </w:p>
    <w:p w14:paraId="0541EEB4" w14:textId="77777777" w:rsidR="00CF5CEF" w:rsidRPr="00CF5CEF" w:rsidRDefault="00CF5CEF" w:rsidP="00CF5CEF">
      <w:pPr>
        <w:pStyle w:val="NormalWeb"/>
        <w:shd w:val="clear" w:color="auto" w:fill="FFFFFF"/>
        <w:spacing w:before="0" w:beforeAutospacing="0" w:after="0" w:afterAutospacing="0" w:line="360" w:lineRule="auto"/>
        <w:rPr>
          <w:rFonts w:ascii="Arial" w:hAnsi="Arial" w:cs="Arial"/>
          <w:color w:val="0D0D0D"/>
          <w:sz w:val="22"/>
          <w:szCs w:val="22"/>
        </w:rPr>
      </w:pPr>
    </w:p>
    <w:p w14:paraId="3D73BAFB" w14:textId="6535D8D8" w:rsidR="00CF5CEF" w:rsidRPr="0000326C" w:rsidRDefault="00CF5CEF" w:rsidP="0000326C">
      <w:pPr>
        <w:pStyle w:val="NormalWeb"/>
        <w:shd w:val="clear" w:color="auto" w:fill="FFFFFF"/>
        <w:spacing w:before="0" w:beforeAutospacing="0" w:after="0" w:afterAutospacing="0" w:line="360" w:lineRule="auto"/>
        <w:rPr>
          <w:rFonts w:ascii="Arial" w:hAnsi="Arial" w:cs="Arial"/>
          <w:color w:val="0D0D0D"/>
          <w:sz w:val="22"/>
          <w:szCs w:val="22"/>
        </w:rPr>
      </w:pPr>
      <w:r w:rsidRPr="00CF5CEF">
        <w:rPr>
          <w:rFonts w:ascii="Arial" w:hAnsi="Arial" w:cs="Arial"/>
          <w:color w:val="0D0D0D"/>
          <w:sz w:val="22"/>
          <w:szCs w:val="22"/>
        </w:rPr>
        <w:t xml:space="preserve">Johnson, M., &amp; Watson, T. (2011). </w:t>
      </w:r>
      <w:r w:rsidRPr="00CF5CEF">
        <w:rPr>
          <w:rFonts w:ascii="Arial" w:hAnsi="Arial" w:cs="Arial"/>
          <w:i/>
          <w:iCs/>
          <w:color w:val="0D0D0D"/>
          <w:sz w:val="22"/>
          <w:szCs w:val="22"/>
        </w:rPr>
        <w:t xml:space="preserve">Teacher-student relationships which promote resilience at school: A micro-level </w:t>
      </w:r>
      <w:r w:rsidRPr="0000326C">
        <w:rPr>
          <w:rFonts w:ascii="Arial" w:hAnsi="Arial" w:cs="Arial"/>
          <w:i/>
          <w:iCs/>
          <w:color w:val="0D0D0D"/>
          <w:sz w:val="22"/>
          <w:szCs w:val="22"/>
        </w:rPr>
        <w:t>analysis of students' views</w:t>
      </w:r>
      <w:r w:rsidRPr="0000326C">
        <w:rPr>
          <w:rFonts w:ascii="Arial" w:hAnsi="Arial" w:cs="Arial"/>
          <w:color w:val="0D0D0D"/>
          <w:sz w:val="22"/>
          <w:szCs w:val="22"/>
        </w:rPr>
        <w:t>. British Educational Research Journal, 37(6), 949-964.</w:t>
      </w:r>
    </w:p>
    <w:p w14:paraId="026B032E" w14:textId="77777777" w:rsidR="0000326C" w:rsidRPr="0000326C" w:rsidRDefault="0000326C" w:rsidP="0000326C">
      <w:pPr>
        <w:pStyle w:val="NormalWeb"/>
        <w:shd w:val="clear" w:color="auto" w:fill="FFFFFF"/>
        <w:spacing w:before="0" w:beforeAutospacing="0" w:after="0" w:afterAutospacing="0" w:line="360" w:lineRule="auto"/>
        <w:rPr>
          <w:rFonts w:ascii="Arial" w:hAnsi="Arial" w:cs="Arial"/>
          <w:color w:val="0D0D0D"/>
          <w:sz w:val="22"/>
          <w:szCs w:val="22"/>
        </w:rPr>
      </w:pPr>
    </w:p>
    <w:p w14:paraId="7F322845" w14:textId="137381B7" w:rsidR="0000326C" w:rsidRPr="00FB7FE6" w:rsidRDefault="0000326C" w:rsidP="00FB7FE6">
      <w:pPr>
        <w:shd w:val="clear" w:color="auto" w:fill="FFFFFF"/>
        <w:spacing w:line="360" w:lineRule="auto"/>
        <w:rPr>
          <w:rFonts w:ascii="Arial" w:eastAsia="Times New Roman" w:hAnsi="Arial" w:cs="Arial"/>
          <w:color w:val="0D0D0D"/>
          <w:kern w:val="0"/>
          <w:sz w:val="22"/>
          <w:szCs w:val="22"/>
          <w:lang w:eastAsia="en-GB"/>
          <w14:ligatures w14:val="none"/>
        </w:rPr>
      </w:pPr>
      <w:r w:rsidRPr="0000326C">
        <w:rPr>
          <w:rFonts w:ascii="Arial" w:eastAsia="Times New Roman" w:hAnsi="Arial" w:cs="Arial"/>
          <w:color w:val="0D0D0D"/>
          <w:kern w:val="0"/>
          <w:sz w:val="22"/>
          <w:szCs w:val="22"/>
          <w:lang w:eastAsia="en-GB"/>
          <w14:ligatures w14:val="none"/>
        </w:rPr>
        <w:t xml:space="preserve">Kitzinger, J. (1995). </w:t>
      </w:r>
      <w:r w:rsidRPr="0000326C">
        <w:rPr>
          <w:rFonts w:ascii="Arial" w:eastAsia="Times New Roman" w:hAnsi="Arial" w:cs="Arial"/>
          <w:i/>
          <w:iCs/>
          <w:color w:val="0D0D0D"/>
          <w:kern w:val="0"/>
          <w:sz w:val="22"/>
          <w:szCs w:val="22"/>
          <w:lang w:eastAsia="en-GB"/>
          <w14:ligatures w14:val="none"/>
        </w:rPr>
        <w:t>Qualitative research: Introducing focus groups</w:t>
      </w:r>
      <w:r w:rsidRPr="0000326C">
        <w:rPr>
          <w:rFonts w:ascii="Arial" w:eastAsia="Times New Roman" w:hAnsi="Arial" w:cs="Arial"/>
          <w:color w:val="0D0D0D"/>
          <w:kern w:val="0"/>
          <w:sz w:val="22"/>
          <w:szCs w:val="22"/>
          <w:lang w:eastAsia="en-GB"/>
          <w14:ligatures w14:val="none"/>
        </w:rPr>
        <w:t>. BMJ, 311(7000), 299–302.</w:t>
      </w:r>
    </w:p>
    <w:p w14:paraId="6717101D" w14:textId="77777777" w:rsidR="00FB7FE6" w:rsidRPr="00FB7FE6" w:rsidRDefault="00FB7FE6" w:rsidP="00FB7FE6">
      <w:pPr>
        <w:shd w:val="clear" w:color="auto" w:fill="FFFFFF"/>
        <w:spacing w:line="360" w:lineRule="auto"/>
        <w:rPr>
          <w:rFonts w:ascii="Arial" w:eastAsia="Times New Roman" w:hAnsi="Arial" w:cs="Arial"/>
          <w:color w:val="0D0D0D"/>
          <w:kern w:val="0"/>
          <w:sz w:val="22"/>
          <w:szCs w:val="22"/>
          <w:lang w:eastAsia="en-GB"/>
          <w14:ligatures w14:val="none"/>
        </w:rPr>
      </w:pPr>
    </w:p>
    <w:p w14:paraId="67E27554" w14:textId="106CFB8B" w:rsidR="00FB7FE6" w:rsidRPr="00FB7FE6" w:rsidRDefault="00FB7FE6" w:rsidP="00FB7FE6">
      <w:pPr>
        <w:shd w:val="clear" w:color="auto" w:fill="FFFFFF"/>
        <w:spacing w:line="360" w:lineRule="auto"/>
        <w:rPr>
          <w:rFonts w:ascii="Arial" w:eastAsia="Times New Roman" w:hAnsi="Arial" w:cs="Arial"/>
          <w:color w:val="0D0D0D"/>
          <w:kern w:val="0"/>
          <w:sz w:val="22"/>
          <w:szCs w:val="22"/>
          <w:lang w:eastAsia="en-GB"/>
          <w14:ligatures w14:val="none"/>
        </w:rPr>
      </w:pPr>
      <w:r w:rsidRPr="00FB7FE6">
        <w:rPr>
          <w:rFonts w:ascii="Arial" w:eastAsia="Times New Roman" w:hAnsi="Arial" w:cs="Arial"/>
          <w:color w:val="0D0D0D"/>
          <w:kern w:val="0"/>
          <w:sz w:val="22"/>
          <w:szCs w:val="22"/>
          <w:lang w:eastAsia="en-GB"/>
          <w14:ligatures w14:val="none"/>
        </w:rPr>
        <w:t xml:space="preserve">Krueger, R. A., &amp; Casey, M. A. (2000). </w:t>
      </w:r>
      <w:r w:rsidRPr="00FB7FE6">
        <w:rPr>
          <w:rFonts w:ascii="Arial" w:eastAsia="Times New Roman" w:hAnsi="Arial" w:cs="Arial"/>
          <w:i/>
          <w:iCs/>
          <w:color w:val="0D0D0D"/>
          <w:kern w:val="0"/>
          <w:sz w:val="22"/>
          <w:szCs w:val="22"/>
          <w:lang w:eastAsia="en-GB"/>
          <w14:ligatures w14:val="none"/>
        </w:rPr>
        <w:t xml:space="preserve">Focus Groups: A Practical Guide for Applied Research. </w:t>
      </w:r>
      <w:r w:rsidRPr="00FB7FE6">
        <w:rPr>
          <w:rFonts w:ascii="Arial" w:eastAsia="Times New Roman" w:hAnsi="Arial" w:cs="Arial"/>
          <w:color w:val="0D0D0D"/>
          <w:kern w:val="0"/>
          <w:sz w:val="22"/>
          <w:szCs w:val="22"/>
          <w:lang w:eastAsia="en-GB"/>
          <w14:ligatures w14:val="none"/>
        </w:rPr>
        <w:t>Sage Publications.</w:t>
      </w:r>
    </w:p>
    <w:p w14:paraId="39BE1A1E" w14:textId="77777777" w:rsidR="0000326C" w:rsidRPr="00FB7FE6" w:rsidRDefault="0000326C" w:rsidP="00FB7FE6">
      <w:pPr>
        <w:pStyle w:val="NormalWeb"/>
        <w:shd w:val="clear" w:color="auto" w:fill="FFFFFF"/>
        <w:spacing w:before="0" w:beforeAutospacing="0" w:after="0" w:afterAutospacing="0" w:line="360" w:lineRule="auto"/>
        <w:rPr>
          <w:rFonts w:ascii="Arial" w:hAnsi="Arial" w:cs="Arial"/>
          <w:color w:val="0D0D0D"/>
          <w:sz w:val="22"/>
          <w:szCs w:val="22"/>
        </w:rPr>
      </w:pPr>
    </w:p>
    <w:p w14:paraId="1576CED0" w14:textId="08369813" w:rsidR="0000326C" w:rsidRPr="0000326C" w:rsidRDefault="0000326C" w:rsidP="00FB7FE6">
      <w:pPr>
        <w:shd w:val="clear" w:color="auto" w:fill="FFFFFF"/>
        <w:spacing w:line="360" w:lineRule="auto"/>
        <w:rPr>
          <w:rFonts w:ascii="Arial" w:eastAsia="Times New Roman" w:hAnsi="Arial" w:cs="Arial"/>
          <w:color w:val="0D0D0D"/>
          <w:kern w:val="0"/>
          <w:sz w:val="22"/>
          <w:szCs w:val="22"/>
          <w:lang w:eastAsia="en-GB"/>
          <w14:ligatures w14:val="none"/>
        </w:rPr>
      </w:pPr>
      <w:r w:rsidRPr="0000326C">
        <w:rPr>
          <w:rFonts w:ascii="Arial" w:eastAsia="Times New Roman" w:hAnsi="Arial" w:cs="Arial"/>
          <w:color w:val="0D0D0D"/>
          <w:kern w:val="0"/>
          <w:sz w:val="22"/>
          <w:szCs w:val="22"/>
          <w:lang w:eastAsia="en-GB"/>
          <w14:ligatures w14:val="none"/>
        </w:rPr>
        <w:t xml:space="preserve">Morgan, D. L. (1997). </w:t>
      </w:r>
      <w:r w:rsidRPr="0000326C">
        <w:rPr>
          <w:rFonts w:ascii="Arial" w:eastAsia="Times New Roman" w:hAnsi="Arial" w:cs="Arial"/>
          <w:i/>
          <w:iCs/>
          <w:color w:val="0D0D0D"/>
          <w:kern w:val="0"/>
          <w:sz w:val="22"/>
          <w:szCs w:val="22"/>
          <w:lang w:eastAsia="en-GB"/>
          <w14:ligatures w14:val="none"/>
        </w:rPr>
        <w:t>Focus Groups as Qualitative Research</w:t>
      </w:r>
      <w:r w:rsidRPr="0000326C">
        <w:rPr>
          <w:rFonts w:ascii="Arial" w:eastAsia="Times New Roman" w:hAnsi="Arial" w:cs="Arial"/>
          <w:color w:val="0D0D0D"/>
          <w:kern w:val="0"/>
          <w:sz w:val="22"/>
          <w:szCs w:val="22"/>
          <w:lang w:eastAsia="en-GB"/>
          <w14:ligatures w14:val="none"/>
        </w:rPr>
        <w:t>. Sage Publications.</w:t>
      </w:r>
    </w:p>
    <w:p w14:paraId="0A8AD6D5" w14:textId="77777777" w:rsidR="00BE460C" w:rsidRPr="0000326C" w:rsidRDefault="00BE460C" w:rsidP="0000326C">
      <w:pPr>
        <w:pStyle w:val="NormalWeb"/>
        <w:shd w:val="clear" w:color="auto" w:fill="FFFFFF"/>
        <w:spacing w:before="0" w:beforeAutospacing="0" w:after="0" w:afterAutospacing="0" w:line="360" w:lineRule="auto"/>
        <w:rPr>
          <w:rFonts w:ascii="Arial" w:hAnsi="Arial" w:cs="Arial"/>
          <w:color w:val="0D0D0D"/>
          <w:sz w:val="22"/>
          <w:szCs w:val="22"/>
        </w:rPr>
      </w:pPr>
    </w:p>
    <w:p w14:paraId="0BA605EC" w14:textId="7A0D80A6" w:rsidR="00BE460C" w:rsidRPr="00BE460C" w:rsidRDefault="00BE460C" w:rsidP="0000326C">
      <w:pPr>
        <w:shd w:val="clear" w:color="auto" w:fill="FFFFFF"/>
        <w:spacing w:line="360" w:lineRule="auto"/>
        <w:rPr>
          <w:rFonts w:ascii="Arial" w:eastAsia="Times New Roman" w:hAnsi="Arial" w:cs="Arial"/>
          <w:color w:val="0D0D0D"/>
          <w:kern w:val="0"/>
          <w:sz w:val="22"/>
          <w:szCs w:val="22"/>
          <w:lang w:eastAsia="en-GB"/>
          <w14:ligatures w14:val="none"/>
        </w:rPr>
      </w:pPr>
      <w:r w:rsidRPr="00BE460C">
        <w:rPr>
          <w:rFonts w:ascii="Arial" w:eastAsia="Times New Roman" w:hAnsi="Arial" w:cs="Arial"/>
          <w:color w:val="0D0D0D"/>
          <w:kern w:val="0"/>
          <w:sz w:val="22"/>
          <w:szCs w:val="22"/>
          <w:lang w:eastAsia="en-GB"/>
          <w14:ligatures w14:val="none"/>
        </w:rPr>
        <w:t xml:space="preserve">Nunnally, J. C., &amp; Bernstein, I. H. (1994). </w:t>
      </w:r>
      <w:r w:rsidRPr="00BE460C">
        <w:rPr>
          <w:rFonts w:ascii="Arial" w:eastAsia="Times New Roman" w:hAnsi="Arial" w:cs="Arial"/>
          <w:i/>
          <w:iCs/>
          <w:color w:val="0D0D0D"/>
          <w:kern w:val="0"/>
          <w:sz w:val="22"/>
          <w:szCs w:val="22"/>
          <w:lang w:eastAsia="en-GB"/>
          <w14:ligatures w14:val="none"/>
        </w:rPr>
        <w:t>Psychometric theory</w:t>
      </w:r>
      <w:r w:rsidRPr="00BE460C">
        <w:rPr>
          <w:rFonts w:ascii="Arial" w:eastAsia="Times New Roman" w:hAnsi="Arial" w:cs="Arial"/>
          <w:color w:val="0D0D0D"/>
          <w:kern w:val="0"/>
          <w:sz w:val="22"/>
          <w:szCs w:val="22"/>
          <w:lang w:eastAsia="en-GB"/>
          <w14:ligatures w14:val="none"/>
        </w:rPr>
        <w:t xml:space="preserve"> (3rd ed.). McGraw-Hill.</w:t>
      </w:r>
    </w:p>
    <w:p w14:paraId="4A43DD2A" w14:textId="77777777" w:rsidR="007845A8" w:rsidRPr="00BE460C" w:rsidRDefault="007845A8" w:rsidP="00BE460C">
      <w:pPr>
        <w:pStyle w:val="NormalWeb"/>
        <w:shd w:val="clear" w:color="auto" w:fill="FFFFFF"/>
        <w:spacing w:before="0" w:beforeAutospacing="0" w:after="0" w:afterAutospacing="0" w:line="360" w:lineRule="auto"/>
        <w:rPr>
          <w:rFonts w:ascii="Arial" w:hAnsi="Arial" w:cs="Arial"/>
          <w:color w:val="0D0D0D"/>
          <w:sz w:val="22"/>
          <w:szCs w:val="22"/>
        </w:rPr>
      </w:pPr>
    </w:p>
    <w:p w14:paraId="17056EF6" w14:textId="36E568BC" w:rsidR="007845A8" w:rsidRPr="007845A8" w:rsidRDefault="007845A8" w:rsidP="00BE460C">
      <w:pPr>
        <w:shd w:val="clear" w:color="auto" w:fill="FFFFFF"/>
        <w:spacing w:line="360" w:lineRule="auto"/>
        <w:rPr>
          <w:rFonts w:ascii="Arial" w:eastAsia="Times New Roman" w:hAnsi="Arial" w:cs="Arial"/>
          <w:color w:val="0D0D0D"/>
          <w:kern w:val="0"/>
          <w:sz w:val="22"/>
          <w:szCs w:val="22"/>
          <w:lang w:eastAsia="en-GB"/>
          <w14:ligatures w14:val="none"/>
        </w:rPr>
      </w:pPr>
      <w:r w:rsidRPr="009652A8">
        <w:rPr>
          <w:rFonts w:ascii="Arial" w:eastAsia="Times New Roman" w:hAnsi="Arial" w:cs="Arial"/>
          <w:color w:val="0D0D0D"/>
          <w:kern w:val="0"/>
          <w:sz w:val="22"/>
          <w:szCs w:val="22"/>
          <w:lang w:eastAsia="en-GB"/>
          <w14:ligatures w14:val="none"/>
        </w:rPr>
        <w:t xml:space="preserve">Patton, M. Q. (2015). </w:t>
      </w:r>
      <w:r w:rsidRPr="009652A8">
        <w:rPr>
          <w:rFonts w:ascii="Arial" w:eastAsia="Times New Roman" w:hAnsi="Arial" w:cs="Arial"/>
          <w:i/>
          <w:iCs/>
          <w:color w:val="0D0D0D"/>
          <w:kern w:val="0"/>
          <w:sz w:val="22"/>
          <w:szCs w:val="22"/>
          <w:lang w:eastAsia="en-GB"/>
          <w14:ligatures w14:val="none"/>
        </w:rPr>
        <w:t>Qualitative research &amp; evaluation methods: Integrating theory and practice.</w:t>
      </w:r>
      <w:r w:rsidRPr="009652A8">
        <w:rPr>
          <w:rFonts w:ascii="Arial" w:eastAsia="Times New Roman" w:hAnsi="Arial" w:cs="Arial"/>
          <w:color w:val="0D0D0D"/>
          <w:kern w:val="0"/>
          <w:sz w:val="22"/>
          <w:szCs w:val="22"/>
          <w:lang w:eastAsia="en-GB"/>
          <w14:ligatures w14:val="none"/>
        </w:rPr>
        <w:t xml:space="preserve"> Sage Publications.</w:t>
      </w:r>
    </w:p>
    <w:p w14:paraId="33112A44" w14:textId="77777777" w:rsidR="009932BF" w:rsidRDefault="009932BF" w:rsidP="009932BF">
      <w:pPr>
        <w:spacing w:line="360" w:lineRule="auto"/>
        <w:rPr>
          <w:rFonts w:ascii="Arial" w:hAnsi="Arial" w:cs="Arial"/>
          <w:sz w:val="22"/>
          <w:szCs w:val="22"/>
        </w:rPr>
      </w:pPr>
    </w:p>
    <w:p w14:paraId="348F2F8C" w14:textId="77777777" w:rsidR="009932BF" w:rsidRPr="00CF5D51" w:rsidRDefault="009932BF" w:rsidP="009932BF">
      <w:pPr>
        <w:pStyle w:val="NormalWeb"/>
        <w:shd w:val="clear" w:color="auto" w:fill="FFFFFF"/>
        <w:spacing w:before="0" w:beforeAutospacing="0" w:after="0" w:afterAutospacing="0" w:line="360" w:lineRule="auto"/>
        <w:rPr>
          <w:rFonts w:ascii="Arial" w:hAnsi="Arial" w:cs="Arial"/>
          <w:color w:val="0D0D0D"/>
          <w:sz w:val="22"/>
          <w:szCs w:val="22"/>
        </w:rPr>
      </w:pPr>
      <w:r w:rsidRPr="00285428">
        <w:rPr>
          <w:rFonts w:ascii="Arial" w:hAnsi="Arial" w:cs="Arial"/>
          <w:color w:val="0D0D0D"/>
          <w:sz w:val="22"/>
          <w:szCs w:val="22"/>
        </w:rPr>
        <w:t>Pianta, R. C., Hamre, B. K</w:t>
      </w:r>
      <w:r w:rsidRPr="00CF5D51">
        <w:rPr>
          <w:rFonts w:ascii="Arial" w:hAnsi="Arial" w:cs="Arial"/>
          <w:color w:val="0D0D0D"/>
          <w:sz w:val="22"/>
          <w:szCs w:val="22"/>
        </w:rPr>
        <w:t xml:space="preserve">., &amp; Stuhlman, M. (2003). </w:t>
      </w:r>
      <w:r w:rsidRPr="00CF5D51">
        <w:rPr>
          <w:rFonts w:ascii="Arial" w:hAnsi="Arial" w:cs="Arial"/>
          <w:i/>
          <w:iCs/>
          <w:color w:val="0D0D0D"/>
          <w:sz w:val="22"/>
          <w:szCs w:val="22"/>
        </w:rPr>
        <w:t>Relationships between teachers and children.</w:t>
      </w:r>
      <w:r w:rsidRPr="00CF5D51">
        <w:rPr>
          <w:rFonts w:ascii="Arial" w:hAnsi="Arial" w:cs="Arial"/>
          <w:color w:val="0D0D0D"/>
          <w:sz w:val="22"/>
          <w:szCs w:val="22"/>
        </w:rPr>
        <w:t xml:space="preserve"> In Handbook of psychology: Educational psychology (pp. 199-234). John Wiley &amp; Sons.</w:t>
      </w:r>
    </w:p>
    <w:p w14:paraId="3195877C" w14:textId="77777777" w:rsidR="00CF5D51" w:rsidRPr="00CF5D51" w:rsidRDefault="00CF5D51" w:rsidP="009932BF">
      <w:pPr>
        <w:pStyle w:val="NormalWeb"/>
        <w:shd w:val="clear" w:color="auto" w:fill="FFFFFF"/>
        <w:spacing w:before="0" w:beforeAutospacing="0" w:after="0" w:afterAutospacing="0" w:line="360" w:lineRule="auto"/>
        <w:rPr>
          <w:rFonts w:ascii="Arial" w:hAnsi="Arial" w:cs="Arial"/>
          <w:color w:val="0D0D0D"/>
          <w:sz w:val="22"/>
          <w:szCs w:val="22"/>
        </w:rPr>
      </w:pPr>
    </w:p>
    <w:p w14:paraId="2856B54C" w14:textId="11285219" w:rsidR="00CF5D51" w:rsidRPr="00CF5D51" w:rsidRDefault="00CF5D51" w:rsidP="009932BF">
      <w:pPr>
        <w:pStyle w:val="NormalWeb"/>
        <w:shd w:val="clear" w:color="auto" w:fill="FFFFFF"/>
        <w:spacing w:before="0" w:beforeAutospacing="0" w:after="0" w:afterAutospacing="0" w:line="360" w:lineRule="auto"/>
        <w:rPr>
          <w:rFonts w:ascii="Arial" w:hAnsi="Arial" w:cs="Arial"/>
          <w:color w:val="0D0D0D"/>
          <w:sz w:val="22"/>
          <w:szCs w:val="22"/>
        </w:rPr>
      </w:pPr>
      <w:r w:rsidRPr="00CF5D51">
        <w:rPr>
          <w:rFonts w:ascii="Arial" w:hAnsi="Arial" w:cs="Arial"/>
          <w:color w:val="0D0D0D"/>
          <w:sz w:val="22"/>
          <w:szCs w:val="22"/>
          <w:shd w:val="clear" w:color="auto" w:fill="FFFFFF"/>
        </w:rPr>
        <w:t xml:space="preserve">Podsakoff, P. M., MacKenzie, S. B., Lee, J. Y., &amp; Podsakoff, N. P. (2003). </w:t>
      </w:r>
      <w:r w:rsidRPr="00CF5D51">
        <w:rPr>
          <w:rFonts w:ascii="Arial" w:hAnsi="Arial" w:cs="Arial"/>
          <w:i/>
          <w:iCs/>
          <w:color w:val="0D0D0D"/>
          <w:sz w:val="22"/>
          <w:szCs w:val="22"/>
          <w:shd w:val="clear" w:color="auto" w:fill="FFFFFF"/>
        </w:rPr>
        <w:t>Common method biases in behavioral research: A critical review of the literature and recommended remedies</w:t>
      </w:r>
      <w:r w:rsidRPr="00CF5D51">
        <w:rPr>
          <w:rFonts w:ascii="Arial" w:hAnsi="Arial" w:cs="Arial"/>
          <w:color w:val="0D0D0D"/>
          <w:sz w:val="22"/>
          <w:szCs w:val="22"/>
          <w:shd w:val="clear" w:color="auto" w:fill="FFFFFF"/>
        </w:rPr>
        <w:t>. Journal of Applied Psychology, 88(5), 879-903.</w:t>
      </w:r>
    </w:p>
    <w:p w14:paraId="4E726B69" w14:textId="77777777" w:rsidR="00285428" w:rsidRPr="00CF5D51" w:rsidRDefault="00285428" w:rsidP="009932BF">
      <w:pPr>
        <w:pStyle w:val="NormalWeb"/>
        <w:shd w:val="clear" w:color="auto" w:fill="FFFFFF"/>
        <w:spacing w:before="0" w:beforeAutospacing="0" w:after="0" w:afterAutospacing="0" w:line="360" w:lineRule="auto"/>
        <w:rPr>
          <w:rFonts w:ascii="Arial" w:hAnsi="Arial" w:cs="Arial"/>
          <w:color w:val="0D0D0D"/>
          <w:sz w:val="22"/>
          <w:szCs w:val="22"/>
        </w:rPr>
      </w:pPr>
    </w:p>
    <w:p w14:paraId="177F451F" w14:textId="3DACF530" w:rsidR="00285428" w:rsidRPr="00285428" w:rsidRDefault="00285428" w:rsidP="009932BF">
      <w:pPr>
        <w:pStyle w:val="NormalWeb"/>
        <w:shd w:val="clear" w:color="auto" w:fill="FFFFFF"/>
        <w:spacing w:before="0" w:beforeAutospacing="0" w:after="0" w:afterAutospacing="0" w:line="360" w:lineRule="auto"/>
        <w:rPr>
          <w:rFonts w:ascii="Arial" w:hAnsi="Arial" w:cs="Arial"/>
          <w:color w:val="0D0D0D"/>
          <w:sz w:val="22"/>
          <w:szCs w:val="22"/>
        </w:rPr>
      </w:pPr>
      <w:r w:rsidRPr="00CF5D51">
        <w:rPr>
          <w:rFonts w:ascii="Arial" w:hAnsi="Arial" w:cs="Arial"/>
          <w:color w:val="0D0D0D"/>
          <w:sz w:val="22"/>
          <w:szCs w:val="22"/>
        </w:rPr>
        <w:t xml:space="preserve">Robinson, C. (2014) </w:t>
      </w:r>
      <w:r w:rsidRPr="00CF5D51">
        <w:rPr>
          <w:rFonts w:ascii="Arial" w:hAnsi="Arial" w:cs="Arial"/>
          <w:i/>
          <w:iCs/>
          <w:color w:val="0D0D0D"/>
          <w:sz w:val="22"/>
          <w:szCs w:val="22"/>
        </w:rPr>
        <w:t>Children, Their</w:t>
      </w:r>
      <w:r w:rsidRPr="00285428">
        <w:rPr>
          <w:rFonts w:ascii="Arial" w:hAnsi="Arial" w:cs="Arial"/>
          <w:i/>
          <w:iCs/>
          <w:color w:val="0D0D0D"/>
          <w:sz w:val="22"/>
          <w:szCs w:val="22"/>
        </w:rPr>
        <w:t xml:space="preserve"> Voices and Their Experiences of School: What Does That Tell Us? </w:t>
      </w:r>
      <w:r w:rsidRPr="00285428">
        <w:rPr>
          <w:rFonts w:ascii="Arial" w:hAnsi="Arial" w:cs="Arial"/>
          <w:color w:val="0D0D0D"/>
          <w:sz w:val="22"/>
          <w:szCs w:val="22"/>
        </w:rPr>
        <w:t xml:space="preserve">Cambridge Primary Review Trust: University of York. </w:t>
      </w:r>
    </w:p>
    <w:p w14:paraId="4EF4566F" w14:textId="77777777" w:rsidR="001828B6" w:rsidRPr="00285428" w:rsidRDefault="001828B6" w:rsidP="009932BF">
      <w:pPr>
        <w:pStyle w:val="NormalWeb"/>
        <w:shd w:val="clear" w:color="auto" w:fill="FFFFFF"/>
        <w:spacing w:before="0" w:beforeAutospacing="0" w:after="0" w:afterAutospacing="0" w:line="360" w:lineRule="auto"/>
        <w:rPr>
          <w:rFonts w:ascii="Arial" w:hAnsi="Arial" w:cs="Arial"/>
          <w:color w:val="0D0D0D"/>
          <w:sz w:val="22"/>
          <w:szCs w:val="22"/>
        </w:rPr>
      </w:pPr>
    </w:p>
    <w:p w14:paraId="19226638" w14:textId="77777777" w:rsidR="001828B6" w:rsidRPr="00285428" w:rsidRDefault="001828B6" w:rsidP="001828B6">
      <w:pPr>
        <w:pStyle w:val="NormalWeb"/>
        <w:shd w:val="clear" w:color="auto" w:fill="FFFFFF"/>
        <w:spacing w:before="0" w:beforeAutospacing="0" w:after="0" w:afterAutospacing="0" w:line="360" w:lineRule="auto"/>
        <w:rPr>
          <w:rFonts w:ascii="Arial" w:hAnsi="Arial" w:cs="Arial"/>
          <w:color w:val="0D0D0D"/>
          <w:sz w:val="22"/>
          <w:szCs w:val="22"/>
        </w:rPr>
      </w:pPr>
      <w:r w:rsidRPr="00285428">
        <w:rPr>
          <w:rFonts w:ascii="Arial" w:hAnsi="Arial" w:cs="Arial"/>
          <w:color w:val="0D0D0D"/>
          <w:sz w:val="22"/>
          <w:szCs w:val="22"/>
        </w:rPr>
        <w:t xml:space="preserve">Roffey, S. (2012). </w:t>
      </w:r>
      <w:r w:rsidRPr="00285428">
        <w:rPr>
          <w:rFonts w:ascii="Arial" w:hAnsi="Arial" w:cs="Arial"/>
          <w:i/>
          <w:iCs/>
          <w:color w:val="0D0D0D"/>
          <w:sz w:val="22"/>
          <w:szCs w:val="22"/>
        </w:rPr>
        <w:t>Positive relationships: Evidence based practice across the world</w:t>
      </w:r>
      <w:r w:rsidRPr="00285428">
        <w:rPr>
          <w:rFonts w:ascii="Arial" w:hAnsi="Arial" w:cs="Arial"/>
          <w:color w:val="0D0D0D"/>
          <w:sz w:val="22"/>
          <w:szCs w:val="22"/>
        </w:rPr>
        <w:t>. Springer.</w:t>
      </w:r>
    </w:p>
    <w:p w14:paraId="73DA797A" w14:textId="77777777" w:rsidR="001828B6" w:rsidRPr="00285428" w:rsidRDefault="001828B6" w:rsidP="009932BF">
      <w:pPr>
        <w:pStyle w:val="NormalWeb"/>
        <w:shd w:val="clear" w:color="auto" w:fill="FFFFFF"/>
        <w:spacing w:before="0" w:beforeAutospacing="0" w:after="0" w:afterAutospacing="0" w:line="360" w:lineRule="auto"/>
        <w:rPr>
          <w:rFonts w:ascii="Arial" w:hAnsi="Arial" w:cs="Arial"/>
          <w:color w:val="0D0D0D"/>
          <w:sz w:val="22"/>
          <w:szCs w:val="22"/>
        </w:rPr>
      </w:pPr>
    </w:p>
    <w:p w14:paraId="55E2C765" w14:textId="77777777" w:rsidR="001828B6" w:rsidRPr="00285428" w:rsidRDefault="001828B6" w:rsidP="001828B6">
      <w:pPr>
        <w:pStyle w:val="NormalWeb"/>
        <w:shd w:val="clear" w:color="auto" w:fill="FFFFFF"/>
        <w:spacing w:before="0" w:beforeAutospacing="0" w:after="0" w:afterAutospacing="0" w:line="360" w:lineRule="auto"/>
        <w:rPr>
          <w:rFonts w:ascii="Arial" w:hAnsi="Arial" w:cs="Arial"/>
          <w:color w:val="0D0D0D"/>
          <w:sz w:val="22"/>
          <w:szCs w:val="22"/>
        </w:rPr>
      </w:pPr>
      <w:r w:rsidRPr="00285428">
        <w:rPr>
          <w:rFonts w:ascii="Arial" w:hAnsi="Arial" w:cs="Arial"/>
          <w:color w:val="0D0D0D"/>
          <w:sz w:val="22"/>
          <w:szCs w:val="22"/>
        </w:rPr>
        <w:t xml:space="preserve">Roorda, D. L., Koomen, H. M. Y., Spilt, J. L., &amp; Oort, F. J. (2011). </w:t>
      </w:r>
      <w:r w:rsidRPr="00285428">
        <w:rPr>
          <w:rFonts w:ascii="Arial" w:hAnsi="Arial" w:cs="Arial"/>
          <w:i/>
          <w:iCs/>
          <w:color w:val="0D0D0D"/>
          <w:sz w:val="22"/>
          <w:szCs w:val="22"/>
        </w:rPr>
        <w:t>The influence of affective teacher–student relationships on students' school engagement and achievement: A meta-analytic approach.</w:t>
      </w:r>
      <w:r w:rsidRPr="00285428">
        <w:rPr>
          <w:rFonts w:ascii="Arial" w:hAnsi="Arial" w:cs="Arial"/>
          <w:color w:val="0D0D0D"/>
          <w:sz w:val="22"/>
          <w:szCs w:val="22"/>
        </w:rPr>
        <w:t xml:space="preserve"> Review of Educational Research, 81(4), 493-529.</w:t>
      </w:r>
    </w:p>
    <w:p w14:paraId="795E70DC" w14:textId="77777777" w:rsidR="009932BF" w:rsidRPr="00285428" w:rsidRDefault="009932BF" w:rsidP="009932BF">
      <w:pPr>
        <w:pStyle w:val="NormalWeb"/>
        <w:shd w:val="clear" w:color="auto" w:fill="FFFFFF"/>
        <w:spacing w:before="0" w:beforeAutospacing="0" w:after="0" w:afterAutospacing="0" w:line="360" w:lineRule="auto"/>
        <w:rPr>
          <w:rFonts w:ascii="Arial" w:hAnsi="Arial" w:cs="Arial"/>
          <w:color w:val="0D0D0D"/>
          <w:sz w:val="22"/>
          <w:szCs w:val="22"/>
        </w:rPr>
      </w:pPr>
    </w:p>
    <w:p w14:paraId="04B736AE" w14:textId="77777777" w:rsidR="009932BF" w:rsidRPr="00285428" w:rsidRDefault="009932BF" w:rsidP="009932BF">
      <w:pPr>
        <w:pStyle w:val="NormalWeb"/>
        <w:shd w:val="clear" w:color="auto" w:fill="FFFFFF"/>
        <w:spacing w:before="0" w:beforeAutospacing="0" w:after="0" w:afterAutospacing="0" w:line="360" w:lineRule="auto"/>
        <w:rPr>
          <w:rFonts w:ascii="Arial" w:hAnsi="Arial" w:cs="Arial"/>
          <w:color w:val="0D0D0D"/>
          <w:sz w:val="22"/>
          <w:szCs w:val="22"/>
        </w:rPr>
      </w:pPr>
      <w:r w:rsidRPr="00285428">
        <w:rPr>
          <w:rFonts w:ascii="Arial" w:hAnsi="Arial" w:cs="Arial"/>
          <w:color w:val="0D0D0D"/>
          <w:sz w:val="22"/>
          <w:szCs w:val="22"/>
        </w:rPr>
        <w:lastRenderedPageBreak/>
        <w:t xml:space="preserve">Rumberger, R. W. (2011). </w:t>
      </w:r>
      <w:r w:rsidRPr="00285428">
        <w:rPr>
          <w:rFonts w:ascii="Arial" w:hAnsi="Arial" w:cs="Arial"/>
          <w:i/>
          <w:iCs/>
          <w:color w:val="0D0D0D"/>
          <w:sz w:val="22"/>
          <w:szCs w:val="22"/>
        </w:rPr>
        <w:t>Dropping out: Why students drop out of high school and what can be done about it.</w:t>
      </w:r>
      <w:r w:rsidRPr="00285428">
        <w:rPr>
          <w:rFonts w:ascii="Arial" w:hAnsi="Arial" w:cs="Arial"/>
          <w:color w:val="0D0D0D"/>
          <w:sz w:val="22"/>
          <w:szCs w:val="22"/>
        </w:rPr>
        <w:t xml:space="preserve"> Harvard University Press.</w:t>
      </w:r>
    </w:p>
    <w:p w14:paraId="52B70B41" w14:textId="77777777" w:rsidR="001828B6" w:rsidRPr="00285428" w:rsidRDefault="001828B6" w:rsidP="001828B6">
      <w:pPr>
        <w:pStyle w:val="NormalWeb"/>
        <w:shd w:val="clear" w:color="auto" w:fill="FFFFFF"/>
        <w:spacing w:before="0" w:beforeAutospacing="0" w:after="0" w:afterAutospacing="0" w:line="360" w:lineRule="auto"/>
        <w:rPr>
          <w:rFonts w:ascii="Arial" w:hAnsi="Arial" w:cs="Arial"/>
          <w:color w:val="0D0D0D"/>
          <w:sz w:val="22"/>
          <w:szCs w:val="22"/>
        </w:rPr>
      </w:pPr>
    </w:p>
    <w:p w14:paraId="6B04E04D" w14:textId="351DC90F" w:rsidR="001828B6" w:rsidRPr="008977E8" w:rsidRDefault="001828B6" w:rsidP="001828B6">
      <w:pPr>
        <w:pStyle w:val="NormalWeb"/>
        <w:shd w:val="clear" w:color="auto" w:fill="FFFFFF"/>
        <w:spacing w:before="0" w:beforeAutospacing="0" w:after="0" w:afterAutospacing="0" w:line="360" w:lineRule="auto"/>
        <w:rPr>
          <w:rFonts w:ascii="Arial" w:hAnsi="Arial" w:cs="Arial"/>
          <w:sz w:val="22"/>
          <w:szCs w:val="22"/>
        </w:rPr>
      </w:pPr>
      <w:r w:rsidRPr="00285428">
        <w:rPr>
          <w:rFonts w:ascii="Arial" w:hAnsi="Arial" w:cs="Arial"/>
          <w:color w:val="0D0D0D"/>
          <w:sz w:val="22"/>
          <w:szCs w:val="22"/>
        </w:rPr>
        <w:t xml:space="preserve">Schonert-Reichl, K. A. (2017). </w:t>
      </w:r>
      <w:r w:rsidRPr="00285428">
        <w:rPr>
          <w:rFonts w:ascii="Arial" w:hAnsi="Arial" w:cs="Arial"/>
          <w:i/>
          <w:iCs/>
          <w:color w:val="0D0D0D"/>
          <w:sz w:val="22"/>
          <w:szCs w:val="22"/>
        </w:rPr>
        <w:t>Social and emotional learning and teachers.</w:t>
      </w:r>
      <w:r w:rsidRPr="00285428">
        <w:rPr>
          <w:rFonts w:ascii="Arial" w:hAnsi="Arial" w:cs="Arial"/>
          <w:color w:val="0D0D0D"/>
          <w:sz w:val="22"/>
          <w:szCs w:val="22"/>
        </w:rPr>
        <w:t xml:space="preserve"> The Future of </w:t>
      </w:r>
      <w:r w:rsidRPr="008977E8">
        <w:rPr>
          <w:rFonts w:ascii="Arial" w:hAnsi="Arial" w:cs="Arial"/>
          <w:sz w:val="22"/>
          <w:szCs w:val="22"/>
        </w:rPr>
        <w:t>Children, 27(1), 137-155.</w:t>
      </w:r>
    </w:p>
    <w:p w14:paraId="3C58ED39" w14:textId="77777777" w:rsidR="008977E8" w:rsidRPr="006A75AC" w:rsidRDefault="008977E8" w:rsidP="001828B6">
      <w:pPr>
        <w:pStyle w:val="NormalWeb"/>
        <w:shd w:val="clear" w:color="auto" w:fill="FFFFFF"/>
        <w:spacing w:before="0" w:beforeAutospacing="0" w:after="0" w:afterAutospacing="0" w:line="360" w:lineRule="auto"/>
        <w:rPr>
          <w:rFonts w:ascii="Arial" w:hAnsi="Arial" w:cs="Arial"/>
          <w:sz w:val="22"/>
          <w:szCs w:val="22"/>
        </w:rPr>
      </w:pPr>
    </w:p>
    <w:p w14:paraId="7B47ECFE" w14:textId="22E6B999" w:rsidR="008977E8" w:rsidRPr="006A75AC" w:rsidRDefault="008977E8" w:rsidP="001828B6">
      <w:pPr>
        <w:pStyle w:val="NormalWeb"/>
        <w:shd w:val="clear" w:color="auto" w:fill="FFFFFF"/>
        <w:spacing w:before="0" w:beforeAutospacing="0" w:after="0" w:afterAutospacing="0" w:line="360" w:lineRule="auto"/>
        <w:rPr>
          <w:rFonts w:ascii="Arial" w:hAnsi="Arial" w:cs="Arial"/>
          <w:sz w:val="22"/>
          <w:szCs w:val="22"/>
        </w:rPr>
      </w:pPr>
      <w:r w:rsidRPr="006A75AC">
        <w:rPr>
          <w:rFonts w:ascii="Arial" w:hAnsi="Arial" w:cs="Arial"/>
          <w:sz w:val="22"/>
          <w:szCs w:val="22"/>
        </w:rPr>
        <w:t>Simons, H. (2009) Case Study Research in Practice. London: Sage.</w:t>
      </w:r>
    </w:p>
    <w:p w14:paraId="0477F9FA" w14:textId="77777777" w:rsidR="006A75AC" w:rsidRPr="006A75AC" w:rsidRDefault="006A75AC" w:rsidP="001828B6">
      <w:pPr>
        <w:pStyle w:val="NormalWeb"/>
        <w:shd w:val="clear" w:color="auto" w:fill="FFFFFF"/>
        <w:spacing w:before="0" w:beforeAutospacing="0" w:after="0" w:afterAutospacing="0" w:line="360" w:lineRule="auto"/>
        <w:rPr>
          <w:rFonts w:ascii="Arial" w:hAnsi="Arial" w:cs="Arial"/>
          <w:sz w:val="22"/>
          <w:szCs w:val="22"/>
        </w:rPr>
      </w:pPr>
    </w:p>
    <w:p w14:paraId="496FC579" w14:textId="12CC8436" w:rsidR="006A75AC" w:rsidRPr="006A75AC" w:rsidRDefault="006A75AC" w:rsidP="001828B6">
      <w:pPr>
        <w:pStyle w:val="NormalWeb"/>
        <w:shd w:val="clear" w:color="auto" w:fill="FFFFFF"/>
        <w:spacing w:before="0" w:beforeAutospacing="0" w:after="0" w:afterAutospacing="0" w:line="360" w:lineRule="auto"/>
        <w:rPr>
          <w:rFonts w:ascii="Arial" w:hAnsi="Arial" w:cs="Arial"/>
          <w:sz w:val="22"/>
          <w:szCs w:val="22"/>
        </w:rPr>
      </w:pPr>
      <w:r w:rsidRPr="006A75AC">
        <w:rPr>
          <w:rFonts w:ascii="Arial" w:hAnsi="Arial" w:cs="Arial"/>
          <w:sz w:val="22"/>
          <w:szCs w:val="22"/>
        </w:rPr>
        <w:t xml:space="preserve">Thomas, G. (2017) </w:t>
      </w:r>
      <w:r w:rsidRPr="006A75AC">
        <w:rPr>
          <w:rFonts w:ascii="Arial" w:hAnsi="Arial" w:cs="Arial"/>
          <w:i/>
          <w:iCs/>
          <w:sz w:val="22"/>
          <w:szCs w:val="22"/>
        </w:rPr>
        <w:t>How to do your research project</w:t>
      </w:r>
      <w:r>
        <w:rPr>
          <w:rFonts w:ascii="Arial" w:hAnsi="Arial" w:cs="Arial"/>
          <w:i/>
          <w:iCs/>
          <w:sz w:val="22"/>
          <w:szCs w:val="22"/>
        </w:rPr>
        <w:t>:</w:t>
      </w:r>
      <w:r w:rsidRPr="006A75AC">
        <w:rPr>
          <w:rFonts w:ascii="Arial" w:hAnsi="Arial" w:cs="Arial"/>
          <w:i/>
          <w:iCs/>
          <w:sz w:val="22"/>
          <w:szCs w:val="22"/>
        </w:rPr>
        <w:t xml:space="preserve"> A guide for students</w:t>
      </w:r>
      <w:r w:rsidRPr="006A75AC">
        <w:rPr>
          <w:rFonts w:ascii="Arial" w:hAnsi="Arial" w:cs="Arial"/>
          <w:sz w:val="22"/>
          <w:szCs w:val="22"/>
        </w:rPr>
        <w:t xml:space="preserve"> (3rd ed). Sage </w:t>
      </w:r>
    </w:p>
    <w:p w14:paraId="277F2B73" w14:textId="77777777" w:rsidR="00C9099E" w:rsidRPr="006A75AC" w:rsidRDefault="00C9099E" w:rsidP="00C9099E">
      <w:pPr>
        <w:pStyle w:val="NormalWeb"/>
        <w:shd w:val="clear" w:color="auto" w:fill="FFFFFF"/>
        <w:spacing w:before="0" w:beforeAutospacing="0" w:after="0" w:afterAutospacing="0" w:line="360" w:lineRule="auto"/>
        <w:rPr>
          <w:rFonts w:ascii="Arial" w:hAnsi="Arial" w:cs="Arial"/>
          <w:sz w:val="22"/>
          <w:szCs w:val="22"/>
        </w:rPr>
      </w:pPr>
    </w:p>
    <w:p w14:paraId="64EAB889" w14:textId="290AB056" w:rsidR="00C9099E" w:rsidRPr="0093260F" w:rsidRDefault="00C9099E" w:rsidP="00C9099E">
      <w:pPr>
        <w:shd w:val="clear" w:color="auto" w:fill="FFFFFF"/>
        <w:spacing w:line="360" w:lineRule="auto"/>
        <w:rPr>
          <w:rFonts w:ascii="Arial" w:eastAsia="Times New Roman" w:hAnsi="Arial" w:cs="Arial"/>
          <w:color w:val="0D0D0D"/>
          <w:kern w:val="0"/>
          <w:sz w:val="22"/>
          <w:szCs w:val="22"/>
          <w:lang w:eastAsia="en-GB"/>
          <w14:ligatures w14:val="none"/>
        </w:rPr>
      </w:pPr>
      <w:r w:rsidRPr="00C9099E">
        <w:rPr>
          <w:rFonts w:ascii="Arial" w:eastAsia="Times New Roman" w:hAnsi="Arial" w:cs="Arial"/>
          <w:kern w:val="0"/>
          <w:sz w:val="22"/>
          <w:szCs w:val="22"/>
          <w:lang w:eastAsia="en-GB"/>
          <w14:ligatures w14:val="none"/>
        </w:rPr>
        <w:t>Tishman, S., Jay, E., &amp; Perkins</w:t>
      </w:r>
      <w:r w:rsidRPr="00C9099E">
        <w:rPr>
          <w:rFonts w:ascii="Arial" w:eastAsia="Times New Roman" w:hAnsi="Arial" w:cs="Arial"/>
          <w:color w:val="0D0D0D"/>
          <w:kern w:val="0"/>
          <w:sz w:val="22"/>
          <w:szCs w:val="22"/>
          <w:lang w:eastAsia="en-GB"/>
          <w14:ligatures w14:val="none"/>
        </w:rPr>
        <w:t xml:space="preserve">, D. N. (2006). </w:t>
      </w:r>
      <w:r w:rsidRPr="00C9099E">
        <w:rPr>
          <w:rFonts w:ascii="Arial" w:eastAsia="Times New Roman" w:hAnsi="Arial" w:cs="Arial"/>
          <w:i/>
          <w:iCs/>
          <w:color w:val="0D0D0D"/>
          <w:kern w:val="0"/>
          <w:sz w:val="22"/>
          <w:szCs w:val="22"/>
          <w:lang w:eastAsia="en-GB"/>
          <w14:ligatures w14:val="none"/>
        </w:rPr>
        <w:t>Teaching thinking dispositions: From transmission to enculturation.</w:t>
      </w:r>
      <w:r w:rsidRPr="00C9099E">
        <w:rPr>
          <w:rFonts w:ascii="Arial" w:eastAsia="Times New Roman" w:hAnsi="Arial" w:cs="Arial"/>
          <w:color w:val="0D0D0D"/>
          <w:kern w:val="0"/>
          <w:sz w:val="22"/>
          <w:szCs w:val="22"/>
          <w:lang w:eastAsia="en-GB"/>
          <w14:ligatures w14:val="none"/>
        </w:rPr>
        <w:t xml:space="preserve"> Theory into Practice, 45(2), 150-157.</w:t>
      </w:r>
    </w:p>
    <w:p w14:paraId="7BB8E6CD" w14:textId="77777777" w:rsidR="0093260F" w:rsidRPr="0093260F" w:rsidRDefault="0093260F" w:rsidP="00C9099E">
      <w:pPr>
        <w:shd w:val="clear" w:color="auto" w:fill="FFFFFF"/>
        <w:spacing w:line="360" w:lineRule="auto"/>
        <w:rPr>
          <w:rFonts w:ascii="Arial" w:eastAsia="Times New Roman" w:hAnsi="Arial" w:cs="Arial"/>
          <w:color w:val="0D0D0D"/>
          <w:kern w:val="0"/>
          <w:sz w:val="22"/>
          <w:szCs w:val="22"/>
          <w:lang w:eastAsia="en-GB"/>
          <w14:ligatures w14:val="none"/>
        </w:rPr>
      </w:pPr>
    </w:p>
    <w:p w14:paraId="342B7103" w14:textId="65FA291B" w:rsidR="0093260F" w:rsidRPr="00A81EAC" w:rsidRDefault="0093260F" w:rsidP="00A81EAC">
      <w:pPr>
        <w:shd w:val="clear" w:color="auto" w:fill="FFFFFF"/>
        <w:spacing w:line="360" w:lineRule="auto"/>
        <w:rPr>
          <w:rFonts w:ascii="Arial" w:hAnsi="Arial" w:cs="Arial"/>
          <w:color w:val="0D0D0D"/>
          <w:sz w:val="22"/>
          <w:szCs w:val="22"/>
          <w:shd w:val="clear" w:color="auto" w:fill="FFFFFF"/>
        </w:rPr>
      </w:pPr>
      <w:r w:rsidRPr="0093260F">
        <w:rPr>
          <w:rFonts w:ascii="Arial" w:hAnsi="Arial" w:cs="Arial"/>
          <w:color w:val="0D0D0D"/>
          <w:sz w:val="22"/>
          <w:szCs w:val="22"/>
          <w:shd w:val="clear" w:color="auto" w:fill="FFFFFF"/>
        </w:rPr>
        <w:t xml:space="preserve">Tourangeau, R., Rips, L. J., &amp; Rasinski, K. (2013). </w:t>
      </w:r>
      <w:r w:rsidRPr="0093260F">
        <w:rPr>
          <w:rFonts w:ascii="Arial" w:hAnsi="Arial" w:cs="Arial"/>
          <w:i/>
          <w:iCs/>
          <w:color w:val="0D0D0D"/>
          <w:sz w:val="22"/>
          <w:szCs w:val="22"/>
          <w:shd w:val="clear" w:color="auto" w:fill="FFFFFF"/>
        </w:rPr>
        <w:t>The psychology of survey response</w:t>
      </w:r>
      <w:r w:rsidRPr="0093260F">
        <w:rPr>
          <w:rFonts w:ascii="Arial" w:hAnsi="Arial" w:cs="Arial"/>
          <w:color w:val="0D0D0D"/>
          <w:sz w:val="22"/>
          <w:szCs w:val="22"/>
          <w:shd w:val="clear" w:color="auto" w:fill="FFFFFF"/>
        </w:rPr>
        <w:t xml:space="preserve">. Cambridge </w:t>
      </w:r>
      <w:r w:rsidRPr="00A81EAC">
        <w:rPr>
          <w:rFonts w:ascii="Arial" w:hAnsi="Arial" w:cs="Arial"/>
          <w:color w:val="0D0D0D"/>
          <w:sz w:val="22"/>
          <w:szCs w:val="22"/>
          <w:shd w:val="clear" w:color="auto" w:fill="FFFFFF"/>
        </w:rPr>
        <w:t>University Press.</w:t>
      </w:r>
      <w:r w:rsidR="00486ED0">
        <w:rPr>
          <w:rFonts w:ascii="Arial" w:hAnsi="Arial" w:cs="Arial"/>
          <w:color w:val="0D0D0D"/>
          <w:sz w:val="22"/>
          <w:szCs w:val="22"/>
          <w:shd w:val="clear" w:color="auto" w:fill="FFFFFF"/>
        </w:rPr>
        <w:t xml:space="preserve"> </w:t>
      </w:r>
    </w:p>
    <w:p w14:paraId="11788327" w14:textId="77777777" w:rsidR="00A81EAC" w:rsidRPr="00A81EAC" w:rsidRDefault="00A81EAC" w:rsidP="00A81EAC">
      <w:pPr>
        <w:shd w:val="clear" w:color="auto" w:fill="FFFFFF"/>
        <w:spacing w:line="360" w:lineRule="auto"/>
        <w:rPr>
          <w:rFonts w:ascii="Arial" w:hAnsi="Arial" w:cs="Arial"/>
          <w:color w:val="0D0D0D"/>
          <w:sz w:val="22"/>
          <w:szCs w:val="22"/>
          <w:shd w:val="clear" w:color="auto" w:fill="FFFFFF"/>
        </w:rPr>
      </w:pPr>
    </w:p>
    <w:p w14:paraId="1EEE04B6" w14:textId="2852A704" w:rsidR="00A81EAC" w:rsidRPr="00A81EAC" w:rsidRDefault="00A81EAC" w:rsidP="00A81EAC">
      <w:pPr>
        <w:pStyle w:val="NormalWeb"/>
        <w:shd w:val="clear" w:color="auto" w:fill="FFFFFF"/>
        <w:spacing w:before="0" w:beforeAutospacing="0" w:after="0" w:afterAutospacing="0" w:line="360" w:lineRule="auto"/>
        <w:rPr>
          <w:rFonts w:ascii="Arial" w:hAnsi="Arial" w:cs="Arial"/>
          <w:color w:val="0D0D0D"/>
          <w:sz w:val="22"/>
          <w:szCs w:val="22"/>
        </w:rPr>
      </w:pPr>
      <w:r w:rsidRPr="00A81EAC">
        <w:rPr>
          <w:rFonts w:ascii="Arial" w:hAnsi="Arial" w:cs="Arial"/>
          <w:color w:val="0D0D0D"/>
          <w:sz w:val="22"/>
          <w:szCs w:val="22"/>
        </w:rPr>
        <w:t xml:space="preserve">Tufte, E. R. (2001). </w:t>
      </w:r>
      <w:r w:rsidRPr="00A81EAC">
        <w:rPr>
          <w:rFonts w:ascii="Arial" w:hAnsi="Arial" w:cs="Arial"/>
          <w:i/>
          <w:iCs/>
          <w:color w:val="0D0D0D"/>
          <w:sz w:val="22"/>
          <w:szCs w:val="22"/>
        </w:rPr>
        <w:t>The Visual Display of Quantitative Information</w:t>
      </w:r>
      <w:r w:rsidRPr="00A81EAC">
        <w:rPr>
          <w:rFonts w:ascii="Arial" w:hAnsi="Arial" w:cs="Arial"/>
          <w:color w:val="0D0D0D"/>
          <w:sz w:val="22"/>
          <w:szCs w:val="22"/>
        </w:rPr>
        <w:t>. Graphics Press.</w:t>
      </w:r>
    </w:p>
    <w:p w14:paraId="6363D4A1" w14:textId="77777777" w:rsidR="00F00858" w:rsidRPr="0093260F" w:rsidRDefault="00F00858" w:rsidP="00A81EAC">
      <w:pPr>
        <w:shd w:val="clear" w:color="auto" w:fill="FFFFFF"/>
        <w:spacing w:line="360" w:lineRule="auto"/>
        <w:rPr>
          <w:rFonts w:ascii="Arial" w:eastAsia="Times New Roman" w:hAnsi="Arial" w:cs="Arial"/>
          <w:color w:val="0D0D0D"/>
          <w:kern w:val="0"/>
          <w:sz w:val="22"/>
          <w:szCs w:val="22"/>
          <w:lang w:eastAsia="en-GB"/>
          <w14:ligatures w14:val="none"/>
        </w:rPr>
      </w:pPr>
    </w:p>
    <w:p w14:paraId="6004F19B" w14:textId="0218EB33" w:rsidR="00F00858" w:rsidRPr="00285428" w:rsidRDefault="00F00858" w:rsidP="00A81EAC">
      <w:pPr>
        <w:shd w:val="clear" w:color="auto" w:fill="FFFFFF"/>
        <w:spacing w:line="360" w:lineRule="auto"/>
        <w:rPr>
          <w:rFonts w:ascii="Arial" w:hAnsi="Arial" w:cs="Arial"/>
          <w:sz w:val="22"/>
          <w:szCs w:val="22"/>
        </w:rPr>
      </w:pPr>
      <w:r w:rsidRPr="0093260F">
        <w:rPr>
          <w:rFonts w:ascii="Arial" w:eastAsia="Times New Roman" w:hAnsi="Arial" w:cs="Arial"/>
          <w:color w:val="0D0D0D"/>
          <w:kern w:val="0"/>
          <w:sz w:val="22"/>
          <w:szCs w:val="22"/>
          <w:lang w:eastAsia="en-GB"/>
          <w14:ligatures w14:val="none"/>
        </w:rPr>
        <w:t>UNICEF (198</w:t>
      </w:r>
      <w:r w:rsidR="00C5771F" w:rsidRPr="0093260F">
        <w:rPr>
          <w:rFonts w:ascii="Arial" w:eastAsia="Times New Roman" w:hAnsi="Arial" w:cs="Arial"/>
          <w:color w:val="0D0D0D"/>
          <w:kern w:val="0"/>
          <w:sz w:val="22"/>
          <w:szCs w:val="22"/>
          <w:lang w:eastAsia="en-GB"/>
          <w14:ligatures w14:val="none"/>
        </w:rPr>
        <w:t>9</w:t>
      </w:r>
      <w:r w:rsidRPr="0093260F">
        <w:rPr>
          <w:rFonts w:ascii="Arial" w:eastAsia="Times New Roman" w:hAnsi="Arial" w:cs="Arial"/>
          <w:color w:val="0D0D0D"/>
          <w:kern w:val="0"/>
          <w:sz w:val="22"/>
          <w:szCs w:val="22"/>
          <w:lang w:eastAsia="en-GB"/>
          <w14:ligatures w14:val="none"/>
        </w:rPr>
        <w:t xml:space="preserve">) </w:t>
      </w:r>
      <w:r w:rsidR="00C5771F" w:rsidRPr="0093260F">
        <w:rPr>
          <w:rFonts w:ascii="Arial" w:eastAsia="Times New Roman" w:hAnsi="Arial" w:cs="Arial"/>
          <w:i/>
          <w:iCs/>
          <w:color w:val="0D0D0D"/>
          <w:kern w:val="0"/>
          <w:sz w:val="22"/>
          <w:szCs w:val="22"/>
          <w:lang w:eastAsia="en-GB"/>
          <w14:ligatures w14:val="none"/>
        </w:rPr>
        <w:t>A Summary on the UN Convention</w:t>
      </w:r>
      <w:r w:rsidR="00C5771F" w:rsidRPr="00285428">
        <w:rPr>
          <w:rFonts w:ascii="Arial" w:eastAsia="Times New Roman" w:hAnsi="Arial" w:cs="Arial"/>
          <w:i/>
          <w:iCs/>
          <w:color w:val="0D0D0D"/>
          <w:kern w:val="0"/>
          <w:sz w:val="22"/>
          <w:szCs w:val="22"/>
          <w:lang w:eastAsia="en-GB"/>
          <w14:ligatures w14:val="none"/>
        </w:rPr>
        <w:t xml:space="preserve"> on the Rights of the Child. </w:t>
      </w:r>
      <w:r w:rsidR="00C5771F" w:rsidRPr="00285428">
        <w:rPr>
          <w:rFonts w:ascii="Arial" w:eastAsia="Times New Roman" w:hAnsi="Arial" w:cs="Arial"/>
          <w:color w:val="0D0D0D"/>
          <w:kern w:val="0"/>
          <w:sz w:val="22"/>
          <w:szCs w:val="22"/>
          <w:lang w:eastAsia="en-GB"/>
          <w14:ligatures w14:val="none"/>
        </w:rPr>
        <w:t xml:space="preserve">Available at: </w:t>
      </w:r>
      <w:hyperlink r:id="rId7" w:history="1">
        <w:r w:rsidR="00C5771F" w:rsidRPr="00285428">
          <w:rPr>
            <w:rStyle w:val="Hyperlink"/>
            <w:rFonts w:ascii="Arial" w:hAnsi="Arial" w:cs="Arial"/>
            <w:sz w:val="22"/>
            <w:szCs w:val="22"/>
          </w:rPr>
          <w:t>UNCRC_summary-1_1.pdf (unicef.org.uk)</w:t>
        </w:r>
      </w:hyperlink>
      <w:r w:rsidR="00C5771F" w:rsidRPr="00285428">
        <w:rPr>
          <w:rFonts w:ascii="Arial" w:hAnsi="Arial" w:cs="Arial"/>
          <w:sz w:val="22"/>
          <w:szCs w:val="22"/>
        </w:rPr>
        <w:t xml:space="preserve"> (Accessed: 03/05/2024)</w:t>
      </w:r>
    </w:p>
    <w:p w14:paraId="2BB8B3FF" w14:textId="77777777" w:rsidR="00285428" w:rsidRPr="00285428" w:rsidRDefault="00285428" w:rsidP="00C9099E">
      <w:pPr>
        <w:shd w:val="clear" w:color="auto" w:fill="FFFFFF"/>
        <w:spacing w:line="360" w:lineRule="auto"/>
        <w:rPr>
          <w:rFonts w:ascii="Arial" w:hAnsi="Arial" w:cs="Arial"/>
          <w:sz w:val="22"/>
          <w:szCs w:val="22"/>
        </w:rPr>
      </w:pPr>
    </w:p>
    <w:p w14:paraId="4C296CA9" w14:textId="252E4ADA" w:rsidR="00285428" w:rsidRPr="00285428" w:rsidRDefault="00285428" w:rsidP="00C9099E">
      <w:pPr>
        <w:shd w:val="clear" w:color="auto" w:fill="FFFFFF"/>
        <w:spacing w:line="360" w:lineRule="auto"/>
        <w:rPr>
          <w:rFonts w:ascii="Arial" w:eastAsia="Times New Roman" w:hAnsi="Arial" w:cs="Arial"/>
          <w:color w:val="0D0D0D"/>
          <w:kern w:val="0"/>
          <w:sz w:val="22"/>
          <w:szCs w:val="22"/>
          <w:lang w:eastAsia="en-GB"/>
          <w14:ligatures w14:val="none"/>
        </w:rPr>
      </w:pPr>
      <w:r w:rsidRPr="00285428">
        <w:rPr>
          <w:rFonts w:ascii="Arial" w:hAnsi="Arial" w:cs="Arial"/>
          <w:sz w:val="22"/>
          <w:szCs w:val="22"/>
        </w:rPr>
        <w:t xml:space="preserve">Weare, K. (2015) </w:t>
      </w:r>
      <w:r w:rsidRPr="00285428">
        <w:rPr>
          <w:rFonts w:ascii="Arial" w:hAnsi="Arial" w:cs="Arial"/>
          <w:i/>
          <w:iCs/>
          <w:sz w:val="22"/>
          <w:szCs w:val="22"/>
        </w:rPr>
        <w:t xml:space="preserve">What works in promoting social and emotional well-being and responding to mental health problems in school? </w:t>
      </w:r>
      <w:r w:rsidRPr="00285428">
        <w:rPr>
          <w:rFonts w:ascii="Arial" w:hAnsi="Arial" w:cs="Arial"/>
          <w:sz w:val="22"/>
          <w:szCs w:val="22"/>
        </w:rPr>
        <w:t>London: National Children’s Bureau.</w:t>
      </w:r>
    </w:p>
    <w:p w14:paraId="4A0599FE" w14:textId="77777777" w:rsidR="00B334F9" w:rsidRPr="00285428" w:rsidRDefault="00B334F9" w:rsidP="00B850F9">
      <w:pPr>
        <w:spacing w:line="360" w:lineRule="auto"/>
        <w:rPr>
          <w:rFonts w:ascii="Arial" w:hAnsi="Arial" w:cs="Arial"/>
          <w:color w:val="000000"/>
          <w:sz w:val="22"/>
          <w:szCs w:val="22"/>
        </w:rPr>
      </w:pPr>
    </w:p>
    <w:p w14:paraId="7127FEE7" w14:textId="55B31CFF" w:rsidR="00B334F9" w:rsidRPr="00285428" w:rsidRDefault="00B334F9" w:rsidP="00E26252">
      <w:pPr>
        <w:spacing w:line="360" w:lineRule="auto"/>
        <w:rPr>
          <w:rFonts w:ascii="Arial" w:hAnsi="Arial" w:cs="Arial"/>
          <w:i/>
          <w:iCs/>
          <w:sz w:val="22"/>
          <w:szCs w:val="22"/>
        </w:rPr>
      </w:pPr>
      <w:r w:rsidRPr="00285428">
        <w:rPr>
          <w:rFonts w:ascii="Arial" w:hAnsi="Arial" w:cs="Arial"/>
          <w:color w:val="000000"/>
          <w:sz w:val="22"/>
          <w:szCs w:val="22"/>
        </w:rPr>
        <w:t xml:space="preserve">Welsh Government. (2015) </w:t>
      </w:r>
      <w:r w:rsidRPr="00285428">
        <w:rPr>
          <w:rFonts w:ascii="Arial" w:hAnsi="Arial" w:cs="Arial"/>
          <w:i/>
          <w:iCs/>
          <w:color w:val="000000"/>
          <w:sz w:val="22"/>
          <w:szCs w:val="22"/>
        </w:rPr>
        <w:t>Well-being of Future Generations (Wales) Act 2015</w:t>
      </w:r>
      <w:r w:rsidRPr="00285428">
        <w:rPr>
          <w:rFonts w:ascii="Arial" w:hAnsi="Arial" w:cs="Arial"/>
          <w:color w:val="000000"/>
          <w:sz w:val="22"/>
          <w:szCs w:val="22"/>
        </w:rPr>
        <w:t>. Available at: 150623-guide-to-the-fg-act-en.pdf</w:t>
      </w:r>
      <w:r w:rsidR="00C5771F" w:rsidRPr="00285428">
        <w:rPr>
          <w:rFonts w:ascii="Arial" w:hAnsi="Arial" w:cs="Arial"/>
          <w:color w:val="000000"/>
          <w:sz w:val="22"/>
          <w:szCs w:val="22"/>
        </w:rPr>
        <w:t xml:space="preserve"> </w:t>
      </w:r>
      <w:r w:rsidRPr="00285428">
        <w:rPr>
          <w:rFonts w:ascii="Arial" w:hAnsi="Arial" w:cs="Arial"/>
          <w:color w:val="000000"/>
          <w:sz w:val="22"/>
          <w:szCs w:val="22"/>
        </w:rPr>
        <w:t xml:space="preserve">(futuregenerations.wales) (Accessed: </w:t>
      </w:r>
      <w:r w:rsidRPr="00285428">
        <w:rPr>
          <w:rFonts w:ascii="Arial" w:hAnsi="Arial" w:cs="Arial"/>
          <w:color w:val="000000"/>
          <w:sz w:val="22"/>
          <w:szCs w:val="22"/>
        </w:rPr>
        <w:t>03/05/2024</w:t>
      </w:r>
      <w:r w:rsidRPr="00285428">
        <w:rPr>
          <w:rFonts w:ascii="Arial" w:hAnsi="Arial" w:cs="Arial"/>
          <w:color w:val="000000"/>
          <w:sz w:val="22"/>
          <w:szCs w:val="22"/>
        </w:rPr>
        <w:t>).</w:t>
      </w:r>
    </w:p>
    <w:p w14:paraId="5D9319BD" w14:textId="77777777" w:rsidR="00E26252" w:rsidRDefault="00E26252" w:rsidP="00E26252">
      <w:pPr>
        <w:pStyle w:val="NormalWeb"/>
        <w:shd w:val="clear" w:color="auto" w:fill="FFFFFF"/>
        <w:spacing w:before="0" w:beforeAutospacing="0" w:after="0" w:afterAutospacing="0" w:line="360" w:lineRule="auto"/>
        <w:rPr>
          <w:rFonts w:ascii="Arial" w:hAnsi="Arial" w:cs="Arial"/>
          <w:color w:val="0D0D0D"/>
          <w:sz w:val="22"/>
          <w:szCs w:val="22"/>
        </w:rPr>
      </w:pPr>
    </w:p>
    <w:p w14:paraId="2D00375B" w14:textId="5887674F" w:rsidR="00E26252" w:rsidRPr="008977E8" w:rsidRDefault="00E26252" w:rsidP="00E26252">
      <w:pPr>
        <w:pStyle w:val="NormalWeb"/>
        <w:shd w:val="clear" w:color="auto" w:fill="FFFFFF"/>
        <w:spacing w:before="0" w:beforeAutospacing="0" w:after="0" w:afterAutospacing="0" w:line="360" w:lineRule="auto"/>
        <w:rPr>
          <w:rFonts w:ascii="Arial" w:hAnsi="Arial" w:cs="Arial"/>
          <w:color w:val="0D0D0D"/>
          <w:sz w:val="22"/>
          <w:szCs w:val="22"/>
        </w:rPr>
      </w:pPr>
      <w:r w:rsidRPr="008977E8">
        <w:rPr>
          <w:rFonts w:ascii="Arial" w:hAnsi="Arial" w:cs="Arial"/>
          <w:color w:val="0D0D0D"/>
          <w:sz w:val="22"/>
          <w:szCs w:val="22"/>
        </w:rPr>
        <w:t xml:space="preserve">Wentzel, K. R. (2010). </w:t>
      </w:r>
      <w:r w:rsidRPr="008977E8">
        <w:rPr>
          <w:rFonts w:ascii="Arial" w:hAnsi="Arial" w:cs="Arial"/>
          <w:i/>
          <w:iCs/>
          <w:color w:val="0D0D0D"/>
          <w:sz w:val="22"/>
          <w:szCs w:val="22"/>
        </w:rPr>
        <w:t>Students' relationships with teachers as motivational contexts</w:t>
      </w:r>
      <w:r w:rsidRPr="008977E8">
        <w:rPr>
          <w:rFonts w:ascii="Arial" w:hAnsi="Arial" w:cs="Arial"/>
          <w:color w:val="0D0D0D"/>
          <w:sz w:val="22"/>
          <w:szCs w:val="22"/>
        </w:rPr>
        <w:t>. In Handbook of motivation at school (pp. 301-322). Routledge.</w:t>
      </w:r>
    </w:p>
    <w:p w14:paraId="02548AEF" w14:textId="77777777" w:rsidR="002D0420" w:rsidRPr="002D0420" w:rsidRDefault="002D0420" w:rsidP="002D0420">
      <w:pPr>
        <w:pStyle w:val="NormalWeb"/>
        <w:shd w:val="clear" w:color="auto" w:fill="FFFFFF"/>
        <w:spacing w:before="0" w:beforeAutospacing="0" w:after="0" w:afterAutospacing="0" w:line="360" w:lineRule="auto"/>
        <w:rPr>
          <w:rFonts w:ascii="Arial" w:hAnsi="Arial" w:cs="Arial"/>
          <w:color w:val="242424"/>
          <w:sz w:val="22"/>
          <w:szCs w:val="22"/>
        </w:rPr>
      </w:pPr>
    </w:p>
    <w:p w14:paraId="33ECC008" w14:textId="4DE8D04F" w:rsidR="002D0420" w:rsidRPr="002D0420" w:rsidRDefault="002D0420" w:rsidP="00422954">
      <w:pPr>
        <w:shd w:val="clear" w:color="auto" w:fill="FFFFFF"/>
        <w:spacing w:line="360" w:lineRule="auto"/>
        <w:rPr>
          <w:rFonts w:ascii="Arial" w:eastAsia="Times New Roman" w:hAnsi="Arial" w:cs="Arial"/>
          <w:color w:val="0D0D0D"/>
          <w:kern w:val="0"/>
          <w:sz w:val="22"/>
          <w:szCs w:val="22"/>
          <w:lang w:eastAsia="en-GB"/>
          <w14:ligatures w14:val="none"/>
        </w:rPr>
      </w:pPr>
      <w:r w:rsidRPr="002D0420">
        <w:rPr>
          <w:rFonts w:ascii="Arial" w:eastAsia="Times New Roman" w:hAnsi="Arial" w:cs="Arial"/>
          <w:color w:val="0D0D0D"/>
          <w:kern w:val="0"/>
          <w:sz w:val="22"/>
          <w:szCs w:val="22"/>
          <w:lang w:eastAsia="en-GB"/>
          <w14:ligatures w14:val="none"/>
        </w:rPr>
        <w:t xml:space="preserve">Yin, R. K. (2014). Case study research: Design and methods. </w:t>
      </w:r>
      <w:r w:rsidR="00976FFF" w:rsidRPr="00422954">
        <w:rPr>
          <w:rFonts w:ascii="Arial" w:eastAsia="Times New Roman" w:hAnsi="Arial" w:cs="Arial"/>
          <w:color w:val="0D0D0D"/>
          <w:kern w:val="0"/>
          <w:sz w:val="22"/>
          <w:szCs w:val="22"/>
          <w:lang w:eastAsia="en-GB"/>
          <w14:ligatures w14:val="none"/>
        </w:rPr>
        <w:t xml:space="preserve">London: </w:t>
      </w:r>
      <w:r w:rsidRPr="002D0420">
        <w:rPr>
          <w:rFonts w:ascii="Arial" w:eastAsia="Times New Roman" w:hAnsi="Arial" w:cs="Arial"/>
          <w:color w:val="0D0D0D"/>
          <w:kern w:val="0"/>
          <w:sz w:val="22"/>
          <w:szCs w:val="22"/>
          <w:lang w:eastAsia="en-GB"/>
          <w14:ligatures w14:val="none"/>
        </w:rPr>
        <w:t>Sage.</w:t>
      </w:r>
    </w:p>
    <w:p w14:paraId="31A9F592" w14:textId="77777777" w:rsidR="008977E8" w:rsidRPr="00422954" w:rsidRDefault="008977E8" w:rsidP="00422954">
      <w:pPr>
        <w:spacing w:line="360" w:lineRule="auto"/>
        <w:rPr>
          <w:rFonts w:ascii="Arial" w:hAnsi="Arial" w:cs="Arial"/>
          <w:sz w:val="22"/>
          <w:szCs w:val="22"/>
        </w:rPr>
      </w:pPr>
    </w:p>
    <w:p w14:paraId="223CE22F" w14:textId="77777777" w:rsidR="00422954" w:rsidRPr="00422954" w:rsidRDefault="00422954" w:rsidP="00422954">
      <w:pPr>
        <w:shd w:val="clear" w:color="auto" w:fill="FFFFFF"/>
        <w:spacing w:line="360" w:lineRule="auto"/>
        <w:rPr>
          <w:rFonts w:ascii="Arial" w:eastAsia="Times New Roman" w:hAnsi="Arial" w:cs="Arial"/>
          <w:color w:val="0D0D0D"/>
          <w:kern w:val="0"/>
          <w:sz w:val="22"/>
          <w:szCs w:val="22"/>
          <w:lang w:eastAsia="en-GB"/>
          <w14:ligatures w14:val="none"/>
        </w:rPr>
      </w:pPr>
      <w:r w:rsidRPr="00422954">
        <w:rPr>
          <w:rFonts w:ascii="Arial" w:eastAsia="Times New Roman" w:hAnsi="Arial" w:cs="Arial"/>
          <w:color w:val="0D0D0D"/>
          <w:kern w:val="0"/>
          <w:sz w:val="22"/>
          <w:szCs w:val="22"/>
          <w:lang w:eastAsia="en-GB"/>
          <w14:ligatures w14:val="none"/>
        </w:rPr>
        <w:t xml:space="preserve">Zinsser, K. M., et al. (2018). </w:t>
      </w:r>
      <w:r w:rsidRPr="00422954">
        <w:rPr>
          <w:rFonts w:ascii="Arial" w:eastAsia="Times New Roman" w:hAnsi="Arial" w:cs="Arial"/>
          <w:i/>
          <w:iCs/>
          <w:color w:val="0D0D0D"/>
          <w:kern w:val="0"/>
          <w:sz w:val="22"/>
          <w:szCs w:val="22"/>
          <w:lang w:eastAsia="en-GB"/>
          <w14:ligatures w14:val="none"/>
        </w:rPr>
        <w:t>The Influence of Positive Teacher-Student Relationships on Student Engagement: A Multilevel Meta-Analysis</w:t>
      </w:r>
      <w:r w:rsidRPr="00422954">
        <w:rPr>
          <w:rFonts w:ascii="Arial" w:eastAsia="Times New Roman" w:hAnsi="Arial" w:cs="Arial"/>
          <w:color w:val="0D0D0D"/>
          <w:kern w:val="0"/>
          <w:sz w:val="22"/>
          <w:szCs w:val="22"/>
          <w:lang w:eastAsia="en-GB"/>
          <w14:ligatures w14:val="none"/>
        </w:rPr>
        <w:t>. Teaching and Teacher Education, 80, 99-110.</w:t>
      </w:r>
    </w:p>
    <w:p w14:paraId="186566D6" w14:textId="77777777" w:rsidR="00422954" w:rsidRPr="00B334F9" w:rsidRDefault="00422954" w:rsidP="007E7ED7">
      <w:pPr>
        <w:spacing w:line="360" w:lineRule="auto"/>
        <w:rPr>
          <w:rFonts w:ascii="Arial" w:hAnsi="Arial" w:cs="Arial"/>
          <w:sz w:val="22"/>
          <w:szCs w:val="22"/>
        </w:rPr>
      </w:pPr>
    </w:p>
    <w:sectPr w:rsidR="00422954" w:rsidRPr="00B334F9" w:rsidSect="0057130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B49D3" w14:textId="77777777" w:rsidR="0057130A" w:rsidRDefault="0057130A" w:rsidP="00371D1B">
      <w:r>
        <w:separator/>
      </w:r>
    </w:p>
  </w:endnote>
  <w:endnote w:type="continuationSeparator" w:id="0">
    <w:p w14:paraId="0B247747" w14:textId="77777777" w:rsidR="0057130A" w:rsidRDefault="0057130A" w:rsidP="00371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66900631"/>
      <w:docPartObj>
        <w:docPartGallery w:val="Page Numbers (Bottom of Page)"/>
        <w:docPartUnique/>
      </w:docPartObj>
    </w:sdtPr>
    <w:sdtContent>
      <w:p w14:paraId="1E073228" w14:textId="77777777" w:rsidR="00910FBD" w:rsidRDefault="00000000" w:rsidP="00AD09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1BE573" w14:textId="77777777" w:rsidR="00910FBD" w:rsidRDefault="00910F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51F932" w14:textId="12404803" w:rsidR="00417CE5" w:rsidRPr="00417CE5" w:rsidRDefault="00417CE5">
    <w:pPr>
      <w:pStyle w:val="Footer"/>
      <w:jc w:val="center"/>
      <w:rPr>
        <w:rFonts w:ascii="Calibri" w:hAnsi="Calibri" w:cs="Calibri"/>
        <w:sz w:val="22"/>
        <w:szCs w:val="22"/>
      </w:rPr>
    </w:pPr>
    <w:r w:rsidRPr="00417CE5">
      <w:rPr>
        <w:rFonts w:ascii="Calibri" w:hAnsi="Calibri" w:cs="Calibri"/>
        <w:sz w:val="22"/>
        <w:szCs w:val="22"/>
      </w:rPr>
      <w:t xml:space="preserve">Page </w:t>
    </w:r>
    <w:sdt>
      <w:sdtPr>
        <w:rPr>
          <w:rFonts w:ascii="Calibri" w:hAnsi="Calibri" w:cs="Calibri"/>
          <w:sz w:val="22"/>
          <w:szCs w:val="22"/>
        </w:rPr>
        <w:id w:val="1117878727"/>
        <w:docPartObj>
          <w:docPartGallery w:val="Page Numbers (Bottom of Page)"/>
          <w:docPartUnique/>
        </w:docPartObj>
      </w:sdtPr>
      <w:sdtEndPr>
        <w:rPr>
          <w:noProof/>
        </w:rPr>
      </w:sdtEndPr>
      <w:sdtContent>
        <w:r w:rsidRPr="00417CE5">
          <w:rPr>
            <w:rFonts w:ascii="Calibri" w:hAnsi="Calibri" w:cs="Calibri"/>
            <w:sz w:val="22"/>
            <w:szCs w:val="22"/>
          </w:rPr>
          <w:fldChar w:fldCharType="begin"/>
        </w:r>
        <w:r w:rsidRPr="00417CE5">
          <w:rPr>
            <w:rFonts w:ascii="Calibri" w:hAnsi="Calibri" w:cs="Calibri"/>
            <w:sz w:val="22"/>
            <w:szCs w:val="22"/>
          </w:rPr>
          <w:instrText xml:space="preserve"> PAGE   \* MERGEFORMAT </w:instrText>
        </w:r>
        <w:r w:rsidRPr="00417CE5">
          <w:rPr>
            <w:rFonts w:ascii="Calibri" w:hAnsi="Calibri" w:cs="Calibri"/>
            <w:sz w:val="22"/>
            <w:szCs w:val="22"/>
          </w:rPr>
          <w:fldChar w:fldCharType="separate"/>
        </w:r>
        <w:r w:rsidRPr="00417CE5">
          <w:rPr>
            <w:rFonts w:ascii="Calibri" w:hAnsi="Calibri" w:cs="Calibri"/>
            <w:noProof/>
            <w:sz w:val="22"/>
            <w:szCs w:val="22"/>
          </w:rPr>
          <w:t>2</w:t>
        </w:r>
        <w:r w:rsidRPr="00417CE5">
          <w:rPr>
            <w:rFonts w:ascii="Calibri" w:hAnsi="Calibri" w:cs="Calibri"/>
            <w:noProof/>
            <w:sz w:val="22"/>
            <w:szCs w:val="22"/>
          </w:rPr>
          <w:fldChar w:fldCharType="end"/>
        </w:r>
      </w:sdtContent>
    </w:sdt>
  </w:p>
  <w:p w14:paraId="10CF9131" w14:textId="77777777" w:rsidR="00910FBD" w:rsidRDefault="00910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6C1F17" w14:textId="77777777" w:rsidR="0057130A" w:rsidRDefault="0057130A" w:rsidP="00371D1B">
      <w:r>
        <w:separator/>
      </w:r>
    </w:p>
  </w:footnote>
  <w:footnote w:type="continuationSeparator" w:id="0">
    <w:p w14:paraId="7A85A00F" w14:textId="77777777" w:rsidR="0057130A" w:rsidRDefault="0057130A" w:rsidP="00371D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4684E"/>
    <w:multiLevelType w:val="multilevel"/>
    <w:tmpl w:val="715C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C00CB4"/>
    <w:multiLevelType w:val="multilevel"/>
    <w:tmpl w:val="121C1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3F11F0"/>
    <w:multiLevelType w:val="multilevel"/>
    <w:tmpl w:val="B97A3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C50308"/>
    <w:multiLevelType w:val="multilevel"/>
    <w:tmpl w:val="910AD9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597284"/>
    <w:multiLevelType w:val="multilevel"/>
    <w:tmpl w:val="2550C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FD0B4B"/>
    <w:multiLevelType w:val="multilevel"/>
    <w:tmpl w:val="EA08E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347CF7"/>
    <w:multiLevelType w:val="multilevel"/>
    <w:tmpl w:val="DF5EB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F56380"/>
    <w:multiLevelType w:val="multilevel"/>
    <w:tmpl w:val="D710F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214F32"/>
    <w:multiLevelType w:val="hybridMultilevel"/>
    <w:tmpl w:val="F42605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82564E"/>
    <w:multiLevelType w:val="multilevel"/>
    <w:tmpl w:val="5BC4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783E5F"/>
    <w:multiLevelType w:val="multilevel"/>
    <w:tmpl w:val="E694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E30303"/>
    <w:multiLevelType w:val="multilevel"/>
    <w:tmpl w:val="63FAC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2C7C39"/>
    <w:multiLevelType w:val="multilevel"/>
    <w:tmpl w:val="D43A7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8D409C"/>
    <w:multiLevelType w:val="multilevel"/>
    <w:tmpl w:val="1CF2E3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3692B62"/>
    <w:multiLevelType w:val="multilevel"/>
    <w:tmpl w:val="F6361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8675BD"/>
    <w:multiLevelType w:val="multilevel"/>
    <w:tmpl w:val="480C4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C8271D"/>
    <w:multiLevelType w:val="multilevel"/>
    <w:tmpl w:val="7D1E6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6FE0F5B"/>
    <w:multiLevelType w:val="multilevel"/>
    <w:tmpl w:val="9DD449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813500"/>
    <w:multiLevelType w:val="hybridMultilevel"/>
    <w:tmpl w:val="22E4F5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A0646B"/>
    <w:multiLevelType w:val="hybridMultilevel"/>
    <w:tmpl w:val="58EE05C6"/>
    <w:lvl w:ilvl="0" w:tplc="D810792A">
      <w:start w:val="1"/>
      <w:numFmt w:val="bullet"/>
      <w:lvlText w:val="•"/>
      <w:lvlJc w:val="left"/>
      <w:pPr>
        <w:tabs>
          <w:tab w:val="num" w:pos="720"/>
        </w:tabs>
        <w:ind w:left="720" w:hanging="360"/>
      </w:pPr>
      <w:rPr>
        <w:rFonts w:ascii="Times New Roman" w:hAnsi="Times New Roman" w:hint="default"/>
      </w:rPr>
    </w:lvl>
    <w:lvl w:ilvl="1" w:tplc="CC1277C0" w:tentative="1">
      <w:start w:val="1"/>
      <w:numFmt w:val="bullet"/>
      <w:lvlText w:val="•"/>
      <w:lvlJc w:val="left"/>
      <w:pPr>
        <w:tabs>
          <w:tab w:val="num" w:pos="1440"/>
        </w:tabs>
        <w:ind w:left="1440" w:hanging="360"/>
      </w:pPr>
      <w:rPr>
        <w:rFonts w:ascii="Times New Roman" w:hAnsi="Times New Roman" w:hint="default"/>
      </w:rPr>
    </w:lvl>
    <w:lvl w:ilvl="2" w:tplc="A09E66BC" w:tentative="1">
      <w:start w:val="1"/>
      <w:numFmt w:val="bullet"/>
      <w:lvlText w:val="•"/>
      <w:lvlJc w:val="left"/>
      <w:pPr>
        <w:tabs>
          <w:tab w:val="num" w:pos="2160"/>
        </w:tabs>
        <w:ind w:left="2160" w:hanging="360"/>
      </w:pPr>
      <w:rPr>
        <w:rFonts w:ascii="Times New Roman" w:hAnsi="Times New Roman" w:hint="default"/>
      </w:rPr>
    </w:lvl>
    <w:lvl w:ilvl="3" w:tplc="B20E52D0" w:tentative="1">
      <w:start w:val="1"/>
      <w:numFmt w:val="bullet"/>
      <w:lvlText w:val="•"/>
      <w:lvlJc w:val="left"/>
      <w:pPr>
        <w:tabs>
          <w:tab w:val="num" w:pos="2880"/>
        </w:tabs>
        <w:ind w:left="2880" w:hanging="360"/>
      </w:pPr>
      <w:rPr>
        <w:rFonts w:ascii="Times New Roman" w:hAnsi="Times New Roman" w:hint="default"/>
      </w:rPr>
    </w:lvl>
    <w:lvl w:ilvl="4" w:tplc="7EACE91C" w:tentative="1">
      <w:start w:val="1"/>
      <w:numFmt w:val="bullet"/>
      <w:lvlText w:val="•"/>
      <w:lvlJc w:val="left"/>
      <w:pPr>
        <w:tabs>
          <w:tab w:val="num" w:pos="3600"/>
        </w:tabs>
        <w:ind w:left="3600" w:hanging="360"/>
      </w:pPr>
      <w:rPr>
        <w:rFonts w:ascii="Times New Roman" w:hAnsi="Times New Roman" w:hint="default"/>
      </w:rPr>
    </w:lvl>
    <w:lvl w:ilvl="5" w:tplc="83DE6CD0" w:tentative="1">
      <w:start w:val="1"/>
      <w:numFmt w:val="bullet"/>
      <w:lvlText w:val="•"/>
      <w:lvlJc w:val="left"/>
      <w:pPr>
        <w:tabs>
          <w:tab w:val="num" w:pos="4320"/>
        </w:tabs>
        <w:ind w:left="4320" w:hanging="360"/>
      </w:pPr>
      <w:rPr>
        <w:rFonts w:ascii="Times New Roman" w:hAnsi="Times New Roman" w:hint="default"/>
      </w:rPr>
    </w:lvl>
    <w:lvl w:ilvl="6" w:tplc="FA28598A" w:tentative="1">
      <w:start w:val="1"/>
      <w:numFmt w:val="bullet"/>
      <w:lvlText w:val="•"/>
      <w:lvlJc w:val="left"/>
      <w:pPr>
        <w:tabs>
          <w:tab w:val="num" w:pos="5040"/>
        </w:tabs>
        <w:ind w:left="5040" w:hanging="360"/>
      </w:pPr>
      <w:rPr>
        <w:rFonts w:ascii="Times New Roman" w:hAnsi="Times New Roman" w:hint="default"/>
      </w:rPr>
    </w:lvl>
    <w:lvl w:ilvl="7" w:tplc="8AE03748" w:tentative="1">
      <w:start w:val="1"/>
      <w:numFmt w:val="bullet"/>
      <w:lvlText w:val="•"/>
      <w:lvlJc w:val="left"/>
      <w:pPr>
        <w:tabs>
          <w:tab w:val="num" w:pos="5760"/>
        </w:tabs>
        <w:ind w:left="5760" w:hanging="360"/>
      </w:pPr>
      <w:rPr>
        <w:rFonts w:ascii="Times New Roman" w:hAnsi="Times New Roman" w:hint="default"/>
      </w:rPr>
    </w:lvl>
    <w:lvl w:ilvl="8" w:tplc="5832F5E4"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29CE09DA"/>
    <w:multiLevelType w:val="multilevel"/>
    <w:tmpl w:val="279615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BDE199E"/>
    <w:multiLevelType w:val="multilevel"/>
    <w:tmpl w:val="F118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CE63EA1"/>
    <w:multiLevelType w:val="multilevel"/>
    <w:tmpl w:val="CC764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E3F5745"/>
    <w:multiLevelType w:val="multilevel"/>
    <w:tmpl w:val="7968E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F522832"/>
    <w:multiLevelType w:val="multilevel"/>
    <w:tmpl w:val="99E4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13A457D"/>
    <w:multiLevelType w:val="multilevel"/>
    <w:tmpl w:val="0EF08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3075677"/>
    <w:multiLevelType w:val="multilevel"/>
    <w:tmpl w:val="ABB02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35C1B9E"/>
    <w:multiLevelType w:val="hybridMultilevel"/>
    <w:tmpl w:val="5F70B21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339B0D45"/>
    <w:multiLevelType w:val="multilevel"/>
    <w:tmpl w:val="90F21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3F57D9E"/>
    <w:multiLevelType w:val="multilevel"/>
    <w:tmpl w:val="EC226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5CD4900"/>
    <w:multiLevelType w:val="multilevel"/>
    <w:tmpl w:val="77044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C566BDE"/>
    <w:multiLevelType w:val="multilevel"/>
    <w:tmpl w:val="CC90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E6E5497"/>
    <w:multiLevelType w:val="hybridMultilevel"/>
    <w:tmpl w:val="E37208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67E14C3"/>
    <w:multiLevelType w:val="multilevel"/>
    <w:tmpl w:val="4E523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B7919DF"/>
    <w:multiLevelType w:val="hybridMultilevel"/>
    <w:tmpl w:val="5530A8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176857"/>
    <w:multiLevelType w:val="multilevel"/>
    <w:tmpl w:val="5922D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4F2043A"/>
    <w:multiLevelType w:val="multilevel"/>
    <w:tmpl w:val="CF629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63B6AAE"/>
    <w:multiLevelType w:val="hybridMultilevel"/>
    <w:tmpl w:val="AB9A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8671F7"/>
    <w:multiLevelType w:val="multilevel"/>
    <w:tmpl w:val="9F228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C4B7378"/>
    <w:multiLevelType w:val="multilevel"/>
    <w:tmpl w:val="1CF2E3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D537B0F"/>
    <w:multiLevelType w:val="multilevel"/>
    <w:tmpl w:val="910AD9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0EC0F2C"/>
    <w:multiLevelType w:val="multilevel"/>
    <w:tmpl w:val="8D428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44E55FC"/>
    <w:multiLevelType w:val="hybridMultilevel"/>
    <w:tmpl w:val="DF44F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8361EC2"/>
    <w:multiLevelType w:val="multilevel"/>
    <w:tmpl w:val="85988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8683B18"/>
    <w:multiLevelType w:val="multilevel"/>
    <w:tmpl w:val="764E2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A93458C"/>
    <w:multiLevelType w:val="multilevel"/>
    <w:tmpl w:val="A9E07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D603B0C"/>
    <w:multiLevelType w:val="hybridMultilevel"/>
    <w:tmpl w:val="E2AA56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C726DC"/>
    <w:multiLevelType w:val="multilevel"/>
    <w:tmpl w:val="E86E7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F8165A6"/>
    <w:multiLevelType w:val="multilevel"/>
    <w:tmpl w:val="C36CB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FB3035E"/>
    <w:multiLevelType w:val="hybridMultilevel"/>
    <w:tmpl w:val="DBE21200"/>
    <w:lvl w:ilvl="0" w:tplc="10EEF21E">
      <w:start w:val="1"/>
      <w:numFmt w:val="bullet"/>
      <w:lvlText w:val="•"/>
      <w:lvlJc w:val="left"/>
      <w:pPr>
        <w:tabs>
          <w:tab w:val="num" w:pos="720"/>
        </w:tabs>
        <w:ind w:left="720" w:hanging="360"/>
      </w:pPr>
      <w:rPr>
        <w:rFonts w:ascii="Times New Roman" w:hAnsi="Times New Roman" w:hint="default"/>
      </w:rPr>
    </w:lvl>
    <w:lvl w:ilvl="1" w:tplc="EAFC7E32" w:tentative="1">
      <w:start w:val="1"/>
      <w:numFmt w:val="bullet"/>
      <w:lvlText w:val="•"/>
      <w:lvlJc w:val="left"/>
      <w:pPr>
        <w:tabs>
          <w:tab w:val="num" w:pos="1440"/>
        </w:tabs>
        <w:ind w:left="1440" w:hanging="360"/>
      </w:pPr>
      <w:rPr>
        <w:rFonts w:ascii="Times New Roman" w:hAnsi="Times New Roman" w:hint="default"/>
      </w:rPr>
    </w:lvl>
    <w:lvl w:ilvl="2" w:tplc="E55A3612" w:tentative="1">
      <w:start w:val="1"/>
      <w:numFmt w:val="bullet"/>
      <w:lvlText w:val="•"/>
      <w:lvlJc w:val="left"/>
      <w:pPr>
        <w:tabs>
          <w:tab w:val="num" w:pos="2160"/>
        </w:tabs>
        <w:ind w:left="2160" w:hanging="360"/>
      </w:pPr>
      <w:rPr>
        <w:rFonts w:ascii="Times New Roman" w:hAnsi="Times New Roman" w:hint="default"/>
      </w:rPr>
    </w:lvl>
    <w:lvl w:ilvl="3" w:tplc="9D36A53A" w:tentative="1">
      <w:start w:val="1"/>
      <w:numFmt w:val="bullet"/>
      <w:lvlText w:val="•"/>
      <w:lvlJc w:val="left"/>
      <w:pPr>
        <w:tabs>
          <w:tab w:val="num" w:pos="2880"/>
        </w:tabs>
        <w:ind w:left="2880" w:hanging="360"/>
      </w:pPr>
      <w:rPr>
        <w:rFonts w:ascii="Times New Roman" w:hAnsi="Times New Roman" w:hint="default"/>
      </w:rPr>
    </w:lvl>
    <w:lvl w:ilvl="4" w:tplc="20C461A2" w:tentative="1">
      <w:start w:val="1"/>
      <w:numFmt w:val="bullet"/>
      <w:lvlText w:val="•"/>
      <w:lvlJc w:val="left"/>
      <w:pPr>
        <w:tabs>
          <w:tab w:val="num" w:pos="3600"/>
        </w:tabs>
        <w:ind w:left="3600" w:hanging="360"/>
      </w:pPr>
      <w:rPr>
        <w:rFonts w:ascii="Times New Roman" w:hAnsi="Times New Roman" w:hint="default"/>
      </w:rPr>
    </w:lvl>
    <w:lvl w:ilvl="5" w:tplc="005061C6" w:tentative="1">
      <w:start w:val="1"/>
      <w:numFmt w:val="bullet"/>
      <w:lvlText w:val="•"/>
      <w:lvlJc w:val="left"/>
      <w:pPr>
        <w:tabs>
          <w:tab w:val="num" w:pos="4320"/>
        </w:tabs>
        <w:ind w:left="4320" w:hanging="360"/>
      </w:pPr>
      <w:rPr>
        <w:rFonts w:ascii="Times New Roman" w:hAnsi="Times New Roman" w:hint="default"/>
      </w:rPr>
    </w:lvl>
    <w:lvl w:ilvl="6" w:tplc="7EF61636" w:tentative="1">
      <w:start w:val="1"/>
      <w:numFmt w:val="bullet"/>
      <w:lvlText w:val="•"/>
      <w:lvlJc w:val="left"/>
      <w:pPr>
        <w:tabs>
          <w:tab w:val="num" w:pos="5040"/>
        </w:tabs>
        <w:ind w:left="5040" w:hanging="360"/>
      </w:pPr>
      <w:rPr>
        <w:rFonts w:ascii="Times New Roman" w:hAnsi="Times New Roman" w:hint="default"/>
      </w:rPr>
    </w:lvl>
    <w:lvl w:ilvl="7" w:tplc="7660E37E" w:tentative="1">
      <w:start w:val="1"/>
      <w:numFmt w:val="bullet"/>
      <w:lvlText w:val="•"/>
      <w:lvlJc w:val="left"/>
      <w:pPr>
        <w:tabs>
          <w:tab w:val="num" w:pos="5760"/>
        </w:tabs>
        <w:ind w:left="5760" w:hanging="360"/>
      </w:pPr>
      <w:rPr>
        <w:rFonts w:ascii="Times New Roman" w:hAnsi="Times New Roman" w:hint="default"/>
      </w:rPr>
    </w:lvl>
    <w:lvl w:ilvl="8" w:tplc="14265EE8" w:tentative="1">
      <w:start w:val="1"/>
      <w:numFmt w:val="bullet"/>
      <w:lvlText w:val="•"/>
      <w:lvlJc w:val="left"/>
      <w:pPr>
        <w:tabs>
          <w:tab w:val="num" w:pos="6480"/>
        </w:tabs>
        <w:ind w:left="6480" w:hanging="360"/>
      </w:pPr>
      <w:rPr>
        <w:rFonts w:ascii="Times New Roman" w:hAnsi="Times New Roman" w:hint="default"/>
      </w:rPr>
    </w:lvl>
  </w:abstractNum>
  <w:abstractNum w:abstractNumId="50" w15:restartNumberingAfterBreak="0">
    <w:nsid w:val="76903911"/>
    <w:multiLevelType w:val="hybridMultilevel"/>
    <w:tmpl w:val="03DC69F0"/>
    <w:lvl w:ilvl="0" w:tplc="9D228F2C">
      <w:start w:val="1"/>
      <w:numFmt w:val="bullet"/>
      <w:lvlText w:val="•"/>
      <w:lvlJc w:val="left"/>
      <w:pPr>
        <w:tabs>
          <w:tab w:val="num" w:pos="720"/>
        </w:tabs>
        <w:ind w:left="720" w:hanging="360"/>
      </w:pPr>
      <w:rPr>
        <w:rFonts w:ascii="Times New Roman" w:hAnsi="Times New Roman" w:hint="default"/>
      </w:rPr>
    </w:lvl>
    <w:lvl w:ilvl="1" w:tplc="F40866A0" w:tentative="1">
      <w:start w:val="1"/>
      <w:numFmt w:val="bullet"/>
      <w:lvlText w:val="•"/>
      <w:lvlJc w:val="left"/>
      <w:pPr>
        <w:tabs>
          <w:tab w:val="num" w:pos="1440"/>
        </w:tabs>
        <w:ind w:left="1440" w:hanging="360"/>
      </w:pPr>
      <w:rPr>
        <w:rFonts w:ascii="Times New Roman" w:hAnsi="Times New Roman" w:hint="default"/>
      </w:rPr>
    </w:lvl>
    <w:lvl w:ilvl="2" w:tplc="6512EDCA" w:tentative="1">
      <w:start w:val="1"/>
      <w:numFmt w:val="bullet"/>
      <w:lvlText w:val="•"/>
      <w:lvlJc w:val="left"/>
      <w:pPr>
        <w:tabs>
          <w:tab w:val="num" w:pos="2160"/>
        </w:tabs>
        <w:ind w:left="2160" w:hanging="360"/>
      </w:pPr>
      <w:rPr>
        <w:rFonts w:ascii="Times New Roman" w:hAnsi="Times New Roman" w:hint="default"/>
      </w:rPr>
    </w:lvl>
    <w:lvl w:ilvl="3" w:tplc="20325FBA" w:tentative="1">
      <w:start w:val="1"/>
      <w:numFmt w:val="bullet"/>
      <w:lvlText w:val="•"/>
      <w:lvlJc w:val="left"/>
      <w:pPr>
        <w:tabs>
          <w:tab w:val="num" w:pos="2880"/>
        </w:tabs>
        <w:ind w:left="2880" w:hanging="360"/>
      </w:pPr>
      <w:rPr>
        <w:rFonts w:ascii="Times New Roman" w:hAnsi="Times New Roman" w:hint="default"/>
      </w:rPr>
    </w:lvl>
    <w:lvl w:ilvl="4" w:tplc="DC425730" w:tentative="1">
      <w:start w:val="1"/>
      <w:numFmt w:val="bullet"/>
      <w:lvlText w:val="•"/>
      <w:lvlJc w:val="left"/>
      <w:pPr>
        <w:tabs>
          <w:tab w:val="num" w:pos="3600"/>
        </w:tabs>
        <w:ind w:left="3600" w:hanging="360"/>
      </w:pPr>
      <w:rPr>
        <w:rFonts w:ascii="Times New Roman" w:hAnsi="Times New Roman" w:hint="default"/>
      </w:rPr>
    </w:lvl>
    <w:lvl w:ilvl="5" w:tplc="420AE1B0" w:tentative="1">
      <w:start w:val="1"/>
      <w:numFmt w:val="bullet"/>
      <w:lvlText w:val="•"/>
      <w:lvlJc w:val="left"/>
      <w:pPr>
        <w:tabs>
          <w:tab w:val="num" w:pos="4320"/>
        </w:tabs>
        <w:ind w:left="4320" w:hanging="360"/>
      </w:pPr>
      <w:rPr>
        <w:rFonts w:ascii="Times New Roman" w:hAnsi="Times New Roman" w:hint="default"/>
      </w:rPr>
    </w:lvl>
    <w:lvl w:ilvl="6" w:tplc="E0E42356" w:tentative="1">
      <w:start w:val="1"/>
      <w:numFmt w:val="bullet"/>
      <w:lvlText w:val="•"/>
      <w:lvlJc w:val="left"/>
      <w:pPr>
        <w:tabs>
          <w:tab w:val="num" w:pos="5040"/>
        </w:tabs>
        <w:ind w:left="5040" w:hanging="360"/>
      </w:pPr>
      <w:rPr>
        <w:rFonts w:ascii="Times New Roman" w:hAnsi="Times New Roman" w:hint="default"/>
      </w:rPr>
    </w:lvl>
    <w:lvl w:ilvl="7" w:tplc="F6E2EDA4" w:tentative="1">
      <w:start w:val="1"/>
      <w:numFmt w:val="bullet"/>
      <w:lvlText w:val="•"/>
      <w:lvlJc w:val="left"/>
      <w:pPr>
        <w:tabs>
          <w:tab w:val="num" w:pos="5760"/>
        </w:tabs>
        <w:ind w:left="5760" w:hanging="360"/>
      </w:pPr>
      <w:rPr>
        <w:rFonts w:ascii="Times New Roman" w:hAnsi="Times New Roman" w:hint="default"/>
      </w:rPr>
    </w:lvl>
    <w:lvl w:ilvl="8" w:tplc="55D66F90" w:tentative="1">
      <w:start w:val="1"/>
      <w:numFmt w:val="bullet"/>
      <w:lvlText w:val="•"/>
      <w:lvlJc w:val="left"/>
      <w:pPr>
        <w:tabs>
          <w:tab w:val="num" w:pos="6480"/>
        </w:tabs>
        <w:ind w:left="6480" w:hanging="360"/>
      </w:pPr>
      <w:rPr>
        <w:rFonts w:ascii="Times New Roman" w:hAnsi="Times New Roman" w:hint="default"/>
      </w:rPr>
    </w:lvl>
  </w:abstractNum>
  <w:abstractNum w:abstractNumId="51" w15:restartNumberingAfterBreak="0">
    <w:nsid w:val="76D051AD"/>
    <w:multiLevelType w:val="multilevel"/>
    <w:tmpl w:val="5A028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98C443A"/>
    <w:multiLevelType w:val="multilevel"/>
    <w:tmpl w:val="423C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C6050B2"/>
    <w:multiLevelType w:val="multilevel"/>
    <w:tmpl w:val="E6AAC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8177019">
    <w:abstractNumId w:val="34"/>
  </w:num>
  <w:num w:numId="2" w16cid:durableId="601231401">
    <w:abstractNumId w:val="8"/>
  </w:num>
  <w:num w:numId="3" w16cid:durableId="358547948">
    <w:abstractNumId w:val="46"/>
  </w:num>
  <w:num w:numId="4" w16cid:durableId="1942643140">
    <w:abstractNumId w:val="42"/>
  </w:num>
  <w:num w:numId="5" w16cid:durableId="736511672">
    <w:abstractNumId w:val="27"/>
  </w:num>
  <w:num w:numId="6" w16cid:durableId="258687399">
    <w:abstractNumId w:val="37"/>
  </w:num>
  <w:num w:numId="7" w16cid:durableId="319382128">
    <w:abstractNumId w:val="35"/>
  </w:num>
  <w:num w:numId="8" w16cid:durableId="924073580">
    <w:abstractNumId w:val="23"/>
  </w:num>
  <w:num w:numId="9" w16cid:durableId="516890353">
    <w:abstractNumId w:val="44"/>
  </w:num>
  <w:num w:numId="10" w16cid:durableId="354964404">
    <w:abstractNumId w:val="5"/>
  </w:num>
  <w:num w:numId="11" w16cid:durableId="532422028">
    <w:abstractNumId w:val="24"/>
  </w:num>
  <w:num w:numId="12" w16cid:durableId="633560849">
    <w:abstractNumId w:val="41"/>
  </w:num>
  <w:num w:numId="13" w16cid:durableId="1894466976">
    <w:abstractNumId w:val="6"/>
  </w:num>
  <w:num w:numId="14" w16cid:durableId="461846951">
    <w:abstractNumId w:val="4"/>
  </w:num>
  <w:num w:numId="15" w16cid:durableId="1681001744">
    <w:abstractNumId w:val="30"/>
  </w:num>
  <w:num w:numId="16" w16cid:durableId="830215267">
    <w:abstractNumId w:val="22"/>
  </w:num>
  <w:num w:numId="17" w16cid:durableId="1618680936">
    <w:abstractNumId w:val="28"/>
  </w:num>
  <w:num w:numId="18" w16cid:durableId="162475542">
    <w:abstractNumId w:val="48"/>
  </w:num>
  <w:num w:numId="19" w16cid:durableId="610362870">
    <w:abstractNumId w:val="52"/>
  </w:num>
  <w:num w:numId="20" w16cid:durableId="1211989602">
    <w:abstractNumId w:val="32"/>
  </w:num>
  <w:num w:numId="21" w16cid:durableId="535894168">
    <w:abstractNumId w:val="18"/>
  </w:num>
  <w:num w:numId="22" w16cid:durableId="1984459401">
    <w:abstractNumId w:val="11"/>
  </w:num>
  <w:num w:numId="23" w16cid:durableId="371269103">
    <w:abstractNumId w:val="33"/>
  </w:num>
  <w:num w:numId="24" w16cid:durableId="1284460816">
    <w:abstractNumId w:val="39"/>
  </w:num>
  <w:num w:numId="25" w16cid:durableId="1366255047">
    <w:abstractNumId w:val="13"/>
  </w:num>
  <w:num w:numId="26" w16cid:durableId="2126608308">
    <w:abstractNumId w:val="15"/>
  </w:num>
  <w:num w:numId="27" w16cid:durableId="1437169429">
    <w:abstractNumId w:val="26"/>
  </w:num>
  <w:num w:numId="28" w16cid:durableId="1103183980">
    <w:abstractNumId w:val="31"/>
  </w:num>
  <w:num w:numId="29" w16cid:durableId="1941252666">
    <w:abstractNumId w:val="47"/>
  </w:num>
  <w:num w:numId="30" w16cid:durableId="872620677">
    <w:abstractNumId w:val="51"/>
  </w:num>
  <w:num w:numId="31" w16cid:durableId="1555505983">
    <w:abstractNumId w:val="14"/>
  </w:num>
  <w:num w:numId="32" w16cid:durableId="188837319">
    <w:abstractNumId w:val="10"/>
  </w:num>
  <w:num w:numId="33" w16cid:durableId="959799054">
    <w:abstractNumId w:val="1"/>
  </w:num>
  <w:num w:numId="34" w16cid:durableId="1620720792">
    <w:abstractNumId w:val="9"/>
  </w:num>
  <w:num w:numId="35" w16cid:durableId="2039744242">
    <w:abstractNumId w:val="2"/>
  </w:num>
  <w:num w:numId="36" w16cid:durableId="1532568565">
    <w:abstractNumId w:val="38"/>
  </w:num>
  <w:num w:numId="37" w16cid:durableId="1023439249">
    <w:abstractNumId w:val="12"/>
  </w:num>
  <w:num w:numId="38" w16cid:durableId="1018393172">
    <w:abstractNumId w:val="17"/>
  </w:num>
  <w:num w:numId="39" w16cid:durableId="1285424357">
    <w:abstractNumId w:val="43"/>
  </w:num>
  <w:num w:numId="40" w16cid:durableId="1125004214">
    <w:abstractNumId w:val="36"/>
  </w:num>
  <w:num w:numId="41" w16cid:durableId="1644461306">
    <w:abstractNumId w:val="45"/>
  </w:num>
  <w:num w:numId="42" w16cid:durableId="259142660">
    <w:abstractNumId w:val="7"/>
  </w:num>
  <w:num w:numId="43" w16cid:durableId="2068335006">
    <w:abstractNumId w:val="25"/>
  </w:num>
  <w:num w:numId="44" w16cid:durableId="25327919">
    <w:abstractNumId w:val="40"/>
  </w:num>
  <w:num w:numId="45" w16cid:durableId="1958294568">
    <w:abstractNumId w:val="3"/>
  </w:num>
  <w:num w:numId="46" w16cid:durableId="173227350">
    <w:abstractNumId w:val="20"/>
  </w:num>
  <w:num w:numId="47" w16cid:durableId="1116363032">
    <w:abstractNumId w:val="50"/>
  </w:num>
  <w:num w:numId="48" w16cid:durableId="1574272255">
    <w:abstractNumId w:val="0"/>
  </w:num>
  <w:num w:numId="49" w16cid:durableId="890507581">
    <w:abstractNumId w:val="49"/>
  </w:num>
  <w:num w:numId="50" w16cid:durableId="183399742">
    <w:abstractNumId w:val="16"/>
  </w:num>
  <w:num w:numId="51" w16cid:durableId="768039614">
    <w:abstractNumId w:val="21"/>
  </w:num>
  <w:num w:numId="52" w16cid:durableId="1636370189">
    <w:abstractNumId w:val="19"/>
  </w:num>
  <w:num w:numId="53" w16cid:durableId="713428447">
    <w:abstractNumId w:val="53"/>
  </w:num>
  <w:num w:numId="54" w16cid:durableId="3331657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D1B"/>
    <w:rsid w:val="0000326C"/>
    <w:rsid w:val="00006273"/>
    <w:rsid w:val="0000633C"/>
    <w:rsid w:val="00013DD1"/>
    <w:rsid w:val="0002778C"/>
    <w:rsid w:val="000369B3"/>
    <w:rsid w:val="00036F57"/>
    <w:rsid w:val="0004318F"/>
    <w:rsid w:val="00055254"/>
    <w:rsid w:val="00055BCA"/>
    <w:rsid w:val="00077365"/>
    <w:rsid w:val="000C1F7D"/>
    <w:rsid w:val="000F1C45"/>
    <w:rsid w:val="000F5B86"/>
    <w:rsid w:val="0011677F"/>
    <w:rsid w:val="0012550A"/>
    <w:rsid w:val="00144207"/>
    <w:rsid w:val="001544F0"/>
    <w:rsid w:val="00165849"/>
    <w:rsid w:val="001828B6"/>
    <w:rsid w:val="001B7A44"/>
    <w:rsid w:val="001D4E3A"/>
    <w:rsid w:val="001E6965"/>
    <w:rsid w:val="0023301A"/>
    <w:rsid w:val="00257650"/>
    <w:rsid w:val="00285428"/>
    <w:rsid w:val="002A3FFF"/>
    <w:rsid w:val="002D0420"/>
    <w:rsid w:val="0031128D"/>
    <w:rsid w:val="00355BF3"/>
    <w:rsid w:val="00363AED"/>
    <w:rsid w:val="00371D1B"/>
    <w:rsid w:val="00380634"/>
    <w:rsid w:val="003826E8"/>
    <w:rsid w:val="00396EE9"/>
    <w:rsid w:val="003A321B"/>
    <w:rsid w:val="003B3665"/>
    <w:rsid w:val="003B574A"/>
    <w:rsid w:val="00417CE5"/>
    <w:rsid w:val="00422954"/>
    <w:rsid w:val="004238F6"/>
    <w:rsid w:val="00486ED0"/>
    <w:rsid w:val="00491351"/>
    <w:rsid w:val="004A4497"/>
    <w:rsid w:val="004E6BC7"/>
    <w:rsid w:val="00507A8A"/>
    <w:rsid w:val="005369EC"/>
    <w:rsid w:val="00537310"/>
    <w:rsid w:val="0055691B"/>
    <w:rsid w:val="00561B58"/>
    <w:rsid w:val="0057130A"/>
    <w:rsid w:val="00591759"/>
    <w:rsid w:val="005954E5"/>
    <w:rsid w:val="005A2FB6"/>
    <w:rsid w:val="005A5897"/>
    <w:rsid w:val="005A7C10"/>
    <w:rsid w:val="005B16F1"/>
    <w:rsid w:val="005C3361"/>
    <w:rsid w:val="005F2B7C"/>
    <w:rsid w:val="00696520"/>
    <w:rsid w:val="006A1291"/>
    <w:rsid w:val="006A75AC"/>
    <w:rsid w:val="006C29F3"/>
    <w:rsid w:val="006D3AB2"/>
    <w:rsid w:val="006F69C1"/>
    <w:rsid w:val="00723700"/>
    <w:rsid w:val="007435F1"/>
    <w:rsid w:val="00757F1F"/>
    <w:rsid w:val="007641BF"/>
    <w:rsid w:val="007679F2"/>
    <w:rsid w:val="007845A8"/>
    <w:rsid w:val="00785158"/>
    <w:rsid w:val="007B2F6E"/>
    <w:rsid w:val="007B4B86"/>
    <w:rsid w:val="007B4F4F"/>
    <w:rsid w:val="007D6946"/>
    <w:rsid w:val="007E7ED7"/>
    <w:rsid w:val="00826F66"/>
    <w:rsid w:val="008977E8"/>
    <w:rsid w:val="008C12DE"/>
    <w:rsid w:val="008E5324"/>
    <w:rsid w:val="00910239"/>
    <w:rsid w:val="00910FBD"/>
    <w:rsid w:val="0093260F"/>
    <w:rsid w:val="00933087"/>
    <w:rsid w:val="009652A8"/>
    <w:rsid w:val="00976FFF"/>
    <w:rsid w:val="009932BF"/>
    <w:rsid w:val="009F4ADD"/>
    <w:rsid w:val="00A065A6"/>
    <w:rsid w:val="00A14E2C"/>
    <w:rsid w:val="00A81EAC"/>
    <w:rsid w:val="00AA740C"/>
    <w:rsid w:val="00AB3908"/>
    <w:rsid w:val="00AC1810"/>
    <w:rsid w:val="00AF0669"/>
    <w:rsid w:val="00B01BD8"/>
    <w:rsid w:val="00B334F9"/>
    <w:rsid w:val="00B37FA7"/>
    <w:rsid w:val="00B61B3C"/>
    <w:rsid w:val="00B76909"/>
    <w:rsid w:val="00B850F9"/>
    <w:rsid w:val="00BA025C"/>
    <w:rsid w:val="00BD3FA9"/>
    <w:rsid w:val="00BE460C"/>
    <w:rsid w:val="00C5771F"/>
    <w:rsid w:val="00C9099E"/>
    <w:rsid w:val="00C95E16"/>
    <w:rsid w:val="00CA4ABE"/>
    <w:rsid w:val="00CB164F"/>
    <w:rsid w:val="00CB26C4"/>
    <w:rsid w:val="00CF5CEF"/>
    <w:rsid w:val="00CF5D51"/>
    <w:rsid w:val="00D854E7"/>
    <w:rsid w:val="00DD502B"/>
    <w:rsid w:val="00E038B5"/>
    <w:rsid w:val="00E20766"/>
    <w:rsid w:val="00E26252"/>
    <w:rsid w:val="00E356A5"/>
    <w:rsid w:val="00E70F92"/>
    <w:rsid w:val="00E94715"/>
    <w:rsid w:val="00EB30D6"/>
    <w:rsid w:val="00EB4FD8"/>
    <w:rsid w:val="00EF1956"/>
    <w:rsid w:val="00F00858"/>
    <w:rsid w:val="00F0404C"/>
    <w:rsid w:val="00F10D5C"/>
    <w:rsid w:val="00F1321D"/>
    <w:rsid w:val="00F2760C"/>
    <w:rsid w:val="00F65750"/>
    <w:rsid w:val="00F66008"/>
    <w:rsid w:val="00F76785"/>
    <w:rsid w:val="00FB4883"/>
    <w:rsid w:val="00FB7EEE"/>
    <w:rsid w:val="00FB7FE6"/>
    <w:rsid w:val="00FF5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1CFD6"/>
  <w15:chartTrackingRefBased/>
  <w15:docId w15:val="{AA2763A3-C144-E14D-82EC-BFCC01013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D1B"/>
  </w:style>
  <w:style w:type="paragraph" w:styleId="Heading1">
    <w:name w:val="heading 1"/>
    <w:basedOn w:val="Normal"/>
    <w:next w:val="Normal"/>
    <w:link w:val="Heading1Char"/>
    <w:uiPriority w:val="9"/>
    <w:qFormat/>
    <w:rsid w:val="00371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D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D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D1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D1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D1B"/>
    <w:rPr>
      <w:rFonts w:eastAsiaTheme="majorEastAsia" w:cstheme="majorBidi"/>
      <w:color w:val="272727" w:themeColor="text1" w:themeTint="D8"/>
    </w:rPr>
  </w:style>
  <w:style w:type="paragraph" w:styleId="Title">
    <w:name w:val="Title"/>
    <w:basedOn w:val="Normal"/>
    <w:next w:val="Normal"/>
    <w:link w:val="TitleChar"/>
    <w:uiPriority w:val="10"/>
    <w:qFormat/>
    <w:rsid w:val="00371D1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D1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D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1D1B"/>
    <w:rPr>
      <w:i/>
      <w:iCs/>
      <w:color w:val="404040" w:themeColor="text1" w:themeTint="BF"/>
    </w:rPr>
  </w:style>
  <w:style w:type="paragraph" w:styleId="ListParagraph">
    <w:name w:val="List Paragraph"/>
    <w:basedOn w:val="Normal"/>
    <w:uiPriority w:val="34"/>
    <w:qFormat/>
    <w:rsid w:val="00371D1B"/>
    <w:pPr>
      <w:ind w:left="720"/>
      <w:contextualSpacing/>
    </w:pPr>
  </w:style>
  <w:style w:type="character" w:styleId="IntenseEmphasis">
    <w:name w:val="Intense Emphasis"/>
    <w:basedOn w:val="DefaultParagraphFont"/>
    <w:uiPriority w:val="21"/>
    <w:qFormat/>
    <w:rsid w:val="00371D1B"/>
    <w:rPr>
      <w:i/>
      <w:iCs/>
      <w:color w:val="0F4761" w:themeColor="accent1" w:themeShade="BF"/>
    </w:rPr>
  </w:style>
  <w:style w:type="paragraph" w:styleId="IntenseQuote">
    <w:name w:val="Intense Quote"/>
    <w:basedOn w:val="Normal"/>
    <w:next w:val="Normal"/>
    <w:link w:val="IntenseQuoteChar"/>
    <w:uiPriority w:val="30"/>
    <w:qFormat/>
    <w:rsid w:val="00371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D1B"/>
    <w:rPr>
      <w:i/>
      <w:iCs/>
      <w:color w:val="0F4761" w:themeColor="accent1" w:themeShade="BF"/>
    </w:rPr>
  </w:style>
  <w:style w:type="character" w:styleId="IntenseReference">
    <w:name w:val="Intense Reference"/>
    <w:basedOn w:val="DefaultParagraphFont"/>
    <w:uiPriority w:val="32"/>
    <w:qFormat/>
    <w:rsid w:val="00371D1B"/>
    <w:rPr>
      <w:b/>
      <w:bCs/>
      <w:smallCaps/>
      <w:color w:val="0F4761" w:themeColor="accent1" w:themeShade="BF"/>
      <w:spacing w:val="5"/>
    </w:rPr>
  </w:style>
  <w:style w:type="paragraph" w:styleId="Header">
    <w:name w:val="header"/>
    <w:basedOn w:val="Normal"/>
    <w:link w:val="HeaderChar"/>
    <w:uiPriority w:val="99"/>
    <w:unhideWhenUsed/>
    <w:rsid w:val="00371D1B"/>
    <w:pPr>
      <w:tabs>
        <w:tab w:val="center" w:pos="4513"/>
        <w:tab w:val="right" w:pos="9026"/>
      </w:tabs>
    </w:pPr>
  </w:style>
  <w:style w:type="character" w:customStyle="1" w:styleId="HeaderChar">
    <w:name w:val="Header Char"/>
    <w:basedOn w:val="DefaultParagraphFont"/>
    <w:link w:val="Header"/>
    <w:uiPriority w:val="99"/>
    <w:rsid w:val="00371D1B"/>
  </w:style>
  <w:style w:type="paragraph" w:styleId="Footer">
    <w:name w:val="footer"/>
    <w:basedOn w:val="Normal"/>
    <w:link w:val="FooterChar"/>
    <w:uiPriority w:val="99"/>
    <w:unhideWhenUsed/>
    <w:rsid w:val="00371D1B"/>
    <w:pPr>
      <w:tabs>
        <w:tab w:val="center" w:pos="4513"/>
        <w:tab w:val="right" w:pos="9026"/>
      </w:tabs>
    </w:pPr>
  </w:style>
  <w:style w:type="character" w:customStyle="1" w:styleId="FooterChar">
    <w:name w:val="Footer Char"/>
    <w:basedOn w:val="DefaultParagraphFont"/>
    <w:link w:val="Footer"/>
    <w:uiPriority w:val="99"/>
    <w:rsid w:val="00371D1B"/>
  </w:style>
  <w:style w:type="character" w:styleId="PageNumber">
    <w:name w:val="page number"/>
    <w:basedOn w:val="DefaultParagraphFont"/>
    <w:uiPriority w:val="99"/>
    <w:semiHidden/>
    <w:unhideWhenUsed/>
    <w:rsid w:val="00371D1B"/>
  </w:style>
  <w:style w:type="paragraph" w:customStyle="1" w:styleId="AssignBody">
    <w:name w:val="AssignBody"/>
    <w:basedOn w:val="Normal"/>
    <w:link w:val="AssignBodyChar"/>
    <w:qFormat/>
    <w:rsid w:val="00417CE5"/>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417CE5"/>
    <w:rPr>
      <w:rFonts w:ascii="Arial" w:hAnsi="Arial"/>
      <w:kern w:val="0"/>
      <w:sz w:val="22"/>
      <w:szCs w:val="22"/>
      <w14:ligatures w14:val="none"/>
    </w:rPr>
  </w:style>
  <w:style w:type="table" w:styleId="TableGrid">
    <w:name w:val="Table Grid"/>
    <w:basedOn w:val="TableNormal"/>
    <w:uiPriority w:val="39"/>
    <w:rsid w:val="00417CE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17CE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AssignHeader">
    <w:name w:val="AssignHeader"/>
    <w:basedOn w:val="Normal"/>
    <w:next w:val="Normal"/>
    <w:link w:val="AssignHeaderChar"/>
    <w:qFormat/>
    <w:rsid w:val="00417CE5"/>
    <w:pPr>
      <w:spacing w:line="360" w:lineRule="auto"/>
      <w:jc w:val="center"/>
    </w:pPr>
    <w:rPr>
      <w:rFonts w:ascii="Arial" w:hAnsi="Arial"/>
      <w:b/>
      <w:kern w:val="0"/>
      <w:sz w:val="36"/>
      <w:szCs w:val="22"/>
      <w:u w:val="single"/>
      <w14:ligatures w14:val="none"/>
    </w:rPr>
  </w:style>
  <w:style w:type="character" w:customStyle="1" w:styleId="AssignHeaderChar">
    <w:name w:val="AssignHeader Char"/>
    <w:basedOn w:val="DefaultParagraphFont"/>
    <w:link w:val="AssignHeader"/>
    <w:rsid w:val="00417CE5"/>
    <w:rPr>
      <w:rFonts w:ascii="Arial" w:hAnsi="Arial"/>
      <w:b/>
      <w:kern w:val="0"/>
      <w:sz w:val="36"/>
      <w:szCs w:val="22"/>
      <w:u w:val="single"/>
      <w14:ligatures w14:val="none"/>
    </w:rPr>
  </w:style>
  <w:style w:type="character" w:styleId="Hyperlink">
    <w:name w:val="Hyperlink"/>
    <w:basedOn w:val="DefaultParagraphFont"/>
    <w:uiPriority w:val="99"/>
    <w:unhideWhenUsed/>
    <w:rsid w:val="00417CE5"/>
    <w:rPr>
      <w:color w:val="0000FF"/>
      <w:u w:val="single"/>
    </w:rPr>
  </w:style>
  <w:style w:type="character" w:styleId="Strong">
    <w:name w:val="Strong"/>
    <w:basedOn w:val="DefaultParagraphFont"/>
    <w:uiPriority w:val="22"/>
    <w:qFormat/>
    <w:rsid w:val="001D4E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4640">
      <w:bodyDiv w:val="1"/>
      <w:marLeft w:val="0"/>
      <w:marRight w:val="0"/>
      <w:marTop w:val="0"/>
      <w:marBottom w:val="0"/>
      <w:divBdr>
        <w:top w:val="none" w:sz="0" w:space="0" w:color="auto"/>
        <w:left w:val="none" w:sz="0" w:space="0" w:color="auto"/>
        <w:bottom w:val="none" w:sz="0" w:space="0" w:color="auto"/>
        <w:right w:val="none" w:sz="0" w:space="0" w:color="auto"/>
      </w:divBdr>
    </w:div>
    <w:div w:id="53554750">
      <w:bodyDiv w:val="1"/>
      <w:marLeft w:val="0"/>
      <w:marRight w:val="0"/>
      <w:marTop w:val="0"/>
      <w:marBottom w:val="0"/>
      <w:divBdr>
        <w:top w:val="none" w:sz="0" w:space="0" w:color="auto"/>
        <w:left w:val="none" w:sz="0" w:space="0" w:color="auto"/>
        <w:bottom w:val="none" w:sz="0" w:space="0" w:color="auto"/>
        <w:right w:val="none" w:sz="0" w:space="0" w:color="auto"/>
      </w:divBdr>
    </w:div>
    <w:div w:id="105783558">
      <w:bodyDiv w:val="1"/>
      <w:marLeft w:val="0"/>
      <w:marRight w:val="0"/>
      <w:marTop w:val="0"/>
      <w:marBottom w:val="0"/>
      <w:divBdr>
        <w:top w:val="none" w:sz="0" w:space="0" w:color="auto"/>
        <w:left w:val="none" w:sz="0" w:space="0" w:color="auto"/>
        <w:bottom w:val="none" w:sz="0" w:space="0" w:color="auto"/>
        <w:right w:val="none" w:sz="0" w:space="0" w:color="auto"/>
      </w:divBdr>
    </w:div>
    <w:div w:id="119496876">
      <w:bodyDiv w:val="1"/>
      <w:marLeft w:val="0"/>
      <w:marRight w:val="0"/>
      <w:marTop w:val="0"/>
      <w:marBottom w:val="0"/>
      <w:divBdr>
        <w:top w:val="none" w:sz="0" w:space="0" w:color="auto"/>
        <w:left w:val="none" w:sz="0" w:space="0" w:color="auto"/>
        <w:bottom w:val="none" w:sz="0" w:space="0" w:color="auto"/>
        <w:right w:val="none" w:sz="0" w:space="0" w:color="auto"/>
      </w:divBdr>
    </w:div>
    <w:div w:id="199709452">
      <w:bodyDiv w:val="1"/>
      <w:marLeft w:val="0"/>
      <w:marRight w:val="0"/>
      <w:marTop w:val="0"/>
      <w:marBottom w:val="0"/>
      <w:divBdr>
        <w:top w:val="none" w:sz="0" w:space="0" w:color="auto"/>
        <w:left w:val="none" w:sz="0" w:space="0" w:color="auto"/>
        <w:bottom w:val="none" w:sz="0" w:space="0" w:color="auto"/>
        <w:right w:val="none" w:sz="0" w:space="0" w:color="auto"/>
      </w:divBdr>
    </w:div>
    <w:div w:id="241532399">
      <w:bodyDiv w:val="1"/>
      <w:marLeft w:val="0"/>
      <w:marRight w:val="0"/>
      <w:marTop w:val="0"/>
      <w:marBottom w:val="0"/>
      <w:divBdr>
        <w:top w:val="none" w:sz="0" w:space="0" w:color="auto"/>
        <w:left w:val="none" w:sz="0" w:space="0" w:color="auto"/>
        <w:bottom w:val="none" w:sz="0" w:space="0" w:color="auto"/>
        <w:right w:val="none" w:sz="0" w:space="0" w:color="auto"/>
      </w:divBdr>
    </w:div>
    <w:div w:id="314339983">
      <w:bodyDiv w:val="1"/>
      <w:marLeft w:val="0"/>
      <w:marRight w:val="0"/>
      <w:marTop w:val="0"/>
      <w:marBottom w:val="0"/>
      <w:divBdr>
        <w:top w:val="none" w:sz="0" w:space="0" w:color="auto"/>
        <w:left w:val="none" w:sz="0" w:space="0" w:color="auto"/>
        <w:bottom w:val="none" w:sz="0" w:space="0" w:color="auto"/>
        <w:right w:val="none" w:sz="0" w:space="0" w:color="auto"/>
      </w:divBdr>
    </w:div>
    <w:div w:id="344131565">
      <w:bodyDiv w:val="1"/>
      <w:marLeft w:val="0"/>
      <w:marRight w:val="0"/>
      <w:marTop w:val="0"/>
      <w:marBottom w:val="0"/>
      <w:divBdr>
        <w:top w:val="none" w:sz="0" w:space="0" w:color="auto"/>
        <w:left w:val="none" w:sz="0" w:space="0" w:color="auto"/>
        <w:bottom w:val="none" w:sz="0" w:space="0" w:color="auto"/>
        <w:right w:val="none" w:sz="0" w:space="0" w:color="auto"/>
      </w:divBdr>
    </w:div>
    <w:div w:id="365757407">
      <w:bodyDiv w:val="1"/>
      <w:marLeft w:val="0"/>
      <w:marRight w:val="0"/>
      <w:marTop w:val="0"/>
      <w:marBottom w:val="0"/>
      <w:divBdr>
        <w:top w:val="none" w:sz="0" w:space="0" w:color="auto"/>
        <w:left w:val="none" w:sz="0" w:space="0" w:color="auto"/>
        <w:bottom w:val="none" w:sz="0" w:space="0" w:color="auto"/>
        <w:right w:val="none" w:sz="0" w:space="0" w:color="auto"/>
      </w:divBdr>
    </w:div>
    <w:div w:id="485124060">
      <w:bodyDiv w:val="1"/>
      <w:marLeft w:val="0"/>
      <w:marRight w:val="0"/>
      <w:marTop w:val="0"/>
      <w:marBottom w:val="0"/>
      <w:divBdr>
        <w:top w:val="none" w:sz="0" w:space="0" w:color="auto"/>
        <w:left w:val="none" w:sz="0" w:space="0" w:color="auto"/>
        <w:bottom w:val="none" w:sz="0" w:space="0" w:color="auto"/>
        <w:right w:val="none" w:sz="0" w:space="0" w:color="auto"/>
      </w:divBdr>
    </w:div>
    <w:div w:id="519049789">
      <w:bodyDiv w:val="1"/>
      <w:marLeft w:val="0"/>
      <w:marRight w:val="0"/>
      <w:marTop w:val="0"/>
      <w:marBottom w:val="0"/>
      <w:divBdr>
        <w:top w:val="none" w:sz="0" w:space="0" w:color="auto"/>
        <w:left w:val="none" w:sz="0" w:space="0" w:color="auto"/>
        <w:bottom w:val="none" w:sz="0" w:space="0" w:color="auto"/>
        <w:right w:val="none" w:sz="0" w:space="0" w:color="auto"/>
      </w:divBdr>
    </w:div>
    <w:div w:id="554007972">
      <w:bodyDiv w:val="1"/>
      <w:marLeft w:val="0"/>
      <w:marRight w:val="0"/>
      <w:marTop w:val="0"/>
      <w:marBottom w:val="0"/>
      <w:divBdr>
        <w:top w:val="none" w:sz="0" w:space="0" w:color="auto"/>
        <w:left w:val="none" w:sz="0" w:space="0" w:color="auto"/>
        <w:bottom w:val="none" w:sz="0" w:space="0" w:color="auto"/>
        <w:right w:val="none" w:sz="0" w:space="0" w:color="auto"/>
      </w:divBdr>
    </w:div>
    <w:div w:id="561986713">
      <w:bodyDiv w:val="1"/>
      <w:marLeft w:val="0"/>
      <w:marRight w:val="0"/>
      <w:marTop w:val="0"/>
      <w:marBottom w:val="0"/>
      <w:divBdr>
        <w:top w:val="none" w:sz="0" w:space="0" w:color="auto"/>
        <w:left w:val="none" w:sz="0" w:space="0" w:color="auto"/>
        <w:bottom w:val="none" w:sz="0" w:space="0" w:color="auto"/>
        <w:right w:val="none" w:sz="0" w:space="0" w:color="auto"/>
      </w:divBdr>
    </w:div>
    <w:div w:id="591283049">
      <w:bodyDiv w:val="1"/>
      <w:marLeft w:val="0"/>
      <w:marRight w:val="0"/>
      <w:marTop w:val="0"/>
      <w:marBottom w:val="0"/>
      <w:divBdr>
        <w:top w:val="none" w:sz="0" w:space="0" w:color="auto"/>
        <w:left w:val="none" w:sz="0" w:space="0" w:color="auto"/>
        <w:bottom w:val="none" w:sz="0" w:space="0" w:color="auto"/>
        <w:right w:val="none" w:sz="0" w:space="0" w:color="auto"/>
      </w:divBdr>
    </w:div>
    <w:div w:id="648024968">
      <w:bodyDiv w:val="1"/>
      <w:marLeft w:val="0"/>
      <w:marRight w:val="0"/>
      <w:marTop w:val="0"/>
      <w:marBottom w:val="0"/>
      <w:divBdr>
        <w:top w:val="none" w:sz="0" w:space="0" w:color="auto"/>
        <w:left w:val="none" w:sz="0" w:space="0" w:color="auto"/>
        <w:bottom w:val="none" w:sz="0" w:space="0" w:color="auto"/>
        <w:right w:val="none" w:sz="0" w:space="0" w:color="auto"/>
      </w:divBdr>
    </w:div>
    <w:div w:id="656147971">
      <w:bodyDiv w:val="1"/>
      <w:marLeft w:val="0"/>
      <w:marRight w:val="0"/>
      <w:marTop w:val="0"/>
      <w:marBottom w:val="0"/>
      <w:divBdr>
        <w:top w:val="none" w:sz="0" w:space="0" w:color="auto"/>
        <w:left w:val="none" w:sz="0" w:space="0" w:color="auto"/>
        <w:bottom w:val="none" w:sz="0" w:space="0" w:color="auto"/>
        <w:right w:val="none" w:sz="0" w:space="0" w:color="auto"/>
      </w:divBdr>
    </w:div>
    <w:div w:id="669219726">
      <w:bodyDiv w:val="1"/>
      <w:marLeft w:val="0"/>
      <w:marRight w:val="0"/>
      <w:marTop w:val="0"/>
      <w:marBottom w:val="0"/>
      <w:divBdr>
        <w:top w:val="none" w:sz="0" w:space="0" w:color="auto"/>
        <w:left w:val="none" w:sz="0" w:space="0" w:color="auto"/>
        <w:bottom w:val="none" w:sz="0" w:space="0" w:color="auto"/>
        <w:right w:val="none" w:sz="0" w:space="0" w:color="auto"/>
      </w:divBdr>
    </w:div>
    <w:div w:id="705905673">
      <w:bodyDiv w:val="1"/>
      <w:marLeft w:val="0"/>
      <w:marRight w:val="0"/>
      <w:marTop w:val="0"/>
      <w:marBottom w:val="0"/>
      <w:divBdr>
        <w:top w:val="none" w:sz="0" w:space="0" w:color="auto"/>
        <w:left w:val="none" w:sz="0" w:space="0" w:color="auto"/>
        <w:bottom w:val="none" w:sz="0" w:space="0" w:color="auto"/>
        <w:right w:val="none" w:sz="0" w:space="0" w:color="auto"/>
      </w:divBdr>
      <w:divsChild>
        <w:div w:id="1674264709">
          <w:marLeft w:val="547"/>
          <w:marRight w:val="0"/>
          <w:marTop w:val="0"/>
          <w:marBottom w:val="0"/>
          <w:divBdr>
            <w:top w:val="none" w:sz="0" w:space="0" w:color="auto"/>
            <w:left w:val="none" w:sz="0" w:space="0" w:color="auto"/>
            <w:bottom w:val="none" w:sz="0" w:space="0" w:color="auto"/>
            <w:right w:val="none" w:sz="0" w:space="0" w:color="auto"/>
          </w:divBdr>
        </w:div>
        <w:div w:id="690645321">
          <w:marLeft w:val="547"/>
          <w:marRight w:val="0"/>
          <w:marTop w:val="0"/>
          <w:marBottom w:val="0"/>
          <w:divBdr>
            <w:top w:val="none" w:sz="0" w:space="0" w:color="auto"/>
            <w:left w:val="none" w:sz="0" w:space="0" w:color="auto"/>
            <w:bottom w:val="none" w:sz="0" w:space="0" w:color="auto"/>
            <w:right w:val="none" w:sz="0" w:space="0" w:color="auto"/>
          </w:divBdr>
        </w:div>
      </w:divsChild>
    </w:div>
    <w:div w:id="717247679">
      <w:bodyDiv w:val="1"/>
      <w:marLeft w:val="0"/>
      <w:marRight w:val="0"/>
      <w:marTop w:val="0"/>
      <w:marBottom w:val="0"/>
      <w:divBdr>
        <w:top w:val="none" w:sz="0" w:space="0" w:color="auto"/>
        <w:left w:val="none" w:sz="0" w:space="0" w:color="auto"/>
        <w:bottom w:val="none" w:sz="0" w:space="0" w:color="auto"/>
        <w:right w:val="none" w:sz="0" w:space="0" w:color="auto"/>
      </w:divBdr>
    </w:div>
    <w:div w:id="865220349">
      <w:bodyDiv w:val="1"/>
      <w:marLeft w:val="0"/>
      <w:marRight w:val="0"/>
      <w:marTop w:val="0"/>
      <w:marBottom w:val="0"/>
      <w:divBdr>
        <w:top w:val="none" w:sz="0" w:space="0" w:color="auto"/>
        <w:left w:val="none" w:sz="0" w:space="0" w:color="auto"/>
        <w:bottom w:val="none" w:sz="0" w:space="0" w:color="auto"/>
        <w:right w:val="none" w:sz="0" w:space="0" w:color="auto"/>
      </w:divBdr>
    </w:div>
    <w:div w:id="885339670">
      <w:bodyDiv w:val="1"/>
      <w:marLeft w:val="0"/>
      <w:marRight w:val="0"/>
      <w:marTop w:val="0"/>
      <w:marBottom w:val="0"/>
      <w:divBdr>
        <w:top w:val="none" w:sz="0" w:space="0" w:color="auto"/>
        <w:left w:val="none" w:sz="0" w:space="0" w:color="auto"/>
        <w:bottom w:val="none" w:sz="0" w:space="0" w:color="auto"/>
        <w:right w:val="none" w:sz="0" w:space="0" w:color="auto"/>
      </w:divBdr>
    </w:div>
    <w:div w:id="896940773">
      <w:bodyDiv w:val="1"/>
      <w:marLeft w:val="0"/>
      <w:marRight w:val="0"/>
      <w:marTop w:val="0"/>
      <w:marBottom w:val="0"/>
      <w:divBdr>
        <w:top w:val="none" w:sz="0" w:space="0" w:color="auto"/>
        <w:left w:val="none" w:sz="0" w:space="0" w:color="auto"/>
        <w:bottom w:val="none" w:sz="0" w:space="0" w:color="auto"/>
        <w:right w:val="none" w:sz="0" w:space="0" w:color="auto"/>
      </w:divBdr>
    </w:div>
    <w:div w:id="957371346">
      <w:bodyDiv w:val="1"/>
      <w:marLeft w:val="0"/>
      <w:marRight w:val="0"/>
      <w:marTop w:val="0"/>
      <w:marBottom w:val="0"/>
      <w:divBdr>
        <w:top w:val="none" w:sz="0" w:space="0" w:color="auto"/>
        <w:left w:val="none" w:sz="0" w:space="0" w:color="auto"/>
        <w:bottom w:val="none" w:sz="0" w:space="0" w:color="auto"/>
        <w:right w:val="none" w:sz="0" w:space="0" w:color="auto"/>
      </w:divBdr>
    </w:div>
    <w:div w:id="981926022">
      <w:bodyDiv w:val="1"/>
      <w:marLeft w:val="0"/>
      <w:marRight w:val="0"/>
      <w:marTop w:val="0"/>
      <w:marBottom w:val="0"/>
      <w:divBdr>
        <w:top w:val="none" w:sz="0" w:space="0" w:color="auto"/>
        <w:left w:val="none" w:sz="0" w:space="0" w:color="auto"/>
        <w:bottom w:val="none" w:sz="0" w:space="0" w:color="auto"/>
        <w:right w:val="none" w:sz="0" w:space="0" w:color="auto"/>
      </w:divBdr>
    </w:div>
    <w:div w:id="1004238169">
      <w:bodyDiv w:val="1"/>
      <w:marLeft w:val="0"/>
      <w:marRight w:val="0"/>
      <w:marTop w:val="0"/>
      <w:marBottom w:val="0"/>
      <w:divBdr>
        <w:top w:val="none" w:sz="0" w:space="0" w:color="auto"/>
        <w:left w:val="none" w:sz="0" w:space="0" w:color="auto"/>
        <w:bottom w:val="none" w:sz="0" w:space="0" w:color="auto"/>
        <w:right w:val="none" w:sz="0" w:space="0" w:color="auto"/>
      </w:divBdr>
    </w:div>
    <w:div w:id="1042366402">
      <w:bodyDiv w:val="1"/>
      <w:marLeft w:val="0"/>
      <w:marRight w:val="0"/>
      <w:marTop w:val="0"/>
      <w:marBottom w:val="0"/>
      <w:divBdr>
        <w:top w:val="none" w:sz="0" w:space="0" w:color="auto"/>
        <w:left w:val="none" w:sz="0" w:space="0" w:color="auto"/>
        <w:bottom w:val="none" w:sz="0" w:space="0" w:color="auto"/>
        <w:right w:val="none" w:sz="0" w:space="0" w:color="auto"/>
      </w:divBdr>
      <w:divsChild>
        <w:div w:id="1815681201">
          <w:marLeft w:val="547"/>
          <w:marRight w:val="0"/>
          <w:marTop w:val="0"/>
          <w:marBottom w:val="0"/>
          <w:divBdr>
            <w:top w:val="none" w:sz="0" w:space="0" w:color="auto"/>
            <w:left w:val="none" w:sz="0" w:space="0" w:color="auto"/>
            <w:bottom w:val="none" w:sz="0" w:space="0" w:color="auto"/>
            <w:right w:val="none" w:sz="0" w:space="0" w:color="auto"/>
          </w:divBdr>
        </w:div>
      </w:divsChild>
    </w:div>
    <w:div w:id="1043335967">
      <w:bodyDiv w:val="1"/>
      <w:marLeft w:val="0"/>
      <w:marRight w:val="0"/>
      <w:marTop w:val="0"/>
      <w:marBottom w:val="0"/>
      <w:divBdr>
        <w:top w:val="none" w:sz="0" w:space="0" w:color="auto"/>
        <w:left w:val="none" w:sz="0" w:space="0" w:color="auto"/>
        <w:bottom w:val="none" w:sz="0" w:space="0" w:color="auto"/>
        <w:right w:val="none" w:sz="0" w:space="0" w:color="auto"/>
      </w:divBdr>
    </w:div>
    <w:div w:id="1132408595">
      <w:bodyDiv w:val="1"/>
      <w:marLeft w:val="0"/>
      <w:marRight w:val="0"/>
      <w:marTop w:val="0"/>
      <w:marBottom w:val="0"/>
      <w:divBdr>
        <w:top w:val="none" w:sz="0" w:space="0" w:color="auto"/>
        <w:left w:val="none" w:sz="0" w:space="0" w:color="auto"/>
        <w:bottom w:val="none" w:sz="0" w:space="0" w:color="auto"/>
        <w:right w:val="none" w:sz="0" w:space="0" w:color="auto"/>
      </w:divBdr>
    </w:div>
    <w:div w:id="1164323363">
      <w:bodyDiv w:val="1"/>
      <w:marLeft w:val="0"/>
      <w:marRight w:val="0"/>
      <w:marTop w:val="0"/>
      <w:marBottom w:val="0"/>
      <w:divBdr>
        <w:top w:val="none" w:sz="0" w:space="0" w:color="auto"/>
        <w:left w:val="none" w:sz="0" w:space="0" w:color="auto"/>
        <w:bottom w:val="none" w:sz="0" w:space="0" w:color="auto"/>
        <w:right w:val="none" w:sz="0" w:space="0" w:color="auto"/>
      </w:divBdr>
    </w:div>
    <w:div w:id="1177962419">
      <w:bodyDiv w:val="1"/>
      <w:marLeft w:val="0"/>
      <w:marRight w:val="0"/>
      <w:marTop w:val="0"/>
      <w:marBottom w:val="0"/>
      <w:divBdr>
        <w:top w:val="none" w:sz="0" w:space="0" w:color="auto"/>
        <w:left w:val="none" w:sz="0" w:space="0" w:color="auto"/>
        <w:bottom w:val="none" w:sz="0" w:space="0" w:color="auto"/>
        <w:right w:val="none" w:sz="0" w:space="0" w:color="auto"/>
      </w:divBdr>
    </w:div>
    <w:div w:id="1201363246">
      <w:bodyDiv w:val="1"/>
      <w:marLeft w:val="0"/>
      <w:marRight w:val="0"/>
      <w:marTop w:val="0"/>
      <w:marBottom w:val="0"/>
      <w:divBdr>
        <w:top w:val="none" w:sz="0" w:space="0" w:color="auto"/>
        <w:left w:val="none" w:sz="0" w:space="0" w:color="auto"/>
        <w:bottom w:val="none" w:sz="0" w:space="0" w:color="auto"/>
        <w:right w:val="none" w:sz="0" w:space="0" w:color="auto"/>
      </w:divBdr>
    </w:div>
    <w:div w:id="1241140452">
      <w:bodyDiv w:val="1"/>
      <w:marLeft w:val="0"/>
      <w:marRight w:val="0"/>
      <w:marTop w:val="0"/>
      <w:marBottom w:val="0"/>
      <w:divBdr>
        <w:top w:val="none" w:sz="0" w:space="0" w:color="auto"/>
        <w:left w:val="none" w:sz="0" w:space="0" w:color="auto"/>
        <w:bottom w:val="none" w:sz="0" w:space="0" w:color="auto"/>
        <w:right w:val="none" w:sz="0" w:space="0" w:color="auto"/>
      </w:divBdr>
    </w:div>
    <w:div w:id="1306088324">
      <w:bodyDiv w:val="1"/>
      <w:marLeft w:val="0"/>
      <w:marRight w:val="0"/>
      <w:marTop w:val="0"/>
      <w:marBottom w:val="0"/>
      <w:divBdr>
        <w:top w:val="none" w:sz="0" w:space="0" w:color="auto"/>
        <w:left w:val="none" w:sz="0" w:space="0" w:color="auto"/>
        <w:bottom w:val="none" w:sz="0" w:space="0" w:color="auto"/>
        <w:right w:val="none" w:sz="0" w:space="0" w:color="auto"/>
      </w:divBdr>
    </w:div>
    <w:div w:id="1360400385">
      <w:bodyDiv w:val="1"/>
      <w:marLeft w:val="0"/>
      <w:marRight w:val="0"/>
      <w:marTop w:val="0"/>
      <w:marBottom w:val="0"/>
      <w:divBdr>
        <w:top w:val="none" w:sz="0" w:space="0" w:color="auto"/>
        <w:left w:val="none" w:sz="0" w:space="0" w:color="auto"/>
        <w:bottom w:val="none" w:sz="0" w:space="0" w:color="auto"/>
        <w:right w:val="none" w:sz="0" w:space="0" w:color="auto"/>
      </w:divBdr>
      <w:divsChild>
        <w:div w:id="815031098">
          <w:marLeft w:val="547"/>
          <w:marRight w:val="0"/>
          <w:marTop w:val="0"/>
          <w:marBottom w:val="0"/>
          <w:divBdr>
            <w:top w:val="none" w:sz="0" w:space="0" w:color="auto"/>
            <w:left w:val="none" w:sz="0" w:space="0" w:color="auto"/>
            <w:bottom w:val="none" w:sz="0" w:space="0" w:color="auto"/>
            <w:right w:val="none" w:sz="0" w:space="0" w:color="auto"/>
          </w:divBdr>
        </w:div>
        <w:div w:id="1481920143">
          <w:marLeft w:val="547"/>
          <w:marRight w:val="0"/>
          <w:marTop w:val="0"/>
          <w:marBottom w:val="0"/>
          <w:divBdr>
            <w:top w:val="none" w:sz="0" w:space="0" w:color="auto"/>
            <w:left w:val="none" w:sz="0" w:space="0" w:color="auto"/>
            <w:bottom w:val="none" w:sz="0" w:space="0" w:color="auto"/>
            <w:right w:val="none" w:sz="0" w:space="0" w:color="auto"/>
          </w:divBdr>
        </w:div>
      </w:divsChild>
    </w:div>
    <w:div w:id="1361470399">
      <w:bodyDiv w:val="1"/>
      <w:marLeft w:val="0"/>
      <w:marRight w:val="0"/>
      <w:marTop w:val="0"/>
      <w:marBottom w:val="0"/>
      <w:divBdr>
        <w:top w:val="none" w:sz="0" w:space="0" w:color="auto"/>
        <w:left w:val="none" w:sz="0" w:space="0" w:color="auto"/>
        <w:bottom w:val="none" w:sz="0" w:space="0" w:color="auto"/>
        <w:right w:val="none" w:sz="0" w:space="0" w:color="auto"/>
      </w:divBdr>
    </w:div>
    <w:div w:id="1393887927">
      <w:bodyDiv w:val="1"/>
      <w:marLeft w:val="0"/>
      <w:marRight w:val="0"/>
      <w:marTop w:val="0"/>
      <w:marBottom w:val="0"/>
      <w:divBdr>
        <w:top w:val="none" w:sz="0" w:space="0" w:color="auto"/>
        <w:left w:val="none" w:sz="0" w:space="0" w:color="auto"/>
        <w:bottom w:val="none" w:sz="0" w:space="0" w:color="auto"/>
        <w:right w:val="none" w:sz="0" w:space="0" w:color="auto"/>
      </w:divBdr>
    </w:div>
    <w:div w:id="1413315584">
      <w:bodyDiv w:val="1"/>
      <w:marLeft w:val="0"/>
      <w:marRight w:val="0"/>
      <w:marTop w:val="0"/>
      <w:marBottom w:val="0"/>
      <w:divBdr>
        <w:top w:val="none" w:sz="0" w:space="0" w:color="auto"/>
        <w:left w:val="none" w:sz="0" w:space="0" w:color="auto"/>
        <w:bottom w:val="none" w:sz="0" w:space="0" w:color="auto"/>
        <w:right w:val="none" w:sz="0" w:space="0" w:color="auto"/>
      </w:divBdr>
    </w:div>
    <w:div w:id="1438208731">
      <w:bodyDiv w:val="1"/>
      <w:marLeft w:val="0"/>
      <w:marRight w:val="0"/>
      <w:marTop w:val="0"/>
      <w:marBottom w:val="0"/>
      <w:divBdr>
        <w:top w:val="none" w:sz="0" w:space="0" w:color="auto"/>
        <w:left w:val="none" w:sz="0" w:space="0" w:color="auto"/>
        <w:bottom w:val="none" w:sz="0" w:space="0" w:color="auto"/>
        <w:right w:val="none" w:sz="0" w:space="0" w:color="auto"/>
      </w:divBdr>
    </w:div>
    <w:div w:id="1498155504">
      <w:bodyDiv w:val="1"/>
      <w:marLeft w:val="0"/>
      <w:marRight w:val="0"/>
      <w:marTop w:val="0"/>
      <w:marBottom w:val="0"/>
      <w:divBdr>
        <w:top w:val="none" w:sz="0" w:space="0" w:color="auto"/>
        <w:left w:val="none" w:sz="0" w:space="0" w:color="auto"/>
        <w:bottom w:val="none" w:sz="0" w:space="0" w:color="auto"/>
        <w:right w:val="none" w:sz="0" w:space="0" w:color="auto"/>
      </w:divBdr>
    </w:div>
    <w:div w:id="1599870570">
      <w:bodyDiv w:val="1"/>
      <w:marLeft w:val="0"/>
      <w:marRight w:val="0"/>
      <w:marTop w:val="0"/>
      <w:marBottom w:val="0"/>
      <w:divBdr>
        <w:top w:val="none" w:sz="0" w:space="0" w:color="auto"/>
        <w:left w:val="none" w:sz="0" w:space="0" w:color="auto"/>
        <w:bottom w:val="none" w:sz="0" w:space="0" w:color="auto"/>
        <w:right w:val="none" w:sz="0" w:space="0" w:color="auto"/>
      </w:divBdr>
    </w:div>
    <w:div w:id="1624846823">
      <w:bodyDiv w:val="1"/>
      <w:marLeft w:val="0"/>
      <w:marRight w:val="0"/>
      <w:marTop w:val="0"/>
      <w:marBottom w:val="0"/>
      <w:divBdr>
        <w:top w:val="none" w:sz="0" w:space="0" w:color="auto"/>
        <w:left w:val="none" w:sz="0" w:space="0" w:color="auto"/>
        <w:bottom w:val="none" w:sz="0" w:space="0" w:color="auto"/>
        <w:right w:val="none" w:sz="0" w:space="0" w:color="auto"/>
      </w:divBdr>
    </w:div>
    <w:div w:id="1679042428">
      <w:bodyDiv w:val="1"/>
      <w:marLeft w:val="0"/>
      <w:marRight w:val="0"/>
      <w:marTop w:val="0"/>
      <w:marBottom w:val="0"/>
      <w:divBdr>
        <w:top w:val="none" w:sz="0" w:space="0" w:color="auto"/>
        <w:left w:val="none" w:sz="0" w:space="0" w:color="auto"/>
        <w:bottom w:val="none" w:sz="0" w:space="0" w:color="auto"/>
        <w:right w:val="none" w:sz="0" w:space="0" w:color="auto"/>
      </w:divBdr>
    </w:div>
    <w:div w:id="1715497487">
      <w:bodyDiv w:val="1"/>
      <w:marLeft w:val="0"/>
      <w:marRight w:val="0"/>
      <w:marTop w:val="0"/>
      <w:marBottom w:val="0"/>
      <w:divBdr>
        <w:top w:val="none" w:sz="0" w:space="0" w:color="auto"/>
        <w:left w:val="none" w:sz="0" w:space="0" w:color="auto"/>
        <w:bottom w:val="none" w:sz="0" w:space="0" w:color="auto"/>
        <w:right w:val="none" w:sz="0" w:space="0" w:color="auto"/>
      </w:divBdr>
    </w:div>
    <w:div w:id="1752267043">
      <w:bodyDiv w:val="1"/>
      <w:marLeft w:val="0"/>
      <w:marRight w:val="0"/>
      <w:marTop w:val="0"/>
      <w:marBottom w:val="0"/>
      <w:divBdr>
        <w:top w:val="none" w:sz="0" w:space="0" w:color="auto"/>
        <w:left w:val="none" w:sz="0" w:space="0" w:color="auto"/>
        <w:bottom w:val="none" w:sz="0" w:space="0" w:color="auto"/>
        <w:right w:val="none" w:sz="0" w:space="0" w:color="auto"/>
      </w:divBdr>
    </w:div>
    <w:div w:id="1757818896">
      <w:bodyDiv w:val="1"/>
      <w:marLeft w:val="0"/>
      <w:marRight w:val="0"/>
      <w:marTop w:val="0"/>
      <w:marBottom w:val="0"/>
      <w:divBdr>
        <w:top w:val="none" w:sz="0" w:space="0" w:color="auto"/>
        <w:left w:val="none" w:sz="0" w:space="0" w:color="auto"/>
        <w:bottom w:val="none" w:sz="0" w:space="0" w:color="auto"/>
        <w:right w:val="none" w:sz="0" w:space="0" w:color="auto"/>
      </w:divBdr>
    </w:div>
    <w:div w:id="1797289834">
      <w:bodyDiv w:val="1"/>
      <w:marLeft w:val="0"/>
      <w:marRight w:val="0"/>
      <w:marTop w:val="0"/>
      <w:marBottom w:val="0"/>
      <w:divBdr>
        <w:top w:val="none" w:sz="0" w:space="0" w:color="auto"/>
        <w:left w:val="none" w:sz="0" w:space="0" w:color="auto"/>
        <w:bottom w:val="none" w:sz="0" w:space="0" w:color="auto"/>
        <w:right w:val="none" w:sz="0" w:space="0" w:color="auto"/>
      </w:divBdr>
    </w:div>
    <w:div w:id="1896768493">
      <w:bodyDiv w:val="1"/>
      <w:marLeft w:val="0"/>
      <w:marRight w:val="0"/>
      <w:marTop w:val="0"/>
      <w:marBottom w:val="0"/>
      <w:divBdr>
        <w:top w:val="none" w:sz="0" w:space="0" w:color="auto"/>
        <w:left w:val="none" w:sz="0" w:space="0" w:color="auto"/>
        <w:bottom w:val="none" w:sz="0" w:space="0" w:color="auto"/>
        <w:right w:val="none" w:sz="0" w:space="0" w:color="auto"/>
      </w:divBdr>
    </w:div>
    <w:div w:id="1915965672">
      <w:bodyDiv w:val="1"/>
      <w:marLeft w:val="0"/>
      <w:marRight w:val="0"/>
      <w:marTop w:val="0"/>
      <w:marBottom w:val="0"/>
      <w:divBdr>
        <w:top w:val="none" w:sz="0" w:space="0" w:color="auto"/>
        <w:left w:val="none" w:sz="0" w:space="0" w:color="auto"/>
        <w:bottom w:val="none" w:sz="0" w:space="0" w:color="auto"/>
        <w:right w:val="none" w:sz="0" w:space="0" w:color="auto"/>
      </w:divBdr>
    </w:div>
    <w:div w:id="1952666328">
      <w:bodyDiv w:val="1"/>
      <w:marLeft w:val="0"/>
      <w:marRight w:val="0"/>
      <w:marTop w:val="0"/>
      <w:marBottom w:val="0"/>
      <w:divBdr>
        <w:top w:val="none" w:sz="0" w:space="0" w:color="auto"/>
        <w:left w:val="none" w:sz="0" w:space="0" w:color="auto"/>
        <w:bottom w:val="none" w:sz="0" w:space="0" w:color="auto"/>
        <w:right w:val="none" w:sz="0" w:space="0" w:color="auto"/>
      </w:divBdr>
    </w:div>
    <w:div w:id="1977100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nicef.org.uk/wp-content/uploads/2019/10/UNCRC_summary-1_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3198</TotalTime>
  <Pages>16</Pages>
  <Words>5387</Words>
  <Characters>30706</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Kerrison (2308478)</dc:creator>
  <cp:keywords/>
  <dc:description/>
  <cp:lastModifiedBy>Amy Robinson</cp:lastModifiedBy>
  <cp:revision>58</cp:revision>
  <dcterms:created xsi:type="dcterms:W3CDTF">2024-05-03T08:09:00Z</dcterms:created>
  <dcterms:modified xsi:type="dcterms:W3CDTF">2024-05-05T15:27:00Z</dcterms:modified>
</cp:coreProperties>
</file>