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b w:val="1"/>
          <w:bCs w:val="1"/>
          <w:u w:val="single"/>
        </w:rPr>
      </w:pPr>
      <w:r>
        <w:rPr>
          <w:b w:val="1"/>
          <w:bCs w:val="1"/>
          <w:u w:val="single"/>
          <w:rtl w:val="0"/>
          <w:lang w:val="it-IT"/>
        </w:rPr>
        <w:t>Question 1</w:t>
      </w:r>
    </w:p>
    <w:p>
      <w:pPr>
        <w:pStyle w:val="Body A"/>
        <w:rPr>
          <w:b w:val="1"/>
          <w:bCs w:val="1"/>
          <w:i w:val="1"/>
          <w:iCs w:val="1"/>
          <w:u w:val="single"/>
        </w:rPr>
      </w:pPr>
    </w:p>
    <w:p>
      <w:pPr>
        <w:pStyle w:val="Body A"/>
        <w:rPr>
          <w:b w:val="1"/>
          <w:bCs w:val="1"/>
          <w:u w:val="single"/>
        </w:rPr>
      </w:pPr>
      <w:r>
        <w:rPr>
          <w:b w:val="1"/>
          <w:bCs w:val="1"/>
          <w:u w:val="single"/>
          <w:rtl w:val="0"/>
          <w:lang w:val="it-IT"/>
        </w:rPr>
        <w:t>A):</w:t>
      </w:r>
    </w:p>
    <w:p>
      <w:pPr>
        <w:pStyle w:val="Body A"/>
        <w:rPr>
          <w:b w:val="1"/>
          <w:bCs w:val="1"/>
          <w:u w:val="single"/>
        </w:rPr>
      </w:pPr>
    </w:p>
    <w:p>
      <w:pPr>
        <w:pStyle w:val="Body A"/>
        <w:rPr>
          <w:lang w:val="en-US"/>
        </w:rPr>
      </w:pPr>
      <w:r>
        <w:rPr>
          <w:rtl w:val="0"/>
          <w:lang w:val="en-US"/>
        </w:rPr>
        <w:t>Dear Stephen,</w:t>
      </w:r>
    </w:p>
    <w:p>
      <w:pPr>
        <w:pStyle w:val="Body A"/>
        <w:rPr>
          <w:b w:val="1"/>
          <w:bCs w:val="1"/>
          <w:i w:val="1"/>
          <w:iCs w:val="1"/>
          <w:u w:val="single"/>
        </w:rPr>
      </w:pPr>
    </w:p>
    <w:p>
      <w:pPr>
        <w:pStyle w:val="Body A"/>
      </w:pPr>
      <w:r>
        <w:rPr>
          <w:rtl w:val="0"/>
          <w:lang w:val="en-US"/>
        </w:rPr>
        <w:t>When Betty died, there was no valid will that was in circulation to deal with all of her assets and to fulfil her final wishes. As a result of this, Betty has died intestate which means all of her property and assets are to be dealt with according to the intestacy rules which decide who gains her estate. The financial document that you found with Betty</w:t>
      </w:r>
      <w:r>
        <w:rPr>
          <w:rFonts w:ascii="Arial Unicode MS" w:hAnsi="Arial Unicode MS" w:hint="default"/>
          <w:rtl w:val="0"/>
          <w:lang w:val="it-IT"/>
        </w:rPr>
        <w:t>’</w:t>
      </w:r>
      <w:r>
        <w:rPr>
          <w:rtl w:val="0"/>
          <w:lang w:val="en-US"/>
        </w:rPr>
        <w:t xml:space="preserve">s statement does not constitute a valid will as it is missing some key elements. No one witnessed the note she made and therefore can not be considered a valid will which is why the rules of intestacy have to be applied to her death.  </w:t>
      </w:r>
    </w:p>
    <w:p>
      <w:pPr>
        <w:pStyle w:val="Body A"/>
      </w:pPr>
    </w:p>
    <w:p>
      <w:pPr>
        <w:pStyle w:val="Body A"/>
      </w:pPr>
      <w:r>
        <w:rPr>
          <w:rtl w:val="0"/>
          <w:lang w:val="en-US"/>
        </w:rPr>
        <w:t>The first issue that needs to be dealt with is the fact that Betty had no valid will when she passed away. The effect of her having no will means that she died intestate, which means that the rules of intestacy need to be followed to distribute her estate accordingly. The estate of Betty will be passed down to the next person following the order of priority dictated by section 46 of The Administration of Estates Act 1925, however certain requirements must be met in order for that person to have the priority. The first person in the order of priority is the spouse/ civil partner but as you were not married or in a civil partnership then you can not be considered in this section for the order of priority. Although you would have a claim to some of the estate under the cohabitees rules, you would not inherit everything. The next person in the order of priority is any children that Betty has, but again there are requirements that need to be met. Even though Mathew is biologically Betty</w:t>
      </w:r>
      <w:r>
        <w:rPr>
          <w:rFonts w:ascii="Arial Unicode MS" w:hAnsi="Arial Unicode MS" w:hint="default"/>
          <w:rtl w:val="0"/>
          <w:lang w:val="it-IT"/>
        </w:rPr>
        <w:t>’</w:t>
      </w:r>
      <w:r>
        <w:rPr>
          <w:rtl w:val="0"/>
          <w:lang w:val="en-US"/>
        </w:rPr>
        <w:t>s son, he was given up for adoption and so therefore he is legally not her son and would not have a claim to inherit everything through the rules of intestacy. As both of the first 2 orders for priority are not eligible, the first people who would be given this priority are Betty</w:t>
      </w:r>
      <w:r>
        <w:rPr>
          <w:rFonts w:ascii="Arial Unicode MS" w:hAnsi="Arial Unicode MS" w:hint="default"/>
          <w:rtl w:val="0"/>
          <w:lang w:val="it-IT"/>
        </w:rPr>
        <w:t>’</w:t>
      </w:r>
      <w:r>
        <w:rPr>
          <w:rtl w:val="0"/>
          <w:lang w:val="en-US"/>
        </w:rPr>
        <w:t>s parents. If Betty</w:t>
      </w:r>
      <w:r>
        <w:rPr>
          <w:rFonts w:ascii="Arial Unicode MS" w:hAnsi="Arial Unicode MS" w:hint="default"/>
          <w:rtl w:val="0"/>
          <w:lang w:val="it-IT"/>
        </w:rPr>
        <w:t>’</w:t>
      </w:r>
      <w:r>
        <w:rPr>
          <w:rtl w:val="0"/>
          <w:lang w:val="en-US"/>
        </w:rPr>
        <w:t>s parents have passed away then her siblings would be next in line, however, only Heather and Ivan would be considered under the rules of intestacy as they are siblings of whole blood even if Betty treated Allison no different to the rest of them. As Ivan passed away his issues would then gain priority to the estate and have the share of the split assets that Ivan would have gained.In the event of someone passing away intestate, the remaining estate is to be split between the people who are in line with regards to the order of priority, which in Betty</w:t>
      </w:r>
      <w:r>
        <w:rPr>
          <w:rFonts w:ascii="Arial Unicode MS" w:hAnsi="Arial Unicode MS" w:hint="default"/>
          <w:rtl w:val="0"/>
          <w:lang w:val="it-IT"/>
        </w:rPr>
        <w:t>’</w:t>
      </w:r>
      <w:r>
        <w:rPr>
          <w:rtl w:val="0"/>
          <w:lang w:val="en-US"/>
        </w:rPr>
        <w:t>s case would be Heather and Ivan</w:t>
      </w:r>
      <w:r>
        <w:rPr>
          <w:rFonts w:ascii="Arial Unicode MS" w:hAnsi="Arial Unicode MS" w:hint="default"/>
          <w:rtl w:val="0"/>
          <w:lang w:val="it-IT"/>
        </w:rPr>
        <w:t>’</w:t>
      </w:r>
      <w:r>
        <w:rPr>
          <w:rtl w:val="0"/>
          <w:lang w:val="en-US"/>
        </w:rPr>
        <w:t>s children, Oliver and Unity. Oliver and Unity would have 50% of Betty</w:t>
      </w:r>
      <w:r>
        <w:rPr>
          <w:rFonts w:ascii="Arial Unicode MS" w:hAnsi="Arial Unicode MS" w:hint="default"/>
          <w:rtl w:val="0"/>
          <w:lang w:val="it-IT"/>
        </w:rPr>
        <w:t>’</w:t>
      </w:r>
      <w:r>
        <w:rPr>
          <w:rtl w:val="0"/>
          <w:lang w:val="en-US"/>
        </w:rPr>
        <w:t xml:space="preserve">s assets split equally between them meaning they would both get 25% each as Heather would receive the other 50% due to the order of priority. Oliver would be able to access his share of the estate as soon as the administrator distributed it, but Unity would have to wait until she reaches 18 years of age and so her share would be put into a trust that the administrator would have to watch until they reached the required age. </w:t>
      </w:r>
    </w:p>
    <w:p>
      <w:pPr>
        <w:pStyle w:val="Body A"/>
        <w:rPr>
          <w:b w:val="1"/>
          <w:bCs w:val="1"/>
          <w:i w:val="1"/>
          <w:iCs w:val="1"/>
          <w:u w:val="single"/>
        </w:rPr>
      </w:pPr>
    </w:p>
    <w:p>
      <w:pPr>
        <w:pStyle w:val="Body A"/>
      </w:pPr>
      <w:r>
        <w:rPr>
          <w:rtl w:val="0"/>
          <w:lang w:val="en-US"/>
        </w:rPr>
        <w:t>Under the current law that governs the rules of intestacy, you would not be entitled to any of the estate as you were neither a spouse nor a civil partner and so legally you would not be included in the order of priority when distributing the estate. The length of the relationship does give grounds for you to apply to the court for a financial award from Betty</w:t>
      </w:r>
      <w:r>
        <w:rPr>
          <w:rFonts w:ascii="Arial Unicode MS" w:hAnsi="Arial Unicode MS" w:hint="default"/>
          <w:rtl w:val="0"/>
          <w:lang w:val="it-IT"/>
        </w:rPr>
        <w:t>’</w:t>
      </w:r>
      <w:r>
        <w:rPr>
          <w:rtl w:val="0"/>
          <w:lang w:val="en-US"/>
        </w:rPr>
        <w:t>s estate as you have been cohabiting for more than 2 years. The support for the claim would come from the Law Commission report that highlighted situations like this in part 8 and was brought forward to the government but not accepted. The report had many other proposed changes that were accepted into The Inheritance and Trustee</w:t>
      </w:r>
      <w:r>
        <w:rPr>
          <w:rFonts w:ascii="Arial Unicode MS" w:hAnsi="Arial Unicode MS" w:hint="default"/>
          <w:rtl w:val="0"/>
          <w:lang w:val="it-IT"/>
        </w:rPr>
        <w:t>’</w:t>
      </w:r>
      <w:r>
        <w:rPr>
          <w:rtl w:val="0"/>
          <w:lang w:val="en-US"/>
        </w:rPr>
        <w:t xml:space="preserve">s Powers Act 2014 which makes the claim for a financial award that much stronger.  </w:t>
      </w:r>
    </w:p>
    <w:p>
      <w:pPr>
        <w:pStyle w:val="Body A"/>
      </w:pPr>
    </w:p>
    <w:p>
      <w:pPr>
        <w:pStyle w:val="Body A"/>
        <w:rPr>
          <w:b w:val="1"/>
          <w:bCs w:val="1"/>
        </w:rPr>
      </w:pPr>
      <w:r>
        <w:rPr>
          <w:b w:val="1"/>
          <w:bCs w:val="1"/>
          <w:rtl w:val="0"/>
          <w:lang w:val="it-IT"/>
        </w:rPr>
        <w:t>B):</w:t>
      </w:r>
    </w:p>
    <w:p>
      <w:pPr>
        <w:pStyle w:val="Body A"/>
      </w:pPr>
    </w:p>
    <w:p>
      <w:pPr>
        <w:pStyle w:val="Body A"/>
      </w:pPr>
      <w:r>
        <w:rPr>
          <w:rtl w:val="0"/>
          <w:lang w:val="en-US"/>
        </w:rPr>
        <w:t>The most appropriate person to take out the grant of representation would be Heather as this position is appointed by the court, who use the same order of priority as the rules of intestacy. Heather can renounce herself if she feels that she does not want the responsibility of being an administrator however that would be her decision. Heather</w:t>
      </w:r>
      <w:r>
        <w:rPr>
          <w:rFonts w:ascii="Arial Unicode MS" w:hAnsi="Arial Unicode MS" w:hint="default"/>
          <w:rtl w:val="0"/>
          <w:lang w:val="it-IT"/>
        </w:rPr>
        <w:t>’</w:t>
      </w:r>
      <w:r>
        <w:rPr>
          <w:rtl w:val="0"/>
          <w:lang w:val="en-US"/>
        </w:rPr>
        <w:t>s powers would be to ensure all of the assets are held in trust until everything has been finalised for her to start distributing Betty</w:t>
      </w:r>
      <w:r>
        <w:rPr>
          <w:rFonts w:ascii="Arial Unicode MS" w:hAnsi="Arial Unicode MS" w:hint="default"/>
          <w:rtl w:val="0"/>
          <w:lang w:val="it-IT"/>
        </w:rPr>
        <w:t>’</w:t>
      </w:r>
      <w:r>
        <w:rPr>
          <w:rtl w:val="0"/>
          <w:lang w:val="en-US"/>
        </w:rPr>
        <w:t xml:space="preserve">s estate. One of the important obligations of the administrator is to ensure all financial detriments have been paid such as any outstanding debts that Betty may have had. Heather would also need to make sure the funeral costs are covered by the estate left behind by Betty. One of the obligations of the administrator is to ensure all the outstanding debts are paid immediately as there could be future claims brought against the administrator as supported by the case of Re Tankard 1942. The money left behind by Betty would also be an issue that Heather would have to deal with as it would need to be split between all the parties with their respective amounts and so Heather would gain 50%, Oliver 25%, and Unity 25%. You would still keep your share of the property that you owned as tenets in common with Betty however her share be transferred to Heather if she were to become the administrator. All of these powers and obligations are governed by section 33 of the Administration of Estates Act 1925 and so if Heather was to appointed as the administrator then she would have to follow the rules highlighted in that section. </w:t>
      </w:r>
    </w:p>
    <w:p>
      <w:pPr>
        <w:pStyle w:val="Body A"/>
        <w:rPr>
          <w:b w:val="1"/>
          <w:bCs w:val="1"/>
          <w:i w:val="1"/>
          <w:iCs w:val="1"/>
          <w:u w:val="single"/>
        </w:rPr>
      </w:pPr>
    </w:p>
    <w:p>
      <w:pPr>
        <w:pStyle w:val="Body A"/>
      </w:pPr>
    </w:p>
    <w:p>
      <w:pPr>
        <w:pStyle w:val="Body A"/>
      </w:pPr>
    </w:p>
    <w:p>
      <w:pPr>
        <w:pStyle w:val="Body A"/>
        <w:rPr>
          <w:b w:val="1"/>
          <w:bCs w:val="1"/>
          <w:u w:val="single"/>
        </w:rPr>
      </w:pPr>
      <w:r>
        <w:rPr>
          <w:b w:val="1"/>
          <w:bCs w:val="1"/>
          <w:u w:val="single"/>
          <w:rtl w:val="0"/>
          <w:lang w:val="it-IT"/>
        </w:rPr>
        <w:t>Question 2:</w:t>
      </w:r>
    </w:p>
    <w:p>
      <w:pPr>
        <w:pStyle w:val="Body A"/>
        <w:spacing w:before="240" w:after="240"/>
        <w:rPr>
          <w:lang w:val="en-US"/>
        </w:rPr>
      </w:pPr>
      <w:r>
        <w:rPr>
          <w:rtl w:val="0"/>
          <w:lang w:val="en-US"/>
        </w:rPr>
        <w:t xml:space="preserve">Dear Sam, </w:t>
      </w:r>
    </w:p>
    <w:p>
      <w:pPr>
        <w:pStyle w:val="Body A"/>
        <w:spacing w:before="240" w:after="240"/>
      </w:pPr>
      <w:r>
        <w:rPr>
          <w:rtl w:val="0"/>
          <w:lang w:val="en-US"/>
        </w:rPr>
        <w:t>The validity of each gift in Jackie</w:t>
      </w:r>
      <w:r>
        <w:rPr>
          <w:rFonts w:ascii="Arial Unicode MS" w:hAnsi="Arial Unicode MS" w:hint="default"/>
          <w:rtl w:val="0"/>
          <w:lang w:val="it-IT"/>
        </w:rPr>
        <w:t>’</w:t>
      </w:r>
      <w:r>
        <w:rPr>
          <w:rtl w:val="0"/>
          <w:lang w:val="en-US"/>
        </w:rPr>
        <w:t>s will have different outcomes due to the requirements that they either do or do not meet. The first gift would fail due to the uncertainty of the gift. The will states George is to receive Jackie</w:t>
      </w:r>
      <w:r>
        <w:rPr>
          <w:rFonts w:ascii="Arial Unicode MS" w:hAnsi="Arial Unicode MS" w:hint="default"/>
          <w:rtl w:val="0"/>
          <w:lang w:val="it-IT"/>
        </w:rPr>
        <w:t>’</w:t>
      </w:r>
      <w:r>
        <w:rPr>
          <w:rtl w:val="0"/>
          <w:lang w:val="en-US"/>
        </w:rPr>
        <w:t xml:space="preserve">s classic car, however she has 2 classic cars and therefore it is uncertain which care she would have wanted him to have. This is supported by Boyce v Boyce [1849] in which the gift failed as the beneficiary was unable to claim the gift left for them as they passed away and so there was no definitive answer as to which gift they were to receive demonstrating how it is not clear which car George is to gain. The gift may be able to be challenged and become accepted under section 21 of The Administration of Justice Act 1982 which allows for extrinsic evidence to be submitted to establish the intention of the testator in which Sam could testify to the fact that Jackie told him that she wanted George to have the Bentley.  </w:t>
      </w:r>
    </w:p>
    <w:p>
      <w:pPr>
        <w:pStyle w:val="Body A"/>
        <w:spacing w:before="240" w:after="240"/>
      </w:pPr>
    </w:p>
    <w:p>
      <w:pPr>
        <w:pStyle w:val="Body A"/>
        <w:spacing w:before="240" w:after="240"/>
      </w:pPr>
      <w:r>
        <w:rPr>
          <w:rtl w:val="0"/>
          <w:lang w:val="en-US"/>
        </w:rPr>
        <w:t>The second and third gifts (ii, iii) would both fail for different reasons as they do not meet the requirements for when there is an alteration made in a will. Starting with gift ii, the reason this would fail is due to the fact it was written in pencil and therefore becomes void as any alterations written in pencil are not accepted into wills and are deemed as not successful. Another reason as to why both of these gifts would fail is because the changes to the gifts are unattested as they were not signed by 2 witnesses and so the courts would treat these alterations as void and would have no effect. Just as when the will is first made, any alterations made need to also be signed by 2 witnesses to show they acknowledge the alterations made by Jackie. The only way for the alterations to have an effect is if there is any evidence that would rebut the claim of the court for it being void. Another reason as to why gift ii would fail is due to the fact that Lisa is not Jackie</w:t>
      </w:r>
      <w:r>
        <w:rPr>
          <w:rFonts w:ascii="Arial Unicode MS" w:hAnsi="Arial Unicode MS" w:hint="default"/>
          <w:rtl w:val="0"/>
          <w:lang w:val="it-IT"/>
        </w:rPr>
        <w:t>’</w:t>
      </w:r>
      <w:r>
        <w:rPr>
          <w:rtl w:val="0"/>
          <w:lang w:val="en-US"/>
        </w:rPr>
        <w:t>s legal daughter, even though she may have regarded her as a daughter. The will states that the gift is to go to her daughter and as Lisa is not viewed as Jackie</w:t>
      </w:r>
      <w:r>
        <w:rPr>
          <w:rFonts w:ascii="Arial Unicode MS" w:hAnsi="Arial Unicode MS" w:hint="default"/>
          <w:rtl w:val="0"/>
          <w:lang w:val="it-IT"/>
        </w:rPr>
        <w:t>’</w:t>
      </w:r>
      <w:r>
        <w:rPr>
          <w:rtl w:val="0"/>
          <w:lang w:val="en-US"/>
        </w:rPr>
        <w:t xml:space="preserve">s daughter in the eyes of the law the gift would therefore fail and not be given to her. The nature of wills need to be specific as there needs to be no room for confusion and therefore this gift would fail. </w:t>
      </w:r>
    </w:p>
    <w:p>
      <w:pPr>
        <w:pStyle w:val="Body A"/>
        <w:jc w:val="both"/>
      </w:pPr>
    </w:p>
    <w:p>
      <w:pPr>
        <w:pStyle w:val="Body A"/>
        <w:jc w:val="both"/>
      </w:pPr>
      <w:r>
        <w:rPr>
          <w:rtl w:val="0"/>
          <w:lang w:val="en-US"/>
        </w:rPr>
        <w:t>The issue with this gift is that it will more than likely be challenged as Jackie has stipulated that she wanted her niece Felicity to have the holiday cottage in Windermere but Oliver claims he had an agreement with Jackie to purchase the property within 3 months of her death. The claim from Oliver has the chance to be successful only if he can prove that there was an agreement and so he would need to have someone testify that they made the agreement and that Jackie was serious when she made the agreement. Another way for Oliver to gain the property would be if he could produce a legally binding contract between the 2 of them that he could show the court. The issue that Oliver faces is that Felicity has a legal right to the property in the eyes of the law and so he would need to have legally binding evidence to dispute the legacy left for Felicity. Felicity has a stronger claim to the property as she was left the cottage in the will and so would have a better claim to be given the home unless Oliver could prove the agreement he made with Jackie, in which case the court could grant him the right to purchase the home as it would have been a legally binding agreement. If Oliver has sufficient proof of the agreement between the 2 parties then he would be able to purchase it as the gift would have not been Jackie</w:t>
      </w:r>
      <w:r>
        <w:rPr>
          <w:rFonts w:ascii="Arial Unicode MS" w:hAnsi="Arial Unicode MS" w:hint="default"/>
          <w:rtl w:val="0"/>
          <w:lang w:val="it-IT"/>
        </w:rPr>
        <w:t>’</w:t>
      </w:r>
      <w:r>
        <w:rPr>
          <w:rtl w:val="0"/>
          <w:lang w:val="en-US"/>
        </w:rPr>
        <w:t xml:space="preserve">s to give away in the first place and so it would fail as she can not give away a gift she does not have the legal rights to anymore as Oliver would have the rights to the property from the moment he gave notice and decided to purchase the cottage. </w:t>
      </w:r>
    </w:p>
    <w:p>
      <w:pPr>
        <w:pStyle w:val="Body A"/>
        <w:spacing w:before="240" w:after="240"/>
      </w:pPr>
      <w:r>
        <w:rPr>
          <w:rtl w:val="0"/>
          <w:lang w:val="en-US"/>
        </w:rPr>
        <w:t>This gift would be carried out as Jackie stated but would also have its own requirements for it. The residuary estate would go to George</w:t>
      </w:r>
      <w:r>
        <w:rPr>
          <w:rtl w:val="0"/>
          <w:lang w:val="en-US"/>
        </w:rPr>
        <w:t>’</w:t>
      </w:r>
      <w:r>
        <w:rPr>
          <w:rtl w:val="0"/>
          <w:lang w:val="en-US"/>
        </w:rPr>
        <w:t>s children but not all of it would be able to be distributed as Jackie states she wanted them to only be able to access it upon them reaching 18. George</w:t>
      </w:r>
      <w:r>
        <w:rPr>
          <w:rFonts w:ascii="Arial Unicode MS" w:hAnsi="Arial Unicode MS" w:hint="default"/>
          <w:rtl w:val="0"/>
          <w:lang w:val="it-IT"/>
        </w:rPr>
        <w:t>’</w:t>
      </w:r>
      <w:r>
        <w:rPr>
          <w:rtl w:val="0"/>
          <w:lang w:val="en-US"/>
        </w:rPr>
        <w:t>s eldest child would receive their share immediately as they are 19 years old but the youngest</w:t>
      </w:r>
      <w:r>
        <w:rPr>
          <w:rFonts w:ascii="Arial Unicode MS" w:hAnsi="Arial Unicode MS" w:hint="default"/>
          <w:rtl w:val="0"/>
          <w:lang w:val="it-IT"/>
        </w:rPr>
        <w:t>’</w:t>
      </w:r>
      <w:r>
        <w:rPr>
          <w:rtl w:val="0"/>
          <w:lang w:val="en-US"/>
        </w:rPr>
        <w:t xml:space="preserve">s share would be kept in trust as they are only 17 and only when they reach the required age stated by Jackie would they receive their share of the estate. </w:t>
      </w:r>
    </w:p>
    <w:p>
      <w:pPr>
        <w:pStyle w:val="Body A"/>
        <w:spacing w:before="240" w:after="240"/>
      </w:pPr>
    </w:p>
    <w:p>
      <w:pPr>
        <w:pStyle w:val="Body A"/>
        <w:spacing w:before="240" w:after="240"/>
      </w:pPr>
    </w:p>
    <w:p>
      <w:pPr>
        <w:pStyle w:val="Body A"/>
        <w:spacing w:before="240" w:after="240"/>
      </w:pPr>
    </w:p>
    <w:p>
      <w:pPr>
        <w:pStyle w:val="Body A"/>
        <w:spacing w:before="240" w:after="240"/>
      </w:pPr>
    </w:p>
    <w:p>
      <w:pPr>
        <w:pStyle w:val="Body A"/>
        <w:spacing w:before="240" w:after="240"/>
      </w:pPr>
    </w:p>
    <w:p>
      <w:pPr>
        <w:pStyle w:val="Body A"/>
        <w:spacing w:before="240" w:after="240"/>
        <w:jc w:val="center"/>
        <w:rPr>
          <w:lang w:val="pt-PT"/>
        </w:rPr>
      </w:pPr>
      <w:r>
        <w:rPr>
          <w:rtl w:val="0"/>
          <w:lang w:val="pt-PT"/>
        </w:rPr>
        <w:t>Reference List</w:t>
      </w:r>
    </w:p>
    <w:p>
      <w:pPr>
        <w:pStyle w:val="Body A"/>
        <w:spacing w:before="240" w:after="240"/>
        <w:rPr>
          <w:outline w:val="0"/>
          <w:color w:val="333333"/>
          <w:sz w:val="23"/>
          <w:szCs w:val="23"/>
          <w:u w:color="333333"/>
          <w:shd w:val="clear" w:color="auto" w:fill="fbfbfb"/>
          <w14:textFill>
            <w14:solidFill>
              <w14:srgbClr w14:val="333333"/>
            </w14:solidFill>
          </w14:textFill>
        </w:rPr>
      </w:pPr>
    </w:p>
    <w:p>
      <w:pPr>
        <w:pStyle w:val="Body A"/>
        <w:spacing w:before="240" w:after="240"/>
        <w:rPr>
          <w:rStyle w:val="None"/>
          <w:outline w:val="0"/>
          <w:color w:val="333333"/>
          <w:sz w:val="23"/>
          <w:szCs w:val="23"/>
          <w:u w:color="333333"/>
          <w:shd w:val="clear" w:color="auto" w:fill="fbfbfb"/>
          <w:lang w:val="en-US"/>
          <w14:textFill>
            <w14:solidFill>
              <w14:srgbClr w14:val="333333"/>
            </w14:solidFill>
          </w14:textFill>
        </w:rPr>
      </w:pPr>
      <w:r>
        <w:rPr>
          <w:i w:val="1"/>
          <w:iCs w:val="1"/>
          <w:outline w:val="0"/>
          <w:color w:val="333333"/>
          <w:sz w:val="23"/>
          <w:szCs w:val="23"/>
          <w:u w:color="333333"/>
          <w:rtl w:val="0"/>
          <w:lang w:val="en-US"/>
          <w14:textFill>
            <w14:solidFill>
              <w14:srgbClr w14:val="333333"/>
            </w14:solidFill>
          </w14:textFill>
        </w:rPr>
        <w:t>Administration of Estates Act 1925</w:t>
      </w:r>
      <w:r>
        <w:rPr>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outline w:val="0"/>
          <w:color w:val="1155cc"/>
          <w:sz w:val="23"/>
          <w:szCs w:val="23"/>
          <w:u w:val="single" w:color="1155cc"/>
          <w:shd w:val="clear" w:color="auto" w:fill="fbfbfb"/>
          <w:lang w:val="en-US"/>
          <w14:textFill>
            <w14:solidFill>
              <w14:srgbClr w14:val="1155CC"/>
            </w14:solidFill>
          </w14:textFill>
        </w:rPr>
        <w:fldChar w:fldCharType="begin" w:fldLock="0"/>
      </w:r>
      <w:r>
        <w:rPr>
          <w:rStyle w:val="Hyperlink.0"/>
          <w:outline w:val="0"/>
          <w:color w:val="1155cc"/>
          <w:sz w:val="23"/>
          <w:szCs w:val="23"/>
          <w:u w:val="single" w:color="1155cc"/>
          <w:shd w:val="clear" w:color="auto" w:fill="fbfbfb"/>
          <w:lang w:val="en-US"/>
          <w14:textFill>
            <w14:solidFill>
              <w14:srgbClr w14:val="1155CC"/>
            </w14:solidFill>
          </w14:textFill>
        </w:rPr>
        <w:instrText xml:space="preserve"> HYPERLINK "https://www.legislation.gov.uk/ukpga/Geo5/15-16/23/section/46"</w:instrText>
      </w:r>
      <w:r>
        <w:rPr>
          <w:rStyle w:val="Hyperlink.0"/>
          <w:outline w:val="0"/>
          <w:color w:val="1155cc"/>
          <w:sz w:val="23"/>
          <w:szCs w:val="23"/>
          <w:u w:val="single" w:color="1155cc"/>
          <w:shd w:val="clear" w:color="auto" w:fill="fbfbfb"/>
          <w:lang w:val="en-US"/>
          <w14:textFill>
            <w14:solidFill>
              <w14:srgbClr w14:val="1155CC"/>
            </w14:solidFill>
          </w14:textFill>
        </w:rPr>
        <w:fldChar w:fldCharType="separate" w:fldLock="0"/>
      </w:r>
      <w:r>
        <w:rPr>
          <w:rStyle w:val="Hyperlink.0"/>
          <w:outline w:val="0"/>
          <w:color w:val="1155cc"/>
          <w:sz w:val="23"/>
          <w:szCs w:val="23"/>
          <w:u w:val="single" w:color="1155cc"/>
          <w:shd w:val="clear" w:color="auto" w:fill="fbfbfb"/>
          <w:rtl w:val="0"/>
          <w:lang w:val="en-US"/>
          <w14:textFill>
            <w14:solidFill>
              <w14:srgbClr w14:val="1155CC"/>
            </w14:solidFill>
          </w14:textFill>
        </w:rPr>
        <w:t>https://www.legislation.gov.uk/ukpga/Geo5/15-16/23/section/46</w:t>
      </w:r>
      <w:r>
        <w:rPr>
          <w:lang w:val="en-US"/>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03/11/24). </w:t>
      </w:r>
    </w:p>
    <w:p>
      <w:pPr>
        <w:pStyle w:val="Body A"/>
        <w:spacing w:before="240" w:after="240"/>
        <w:rPr>
          <w:rStyle w:val="None"/>
          <w:outline w:val="0"/>
          <w:color w:val="333333"/>
          <w:sz w:val="23"/>
          <w:szCs w:val="23"/>
          <w:u w:color="333333"/>
          <w:shd w:val="clear" w:color="auto" w:fill="fbfbfb"/>
          <w:lang w:val="en-US"/>
          <w14:textFill>
            <w14:solidFill>
              <w14:srgbClr w14:val="333333"/>
            </w14:solidFill>
          </w14:textFill>
        </w:rPr>
      </w:pP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Administration of Justice Act 1985. </w:t>
      </w:r>
      <w:r>
        <w:rPr>
          <w:rStyle w:val="None"/>
          <w:outline w:val="0"/>
          <w:color w:val="333333"/>
          <w:sz w:val="23"/>
          <w:szCs w:val="23"/>
          <w:u w:color="333333"/>
          <w:shd w:val="clear" w:color="auto" w:fill="fbfbfb"/>
          <w:rtl w:val="0"/>
          <w:lang w:val="en-US"/>
          <w14:textFill>
            <w14:solidFill>
              <w14:srgbClr w14:val="333333"/>
            </w14:solidFill>
          </w14:textFill>
        </w:rPr>
        <w:t xml:space="preserve">Available at: </w:t>
      </w:r>
      <w:r>
        <w:rPr>
          <w:rStyle w:val="Hyperlink.0"/>
          <w:outline w:val="0"/>
          <w:color w:val="1155cc"/>
          <w:sz w:val="23"/>
          <w:szCs w:val="23"/>
          <w:u w:val="single" w:color="1155cc"/>
          <w:shd w:val="clear" w:color="auto" w:fill="fbfbfb"/>
          <w:lang w:val="en-US"/>
          <w14:textFill>
            <w14:solidFill>
              <w14:srgbClr w14:val="1155CC"/>
            </w14:solidFill>
          </w14:textFill>
        </w:rPr>
        <w:fldChar w:fldCharType="begin" w:fldLock="0"/>
      </w:r>
      <w:r>
        <w:rPr>
          <w:rStyle w:val="Hyperlink.0"/>
          <w:outline w:val="0"/>
          <w:color w:val="1155cc"/>
          <w:sz w:val="23"/>
          <w:szCs w:val="23"/>
          <w:u w:val="single" w:color="1155cc"/>
          <w:shd w:val="clear" w:color="auto" w:fill="fbfbfb"/>
          <w:lang w:val="en-US"/>
          <w14:textFill>
            <w14:solidFill>
              <w14:srgbClr w14:val="1155CC"/>
            </w14:solidFill>
          </w14:textFill>
        </w:rPr>
        <w:instrText xml:space="preserve"> HYPERLINK "https://www.legislation.gov.uk/ukpga/1985/61/contents"</w:instrText>
      </w:r>
      <w:r>
        <w:rPr>
          <w:rStyle w:val="Hyperlink.0"/>
          <w:outline w:val="0"/>
          <w:color w:val="1155cc"/>
          <w:sz w:val="23"/>
          <w:szCs w:val="23"/>
          <w:u w:val="single" w:color="1155cc"/>
          <w:shd w:val="clear" w:color="auto" w:fill="fbfbfb"/>
          <w:lang w:val="en-US"/>
          <w14:textFill>
            <w14:solidFill>
              <w14:srgbClr w14:val="1155CC"/>
            </w14:solidFill>
          </w14:textFill>
        </w:rPr>
        <w:fldChar w:fldCharType="separate" w:fldLock="0"/>
      </w:r>
      <w:r>
        <w:rPr>
          <w:rStyle w:val="Hyperlink.0"/>
          <w:outline w:val="0"/>
          <w:color w:val="1155cc"/>
          <w:sz w:val="23"/>
          <w:szCs w:val="23"/>
          <w:u w:val="single" w:color="1155cc"/>
          <w:shd w:val="clear" w:color="auto" w:fill="fbfbfb"/>
          <w:rtl w:val="0"/>
          <w:lang w:val="en-US"/>
          <w14:textFill>
            <w14:solidFill>
              <w14:srgbClr w14:val="1155CC"/>
            </w14:solidFill>
          </w14:textFill>
        </w:rPr>
        <w:t>https://www.legislation.gov.uk/ukpga/1985/61/contents</w:t>
      </w:r>
      <w:r>
        <w:rPr>
          <w:lang w:val="en-US"/>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03/11/24)</w:t>
      </w:r>
    </w:p>
    <w:p>
      <w:pPr>
        <w:pStyle w:val="Body A"/>
        <w:spacing w:before="240" w:after="240"/>
        <w:rPr>
          <w:rStyle w:val="None"/>
          <w:outline w:val="0"/>
          <w:color w:val="333333"/>
          <w:sz w:val="23"/>
          <w:szCs w:val="23"/>
          <w:u w:color="333333"/>
          <w:shd w:val="clear" w:color="auto" w:fill="fbfbfb"/>
          <w14:textFill>
            <w14:solidFill>
              <w14:srgbClr w14:val="333333"/>
            </w14:solidFill>
          </w14:textFill>
        </w:rPr>
      </w:pPr>
      <w:r>
        <w:rPr>
          <w:rStyle w:val="None"/>
          <w:i w:val="1"/>
          <w:iCs w:val="1"/>
          <w:outline w:val="0"/>
          <w:color w:val="333333"/>
          <w:sz w:val="23"/>
          <w:szCs w:val="23"/>
          <w:u w:color="333333"/>
          <w:shd w:val="clear" w:color="auto" w:fill="fbfbfb"/>
          <w:rtl w:val="0"/>
          <w:lang w:val="en-US"/>
          <w14:textFill>
            <w14:solidFill>
              <w14:srgbClr w14:val="333333"/>
            </w14:solidFill>
          </w14:textFill>
        </w:rPr>
        <w:t>Inheritance and Trustee</w:t>
      </w:r>
      <w:r>
        <w:rPr>
          <w:rStyle w:val="None"/>
          <w:rFonts w:ascii="Arial Unicode MS" w:hAnsi="Arial Unicode MS" w:hint="default"/>
          <w:outline w:val="0"/>
          <w:color w:val="333333"/>
          <w:sz w:val="23"/>
          <w:szCs w:val="23"/>
          <w:u w:color="333333"/>
          <w:shd w:val="clear" w:color="auto" w:fill="fbfbfb"/>
          <w:rtl w:val="0"/>
          <w:lang w:val="it-IT"/>
          <w14:textFill>
            <w14:solidFill>
              <w14:srgbClr w14:val="333333"/>
            </w14:solidFill>
          </w14:textFill>
        </w:rPr>
        <w:t>’</w:t>
      </w:r>
      <w:r>
        <w:rPr>
          <w:rStyle w:val="None"/>
          <w:i w:val="1"/>
          <w:iCs w:val="1"/>
          <w:outline w:val="0"/>
          <w:color w:val="333333"/>
          <w:sz w:val="23"/>
          <w:szCs w:val="23"/>
          <w:u w:color="333333"/>
          <w:shd w:val="clear" w:color="auto" w:fill="fbfbfb"/>
          <w:rtl w:val="0"/>
          <w:lang w:val="en-US"/>
          <w14:textFill>
            <w14:solidFill>
              <w14:srgbClr w14:val="333333"/>
            </w14:solidFill>
          </w14:textFill>
        </w:rPr>
        <w:t>s Powers Act 2014</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outline w:val="0"/>
          <w:color w:val="1155cc"/>
          <w:sz w:val="23"/>
          <w:szCs w:val="23"/>
          <w:u w:val="single" w:color="1155cc"/>
          <w:shd w:val="clear" w:color="auto" w:fill="fbfbfb"/>
          <w:lang w:val="en-US"/>
          <w14:textFill>
            <w14:solidFill>
              <w14:srgbClr w14:val="1155CC"/>
            </w14:solidFill>
          </w14:textFill>
        </w:rPr>
        <w:fldChar w:fldCharType="begin" w:fldLock="0"/>
      </w:r>
      <w:r>
        <w:rPr>
          <w:rStyle w:val="Hyperlink.0"/>
          <w:outline w:val="0"/>
          <w:color w:val="1155cc"/>
          <w:sz w:val="23"/>
          <w:szCs w:val="23"/>
          <w:u w:val="single" w:color="1155cc"/>
          <w:shd w:val="clear" w:color="auto" w:fill="fbfbfb"/>
          <w:lang w:val="en-US"/>
          <w14:textFill>
            <w14:solidFill>
              <w14:srgbClr w14:val="1155CC"/>
            </w14:solidFill>
          </w14:textFill>
        </w:rPr>
        <w:instrText xml:space="preserve"> HYPERLINK "https://www.legislation.gov.uk/ukpga/2014/16/contents"</w:instrText>
      </w:r>
      <w:r>
        <w:rPr>
          <w:rStyle w:val="Hyperlink.0"/>
          <w:outline w:val="0"/>
          <w:color w:val="1155cc"/>
          <w:sz w:val="23"/>
          <w:szCs w:val="23"/>
          <w:u w:val="single" w:color="1155cc"/>
          <w:shd w:val="clear" w:color="auto" w:fill="fbfbfb"/>
          <w:lang w:val="en-US"/>
          <w14:textFill>
            <w14:solidFill>
              <w14:srgbClr w14:val="1155CC"/>
            </w14:solidFill>
          </w14:textFill>
        </w:rPr>
        <w:fldChar w:fldCharType="separate" w:fldLock="0"/>
      </w:r>
      <w:r>
        <w:rPr>
          <w:rStyle w:val="Hyperlink.0"/>
          <w:outline w:val="0"/>
          <w:color w:val="1155cc"/>
          <w:sz w:val="23"/>
          <w:szCs w:val="23"/>
          <w:u w:val="single" w:color="1155cc"/>
          <w:shd w:val="clear" w:color="auto" w:fill="fbfbfb"/>
          <w:rtl w:val="0"/>
          <w:lang w:val="en-US"/>
          <w14:textFill>
            <w14:solidFill>
              <w14:srgbClr w14:val="1155CC"/>
            </w14:solidFill>
          </w14:textFill>
        </w:rPr>
        <w:t>https://www.legislation.gov.uk/ukpga/2014/16/contents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03/11/24).</w:t>
      </w:r>
    </w:p>
    <w:p>
      <w:pPr>
        <w:pStyle w:val="Body A"/>
        <w:spacing w:before="240" w:after="240"/>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it-IT"/>
          <w14:textFill>
            <w14:solidFill>
              <w14:srgbClr w14:val="333333"/>
            </w14:solidFill>
          </w14:textFill>
        </w:rPr>
        <w:t xml:space="preserve">The Gazette (2023) </w:t>
      </w:r>
      <w:r>
        <w:rPr>
          <w:rStyle w:val="None"/>
          <w:i w:val="1"/>
          <w:iCs w:val="1"/>
          <w:outline w:val="0"/>
          <w:color w:val="333333"/>
          <w:sz w:val="23"/>
          <w:szCs w:val="23"/>
          <w:u w:color="333333"/>
          <w:shd w:val="clear" w:color="auto" w:fill="fbfbfb"/>
          <w:rtl w:val="0"/>
          <w:lang w:val="en-US"/>
          <w14:textFill>
            <w14:solidFill>
              <w14:srgbClr w14:val="333333"/>
            </w14:solidFill>
          </w14:textFill>
        </w:rPr>
        <w:t>What are the intestacy rules in England and Wales</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outline w:val="0"/>
          <w:color w:val="1155cc"/>
          <w:sz w:val="23"/>
          <w:szCs w:val="23"/>
          <w:u w:val="single" w:color="1155cc"/>
          <w:shd w:val="clear" w:color="auto" w:fill="fbfbfb"/>
          <w:lang w:val="en-US"/>
          <w14:textFill>
            <w14:solidFill>
              <w14:srgbClr w14:val="1155CC"/>
            </w14:solidFill>
          </w14:textFill>
        </w:rPr>
        <w:fldChar w:fldCharType="begin" w:fldLock="0"/>
      </w:r>
      <w:r>
        <w:rPr>
          <w:rStyle w:val="Hyperlink.0"/>
          <w:outline w:val="0"/>
          <w:color w:val="1155cc"/>
          <w:sz w:val="23"/>
          <w:szCs w:val="23"/>
          <w:u w:val="single" w:color="1155cc"/>
          <w:shd w:val="clear" w:color="auto" w:fill="fbfbfb"/>
          <w:lang w:val="en-US"/>
          <w14:textFill>
            <w14:solidFill>
              <w14:srgbClr w14:val="1155CC"/>
            </w14:solidFill>
          </w14:textFill>
        </w:rPr>
        <w:instrText xml:space="preserve"> HYPERLINK "https://www.thegazette.co.uk/wills-and-probate/content/103523"</w:instrText>
      </w:r>
      <w:r>
        <w:rPr>
          <w:rStyle w:val="Hyperlink.0"/>
          <w:outline w:val="0"/>
          <w:color w:val="1155cc"/>
          <w:sz w:val="23"/>
          <w:szCs w:val="23"/>
          <w:u w:val="single" w:color="1155cc"/>
          <w:shd w:val="clear" w:color="auto" w:fill="fbfbfb"/>
          <w:lang w:val="en-US"/>
          <w14:textFill>
            <w14:solidFill>
              <w14:srgbClr w14:val="1155CC"/>
            </w14:solidFill>
          </w14:textFill>
        </w:rPr>
        <w:fldChar w:fldCharType="separate" w:fldLock="0"/>
      </w:r>
      <w:r>
        <w:rPr>
          <w:rStyle w:val="Hyperlink.0"/>
          <w:outline w:val="0"/>
          <w:color w:val="1155cc"/>
          <w:sz w:val="23"/>
          <w:szCs w:val="23"/>
          <w:u w:val="single" w:color="1155cc"/>
          <w:shd w:val="clear" w:color="auto" w:fill="fbfbfb"/>
          <w:rtl w:val="0"/>
          <w:lang w:val="en-US"/>
          <w14:textFill>
            <w14:solidFill>
              <w14:srgbClr w14:val="1155CC"/>
            </w14:solidFill>
          </w14:textFill>
        </w:rPr>
        <w:t>https://www.thegazette.co.uk/wills-and-probate/content/103523</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05/11/24).</w:t>
      </w:r>
    </w:p>
    <w:p>
      <w:pPr>
        <w:pStyle w:val="Body A"/>
        <w:spacing w:before="240" w:after="240"/>
        <w:rPr>
          <w:rStyle w:val="None"/>
          <w:outline w:val="0"/>
          <w:color w:val="333333"/>
          <w:sz w:val="23"/>
          <w:szCs w:val="23"/>
          <w:u w:color="333333"/>
          <w:shd w:val="clear" w:color="auto" w:fill="fbfbfb"/>
          <w:lang w:val="en-US"/>
          <w14:textFill>
            <w14:solidFill>
              <w14:srgbClr w14:val="333333"/>
            </w14:solidFill>
          </w14:textFill>
        </w:rPr>
      </w:pP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The Non-Contentious Probate Rules 1987. </w:t>
      </w:r>
      <w:r>
        <w:rPr>
          <w:rStyle w:val="None"/>
          <w:outline w:val="0"/>
          <w:color w:val="333333"/>
          <w:sz w:val="23"/>
          <w:szCs w:val="23"/>
          <w:u w:color="333333"/>
          <w:shd w:val="clear" w:color="auto" w:fill="fbfbfb"/>
          <w:rtl w:val="0"/>
          <w:lang w:val="en-US"/>
          <w14:textFill>
            <w14:solidFill>
              <w14:srgbClr w14:val="333333"/>
            </w14:solidFill>
          </w14:textFill>
        </w:rPr>
        <w:t xml:space="preserve">Available at: </w:t>
      </w:r>
      <w:r>
        <w:rPr>
          <w:rStyle w:val="Hyperlink.0"/>
          <w:outline w:val="0"/>
          <w:color w:val="1155cc"/>
          <w:sz w:val="23"/>
          <w:szCs w:val="23"/>
          <w:u w:val="single" w:color="1155cc"/>
          <w:shd w:val="clear" w:color="auto" w:fill="fbfbfb"/>
          <w:lang w:val="en-US"/>
          <w14:textFill>
            <w14:solidFill>
              <w14:srgbClr w14:val="1155CC"/>
            </w14:solidFill>
          </w14:textFill>
        </w:rPr>
        <w:fldChar w:fldCharType="begin" w:fldLock="0"/>
      </w:r>
      <w:r>
        <w:rPr>
          <w:rStyle w:val="Hyperlink.0"/>
          <w:outline w:val="0"/>
          <w:color w:val="1155cc"/>
          <w:sz w:val="23"/>
          <w:szCs w:val="23"/>
          <w:u w:val="single" w:color="1155cc"/>
          <w:shd w:val="clear" w:color="auto" w:fill="fbfbfb"/>
          <w:lang w:val="en-US"/>
          <w14:textFill>
            <w14:solidFill>
              <w14:srgbClr w14:val="1155CC"/>
            </w14:solidFill>
          </w14:textFill>
        </w:rPr>
        <w:instrText xml:space="preserve"> HYPERLINK "https://www.legislation.gov.uk/uksi/1987/2024/rule/22"</w:instrText>
      </w:r>
      <w:r>
        <w:rPr>
          <w:rStyle w:val="Hyperlink.0"/>
          <w:outline w:val="0"/>
          <w:color w:val="1155cc"/>
          <w:sz w:val="23"/>
          <w:szCs w:val="23"/>
          <w:u w:val="single" w:color="1155cc"/>
          <w:shd w:val="clear" w:color="auto" w:fill="fbfbfb"/>
          <w:lang w:val="en-US"/>
          <w14:textFill>
            <w14:solidFill>
              <w14:srgbClr w14:val="1155CC"/>
            </w14:solidFill>
          </w14:textFill>
        </w:rPr>
        <w:fldChar w:fldCharType="separate" w:fldLock="0"/>
      </w:r>
      <w:r>
        <w:rPr>
          <w:rStyle w:val="Hyperlink.0"/>
          <w:outline w:val="0"/>
          <w:color w:val="1155cc"/>
          <w:sz w:val="23"/>
          <w:szCs w:val="23"/>
          <w:u w:val="single" w:color="1155cc"/>
          <w:shd w:val="clear" w:color="auto" w:fill="fbfbfb"/>
          <w:rtl w:val="0"/>
          <w:lang w:val="en-US"/>
          <w14:textFill>
            <w14:solidFill>
              <w14:srgbClr w14:val="1155CC"/>
            </w14:solidFill>
          </w14:textFill>
        </w:rPr>
        <w:t>https://www.legislation.gov.uk/uksi/1987/2024/rule/22</w:t>
      </w:r>
      <w:r>
        <w:rPr>
          <w:lang w:val="en-US"/>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04/11/24)</w:t>
      </w:r>
    </w:p>
    <w:p>
      <w:pPr>
        <w:pStyle w:val="Body A"/>
        <w:spacing w:before="240" w:after="240"/>
        <w:rPr>
          <w:rStyle w:val="None"/>
          <w:outline w:val="0"/>
          <w:color w:val="333333"/>
          <w:sz w:val="23"/>
          <w:szCs w:val="23"/>
          <w:u w:color="333333"/>
          <w:shd w:val="clear" w:color="auto" w:fill="fbfbfb"/>
          <w14:textFill>
            <w14:solidFill>
              <w14:srgbClr w14:val="333333"/>
            </w14:solidFill>
          </w14:textFill>
        </w:rPr>
      </w:pPr>
      <w:r>
        <w:rPr>
          <w:rStyle w:val="None"/>
          <w:i w:val="1"/>
          <w:iCs w:val="1"/>
          <w:outline w:val="0"/>
          <w:color w:val="333333"/>
          <w:sz w:val="23"/>
          <w:szCs w:val="23"/>
          <w:u w:color="333333"/>
          <w:shd w:val="clear" w:color="auto" w:fill="fbfbfb"/>
          <w:rtl w:val="0"/>
          <w:lang w:val="it-IT"/>
          <w14:textFill>
            <w14:solidFill>
              <w14:srgbClr w14:val="333333"/>
            </w14:solidFill>
          </w14:textFill>
        </w:rPr>
        <w:t>Trustee</w:t>
      </w:r>
      <w:r>
        <w:rPr>
          <w:rStyle w:val="None"/>
          <w:rFonts w:ascii="Arial Unicode MS" w:hAnsi="Arial Unicode MS" w:hint="default"/>
          <w:outline w:val="0"/>
          <w:color w:val="333333"/>
          <w:sz w:val="23"/>
          <w:szCs w:val="23"/>
          <w:u w:color="333333"/>
          <w:shd w:val="clear" w:color="auto" w:fill="fbfbfb"/>
          <w:rtl w:val="0"/>
          <w:lang w:val="it-IT"/>
          <w14:textFill>
            <w14:solidFill>
              <w14:srgbClr w14:val="333333"/>
            </w14:solidFill>
          </w14:textFill>
        </w:rPr>
        <w:t>’</w:t>
      </w:r>
      <w:r>
        <w:rPr>
          <w:rStyle w:val="None"/>
          <w:i w:val="1"/>
          <w:iCs w:val="1"/>
          <w:outline w:val="0"/>
          <w:color w:val="333333"/>
          <w:sz w:val="23"/>
          <w:szCs w:val="23"/>
          <w:u w:color="333333"/>
          <w:shd w:val="clear" w:color="auto" w:fill="fbfbfb"/>
          <w:rtl w:val="0"/>
          <w:lang w:val="it-IT"/>
          <w14:textFill>
            <w14:solidFill>
              <w14:srgbClr w14:val="333333"/>
            </w14:solidFill>
          </w14:textFill>
        </w:rPr>
        <w:t xml:space="preserve">s Act 1925. </w:t>
      </w:r>
      <w:r>
        <w:rPr>
          <w:rStyle w:val="None"/>
          <w:outline w:val="0"/>
          <w:color w:val="333333"/>
          <w:sz w:val="23"/>
          <w:szCs w:val="23"/>
          <w:u w:color="333333"/>
          <w:shd w:val="clear" w:color="auto" w:fill="fbfbfb"/>
          <w:rtl w:val="0"/>
          <w:lang w:val="en-US"/>
          <w14:textFill>
            <w14:solidFill>
              <w14:srgbClr w14:val="333333"/>
            </w14:solidFill>
          </w14:textFill>
        </w:rPr>
        <w:t xml:space="preserve">Available at: </w:t>
      </w:r>
      <w:r>
        <w:rPr>
          <w:rStyle w:val="Hyperlink.0"/>
          <w:outline w:val="0"/>
          <w:color w:val="1155cc"/>
          <w:sz w:val="23"/>
          <w:szCs w:val="23"/>
          <w:u w:val="single" w:color="1155cc"/>
          <w:shd w:val="clear" w:color="auto" w:fill="fbfbfb"/>
          <w:lang w:val="en-US"/>
          <w14:textFill>
            <w14:solidFill>
              <w14:srgbClr w14:val="1155CC"/>
            </w14:solidFill>
          </w14:textFill>
        </w:rPr>
        <w:fldChar w:fldCharType="begin" w:fldLock="0"/>
      </w:r>
      <w:r>
        <w:rPr>
          <w:rStyle w:val="Hyperlink.0"/>
          <w:outline w:val="0"/>
          <w:color w:val="1155cc"/>
          <w:sz w:val="23"/>
          <w:szCs w:val="23"/>
          <w:u w:val="single" w:color="1155cc"/>
          <w:shd w:val="clear" w:color="auto" w:fill="fbfbfb"/>
          <w:lang w:val="en-US"/>
          <w14:textFill>
            <w14:solidFill>
              <w14:srgbClr w14:val="1155CC"/>
            </w14:solidFill>
          </w14:textFill>
        </w:rPr>
        <w:instrText xml:space="preserve"> HYPERLINK "https://www.legislation.gov.uk/ukpga/Geo5/15-16/19/contents"</w:instrText>
      </w:r>
      <w:r>
        <w:rPr>
          <w:rStyle w:val="Hyperlink.0"/>
          <w:outline w:val="0"/>
          <w:color w:val="1155cc"/>
          <w:sz w:val="23"/>
          <w:szCs w:val="23"/>
          <w:u w:val="single" w:color="1155cc"/>
          <w:shd w:val="clear" w:color="auto" w:fill="fbfbfb"/>
          <w:lang w:val="en-US"/>
          <w14:textFill>
            <w14:solidFill>
              <w14:srgbClr w14:val="1155CC"/>
            </w14:solidFill>
          </w14:textFill>
        </w:rPr>
        <w:fldChar w:fldCharType="separate" w:fldLock="0"/>
      </w:r>
      <w:r>
        <w:rPr>
          <w:rStyle w:val="Hyperlink.0"/>
          <w:outline w:val="0"/>
          <w:color w:val="1155cc"/>
          <w:sz w:val="23"/>
          <w:szCs w:val="23"/>
          <w:u w:val="single" w:color="1155cc"/>
          <w:shd w:val="clear" w:color="auto" w:fill="fbfbfb"/>
          <w:rtl w:val="0"/>
          <w:lang w:val="en-US"/>
          <w14:textFill>
            <w14:solidFill>
              <w14:srgbClr w14:val="1155CC"/>
            </w14:solidFill>
          </w14:textFill>
        </w:rPr>
        <w:t>https://www.legislation.gov.uk/ukpga/Geo5/15-16/19/contents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04/11/24) </w:t>
      </w:r>
    </w:p>
    <w:p>
      <w:pPr>
        <w:pStyle w:val="Body A"/>
        <w:spacing w:before="240" w:after="240"/>
        <w:rPr>
          <w:rStyle w:val="None"/>
          <w:outline w:val="0"/>
          <w:color w:val="333333"/>
          <w:sz w:val="23"/>
          <w:szCs w:val="23"/>
          <w:u w:color="333333"/>
          <w:shd w:val="clear" w:color="auto" w:fill="fbfbfb"/>
          <w:lang w:val="en-US"/>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UK Government  </w:t>
      </w:r>
      <w:r>
        <w:rPr>
          <w:rStyle w:val="None"/>
          <w:i w:val="1"/>
          <w:iCs w:val="1"/>
          <w:outline w:val="0"/>
          <w:color w:val="333333"/>
          <w:sz w:val="23"/>
          <w:szCs w:val="23"/>
          <w:u w:color="333333"/>
          <w:shd w:val="clear" w:color="auto" w:fill="fbfbfb"/>
          <w:rtl w:val="0"/>
          <w:lang w:val="en-US"/>
          <w14:textFill>
            <w14:solidFill>
              <w14:srgbClr w14:val="333333"/>
            </w14:solidFill>
          </w14:textFill>
        </w:rPr>
        <w:t>Applying for Probate</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outline w:val="0"/>
          <w:color w:val="1155cc"/>
          <w:sz w:val="23"/>
          <w:szCs w:val="23"/>
          <w:u w:val="single" w:color="1155cc"/>
          <w:shd w:val="clear" w:color="auto" w:fill="fbfbfb"/>
          <w:lang w:val="en-US"/>
          <w14:textFill>
            <w14:solidFill>
              <w14:srgbClr w14:val="1155CC"/>
            </w14:solidFill>
          </w14:textFill>
        </w:rPr>
        <w:fldChar w:fldCharType="begin" w:fldLock="0"/>
      </w:r>
      <w:r>
        <w:rPr>
          <w:rStyle w:val="Hyperlink.0"/>
          <w:outline w:val="0"/>
          <w:color w:val="1155cc"/>
          <w:sz w:val="23"/>
          <w:szCs w:val="23"/>
          <w:u w:val="single" w:color="1155cc"/>
          <w:shd w:val="clear" w:color="auto" w:fill="fbfbfb"/>
          <w:lang w:val="en-US"/>
          <w14:textFill>
            <w14:solidFill>
              <w14:srgbClr w14:val="1155CC"/>
            </w14:solidFill>
          </w14:textFill>
        </w:rPr>
        <w:instrText xml:space="preserve"> HYPERLINK "https://www.gov.uk/applying-for-probate/if-theres-not-a-will"</w:instrText>
      </w:r>
      <w:r>
        <w:rPr>
          <w:rStyle w:val="Hyperlink.0"/>
          <w:outline w:val="0"/>
          <w:color w:val="1155cc"/>
          <w:sz w:val="23"/>
          <w:szCs w:val="23"/>
          <w:u w:val="single" w:color="1155cc"/>
          <w:shd w:val="clear" w:color="auto" w:fill="fbfbfb"/>
          <w:lang w:val="en-US"/>
          <w14:textFill>
            <w14:solidFill>
              <w14:srgbClr w14:val="1155CC"/>
            </w14:solidFill>
          </w14:textFill>
        </w:rPr>
        <w:fldChar w:fldCharType="separate" w:fldLock="0"/>
      </w:r>
      <w:r>
        <w:rPr>
          <w:rStyle w:val="Hyperlink.0"/>
          <w:outline w:val="0"/>
          <w:color w:val="1155cc"/>
          <w:sz w:val="23"/>
          <w:szCs w:val="23"/>
          <w:u w:val="single" w:color="1155cc"/>
          <w:shd w:val="clear" w:color="auto" w:fill="fbfbfb"/>
          <w:rtl w:val="0"/>
          <w:lang w:val="en-US"/>
          <w14:textFill>
            <w14:solidFill>
              <w14:srgbClr w14:val="1155CC"/>
            </w14:solidFill>
          </w14:textFill>
        </w:rPr>
        <w:t>https://www.gov.uk/applying-for-probate/if-theres-not-a-will</w:t>
      </w:r>
      <w:r>
        <w:rPr>
          <w:lang w:val="en-US"/>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03/11/24).</w:t>
      </w:r>
    </w:p>
    <w:p>
      <w:pPr>
        <w:pStyle w:val="Body A"/>
        <w:spacing w:before="240" w:after="240"/>
        <w:rPr>
          <w:rStyle w:val="None"/>
          <w:outline w:val="0"/>
          <w:color w:val="333333"/>
          <w:sz w:val="23"/>
          <w:szCs w:val="23"/>
          <w:u w:color="333333"/>
          <w:shd w:val="clear" w:color="auto" w:fill="fbfbfb"/>
          <w:lang w:val="en-US"/>
          <w14:textFill>
            <w14:solidFill>
              <w14:srgbClr w14:val="333333"/>
            </w14:solidFill>
          </w14:textFill>
        </w:rPr>
      </w:pP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Wills Act 1837. </w:t>
      </w:r>
      <w:r>
        <w:rPr>
          <w:rStyle w:val="None"/>
          <w:outline w:val="0"/>
          <w:color w:val="333333"/>
          <w:sz w:val="23"/>
          <w:szCs w:val="23"/>
          <w:u w:color="333333"/>
          <w:shd w:val="clear" w:color="auto" w:fill="fbfbfb"/>
          <w:rtl w:val="0"/>
          <w:lang w:val="en-US"/>
          <w14:textFill>
            <w14:solidFill>
              <w14:srgbClr w14:val="333333"/>
            </w14:solidFill>
          </w14:textFill>
        </w:rPr>
        <w:t xml:space="preserve">Available at: </w:t>
      </w:r>
      <w:r>
        <w:rPr>
          <w:rStyle w:val="Hyperlink.0"/>
          <w:outline w:val="0"/>
          <w:color w:val="1155cc"/>
          <w:sz w:val="23"/>
          <w:szCs w:val="23"/>
          <w:u w:val="single" w:color="1155cc"/>
          <w:shd w:val="clear" w:color="auto" w:fill="fbfbfb"/>
          <w:lang w:val="en-US"/>
          <w14:textFill>
            <w14:solidFill>
              <w14:srgbClr w14:val="1155CC"/>
            </w14:solidFill>
          </w14:textFill>
        </w:rPr>
        <w:fldChar w:fldCharType="begin" w:fldLock="0"/>
      </w:r>
      <w:r>
        <w:rPr>
          <w:rStyle w:val="Hyperlink.0"/>
          <w:outline w:val="0"/>
          <w:color w:val="1155cc"/>
          <w:sz w:val="23"/>
          <w:szCs w:val="23"/>
          <w:u w:val="single" w:color="1155cc"/>
          <w:shd w:val="clear" w:color="auto" w:fill="fbfbfb"/>
          <w:lang w:val="en-US"/>
          <w14:textFill>
            <w14:solidFill>
              <w14:srgbClr w14:val="1155CC"/>
            </w14:solidFill>
          </w14:textFill>
        </w:rPr>
        <w:instrText xml:space="preserve"> HYPERLINK "https://www.legislation.gov.uk/ukpga/Will4and1Vict/7/26/section/9"</w:instrText>
      </w:r>
      <w:r>
        <w:rPr>
          <w:rStyle w:val="Hyperlink.0"/>
          <w:outline w:val="0"/>
          <w:color w:val="1155cc"/>
          <w:sz w:val="23"/>
          <w:szCs w:val="23"/>
          <w:u w:val="single" w:color="1155cc"/>
          <w:shd w:val="clear" w:color="auto" w:fill="fbfbfb"/>
          <w:lang w:val="en-US"/>
          <w14:textFill>
            <w14:solidFill>
              <w14:srgbClr w14:val="1155CC"/>
            </w14:solidFill>
          </w14:textFill>
        </w:rPr>
        <w:fldChar w:fldCharType="separate" w:fldLock="0"/>
      </w:r>
      <w:r>
        <w:rPr>
          <w:rStyle w:val="Hyperlink.0"/>
          <w:outline w:val="0"/>
          <w:color w:val="1155cc"/>
          <w:sz w:val="23"/>
          <w:szCs w:val="23"/>
          <w:u w:val="single" w:color="1155cc"/>
          <w:shd w:val="clear" w:color="auto" w:fill="fbfbfb"/>
          <w:rtl w:val="0"/>
          <w:lang w:val="en-US"/>
          <w14:textFill>
            <w14:solidFill>
              <w14:srgbClr w14:val="1155CC"/>
            </w14:solidFill>
          </w14:textFill>
        </w:rPr>
        <w:t>https://www.legislation.gov.uk/ukpga/Will4and1Vict/7/26/section/9</w:t>
      </w:r>
      <w:r>
        <w:rPr>
          <w:lang w:val="en-US"/>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04/11/24)</w:t>
      </w:r>
    </w:p>
    <w:p>
      <w:pPr>
        <w:pStyle w:val="Body A"/>
        <w:spacing w:before="240" w:after="240"/>
        <w:rPr>
          <w:rStyle w:val="None"/>
          <w:outline w:val="0"/>
          <w:color w:val="333333"/>
          <w:sz w:val="23"/>
          <w:szCs w:val="23"/>
          <w:u w:color="333333"/>
          <w:shd w:val="clear" w:color="auto" w:fill="fbfbfb"/>
          <w14:textFill>
            <w14:solidFill>
              <w14:srgbClr w14:val="333333"/>
            </w14:solidFill>
          </w14:textFill>
        </w:rPr>
      </w:pPr>
    </w:p>
    <w:p>
      <w:pPr>
        <w:pStyle w:val="Body A"/>
        <w:spacing w:before="240" w:after="240"/>
        <w:rPr>
          <w:rStyle w:val="None"/>
          <w:outline w:val="0"/>
          <w:color w:val="333333"/>
          <w:sz w:val="23"/>
          <w:szCs w:val="23"/>
          <w:u w:color="333333"/>
          <w:shd w:val="clear" w:color="auto" w:fill="fbfbfb"/>
          <w14:textFill>
            <w14:solidFill>
              <w14:srgbClr w14:val="333333"/>
            </w14:solidFill>
          </w14:textFill>
        </w:rPr>
      </w:pPr>
      <w:r>
        <w:rPr>
          <w:rStyle w:val="None"/>
          <w:rFonts w:ascii="Arial Unicode MS" w:hAnsi="Arial Unicode MS" w:hint="default"/>
          <w:outline w:val="0"/>
          <w:color w:val="333333"/>
          <w:sz w:val="23"/>
          <w:szCs w:val="23"/>
          <w:u w:color="333333"/>
          <w:shd w:val="clear" w:color="auto" w:fill="fbfbfb"/>
          <w:rtl w:val="0"/>
          <w:lang w:val="it-IT"/>
          <w14:textFill>
            <w14:solidFill>
              <w14:srgbClr w14:val="333333"/>
            </w14:solidFill>
          </w14:textFill>
        </w:rPr>
        <w:t>‘</w:t>
      </w:r>
      <w:r>
        <w:rPr>
          <w:rStyle w:val="None"/>
          <w:outline w:val="0"/>
          <w:color w:val="333333"/>
          <w:sz w:val="23"/>
          <w:szCs w:val="23"/>
          <w:u w:color="333333"/>
          <w:shd w:val="clear" w:color="auto" w:fill="fbfbfb"/>
          <w:rtl w:val="0"/>
          <w:lang w:val="it-IT"/>
          <w14:textFill>
            <w14:solidFill>
              <w14:srgbClr w14:val="333333"/>
            </w14:solidFill>
          </w14:textFill>
        </w:rPr>
        <w:t>Boyce v Boyce</w:t>
      </w:r>
      <w:r>
        <w:rPr>
          <w:rStyle w:val="None"/>
          <w:rFonts w:ascii="Arial Unicode MS" w:hAnsi="Arial Unicode MS" w:hint="default"/>
          <w:outline w:val="0"/>
          <w:color w:val="333333"/>
          <w:sz w:val="23"/>
          <w:szCs w:val="23"/>
          <w:u w:color="333333"/>
          <w:shd w:val="clear" w:color="auto" w:fill="fbfbfb"/>
          <w:rtl w:val="0"/>
          <w:lang w:val="it-IT"/>
          <w14:textFill>
            <w14:solidFill>
              <w14:srgbClr w14:val="333333"/>
            </w14:solidFill>
          </w14:textFill>
        </w:rPr>
        <w:t xml:space="preserve">’ </w:t>
      </w:r>
      <w:r>
        <w:rPr>
          <w:rStyle w:val="None"/>
          <w:outline w:val="0"/>
          <w:color w:val="333333"/>
          <w:sz w:val="23"/>
          <w:szCs w:val="23"/>
          <w:u w:color="333333"/>
          <w:shd w:val="clear" w:color="auto" w:fill="fbfbfb"/>
          <w:rtl w:val="0"/>
          <w:lang w:val="it-IT"/>
          <w14:textFill>
            <w14:solidFill>
              <w14:srgbClr w14:val="333333"/>
            </w14:solidFill>
          </w14:textFill>
        </w:rPr>
        <w:t>(1849)</w:t>
      </w:r>
    </w:p>
    <w:p>
      <w:pPr>
        <w:pStyle w:val="Body A"/>
        <w:spacing w:before="240" w:after="240"/>
      </w:pPr>
      <w:r>
        <w:rPr>
          <w:rStyle w:val="None"/>
          <w:rFonts w:ascii="Arial Unicode MS" w:hAnsi="Arial Unicode MS" w:hint="default"/>
          <w:outline w:val="0"/>
          <w:color w:val="333333"/>
          <w:sz w:val="23"/>
          <w:szCs w:val="23"/>
          <w:u w:color="333333"/>
          <w:shd w:val="clear" w:color="auto" w:fill="fbfbfb"/>
          <w:rtl w:val="0"/>
          <w:lang w:val="it-IT"/>
          <w14:textFill>
            <w14:solidFill>
              <w14:srgbClr w14:val="333333"/>
            </w14:solidFill>
          </w14:textFill>
        </w:rPr>
        <w:t>‘</w:t>
      </w:r>
      <w:r>
        <w:rPr>
          <w:rStyle w:val="None"/>
          <w:outline w:val="0"/>
          <w:color w:val="333333"/>
          <w:sz w:val="23"/>
          <w:szCs w:val="23"/>
          <w:u w:color="333333"/>
          <w:shd w:val="clear" w:color="auto" w:fill="fbfbfb"/>
          <w:rtl w:val="0"/>
          <w:lang w:val="it-IT"/>
          <w14:textFill>
            <w14:solidFill>
              <w14:srgbClr w14:val="333333"/>
            </w14:solidFill>
          </w14:textFill>
        </w:rPr>
        <w:t>Re Tankard</w:t>
      </w:r>
      <w:r>
        <w:rPr>
          <w:rStyle w:val="None"/>
          <w:rFonts w:ascii="Arial Unicode MS" w:hAnsi="Arial Unicode MS" w:hint="default"/>
          <w:outline w:val="0"/>
          <w:color w:val="333333"/>
          <w:sz w:val="23"/>
          <w:szCs w:val="23"/>
          <w:u w:color="333333"/>
          <w:shd w:val="clear" w:color="auto" w:fill="fbfbfb"/>
          <w:rtl w:val="0"/>
          <w:lang w:val="it-IT"/>
          <w14:textFill>
            <w14:solidFill>
              <w14:srgbClr w14:val="333333"/>
            </w14:solidFill>
          </w14:textFill>
        </w:rPr>
        <w:t xml:space="preserve">’ </w:t>
      </w:r>
      <w:r>
        <w:rPr>
          <w:rStyle w:val="None"/>
          <w:outline w:val="0"/>
          <w:color w:val="333333"/>
          <w:sz w:val="23"/>
          <w:szCs w:val="23"/>
          <w:u w:color="333333"/>
          <w:shd w:val="clear" w:color="auto" w:fill="fbfbfb"/>
          <w:rtl w:val="0"/>
          <w:lang w:val="it-IT"/>
          <w14:textFill>
            <w14:solidFill>
              <w14:srgbClr w14:val="333333"/>
            </w14:solidFill>
          </w14:textFill>
        </w:rPr>
        <w:t>(1942)</w:t>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it-IT"/>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sz w:val="23"/>
      <w:szCs w:val="23"/>
      <w:u w:val="single" w:color="1155cc"/>
      <w:shd w:val="clear" w:color="auto" w:fill="fbfbfb"/>
      <w:lang w:val="en-US"/>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