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360" w:lineRule="auto"/>
        <w:jc w:val="center"/>
        <w:rPr>
          <w:rFonts w:ascii="Arial" w:cs="Arial" w:hAnsi="Arial" w:eastAsia="Arial"/>
          <w:b w:val="1"/>
          <w:bCs w:val="1"/>
          <w:sz w:val="40"/>
          <w:szCs w:val="40"/>
          <w:u w:val="single"/>
        </w:rPr>
      </w:pPr>
      <w:r>
        <w:rPr>
          <w:rFonts w:ascii="Arial" w:hAnsi="Arial"/>
          <w:b w:val="1"/>
          <w:bCs w:val="1"/>
          <w:sz w:val="40"/>
          <w:szCs w:val="40"/>
          <w:u w:val="single"/>
          <w:rtl w:val="0"/>
          <w:lang w:val="en-US"/>
        </w:rPr>
        <w:t xml:space="preserve">Evidence-Based Practice - </w:t>
      </w:r>
    </w:p>
    <w:p>
      <w:pPr>
        <w:pStyle w:val="Body A"/>
        <w:spacing w:line="360" w:lineRule="auto"/>
        <w:jc w:val="center"/>
        <w:rPr>
          <w:rFonts w:ascii="Arial" w:cs="Arial" w:hAnsi="Arial" w:eastAsia="Arial"/>
          <w:b w:val="1"/>
          <w:bCs w:val="1"/>
          <w:sz w:val="40"/>
          <w:szCs w:val="40"/>
          <w:u w:val="single"/>
        </w:rPr>
      </w:pPr>
      <w:r>
        <w:rPr>
          <w:rFonts w:ascii="Arial" w:hAnsi="Arial"/>
          <w:b w:val="1"/>
          <w:bCs w:val="1"/>
          <w:sz w:val="40"/>
          <w:szCs w:val="40"/>
          <w:u w:val="single"/>
          <w:rtl w:val="0"/>
          <w:lang w:val="en-US"/>
        </w:rPr>
        <w:t>Lessons from previous pandemics.</w:t>
      </w:r>
      <w:r>
        <w:rPr>
          <w:rFonts w:ascii="Arial" w:cs="Arial" w:hAnsi="Arial" w:eastAsia="Arial"/>
          <w:b w:val="1"/>
          <w:bCs w:val="1"/>
          <w:sz w:val="40"/>
          <w:szCs w:val="40"/>
          <w:u w:val="single"/>
        </w:rPr>
        <w:drawing>
          <wp:anchor distT="152400" distB="152400" distL="152400" distR="152400" simplePos="0" relativeHeight="251659264" behindDoc="0" locked="0" layoutInCell="1" allowOverlap="1">
            <wp:simplePos x="0" y="0"/>
            <wp:positionH relativeFrom="page">
              <wp:posOffset>310164</wp:posOffset>
            </wp:positionH>
            <wp:positionV relativeFrom="line">
              <wp:posOffset>411624</wp:posOffset>
            </wp:positionV>
            <wp:extent cx="3473307" cy="1953736"/>
            <wp:effectExtent l="0" t="0" r="0" b="0"/>
            <wp:wrapThrough wrapText="bothSides" distL="152400" distR="152400">
              <wp:wrapPolygon edited="1">
                <wp:start x="0" y="0"/>
                <wp:lineTo x="21600" y="0"/>
                <wp:lineTo x="21600" y="21600"/>
                <wp:lineTo x="0" y="21600"/>
                <wp:lineTo x="0" y="0"/>
              </wp:wrapPolygon>
            </wp:wrapThrough>
            <wp:docPr id="1073741825"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5" name="pasted-image.tiff" descr="pasted-image.tiff"/>
                    <pic:cNvPicPr>
                      <a:picLocks noChangeAspect="1"/>
                    </pic:cNvPicPr>
                  </pic:nvPicPr>
                  <pic:blipFill>
                    <a:blip r:embed="rId4">
                      <a:extLst/>
                    </a:blip>
                    <a:stretch>
                      <a:fillRect/>
                    </a:stretch>
                  </pic:blipFill>
                  <pic:spPr>
                    <a:xfrm>
                      <a:off x="0" y="0"/>
                      <a:ext cx="3473307" cy="1953736"/>
                    </a:xfrm>
                    <a:prstGeom prst="rect">
                      <a:avLst/>
                    </a:prstGeom>
                    <a:ln w="12700" cap="flat">
                      <a:noFill/>
                      <a:miter lim="400000"/>
                    </a:ln>
                    <a:effectLst/>
                  </pic:spPr>
                </pic:pic>
              </a:graphicData>
            </a:graphic>
          </wp:anchor>
        </w:drawing>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cs="Arial" w:hAnsi="Arial" w:eastAsia="Arial"/>
          <w:sz w:val="24"/>
          <w:szCs w:val="24"/>
        </w:rPr>
        <mc:AlternateContent>
          <mc:Choice Requires="wps">
            <w:drawing>
              <wp:anchor distT="152400" distB="152400" distL="152400" distR="152400" simplePos="0" relativeHeight="251662336" behindDoc="0" locked="0" layoutInCell="1" allowOverlap="1">
                <wp:simplePos x="0" y="0"/>
                <wp:positionH relativeFrom="page">
                  <wp:posOffset>3874828</wp:posOffset>
                </wp:positionH>
                <wp:positionV relativeFrom="line">
                  <wp:posOffset>435992</wp:posOffset>
                </wp:positionV>
                <wp:extent cx="1620760" cy="705108"/>
                <wp:effectExtent l="73069" t="309450" r="73069" b="309450"/>
                <wp:wrapThrough wrapText="bothSides" distL="152400" distR="152400">
                  <wp:wrapPolygon edited="1">
                    <wp:start x="11296" y="0"/>
                    <wp:lineTo x="11296" y="13129"/>
                    <wp:lineTo x="11296" y="21600"/>
                    <wp:lineTo x="21600" y="10800"/>
                    <wp:lineTo x="11296" y="0"/>
                    <wp:lineTo x="11296" y="8471"/>
                    <wp:lineTo x="0" y="8471"/>
                    <wp:lineTo x="0" y="13129"/>
                    <wp:lineTo x="11296" y="13129"/>
                    <wp:lineTo x="11296" y="0"/>
                  </wp:wrapPolygon>
                </wp:wrapThrough>
                <wp:docPr id="1073741826" name="officeArt object" descr="officeArt object"/>
                <wp:cNvGraphicFramePr/>
                <a:graphic xmlns:a="http://schemas.openxmlformats.org/drawingml/2006/main">
                  <a:graphicData uri="http://schemas.microsoft.com/office/word/2010/wordprocessingShape">
                    <wps:wsp>
                      <wps:cNvSpPr/>
                      <wps:spPr>
                        <a:xfrm rot="1500000">
                          <a:off x="0" y="0"/>
                          <a:ext cx="1620760" cy="705108"/>
                        </a:xfrm>
                        <a:prstGeom prst="rightArrow">
                          <a:avLst>
                            <a:gd name="adj1" fmla="val 21562"/>
                            <a:gd name="adj2" fmla="val 109656"/>
                          </a:avLst>
                        </a:prstGeom>
                        <a:solidFill>
                          <a:schemeClr val="accent1"/>
                        </a:solidFill>
                        <a:ln w="12700" cap="flat">
                          <a:noFill/>
                          <a:miter lim="400000"/>
                        </a:ln>
                        <a:effectLst/>
                      </wps:spPr>
                      <wps:bodyPr/>
                    </wps:wsp>
                  </a:graphicData>
                </a:graphic>
              </wp:anchor>
            </w:drawing>
          </mc:Choice>
          <mc:Fallback>
            <w:pict>
              <v:shape id="_x0000_s1026" type="#_x0000_t13" style="visibility:visible;position:absolute;margin-left:0.0pt;margin-top:0.0pt;width:127.6pt;height:55.5pt;z-index:251662336;mso-position-horizontal:absolute;mso-position-horizontal-relative:page;mso-position-vertical:absolute;mso-position-vertical-relative:line;mso-wrap-distance-left:12.0pt;mso-wrap-distance-top:12.0pt;mso-wrap-distance-right:12.0pt;mso-wrap-distance-bottom:12.0pt;rotation:1638400fd;" adj="11296,8471">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page"/>
              </v:shape>
            </w:pict>
          </mc:Fallback>
        </mc:AlternateConten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cs="Arial" w:hAnsi="Arial" w:eastAsia="Arial"/>
          <w:sz w:val="24"/>
          <w:szCs w:val="24"/>
        </w:rPr>
        <w:drawing>
          <wp:anchor distT="152400" distB="152400" distL="152400" distR="152400" simplePos="0" relativeHeight="251660288" behindDoc="0" locked="0" layoutInCell="1" allowOverlap="1">
            <wp:simplePos x="0" y="0"/>
            <wp:positionH relativeFrom="page">
              <wp:posOffset>3584749</wp:posOffset>
            </wp:positionH>
            <wp:positionV relativeFrom="line">
              <wp:posOffset>256595</wp:posOffset>
            </wp:positionV>
            <wp:extent cx="3669825" cy="1926658"/>
            <wp:effectExtent l="0" t="0" r="0" b="0"/>
            <wp:wrapThrough wrapText="bothSides" distL="152400" distR="152400">
              <wp:wrapPolygon edited="1">
                <wp:start x="0" y="0"/>
                <wp:lineTo x="21600" y="0"/>
                <wp:lineTo x="21600" y="21600"/>
                <wp:lineTo x="0" y="21600"/>
                <wp:lineTo x="0" y="0"/>
              </wp:wrapPolygon>
            </wp:wrapThrough>
            <wp:docPr id="1073741827"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7" name="pasted-image.tiff" descr="pasted-image.tiff"/>
                    <pic:cNvPicPr>
                      <a:picLocks noChangeAspect="1"/>
                    </pic:cNvPicPr>
                  </pic:nvPicPr>
                  <pic:blipFill>
                    <a:blip r:embed="rId5">
                      <a:extLst/>
                    </a:blip>
                    <a:stretch>
                      <a:fillRect/>
                    </a:stretch>
                  </pic:blipFill>
                  <pic:spPr>
                    <a:xfrm>
                      <a:off x="0" y="0"/>
                      <a:ext cx="3669825" cy="1926658"/>
                    </a:xfrm>
                    <a:prstGeom prst="rect">
                      <a:avLst/>
                    </a:prstGeom>
                    <a:ln w="12700" cap="flat">
                      <a:noFill/>
                      <a:miter lim="400000"/>
                    </a:ln>
                    <a:effectLst/>
                  </pic:spPr>
                </pic:pic>
              </a:graphicData>
            </a:graphic>
          </wp:anchor>
        </w:drawing>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cs="Arial" w:hAnsi="Arial" w:eastAsia="Arial"/>
          <w:sz w:val="24"/>
          <w:szCs w:val="24"/>
        </w:rPr>
        <w:drawing>
          <wp:anchor distT="152400" distB="152400" distL="152400" distR="152400" simplePos="0" relativeHeight="251661312" behindDoc="0" locked="0" layoutInCell="1" allowOverlap="1">
            <wp:simplePos x="0" y="0"/>
            <wp:positionH relativeFrom="page">
              <wp:posOffset>397124</wp:posOffset>
            </wp:positionH>
            <wp:positionV relativeFrom="line">
              <wp:posOffset>204482</wp:posOffset>
            </wp:positionV>
            <wp:extent cx="2571821" cy="3588635"/>
            <wp:effectExtent l="0" t="0" r="0" b="0"/>
            <wp:wrapThrough wrapText="bothSides" distL="152400" distR="152400">
              <wp:wrapPolygon edited="1">
                <wp:start x="0" y="0"/>
                <wp:lineTo x="21600" y="0"/>
                <wp:lineTo x="21600" y="21600"/>
                <wp:lineTo x="0" y="21600"/>
                <wp:lineTo x="0" y="0"/>
              </wp:wrapPolygon>
            </wp:wrapThrough>
            <wp:docPr id="1073741828"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8" name="pasted-image.tiff" descr="pasted-image.tiff"/>
                    <pic:cNvPicPr>
                      <a:picLocks noChangeAspect="1"/>
                    </pic:cNvPicPr>
                  </pic:nvPicPr>
                  <pic:blipFill>
                    <a:blip r:embed="rId6">
                      <a:extLst/>
                    </a:blip>
                    <a:stretch>
                      <a:fillRect/>
                    </a:stretch>
                  </pic:blipFill>
                  <pic:spPr>
                    <a:xfrm>
                      <a:off x="0" y="0"/>
                      <a:ext cx="2571821" cy="3588635"/>
                    </a:xfrm>
                    <a:prstGeom prst="rect">
                      <a:avLst/>
                    </a:prstGeom>
                    <a:ln w="12700" cap="flat">
                      <a:noFill/>
                      <a:miter lim="400000"/>
                    </a:ln>
                    <a:effectLst/>
                  </pic:spPr>
                </pic:pic>
              </a:graphicData>
            </a:graphic>
          </wp:anchor>
        </w:drawing>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cs="Arial" w:hAnsi="Arial" w:eastAsia="Arial"/>
          <w:sz w:val="24"/>
          <w:szCs w:val="24"/>
        </w:rPr>
        <mc:AlternateContent>
          <mc:Choice Requires="wps">
            <w:drawing>
              <wp:anchor distT="152400" distB="152400" distL="152400" distR="152400" simplePos="0" relativeHeight="251663360" behindDoc="0" locked="0" layoutInCell="1" allowOverlap="1">
                <wp:simplePos x="0" y="0"/>
                <wp:positionH relativeFrom="page">
                  <wp:posOffset>3107555</wp:posOffset>
                </wp:positionH>
                <wp:positionV relativeFrom="line">
                  <wp:posOffset>417134</wp:posOffset>
                </wp:positionV>
                <wp:extent cx="1620760" cy="705108"/>
                <wp:effectExtent l="70657" t="339183" r="70657" b="339183"/>
                <wp:wrapThrough wrapText="bothSides" distL="152400" distR="152400">
                  <wp:wrapPolygon edited="1">
                    <wp:start x="11296" y="0"/>
                    <wp:lineTo x="11296" y="13129"/>
                    <wp:lineTo x="11296" y="21600"/>
                    <wp:lineTo x="21600" y="10800"/>
                    <wp:lineTo x="11296" y="0"/>
                    <wp:lineTo x="11296" y="8471"/>
                    <wp:lineTo x="0" y="8471"/>
                    <wp:lineTo x="0" y="13129"/>
                    <wp:lineTo x="11296" y="13129"/>
                    <wp:lineTo x="11296" y="0"/>
                  </wp:wrapPolygon>
                </wp:wrapThrough>
                <wp:docPr id="1073741829" name="officeArt object" descr="officeArt object"/>
                <wp:cNvGraphicFramePr/>
                <a:graphic xmlns:a="http://schemas.openxmlformats.org/drawingml/2006/main">
                  <a:graphicData uri="http://schemas.microsoft.com/office/word/2010/wordprocessingShape">
                    <wps:wsp>
                      <wps:cNvSpPr/>
                      <wps:spPr>
                        <a:xfrm rot="9120000">
                          <a:off x="0" y="0"/>
                          <a:ext cx="1620760" cy="705108"/>
                        </a:xfrm>
                        <a:prstGeom prst="rightArrow">
                          <a:avLst>
                            <a:gd name="adj1" fmla="val 21562"/>
                            <a:gd name="adj2" fmla="val 109656"/>
                          </a:avLst>
                        </a:prstGeom>
                        <a:solidFill>
                          <a:schemeClr val="accent1"/>
                        </a:solidFill>
                        <a:ln w="12700" cap="flat">
                          <a:noFill/>
                          <a:miter lim="400000"/>
                        </a:ln>
                        <a:effectLst/>
                      </wps:spPr>
                      <wps:bodyPr/>
                    </wps:wsp>
                  </a:graphicData>
                </a:graphic>
              </wp:anchor>
            </w:drawing>
          </mc:Choice>
          <mc:Fallback>
            <w:pict>
              <v:shape id="_x0000_s1027" type="#_x0000_t13" style="visibility:visible;position:absolute;margin-left:0.0pt;margin-top:0.0pt;width:127.6pt;height:55.5pt;z-index:251663360;mso-position-horizontal:absolute;mso-position-horizontal-relative:page;mso-position-vertical:absolute;mso-position-vertical-relative:line;mso-wrap-distance-left:12.0pt;mso-wrap-distance-top:12.0pt;mso-wrap-distance-right:12.0pt;mso-wrap-distance-bottom:12.0pt;rotation:9961472fd;" adj="11296,8471">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page"/>
              </v:shape>
            </w:pict>
          </mc:Fallback>
        </mc:AlternateConten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jc w:val="right"/>
        <w:rPr>
          <w:rFonts w:ascii="Arial" w:cs="Arial" w:hAnsi="Arial" w:eastAsia="Arial"/>
          <w:sz w:val="24"/>
          <w:szCs w:val="24"/>
        </w:rPr>
      </w:pPr>
    </w:p>
    <w:p>
      <w:pPr>
        <w:pStyle w:val="Body A"/>
        <w:spacing w:line="360" w:lineRule="auto"/>
        <w:jc w:val="right"/>
        <w:rPr>
          <w:rFonts w:ascii="Arial" w:cs="Arial" w:hAnsi="Arial" w:eastAsia="Arial"/>
          <w:sz w:val="24"/>
          <w:szCs w:val="24"/>
        </w:rPr>
      </w:pPr>
      <w:r>
        <w:rPr>
          <w:rFonts w:ascii="Arial" w:hAnsi="Arial"/>
          <w:sz w:val="24"/>
          <w:szCs w:val="24"/>
          <w:rtl w:val="0"/>
          <w:lang w:val="en-US"/>
        </w:rPr>
        <w:t>Student Name: Mark Littlejohns</w:t>
      </w:r>
    </w:p>
    <w:p>
      <w:pPr>
        <w:pStyle w:val="Body A"/>
        <w:spacing w:line="360" w:lineRule="auto"/>
        <w:jc w:val="right"/>
        <w:rPr>
          <w:rFonts w:ascii="Arial" w:cs="Arial" w:hAnsi="Arial" w:eastAsia="Arial"/>
          <w:sz w:val="24"/>
          <w:szCs w:val="24"/>
        </w:rPr>
      </w:pPr>
      <w:r>
        <w:rPr>
          <w:rFonts w:ascii="Arial" w:hAnsi="Arial"/>
          <w:sz w:val="24"/>
          <w:szCs w:val="24"/>
          <w:rtl w:val="0"/>
          <w:lang w:val="en-US"/>
        </w:rPr>
        <w:t>Student Number: 2011027</w:t>
      </w:r>
    </w:p>
    <w:p>
      <w:pPr>
        <w:pStyle w:val="Body A"/>
        <w:spacing w:line="360" w:lineRule="auto"/>
        <w:jc w:val="right"/>
        <w:rPr>
          <w:rFonts w:ascii="Arial" w:cs="Arial" w:hAnsi="Arial" w:eastAsia="Arial"/>
          <w:sz w:val="24"/>
          <w:szCs w:val="24"/>
        </w:rPr>
      </w:pPr>
      <w:r>
        <w:rPr>
          <w:rFonts w:ascii="Arial" w:hAnsi="Arial"/>
          <w:sz w:val="24"/>
          <w:szCs w:val="24"/>
          <w:rtl w:val="0"/>
          <w:lang w:val="en-US"/>
        </w:rPr>
        <w:t>Student Email: 2011027@student.uwtsd.ac.uk</w:t>
      </w:r>
    </w:p>
    <w:p>
      <w:pPr>
        <w:pStyle w:val="Body A"/>
        <w:spacing w:line="360" w:lineRule="auto"/>
        <w:jc w:val="right"/>
        <w:rPr>
          <w:rFonts w:ascii="Arial" w:cs="Arial" w:hAnsi="Arial" w:eastAsia="Arial"/>
          <w:sz w:val="24"/>
          <w:szCs w:val="24"/>
        </w:rPr>
      </w:pPr>
      <w:r>
        <w:rPr>
          <w:rFonts w:ascii="Arial" w:hAnsi="Arial"/>
          <w:sz w:val="24"/>
          <w:szCs w:val="24"/>
          <w:rtl w:val="0"/>
          <w:lang w:val="en-US"/>
        </w:rPr>
        <w:t>Date: 23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Infectious diseases surround us all the time, many of which are harmless but with an estimated 1.67 million unknown viral species on our planet, scientists estimate that between 631,000 - 827,000 of these have the potential to infect people. Only 263 of these viruses are known to scientists meaning that there is very little known about 99% of the other possible future pandemic threats. Areas of huge deforestation are a haven for zoonotic possibilities whereby it is estimated that a respiratory virus could reach all major capitals within 60 days (Kessler, 2018). </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This essay looks at the current Covid-19 pandemic believed to have originated from a zoonotic source, it</w:t>
      </w:r>
      <w:r>
        <w:rPr>
          <w:rFonts w:ascii="Arial" w:hAnsi="Arial" w:hint="default"/>
          <w:sz w:val="24"/>
          <w:szCs w:val="24"/>
          <w:rtl w:val="0"/>
          <w:lang w:val="en-US"/>
        </w:rPr>
        <w:t>’</w:t>
      </w:r>
      <w:r>
        <w:rPr>
          <w:rFonts w:ascii="Arial" w:hAnsi="Arial"/>
          <w:sz w:val="24"/>
          <w:szCs w:val="24"/>
          <w:rtl w:val="0"/>
          <w:lang w:val="en-US"/>
        </w:rPr>
        <w:t>s emergence and how the Oxford AstraZeneca Vaccine was at the forefront of the vaccine development, its clinical trials, authorisation for use and it</w:t>
      </w:r>
      <w:r>
        <w:rPr>
          <w:rFonts w:ascii="Arial" w:hAnsi="Arial" w:hint="default"/>
          <w:sz w:val="24"/>
          <w:szCs w:val="24"/>
          <w:rtl w:val="0"/>
          <w:lang w:val="en-US"/>
        </w:rPr>
        <w:t>’</w:t>
      </w:r>
      <w:r>
        <w:rPr>
          <w:rFonts w:ascii="Arial" w:hAnsi="Arial"/>
          <w:sz w:val="24"/>
          <w:szCs w:val="24"/>
          <w:rtl w:val="0"/>
          <w:lang w:val="en-US"/>
        </w:rPr>
        <w:t>s global alliance with the World Health Organisation in its attempt to vaccinate the world.</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Viruses can quickly progress from a localised regional endemic to a pandemic if not controlled (Robinson, 2020). A pandemic is an epidemic that travels and spreads over multiple countries through little or no immune response within humans which in turn allows a virus to quickly become out of control (World Health Organisation, 2010). Covid-19 did just that and whilst the initial origins of the virus are still to be formally established, the virus quickly became a pandemic causing a global emergency response due to the exceptional rise in transmission between people. An evolving pandemic can have harrowing affects with major economic, social and political unrest causing immense pressures on medical resources (Physiopedia, 2021) with many comparing the 145+ million Covid-19 cases (Worldometers, 2021) to previous pandemics such as the 1918 Spanish Flu as potentially the worst pandemic in modern day history (Jarus, 2020).</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In December 2019, Chinese epidemiologists in Wuhan were dealing with a cluster of patients suffering from pneumonia of a worrying unknown cause showing similar signs to the 2003 SARS outbreak and was later identified to be a new coronavirus that had not been seen before. On the 29th January 2020 the first patient tested positive in the United Kingdom with the World Health Organisation (WHO) declaring a Global Health Emergency on the 30th January 2020 after the rapid emergence of cases and deaths now happening worldwide. The International Committee on Taxonomy of Viruses (ICTV) announced on the 11th February 2020 that the virus was to be known scientifically as </w:t>
      </w:r>
      <w:r>
        <w:rPr>
          <w:rFonts w:ascii="Arial" w:hAnsi="Arial" w:hint="default"/>
          <w:sz w:val="24"/>
          <w:szCs w:val="24"/>
          <w:rtl w:val="0"/>
          <w:lang w:val="en-US"/>
        </w:rPr>
        <w:t>“</w:t>
      </w:r>
      <w:r>
        <w:rPr>
          <w:rFonts w:ascii="Arial" w:hAnsi="Arial"/>
          <w:sz w:val="24"/>
          <w:szCs w:val="24"/>
          <w:rtl w:val="0"/>
          <w:lang w:val="en-US"/>
        </w:rPr>
        <w:t>severe acute respiratory syndrome coronavirus 2 (SARS-CoV-2)</w:t>
      </w:r>
      <w:r>
        <w:rPr>
          <w:rFonts w:ascii="Arial" w:hAnsi="Arial" w:hint="default"/>
          <w:sz w:val="24"/>
          <w:szCs w:val="24"/>
          <w:rtl w:val="0"/>
          <w:lang w:val="en-US"/>
        </w:rPr>
        <w:t xml:space="preserve">” </w:t>
      </w:r>
      <w:r>
        <w:rPr>
          <w:rFonts w:ascii="Arial" w:hAnsi="Arial"/>
          <w:sz w:val="24"/>
          <w:szCs w:val="24"/>
          <w:rtl w:val="0"/>
          <w:lang w:val="en-US"/>
        </w:rPr>
        <w:t xml:space="preserve">due to its genetic relation to the coronavirus of the SARS 2003 outbreak, however, due to the fear of SARS within Asia and not to create unnecessary panic the WHO officially named the virus as Covid-19 and referred to the virus in public announcements as </w:t>
      </w:r>
      <w:r>
        <w:rPr>
          <w:rFonts w:ascii="Arial" w:hAnsi="Arial" w:hint="default"/>
          <w:sz w:val="24"/>
          <w:szCs w:val="24"/>
          <w:rtl w:val="0"/>
          <w:lang w:val="en-US"/>
        </w:rPr>
        <w:t>“</w:t>
      </w:r>
      <w:r>
        <w:rPr>
          <w:rFonts w:ascii="Arial" w:hAnsi="Arial"/>
          <w:sz w:val="24"/>
          <w:szCs w:val="24"/>
          <w:rtl w:val="0"/>
          <w:lang w:val="en-US"/>
        </w:rPr>
        <w:t>the virus responsible for Covid-19</w:t>
      </w:r>
      <w:r>
        <w:rPr>
          <w:rFonts w:ascii="Arial" w:hAnsi="Arial" w:hint="default"/>
          <w:sz w:val="24"/>
          <w:szCs w:val="24"/>
          <w:rtl w:val="0"/>
          <w:lang w:val="en-US"/>
        </w:rPr>
        <w:t xml:space="preserve">” </w:t>
      </w:r>
      <w:r>
        <w:rPr>
          <w:rFonts w:ascii="Arial" w:hAnsi="Arial"/>
          <w:sz w:val="24"/>
          <w:szCs w:val="24"/>
          <w:rtl w:val="0"/>
          <w:lang w:val="en-US"/>
        </w:rPr>
        <w:t xml:space="preserve">(WHO, 2021). Although the coronavirus zoonotic source has not yet been identified, coronaviruses are primarily transmitted in close contact environments with Covid-19 being highly active from human-human causing a variety of symptoms and often death in certain population categories and long term recovery complications (Public Health England, 2021). </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As cases surged globally, the United Kingdom (UK) Prime Minister briefed the nation on the 23rd March 2020 announcing a UK lockdown to control the spread of the virus amid fears of rising hospital admissions and hospitals going into meltdown (Aspinall, 2021). In a pandemic, public health and safety had to be protected as the world entered unknown territory. In making such decisions, the government has a variety of advisory groups that assembles during times of national crisis and the Civil Contingencies Secretariat (CCS) responsible for planning against major emergencies (gov.uk, 2018). The CCS also maintains the National Risk Assessment (NRA) who in 2017 updated their risk to medium-high that a new emerging infectious disease was likely (Institute for Government, 2021). During emergencies the Scientific Advisory Group for Emergencies (SAGE) provide scientific and technical advice to government officials to allow them to make the necessary decisions for public health and safety with the New and Emerging Respiratory Virus Threats Advisory Group (NERVTAG) advising government on threats posed by new respiratory viruses (Public Health England, 2021). SAGE consists of many working subgroups such as behavioural experts in health psychology, disease modelling, serology groups to understand the transmission of infectious diseases, data analysts, ethnic and minority groups and various policy and infection control procedures (Government Office for Science,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With a global emergency and a spiralling virus that has no human immunity, the need for a vaccine was urgently required to prevent future outbreaks and a global collaboration to end the Covid-19 pandemic. Two key scientists heralding decades of internationally recognised experience of Vaccinology at Oxford University, Professor Andrew Pollard and Professor Sarah Gilbert knew full well of the task that laid ahead of the world and unbeknown to them, became possibly the most globally important vaccine developed (Zennie, 2021). Although SARS-CoV-2 (Covid-19) is new to us, it is from a family of coronaviruses that have been around for many years and vary in strength from the common cold to more severe such as SARS and the 2012 Middle East Respiratory Syndrome (MERS) of which ironically, Professor Gilbert was working on a MERS coronavirus vaccine just before Covid-19 entered the world (Mahase, 2021). As part of the WHOs</w:t>
      </w:r>
      <w:r>
        <w:rPr>
          <w:rFonts w:ascii="Arial" w:hAnsi="Arial" w:hint="default"/>
          <w:sz w:val="24"/>
          <w:szCs w:val="24"/>
          <w:rtl w:val="0"/>
          <w:lang w:val="en-US"/>
        </w:rPr>
        <w:t xml:space="preserve">’ </w:t>
      </w:r>
      <w:r>
        <w:rPr>
          <w:rFonts w:ascii="Arial" w:hAnsi="Arial"/>
          <w:sz w:val="24"/>
          <w:szCs w:val="24"/>
          <w:rtl w:val="0"/>
          <w:lang w:val="en-US"/>
        </w:rPr>
        <w:t xml:space="preserve">(2018) response to the prevention of global pandemics, scientists and experts from around the world collaborate to the Disease Research and Development Blueprint who in 2018 added Disease X to their short list (WHO, 2021) which is a placeholder name for an unknown pathogen that could cause future epidemics in human disease. During times of global emergencies, early intervention plug and play type platforms for vaccine development are crucial in minimising global health catastrophes (Gouglas </w:t>
      </w:r>
      <w:r>
        <w:rPr>
          <w:rFonts w:ascii="Arial" w:hAnsi="Arial"/>
          <w:i w:val="1"/>
          <w:iCs w:val="1"/>
          <w:sz w:val="24"/>
          <w:szCs w:val="24"/>
          <w:rtl w:val="0"/>
          <w:lang w:val="en-US"/>
        </w:rPr>
        <w:t>et al</w:t>
      </w:r>
      <w:r>
        <w:rPr>
          <w:rFonts w:ascii="Arial" w:hAnsi="Arial"/>
          <w:sz w:val="24"/>
          <w:szCs w:val="24"/>
          <w:rtl w:val="0"/>
          <w:lang w:val="en-US"/>
        </w:rPr>
        <w:t>, 2019).</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Oxford University and its spin-out company Vaccitech were already steps ahead due to their viral vector technology delivery platform ChAdOx1, now known as AZD1222 and has been used in testing for other diseases such as MERS for nearly ten years by modifying a harmless adenovirus that causes common colds within chimpanzees. Using this platform and known past clinical data allowed for the quick development of the vaccine together with a landmark collaboration as announced by AstraZeneca (2020) that saw two world class organisations join forces in a fight against the pandemic to allow global development, manufacturing and distribution. </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ChAdOx1 is a non replicating virus and does not cause an infection so that once the genetic sequence of SARS-CoV-2 spike protein was identified as announced by Professor Zhang Yongzhens team at the Shanghai Public Health Clinical Centre on the 11th January 2020 (Yong-Zhen and Holmes, 2020), this sequencing code was then added to ChAdOx1 and upon entering the body, cells then read this coding and begin to produce copies of the spike protein which then triggers the immune response and remembers them so that if SARS-CoV-2 then enters the body, the immune system recognises this and initiates the response to destroy these (Thomas and Colin-Jones,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Despite having the genetic sequencing code for SARS-CoV-2 and what they believed to be a possible vaccine, clinical trials were now needed to test its tolerance, efficacy and on the 23rd April 2020, the first UK trial began. Unlike many vaccine trials, the protocols were publicly released allowing a rare opportunity for worldwide scrutiny (Doshi, 2020). A review by Voysey </w:t>
      </w:r>
      <w:r>
        <w:rPr>
          <w:rFonts w:ascii="Arial" w:hAnsi="Arial"/>
          <w:i w:val="1"/>
          <w:iCs w:val="1"/>
          <w:sz w:val="24"/>
          <w:szCs w:val="24"/>
          <w:rtl w:val="0"/>
          <w:lang w:val="en-US"/>
        </w:rPr>
        <w:t>et al</w:t>
      </w:r>
      <w:r>
        <w:rPr>
          <w:rFonts w:ascii="Arial" w:hAnsi="Arial"/>
          <w:sz w:val="24"/>
          <w:szCs w:val="24"/>
          <w:rtl w:val="0"/>
          <w:lang w:val="en-US"/>
        </w:rPr>
        <w:t xml:space="preserve"> (2021) at The Lancet analysed the trials safety and efficacy data over the 8 month trial period between 23rd April 2020 and the 04th November 2020 that saw 4 blinded clinical trials take place encompassing more than 20,000 participants between 18-65 years old from a range of diverse racial backgrounds, geographic groups along with healthy and those with medically stable chronic conditions. In total there were 2 trials conducted in the UK, 1 in Brazil, 1 in South Africa and a small trial conducted in Kenya that is awaiting data analysis.</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In the UK, COV001 was the initial first phase 1/2 trial that only recruited healthy volunteers between 18-55 years old and excluded anyone with a pre-existing condition whereas COV002 was a continuing phase 2/3 trial with recruitment specifically targeted at those working in possible high exposure areas such as health care settings and those in the 56-69 years old category. In Brazil, COV003 was a phase 3 trial recruiting high exposure workers to the virus and included those with stable pre-existing health conditions. COV005 in South Africa was a phase 1/2 trial in healthy volunteers 18-65 years old and later a small cohort for those with HIV were recruited but details of these were not included within the interim analysis.</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When conducting trials, there were 2 groups, group 1 who were given the developed vaccine and group 2 who were given a comparator meningococcal conjugate vaccine known as MenACWY, a vaccine routinely given to teenagers against common causes of meningitis and sepsis. It is also given as a travel vaccine to those visiting high risk countries. The reason for using MenACWY as a comparator vaccine was that the developed Covid-19 vaccine was likely to cause minor side effects such as headache, sore arm and fever. A saline comparator would not cause such effects and participants would quickly establish which method had been used. During clinical trials it is vital that participants remain blinded to which method has been used as any knowledge of this could affect their health behaviour within the community (Oxford Vaccine Group, 2020).</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In any trial, safety is paramount and developers often exclude those with certain medical conditions and those with immunocompromised systems such as HIV, but in the midst of a life threatening global pandemic, scientists and HIV/AIDS lobbying groups argued that those on effective anti viral medication do not generally have weaker immune systems and that there is no clinical justification for exclusion. With 38 million people worldwide living with the condition, excluding HIV participants would be inhumane and risk further mutations </w:t>
      </w:r>
      <w:r>
        <w:rPr>
          <w:rFonts w:ascii="Arial" w:hAnsi="Arial"/>
          <w:sz w:val="24"/>
          <w:szCs w:val="24"/>
          <w:rtl w:val="0"/>
          <w:lang w:val="de-DE"/>
        </w:rPr>
        <w:t>(Kaiser, 2020)</w:t>
      </w:r>
      <w:r>
        <w:rPr>
          <w:rFonts w:ascii="Arial" w:hAnsi="Arial"/>
          <w:sz w:val="24"/>
          <w:szCs w:val="24"/>
          <w:rtl w:val="0"/>
          <w:lang w:val="en-US"/>
        </w:rPr>
        <w:t>. In response to this, Oxford University added a new subgroup to its study to enrol 60 HIV positive adults in London but will not include a control group meaning that all 60 participants will get the developed vaccine (Collins, 2020).</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The trial data consisted of various dosages and dosing time frames between the two injections and all 4 trials were pooled together to suggest an overall vaccine efficacy of 70.4% with most participants showing 76% vaccine efficacy from a single standard dose from day 22 to day 90. Given this data and a serious adverse reaction rate of 0.7%, the interval between the 2 injections was expanded to ensure greater longevity of protection (Hung and Poland, 2021). During the 8 month trial period data was continually submitted to the UK Medicines and Healthcare products Regulatory Agency (MHRA) who in a press release by AstraZeneca on the 30th December 2020 granted authorisation for emergency supply of the vaccine within the UK under Regulation 174 of the Human Medicine Regulations 2012 which allows for rapid emergency approvals to address adverse public health issues. The European Medicines Agency gave EU approval on the 29th January 2021 (Torjesen, 2021) and in addressing the global need for the Covid-19 vaccine, AstraZeneca was granted Emergency Use Listing by the WHO on the 15th February 2021 which then enabled global access in partnership with COVAX to begin supplying the vaccine worldwide, predominately in low and middle-income countries.</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What makes the Oxford AstraZeneca Vaccine soo globally changing is its cost and storage requirements, described in an interview as </w:t>
      </w:r>
      <w:r>
        <w:rPr>
          <w:rFonts w:ascii="Arial" w:hAnsi="Arial" w:hint="default"/>
          <w:sz w:val="24"/>
          <w:szCs w:val="24"/>
          <w:rtl w:val="0"/>
          <w:lang w:val="en-US"/>
        </w:rPr>
        <w:t>“</w:t>
      </w:r>
      <w:r>
        <w:rPr>
          <w:rFonts w:ascii="Arial" w:hAnsi="Arial"/>
          <w:sz w:val="24"/>
          <w:szCs w:val="24"/>
          <w:rtl w:val="0"/>
          <w:lang w:val="en-US"/>
        </w:rPr>
        <w:t>the beginning of the end of the pandemic</w:t>
      </w:r>
      <w:r>
        <w:rPr>
          <w:rFonts w:ascii="Arial" w:hAnsi="Arial" w:hint="default"/>
          <w:sz w:val="24"/>
          <w:szCs w:val="24"/>
          <w:rtl w:val="0"/>
          <w:lang w:val="en-US"/>
        </w:rPr>
        <w:t xml:space="preserve">” </w:t>
      </w:r>
      <w:r>
        <w:rPr>
          <w:rFonts w:ascii="Arial" w:hAnsi="Arial"/>
          <w:sz w:val="24"/>
          <w:szCs w:val="24"/>
          <w:rtl w:val="0"/>
          <w:lang w:val="en-US"/>
        </w:rPr>
        <w:t>(Zennie, 2021). Compared to Pfizer</w:t>
      </w:r>
      <w:r>
        <w:rPr>
          <w:rFonts w:ascii="Arial" w:hAnsi="Arial" w:hint="default"/>
          <w:sz w:val="24"/>
          <w:szCs w:val="24"/>
          <w:rtl w:val="0"/>
          <w:lang w:val="en-US"/>
        </w:rPr>
        <w:t>’</w:t>
      </w:r>
      <w:r>
        <w:rPr>
          <w:rFonts w:ascii="Arial" w:hAnsi="Arial"/>
          <w:sz w:val="24"/>
          <w:szCs w:val="24"/>
          <w:rtl w:val="0"/>
          <w:lang w:val="en-US"/>
        </w:rPr>
        <w:t>s $20 and Moderna's $25-$37 per dose, Oxfords $3-$4 per dose price tag and storage of up to 6 months under normal refrigeration temperatures brings equality to the world of vaccines and access for all to those in the poorest regions of the world through its agreements with Coalition Epidemic Preparedness Innovations (CEPI), Gavi the Vaccine Alliance and the WHO using COVAX as the procurement and distribution platform that was launched by the WHO and European Commission to ensure global equality in vaccine distribution. In addition to this, AstraZeneca aims to supply 3 billion vaccines by the end of 2021 (Berkley, 2020).</w:t>
      </w:r>
    </w:p>
    <w:p>
      <w:pPr>
        <w:pStyle w:val="Body A"/>
        <w:spacing w:line="360" w:lineRule="auto"/>
        <w:rPr>
          <w:rFonts w:ascii="Arial" w:cs="Arial" w:hAnsi="Arial" w:eastAsia="Arial"/>
          <w:sz w:val="24"/>
          <w:szCs w:val="24"/>
        </w:rPr>
      </w:pPr>
      <w:r>
        <w:rPr>
          <w:rFonts w:ascii="Arial" w:hAnsi="Arial"/>
          <w:sz w:val="24"/>
          <w:szCs w:val="24"/>
          <w:rtl w:val="0"/>
          <w:lang w:val="en-US"/>
        </w:rPr>
        <w:t xml:space="preserve">There are currently 289 experimental covid-19 vaccines being developed of which 66 are in clinical trials, 20 in phase 3 although only 5 of these vaccines have met the WHO requirements and authorised to supply (Wouters </w:t>
      </w:r>
      <w:r>
        <w:rPr>
          <w:rFonts w:ascii="Arial" w:hAnsi="Arial"/>
          <w:i w:val="1"/>
          <w:iCs w:val="1"/>
          <w:sz w:val="24"/>
          <w:szCs w:val="24"/>
          <w:rtl w:val="0"/>
          <w:lang w:val="en-US"/>
        </w:rPr>
        <w:t xml:space="preserve">et al. </w:t>
      </w:r>
      <w:r>
        <w:rPr>
          <w:rFonts w:ascii="Arial" w:hAnsi="Arial"/>
          <w:sz w:val="24"/>
          <w:szCs w:val="24"/>
          <w:rtl w:val="0"/>
          <w:lang w:val="en-US"/>
        </w:rPr>
        <w:t>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As waves of new infections and mutations arise, vaccine development continues to be ever changing in response to this. Governments intermittent lockdowns around the world hamper economic and social recovery. From what has been seen in the last 12 months and the rapid spread of the virus, I question that had we known then what we do now, would there have been less economical impact and swifter recovery if we had closed the world borders completely, stopped all passenger air travel and therefore containing the virus within each country effectively minimising the multitude of mutations we now see. The wet markets in China have come under immense scrutiny with calls for their closure, especially those that sell animals from the wild that create a perfect environment for a zoonotic virus to revel in its quest for succession. </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b w:val="1"/>
          <w:bCs w:val="1"/>
          <w:sz w:val="24"/>
          <w:szCs w:val="24"/>
          <w:u w:val="single"/>
        </w:rPr>
      </w:pPr>
      <w:r>
        <w:rPr>
          <w:rFonts w:ascii="Arial" w:hAnsi="Arial"/>
          <w:b w:val="1"/>
          <w:bCs w:val="1"/>
          <w:sz w:val="24"/>
          <w:szCs w:val="24"/>
          <w:u w:val="single"/>
          <w:rtl w:val="0"/>
          <w:lang w:val="en-US"/>
        </w:rPr>
        <w:t>Reference List:</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Aspinall, E. (2021) </w:t>
      </w:r>
      <w:r>
        <w:rPr>
          <w:rFonts w:ascii="Arial" w:hAnsi="Arial"/>
          <w:i w:val="1"/>
          <w:iCs w:val="1"/>
          <w:sz w:val="24"/>
          <w:szCs w:val="24"/>
          <w:rtl w:val="0"/>
          <w:lang w:val="en-US"/>
        </w:rPr>
        <w:t>COVID-19 Timeline</w:t>
      </w:r>
      <w:r>
        <w:rPr>
          <w:rFonts w:ascii="Arial" w:hAnsi="Arial"/>
          <w:sz w:val="24"/>
          <w:szCs w:val="24"/>
          <w:rtl w:val="0"/>
          <w:lang w:val="en-US"/>
        </w:rPr>
        <w:t>. Available at:  https://bfpg.co.uk/2020/04/covid-19-timeline/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AstraZeneca (2020) </w:t>
      </w:r>
      <w:r>
        <w:rPr>
          <w:rFonts w:ascii="Arial" w:hAnsi="Arial"/>
          <w:i w:val="1"/>
          <w:iCs w:val="1"/>
          <w:sz w:val="24"/>
          <w:szCs w:val="24"/>
          <w:rtl w:val="0"/>
          <w:lang w:val="en-US"/>
        </w:rPr>
        <w:t>AstraZeneca and Oxford University announce landmark agreement for COVID-19 vaccine.</w:t>
      </w:r>
      <w:r>
        <w:rPr>
          <w:rFonts w:ascii="Arial" w:hAnsi="Arial"/>
          <w:sz w:val="24"/>
          <w:szCs w:val="24"/>
          <w:rtl w:val="0"/>
          <w:lang w:val="en-US"/>
        </w:rPr>
        <w:t xml:space="preserve"> Available at : https://www.astrazeneca.com/media-centre/press-releases/2020/astrazeneca-and-oxford-university-announce-landmark-agreement-for-covid-19-vaccine.html (Accessed: 17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AstraZeneca (2020) </w:t>
      </w:r>
      <w:r>
        <w:rPr>
          <w:rFonts w:ascii="Arial" w:hAnsi="Arial"/>
          <w:i w:val="1"/>
          <w:iCs w:val="1"/>
          <w:sz w:val="24"/>
          <w:szCs w:val="24"/>
          <w:rtl w:val="0"/>
          <w:lang w:val="en-US"/>
        </w:rPr>
        <w:t>AstraZeneca</w:t>
      </w:r>
      <w:r>
        <w:rPr>
          <w:rFonts w:ascii="Arial" w:hAnsi="Arial" w:hint="default"/>
          <w:i w:val="1"/>
          <w:iCs w:val="1"/>
          <w:sz w:val="24"/>
          <w:szCs w:val="24"/>
          <w:rtl w:val="0"/>
          <w:lang w:val="en-US"/>
        </w:rPr>
        <w:t>’</w:t>
      </w:r>
      <w:r>
        <w:rPr>
          <w:rFonts w:ascii="Arial" w:hAnsi="Arial"/>
          <w:i w:val="1"/>
          <w:iCs w:val="1"/>
          <w:sz w:val="24"/>
          <w:szCs w:val="24"/>
          <w:rtl w:val="0"/>
          <w:lang w:val="en-US"/>
        </w:rPr>
        <w:t>s COVID-19 vaccine authorised for emergency supply in the UK.</w:t>
      </w:r>
      <w:r>
        <w:rPr>
          <w:rFonts w:ascii="Arial" w:hAnsi="Arial"/>
          <w:sz w:val="24"/>
          <w:szCs w:val="24"/>
          <w:rtl w:val="0"/>
          <w:lang w:val="en-US"/>
        </w:rPr>
        <w:t xml:space="preserve"> Available at: https://www.astrazeneca.com/media-centre/press-releases/2020/astrazenecas-covid-19-vaccine-authorised-in-uk.html (Accessed: 21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AstraZeneca (2021) </w:t>
      </w:r>
      <w:r>
        <w:rPr>
          <w:rFonts w:ascii="Arial" w:hAnsi="Arial"/>
          <w:i w:val="1"/>
          <w:iCs w:val="1"/>
          <w:sz w:val="24"/>
          <w:szCs w:val="24"/>
          <w:rtl w:val="0"/>
          <w:lang w:val="en-US"/>
        </w:rPr>
        <w:t>AstraZeneca COVID-19 vaccine authorised for emergency use by the World Health Organization</w:t>
      </w:r>
      <w:r>
        <w:rPr>
          <w:rFonts w:ascii="Arial" w:hAnsi="Arial"/>
          <w:sz w:val="24"/>
          <w:szCs w:val="24"/>
          <w:rtl w:val="0"/>
          <w:lang w:val="en-US"/>
        </w:rPr>
        <w:t>. Available at: https://www.astrazeneca.com/media-centre/press-releases/2021/astrazeneca-covid-19-vaccine-authorised-for-emergency-use-by-the-world-health-organization.html (Accessed: 22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Berkley, S. (2020) </w:t>
      </w:r>
      <w:r>
        <w:rPr>
          <w:rFonts w:ascii="Arial" w:hAnsi="Arial"/>
          <w:i w:val="1"/>
          <w:iCs w:val="1"/>
          <w:sz w:val="24"/>
          <w:szCs w:val="24"/>
          <w:rtl w:val="0"/>
          <w:lang w:val="en-US"/>
        </w:rPr>
        <w:t>Covax explained</w:t>
      </w:r>
      <w:r>
        <w:rPr>
          <w:rFonts w:ascii="Arial" w:hAnsi="Arial"/>
          <w:sz w:val="24"/>
          <w:szCs w:val="24"/>
          <w:rtl w:val="0"/>
          <w:lang w:val="en-US"/>
        </w:rPr>
        <w:t>. Available at: https://www.gavi.org/vaccineswork/covax-explained (Accessed: 22 April 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Collins, S. (2020) </w:t>
      </w:r>
      <w:r>
        <w:rPr>
          <w:rFonts w:ascii="Arial" w:hAnsi="Arial"/>
          <w:i w:val="1"/>
          <w:iCs w:val="1"/>
          <w:sz w:val="24"/>
          <w:szCs w:val="24"/>
          <w:rtl w:val="0"/>
          <w:lang w:val="en-US"/>
        </w:rPr>
        <w:t>Oxford COVID vaccine enrolling HIV positive people at two London sites.</w:t>
      </w:r>
      <w:r>
        <w:rPr>
          <w:rFonts w:ascii="Arial" w:hAnsi="Arial"/>
          <w:sz w:val="24"/>
          <w:szCs w:val="24"/>
          <w:rtl w:val="0"/>
          <w:lang w:val="en-US"/>
        </w:rPr>
        <w:t xml:space="preserve"> Available at: https://i-base.info/htb/39256 (Accessed: 21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Doshi, P. (2020) </w:t>
      </w:r>
      <w:r>
        <w:rPr>
          <w:rFonts w:ascii="Arial" w:hAnsi="Arial" w:hint="default"/>
          <w:sz w:val="24"/>
          <w:szCs w:val="24"/>
          <w:rtl w:val="0"/>
          <w:lang w:val="en-US"/>
        </w:rPr>
        <w:t>‘</w:t>
      </w:r>
      <w:r>
        <w:rPr>
          <w:rFonts w:ascii="Arial" w:hAnsi="Arial"/>
          <w:sz w:val="24"/>
          <w:szCs w:val="24"/>
          <w:rtl w:val="0"/>
          <w:lang w:val="en-US"/>
        </w:rPr>
        <w:t>Covid-19 vaccine trial protocols released, The Bmj, 371, p. 4058. DOI: 10.1136/bmj.m4058</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Gouglas, D. Christodoulou, M. Plotkin, S.A. and Hatchett, R. (2019) </w:t>
      </w:r>
      <w:r>
        <w:rPr>
          <w:rFonts w:ascii="Arial" w:hAnsi="Arial" w:hint="default"/>
          <w:sz w:val="24"/>
          <w:szCs w:val="24"/>
          <w:rtl w:val="0"/>
          <w:lang w:val="en-US"/>
        </w:rPr>
        <w:t>‘</w:t>
      </w:r>
      <w:r>
        <w:rPr>
          <w:rFonts w:ascii="Arial" w:hAnsi="Arial"/>
          <w:sz w:val="24"/>
          <w:szCs w:val="24"/>
          <w:rtl w:val="0"/>
          <w:lang w:val="en-US"/>
        </w:rPr>
        <w:t>CEPI: Driving Progress Towards Epidemic Preparedness and Response</w:t>
      </w:r>
      <w:r>
        <w:rPr>
          <w:rFonts w:ascii="Arial" w:hAnsi="Arial" w:hint="default"/>
          <w:sz w:val="24"/>
          <w:szCs w:val="24"/>
          <w:rtl w:val="0"/>
          <w:lang w:val="en-US"/>
        </w:rPr>
        <w:t>’</w:t>
      </w:r>
      <w:r>
        <w:rPr>
          <w:rFonts w:ascii="Arial" w:hAnsi="Arial"/>
          <w:sz w:val="24"/>
          <w:szCs w:val="24"/>
          <w:rtl w:val="0"/>
          <w:lang w:val="en-US"/>
        </w:rPr>
        <w:t xml:space="preserve">, </w:t>
      </w:r>
      <w:r>
        <w:rPr>
          <w:rFonts w:ascii="Arial" w:hAnsi="Arial"/>
          <w:i w:val="1"/>
          <w:iCs w:val="1"/>
          <w:sz w:val="24"/>
          <w:szCs w:val="24"/>
          <w:rtl w:val="0"/>
          <w:lang w:val="en-US"/>
        </w:rPr>
        <w:t>NCBI</w:t>
      </w:r>
      <w:r>
        <w:rPr>
          <w:rFonts w:ascii="Arial" w:hAnsi="Arial"/>
          <w:sz w:val="24"/>
          <w:szCs w:val="24"/>
          <w:rtl w:val="0"/>
          <w:lang w:val="en-US"/>
        </w:rPr>
        <w:t>. 41(1), pp. 28-33. DOI: 10.1093/epirev/mxz012</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GOV.UK (2018) </w:t>
      </w:r>
      <w:r>
        <w:rPr>
          <w:rFonts w:ascii="Arial" w:hAnsi="Arial"/>
          <w:i w:val="1"/>
          <w:iCs w:val="1"/>
          <w:sz w:val="24"/>
          <w:szCs w:val="24"/>
          <w:rtl w:val="0"/>
          <w:lang w:val="en-US"/>
        </w:rPr>
        <w:t>Preparation and planning for emergencies</w:t>
      </w:r>
      <w:r>
        <w:rPr>
          <w:rFonts w:ascii="Arial" w:hAnsi="Arial"/>
          <w:sz w:val="24"/>
          <w:szCs w:val="24"/>
          <w:rtl w:val="0"/>
          <w:lang w:val="en-US"/>
        </w:rPr>
        <w:t>. Available at: https://www.gov.uk/guidance/preparation-and-planning-for-emergencies-the-capabilities-programme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Government Office for Science (2021) </w:t>
      </w:r>
      <w:r>
        <w:rPr>
          <w:rFonts w:ascii="Arial" w:hAnsi="Arial"/>
          <w:i w:val="1"/>
          <w:iCs w:val="1"/>
          <w:sz w:val="24"/>
          <w:szCs w:val="24"/>
          <w:rtl w:val="0"/>
          <w:lang w:val="en-US"/>
        </w:rPr>
        <w:t>List of participants of SAGE and related sub-groups.</w:t>
      </w:r>
      <w:r>
        <w:rPr>
          <w:rFonts w:ascii="Arial" w:hAnsi="Arial"/>
          <w:sz w:val="24"/>
          <w:szCs w:val="24"/>
          <w:rtl w:val="0"/>
          <w:lang w:val="en-US"/>
        </w:rPr>
        <w:t xml:space="preserve"> Available at:  https://www.gov.uk/government/publications/scientific-advisory-group-for-emergencies-sage-coronavirus-covid-19-response-membership/list-of-participants-of-sage-and-related-sub-groups (Accessed: 21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Hung, I.F.N. Poland, G.A. (2021) </w:t>
      </w:r>
      <w:r>
        <w:rPr>
          <w:rFonts w:ascii="Arial" w:hAnsi="Arial" w:hint="default"/>
          <w:sz w:val="24"/>
          <w:szCs w:val="24"/>
          <w:rtl w:val="0"/>
          <w:lang w:val="en-US"/>
        </w:rPr>
        <w:t>‘</w:t>
      </w:r>
      <w:r>
        <w:rPr>
          <w:rFonts w:ascii="Arial" w:hAnsi="Arial"/>
          <w:sz w:val="24"/>
          <w:szCs w:val="24"/>
          <w:rtl w:val="0"/>
          <w:lang w:val="en-US"/>
        </w:rPr>
        <w:t>Single-dose Oxford-AstraZeneca COVID-19 vaccine followed by a 12-week booster</w:t>
      </w:r>
      <w:r>
        <w:rPr>
          <w:rFonts w:ascii="Arial" w:hAnsi="Arial" w:hint="default"/>
          <w:sz w:val="24"/>
          <w:szCs w:val="24"/>
          <w:rtl w:val="0"/>
          <w:lang w:val="en-US"/>
        </w:rPr>
        <w:t>’</w:t>
      </w:r>
      <w:r>
        <w:rPr>
          <w:rFonts w:ascii="Arial" w:hAnsi="Arial"/>
          <w:sz w:val="24"/>
          <w:szCs w:val="24"/>
          <w:rtl w:val="0"/>
          <w:lang w:val="en-US"/>
        </w:rPr>
        <w:t xml:space="preserve">, </w:t>
      </w:r>
      <w:r>
        <w:rPr>
          <w:rFonts w:ascii="Arial" w:hAnsi="Arial"/>
          <w:i w:val="1"/>
          <w:iCs w:val="1"/>
          <w:sz w:val="24"/>
          <w:szCs w:val="24"/>
          <w:rtl w:val="0"/>
          <w:lang w:val="en-US"/>
        </w:rPr>
        <w:t>The Lancet</w:t>
      </w:r>
      <w:r>
        <w:rPr>
          <w:rFonts w:ascii="Arial" w:hAnsi="Arial"/>
          <w:sz w:val="24"/>
          <w:szCs w:val="24"/>
          <w:rtl w:val="0"/>
          <w:lang w:val="en-US"/>
        </w:rPr>
        <w:t>, 397(10277), pp. 854-855. DOI: 10.1016/S0140-6736(21)00528-6</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Institute for Government (2021) </w:t>
      </w:r>
      <w:r>
        <w:rPr>
          <w:rFonts w:ascii="Arial" w:hAnsi="Arial"/>
          <w:i w:val="1"/>
          <w:iCs w:val="1"/>
          <w:sz w:val="24"/>
          <w:szCs w:val="24"/>
          <w:rtl w:val="0"/>
          <w:lang w:val="en-US"/>
        </w:rPr>
        <w:t>Scientific Advisory Group on Emergencies (SAGE).</w:t>
      </w:r>
      <w:r>
        <w:rPr>
          <w:rFonts w:ascii="Arial" w:hAnsi="Arial"/>
          <w:sz w:val="24"/>
          <w:szCs w:val="24"/>
          <w:rtl w:val="0"/>
          <w:lang w:val="en-US"/>
        </w:rPr>
        <w:t xml:space="preserve"> Available at: https://www.instituteforgovernment.org.uk/printpdf/9601 (Accessed: 21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Jarus, O. (2020) </w:t>
      </w:r>
      <w:r>
        <w:rPr>
          <w:rFonts w:ascii="Arial" w:hAnsi="Arial"/>
          <w:i w:val="1"/>
          <w:iCs w:val="1"/>
          <w:sz w:val="24"/>
          <w:szCs w:val="24"/>
          <w:rtl w:val="0"/>
          <w:lang w:val="en-US"/>
        </w:rPr>
        <w:t>20 of the worst epidemics and pandemics in history.</w:t>
      </w:r>
      <w:r>
        <w:rPr>
          <w:rFonts w:ascii="Arial" w:hAnsi="Arial"/>
          <w:sz w:val="24"/>
          <w:szCs w:val="24"/>
          <w:rtl w:val="0"/>
          <w:lang w:val="en-US"/>
        </w:rPr>
        <w:t xml:space="preserve"> Available at: https://www.livescience.com/worst-epidemics-and-pandemics-in-history.html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Kaiser, J. (2020) </w:t>
      </w:r>
      <w:r>
        <w:rPr>
          <w:rFonts w:ascii="Arial" w:hAnsi="Arial"/>
          <w:i w:val="1"/>
          <w:iCs w:val="1"/>
          <w:sz w:val="24"/>
          <w:szCs w:val="24"/>
          <w:rtl w:val="0"/>
          <w:lang w:val="en-US"/>
        </w:rPr>
        <w:t>Groups protest exclusion of HIV-infected people from coronavirus vaccine trials.</w:t>
      </w:r>
      <w:r>
        <w:rPr>
          <w:rFonts w:ascii="Arial" w:hAnsi="Arial"/>
          <w:sz w:val="24"/>
          <w:szCs w:val="24"/>
          <w:rtl w:val="0"/>
          <w:lang w:val="en-US"/>
        </w:rPr>
        <w:t xml:space="preserve"> Available at: https://www.sciencemag.org/news/2020/08/groups-protest-exclusion-hiv-infected-people-coronavirus-vaccine-trials (Accessed: 21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Kessler, R. (2021) </w:t>
      </w:r>
      <w:r>
        <w:rPr>
          <w:rFonts w:ascii="Arial" w:hAnsi="Arial"/>
          <w:i w:val="1"/>
          <w:iCs w:val="1"/>
          <w:sz w:val="24"/>
          <w:szCs w:val="24"/>
          <w:rtl w:val="0"/>
          <w:lang w:val="en-US"/>
        </w:rPr>
        <w:t>Disease X: The Next Pandemic</w:t>
      </w:r>
      <w:r>
        <w:rPr>
          <w:rFonts w:ascii="Arial" w:hAnsi="Arial"/>
          <w:sz w:val="24"/>
          <w:szCs w:val="24"/>
          <w:rtl w:val="0"/>
          <w:lang w:val="en-US"/>
        </w:rPr>
        <w:t>. Available at: https://www.ecohealthalliance.org/2018/03/disease-x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Mahase, E. (2021) </w:t>
      </w:r>
      <w:r>
        <w:rPr>
          <w:rFonts w:ascii="Arial" w:hAnsi="Arial" w:hint="default"/>
          <w:sz w:val="24"/>
          <w:szCs w:val="24"/>
          <w:rtl w:val="0"/>
          <w:lang w:val="en-US"/>
        </w:rPr>
        <w:t>‘</w:t>
      </w:r>
      <w:r>
        <w:rPr>
          <w:rFonts w:ascii="Arial" w:hAnsi="Arial"/>
          <w:sz w:val="24"/>
          <w:szCs w:val="24"/>
          <w:rtl w:val="0"/>
          <w:lang w:val="en-US"/>
        </w:rPr>
        <w:t>How the Oxford-AstraZeneca covid-19 vaccine was made</w:t>
      </w:r>
      <w:r>
        <w:rPr>
          <w:rFonts w:ascii="Arial" w:hAnsi="Arial" w:hint="default"/>
          <w:sz w:val="24"/>
          <w:szCs w:val="24"/>
          <w:rtl w:val="0"/>
          <w:lang w:val="en-US"/>
        </w:rPr>
        <w:t>’</w:t>
      </w:r>
      <w:r>
        <w:rPr>
          <w:rFonts w:ascii="Arial" w:hAnsi="Arial"/>
          <w:sz w:val="24"/>
          <w:szCs w:val="24"/>
          <w:rtl w:val="0"/>
          <w:lang w:val="en-US"/>
        </w:rPr>
        <w:t xml:space="preserve">, </w:t>
      </w:r>
      <w:r>
        <w:rPr>
          <w:rFonts w:ascii="Arial" w:hAnsi="Arial"/>
          <w:i w:val="1"/>
          <w:iCs w:val="1"/>
          <w:sz w:val="24"/>
          <w:szCs w:val="24"/>
          <w:rtl w:val="0"/>
          <w:lang w:val="en-US"/>
        </w:rPr>
        <w:t>The Bmj</w:t>
      </w:r>
      <w:r>
        <w:rPr>
          <w:rFonts w:ascii="Arial" w:hAnsi="Arial"/>
          <w:sz w:val="24"/>
          <w:szCs w:val="24"/>
          <w:rtl w:val="0"/>
          <w:lang w:val="en-US"/>
        </w:rPr>
        <w:t>, 372, p86. DOI: 10.1136/bmj.n86</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Oxford Vaccine Group (2020) </w:t>
      </w:r>
      <w:r>
        <w:rPr>
          <w:rFonts w:ascii="Arial" w:hAnsi="Arial"/>
          <w:i w:val="1"/>
          <w:iCs w:val="1"/>
          <w:sz w:val="24"/>
          <w:szCs w:val="24"/>
          <w:rtl w:val="0"/>
          <w:lang w:val="en-US"/>
        </w:rPr>
        <w:t>Oxford COVID-19 vaccine begins human trial stage.</w:t>
      </w:r>
      <w:r>
        <w:rPr>
          <w:rFonts w:ascii="Arial" w:hAnsi="Arial"/>
          <w:sz w:val="24"/>
          <w:szCs w:val="24"/>
          <w:rtl w:val="0"/>
          <w:lang w:val="en-US"/>
        </w:rPr>
        <w:t xml:space="preserve"> Available at: https://www.ovg.ox.ac.uk/news/oxford-covid-19-vaccine-begins-human-trial-stage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Public Health England (2021) </w:t>
      </w:r>
      <w:r>
        <w:rPr>
          <w:rFonts w:ascii="Arial" w:hAnsi="Arial"/>
          <w:i w:val="1"/>
          <w:iCs w:val="1"/>
          <w:sz w:val="24"/>
          <w:szCs w:val="24"/>
          <w:rtl w:val="0"/>
          <w:lang w:val="en-US"/>
        </w:rPr>
        <w:t>New and Emerging Respiratory Virus Threats Advisory Groups</w:t>
      </w:r>
      <w:r>
        <w:rPr>
          <w:rFonts w:ascii="Arial" w:hAnsi="Arial"/>
          <w:sz w:val="24"/>
          <w:szCs w:val="24"/>
          <w:rtl w:val="0"/>
          <w:lang w:val="en-US"/>
        </w:rPr>
        <w:t>. Available at: https://www.gov.uk/government/groups/new-and-emerging-respiratory-virus-threats-advisory-group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Public Health England (2021) </w:t>
      </w:r>
      <w:r>
        <w:rPr>
          <w:rFonts w:ascii="Arial" w:hAnsi="Arial"/>
          <w:i w:val="1"/>
          <w:iCs w:val="1"/>
          <w:sz w:val="24"/>
          <w:szCs w:val="24"/>
          <w:rtl w:val="0"/>
          <w:lang w:val="en-US"/>
        </w:rPr>
        <w:t>COVID-19: epidemiology, virology and clinical features.</w:t>
      </w:r>
      <w:r>
        <w:rPr>
          <w:rFonts w:ascii="Arial" w:hAnsi="Arial"/>
          <w:sz w:val="24"/>
          <w:szCs w:val="24"/>
          <w:rtl w:val="0"/>
          <w:lang w:val="en-US"/>
        </w:rPr>
        <w:t xml:space="preserve"> Available at: https://www.gov.uk/government/publications/wuhan-novel-coronavirus-background-information/wuhan-novel-coronavirus-epidemiology-virology-and-clinical-features#:~:text=On%2031%20December%202019%2C,as%20COVID%2D19. (Accessed: 18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Physiopedia (2021) </w:t>
      </w:r>
      <w:r>
        <w:rPr>
          <w:rFonts w:ascii="Arial" w:hAnsi="Arial"/>
          <w:i w:val="1"/>
          <w:iCs w:val="1"/>
          <w:sz w:val="24"/>
          <w:szCs w:val="24"/>
          <w:rtl w:val="0"/>
          <w:lang w:val="en-US"/>
        </w:rPr>
        <w:t>Endemics, Epidemics and Pandemics.</w:t>
      </w:r>
      <w:r>
        <w:rPr>
          <w:rFonts w:ascii="Arial" w:hAnsi="Arial"/>
          <w:sz w:val="24"/>
          <w:szCs w:val="24"/>
          <w:rtl w:val="0"/>
          <w:lang w:val="en-US"/>
        </w:rPr>
        <w:t xml:space="preserve"> Available at: https://www.physio-pedia.com/Endemics,_Epidemics_and_Pandemics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Robinson, J. (2020) </w:t>
      </w:r>
      <w:r>
        <w:rPr>
          <w:rFonts w:ascii="Arial" w:hAnsi="Arial"/>
          <w:i w:val="1"/>
          <w:iCs w:val="1"/>
          <w:sz w:val="24"/>
          <w:szCs w:val="24"/>
          <w:rtl w:val="0"/>
          <w:lang w:val="en-US"/>
        </w:rPr>
        <w:t>Pandemics</w:t>
      </w:r>
      <w:r>
        <w:rPr>
          <w:rFonts w:ascii="Arial" w:hAnsi="Arial"/>
          <w:sz w:val="24"/>
          <w:szCs w:val="24"/>
          <w:rtl w:val="0"/>
          <w:lang w:val="en-US"/>
        </w:rPr>
        <w:t>. Available at: https://www.webmd.com/cold-and-flu/what-are-epidemics-pandemics-outbreaks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Thomas, T. Colin-Jones, R. (2021) </w:t>
      </w:r>
      <w:r>
        <w:rPr>
          <w:rFonts w:ascii="Arial" w:hAnsi="Arial"/>
          <w:i w:val="1"/>
          <w:iCs w:val="1"/>
          <w:sz w:val="24"/>
          <w:szCs w:val="24"/>
          <w:rtl w:val="0"/>
          <w:lang w:val="en-US"/>
        </w:rPr>
        <w:t>Oxford scientists: how we developed our COVID-19 vaccine in record time.</w:t>
      </w:r>
      <w:r>
        <w:rPr>
          <w:rFonts w:ascii="Arial" w:hAnsi="Arial"/>
          <w:sz w:val="24"/>
          <w:szCs w:val="24"/>
          <w:rtl w:val="0"/>
          <w:lang w:val="en-US"/>
        </w:rPr>
        <w:t xml:space="preserve"> Available at: https://theconversation.com/oxford-scientists-how-we-developed-our-covid-19-vaccine-in-record-time-153135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Torjesen, I. (2021) </w:t>
      </w:r>
      <w:r>
        <w:rPr>
          <w:rFonts w:ascii="Arial" w:hAnsi="Arial" w:hint="default"/>
          <w:sz w:val="24"/>
          <w:szCs w:val="24"/>
          <w:rtl w:val="0"/>
          <w:lang w:val="en-US"/>
        </w:rPr>
        <w:t>‘</w:t>
      </w:r>
      <w:r>
        <w:rPr>
          <w:rFonts w:ascii="Arial" w:hAnsi="Arial"/>
          <w:sz w:val="24"/>
          <w:szCs w:val="24"/>
          <w:rtl w:val="0"/>
          <w:lang w:val="en-US"/>
        </w:rPr>
        <w:t>Covid-19: AstraZeneca vaccine is approved in EU with no upper age limit</w:t>
      </w:r>
      <w:r>
        <w:rPr>
          <w:rFonts w:ascii="Arial" w:hAnsi="Arial" w:hint="default"/>
          <w:sz w:val="24"/>
          <w:szCs w:val="24"/>
          <w:rtl w:val="0"/>
          <w:lang w:val="en-US"/>
        </w:rPr>
        <w:t>’</w:t>
      </w:r>
      <w:r>
        <w:rPr>
          <w:rFonts w:ascii="Arial" w:hAnsi="Arial"/>
          <w:sz w:val="24"/>
          <w:szCs w:val="24"/>
          <w:rtl w:val="0"/>
          <w:lang w:val="en-US"/>
        </w:rPr>
        <w:t xml:space="preserve">, </w:t>
      </w:r>
      <w:r>
        <w:rPr>
          <w:rFonts w:ascii="Arial" w:hAnsi="Arial"/>
          <w:i w:val="1"/>
          <w:iCs w:val="1"/>
          <w:sz w:val="24"/>
          <w:szCs w:val="24"/>
          <w:rtl w:val="0"/>
          <w:lang w:val="en-US"/>
        </w:rPr>
        <w:t>The Bmj</w:t>
      </w:r>
      <w:r>
        <w:rPr>
          <w:rFonts w:ascii="Arial" w:hAnsi="Arial"/>
          <w:sz w:val="24"/>
          <w:szCs w:val="24"/>
          <w:rtl w:val="0"/>
          <w:lang w:val="en-US"/>
        </w:rPr>
        <w:t>, 372, p. 295. DOI: 10.1136/bmj.n295</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Voysey, M. Clemens, S.A.C. Madhi, S.A. Weckx, L.Y. Folegatti, P.M. Aley, P.K. Angus, B. Baillie, V.L. Barnabas, S.L. Bhorat, Q.E. Bibi, S. Briner, C. Cicconi, P. Collins, A.M. Colin-Jones, R. Cutland, C.L. Darton, T.C. Dheda, K. Duncanc, C.J.A. Emray, K.R.W. Ewer, K.J. Fairlie, L. Faust, S.N. Feng, S. Ferreira, D.M. Finn, A. Goodman, A.L. Green, C.M. Green, C.A. Heath, P.T. Hill, C. Hill, H. Hirsch. I. Hodgson, S.H.C. Izu, A. Jackson, S. Jenkin, D. Joe, C.C.D. Kerridge, S. Koen, A. Kwatra, G. Lazarus,R. Lawrie, A.M. Lelliott, A. Libri, V. Lillie, P.J. Mallory, R. Mendes, A.V.A. Milan, E.P. Minassian, A.M. McGregor, A. Morrison, H. Mujadidi, Y.F. Nana, A. O</w:t>
      </w:r>
      <w:r>
        <w:rPr>
          <w:rFonts w:ascii="Arial" w:hAnsi="Arial" w:hint="default"/>
          <w:sz w:val="24"/>
          <w:szCs w:val="24"/>
          <w:rtl w:val="0"/>
          <w:lang w:val="en-US"/>
        </w:rPr>
        <w:t>’</w:t>
      </w:r>
      <w:r>
        <w:rPr>
          <w:rFonts w:ascii="Arial" w:hAnsi="Arial"/>
          <w:sz w:val="24"/>
          <w:szCs w:val="24"/>
          <w:rtl w:val="0"/>
          <w:lang w:val="en-US"/>
        </w:rPr>
        <w:t xml:space="preserve">Reilly, P.J. Padayachee, S.D. Pitella, A. Plested, E. Pollock, K.M. Ramasamy, M.N. Rhead, S. Schwarzbold, A.V. Singh, N. Smith, A. Song, R. Snape, M.D. Sprinz, E. Sutherland, R.K. Tarrant, R. Thomson, E.C. Torok, M.E. Toshner, M. Turner, D.P.J. Vekemans, J. Villafana, T.L. Watson, M.E.E. Williams, C.J. Douglas, A.D. Hill, A.V.S. Lambe, T. Gilbert, S.C. Pollard, A.J. (2020) </w:t>
      </w:r>
      <w:r>
        <w:rPr>
          <w:rFonts w:ascii="Arial" w:hAnsi="Arial" w:hint="default"/>
          <w:sz w:val="24"/>
          <w:szCs w:val="24"/>
          <w:rtl w:val="0"/>
          <w:lang w:val="en-US"/>
        </w:rPr>
        <w:t>‘</w:t>
      </w:r>
      <w:r>
        <w:rPr>
          <w:rFonts w:ascii="Arial" w:hAnsi="Arial"/>
          <w:sz w:val="24"/>
          <w:szCs w:val="24"/>
          <w:rtl w:val="0"/>
          <w:lang w:val="en-US"/>
        </w:rPr>
        <w:t>Safety and efficacy of the ChAdOx1 nCoV-19 vaccine (AZD1222) against SARS-CoV-2: and interim analysis of four randomised controlled trials in Brazil, South Africa, and the UK</w:t>
      </w:r>
      <w:r>
        <w:rPr>
          <w:rFonts w:ascii="Arial" w:hAnsi="Arial" w:hint="default"/>
          <w:sz w:val="24"/>
          <w:szCs w:val="24"/>
          <w:rtl w:val="0"/>
          <w:lang w:val="en-US"/>
        </w:rPr>
        <w:t>’</w:t>
      </w:r>
      <w:r>
        <w:rPr>
          <w:rFonts w:ascii="Arial" w:hAnsi="Arial"/>
          <w:sz w:val="24"/>
          <w:szCs w:val="24"/>
          <w:rtl w:val="0"/>
          <w:lang w:val="en-US"/>
        </w:rPr>
        <w:t xml:space="preserve">, </w:t>
      </w:r>
      <w:r>
        <w:rPr>
          <w:rFonts w:ascii="Arial" w:hAnsi="Arial"/>
          <w:i w:val="1"/>
          <w:iCs w:val="1"/>
          <w:sz w:val="24"/>
          <w:szCs w:val="24"/>
          <w:rtl w:val="0"/>
          <w:lang w:val="en-US"/>
        </w:rPr>
        <w:t xml:space="preserve">The Lancet, </w:t>
      </w:r>
      <w:r>
        <w:rPr>
          <w:rFonts w:ascii="Arial" w:hAnsi="Arial"/>
          <w:sz w:val="24"/>
          <w:szCs w:val="24"/>
          <w:rtl w:val="0"/>
          <w:lang w:val="en-US"/>
        </w:rPr>
        <w:t>397(10269), pp. 99-111. DOI: 10.1016/S0140-6736(20)3266-1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World Health Organisation (2021) </w:t>
      </w:r>
      <w:r>
        <w:rPr>
          <w:rFonts w:ascii="Arial" w:hAnsi="Arial"/>
          <w:i w:val="1"/>
          <w:iCs w:val="1"/>
          <w:sz w:val="24"/>
          <w:szCs w:val="24"/>
          <w:rtl w:val="0"/>
          <w:lang w:val="en-US"/>
        </w:rPr>
        <w:t>Prioritizing diseases for research and development in emergency contexts.</w:t>
      </w:r>
      <w:r>
        <w:rPr>
          <w:rFonts w:ascii="Arial" w:hAnsi="Arial"/>
          <w:sz w:val="24"/>
          <w:szCs w:val="24"/>
          <w:rtl w:val="0"/>
          <w:lang w:val="en-US"/>
        </w:rPr>
        <w:t xml:space="preserve"> Available at: https://www.who.int/activities/prioritizing-diseases-for-research-and-development-in-emergency-contexts (Accessed: 22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World Health Organization (2010) </w:t>
      </w:r>
      <w:r>
        <w:rPr>
          <w:rFonts w:ascii="Arial" w:hAnsi="Arial"/>
          <w:i w:val="1"/>
          <w:iCs w:val="1"/>
          <w:sz w:val="24"/>
          <w:szCs w:val="24"/>
          <w:rtl w:val="0"/>
          <w:lang w:val="en-US"/>
        </w:rPr>
        <w:t>What is a pandemic.</w:t>
      </w:r>
      <w:r>
        <w:rPr>
          <w:rFonts w:ascii="Arial" w:hAnsi="Arial"/>
          <w:sz w:val="24"/>
          <w:szCs w:val="24"/>
          <w:rtl w:val="0"/>
          <w:lang w:val="en-US"/>
        </w:rPr>
        <w:t xml:space="preserve"> Available at: https://www.who.int/csr/disease/swineflu/frequently_asked_questions/pandemic/en/ (Accessed: 20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World Health Organization (2021) </w:t>
      </w:r>
      <w:r>
        <w:rPr>
          <w:rFonts w:ascii="Arial" w:hAnsi="Arial"/>
          <w:i w:val="1"/>
          <w:iCs w:val="1"/>
          <w:sz w:val="24"/>
          <w:szCs w:val="24"/>
          <w:rtl w:val="0"/>
          <w:lang w:val="en-US"/>
        </w:rPr>
        <w:t>Naming the coronavirus disease (COVID-19) and the virus that causes it</w:t>
      </w:r>
      <w:r>
        <w:rPr>
          <w:rFonts w:ascii="Arial" w:hAnsi="Arial"/>
          <w:sz w:val="24"/>
          <w:szCs w:val="24"/>
          <w:rtl w:val="0"/>
          <w:lang w:val="en-US"/>
        </w:rPr>
        <w:t>. Available at: https://www.who.int/emergencies/diseases/novel-coronavirus-2019/technical-guidance/naming-the-coronavirus-disease-(covid-2019)-and-the-virus-that-causes-it#:~:text=The%20International%20Committee%20on%20Taxonomy,two%20viruses%20are%20different (Accessed: 18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World Health Organization (2018) </w:t>
      </w:r>
      <w:r>
        <w:rPr>
          <w:rFonts w:ascii="Arial" w:hAnsi="Arial"/>
          <w:i w:val="1"/>
          <w:iCs w:val="1"/>
          <w:sz w:val="24"/>
          <w:szCs w:val="24"/>
          <w:rtl w:val="0"/>
          <w:lang w:val="en-US"/>
        </w:rPr>
        <w:t>Annual review of diseases prioritised under the research and development blueprint.</w:t>
      </w:r>
      <w:r>
        <w:rPr>
          <w:rFonts w:ascii="Arial" w:hAnsi="Arial"/>
          <w:sz w:val="24"/>
          <w:szCs w:val="24"/>
          <w:rtl w:val="0"/>
          <w:lang w:val="en-US"/>
        </w:rPr>
        <w:t xml:space="preserve"> Available at: https://web.archive.org/web/20200301083132/http://origin.who.int/emergencies/diseases/2018prioritization-report.pdf (Accessed: 22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Worldometers (2021) </w:t>
      </w:r>
      <w:r>
        <w:rPr>
          <w:rFonts w:ascii="Arial" w:hAnsi="Arial"/>
          <w:i w:val="1"/>
          <w:iCs w:val="1"/>
          <w:sz w:val="24"/>
          <w:szCs w:val="24"/>
          <w:rtl w:val="0"/>
          <w:lang w:val="en-US"/>
        </w:rPr>
        <w:t>Covid-19 Coronavirus Pandemic</w:t>
      </w:r>
      <w:r>
        <w:rPr>
          <w:rFonts w:ascii="Arial" w:hAnsi="Arial"/>
          <w:sz w:val="24"/>
          <w:szCs w:val="24"/>
          <w:rtl w:val="0"/>
          <w:lang w:val="en-US"/>
        </w:rPr>
        <w:t>. Available at: https://www.worldometers.info/coronavirus/?utm_campaign=homeAdUOA?Si (Accessed: 22 April 2021).</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Wouters, O.J. Shadlen, K.C. Salcher-Konrad, M. Pollard, A.J. Larson, H.J. Terrawattananon, Y. Jit, M. (2021) </w:t>
      </w:r>
      <w:r>
        <w:rPr>
          <w:rFonts w:ascii="Arial" w:hAnsi="Arial" w:hint="default"/>
          <w:sz w:val="24"/>
          <w:szCs w:val="24"/>
          <w:rtl w:val="0"/>
          <w:lang w:val="en-US"/>
        </w:rPr>
        <w:t>‘</w:t>
      </w:r>
      <w:r>
        <w:rPr>
          <w:rFonts w:ascii="Arial" w:hAnsi="Arial"/>
          <w:sz w:val="24"/>
          <w:szCs w:val="24"/>
          <w:rtl w:val="0"/>
          <w:lang w:val="en-US"/>
        </w:rPr>
        <w:t xml:space="preserve">Challenges in ensuring global access to COVID-19 vaccines: production, affordability, allocation, and deployment, </w:t>
      </w:r>
      <w:r>
        <w:rPr>
          <w:rFonts w:ascii="Arial" w:hAnsi="Arial"/>
          <w:i w:val="1"/>
          <w:iCs w:val="1"/>
          <w:sz w:val="24"/>
          <w:szCs w:val="24"/>
          <w:rtl w:val="0"/>
          <w:lang w:val="en-US"/>
        </w:rPr>
        <w:t>The Lancet,</w:t>
      </w:r>
      <w:r>
        <w:rPr>
          <w:rFonts w:ascii="Arial" w:hAnsi="Arial"/>
          <w:sz w:val="24"/>
          <w:szCs w:val="24"/>
          <w:rtl w:val="0"/>
          <w:lang w:val="en-US"/>
        </w:rPr>
        <w:t xml:space="preserve"> 397(10278), pp. 1023-1034. DOI: 10.1016/S0140-6736(21)00306-8</w:t>
      </w:r>
    </w:p>
    <w:p>
      <w:pPr>
        <w:pStyle w:val="Body A"/>
        <w:spacing w:line="360" w:lineRule="auto"/>
        <w:rPr>
          <w:rFonts w:ascii="Arial" w:cs="Arial" w:hAnsi="Arial" w:eastAsia="Arial"/>
          <w:sz w:val="24"/>
          <w:szCs w:val="24"/>
        </w:rPr>
      </w:pPr>
    </w:p>
    <w:p>
      <w:pPr>
        <w:pStyle w:val="Body A"/>
        <w:spacing w:line="360" w:lineRule="auto"/>
        <w:rPr>
          <w:rFonts w:ascii="Arial" w:cs="Arial" w:hAnsi="Arial" w:eastAsia="Arial"/>
          <w:sz w:val="24"/>
          <w:szCs w:val="24"/>
        </w:rPr>
      </w:pPr>
      <w:r>
        <w:rPr>
          <w:rFonts w:ascii="Arial" w:hAnsi="Arial"/>
          <w:sz w:val="24"/>
          <w:szCs w:val="24"/>
          <w:rtl w:val="0"/>
          <w:lang w:val="en-US"/>
        </w:rPr>
        <w:t xml:space="preserve">Yong-Zhen, Z. Holmes, E.C. </w:t>
      </w:r>
      <w:r>
        <w:rPr>
          <w:rFonts w:ascii="Arial" w:hAnsi="Arial" w:hint="default"/>
          <w:sz w:val="24"/>
          <w:szCs w:val="24"/>
          <w:rtl w:val="0"/>
          <w:lang w:val="en-US"/>
        </w:rPr>
        <w:t>‘</w:t>
      </w:r>
      <w:r>
        <w:rPr>
          <w:rFonts w:ascii="Arial" w:hAnsi="Arial"/>
          <w:sz w:val="24"/>
          <w:szCs w:val="24"/>
          <w:rtl w:val="0"/>
          <w:lang w:val="en-US"/>
        </w:rPr>
        <w:t>A Genomic Perspective on the Origin and Emergence of SARS-CoV-2</w:t>
      </w:r>
      <w:r>
        <w:rPr>
          <w:rFonts w:ascii="Arial" w:hAnsi="Arial" w:hint="default"/>
          <w:sz w:val="24"/>
          <w:szCs w:val="24"/>
          <w:rtl w:val="0"/>
          <w:lang w:val="en-US"/>
        </w:rPr>
        <w:t>’</w:t>
      </w:r>
      <w:r>
        <w:rPr>
          <w:rFonts w:ascii="Arial" w:hAnsi="Arial"/>
          <w:sz w:val="24"/>
          <w:szCs w:val="24"/>
          <w:rtl w:val="0"/>
          <w:lang w:val="en-US"/>
        </w:rPr>
        <w:t xml:space="preserve">, </w:t>
      </w:r>
      <w:r>
        <w:rPr>
          <w:rFonts w:ascii="Arial" w:hAnsi="Arial"/>
          <w:i w:val="1"/>
          <w:iCs w:val="1"/>
          <w:sz w:val="24"/>
          <w:szCs w:val="24"/>
          <w:rtl w:val="0"/>
          <w:lang w:val="en-US"/>
        </w:rPr>
        <w:t>NCBI</w:t>
      </w:r>
      <w:r>
        <w:rPr>
          <w:rFonts w:ascii="Arial" w:hAnsi="Arial"/>
          <w:sz w:val="24"/>
          <w:szCs w:val="24"/>
          <w:rtl w:val="0"/>
          <w:lang w:val="en-US"/>
        </w:rPr>
        <w:t>. 181(2), pp. 223-227. DOI: 10.1016/j.cell.2020.03.035</w:t>
      </w:r>
    </w:p>
    <w:p>
      <w:pPr>
        <w:pStyle w:val="Body A"/>
        <w:spacing w:line="360" w:lineRule="auto"/>
        <w:rPr>
          <w:rFonts w:ascii="Arial" w:cs="Arial" w:hAnsi="Arial" w:eastAsia="Arial"/>
          <w:sz w:val="24"/>
          <w:szCs w:val="24"/>
        </w:rPr>
      </w:pPr>
    </w:p>
    <w:p>
      <w:pPr>
        <w:pStyle w:val="Body A"/>
        <w:spacing w:line="360" w:lineRule="auto"/>
      </w:pPr>
      <w:r>
        <w:rPr>
          <w:rFonts w:ascii="Arial" w:hAnsi="Arial"/>
          <w:sz w:val="24"/>
          <w:szCs w:val="24"/>
          <w:rtl w:val="0"/>
          <w:lang w:val="en-US"/>
        </w:rPr>
        <w:t xml:space="preserve">Zennie, M. (2021) </w:t>
      </w:r>
      <w:r>
        <w:rPr>
          <w:rFonts w:ascii="Arial" w:hAnsi="Arial"/>
          <w:i w:val="1"/>
          <w:iCs w:val="1"/>
          <w:sz w:val="24"/>
          <w:szCs w:val="24"/>
          <w:rtl w:val="0"/>
          <w:lang w:val="en-US"/>
        </w:rPr>
        <w:t>The Oxford-AstraZeneca Vaccine Approval May Be the Most Globally Important Yet.</w:t>
      </w:r>
      <w:r>
        <w:rPr>
          <w:rFonts w:ascii="Arial" w:hAnsi="Arial"/>
          <w:sz w:val="24"/>
          <w:szCs w:val="24"/>
          <w:rtl w:val="0"/>
          <w:lang w:val="en-US"/>
        </w:rPr>
        <w:t xml:space="preserve"> Available at: https://time.com/5925495/oxford-astrazeneca-vaccine-approval/ (Accessed: 19 April 2021).</w:t>
      </w:r>
    </w:p>
    <w:sectPr>
      <w:headerReference w:type="default" r:id="rId7"/>
      <w:footerReference w:type="default" r:id="rId8"/>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