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Arial" w:hAnsi="Arial" w:eastAsia="宋体" w:cs="Arial"/>
          <w:b/>
          <w:bCs/>
          <w:sz w:val="40"/>
          <w:szCs w:val="40"/>
          <w:lang w:val="en-US" w:eastAsia="zh-CN"/>
        </w:rPr>
      </w:pPr>
      <w:r>
        <w:rPr>
          <w:rFonts w:hint="eastAsia" w:ascii="Arial" w:hAnsi="Arial" w:eastAsia="宋体" w:cs="Arial"/>
          <w:b/>
          <w:bCs/>
          <w:sz w:val="40"/>
          <w:szCs w:val="40"/>
          <w:lang w:val="en-US" w:eastAsia="zh-CN"/>
        </w:rPr>
        <w:t>Corporate Governance</w:t>
      </w:r>
    </w:p>
    <w:p>
      <w:pPr>
        <w:jc w:val="center"/>
        <w:rPr>
          <w:rFonts w:hint="default" w:ascii="Arial" w:hAnsi="Arial" w:eastAsia="宋体" w:cs="Arial"/>
          <w:b/>
          <w:bCs/>
          <w:sz w:val="40"/>
          <w:szCs w:val="40"/>
          <w:lang w:val="en-US" w:eastAsia="zh-CN"/>
        </w:rPr>
      </w:pPr>
      <w:bookmarkStart w:id="17" w:name="_GoBack"/>
      <w:bookmarkEnd w:id="17"/>
      <w:r>
        <w:rPr>
          <w:rFonts w:hint="eastAsia" w:ascii="Arial" w:hAnsi="Arial" w:eastAsia="宋体" w:cs="Arial"/>
          <w:b/>
          <w:bCs/>
          <w:sz w:val="40"/>
          <w:szCs w:val="40"/>
          <w:lang w:val="en-US" w:eastAsia="zh-CN"/>
        </w:rPr>
        <w:t>(</w:t>
      </w:r>
      <w:r>
        <w:rPr>
          <w:rFonts w:hint="default" w:ascii="Arial" w:hAnsi="Arial" w:eastAsia="宋体" w:cs="Arial"/>
          <w:b/>
          <w:bCs/>
          <w:sz w:val="40"/>
          <w:szCs w:val="40"/>
          <w:lang w:val="en-US" w:eastAsia="zh-CN"/>
        </w:rPr>
        <w:t>BMM70</w:t>
      </w:r>
      <w:r>
        <w:rPr>
          <w:rFonts w:hint="eastAsia" w:ascii="Arial" w:hAnsi="Arial" w:eastAsia="宋体" w:cs="Arial"/>
          <w:b/>
          <w:bCs/>
          <w:sz w:val="40"/>
          <w:szCs w:val="40"/>
          <w:lang w:val="en-US" w:eastAsia="zh-CN"/>
        </w:rPr>
        <w:t>18</w:t>
      </w:r>
      <w:r>
        <w:rPr>
          <w:rFonts w:hint="default" w:ascii="Arial" w:hAnsi="Arial" w:eastAsia="宋体" w:cs="Arial"/>
          <w:b/>
          <w:bCs/>
          <w:sz w:val="40"/>
          <w:szCs w:val="40"/>
          <w:lang w:val="en-US" w:eastAsia="zh-CN"/>
        </w:rPr>
        <w:t>)</w:t>
      </w:r>
    </w:p>
    <w:p>
      <w:pPr>
        <w:jc w:val="center"/>
        <w:rPr>
          <w:rFonts w:hint="default" w:ascii="Arial" w:hAnsi="Arial" w:eastAsia="宋体" w:cs="Arial"/>
          <w:sz w:val="40"/>
          <w:szCs w:val="40"/>
          <w:lang w:val="en-US" w:eastAsia="zh-CN"/>
        </w:rPr>
      </w:pPr>
    </w:p>
    <w:p>
      <w:pPr>
        <w:jc w:val="center"/>
        <w:rPr>
          <w:rFonts w:hint="default" w:ascii="Arial" w:hAnsi="Arial" w:eastAsia="宋体" w:cs="Arial"/>
          <w:sz w:val="40"/>
          <w:szCs w:val="40"/>
          <w:lang w:val="en-US" w:eastAsia="zh-CN"/>
        </w:rPr>
      </w:pPr>
    </w:p>
    <w:p>
      <w:pPr>
        <w:jc w:val="center"/>
        <w:rPr>
          <w:rFonts w:hint="default" w:ascii="Arial" w:hAnsi="Arial" w:cs="Arial"/>
          <w:b/>
          <w:bCs/>
          <w:sz w:val="36"/>
          <w:szCs w:val="36"/>
        </w:rPr>
      </w:pPr>
      <w:r>
        <w:rPr>
          <w:rFonts w:ascii="宋体" w:hAnsi="宋体" w:eastAsia="宋体" w:cs="宋体"/>
          <w:sz w:val="24"/>
          <w:szCs w:val="24"/>
        </w:rPr>
        <w:drawing>
          <wp:inline distT="0" distB="0" distL="114300" distR="114300">
            <wp:extent cx="2867660" cy="3185795"/>
            <wp:effectExtent l="0" t="0" r="8890" b="14605"/>
            <wp:docPr id="1"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256"/>
                    <pic:cNvPicPr>
                      <a:picLocks noChangeAspect="1"/>
                    </pic:cNvPicPr>
                  </pic:nvPicPr>
                  <pic:blipFill>
                    <a:blip r:embed="rId7"/>
                    <a:stretch>
                      <a:fillRect/>
                    </a:stretch>
                  </pic:blipFill>
                  <pic:spPr>
                    <a:xfrm>
                      <a:off x="0" y="0"/>
                      <a:ext cx="2867660" cy="3185795"/>
                    </a:xfrm>
                    <a:prstGeom prst="rect">
                      <a:avLst/>
                    </a:prstGeom>
                    <a:noFill/>
                    <a:ln w="9525">
                      <a:noFill/>
                    </a:ln>
                  </pic:spPr>
                </pic:pic>
              </a:graphicData>
            </a:graphic>
          </wp:inline>
        </w:drawing>
      </w:r>
    </w:p>
    <w:p>
      <w:pPr>
        <w:jc w:val="center"/>
        <w:rPr>
          <w:rFonts w:hint="eastAsia" w:ascii="Arial" w:hAnsi="Arial" w:eastAsia="黑体" w:cs="Arial"/>
          <w:b/>
          <w:bCs/>
          <w:sz w:val="36"/>
          <w:szCs w:val="36"/>
          <w:lang w:val="en-US" w:eastAsia="zh-CN"/>
        </w:rPr>
      </w:pPr>
    </w:p>
    <w:p>
      <w:pPr>
        <w:jc w:val="center"/>
        <w:rPr>
          <w:rFonts w:hint="eastAsia" w:ascii="Arial" w:hAnsi="Arial" w:eastAsia="黑体" w:cs="Arial"/>
          <w:b/>
          <w:bCs/>
          <w:sz w:val="36"/>
          <w:szCs w:val="36"/>
          <w:lang w:val="en-US" w:eastAsia="zh-CN"/>
        </w:rPr>
      </w:pPr>
    </w:p>
    <w:p>
      <w:pPr>
        <w:jc w:val="center"/>
        <w:rPr>
          <w:rFonts w:hint="default" w:ascii="Arial" w:hAnsi="Arial" w:eastAsia="黑体" w:cs="Arial"/>
          <w:b/>
          <w:bCs/>
          <w:sz w:val="36"/>
          <w:szCs w:val="36"/>
          <w:lang w:eastAsia="zh-CN"/>
        </w:rPr>
      </w:pPr>
      <w:bookmarkStart w:id="0" w:name="_Toc28008"/>
      <w:bookmarkStart w:id="1" w:name="_Toc32116"/>
      <w:r>
        <w:rPr>
          <w:rFonts w:hint="eastAsia" w:ascii="Arial" w:hAnsi="Arial" w:eastAsia="黑体" w:cs="Arial"/>
          <w:b/>
          <w:bCs/>
          <w:sz w:val="36"/>
          <w:szCs w:val="36"/>
          <w:lang w:val="en-US" w:eastAsia="zh-CN"/>
        </w:rPr>
        <w:t>T</w:t>
      </w:r>
      <w:r>
        <w:rPr>
          <w:rFonts w:hint="default" w:ascii="Arial" w:hAnsi="Arial" w:eastAsia="黑体" w:cs="Arial"/>
          <w:b/>
          <w:bCs/>
          <w:sz w:val="36"/>
          <w:szCs w:val="36"/>
          <w:lang w:eastAsia="en-US"/>
        </w:rPr>
        <w:t>utor’s name</w:t>
      </w:r>
      <w:r>
        <w:rPr>
          <w:rFonts w:hint="default" w:ascii="Arial" w:hAnsi="Arial" w:eastAsia="黑体" w:cs="Arial"/>
          <w:b/>
          <w:bCs/>
          <w:sz w:val="36"/>
          <w:szCs w:val="36"/>
          <w:lang w:eastAsia="zh-CN"/>
        </w:rPr>
        <w:t>：</w:t>
      </w:r>
      <w:bookmarkEnd w:id="0"/>
      <w:bookmarkEnd w:id="1"/>
      <w:r>
        <w:rPr>
          <w:rFonts w:hint="default" w:ascii="Arial" w:hAnsi="Arial" w:eastAsia="黑体" w:cs="Arial"/>
          <w:b/>
          <w:bCs/>
          <w:sz w:val="36"/>
          <w:szCs w:val="36"/>
          <w:lang w:eastAsia="zh-CN"/>
        </w:rPr>
        <w:t>Badir Miftah</w:t>
      </w:r>
    </w:p>
    <w:p>
      <w:pPr>
        <w:jc w:val="center"/>
        <w:rPr>
          <w:rFonts w:hint="default" w:ascii="Arial" w:hAnsi="Arial" w:eastAsia="黑体" w:cs="Arial"/>
          <w:b/>
          <w:bCs/>
          <w:sz w:val="36"/>
          <w:szCs w:val="36"/>
          <w:lang w:eastAsia="zh-CN"/>
        </w:rPr>
      </w:pPr>
    </w:p>
    <w:p>
      <w:pPr>
        <w:jc w:val="center"/>
        <w:rPr>
          <w:rFonts w:hint="eastAsia" w:ascii="Arial" w:hAnsi="Arial" w:eastAsia="黑体" w:cs="Arial"/>
          <w:b/>
          <w:bCs/>
          <w:sz w:val="36"/>
          <w:szCs w:val="36"/>
          <w:lang w:val="en-US" w:eastAsia="zh-CN"/>
        </w:rPr>
      </w:pPr>
      <w:r>
        <w:rPr>
          <w:rFonts w:hint="eastAsia" w:ascii="Arial" w:hAnsi="Arial" w:eastAsia="黑体" w:cs="Arial"/>
          <w:b/>
          <w:bCs/>
          <w:sz w:val="36"/>
          <w:szCs w:val="36"/>
          <w:lang w:val="en-US" w:eastAsia="zh-CN"/>
        </w:rPr>
        <w:t>Name of student</w:t>
      </w:r>
      <w:r>
        <w:rPr>
          <w:rFonts w:hint="default" w:ascii="Arial" w:hAnsi="Arial" w:eastAsia="黑体" w:cs="Arial"/>
          <w:b/>
          <w:bCs/>
          <w:sz w:val="40"/>
          <w:szCs w:val="40"/>
          <w:lang w:eastAsia="zh-CN"/>
        </w:rPr>
        <w:t>：</w:t>
      </w:r>
      <w:r>
        <w:rPr>
          <w:rFonts w:hint="eastAsia" w:ascii="Arial" w:hAnsi="Arial" w:eastAsia="黑体" w:cs="Arial"/>
          <w:b/>
          <w:bCs/>
          <w:sz w:val="36"/>
          <w:szCs w:val="36"/>
          <w:lang w:val="en-US" w:eastAsia="zh-CN"/>
        </w:rPr>
        <w:t>Shu Wang</w:t>
      </w:r>
    </w:p>
    <w:p>
      <w:pPr>
        <w:jc w:val="center"/>
        <w:rPr>
          <w:rFonts w:hint="default" w:ascii="Arial" w:hAnsi="Arial" w:eastAsia="黑体" w:cs="Arial"/>
          <w:b/>
          <w:bCs/>
          <w:sz w:val="36"/>
          <w:szCs w:val="36"/>
          <w:lang w:val="en-US" w:eastAsia="zh-CN"/>
        </w:rPr>
      </w:pPr>
    </w:p>
    <w:p>
      <w:pPr>
        <w:jc w:val="center"/>
        <w:rPr>
          <w:rFonts w:hint="default" w:ascii="Arial" w:hAnsi="Arial" w:eastAsia="黑体" w:cs="Arial"/>
          <w:b/>
          <w:bCs/>
          <w:sz w:val="40"/>
          <w:szCs w:val="40"/>
          <w:lang w:val="en-US" w:eastAsia="zh-CN"/>
        </w:rPr>
        <w:sectPr>
          <w:pgSz w:w="11906" w:h="16838"/>
          <w:pgMar w:top="1440" w:right="1800" w:bottom="1440" w:left="1800" w:header="851" w:footer="992" w:gutter="0"/>
          <w:cols w:space="425" w:num="1"/>
          <w:docGrid w:type="lines" w:linePitch="312" w:charSpace="0"/>
        </w:sectPr>
      </w:pPr>
      <w:r>
        <w:rPr>
          <w:rFonts w:hint="eastAsia" w:ascii="Arial" w:hAnsi="Arial" w:eastAsia="黑体" w:cs="Arial"/>
          <w:b/>
          <w:bCs/>
          <w:sz w:val="36"/>
          <w:szCs w:val="36"/>
          <w:lang w:val="en-US" w:eastAsia="zh-CN"/>
        </w:rPr>
        <w:t>Student</w:t>
      </w:r>
      <w:r>
        <w:rPr>
          <w:rFonts w:hint="default" w:ascii="Arial" w:hAnsi="Arial" w:eastAsia="黑体" w:cs="Arial"/>
          <w:b/>
          <w:bCs/>
          <w:sz w:val="36"/>
          <w:szCs w:val="36"/>
        </w:rPr>
        <w:t xml:space="preserve"> number</w:t>
      </w:r>
      <w:r>
        <w:rPr>
          <w:rFonts w:hint="default" w:ascii="Arial" w:hAnsi="Arial" w:eastAsia="黑体" w:cs="Arial"/>
          <w:b/>
          <w:bCs/>
          <w:sz w:val="40"/>
          <w:szCs w:val="40"/>
          <w:lang w:eastAsia="zh-CN"/>
        </w:rPr>
        <w:t>：</w:t>
      </w:r>
      <w:r>
        <w:rPr>
          <w:rFonts w:hint="eastAsia" w:ascii="Arial" w:hAnsi="Arial" w:eastAsia="黑体" w:cs="Arial"/>
          <w:b/>
          <w:bCs/>
          <w:sz w:val="40"/>
          <w:szCs w:val="40"/>
          <w:lang w:val="en-US" w:eastAsia="zh-CN"/>
        </w:rPr>
        <w:t>2207081</w:t>
      </w:r>
    </w:p>
    <w:sdt>
      <w:sdtPr>
        <w:rPr>
          <w:rFonts w:ascii="宋体" w:hAnsi="宋体" w:eastAsia="宋体" w:cstheme="minorBidi"/>
          <w:sz w:val="21"/>
          <w:szCs w:val="22"/>
          <w:lang w:val="en-GB" w:eastAsia="en-US" w:bidi="ar-SA"/>
        </w:rPr>
        <w:id w:val="147465914"/>
        <w15:color w:val="DBDBDB"/>
        <w:docPartObj>
          <w:docPartGallery w:val="Table of Contents"/>
          <w:docPartUnique/>
        </w:docPartObj>
      </w:sdtPr>
      <w:sdtEndPr>
        <w:rPr>
          <w:rFonts w:hint="eastAsia" w:ascii="Arial" w:hAnsi="Arial" w:eastAsia="黑体" w:cs="Arial"/>
          <w:bCs/>
          <w:sz w:val="22"/>
          <w:szCs w:val="40"/>
          <w:lang w:val="en-US" w:eastAsia="zh-CN" w:bidi="ar-SA"/>
        </w:rPr>
      </w:sdtEndPr>
      <w:sdtContent>
        <w:p>
          <w:pPr>
            <w:spacing w:before="0" w:beforeLines="0" w:after="0" w:afterLines="0" w:line="240" w:lineRule="auto"/>
            <w:ind w:left="0" w:leftChars="0" w:right="0" w:rightChars="0" w:firstLine="0" w:firstLineChars="0"/>
            <w:jc w:val="center"/>
          </w:pPr>
          <w:r>
            <w:rPr>
              <w:rFonts w:hint="eastAsia" w:ascii="宋体" w:hAnsi="宋体" w:eastAsia="宋体"/>
              <w:sz w:val="21"/>
              <w:lang w:val="en-US" w:eastAsia="zh-CN"/>
            </w:rPr>
            <w:t>CONTENTS</w:t>
          </w:r>
          <w:r>
            <w:rPr>
              <w:rFonts w:hint="eastAsia" w:ascii="Arial" w:hAnsi="Arial" w:eastAsia="黑体" w:cs="Arial"/>
              <w:b/>
              <w:bCs/>
              <w:sz w:val="40"/>
              <w:szCs w:val="40"/>
              <w:lang w:val="en-US" w:eastAsia="zh-CN"/>
            </w:rPr>
            <w:fldChar w:fldCharType="begin"/>
          </w:r>
          <w:r>
            <w:rPr>
              <w:rFonts w:hint="eastAsia" w:ascii="Arial" w:hAnsi="Arial" w:eastAsia="黑体" w:cs="Arial"/>
              <w:b/>
              <w:bCs/>
              <w:sz w:val="40"/>
              <w:szCs w:val="40"/>
              <w:lang w:val="en-US" w:eastAsia="zh-CN"/>
            </w:rPr>
            <w:instrText xml:space="preserve">TOC \o "1-3" \h \u </w:instrText>
          </w:r>
          <w:r>
            <w:rPr>
              <w:rFonts w:hint="eastAsia" w:ascii="Arial" w:hAnsi="Arial" w:eastAsia="黑体" w:cs="Arial"/>
              <w:b/>
              <w:bCs/>
              <w:sz w:val="40"/>
              <w:szCs w:val="40"/>
              <w:lang w:val="en-US" w:eastAsia="zh-CN"/>
            </w:rPr>
            <w:fldChar w:fldCharType="separate"/>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_Toc24972 </w:instrText>
          </w:r>
          <w:r>
            <w:rPr>
              <w:rFonts w:hint="eastAsia" w:ascii="Arial" w:hAnsi="Arial" w:eastAsia="黑体" w:cs="Arial"/>
              <w:bCs/>
              <w:szCs w:val="40"/>
              <w:lang w:val="en-US" w:eastAsia="zh-CN"/>
            </w:rPr>
            <w:fldChar w:fldCharType="separate"/>
          </w:r>
          <w:r>
            <w:rPr>
              <w:rFonts w:cstheme="minorHAnsi"/>
              <w:bCs/>
              <w:szCs w:val="28"/>
            </w:rPr>
            <w:t>INTRODUCTION</w:t>
          </w:r>
          <w:r>
            <w:tab/>
          </w:r>
          <w:r>
            <w:fldChar w:fldCharType="begin"/>
          </w:r>
          <w:r>
            <w:instrText xml:space="preserve"> PAGEREF _Toc24972 \h </w:instrText>
          </w:r>
          <w:r>
            <w:fldChar w:fldCharType="separate"/>
          </w:r>
          <w:r>
            <w:t>2</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_Toc7956 </w:instrText>
          </w:r>
          <w:r>
            <w:rPr>
              <w:rFonts w:hint="eastAsia" w:ascii="Arial" w:hAnsi="Arial" w:eastAsia="黑体" w:cs="Arial"/>
              <w:bCs/>
              <w:szCs w:val="40"/>
              <w:lang w:val="en-US" w:eastAsia="zh-CN"/>
            </w:rPr>
            <w:fldChar w:fldCharType="separate"/>
          </w:r>
          <w:r>
            <w:rPr>
              <w:rFonts w:hint="eastAsia" w:asciiTheme="minorHAnsi" w:hAnsiTheme="minorHAnsi" w:eastAsiaTheme="minorHAnsi" w:cstheme="minorHAnsi"/>
              <w:bCs/>
              <w:szCs w:val="28"/>
              <w:lang w:val="en-US" w:eastAsia="zh-CN" w:bidi="ar-SA"/>
            </w:rPr>
            <w:t>1.1</w:t>
          </w:r>
          <w:r>
            <w:rPr>
              <w:rFonts w:hint="eastAsia" w:cstheme="minorHAnsi"/>
              <w:bCs/>
              <w:szCs w:val="28"/>
              <w:lang w:val="en-US" w:eastAsia="zh-CN" w:bidi="ar-SA"/>
            </w:rPr>
            <w:t xml:space="preserve"> </w:t>
          </w:r>
          <w:r>
            <w:rPr>
              <w:rFonts w:hint="eastAsia" w:asciiTheme="minorHAnsi" w:hAnsiTheme="minorHAnsi" w:eastAsiaTheme="minorHAnsi" w:cstheme="minorHAnsi"/>
              <w:bCs/>
              <w:szCs w:val="28"/>
              <w:lang w:val="en-US" w:eastAsia="zh-CN" w:bidi="ar-SA"/>
            </w:rPr>
            <w:t>Inflated sales revenue</w:t>
          </w:r>
          <w:r>
            <w:tab/>
          </w:r>
          <w:r>
            <w:fldChar w:fldCharType="begin"/>
          </w:r>
          <w:r>
            <w:instrText xml:space="preserve"> PAGEREF _Toc7956 \h </w:instrText>
          </w:r>
          <w:r>
            <w:fldChar w:fldCharType="separate"/>
          </w:r>
          <w:r>
            <w:t>2</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_Toc31442 </w:instrText>
          </w:r>
          <w:r>
            <w:rPr>
              <w:rFonts w:hint="eastAsia" w:ascii="Arial" w:hAnsi="Arial" w:eastAsia="黑体" w:cs="Arial"/>
              <w:bCs/>
              <w:szCs w:val="40"/>
              <w:lang w:val="en-US" w:eastAsia="zh-CN"/>
            </w:rPr>
            <w:fldChar w:fldCharType="separate"/>
          </w:r>
          <w:r>
            <w:rPr>
              <w:rFonts w:hint="eastAsia" w:asciiTheme="minorHAnsi" w:hAnsiTheme="minorHAnsi" w:eastAsiaTheme="minorHAnsi" w:cstheme="minorHAnsi"/>
              <w:bCs/>
              <w:szCs w:val="28"/>
              <w:lang w:val="en-US" w:eastAsia="zh-CN" w:bidi="ar-SA"/>
            </w:rPr>
            <w:t>1.2</w:t>
          </w:r>
          <w:r>
            <w:rPr>
              <w:rFonts w:hint="eastAsia" w:cstheme="minorHAnsi"/>
              <w:bCs/>
              <w:szCs w:val="28"/>
              <w:lang w:val="en-US" w:eastAsia="zh-CN" w:bidi="ar-SA"/>
            </w:rPr>
            <w:t xml:space="preserve"> </w:t>
          </w:r>
          <w:r>
            <w:rPr>
              <w:rFonts w:hint="eastAsia" w:asciiTheme="minorHAnsi" w:hAnsiTheme="minorHAnsi" w:eastAsiaTheme="minorHAnsi" w:cstheme="minorHAnsi"/>
              <w:bCs/>
              <w:szCs w:val="28"/>
              <w:lang w:val="en-US" w:eastAsia="zh-CN" w:bidi="ar-SA"/>
            </w:rPr>
            <w:t>Inflated advertising expenditure</w:t>
          </w:r>
          <w:r>
            <w:tab/>
          </w:r>
          <w:r>
            <w:fldChar w:fldCharType="begin"/>
          </w:r>
          <w:r>
            <w:instrText xml:space="preserve"> PAGEREF _Toc31442 \h </w:instrText>
          </w:r>
          <w:r>
            <w:fldChar w:fldCharType="separate"/>
          </w:r>
          <w:r>
            <w:t>3</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_Toc17410 </w:instrText>
          </w:r>
          <w:r>
            <w:rPr>
              <w:rFonts w:hint="eastAsia" w:ascii="Arial" w:hAnsi="Arial" w:eastAsia="黑体" w:cs="Arial"/>
              <w:bCs/>
              <w:szCs w:val="40"/>
              <w:lang w:val="en-US" w:eastAsia="zh-CN"/>
            </w:rPr>
            <w:fldChar w:fldCharType="separate"/>
          </w:r>
          <w:r>
            <w:rPr>
              <w:rFonts w:hint="eastAsia" w:asciiTheme="minorHAnsi" w:hAnsiTheme="minorHAnsi" w:eastAsiaTheme="minorHAnsi" w:cstheme="minorHAnsi"/>
              <w:bCs/>
              <w:szCs w:val="28"/>
              <w:lang w:val="en-US" w:eastAsia="zh-CN" w:bidi="ar-SA"/>
            </w:rPr>
            <w:t>2.1 Pressure factor</w:t>
          </w:r>
          <w:r>
            <w:tab/>
          </w:r>
          <w:r>
            <w:fldChar w:fldCharType="begin"/>
          </w:r>
          <w:r>
            <w:instrText xml:space="preserve"> PAGEREF _Toc17410 \h </w:instrText>
          </w:r>
          <w:r>
            <w:fldChar w:fldCharType="separate"/>
          </w:r>
          <w:r>
            <w:t>4</w:t>
          </w:r>
          <w:r>
            <w:fldChar w:fldCharType="end"/>
          </w:r>
          <w:r>
            <w:rPr>
              <w:rFonts w:hint="eastAsia" w:ascii="Arial" w:hAnsi="Arial" w:eastAsia="黑体" w:cs="Arial"/>
              <w:bCs/>
              <w:szCs w:val="40"/>
              <w:lang w:val="en-US" w:eastAsia="zh-CN"/>
            </w:rPr>
            <w:fldChar w:fldCharType="end"/>
          </w:r>
        </w:p>
        <w:p>
          <w:pPr>
            <w:pStyle w:val="6"/>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_Toc18151 </w:instrText>
          </w:r>
          <w:r>
            <w:rPr>
              <w:rFonts w:hint="eastAsia" w:ascii="Arial" w:hAnsi="Arial" w:eastAsia="黑体" w:cs="Arial"/>
              <w:bCs/>
              <w:szCs w:val="40"/>
              <w:lang w:val="en-US" w:eastAsia="zh-CN"/>
            </w:rPr>
            <w:fldChar w:fldCharType="separate"/>
          </w:r>
          <w:r>
            <w:rPr>
              <w:rFonts w:hint="eastAsia" w:cstheme="minorHAnsi"/>
              <w:bCs/>
              <w:szCs w:val="28"/>
              <w:lang w:val="en-US" w:eastAsia="zh-CN" w:bidi="ar-SA"/>
            </w:rPr>
            <w:t>2.1.1 Cash flow pressure</w:t>
          </w:r>
          <w:r>
            <w:tab/>
          </w:r>
          <w:r>
            <w:fldChar w:fldCharType="begin"/>
          </w:r>
          <w:r>
            <w:instrText xml:space="preserve"> PAGEREF _Toc18151 \h </w:instrText>
          </w:r>
          <w:r>
            <w:fldChar w:fldCharType="separate"/>
          </w:r>
          <w:r>
            <w:t>4</w:t>
          </w:r>
          <w:r>
            <w:fldChar w:fldCharType="end"/>
          </w:r>
          <w:r>
            <w:rPr>
              <w:rFonts w:hint="eastAsia" w:ascii="Arial" w:hAnsi="Arial" w:eastAsia="黑体" w:cs="Arial"/>
              <w:bCs/>
              <w:szCs w:val="40"/>
              <w:lang w:val="en-US" w:eastAsia="zh-CN"/>
            </w:rPr>
            <w:fldChar w:fldCharType="end"/>
          </w:r>
        </w:p>
        <w:p>
          <w:pPr>
            <w:pStyle w:val="6"/>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_Toc1994 </w:instrText>
          </w:r>
          <w:r>
            <w:rPr>
              <w:rFonts w:hint="eastAsia" w:ascii="Arial" w:hAnsi="Arial" w:eastAsia="黑体" w:cs="Arial"/>
              <w:bCs/>
              <w:szCs w:val="40"/>
              <w:lang w:val="en-US" w:eastAsia="zh-CN"/>
            </w:rPr>
            <w:fldChar w:fldCharType="separate"/>
          </w:r>
          <w:r>
            <w:rPr>
              <w:rFonts w:hint="eastAsia" w:cstheme="minorHAnsi"/>
              <w:bCs/>
              <w:szCs w:val="28"/>
              <w:lang w:val="en-US" w:eastAsia="zh-CN" w:bidi="ar-SA"/>
            </w:rPr>
            <w:t>2.1.2 Profit pressure</w:t>
          </w:r>
          <w:r>
            <w:tab/>
          </w:r>
          <w:r>
            <w:fldChar w:fldCharType="begin"/>
          </w:r>
          <w:r>
            <w:instrText xml:space="preserve"> PAGEREF _Toc1994 \h </w:instrText>
          </w:r>
          <w:r>
            <w:fldChar w:fldCharType="separate"/>
          </w:r>
          <w:r>
            <w:t>5</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_Toc31130 </w:instrText>
          </w:r>
          <w:r>
            <w:rPr>
              <w:rFonts w:hint="eastAsia" w:ascii="Arial" w:hAnsi="Arial" w:eastAsia="黑体" w:cs="Arial"/>
              <w:bCs/>
              <w:szCs w:val="40"/>
              <w:lang w:val="en-US" w:eastAsia="zh-CN"/>
            </w:rPr>
            <w:fldChar w:fldCharType="separate"/>
          </w:r>
          <w:r>
            <w:rPr>
              <w:rFonts w:hint="eastAsia" w:cstheme="minorHAnsi"/>
              <w:bCs/>
              <w:szCs w:val="28"/>
              <w:lang w:val="en-US" w:eastAsia="zh-CN" w:bidi="ar-SA"/>
            </w:rPr>
            <w:t>3.1 Motivating factor</w:t>
          </w:r>
          <w:r>
            <w:tab/>
          </w:r>
          <w:r>
            <w:fldChar w:fldCharType="begin"/>
          </w:r>
          <w:r>
            <w:instrText xml:space="preserve"> PAGEREF _Toc31130 \h </w:instrText>
          </w:r>
          <w:r>
            <w:fldChar w:fldCharType="separate"/>
          </w:r>
          <w:r>
            <w:t>6</w:t>
          </w:r>
          <w:r>
            <w:fldChar w:fldCharType="end"/>
          </w:r>
          <w:r>
            <w:rPr>
              <w:rFonts w:hint="eastAsia" w:ascii="Arial" w:hAnsi="Arial" w:eastAsia="黑体" w:cs="Arial"/>
              <w:bCs/>
              <w:szCs w:val="40"/>
              <w:lang w:val="en-US" w:eastAsia="zh-CN"/>
            </w:rPr>
            <w:fldChar w:fldCharType="end"/>
          </w:r>
        </w:p>
        <w:p>
          <w:pPr>
            <w:pStyle w:val="6"/>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_Toc4912 </w:instrText>
          </w:r>
          <w:r>
            <w:rPr>
              <w:rFonts w:hint="eastAsia" w:ascii="Arial" w:hAnsi="Arial" w:eastAsia="黑体" w:cs="Arial"/>
              <w:bCs/>
              <w:szCs w:val="40"/>
              <w:lang w:val="en-US" w:eastAsia="zh-CN"/>
            </w:rPr>
            <w:fldChar w:fldCharType="separate"/>
          </w:r>
          <w:r>
            <w:rPr>
              <w:rFonts w:hint="eastAsia" w:cstheme="minorHAnsi"/>
              <w:bCs/>
              <w:szCs w:val="28"/>
              <w:lang w:val="en-US" w:eastAsia="zh-CN" w:bidi="ar-SA"/>
            </w:rPr>
            <w:t>3.1.2 Inadequate internal control</w:t>
          </w:r>
          <w:r>
            <w:tab/>
          </w:r>
          <w:r>
            <w:fldChar w:fldCharType="begin"/>
          </w:r>
          <w:r>
            <w:instrText xml:space="preserve"> PAGEREF _Toc4912 \h </w:instrText>
          </w:r>
          <w:r>
            <w:fldChar w:fldCharType="separate"/>
          </w:r>
          <w:r>
            <w:t>7</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_Toc5130 </w:instrText>
          </w:r>
          <w:r>
            <w:rPr>
              <w:rFonts w:hint="eastAsia" w:ascii="Arial" w:hAnsi="Arial" w:eastAsia="黑体" w:cs="Arial"/>
              <w:bCs/>
              <w:szCs w:val="40"/>
              <w:lang w:val="en-US" w:eastAsia="zh-CN"/>
            </w:rPr>
            <w:fldChar w:fldCharType="separate"/>
          </w:r>
          <w:r>
            <w:rPr>
              <w:rFonts w:hint="eastAsia" w:cstheme="minorHAnsi"/>
              <w:bCs/>
              <w:szCs w:val="28"/>
              <w:lang w:val="en-US" w:eastAsia="zh-CN" w:bidi="ar-SA"/>
            </w:rPr>
            <w:t>4.1 Utilitarianism</w:t>
          </w:r>
          <w:r>
            <w:tab/>
          </w:r>
          <w:r>
            <w:fldChar w:fldCharType="begin"/>
          </w:r>
          <w:r>
            <w:instrText xml:space="preserve"> PAGEREF _Toc5130 \h </w:instrText>
          </w:r>
          <w:r>
            <w:fldChar w:fldCharType="separate"/>
          </w:r>
          <w:r>
            <w:t>7</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_Toc6299 </w:instrText>
          </w:r>
          <w:r>
            <w:rPr>
              <w:rFonts w:hint="eastAsia" w:ascii="Arial" w:hAnsi="Arial" w:eastAsia="黑体" w:cs="Arial"/>
              <w:bCs/>
              <w:szCs w:val="40"/>
              <w:lang w:val="en-US" w:eastAsia="zh-CN"/>
            </w:rPr>
            <w:fldChar w:fldCharType="separate"/>
          </w:r>
          <w:r>
            <w:rPr>
              <w:rFonts w:hint="eastAsia" w:cstheme="minorHAnsi"/>
              <w:bCs/>
              <w:szCs w:val="28"/>
              <w:lang w:val="en-US" w:eastAsia="zh-CN" w:bidi="ar-SA"/>
            </w:rPr>
            <w:t>4.2 Deontology</w:t>
          </w:r>
          <w:r>
            <w:tab/>
          </w:r>
          <w:r>
            <w:fldChar w:fldCharType="begin"/>
          </w:r>
          <w:r>
            <w:instrText xml:space="preserve"> PAGEREF _Toc6299 \h </w:instrText>
          </w:r>
          <w:r>
            <w:fldChar w:fldCharType="separate"/>
          </w:r>
          <w:r>
            <w:t>8</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_Toc26045 </w:instrText>
          </w:r>
          <w:r>
            <w:rPr>
              <w:rFonts w:hint="eastAsia" w:ascii="Arial" w:hAnsi="Arial" w:eastAsia="黑体" w:cs="Arial"/>
              <w:bCs/>
              <w:szCs w:val="40"/>
              <w:lang w:val="en-US" w:eastAsia="zh-CN"/>
            </w:rPr>
            <w:fldChar w:fldCharType="separate"/>
          </w:r>
          <w:r>
            <w:rPr>
              <w:rFonts w:hint="eastAsia" w:cstheme="minorHAnsi"/>
              <w:bCs/>
              <w:szCs w:val="28"/>
              <w:lang w:val="en-US" w:eastAsia="zh-CN" w:bidi="ar-SA"/>
            </w:rPr>
            <w:t>4.3 Virtue ethics</w:t>
          </w:r>
          <w:r>
            <w:tab/>
          </w:r>
          <w:r>
            <w:fldChar w:fldCharType="begin"/>
          </w:r>
          <w:r>
            <w:instrText xml:space="preserve"> PAGEREF _Toc26045 \h </w:instrText>
          </w:r>
          <w:r>
            <w:fldChar w:fldCharType="separate"/>
          </w:r>
          <w:r>
            <w:t>9</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_Toc23880 </w:instrText>
          </w:r>
          <w:r>
            <w:rPr>
              <w:rFonts w:hint="eastAsia" w:ascii="Arial" w:hAnsi="Arial" w:eastAsia="黑体" w:cs="Arial"/>
              <w:bCs/>
              <w:szCs w:val="40"/>
              <w:lang w:val="en-US" w:eastAsia="zh-CN"/>
            </w:rPr>
            <w:fldChar w:fldCharType="separate"/>
          </w:r>
          <w:r>
            <w:rPr>
              <w:rFonts w:cstheme="minorHAnsi"/>
              <w:i w:val="0"/>
              <w:szCs w:val="28"/>
            </w:rPr>
            <w:t>RECCOMMENDATIONS</w:t>
          </w:r>
          <w:r>
            <w:tab/>
          </w:r>
          <w:r>
            <w:fldChar w:fldCharType="begin"/>
          </w:r>
          <w:r>
            <w:instrText xml:space="preserve"> PAGEREF _Toc23880 \h </w:instrText>
          </w:r>
          <w:r>
            <w:fldChar w:fldCharType="separate"/>
          </w:r>
          <w:r>
            <w:t>13</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_Toc19332 </w:instrText>
          </w:r>
          <w:r>
            <w:rPr>
              <w:rFonts w:hint="eastAsia" w:ascii="Arial" w:hAnsi="Arial" w:eastAsia="黑体" w:cs="Arial"/>
              <w:bCs/>
              <w:szCs w:val="40"/>
              <w:lang w:val="en-US" w:eastAsia="zh-CN"/>
            </w:rPr>
            <w:fldChar w:fldCharType="separate"/>
          </w:r>
          <w:r>
            <w:rPr>
              <w:rFonts w:cstheme="minorHAnsi"/>
              <w:i w:val="0"/>
              <w:szCs w:val="28"/>
            </w:rPr>
            <w:t>CONCLUSION</w:t>
          </w:r>
          <w:r>
            <w:tab/>
          </w:r>
          <w:r>
            <w:fldChar w:fldCharType="begin"/>
          </w:r>
          <w:r>
            <w:instrText xml:space="preserve"> PAGEREF _Toc19332 \h </w:instrText>
          </w:r>
          <w:r>
            <w:fldChar w:fldCharType="separate"/>
          </w:r>
          <w:r>
            <w:t>14</w:t>
          </w:r>
          <w:r>
            <w:fldChar w:fldCharType="end"/>
          </w:r>
          <w:r>
            <w:rPr>
              <w:rFonts w:hint="eastAsia" w:ascii="Arial" w:hAnsi="Arial" w:eastAsia="黑体" w:cs="Arial"/>
              <w:bCs/>
              <w:szCs w:val="40"/>
              <w:lang w:val="en-US" w:eastAsia="zh-CN"/>
            </w:rPr>
            <w:fldChar w:fldCharType="end"/>
          </w:r>
        </w:p>
        <w:p>
          <w:pPr>
            <w:pStyle w:val="5"/>
            <w:tabs>
              <w:tab w:val="right" w:leader="dot" w:pos="8306"/>
            </w:tabs>
          </w:pPr>
          <w:r>
            <w:rPr>
              <w:rFonts w:hint="eastAsia" w:ascii="Arial" w:hAnsi="Arial" w:eastAsia="黑体" w:cs="Arial"/>
              <w:bCs/>
              <w:szCs w:val="40"/>
              <w:lang w:val="en-US" w:eastAsia="zh-CN"/>
            </w:rPr>
            <w:fldChar w:fldCharType="begin"/>
          </w:r>
          <w:r>
            <w:rPr>
              <w:rFonts w:hint="eastAsia" w:ascii="Arial" w:hAnsi="Arial" w:eastAsia="黑体" w:cs="Arial"/>
              <w:bCs/>
              <w:szCs w:val="40"/>
              <w:lang w:val="en-US" w:eastAsia="zh-CN"/>
            </w:rPr>
            <w:instrText xml:space="preserve"> HYPERLINK \l _Toc27942 </w:instrText>
          </w:r>
          <w:r>
            <w:rPr>
              <w:rFonts w:hint="eastAsia" w:ascii="Arial" w:hAnsi="Arial" w:eastAsia="黑体" w:cs="Arial"/>
              <w:bCs/>
              <w:szCs w:val="40"/>
              <w:lang w:val="en-US" w:eastAsia="zh-CN"/>
            </w:rPr>
            <w:fldChar w:fldCharType="separate"/>
          </w:r>
          <w:r>
            <w:rPr>
              <w:rFonts w:hint="default" w:ascii="Times New Roman" w:hAnsi="Times New Roman" w:eastAsia="宋体" w:cstheme="minorHAnsi"/>
              <w:i w:val="0"/>
              <w:szCs w:val="28"/>
            </w:rPr>
            <w:t>R</w:t>
          </w:r>
          <w:r>
            <w:rPr>
              <w:rFonts w:hint="eastAsia" w:ascii="Times New Roman" w:hAnsi="Times New Roman" w:eastAsia="宋体" w:cstheme="minorHAnsi"/>
              <w:i w:val="0"/>
              <w:szCs w:val="28"/>
              <w:lang w:val="en-US" w:eastAsia="zh-CN"/>
            </w:rPr>
            <w:t>EFERENCES</w:t>
          </w:r>
          <w:r>
            <w:tab/>
          </w:r>
          <w:r>
            <w:fldChar w:fldCharType="begin"/>
          </w:r>
          <w:r>
            <w:instrText xml:space="preserve"> PAGEREF _Toc27942 \h </w:instrText>
          </w:r>
          <w:r>
            <w:fldChar w:fldCharType="separate"/>
          </w:r>
          <w:r>
            <w:t>15</w:t>
          </w:r>
          <w:r>
            <w:fldChar w:fldCharType="end"/>
          </w:r>
          <w:r>
            <w:rPr>
              <w:rFonts w:hint="eastAsia" w:ascii="Arial" w:hAnsi="Arial" w:eastAsia="黑体" w:cs="Arial"/>
              <w:bCs/>
              <w:szCs w:val="40"/>
              <w:lang w:val="en-US" w:eastAsia="zh-CN"/>
            </w:rPr>
            <w:fldChar w:fldCharType="end"/>
          </w:r>
        </w:p>
        <w:p>
          <w:pPr>
            <w:jc w:val="both"/>
            <w:rPr>
              <w:rFonts w:hint="eastAsia" w:ascii="Arial" w:hAnsi="Arial" w:eastAsia="黑体" w:cs="Arial"/>
              <w:b/>
              <w:bCs/>
              <w:sz w:val="40"/>
              <w:szCs w:val="40"/>
              <w:lang w:val="en-US" w:eastAsia="zh-CN"/>
            </w:rPr>
            <w:sectPr>
              <w:footerReference r:id="rId5" w:type="default"/>
              <w:pgSz w:w="11906" w:h="16838"/>
              <w:pgMar w:top="1440" w:right="1800" w:bottom="1440" w:left="1800" w:header="851" w:footer="992" w:gutter="0"/>
              <w:pgNumType w:fmt="decimal" w:start="1"/>
              <w:cols w:space="425" w:num="1"/>
              <w:docGrid w:type="lines" w:linePitch="312" w:charSpace="0"/>
            </w:sectPr>
          </w:pPr>
          <w:r>
            <w:rPr>
              <w:rFonts w:hint="eastAsia" w:ascii="Arial" w:hAnsi="Arial" w:eastAsia="黑体" w:cs="Arial"/>
              <w:bCs/>
              <w:szCs w:val="40"/>
              <w:lang w:val="en-US" w:eastAsia="zh-CN"/>
            </w:rPr>
            <w:fldChar w:fldCharType="end"/>
          </w:r>
        </w:p>
      </w:sdtContent>
    </w:sdt>
    <w:p>
      <w:pPr>
        <w:pStyle w:val="13"/>
        <w:outlineLvl w:val="0"/>
        <w:rPr>
          <w:rFonts w:cstheme="minorHAnsi"/>
          <w:b/>
          <w:bCs/>
          <w:color w:val="auto"/>
          <w:sz w:val="28"/>
          <w:szCs w:val="28"/>
        </w:rPr>
      </w:pPr>
      <w:bookmarkStart w:id="2" w:name="_Toc24972"/>
      <w:bookmarkStart w:id="3" w:name="_Toc28390"/>
      <w:r>
        <w:rPr>
          <w:rFonts w:cstheme="minorHAnsi"/>
          <w:b/>
          <w:bCs/>
          <w:color w:val="auto"/>
          <w:sz w:val="28"/>
          <w:szCs w:val="28"/>
        </w:rPr>
        <w:t>INTRODUCTION</w:t>
      </w:r>
      <w:bookmarkEnd w:id="2"/>
      <w:bookmarkEnd w:id="3"/>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Earnings management refers to the use of accounting techniques to manipulate financial statements to meet specific financial targets, such as earnings per share (EPS), revenue, and net income. The practice of earnings management is generally seen as unethical because it can lead to a misrepresentation of a company's financial position and performance.   Luckin Coffee, a Chinese coffee chain, has been involved in a high-profile earnings management scandal that has resulted in the delisting of the company from the NASDAQ stock exchange.This report examines the meaning of earnings management in relation to Luckin Coffee, identifies and critically discusses the incentives and pressures that led to the scandal, and evaluates the situation using the utilitarian ethical framework.</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cstheme="minorHAnsi"/>
          <w:b/>
          <w:bCs/>
          <w:color w:val="auto"/>
          <w:sz w:val="28"/>
          <w:szCs w:val="28"/>
        </w:rPr>
      </w:pPr>
      <w:r>
        <w:rPr>
          <w:rFonts w:cstheme="minorHAnsi"/>
          <w:b/>
          <w:bCs/>
          <w:color w:val="auto"/>
          <w:sz w:val="28"/>
          <w:szCs w:val="28"/>
        </w:rPr>
        <w:t>MAIN BODY</w:t>
      </w:r>
    </w:p>
    <w:p>
      <w:pPr>
        <w:pStyle w:val="13"/>
        <w:rPr>
          <w:rFonts w:hint="eastAsia" w:cstheme="minorHAnsi"/>
          <w:b/>
          <w:bCs/>
          <w:color w:val="auto"/>
          <w:sz w:val="28"/>
          <w:szCs w:val="28"/>
        </w:rPr>
      </w:pPr>
      <w:r>
        <w:rPr>
          <w:rFonts w:hint="eastAsia" w:cstheme="minorHAnsi"/>
          <w:b/>
          <w:bCs/>
          <w:color w:val="auto"/>
          <w:sz w:val="28"/>
          <w:szCs w:val="28"/>
        </w:rPr>
        <w:t>Section I:</w:t>
      </w: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Luckin is a beverage retailer in China, mainly selling coffee and tea. After opening its first stores in Beijing and Shanghai in January 2018, Luckin expanded rapidly over the next two years, opening 4,507 stores. Luckin claims to have served more than 40 million customers by the end of 2019, making it the largest coffee retailer in China, overtaking its rival Starbucks in the region. This used to be Luckin's strength, but it was also a major source of pressure on Luckin's earnings management. To increase its market share, Luckin offers consumers deep discounts or free products if they use coupons to buy Luckin products through the company's app. Specifically, Luckin offers consumers two ways to buy goods, the first through a digital payment platform run by a third party, such as wechat Pay or Alipay, and the second through the Luckin app to redeem coupons. Customers can transfer money via wechat Pay or Alipay to buy these coupons in advance through the Luckin app. Luckin says its revenue from coupon sales is based on the number of times it is redeemed, not the number of coupons actually sold. Luckin's earnings management will be further analyzed from the following aspects:</w:t>
      </w:r>
    </w:p>
    <w:p>
      <w:pPr>
        <w:widowControl w:val="0"/>
        <w:spacing w:after="0" w:line="240" w:lineRule="auto"/>
        <w:jc w:val="both"/>
        <w:outlineLvl w:val="0"/>
        <w:rPr>
          <w:rFonts w:hint="eastAsia" w:asciiTheme="minorHAnsi" w:hAnsiTheme="minorHAnsi" w:eastAsiaTheme="minorHAnsi" w:cstheme="minorHAnsi"/>
          <w:b/>
          <w:bCs/>
          <w:color w:val="auto"/>
          <w:sz w:val="28"/>
          <w:szCs w:val="28"/>
          <w:lang w:val="en-US" w:eastAsia="zh-CN" w:bidi="ar-SA"/>
        </w:rPr>
      </w:pPr>
      <w:bookmarkStart w:id="4" w:name="_Toc7956"/>
      <w:r>
        <w:rPr>
          <w:rFonts w:hint="eastAsia" w:asciiTheme="minorHAnsi" w:hAnsiTheme="minorHAnsi" w:eastAsiaTheme="minorHAnsi" w:cstheme="minorHAnsi"/>
          <w:b/>
          <w:bCs/>
          <w:color w:val="auto"/>
          <w:sz w:val="28"/>
          <w:szCs w:val="28"/>
          <w:lang w:val="en-US" w:eastAsia="zh-CN" w:bidi="ar-SA"/>
        </w:rPr>
        <w:t>1.1</w:t>
      </w:r>
      <w:r>
        <w:rPr>
          <w:rFonts w:hint="eastAsia" w:cstheme="minorHAnsi"/>
          <w:b/>
          <w:bCs/>
          <w:color w:val="auto"/>
          <w:sz w:val="28"/>
          <w:szCs w:val="28"/>
          <w:lang w:val="en-US" w:eastAsia="zh-CN" w:bidi="ar-SA"/>
        </w:rPr>
        <w:t xml:space="preserve"> </w:t>
      </w:r>
      <w:r>
        <w:rPr>
          <w:rFonts w:hint="eastAsia" w:asciiTheme="minorHAnsi" w:hAnsiTheme="minorHAnsi" w:eastAsiaTheme="minorHAnsi" w:cstheme="minorHAnsi"/>
          <w:b/>
          <w:bCs/>
          <w:color w:val="auto"/>
          <w:sz w:val="28"/>
          <w:szCs w:val="28"/>
          <w:lang w:val="en-US" w:eastAsia="zh-CN" w:bidi="ar-SA"/>
        </w:rPr>
        <w:t>Inflated sales revenue</w:t>
      </w:r>
      <w:bookmarkEnd w:id="4"/>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First of all, Luckin falsely increased the number of orders through the way of order skipping, so as to achieve the purpose of falsely increasing sales revenue. Muddy Waters' short report on Luckin Coffee, which monitored 981 full business days across 620 Luckin stores, found that the average number of units sold in a single day was 263, Luckin's financial statement for the third quarter of 2019 showed that the average daily sales volume of its stores was 444, an overstatement of 69%. Luckin Coffee orders are mainly placed in stores and online. For online orders, Muddy Waters discovered the phenomenon of Luckin Coffee order skipping through field investigations. For a single store, the average number of skips per day was 106, and the number of online orders was overstated by 72%. Second, Luckin inflated its sales revenue by inflating the price of orders. Luckin Coffee reported in its third quarter 2019 financial report that the average net selling price of its products was 11.2 yuan, and management claimed that the actual selling price was 55% of the listed price. Muddy Waters, which collected 25,843 customer receipts, calculated 9.97 yuan, or just 46 percent of the listed price. Luckin's CFO noted that more than 63 percent of customers are willing to pay 15-16 yuan per cup, while Muddy Waters' survey showed that only 18.9 percent of customers were willing to pay more than 15 yuan. In addition, Luckin inflated sales revenue by inflating revenue from other products. Luckin reported in its third quarter of 2019 that revenue from other products had risen to 22%, while Muddy Waters' findings showed that revenue from other products only accounted for 6.2%.</w:t>
      </w:r>
    </w:p>
    <w:p>
      <w:pPr>
        <w:widowControl w:val="0"/>
        <w:spacing w:after="0" w:line="240" w:lineRule="auto"/>
        <w:jc w:val="both"/>
        <w:outlineLvl w:val="0"/>
        <w:rPr>
          <w:rFonts w:hint="eastAsia" w:asciiTheme="minorHAnsi" w:hAnsiTheme="minorHAnsi" w:eastAsiaTheme="minorHAnsi" w:cstheme="minorHAnsi"/>
          <w:b/>
          <w:bCs/>
          <w:color w:val="auto"/>
          <w:sz w:val="28"/>
          <w:szCs w:val="28"/>
          <w:lang w:val="en-US" w:eastAsia="zh-CN" w:bidi="ar-SA"/>
        </w:rPr>
      </w:pPr>
      <w:bookmarkStart w:id="5" w:name="_Toc31442"/>
      <w:r>
        <w:rPr>
          <w:rFonts w:hint="eastAsia" w:asciiTheme="minorHAnsi" w:hAnsiTheme="minorHAnsi" w:eastAsiaTheme="minorHAnsi" w:cstheme="minorHAnsi"/>
          <w:b/>
          <w:bCs/>
          <w:color w:val="auto"/>
          <w:sz w:val="28"/>
          <w:szCs w:val="28"/>
          <w:lang w:val="en-US" w:eastAsia="zh-CN" w:bidi="ar-SA"/>
        </w:rPr>
        <w:t>1.2</w:t>
      </w:r>
      <w:r>
        <w:rPr>
          <w:rFonts w:hint="eastAsia" w:cstheme="minorHAnsi"/>
          <w:b/>
          <w:bCs/>
          <w:color w:val="auto"/>
          <w:sz w:val="28"/>
          <w:szCs w:val="28"/>
          <w:lang w:val="en-US" w:eastAsia="zh-CN" w:bidi="ar-SA"/>
        </w:rPr>
        <w:t xml:space="preserve"> </w:t>
      </w:r>
      <w:r>
        <w:rPr>
          <w:rFonts w:hint="eastAsia" w:asciiTheme="minorHAnsi" w:hAnsiTheme="minorHAnsi" w:eastAsiaTheme="minorHAnsi" w:cstheme="minorHAnsi"/>
          <w:b/>
          <w:bCs/>
          <w:color w:val="auto"/>
          <w:sz w:val="28"/>
          <w:szCs w:val="28"/>
          <w:lang w:val="en-US" w:eastAsia="zh-CN" w:bidi="ar-SA"/>
        </w:rPr>
        <w:t>Inflated advertising expenditure</w:t>
      </w:r>
      <w:bookmarkEnd w:id="5"/>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Luckin shifted the inflated advertising expenses back to the operating income of the company to inflate its revenue</w:t>
      </w:r>
      <w:r>
        <w:rPr>
          <w:rFonts w:hint="eastAsia" w:ascii="Arial" w:hAnsi="Arial" w:cs="Arial" w:eastAsiaTheme="minorEastAsia"/>
          <w:kern w:val="2"/>
          <w:sz w:val="24"/>
          <w:szCs w:val="24"/>
          <w:lang w:val="en-US" w:eastAsia="zh-CN"/>
        </w:rPr>
        <w:t xml:space="preserve"> </w:t>
      </w:r>
      <w:r>
        <w:rPr>
          <w:rFonts w:hint="default" w:ascii="Arial" w:hAnsi="Arial" w:cs="Arial" w:eastAsiaTheme="minorEastAsia"/>
          <w:kern w:val="2"/>
          <w:sz w:val="24"/>
          <w:szCs w:val="24"/>
          <w:lang w:val="en-US" w:eastAsia="zh-CN"/>
        </w:rPr>
        <w:t>Condition. Luckin Coffee reported 382 million yuan in display advertising in the third quarter of 2019, up 58% from the second quarter. Muddy Waters found through CTR data research that Luckin Coffee was the largest customer for advertising communication using traditional media and Focus media in May 2019, with 83% of advertising spending on LCD display; However, in June and July 2019, Luckin Coffee dropped out of the top 10 AD spenders among some of LCD's top advertisers. This shows that Luckin Coffee's advertising expenditure is indeed false. So where does this false advertising spend go? Muddy Waters, using data from CTR, reckons Luckin's main advertising spending in the third quarter of 2019 was only 46 million yuan, a fictitious 336 million yuan. Luckin Coffee, however, overstated its operating profit by 397 million yuan in its financial results for the third quarter of 2019, which is very close to the fictitious advertising expenditure. Luckin Coffee "turned a profit" in the third quarter by falsely reporting advertising spending and returning it to operating income.</w:t>
      </w:r>
    </w:p>
    <w:p>
      <w:pPr>
        <w:pStyle w:val="2"/>
        <w:keepNext w:val="0"/>
        <w:keepLines w:val="0"/>
        <w:widowControl/>
        <w:suppressLineNumbers w:val="0"/>
        <w:shd w:val="clear" w:fill="FFFFFF"/>
        <w:spacing w:before="297" w:beforeAutospacing="0" w:after="105" w:afterAutospacing="0" w:line="18" w:lineRule="atLeast"/>
        <w:ind w:left="0" w:right="0" w:firstLine="0"/>
        <w:rPr>
          <w:rFonts w:hint="eastAsia" w:asciiTheme="minorHAnsi" w:hAnsiTheme="minorHAnsi" w:eastAsiaTheme="minorHAnsi" w:cstheme="minorHAnsi"/>
          <w:b/>
          <w:bCs/>
          <w:color w:val="auto"/>
          <w:kern w:val="0"/>
          <w:sz w:val="28"/>
          <w:szCs w:val="28"/>
          <w:lang w:val="en-US" w:eastAsia="zh-CN" w:bidi="ar-SA"/>
        </w:rPr>
      </w:pPr>
      <w:r>
        <w:rPr>
          <w:rFonts w:hint="eastAsia" w:asciiTheme="minorHAnsi" w:hAnsiTheme="minorHAnsi" w:eastAsiaTheme="minorHAnsi" w:cstheme="minorHAnsi"/>
          <w:b/>
          <w:bCs/>
          <w:color w:val="auto"/>
          <w:kern w:val="0"/>
          <w:sz w:val="28"/>
          <w:szCs w:val="28"/>
          <w:lang w:val="en-US" w:eastAsia="zh-CN" w:bidi="ar-SA"/>
        </w:rPr>
        <w:t>1.3 Using related-party transactions to fabricate income</w:t>
      </w: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Luckin Coffee flows back to the company in the form of operating income through fictitious transactions with related parties</w:t>
      </w:r>
      <w:r>
        <w:rPr>
          <w:rFonts w:hint="eastAsia" w:ascii="Arial" w:hAnsi="Arial" w:cs="Arial" w:eastAsiaTheme="minorEastAsia"/>
          <w:kern w:val="2"/>
          <w:sz w:val="24"/>
          <w:szCs w:val="24"/>
          <w:lang w:val="en-US" w:eastAsia="zh-CN"/>
        </w:rPr>
        <w:t xml:space="preserve"> </w:t>
      </w:r>
      <w:r>
        <w:rPr>
          <w:rFonts w:hint="default" w:ascii="Arial" w:hAnsi="Arial" w:cs="Arial" w:eastAsiaTheme="minorEastAsia"/>
          <w:kern w:val="2"/>
          <w:sz w:val="24"/>
          <w:szCs w:val="24"/>
          <w:lang w:val="en-US" w:eastAsia="zh-CN"/>
        </w:rPr>
        <w:t>To make it look good. Luckin Coffee bought a 67 percent stake in Borgward Auto for 4.11 billion yuan in March 2019 from Changsheng Industrial Co., which bought the stake from Beiqi Foton two months earlier. That means Changsheng Industrial Co., Ltd. made a profit of 137 million yuan in just two months. Changsheng is controlled by Wang Baiyin, a former classmate of Luckin's chairman, Lu Zhengyao. Coincidentally, Wang Baiyin set up a company named Zheng Zhe International Trading Co., Ltd. in August 2019 and holds 95% of the shares of the company. The company's main business is selling coffee machines and supplying food raw materials, and its registered address is next to Luckin Coffee's Xiamen headquarters, which makes people suspicious about its potential transactions and associated risks. Moreover, in early 2020, Luckin Coffee announced that it would use 865 million yuan of new capital to develop the "unmanned retail mode". This mode requires a large number of coffee vending machines, and the cost of the equipment provided by Luckin is much higher than the cost of the existing coffee machines in Beijing, Shanghai, Guangzhou and Shenzhen. Wang Baiyin just set up a business selling coffee machines, Luckin Coffee announced to buy a large number of coffee machines at high prices. You can't help but be suspicious of such a coincidence.</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eastAsia"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What leads to the above earnings management situation of Luckin Coffee? The following will analyze the pressure sources and incentive mechanism of Luckin Coffee in the above earnings management situation</w:t>
      </w:r>
      <w:r>
        <w:rPr>
          <w:rFonts w:hint="eastAsia" w:ascii="Arial" w:hAnsi="Arial" w:cs="Arial" w:eastAsiaTheme="minorEastAsia"/>
          <w:kern w:val="2"/>
          <w:sz w:val="24"/>
          <w:szCs w:val="24"/>
          <w:lang w:val="en-US" w:eastAsia="zh-CN"/>
        </w:rPr>
        <w:t>:</w:t>
      </w:r>
    </w:p>
    <w:p>
      <w:pPr>
        <w:widowControl w:val="0"/>
        <w:spacing w:after="0" w:line="240" w:lineRule="auto"/>
        <w:jc w:val="both"/>
        <w:rPr>
          <w:rFonts w:hint="eastAsia" w:ascii="Arial" w:hAnsi="Arial" w:cs="Arial" w:eastAsiaTheme="minorEastAsia"/>
          <w:kern w:val="2"/>
          <w:sz w:val="24"/>
          <w:szCs w:val="24"/>
          <w:lang w:val="en-US" w:eastAsia="zh-CN"/>
        </w:rPr>
      </w:pPr>
    </w:p>
    <w:p>
      <w:pPr>
        <w:widowControl w:val="0"/>
        <w:spacing w:after="0" w:line="240" w:lineRule="auto"/>
        <w:jc w:val="both"/>
        <w:outlineLvl w:val="0"/>
        <w:rPr>
          <w:rFonts w:hint="eastAsia" w:asciiTheme="minorHAnsi" w:hAnsiTheme="minorHAnsi" w:eastAsiaTheme="minorHAnsi" w:cstheme="minorHAnsi"/>
          <w:b/>
          <w:bCs/>
          <w:color w:val="auto"/>
          <w:sz w:val="28"/>
          <w:szCs w:val="28"/>
          <w:lang w:val="en-US" w:eastAsia="zh-CN" w:bidi="ar-SA"/>
        </w:rPr>
      </w:pPr>
      <w:bookmarkStart w:id="6" w:name="_Toc17410"/>
      <w:r>
        <w:rPr>
          <w:rFonts w:hint="eastAsia" w:asciiTheme="minorHAnsi" w:hAnsiTheme="minorHAnsi" w:eastAsiaTheme="minorHAnsi" w:cstheme="minorHAnsi"/>
          <w:b/>
          <w:bCs/>
          <w:color w:val="auto"/>
          <w:sz w:val="28"/>
          <w:szCs w:val="28"/>
          <w:lang w:val="en-US" w:eastAsia="zh-CN" w:bidi="ar-SA"/>
        </w:rPr>
        <w:t>2.1 Pressure factor</w:t>
      </w:r>
      <w:bookmarkEnd w:id="6"/>
    </w:p>
    <w:p>
      <w:pPr>
        <w:widowControl w:val="0"/>
        <w:spacing w:after="0" w:line="240" w:lineRule="auto"/>
        <w:jc w:val="both"/>
        <w:outlineLvl w:val="1"/>
        <w:rPr>
          <w:rFonts w:hint="eastAsia" w:cstheme="minorHAnsi"/>
          <w:b/>
          <w:bCs/>
          <w:color w:val="auto"/>
          <w:sz w:val="28"/>
          <w:szCs w:val="28"/>
          <w:lang w:val="en-US" w:eastAsia="zh-CN" w:bidi="ar-SA"/>
        </w:rPr>
      </w:pPr>
      <w:bookmarkStart w:id="7" w:name="_Toc18151"/>
      <w:r>
        <w:rPr>
          <w:rFonts w:hint="eastAsia" w:cstheme="minorHAnsi"/>
          <w:b/>
          <w:bCs/>
          <w:color w:val="auto"/>
          <w:sz w:val="28"/>
          <w:szCs w:val="28"/>
          <w:lang w:val="en-US" w:eastAsia="zh-CN" w:bidi="ar-SA"/>
        </w:rPr>
        <w:t>2.1.1 Cash flow pressure</w:t>
      </w:r>
      <w:bookmarkEnd w:id="7"/>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Cash flow is essential to the survival of an enterprise. Luckin Coffee's cash flow situation has been a big pressure. As can be seen from the table, Luckin Coffee's operating cash flow has been negative, even reaching -628 million yuan in the first quarter of 2019. Although the investment cash flow of Luckin Coffee is positive, in the long run, the cash flow of Luckin Coffee's investment activities is still negative, and reached -2.365 billion yuan in the second quarter of 2019. Therefore, Luckin Coffee's cash flow mainly comes from financing cash flow. However, in the first quarter of 2019, financing cash flow was only 8.6 billion yuan, which is undoubtedly worse for Luckin Coffee, which already relies on financing to obtain cash flow. If an enterprise cash flow problems, then the financial situation is more worrying, even can not guarantee the normal operation of the enterprise. So with so much cash flow pressure, Luckin's management had to look elsewhere.</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ind w:firstLine="400" w:firstLineChars="200"/>
        <w:jc w:val="center"/>
        <w:rPr>
          <w:rFonts w:hint="default" w:ascii="Arial" w:hAnsi="Arial" w:cs="Arial" w:eastAsiaTheme="minorEastAsia"/>
          <w:kern w:val="2"/>
          <w:sz w:val="20"/>
          <w:szCs w:val="20"/>
          <w:lang w:val="en-US" w:eastAsia="zh-CN"/>
        </w:rPr>
      </w:pPr>
      <w:r>
        <w:rPr>
          <w:rFonts w:hint="default" w:ascii="Arial" w:hAnsi="Arial" w:cs="Arial" w:eastAsiaTheme="minorEastAsia"/>
          <w:kern w:val="2"/>
          <w:sz w:val="20"/>
          <w:szCs w:val="20"/>
          <w:lang w:val="en-US" w:eastAsia="zh-CN"/>
        </w:rPr>
        <w:t>Table 1 Luckin Coffee cash flow situation (unit: 100 million yuan)</w:t>
      </w:r>
    </w:p>
    <w:tbl>
      <w:tblPr>
        <w:tblStyle w:val="8"/>
        <w:tblpPr w:leftFromText="180" w:rightFromText="180" w:vertAnchor="text" w:horzAnchor="page" w:tblpX="498" w:tblpY="231"/>
        <w:tblOverlap w:val="never"/>
        <w:tblW w:w="10686"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3991"/>
        <w:gridCol w:w="1737"/>
        <w:gridCol w:w="1510"/>
        <w:gridCol w:w="1858"/>
        <w:gridCol w:w="159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399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eastAsia" w:ascii="Arial" w:hAnsi="Arial" w:eastAsia="宋体" w:cs="Arial"/>
                <w:i w:val="0"/>
                <w:iCs w:val="0"/>
                <w:color w:val="000000"/>
                <w:sz w:val="24"/>
                <w:szCs w:val="24"/>
                <w:u w:val="none"/>
              </w:rPr>
            </w:pP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2018</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default" w:ascii="Arial" w:hAnsi="Arial" w:eastAsia="宋体" w:cs="Arial"/>
                <w:i w:val="0"/>
                <w:iCs w:val="0"/>
                <w:color w:val="000000"/>
                <w:sz w:val="24"/>
                <w:szCs w:val="24"/>
                <w:u w:val="none"/>
              </w:rPr>
            </w:pP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2019</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default" w:ascii="Arial" w:hAnsi="Arial" w:eastAsia="宋体" w:cs="Arial"/>
                <w:i w:val="0"/>
                <w:iCs w:val="0"/>
                <w:color w:val="000000"/>
                <w:sz w:val="24"/>
                <w:szCs w:val="24"/>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99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default" w:ascii="Arial" w:hAnsi="Arial" w:eastAsia="宋体" w:cs="Arial"/>
                <w:i w:val="0"/>
                <w:iCs w:val="0"/>
                <w:color w:val="000000"/>
                <w:sz w:val="24"/>
                <w:szCs w:val="24"/>
                <w:u w:val="none"/>
              </w:rPr>
            </w:pP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Fourth quarter</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First quarter</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Second quarter</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Third quarter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99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Cash flows from operating activities</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-2.71</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-6.28</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-3.75</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-1.23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99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Cash flow from investing activities</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3.27</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0.77</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-23.65</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6.83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3991"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Cash flows from financing activities</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14.3</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0.86</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55.65</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-1.6</w:t>
            </w:r>
          </w:p>
        </w:tc>
      </w:tr>
    </w:tbl>
    <w:p>
      <w:pPr>
        <w:widowControl w:val="0"/>
        <w:spacing w:after="0" w:line="240" w:lineRule="auto"/>
        <w:jc w:val="both"/>
        <w:rPr>
          <w:rFonts w:hint="default" w:ascii="Arial" w:hAnsi="Arial" w:cs="Arial" w:eastAsiaTheme="minorEastAsia"/>
          <w:kern w:val="2"/>
          <w:sz w:val="24"/>
          <w:szCs w:val="24"/>
          <w:lang w:val="en-US" w:eastAsia="zh-CN"/>
        </w:rPr>
      </w:pPr>
    </w:p>
    <w:p>
      <w:pPr>
        <w:tabs>
          <w:tab w:val="left" w:pos="2050"/>
        </w:tabs>
        <w:bidi w:val="0"/>
        <w:jc w:val="center"/>
        <w:rPr>
          <w:rFonts w:hint="default" w:ascii="Arial" w:hAnsi="Arial" w:cs="Arial"/>
          <w:sz w:val="20"/>
          <w:szCs w:val="20"/>
          <w:lang w:val="en-US" w:eastAsia="zh-CN" w:bidi="ar-SA"/>
        </w:rPr>
      </w:pPr>
      <w:r>
        <w:rPr>
          <w:rFonts w:hint="default" w:ascii="Arial" w:hAnsi="Arial" w:cs="Arial"/>
          <w:sz w:val="20"/>
          <w:szCs w:val="20"/>
          <w:lang w:val="en-US" w:eastAsia="zh-CN" w:bidi="ar-SA"/>
        </w:rPr>
        <w:t>Source: Luckin Coffee fourth quarter 2018 - third quarter 2019 financial statements</w:t>
      </w:r>
    </w:p>
    <w:p>
      <w:pPr>
        <w:widowControl w:val="0"/>
        <w:spacing w:after="0" w:line="240" w:lineRule="auto"/>
        <w:jc w:val="both"/>
        <w:outlineLvl w:val="1"/>
        <w:rPr>
          <w:rFonts w:hint="eastAsia" w:cstheme="minorHAnsi"/>
          <w:b/>
          <w:bCs/>
          <w:color w:val="auto"/>
          <w:sz w:val="28"/>
          <w:szCs w:val="28"/>
          <w:lang w:val="en-US" w:eastAsia="zh-CN" w:bidi="ar-SA"/>
        </w:rPr>
      </w:pPr>
      <w:bookmarkStart w:id="8" w:name="_Toc1994"/>
      <w:r>
        <w:rPr>
          <w:rFonts w:hint="eastAsia" w:cstheme="minorHAnsi"/>
          <w:b/>
          <w:bCs/>
          <w:color w:val="auto"/>
          <w:sz w:val="28"/>
          <w:szCs w:val="28"/>
          <w:lang w:val="en-US" w:eastAsia="zh-CN" w:bidi="ar-SA"/>
        </w:rPr>
        <w:t>2.1.2 Profit pressure</w:t>
      </w:r>
      <w:bookmarkEnd w:id="8"/>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Luckin Coffee since its establishment, the corporate profit situation has been poor. As can be seen from Table 2, the gross margin of Luckin Coffee in the first quarter of 2019 was -16.65%, and the gross margin was lower before that; It was not until the second quarter that gross profit reached 7.90 per cent. The operating profit margin of Luckin Coffee is on the rise, but it only reached -38.33% in the third quarter of 2019, which is far from the goal of making a profit.</w:t>
      </w:r>
    </w:p>
    <w:p>
      <w:pPr>
        <w:widowControl w:val="0"/>
        <w:spacing w:after="0" w:line="240" w:lineRule="auto"/>
        <w:jc w:val="both"/>
        <w:rPr>
          <w:rFonts w:hint="default" w:ascii="Arial" w:hAnsi="Arial" w:cs="Arial" w:eastAsiaTheme="minorEastAsia"/>
          <w:kern w:val="2"/>
          <w:sz w:val="24"/>
          <w:szCs w:val="24"/>
          <w:lang w:val="en-US" w:eastAsia="zh-CN"/>
        </w:rPr>
      </w:pPr>
    </w:p>
    <w:tbl>
      <w:tblPr>
        <w:tblStyle w:val="8"/>
        <w:tblpPr w:leftFromText="180" w:rightFromText="180" w:vertAnchor="text" w:horzAnchor="page" w:tblpX="1430" w:tblpY="814"/>
        <w:tblOverlap w:val="never"/>
        <w:tblW w:w="954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2850"/>
        <w:gridCol w:w="1737"/>
        <w:gridCol w:w="1510"/>
        <w:gridCol w:w="1858"/>
        <w:gridCol w:w="159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85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eastAsia" w:ascii="Arial" w:hAnsi="Arial" w:eastAsia="宋体" w:cs="Arial"/>
                <w:i w:val="0"/>
                <w:iCs w:val="0"/>
                <w:color w:val="000000"/>
                <w:sz w:val="24"/>
                <w:szCs w:val="24"/>
                <w:u w:val="none"/>
              </w:rPr>
            </w:pP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2018</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default" w:ascii="Arial" w:hAnsi="Arial" w:eastAsia="宋体" w:cs="Arial"/>
                <w:i w:val="0"/>
                <w:iCs w:val="0"/>
                <w:color w:val="000000"/>
                <w:sz w:val="24"/>
                <w:szCs w:val="24"/>
                <w:u w:val="none"/>
              </w:rPr>
            </w:pP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2019</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default" w:ascii="Arial" w:hAnsi="Arial" w:eastAsia="宋体" w:cs="Arial"/>
                <w:i w:val="0"/>
                <w:iCs w:val="0"/>
                <w:color w:val="000000"/>
                <w:sz w:val="24"/>
                <w:szCs w:val="24"/>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85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default" w:ascii="Arial" w:hAnsi="Arial" w:eastAsia="宋体" w:cs="Arial"/>
                <w:i w:val="0"/>
                <w:iCs w:val="0"/>
                <w:color w:val="000000"/>
                <w:sz w:val="24"/>
                <w:szCs w:val="24"/>
                <w:u w:val="none"/>
              </w:rPr>
            </w:pPr>
          </w:p>
        </w:tc>
        <w:tc>
          <w:tcPr>
            <w:tcW w:w="1737" w:type="dxa"/>
            <w:tcBorders>
              <w:top w:val="nil"/>
              <w:left w:val="nil"/>
              <w:bottom w:val="nil"/>
              <w:right w:val="nil"/>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Fourth quarter</w:t>
            </w:r>
          </w:p>
        </w:tc>
        <w:tc>
          <w:tcPr>
            <w:tcW w:w="1510" w:type="dxa"/>
            <w:tcBorders>
              <w:top w:val="nil"/>
              <w:left w:val="nil"/>
              <w:bottom w:val="nil"/>
              <w:right w:val="nil"/>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First quarter</w:t>
            </w:r>
          </w:p>
        </w:tc>
        <w:tc>
          <w:tcPr>
            <w:tcW w:w="1858" w:type="dxa"/>
            <w:tcBorders>
              <w:top w:val="nil"/>
              <w:left w:val="nil"/>
              <w:bottom w:val="nil"/>
              <w:right w:val="nil"/>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Second quarter</w:t>
            </w:r>
          </w:p>
        </w:tc>
        <w:tc>
          <w:tcPr>
            <w:tcW w:w="1590" w:type="dxa"/>
            <w:tcBorders>
              <w:top w:val="nil"/>
              <w:left w:val="nil"/>
              <w:bottom w:val="nil"/>
              <w:right w:val="nil"/>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Third quarter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85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Income</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4.65</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4.59</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9.09</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15.42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85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Gross profit</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-1.13</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-0.8</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0.72</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3.43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PrEx>
        <w:trPr>
          <w:trHeight w:val="300" w:hRule="atLeast"/>
        </w:trPr>
        <w:tc>
          <w:tcPr>
            <w:tcW w:w="285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Operating profit</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-6.44</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-5.27</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-6.9</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-5.91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85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Net income before tax</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-6.69</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-5.52</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-6.81</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-5.32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85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Gross profit margin</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-0.2438</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-0.1665</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0.079</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0.2226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85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Operating margin</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-1.3832</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-1.1015</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-0.7587</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-0.3833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285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Pre-tax profit margin</w:t>
            </w:r>
          </w:p>
        </w:tc>
        <w:tc>
          <w:tcPr>
            <w:tcW w:w="1737"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-1.4374</w:t>
            </w:r>
          </w:p>
        </w:tc>
        <w:tc>
          <w:tcPr>
            <w:tcW w:w="151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-1.1531</w:t>
            </w:r>
          </w:p>
        </w:tc>
        <w:tc>
          <w:tcPr>
            <w:tcW w:w="1858"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-0.7494</w:t>
            </w:r>
          </w:p>
        </w:tc>
        <w:tc>
          <w:tcPr>
            <w:tcW w:w="159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-0.345</w:t>
            </w:r>
          </w:p>
        </w:tc>
      </w:tr>
    </w:tbl>
    <w:p>
      <w:pPr>
        <w:widowControl w:val="0"/>
        <w:spacing w:after="0" w:line="240" w:lineRule="auto"/>
        <w:jc w:val="center"/>
        <w:rPr>
          <w:rFonts w:hint="default" w:ascii="Arial" w:hAnsi="Arial" w:cs="Arial" w:eastAsiaTheme="minorEastAsia"/>
          <w:kern w:val="2"/>
          <w:sz w:val="20"/>
          <w:szCs w:val="20"/>
          <w:lang w:val="en-US" w:eastAsia="zh-CN"/>
        </w:rPr>
      </w:pPr>
      <w:r>
        <w:rPr>
          <w:rFonts w:hint="default" w:ascii="Arial" w:hAnsi="Arial" w:cs="Arial" w:eastAsiaTheme="minorEastAsia"/>
          <w:kern w:val="2"/>
          <w:sz w:val="20"/>
          <w:szCs w:val="20"/>
          <w:lang w:val="en-US" w:eastAsia="zh-CN"/>
        </w:rPr>
        <w:t>Table 2 Profit of Luckin Coffee (Unit: 100 million yuan)</w:t>
      </w:r>
    </w:p>
    <w:p>
      <w:pPr>
        <w:widowControl w:val="0"/>
        <w:spacing w:after="0" w:line="240" w:lineRule="auto"/>
        <w:jc w:val="both"/>
        <w:rPr>
          <w:rFonts w:hint="default" w:ascii="Arial" w:hAnsi="Arial" w:cs="Arial" w:eastAsiaTheme="minorEastAsia"/>
          <w:kern w:val="2"/>
          <w:sz w:val="20"/>
          <w:szCs w:val="20"/>
          <w:lang w:val="en-US" w:eastAsia="zh-CN"/>
        </w:rPr>
      </w:pPr>
    </w:p>
    <w:p>
      <w:pPr>
        <w:tabs>
          <w:tab w:val="left" w:pos="2050"/>
        </w:tabs>
        <w:bidi w:val="0"/>
        <w:jc w:val="center"/>
        <w:rPr>
          <w:rFonts w:hint="default" w:ascii="Arial" w:hAnsi="Arial" w:cs="Arial"/>
          <w:sz w:val="20"/>
          <w:szCs w:val="20"/>
          <w:lang w:val="en-US" w:eastAsia="zh-CN" w:bidi="ar-SA"/>
        </w:rPr>
      </w:pPr>
      <w:r>
        <w:rPr>
          <w:rFonts w:hint="default" w:ascii="Arial" w:hAnsi="Arial" w:cs="Arial"/>
          <w:sz w:val="20"/>
          <w:szCs w:val="20"/>
          <w:lang w:val="en-US" w:eastAsia="zh-CN" w:bidi="ar-SA"/>
        </w:rPr>
        <w:t>Source: Luckin Coffee fourth quarter 2018 - third quarter 2019 financial statements</w:t>
      </w: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Luckin Coffee is far from Starbucks in terms of profitability. As can be seen from Table 3, the average store revenue of Luckin Coffee shows an increasing trend, reaching 307,000 yuan in the second quarter of 2019. But it was far below Starbucks' average store revenue of 990,000 yuan during the same period. According to Starbucks' quarterly report, Starbucks' operating profit margin in the second quarter of 2019 was 12.9%, while Luckin's was -75.87%.</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center"/>
        <w:rPr>
          <w:rFonts w:hint="default" w:ascii="Arial" w:hAnsi="Arial" w:cs="Arial" w:eastAsiaTheme="minorEastAsia"/>
          <w:kern w:val="2"/>
          <w:sz w:val="20"/>
          <w:szCs w:val="20"/>
          <w:lang w:val="en-US" w:eastAsia="zh-CN"/>
        </w:rPr>
      </w:pPr>
      <w:r>
        <w:rPr>
          <w:rFonts w:hint="default" w:ascii="Arial" w:hAnsi="Arial" w:cs="Arial" w:eastAsiaTheme="minorEastAsia"/>
          <w:kern w:val="2"/>
          <w:sz w:val="20"/>
          <w:szCs w:val="20"/>
          <w:lang w:val="en-US" w:eastAsia="zh-CN"/>
        </w:rPr>
        <w:t>Table 3 Comparison between Luckin Coffee and Starbucks</w:t>
      </w:r>
    </w:p>
    <w:tbl>
      <w:tblPr>
        <w:tblStyle w:val="8"/>
        <w:tblpPr w:leftFromText="180" w:rightFromText="180" w:vertAnchor="text" w:horzAnchor="page" w:tblpX="498" w:tblpY="306"/>
        <w:tblOverlap w:val="never"/>
        <w:tblW w:w="1150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4095"/>
        <w:gridCol w:w="1920"/>
        <w:gridCol w:w="1785"/>
        <w:gridCol w:w="1920"/>
        <w:gridCol w:w="178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409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eastAsia" w:ascii="Arial" w:hAnsi="Arial" w:eastAsia="宋体" w:cs="Arial"/>
                <w:i w:val="0"/>
                <w:iCs w:val="0"/>
                <w:color w:val="000000"/>
                <w:sz w:val="24"/>
                <w:szCs w:val="24"/>
                <w:u w:val="none"/>
              </w:rPr>
            </w:pP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2018</w:t>
            </w:r>
          </w:p>
        </w:tc>
        <w:tc>
          <w:tcPr>
            <w:tcW w:w="178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default" w:ascii="Arial" w:hAnsi="Arial" w:eastAsia="宋体" w:cs="Arial"/>
                <w:i w:val="0"/>
                <w:iCs w:val="0"/>
                <w:color w:val="000000"/>
                <w:sz w:val="24"/>
                <w:szCs w:val="24"/>
                <w:u w:val="none"/>
              </w:rPr>
            </w:pP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2019</w:t>
            </w:r>
          </w:p>
        </w:tc>
        <w:tc>
          <w:tcPr>
            <w:tcW w:w="178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default" w:ascii="Arial" w:hAnsi="Arial" w:eastAsia="宋体" w:cs="Arial"/>
                <w:i w:val="0"/>
                <w:iCs w:val="0"/>
                <w:color w:val="000000"/>
                <w:sz w:val="24"/>
                <w:szCs w:val="24"/>
                <w:u w:val="none"/>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409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jc w:val="center"/>
              <w:rPr>
                <w:rFonts w:hint="default" w:ascii="Arial" w:hAnsi="Arial" w:eastAsia="宋体" w:cs="Arial"/>
                <w:i w:val="0"/>
                <w:iCs w:val="0"/>
                <w:color w:val="000000"/>
                <w:sz w:val="24"/>
                <w:szCs w:val="24"/>
                <w:u w:val="none"/>
              </w:rPr>
            </w:pP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Fourth quarter</w:t>
            </w:r>
          </w:p>
        </w:tc>
        <w:tc>
          <w:tcPr>
            <w:tcW w:w="178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First quarter</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Second quarter</w:t>
            </w:r>
          </w:p>
        </w:tc>
        <w:tc>
          <w:tcPr>
            <w:tcW w:w="178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First quarter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600" w:hRule="atLeast"/>
        </w:trPr>
        <w:tc>
          <w:tcPr>
            <w:tcW w:w="4095"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Luckin coffee average store revenue Inflow/ten thousand yuan</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22.5</w:t>
            </w:r>
          </w:p>
        </w:tc>
        <w:tc>
          <w:tcPr>
            <w:tcW w:w="178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20.2</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30.7</w:t>
            </w:r>
          </w:p>
        </w:tc>
        <w:tc>
          <w:tcPr>
            <w:tcW w:w="178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41.9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600" w:hRule="atLeast"/>
        </w:trPr>
        <w:tc>
          <w:tcPr>
            <w:tcW w:w="4095"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Average Starbucks store revenue</w:t>
            </w:r>
            <w:r>
              <w:rPr>
                <w:rFonts w:hint="default" w:ascii="Arial" w:hAnsi="Arial" w:eastAsia="宋体" w:cs="Arial"/>
                <w:i w:val="0"/>
                <w:iCs w:val="0"/>
                <w:color w:val="000000"/>
                <w:kern w:val="0"/>
                <w:sz w:val="24"/>
                <w:szCs w:val="24"/>
                <w:u w:val="none"/>
                <w:lang w:val="en-US" w:eastAsia="zh-CN" w:bidi="ar"/>
              </w:rPr>
              <w:br w:type="textWrapping"/>
            </w:r>
            <w:r>
              <w:rPr>
                <w:rFonts w:hint="default" w:ascii="Arial" w:hAnsi="Arial" w:eastAsia="宋体" w:cs="Arial"/>
                <w:i w:val="0"/>
                <w:iCs w:val="0"/>
                <w:color w:val="000000"/>
                <w:kern w:val="0"/>
                <w:sz w:val="24"/>
                <w:szCs w:val="24"/>
                <w:u w:val="none"/>
                <w:lang w:val="en-US" w:eastAsia="zh-CN" w:bidi="ar"/>
              </w:rPr>
              <w:t>(Asia Pacific) / 10,000 Yuan</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96</w:t>
            </w:r>
          </w:p>
        </w:tc>
        <w:tc>
          <w:tcPr>
            <w:tcW w:w="178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96.2</w:t>
            </w:r>
          </w:p>
        </w:tc>
        <w:tc>
          <w:tcPr>
            <w:tcW w:w="1920"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99</w:t>
            </w:r>
          </w:p>
        </w:tc>
        <w:tc>
          <w:tcPr>
            <w:tcW w:w="178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98.6</w:t>
            </w:r>
          </w:p>
        </w:tc>
      </w:tr>
    </w:tbl>
    <w:p>
      <w:pPr>
        <w:widowControl w:val="0"/>
        <w:spacing w:after="0" w:line="240" w:lineRule="auto"/>
        <w:jc w:val="center"/>
        <w:rPr>
          <w:rFonts w:hint="default" w:ascii="Arial" w:hAnsi="Arial" w:cs="Arial" w:eastAsiaTheme="minorEastAsia"/>
          <w:kern w:val="2"/>
          <w:sz w:val="20"/>
          <w:szCs w:val="20"/>
          <w:lang w:val="en-US" w:eastAsia="zh-CN"/>
        </w:rPr>
      </w:pPr>
    </w:p>
    <w:p>
      <w:pPr>
        <w:bidi w:val="0"/>
        <w:jc w:val="center"/>
        <w:rPr>
          <w:rFonts w:hint="default" w:ascii="Arial" w:hAnsi="Arial" w:cs="Arial" w:eastAsiaTheme="minorHAnsi"/>
          <w:sz w:val="20"/>
          <w:szCs w:val="20"/>
          <w:lang w:val="en-US" w:eastAsia="zh-CN" w:bidi="ar-SA"/>
        </w:rPr>
      </w:pPr>
      <w:r>
        <w:rPr>
          <w:rFonts w:hint="default" w:ascii="Arial" w:hAnsi="Arial" w:cs="Arial"/>
          <w:sz w:val="20"/>
          <w:szCs w:val="20"/>
          <w:lang w:val="en-US" w:eastAsia="zh-CN" w:bidi="ar-SA"/>
        </w:rPr>
        <w:t>S</w:t>
      </w:r>
      <w:r>
        <w:rPr>
          <w:rFonts w:hint="default" w:ascii="Arial" w:hAnsi="Arial" w:cs="Arial" w:eastAsiaTheme="minorHAnsi"/>
          <w:sz w:val="20"/>
          <w:szCs w:val="20"/>
          <w:lang w:val="en-US" w:eastAsia="zh-CN" w:bidi="ar-SA"/>
        </w:rPr>
        <w:t>ource: Financial statements of Luckin Coffee and Starbucks from the fourth quarter of 2018 to the third quarter of 2019</w:t>
      </w: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Luckin Coffee is in the stage of rapid development, and adopts various preferential measures such as issuing a large number of coupons to attract consumers and seize more market. Therefore, the selling price of Luckin coffee is always lower than that of Starbucks, which leads to the loss of Luckin coffee. Luckin's management wants to scale up and grow the number of stores faster, but the company's profitability is putting pressure on that goal. The financial situation of the company cannot provide a large amount of funds, and it is also facing the pressure of market competition with Starbucks. Therefore, the rapid expansion strategy of Luckin Coffee is under great pressure.</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outlineLvl w:val="0"/>
        <w:rPr>
          <w:rFonts w:hint="eastAsia" w:cstheme="minorHAnsi"/>
          <w:b/>
          <w:bCs/>
          <w:color w:val="auto"/>
          <w:sz w:val="28"/>
          <w:szCs w:val="28"/>
          <w:lang w:val="en-US" w:eastAsia="zh-CN" w:bidi="ar-SA"/>
        </w:rPr>
      </w:pPr>
      <w:bookmarkStart w:id="9" w:name="_Toc31130"/>
      <w:r>
        <w:rPr>
          <w:rFonts w:hint="eastAsia" w:cstheme="minorHAnsi"/>
          <w:b/>
          <w:bCs/>
          <w:color w:val="auto"/>
          <w:sz w:val="28"/>
          <w:szCs w:val="28"/>
          <w:lang w:val="en-US" w:eastAsia="zh-CN" w:bidi="ar-SA"/>
        </w:rPr>
        <w:t>3.1 Motivating factor</w:t>
      </w:r>
      <w:bookmarkEnd w:id="9"/>
    </w:p>
    <w:p>
      <w:pPr>
        <w:widowControl w:val="0"/>
        <w:spacing w:after="0" w:line="240" w:lineRule="auto"/>
        <w:jc w:val="both"/>
        <w:rPr>
          <w:rFonts w:hint="eastAsia" w:cstheme="minorHAnsi"/>
          <w:b/>
          <w:bCs/>
          <w:color w:val="auto"/>
          <w:sz w:val="28"/>
          <w:szCs w:val="28"/>
          <w:lang w:val="en-US" w:eastAsia="zh-CN" w:bidi="ar-SA"/>
        </w:rPr>
      </w:pPr>
      <w:r>
        <w:rPr>
          <w:rFonts w:hint="eastAsia" w:cstheme="minorHAnsi"/>
          <w:b/>
          <w:bCs/>
          <w:color w:val="auto"/>
          <w:sz w:val="28"/>
          <w:szCs w:val="28"/>
          <w:lang w:val="en-US" w:eastAsia="zh-CN" w:bidi="ar-SA"/>
        </w:rPr>
        <w:t>3.1.1 The ownership structure is highly concentrated</w:t>
      </w: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Luckin Coffee's shareholding structure is highly concentrated, forming a collective interest with Lu Zhengyao as the core. As can be seen from Table 4, five shareholders of Luckin Coffee hold 30.53%, 19.68%, 12.40%, 11.90% and 6.75% of Luckin Coffee's shares respectively, and the total value even exceeds 80%. Besides, all four shareholders except Lu Zhengyao have clear interest relationship with Lu Zhengyao. In other words, the interest group with Lu Zhengyao as the core has mastered the absolute control over Luckin Coffee. Therefore, Lu Zhengyao has a strong influence on Luckin Coffee's decision-making, and minority shareholders have no influence on the company's decision-making. The high concentration of equity institutions also leads to the company's internal audit being dictated by the decisions of the major shareholders who actually control the company, which results in the internal audit of Luckin Coffee failing to play the supervisory effect it should have. In a word, the highly concentrated shareholding structure gives Luckin the opportunity to carry out financial fraud without being discovered and reported by the company.</w:t>
      </w:r>
    </w:p>
    <w:tbl>
      <w:tblPr>
        <w:tblStyle w:val="8"/>
        <w:tblpPr w:leftFromText="180" w:rightFromText="180" w:vertAnchor="text" w:horzAnchor="page" w:tblpX="170" w:tblpY="306"/>
        <w:tblOverlap w:val="never"/>
        <w:tblW w:w="1182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3615"/>
        <w:gridCol w:w="1515"/>
        <w:gridCol w:w="2445"/>
        <w:gridCol w:w="424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36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Name of shareholder</w:t>
            </w:r>
          </w:p>
        </w:tc>
        <w:tc>
          <w:tcPr>
            <w:tcW w:w="15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Hold shares</w:t>
            </w:r>
          </w:p>
        </w:tc>
        <w:tc>
          <w:tcPr>
            <w:tcW w:w="24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Shareholding ratio</w:t>
            </w:r>
          </w:p>
        </w:tc>
        <w:tc>
          <w:tcPr>
            <w:tcW w:w="42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Shareholder situation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36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Lu Zhengyao Family Trust</w:t>
            </w:r>
          </w:p>
        </w:tc>
        <w:tc>
          <w:tcPr>
            <w:tcW w:w="15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969703</w:t>
            </w:r>
          </w:p>
        </w:tc>
        <w:tc>
          <w:tcPr>
            <w:tcW w:w="24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30.53%</w:t>
            </w:r>
          </w:p>
        </w:tc>
        <w:tc>
          <w:tcPr>
            <w:tcW w:w="42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Chairman and CEO of China Auto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36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The Chandria Family Trust</w:t>
            </w:r>
          </w:p>
        </w:tc>
        <w:tc>
          <w:tcPr>
            <w:tcW w:w="15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625000</w:t>
            </w:r>
          </w:p>
        </w:tc>
        <w:tc>
          <w:tcPr>
            <w:tcW w:w="24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19.68%</w:t>
            </w:r>
          </w:p>
        </w:tc>
        <w:tc>
          <w:tcPr>
            <w:tcW w:w="42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CEO and former COO of China Auto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600" w:hRule="atLeast"/>
        </w:trPr>
        <w:tc>
          <w:tcPr>
            <w:tcW w:w="3615" w:type="dxa"/>
            <w:tcBorders>
              <w:top w:val="single" w:color="000000" w:sz="4" w:space="0"/>
              <w:left w:val="single" w:color="000000" w:sz="4" w:space="0"/>
              <w:bottom w:val="single" w:color="000000" w:sz="4" w:space="0"/>
              <w:right w:val="single" w:color="000000" w:sz="4" w:space="0"/>
            </w:tcBorders>
            <w:shd w:val="clear" w:color="auto" w:fill="auto"/>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Controlled by Sunying wong</w:t>
            </w:r>
            <w:r>
              <w:rPr>
                <w:rFonts w:hint="default" w:ascii="Arial" w:hAnsi="Arial" w:eastAsia="宋体" w:cs="Arial"/>
                <w:i w:val="0"/>
                <w:iCs w:val="0"/>
                <w:color w:val="000000"/>
                <w:kern w:val="0"/>
                <w:sz w:val="24"/>
                <w:szCs w:val="24"/>
                <w:u w:val="none"/>
                <w:lang w:val="en-US" w:eastAsia="zh-CN" w:bidi="ar"/>
              </w:rPr>
              <w:br w:type="textWrapping"/>
            </w:r>
            <w:r>
              <w:rPr>
                <w:rStyle w:val="14"/>
                <w:lang w:val="en-US" w:eastAsia="zh-CN" w:bidi="ar"/>
              </w:rPr>
              <w:t>（</w:t>
            </w:r>
            <w:r>
              <w:rPr>
                <w:rStyle w:val="15"/>
                <w:rFonts w:eastAsia="宋体"/>
                <w:lang w:val="en-US" w:eastAsia="zh-CN" w:bidi="ar"/>
              </w:rPr>
              <w:t>Mayer Investments Funds</w:t>
            </w:r>
            <w:r>
              <w:rPr>
                <w:rStyle w:val="14"/>
                <w:lang w:val="en-US" w:eastAsia="zh-CN" w:bidi="ar"/>
              </w:rPr>
              <w:t>）</w:t>
            </w:r>
          </w:p>
        </w:tc>
        <w:tc>
          <w:tcPr>
            <w:tcW w:w="15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393750</w:t>
            </w:r>
          </w:p>
        </w:tc>
        <w:tc>
          <w:tcPr>
            <w:tcW w:w="24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12.40%</w:t>
            </w:r>
          </w:p>
        </w:tc>
        <w:tc>
          <w:tcPr>
            <w:tcW w:w="42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Lu Zhengyao's sister</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6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Dajing Capital</w:t>
            </w:r>
          </w:p>
        </w:tc>
        <w:tc>
          <w:tcPr>
            <w:tcW w:w="15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377877</w:t>
            </w:r>
          </w:p>
        </w:tc>
        <w:tc>
          <w:tcPr>
            <w:tcW w:w="24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11.90%</w:t>
            </w:r>
          </w:p>
        </w:tc>
        <w:tc>
          <w:tcPr>
            <w:tcW w:w="42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Investor of China Auto</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36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Pleasure capital</w:t>
            </w:r>
          </w:p>
        </w:tc>
        <w:tc>
          <w:tcPr>
            <w:tcW w:w="151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214471</w:t>
            </w:r>
          </w:p>
        </w:tc>
        <w:tc>
          <w:tcPr>
            <w:tcW w:w="24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6.75%</w:t>
            </w:r>
          </w:p>
        </w:tc>
        <w:tc>
          <w:tcPr>
            <w:tcW w:w="4245" w:type="dxa"/>
            <w:tcBorders>
              <w:top w:val="single" w:color="000000" w:sz="4" w:space="0"/>
              <w:left w:val="single" w:color="000000" w:sz="4" w:space="0"/>
              <w:bottom w:val="single" w:color="000000" w:sz="4" w:space="0"/>
              <w:right w:val="single" w:color="000000" w:sz="4" w:space="0"/>
            </w:tcBorders>
            <w:shd w:val="clear" w:color="auto" w:fill="auto"/>
            <w:noWrap/>
            <w:vAlign w:val="center"/>
          </w:tcPr>
          <w:p>
            <w:pPr>
              <w:keepNext w:val="0"/>
              <w:keepLines w:val="0"/>
              <w:widowControl/>
              <w:suppressLineNumbers w:val="0"/>
              <w:jc w:val="center"/>
              <w:textAlignment w:val="center"/>
              <w:rPr>
                <w:rFonts w:hint="default" w:ascii="Arial" w:hAnsi="Arial" w:eastAsia="宋体" w:cs="Arial"/>
                <w:i w:val="0"/>
                <w:iCs w:val="0"/>
                <w:color w:val="000000"/>
                <w:sz w:val="24"/>
                <w:szCs w:val="24"/>
                <w:u w:val="none"/>
              </w:rPr>
            </w:pPr>
            <w:r>
              <w:rPr>
                <w:rFonts w:hint="default" w:ascii="Arial" w:hAnsi="Arial" w:eastAsia="宋体" w:cs="Arial"/>
                <w:i w:val="0"/>
                <w:iCs w:val="0"/>
                <w:color w:val="000000"/>
                <w:kern w:val="0"/>
                <w:sz w:val="24"/>
                <w:szCs w:val="24"/>
                <w:u w:val="none"/>
                <w:lang w:val="en-US" w:eastAsia="zh-CN" w:bidi="ar"/>
              </w:rPr>
              <w:t>Investor of China Auto</w:t>
            </w:r>
          </w:p>
        </w:tc>
      </w:tr>
    </w:tbl>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center"/>
        <w:rPr>
          <w:rFonts w:hint="default" w:ascii="Arial" w:hAnsi="Arial" w:cs="Arial" w:eastAsiaTheme="minorEastAsia"/>
          <w:kern w:val="2"/>
          <w:sz w:val="20"/>
          <w:szCs w:val="20"/>
          <w:lang w:val="en-US" w:eastAsia="zh-CN"/>
        </w:rPr>
      </w:pPr>
      <w:r>
        <w:rPr>
          <w:rFonts w:hint="default" w:ascii="Arial" w:hAnsi="Arial" w:cs="Arial" w:eastAsiaTheme="minorEastAsia"/>
          <w:kern w:val="2"/>
          <w:sz w:val="20"/>
          <w:szCs w:val="20"/>
          <w:lang w:val="en-US" w:eastAsia="zh-CN"/>
        </w:rPr>
        <w:t>Source: Luckin Coffee prospectus</w:t>
      </w:r>
    </w:p>
    <w:p>
      <w:pPr>
        <w:widowControl w:val="0"/>
        <w:spacing w:after="0" w:line="240" w:lineRule="auto"/>
        <w:jc w:val="both"/>
        <w:outlineLvl w:val="1"/>
        <w:rPr>
          <w:rFonts w:hint="eastAsia" w:cstheme="minorHAnsi"/>
          <w:b/>
          <w:bCs/>
          <w:color w:val="auto"/>
          <w:sz w:val="28"/>
          <w:szCs w:val="28"/>
          <w:lang w:val="en-US" w:eastAsia="zh-CN" w:bidi="ar-SA"/>
        </w:rPr>
      </w:pPr>
      <w:bookmarkStart w:id="10" w:name="_Toc4912"/>
      <w:r>
        <w:rPr>
          <w:rFonts w:hint="eastAsia" w:cstheme="minorHAnsi"/>
          <w:b/>
          <w:bCs/>
          <w:color w:val="auto"/>
          <w:sz w:val="28"/>
          <w:szCs w:val="28"/>
          <w:lang w:val="en-US" w:eastAsia="zh-CN" w:bidi="ar-SA"/>
        </w:rPr>
        <w:t>3.1.2 Inadequate internal control</w:t>
      </w:r>
      <w:bookmarkEnd w:id="10"/>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First, the composition of the board is unreasonable</w:t>
      </w:r>
      <w:r>
        <w:rPr>
          <w:rFonts w:hint="eastAsia" w:ascii="Arial" w:hAnsi="Arial" w:cs="Arial" w:eastAsiaTheme="minorEastAsia"/>
          <w:kern w:val="2"/>
          <w:sz w:val="24"/>
          <w:szCs w:val="24"/>
          <w:lang w:val="en-US" w:eastAsia="zh-CN"/>
        </w:rPr>
        <w:t>.</w:t>
      </w:r>
      <w:r>
        <w:rPr>
          <w:rFonts w:hint="default" w:ascii="Arial" w:hAnsi="Arial" w:cs="Arial" w:eastAsiaTheme="minorEastAsia"/>
          <w:kern w:val="2"/>
          <w:sz w:val="24"/>
          <w:szCs w:val="24"/>
          <w:lang w:val="en-US" w:eastAsia="zh-CN"/>
        </w:rPr>
        <w:t>Luckin Coffee's board of directors consists of four executive directors, two non-executive directors and four independent directors. Qian Zhiya is not only the CEO of Luckin Coffee, but also one of its executive directors, as is Jian Liu, COO of Luckin Coffee. As a result, the management and control rights of Luckin Coffee are not separated. Qian Zhiya and Liu Jian can not only participate in the decision-making of the company on the board of directors, but also execute the decision-making of the board of directors as the senior management of Luckin Coffee respectively. Under such circumstances, the board of directors cannot play an effective supervisory role over its management.</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eastAsia"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Secondly, independent director supervision is ineffective</w:t>
      </w:r>
      <w:r>
        <w:rPr>
          <w:rFonts w:hint="eastAsia" w:ascii="Arial" w:hAnsi="Arial" w:cs="Arial" w:eastAsiaTheme="minorEastAsia"/>
          <w:kern w:val="2"/>
          <w:sz w:val="24"/>
          <w:szCs w:val="24"/>
          <w:lang w:val="en-US" w:eastAsia="zh-CN"/>
        </w:rPr>
        <w:t>.Luckin's four independent dir ectors make up more than a third of the board, but that's a far cry from the two-thirds of most U.S. public companies. Moreover, the employment of independent directors cannot be separated from the decisions of major shareholders, which also affects the independence of Luckin Coffee's independent directors. During Luckin Coffee's financial fraud period, the independent directors never raised any questions about the financial statements of the company. Thus, Luckin Coffee's independent directors are useless.</w:t>
      </w:r>
    </w:p>
    <w:p>
      <w:pPr>
        <w:pStyle w:val="13"/>
        <w:rPr>
          <w:rFonts w:hint="eastAsia" w:cstheme="minorHAnsi"/>
          <w:b/>
          <w:bCs/>
          <w:color w:val="auto"/>
          <w:sz w:val="28"/>
          <w:szCs w:val="28"/>
        </w:rPr>
      </w:pPr>
      <w:r>
        <w:rPr>
          <w:rFonts w:hint="eastAsia" w:cstheme="minorHAnsi"/>
          <w:b/>
          <w:bCs/>
          <w:color w:val="auto"/>
          <w:sz w:val="28"/>
          <w:szCs w:val="28"/>
        </w:rPr>
        <w:t>Section II:</w:t>
      </w: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Despite its early success, Luckin Coffee has faced several ethical controversies over the years. Luckin Coffee will be evaluated using three theoretical ethical frameworks: utilitarianism, deontology and virtue ethics.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outlineLvl w:val="0"/>
        <w:rPr>
          <w:rFonts w:hint="eastAsia" w:cstheme="minorHAnsi"/>
          <w:b/>
          <w:bCs/>
          <w:color w:val="auto"/>
          <w:sz w:val="28"/>
          <w:szCs w:val="28"/>
          <w:lang w:val="en-US" w:eastAsia="zh-CN" w:bidi="ar-SA"/>
        </w:rPr>
      </w:pPr>
      <w:bookmarkStart w:id="11" w:name="_Toc5130"/>
      <w:r>
        <w:rPr>
          <w:rFonts w:hint="eastAsia" w:cstheme="minorHAnsi"/>
          <w:b/>
          <w:bCs/>
          <w:color w:val="auto"/>
          <w:sz w:val="28"/>
          <w:szCs w:val="28"/>
          <w:lang w:val="en-US" w:eastAsia="zh-CN" w:bidi="ar-SA"/>
        </w:rPr>
        <w:t>4.1 Utilitarianism</w:t>
      </w:r>
      <w:bookmarkEnd w:id="11"/>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Utilitarianism says that people should do what "achieves the greatest good". The calculation of the so-called greatest good must rely on the sum of the pain and pleasure of each individual involved in the act, and each individual being treated as having the same weight. While pleasure and pain are interchangeable, pain is just "negative pleasure". Different from the general ethics theory, utilitarianism does not consider the motivation and means of human behavior, but only considers the effect of behavior results on the maximum happiness value. What can increase the maximum happiness value is good; To do otherwise is evil. According to utilitarianism, an action is moral if it brings the greatest benefit to the greatest number of people. In Luckin's case, the company's actions had a negative impact on multiple stakeholders, including investors, employees and customers.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The biggest ethical controversy over Luckin Coffee came in 2020, when it was revealed that the company had fabricated sales figures to show higher revenues. The accounting scandal caused financial damage to investors and pain to those stakeholders. Therefore, according to the utilitarian framework, Luckin Coffee's behavior is immoral.</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Another unethical aspect of Luckin's coffee business model is the company's aggressive expansion strategy. Luckin aims to take market share from famous coffee company Starbucks and its business model relies heavily on discounts and promotions to attract customers. However, this strategy led to rapid expansion and an unsustainable leap in sales figures. After the accounting scandal, the company was forced to close a number of stores and cut jobs, piling more pain on stakeholders. According to utilitarianism, Luckin's actions are unethical because of the harm they do to many stakeholders. The company's unethical conduct resulted in financial losses for investors, job losses for employees, and reduced customer confidence and trust in the company. Therefore, from a utilitarian point of view, Luckin Coffee's behavior is immoral.</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outlineLvl w:val="0"/>
        <w:rPr>
          <w:rFonts w:hint="eastAsia" w:cstheme="minorHAnsi"/>
          <w:b/>
          <w:bCs/>
          <w:color w:val="auto"/>
          <w:sz w:val="28"/>
          <w:szCs w:val="28"/>
          <w:lang w:val="en-US" w:eastAsia="zh-CN" w:bidi="ar-SA"/>
        </w:rPr>
      </w:pPr>
      <w:bookmarkStart w:id="12" w:name="_Toc6299"/>
      <w:r>
        <w:rPr>
          <w:rFonts w:hint="eastAsia" w:cstheme="minorHAnsi"/>
          <w:b/>
          <w:bCs/>
          <w:color w:val="auto"/>
          <w:sz w:val="28"/>
          <w:szCs w:val="28"/>
          <w:lang w:val="en-US" w:eastAsia="zh-CN" w:bidi="ar-SA"/>
        </w:rPr>
        <w:t>4.2 Deontology</w:t>
      </w:r>
      <w:bookmarkEnd w:id="12"/>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Deontology is another ethical framework that can be used to evaluate Luckin's behavior. Deontology stresses the importance of adhering to moral obligations and principles, regardless of the consequences. In other words, some actions are intrinsically right or wrong, regardless of their consequences.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According to the deontological view, Luckin's actions were inherently wrong because they violated the company's moral responsibilities and principles. For example, it is wrong for a company to mislead investors and customers by fabricating sales figures, regardless of the consequences. These actions violate the company's obligation to be honest and transparent with its stakeholders and violate the principles of honesty and integrity.</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Another morally fraught aspect of Luckin's business model is the company's use of data. Luckin, which relies heavily on data analytics to drive its business decisions, has been accused of collecting customers' personal data without their consent. According to deontology, collecting personal data without consent is inherently wrong, regardless of the outcome. Therefore, from a deontological point of view, Luckin's actions are immoral.</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outlineLvl w:val="0"/>
        <w:rPr>
          <w:rFonts w:hint="eastAsia" w:cstheme="minorHAnsi"/>
          <w:b/>
          <w:bCs/>
          <w:color w:val="auto"/>
          <w:sz w:val="28"/>
          <w:szCs w:val="28"/>
          <w:lang w:val="en-US" w:eastAsia="zh-CN" w:bidi="ar-SA"/>
        </w:rPr>
      </w:pPr>
      <w:bookmarkStart w:id="13" w:name="_Toc26045"/>
      <w:r>
        <w:rPr>
          <w:rFonts w:hint="eastAsia" w:cstheme="minorHAnsi"/>
          <w:b/>
          <w:bCs/>
          <w:color w:val="auto"/>
          <w:sz w:val="28"/>
          <w:szCs w:val="28"/>
          <w:lang w:val="en-US" w:eastAsia="zh-CN" w:bidi="ar-SA"/>
        </w:rPr>
        <w:t>4.3 Virtue ethics</w:t>
      </w:r>
      <w:bookmarkEnd w:id="13"/>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Virtue ethics is the third theoretical ethical framework that can be used to evaluate Luckin coffee. Virtue ethics, also known as virtue ethics or virtue ethics, is a normative ethical theory. Virtue ethics concerns the moral subject, the action subject. The character of moral subject is the motive force of moral behavior. Unlike other normative ethics theories, virtue ethics does not attempt to determine whether a single act is moral. Virtue ethics holds that the behavior of a moral subject is moral if and only if it has correct character characteristics. Virtue ethics focuses on the character and virtue of individuals or organizations rather than their actions or consequences. Virtue ethics emphasizes the importance of cultivating moral qualities such as honesty, integrity and trustworthiness.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From a moral and ethical point of view, Luckin's actions violate the virtues of honesty and integrity. The company's actions in fabricating sales data and misleading stakeholders are dishonest and undermine the integrity of the company. Moreover, the company's aggressive expansion strategy and unsustainable business model are not benign. Instead, Luckin Coffee should focus on building a sustainable business model that will benefit all stakeholders in the long run.</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eastAsia" w:cstheme="minorHAnsi"/>
          <w:b/>
          <w:bCs/>
          <w:color w:val="auto"/>
          <w:sz w:val="28"/>
          <w:szCs w:val="28"/>
          <w:lang w:val="en-US" w:eastAsia="zh-CN" w:bidi="ar-SA"/>
        </w:rPr>
      </w:pPr>
      <w:r>
        <w:rPr>
          <w:rFonts w:hint="eastAsia" w:cstheme="minorHAnsi"/>
          <w:b/>
          <w:bCs/>
          <w:color w:val="auto"/>
          <w:sz w:val="28"/>
          <w:szCs w:val="28"/>
          <w:lang w:val="en-US" w:eastAsia="zh-CN" w:bidi="ar-SA"/>
        </w:rPr>
        <w:t>4.4 The appropriateness of Luckin's moral code</w:t>
      </w: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Luckin developed the Code of Ethics, which Outlines the company's commitment to ethical conduct, including honesty, fairness, and transparency. However, the company's actions show that its code of ethics is not being followed in practice.</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The code of</w:t>
      </w:r>
      <w:r>
        <w:rPr>
          <w:rFonts w:hint="eastAsia" w:ascii="Arial" w:hAnsi="Arial" w:cs="Arial" w:eastAsiaTheme="minorEastAsia"/>
          <w:kern w:val="2"/>
          <w:sz w:val="24"/>
          <w:szCs w:val="24"/>
          <w:lang w:val="en-US" w:eastAsia="zh-CN"/>
        </w:rPr>
        <w:t xml:space="preserve"> </w:t>
      </w:r>
      <w:r>
        <w:rPr>
          <w:rFonts w:hint="default" w:ascii="Arial" w:hAnsi="Arial" w:cs="Arial" w:eastAsiaTheme="minorEastAsia"/>
          <w:kern w:val="2"/>
          <w:sz w:val="24"/>
          <w:szCs w:val="24"/>
          <w:lang w:val="en-US" w:eastAsia="zh-CN"/>
        </w:rPr>
        <w:t xml:space="preserve"> Ethics stresses the importance of honesty, stating that "we will act with honesty, transparency and integrity in all our transactions." However, the company's falsified financial statements showed a lack of integrity in its actions.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The code of ethics also stresses the importance of fairness, stating that "we will treat all employees, partners, customers and suppliers with respect, fairness and dignity". However, the company's fraudulent practices caused damage to employees, customers and investors and were inconsistent with the principle of fairness.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In summary, Luckin's code of ethics is clearly inappropriate because it fails to guide the company's ethical behavior. The company's actions show that it has not adhered to the ethical principles outlined in the code and show that the code has not been taken seriously or effectively enforced.</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eastAsia" w:cstheme="minorHAnsi"/>
          <w:b/>
          <w:bCs/>
          <w:color w:val="auto"/>
          <w:sz w:val="28"/>
          <w:szCs w:val="28"/>
        </w:rPr>
      </w:pPr>
      <w:r>
        <w:rPr>
          <w:rFonts w:hint="eastAsia" w:cstheme="minorHAnsi"/>
          <w:b/>
          <w:bCs/>
          <w:color w:val="auto"/>
          <w:sz w:val="28"/>
          <w:szCs w:val="28"/>
        </w:rPr>
        <w:t>Section III:</w:t>
      </w:r>
    </w:p>
    <w:p>
      <w:pPr>
        <w:rPr>
          <w:rFonts w:hint="default" w:ascii="Arial" w:hAnsi="Arial" w:cs="Arial"/>
          <w:sz w:val="24"/>
          <w:szCs w:val="24"/>
        </w:rPr>
      </w:pPr>
      <w:r>
        <w:rPr>
          <w:rFonts w:hint="default" w:ascii="Arial" w:hAnsi="Arial" w:cs="Arial"/>
          <w:sz w:val="24"/>
          <w:szCs w:val="24"/>
        </w:rPr>
        <w:t>Earnings management has long been a concern for stakeholders in the UK corporate sector. It refers to the deliberate use of accounting methods by management to manipulate financial reports and present an overstated or understated picture of the company's financial performance. The practice of earnings management erodes public trust in financial reporting and investment decisions, leading to financial instability, litigation, and legal investigations. In this essay, we critically discuss the role of the UK corporate governance structure in disciplining earnings management, and we make recommendations on how it can be improved in the future to help avoid the frequency of such accounting scandals.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The UK corporate governance structure comprises various regulations, laws, and codes that aim to promote transparency, accountability, and integrity in business operations. The Companies Act 2006 and the Listing Rules of the London Stock Exchange (LSE) are examples of frameworks that provide a legal basis for managing and running UK companies. Additionally, the UK Corporate Governance Code (UKCGC), issued by the Financial Reporting Council (FRC), provides best practices guidelines for corporate governance. Publicly listed companies on the LSE are required to comply with both the Listing Rules and the UKCGC, which cover various aspects of governance including board composition and structure, remuneration, audit, and accountability.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One of the primary roles of the UK corporate governance structure is to provide a framework within which companies are held accountable for their financial reporting. Corporations are required to report their financial statements regularly and to disclose them to stakeholders such as shareholders, regulators, and auditors. Additionally, companies are required to appoint independent auditors who are expected to conduct an audit and express an independent opinion on its accuracy and reliability.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The UK corporate governance structure plays a critical role in disciplining earnings management by increasing accountability, transparency, and oversight in financial reporting. However, critics argue that the current governance structure is inadequate and unenforceable, resulting in repeated accounting scandals like those that affected Tesco and Carillion.</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recent years, a significant challenge to the UK corporate governance structure has been the growing trend of ownership by institutional investors. Institutional investors often hold significant amounts of shares in corporations and are focused on short-term profits. Consequently, they are more likely to demand that companies meet financial targets and shareholder expectations which in-turn provides more opportunities for earnings management. Additionally, institutional investors may influence management decisions to prioritize dividends or share buybacks, leading to financial activities that favor short-term gains over long-term stability.</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To address these concerns, the FRC recommended a series of reforms in 2019 to strengthen the UK corporate governance structure. Firstly, they aimed to broaden the authority of the FRC by strengthening its regulatory and enforcement powers. In particular, they proposed to expand the scope of the FRC's regulatory powers around ensuring audit quality, enforcement of accounting rules, and disciplinary action against audit firms and individuals. Secondly, they recommended that companies improve their engagement with stakeholders, particularly employees, customers, and the wider public.</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Another recommendation was the reconstitution of the regulator, now known as the Audit, Reporting, and Governance Authority (ARGA), as an independent regulator with a wide range of enforcement powers. ARGA should be empowered to impose financial penalties on companies that fail to comply with accounting and reporting regulations effectively. Additionally, they recommend that ARGA should have the power to call out companies that flaunt their obligations without penalty. The recommendations by the FRC are founded on measures to improve transparency and accountability, which enhances the effectiveness of the UK governance structure in disciplining earnings management.</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To build on the FRC recommendations, we recommend additional reforms that will enhance the UK corporate governance structure's effectiveness in disciplining earnings management. Firstly, we suggest that corporate governance procedures should focus on long-term value creation as opposed to short-term profits. This would require a shift from a compliance-based approach to a principles-based approach to governance that draws on stakeholder views and includes diverse perspectives. The aim would be to improve the integrity and reliability of financial reporting, enhance the quality of audits, and improve the accountability of boards and executives.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 xml:space="preserve">Secondly, we recommend that companies should not be permitted to establish their subsidiaries in tax havens or transfer profits to such locations in their financial statements. This measure would be essential in addressing the challenge of earnings management that arises from tax avoidance practices. By reducing the opportunity for companies to evade taxes, we would reduce the incentive for creating financial statements that misrepresent the company's financial position. </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Thirdly, corporate governance procedures should be more comprehensive and innovative. Therefore, it is necessary to identify new regulatory instruments, including those outside traditional company law, to adapt to the changing corporate landscape. These include the use of technology, sustainable finance, and ESG indicators. By investing in these capabilities, it is possible to improve governance practices that are better attuned to emerging ethical issues and incorporate the development of social responsibility standards.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Fourthly, we recommend strengthening the role of internal auditors, who obtain far-reaching insights into the company's financial activities, to actively manage earnings management. The internal auditors need to report to the board of directors instead of other senior officials in the organization. Thus, such auditors will reduce the influence that management has in manipulating earnings management accounting practices. Improving the quality and scope of the internal audit function can make a significant contribution to overall corporate governance reforms.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Finally, we recommend regular mandatory training on adherence to corporate governance frameworks for board members and executives. By improving the skills and knowledge, we can improve the effectiveness of governance oversight that will contribute to the effective disciplining of earnings management practices.</w:t>
      </w:r>
    </w:p>
    <w:p>
      <w:pPr>
        <w:rPr>
          <w:rFonts w:hint="default" w:ascii="Arial" w:hAnsi="Arial" w:cs="Arial"/>
          <w:sz w:val="24"/>
          <w:szCs w:val="24"/>
        </w:rPr>
      </w:pPr>
    </w:p>
    <w:p>
      <w:pPr>
        <w:rPr>
          <w:rFonts w:hint="default" w:ascii="Arial" w:hAnsi="Arial" w:cs="Arial"/>
          <w:sz w:val="24"/>
          <w:szCs w:val="24"/>
        </w:rPr>
      </w:pPr>
      <w:r>
        <w:rPr>
          <w:rFonts w:hint="default" w:ascii="Arial" w:hAnsi="Arial" w:cs="Arial"/>
          <w:sz w:val="24"/>
          <w:szCs w:val="24"/>
        </w:rPr>
        <w:t>In conclusion, the UK corporate governance structure can play a vital role in disciplining earnings management. However, the current framework is incomplete, and more can be done to improve governance effectiveness. By implementing the recommendations proposed by the FRC and additional measures laid out in this essay, we expect to address the challenges of earnings management and improve the quality and reliability of reporting financial statements. The improved governance will enhance stakeholder trust in the corporate sector, contributing to stability in the market and improved economic performance.</w:t>
      </w:r>
    </w:p>
    <w:p>
      <w:pPr>
        <w:outlineLvl w:val="0"/>
        <w:rPr>
          <w:rStyle w:val="11"/>
          <w:rFonts w:cstheme="minorHAnsi"/>
          <w:b/>
          <w:i w:val="0"/>
          <w:color w:val="auto"/>
          <w:sz w:val="28"/>
          <w:szCs w:val="28"/>
        </w:rPr>
      </w:pPr>
      <w:bookmarkStart w:id="14" w:name="_Toc23880"/>
      <w:r>
        <w:rPr>
          <w:rStyle w:val="11"/>
          <w:rFonts w:cstheme="minorHAnsi"/>
          <w:b/>
          <w:i w:val="0"/>
          <w:color w:val="auto"/>
          <w:sz w:val="28"/>
          <w:szCs w:val="28"/>
        </w:rPr>
        <w:t>RECCOMMENDATIONS</w:t>
      </w:r>
      <w:bookmarkEnd w:id="14"/>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The fraudulent activities of Luckin Coffee have caused significant damage to the company's reputation and the trust of investors. This scandal highlights the importance of corporate governance and ethics in preventing accounting fraud in the capital market. Companies must adhere to corporate governance norms, ethical principles and prioritize transparency, accountability, and sustainability in their business practices.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Corporate governance norms consist of codes of conduct designed to ensure proper stewardship and regulatory compliance.These codes provide guidelines on how companies should operate and are intended to promote transparency and accountability. Ethical principles include moral principles that govern the conduct of individuals and organizations. These principles include honesty, integrity, respect, and responsibility. Companies must prioritize ethical values and adhere to them, leading to a corporate culture of honesty and good governance.</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Independent auditors and regulators play an essential role in preventing accounting fraud.Auditors are responsible for reviewing and verifying a company's financial statements,as well as ensuring compliance with accounting standards.However, in some cases, auditors may be under pressure to overlook irregularities or provide a favorable report to a client. Therefore, it is essential that auditors maintain their independence, integrity and operate according to professional standards.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Regulators such as the SEC, the Financial Reporting Council (FRC) in the UK, and the European Securities and Markets Authority (ESMA) have the power to investigate and prosecute companies that engage in fraudulent activities, such as Luckin. Regulatory bodies have the authority to impose fines and penalties and revoke a company's registration on public exchanges.By intervening when necessary, regulatory agencies can enforce compliance and maintain trust in the capital market.</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In the case of Luckin Coffee,executives were under pressure to meet aggressive growth targets, leading to unethical activities to inflate the company's sales figures. The alleged financial fraud has a significant impact on the financial statements of Luckin Coffee, and the company's credibility has been severely impacted. Therefore, to prevent fraudulent activities, companies must abide by corporate governance norms and adhere to ethical principles.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Companies that prioritize ethical behavior and adhere to ethical standards are more likely to enjoy long-term success and avoid reputational and financial damage.Companies must prioritize transparency, accountability,and sustainability in their business processes. When companies prioritize ethical behavior, investors and other stakeholders are more likely to support the companies, leading to positive outcomes.</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Shareholders, investors, and other stakeholders have an important role to play in promoting ethical investing. In addition to investing in companies that prioritize ethical standards and social responsibility, shareholders can use their influence to encourage companies to prioritize ethical behavior. For instance, long-term shareholders can vote for resolutions that call for better corporate governance, greater transparency, and ethical conduct.</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In conclusion,the Luckin Coffee scandal highlights the importance of corporate governance and ethics in preventing accounting fraud.Companies must adhere to corporate governance norms and ethical principles, promote transparency, accountability,and sustainability in business practices,and prioritize ethical behavior. Independent auditors and regulators must maintain their independence and operate according to professional standards,and investors and other stakeholders must promote ethical investing.When companies adhere to these principles,the capital market will foster trust, integrity, and responsible governance. Thus, ensuring that fraudulent activities that affect stakeholders, investors, and companies' performances in the capital market are nipped in the bud.</w:t>
      </w:r>
    </w:p>
    <w:p>
      <w:pPr>
        <w:widowControl w:val="0"/>
        <w:spacing w:after="0" w:line="240" w:lineRule="auto"/>
        <w:jc w:val="both"/>
        <w:outlineLvl w:val="0"/>
        <w:rPr>
          <w:rStyle w:val="11"/>
          <w:rFonts w:cstheme="minorHAnsi"/>
          <w:b/>
          <w:i w:val="0"/>
          <w:color w:val="auto"/>
          <w:sz w:val="28"/>
          <w:szCs w:val="28"/>
        </w:rPr>
      </w:pPr>
      <w:bookmarkStart w:id="15" w:name="_Toc19332"/>
      <w:r>
        <w:rPr>
          <w:rStyle w:val="11"/>
          <w:rFonts w:cstheme="minorHAnsi"/>
          <w:b/>
          <w:i w:val="0"/>
          <w:color w:val="auto"/>
          <w:sz w:val="28"/>
          <w:szCs w:val="28"/>
        </w:rPr>
        <w:t>CONCLUSION</w:t>
      </w:r>
      <w:bookmarkEnd w:id="15"/>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In conclusion, the Luckin scandal highlights the importance of corporate governance and ethics in preventing accounting fraud.   Corporate governance codes, ethical principles, and independent auditors and regulators are essential in promoting transparency, accountability, and sustainability in business practices.   Companies that prioritize ethical behavior and maintain strict adherence to ethical standards are more likely to enjoy long-term success and avoid reputational and financial damage.   Likewise, investors and other stakeholders must prioritize ethical investing and support companies that uphold the highest standards of corporate governance and ethical behavior.</w:t>
      </w:r>
    </w:p>
    <w:p>
      <w:pPr>
        <w:outlineLvl w:val="0"/>
        <w:rPr>
          <w:rStyle w:val="11"/>
          <w:rFonts w:hint="default" w:ascii="Times New Roman" w:hAnsi="Times New Roman" w:eastAsia="宋体" w:cstheme="minorHAnsi"/>
          <w:b/>
          <w:i w:val="0"/>
          <w:color w:val="auto"/>
          <w:sz w:val="28"/>
          <w:szCs w:val="28"/>
          <w:lang w:val="en-US" w:eastAsia="zh-CN"/>
        </w:rPr>
      </w:pPr>
      <w:bookmarkStart w:id="16" w:name="_Toc27942"/>
      <w:r>
        <w:rPr>
          <w:rStyle w:val="11"/>
          <w:rFonts w:hint="default" w:ascii="Times New Roman" w:hAnsi="Times New Roman" w:eastAsia="宋体" w:cstheme="minorHAnsi"/>
          <w:b/>
          <w:i w:val="0"/>
          <w:color w:val="auto"/>
          <w:sz w:val="28"/>
          <w:szCs w:val="28"/>
        </w:rPr>
        <w:t>R</w:t>
      </w:r>
      <w:r>
        <w:rPr>
          <w:rStyle w:val="11"/>
          <w:rFonts w:hint="eastAsia" w:ascii="Times New Roman" w:hAnsi="Times New Roman" w:eastAsia="宋体" w:cstheme="minorHAnsi"/>
          <w:b/>
          <w:i w:val="0"/>
          <w:color w:val="auto"/>
          <w:sz w:val="28"/>
          <w:szCs w:val="28"/>
          <w:lang w:val="en-US" w:eastAsia="zh-CN"/>
        </w:rPr>
        <w:t>EFERENCES</w:t>
      </w:r>
      <w:bookmarkEnd w:id="16"/>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Healy, P. M., &amp; Wahlen, J. M. (1999). A review of the earnings management literature and its implications for standard setting. Accounting Horizons, 13(4), 365-383.</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Schipper, K. (1989). Commentary on earnings management. Accounting Horizons, 3(4), 91-102.</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Dechow, P. M., &amp; Skinner, D. J. (2000). Earnings management: Reconciling the views of accounting academics, practitioners, and regulators. Accounting Horizons, 14(2), 235-250.</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Roychowdhury, S. (2006). Earnings management through real activities manipulation. Journal of accounting and economics, 42(3), 335-370.</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Frankel, R. M., Johnson, M. F., &amp; Nelson, K. K. (2002). The quality of accruals and earnings: The role of accrual estimation errors. The accounting review, 77, 35–59.</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Cohen, D. A., Dey, A., &amp; Lys, T. (2008). Real and accrual-based earnings management in the pre-and post-Sarbanes-Oxley periods. The Accounting Review, 83(3), 757-787.</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Burgstahler, D., &amp; Dichev, I. (1997). Earnings management to avoid earnings decreases and losses. Journal of accounting and economics, 24(1), 99-126.</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McNichols, M. F. (2002). Discussion of the quality of accruals and earnings: The role of accrual estimation errors. The accounting review, 77, 61–69.</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Bartov, E., Gul, F. A., &amp; Tsui, J. S. (2000). Discretionary accruals models and audit qualifications. Journal of accounting and economics, 30(3), 421-452.</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Kothari, S. P., Leone, A. J., &amp; Wasley, C. E. (2005). Performance matched discretionary accrual measures. Journal of accounting and economics, 39(1), 163-197.</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Cohen, D. A., Dey, A., &amp; Lys, T. (2008). Real and accrual-based earnings management in the pre-and post-Sarbanes-Oxley periods. The Accounting Review, 83(3), 757-787.</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Burgstahler, D., &amp; Dichev, I. (1997). Earnings management to avoid earnings decreases and losses. Journal of accounting and economics, 24(1), 99-126.</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r>
        <w:rPr>
          <w:rFonts w:hint="default" w:ascii="Arial" w:hAnsi="Arial" w:cs="Arial" w:eastAsiaTheme="minorEastAsia"/>
          <w:kern w:val="2"/>
          <w:sz w:val="24"/>
          <w:szCs w:val="24"/>
          <w:lang w:val="en-US" w:eastAsia="zh-CN"/>
        </w:rPr>
        <w:t>Emma Chung, 2021. Case Study: Luckin Coffee Accounting Fraud. [Online]</w:t>
      </w:r>
      <w:r>
        <w:rPr>
          <w:rFonts w:hint="default" w:ascii="Arial" w:hAnsi="Arial" w:cs="Arial" w:eastAsiaTheme="minorEastAsia"/>
          <w:kern w:val="2"/>
          <w:sz w:val="24"/>
          <w:szCs w:val="24"/>
          <w:lang w:val="en-US" w:eastAsia="zh-CN"/>
        </w:rPr>
        <w:br w:type="textWrapping"/>
      </w:r>
      <w:r>
        <w:rPr>
          <w:rFonts w:hint="default" w:ascii="Arial" w:hAnsi="Arial" w:cs="Arial" w:eastAsiaTheme="minorEastAsia"/>
          <w:kern w:val="2"/>
          <w:sz w:val="24"/>
          <w:szCs w:val="24"/>
          <w:lang w:val="en-US" w:eastAsia="zh-CN"/>
        </w:rPr>
        <w:t>Available at: https://mail.sevenpillarsinstitute.org/case-study-luckin-coffee-accounting-fraud/</w:t>
      </w:r>
      <w:r>
        <w:rPr>
          <w:rFonts w:hint="default" w:ascii="Arial" w:hAnsi="Arial" w:cs="Arial" w:eastAsiaTheme="minorEastAsia"/>
          <w:kern w:val="2"/>
          <w:sz w:val="24"/>
          <w:szCs w:val="24"/>
          <w:lang w:val="en-US" w:eastAsia="zh-CN"/>
        </w:rPr>
        <w:br w:type="textWrapping"/>
      </w:r>
      <w:r>
        <w:rPr>
          <w:rFonts w:hint="default" w:ascii="Arial" w:hAnsi="Arial" w:cs="Arial" w:eastAsiaTheme="minorEastAsia"/>
          <w:kern w:val="2"/>
          <w:sz w:val="24"/>
          <w:szCs w:val="24"/>
          <w:lang w:val="en-US" w:eastAsia="zh-CN"/>
        </w:rPr>
        <w:t>[Accessed 27 August 2021].</w:t>
      </w: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p>
    <w:p>
      <w:pPr>
        <w:widowControl w:val="0"/>
        <w:spacing w:after="0" w:line="240" w:lineRule="auto"/>
        <w:jc w:val="both"/>
        <w:rPr>
          <w:rFonts w:hint="default" w:ascii="Arial" w:hAnsi="Arial" w:cs="Arial" w:eastAsiaTheme="minorEastAsia"/>
          <w:kern w:val="2"/>
          <w:sz w:val="24"/>
          <w:szCs w:val="24"/>
          <w:lang w:val="en-US" w:eastAsia="zh-CN"/>
        </w:rPr>
      </w:pPr>
    </w:p>
    <w:sectPr>
      <w:pgSz w:w="11906" w:h="16838"/>
      <w:pgMar w:top="1440" w:right="1800" w:bottom="1440" w:left="1800" w:header="851" w:footer="992" w:gutter="0"/>
      <w:pgNumType w:fmt="decimal"/>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3"/>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3"/>
                          </w:pPr>
                          <w:r>
                            <w:fldChar w:fldCharType="begin"/>
                          </w:r>
                          <w:r>
                            <w:instrText xml:space="preserve"> PAGE  \* MERGEFORMAT </w:instrText>
                          </w:r>
                          <w:r>
                            <w:fldChar w:fldCharType="separate"/>
                          </w:r>
                          <w:r>
                            <w:t>2</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Akgka0MQIAAGEEAAAOAAAAAAAAAAEAIAAAAB8BAABkcnMvZTJvRG9jLnhtbFBLBQYA&#10;AAAABgAGAFkBAADCBQAAAAA=&#10;">
              <v:fill on="f" focussize="0,0"/>
              <v:stroke on="f" weight="0.5pt"/>
              <v:imagedata o:title=""/>
              <o:lock v:ext="edit" aspectratio="f"/>
              <v:textbox inset="0mm,0mm,0mm,0mm" style="mso-fit-shape-to-text:t;">
                <w:txbxContent>
                  <w:p>
                    <w:pPr>
                      <w:pStyle w:val="3"/>
                    </w:pPr>
                    <w:r>
                      <w:fldChar w:fldCharType="begin"/>
                    </w:r>
                    <w:r>
                      <w:instrText xml:space="preserve"> PAGE  \* MERGEFORMAT </w:instrText>
                    </w:r>
                    <w:r>
                      <w:fldChar w:fldCharType="separate"/>
                    </w:r>
                    <w:r>
                      <w:t>2</w:t>
                    </w:r>
                    <w:r>
                      <w:fldChar w:fldCharType="end"/>
                    </w:r>
                  </w:p>
                </w:txbxContent>
              </v:textbox>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7"/>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zdlMzY1YjYyM2M0MzM5Y2YxY2E5YzlmMjE4MGM2OTQifQ=="/>
  </w:docVars>
  <w:rsids>
    <w:rsidRoot w:val="559C3ED3"/>
    <w:rsid w:val="10092187"/>
    <w:rsid w:val="15F64D65"/>
    <w:rsid w:val="1D9B4F21"/>
    <w:rsid w:val="21F205A7"/>
    <w:rsid w:val="54590441"/>
    <w:rsid w:val="559C3ED3"/>
    <w:rsid w:val="6DC15351"/>
    <w:rsid w:val="760E04F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9">
    <w:name w:val="Default Paragraph Font"/>
    <w:semiHidden/>
    <w:qFormat/>
    <w:uiPriority w:val="0"/>
  </w:style>
  <w:style w:type="table" w:default="1" w:styleId="8">
    <w:name w:val="Normal Table"/>
    <w:semiHidden/>
    <w:qFormat/>
    <w:uiPriority w:val="0"/>
    <w:tblPr>
      <w:tblCellMar>
        <w:top w:w="0" w:type="dxa"/>
        <w:left w:w="108" w:type="dxa"/>
        <w:bottom w:w="0" w:type="dxa"/>
        <w:right w:w="108" w:type="dxa"/>
      </w:tblCellMar>
    </w:tblPr>
  </w:style>
  <w:style w:type="paragraph" w:styleId="3">
    <w:name w:val="footer"/>
    <w:basedOn w:val="1"/>
    <w:uiPriority w:val="0"/>
    <w:pPr>
      <w:tabs>
        <w:tab w:val="center" w:pos="4153"/>
        <w:tab w:val="right" w:pos="8306"/>
      </w:tabs>
      <w:snapToGrid w:val="0"/>
      <w:jc w:val="left"/>
    </w:pPr>
    <w:rPr>
      <w:sz w:val="18"/>
    </w:rPr>
  </w:style>
  <w:style w:type="paragraph" w:styleId="4">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5">
    <w:name w:val="toc 1"/>
    <w:basedOn w:val="1"/>
    <w:next w:val="1"/>
    <w:qFormat/>
    <w:uiPriority w:val="0"/>
  </w:style>
  <w:style w:type="paragraph" w:styleId="6">
    <w:name w:val="toc 2"/>
    <w:basedOn w:val="1"/>
    <w:next w:val="1"/>
    <w:qFormat/>
    <w:uiPriority w:val="0"/>
    <w:pPr>
      <w:ind w:left="420" w:leftChars="200"/>
    </w:pPr>
  </w:style>
  <w:style w:type="paragraph" w:styleId="7">
    <w:name w:val="Normal (Web)"/>
    <w:basedOn w:val="1"/>
    <w:qFormat/>
    <w:uiPriority w:val="0"/>
    <w:pPr>
      <w:spacing w:before="0" w:beforeAutospacing="1" w:after="0" w:afterAutospacing="1"/>
      <w:ind w:left="0" w:right="0"/>
      <w:jc w:val="left"/>
    </w:pPr>
    <w:rPr>
      <w:kern w:val="0"/>
      <w:sz w:val="24"/>
      <w:lang w:val="en-US" w:eastAsia="zh-CN" w:bidi="ar"/>
    </w:rPr>
  </w:style>
  <w:style w:type="character" w:styleId="10">
    <w:name w:val="Strong"/>
    <w:basedOn w:val="9"/>
    <w:qFormat/>
    <w:uiPriority w:val="0"/>
    <w:rPr>
      <w:b/>
    </w:rPr>
  </w:style>
  <w:style w:type="character" w:styleId="11">
    <w:name w:val="Emphasis"/>
    <w:basedOn w:val="9"/>
    <w:qFormat/>
    <w:uiPriority w:val="0"/>
    <w:rPr>
      <w:i/>
      <w:iCs/>
    </w:rPr>
  </w:style>
  <w:style w:type="character" w:styleId="12">
    <w:name w:val="Hyperlink"/>
    <w:basedOn w:val="9"/>
    <w:uiPriority w:val="0"/>
    <w:rPr>
      <w:color w:val="0000FF"/>
      <w:u w:val="single"/>
    </w:rPr>
  </w:style>
  <w:style w:type="paragraph" w:styleId="13">
    <w:name w:val="No Spacing"/>
    <w:qFormat/>
    <w:uiPriority w:val="1"/>
    <w:pPr>
      <w:spacing w:after="0" w:line="240" w:lineRule="auto"/>
    </w:pPr>
    <w:rPr>
      <w:rFonts w:asciiTheme="minorHAnsi" w:hAnsiTheme="minorHAnsi" w:eastAsiaTheme="minorHAnsi" w:cstheme="minorBidi"/>
      <w:sz w:val="22"/>
      <w:szCs w:val="22"/>
      <w:lang w:val="en-GB" w:eastAsia="en-US" w:bidi="ar-SA"/>
    </w:rPr>
  </w:style>
  <w:style w:type="character" w:customStyle="1" w:styleId="14">
    <w:name w:val="font01"/>
    <w:basedOn w:val="9"/>
    <w:qFormat/>
    <w:uiPriority w:val="0"/>
    <w:rPr>
      <w:rFonts w:hint="eastAsia" w:ascii="宋体" w:hAnsi="宋体" w:eastAsia="宋体" w:cs="宋体"/>
      <w:color w:val="000000"/>
      <w:sz w:val="24"/>
      <w:szCs w:val="24"/>
      <w:u w:val="none"/>
    </w:rPr>
  </w:style>
  <w:style w:type="character" w:customStyle="1" w:styleId="15">
    <w:name w:val="font31"/>
    <w:basedOn w:val="9"/>
    <w:uiPriority w:val="0"/>
    <w:rPr>
      <w:rFonts w:hint="default" w:ascii="Arial" w:hAnsi="Arial" w:cs="Arial"/>
      <w:color w:val="000000"/>
      <w:sz w:val="24"/>
      <w:szCs w:val="24"/>
      <w:u w:val="none"/>
    </w:rPr>
  </w:style>
  <w:style w:type="paragraph" w:customStyle="1" w:styleId="16">
    <w:name w:val="WPSOffice手动目录 1"/>
    <w:qFormat/>
    <w:uiPriority w:val="0"/>
    <w:pPr>
      <w:ind w:leftChars="0"/>
    </w:pPr>
    <w:rPr>
      <w:rFonts w:ascii="Times New Roman" w:hAnsi="Times New Roman" w:eastAsia="宋体" w:cs="Times New Roman"/>
      <w:sz w:val="20"/>
      <w:szCs w:val="20"/>
    </w:rPr>
  </w:style>
  <w:style w:type="paragraph" w:customStyle="1" w:styleId="17">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1.jpe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17</Pages>
  <Words>5049</Words>
  <Characters>29186</Characters>
  <Lines>0</Lines>
  <Paragraphs>0</Paragraphs>
  <TotalTime>0</TotalTime>
  <ScaleCrop>false</ScaleCrop>
  <LinksUpToDate>false</LinksUpToDate>
  <CharactersWithSpaces>34051</CharactersWithSpaces>
  <Application>WPS Office_11.1.0.13012_F1E327BC-269C-435d-A152-05C5408002CA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2023-03-25T03:37:00Z</dcterms:created>
  <dc:creator>Anson</dc:creator>
  <cp:lastModifiedBy>Anson</cp:lastModifiedBy>
  <dcterms:modified xsi:type="dcterms:W3CDTF">2023-03-30T12:28:11Z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2052-11.1.0.13012</vt:lpwstr>
  </property>
  <property fmtid="{D5CDD505-2E9C-101B-9397-08002B2CF9AE}" pid="3" name="ICV">
    <vt:lpwstr>1A386EE1F2354D5DAA7FBE7B4FAD80F8</vt:lpwstr>
  </property>
</Properties>
</file>