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273EC" w14:textId="308D08A3" w:rsidR="00600EF1" w:rsidRDefault="00600EF1" w:rsidP="00600EF1">
      <w:pPr>
        <w:spacing w:line="360" w:lineRule="auto"/>
        <w:jc w:val="center"/>
        <w:rPr>
          <w:rFonts w:ascii="Garamond" w:hAnsi="Garamond"/>
          <w:b/>
          <w:bCs/>
          <w:sz w:val="24"/>
          <w:szCs w:val="24"/>
        </w:rPr>
      </w:pPr>
      <w:r>
        <w:rPr>
          <w:rFonts w:ascii="Garamond" w:hAnsi="Garamond"/>
          <w:b/>
          <w:bCs/>
          <w:sz w:val="24"/>
          <w:szCs w:val="24"/>
        </w:rPr>
        <w:t>Glory, Sovereignty, and the Modern State</w:t>
      </w:r>
    </w:p>
    <w:p w14:paraId="63D29962" w14:textId="77777777" w:rsidR="00600EF1" w:rsidRDefault="00600EF1" w:rsidP="00C75D50">
      <w:pPr>
        <w:spacing w:line="360" w:lineRule="auto"/>
        <w:jc w:val="both"/>
        <w:rPr>
          <w:rFonts w:ascii="Garamond" w:hAnsi="Garamond"/>
          <w:b/>
          <w:bCs/>
          <w:sz w:val="24"/>
          <w:szCs w:val="24"/>
        </w:rPr>
      </w:pPr>
    </w:p>
    <w:p w14:paraId="283F8E5E" w14:textId="269601DF" w:rsidR="00C75D50" w:rsidRPr="00C75D50" w:rsidRDefault="00C75D50" w:rsidP="00C75D50">
      <w:pPr>
        <w:spacing w:line="360" w:lineRule="auto"/>
        <w:jc w:val="both"/>
        <w:rPr>
          <w:rFonts w:ascii="Garamond" w:hAnsi="Garamond"/>
          <w:sz w:val="24"/>
          <w:szCs w:val="24"/>
        </w:rPr>
      </w:pPr>
      <w:r w:rsidRPr="00053810">
        <w:rPr>
          <w:rFonts w:ascii="Garamond" w:hAnsi="Garamond"/>
          <w:b/>
          <w:bCs/>
          <w:sz w:val="24"/>
          <w:szCs w:val="24"/>
        </w:rPr>
        <w:t>Essay Topic</w:t>
      </w:r>
      <w:r w:rsidRPr="00C75D50">
        <w:rPr>
          <w:rFonts w:ascii="Garamond" w:hAnsi="Garamond"/>
          <w:sz w:val="24"/>
          <w:szCs w:val="24"/>
        </w:rPr>
        <w:t>: In his work, “The Kingdom and the Glory”, Giorgio Agamben argues that the Modern State not only exercises power, but also promotes its “glory” through ritual practice — a practice which is promoted and amplified by various types of media. Explain what Agamben understands by the “glory” of the State and assess his analogy of State sovereignty to the sovereignty of God.</w:t>
      </w:r>
    </w:p>
    <w:p w14:paraId="71C29A6A" w14:textId="42077A03" w:rsidR="00E42D92" w:rsidRDefault="00BA31FF" w:rsidP="00C75D50">
      <w:pPr>
        <w:spacing w:line="360" w:lineRule="auto"/>
        <w:jc w:val="both"/>
        <w:rPr>
          <w:rFonts w:ascii="Garamond" w:hAnsi="Garamond"/>
          <w:sz w:val="24"/>
          <w:szCs w:val="24"/>
        </w:rPr>
      </w:pPr>
    </w:p>
    <w:p w14:paraId="6F7531BA" w14:textId="2A568C09" w:rsidR="00B645AD" w:rsidRPr="00B645AD" w:rsidRDefault="00D748E9" w:rsidP="00B645AD">
      <w:pPr>
        <w:spacing w:line="360" w:lineRule="auto"/>
        <w:jc w:val="both"/>
        <w:rPr>
          <w:rFonts w:ascii="Garamond" w:hAnsi="Garamond"/>
          <w:sz w:val="24"/>
          <w:szCs w:val="24"/>
        </w:rPr>
      </w:pPr>
      <w:r>
        <w:rPr>
          <w:rFonts w:ascii="Garamond" w:hAnsi="Garamond"/>
          <w:sz w:val="24"/>
          <w:szCs w:val="24"/>
        </w:rPr>
        <w:t xml:space="preserve">An argument can be made for the view that contemporary government </w:t>
      </w:r>
      <w:r w:rsidR="009F3E5F">
        <w:rPr>
          <w:rFonts w:ascii="Garamond" w:hAnsi="Garamond"/>
          <w:sz w:val="24"/>
          <w:szCs w:val="24"/>
        </w:rPr>
        <w:t>and all the operation</w:t>
      </w:r>
      <w:r w:rsidR="003A1B0A">
        <w:rPr>
          <w:rFonts w:ascii="Garamond" w:hAnsi="Garamond"/>
          <w:sz w:val="24"/>
          <w:szCs w:val="24"/>
        </w:rPr>
        <w:t>s</w:t>
      </w:r>
      <w:r w:rsidR="009F3E5F">
        <w:rPr>
          <w:rFonts w:ascii="Garamond" w:hAnsi="Garamond"/>
          <w:sz w:val="24"/>
          <w:szCs w:val="24"/>
        </w:rPr>
        <w:t xml:space="preserve"> inherent to its political structure, can be derived from </w:t>
      </w:r>
      <w:r w:rsidR="003A1B0A">
        <w:rPr>
          <w:rFonts w:ascii="Garamond" w:hAnsi="Garamond"/>
          <w:sz w:val="24"/>
          <w:szCs w:val="24"/>
        </w:rPr>
        <w:t xml:space="preserve">specific </w:t>
      </w:r>
      <w:r w:rsidR="00691CDB">
        <w:rPr>
          <w:rFonts w:ascii="Garamond" w:hAnsi="Garamond"/>
          <w:sz w:val="24"/>
          <w:szCs w:val="24"/>
        </w:rPr>
        <w:t xml:space="preserve">theological notions. In </w:t>
      </w:r>
      <w:r w:rsidR="007361E9">
        <w:rPr>
          <w:rFonts w:ascii="Garamond" w:hAnsi="Garamond"/>
          <w:sz w:val="24"/>
          <w:szCs w:val="24"/>
        </w:rPr>
        <w:t xml:space="preserve">assessing </w:t>
      </w:r>
      <w:r w:rsidR="00902A60">
        <w:rPr>
          <w:rFonts w:ascii="Garamond" w:hAnsi="Garamond"/>
          <w:sz w:val="24"/>
          <w:szCs w:val="24"/>
        </w:rPr>
        <w:t xml:space="preserve">what is meant by glory and sovereignty in the context of the modern state, </w:t>
      </w:r>
      <w:r w:rsidR="00834EE0">
        <w:rPr>
          <w:rFonts w:ascii="Garamond" w:hAnsi="Garamond"/>
          <w:sz w:val="24"/>
          <w:szCs w:val="24"/>
        </w:rPr>
        <w:t xml:space="preserve">we must unpack the </w:t>
      </w:r>
      <w:r w:rsidR="003F1315">
        <w:rPr>
          <w:rFonts w:ascii="Garamond" w:hAnsi="Garamond"/>
          <w:sz w:val="24"/>
          <w:szCs w:val="24"/>
        </w:rPr>
        <w:t xml:space="preserve">theological connotation in which both ideas </w:t>
      </w:r>
      <w:r w:rsidR="0073136A">
        <w:rPr>
          <w:rFonts w:ascii="Garamond" w:hAnsi="Garamond"/>
          <w:sz w:val="24"/>
          <w:szCs w:val="24"/>
        </w:rPr>
        <w:t xml:space="preserve">play a significant role. Giorgio Agamben </w:t>
      </w:r>
      <w:r w:rsidR="00CF5C0F">
        <w:rPr>
          <w:rFonts w:ascii="Garamond" w:hAnsi="Garamond"/>
          <w:sz w:val="24"/>
          <w:szCs w:val="24"/>
        </w:rPr>
        <w:t xml:space="preserve">offers us a mode of analysis that </w:t>
      </w:r>
      <w:r w:rsidR="009345FF">
        <w:rPr>
          <w:rFonts w:ascii="Garamond" w:hAnsi="Garamond"/>
          <w:sz w:val="24"/>
          <w:szCs w:val="24"/>
        </w:rPr>
        <w:t xml:space="preserve">highlights the philosophical, and indeed theological, connection between the past and present. </w:t>
      </w:r>
      <w:r w:rsidR="00B645AD" w:rsidRPr="00B645AD">
        <w:rPr>
          <w:rFonts w:ascii="Garamond" w:hAnsi="Garamond"/>
          <w:sz w:val="24"/>
          <w:szCs w:val="24"/>
        </w:rPr>
        <w:t>According to Pappin, Agamben’s project can be viewed as belonging to the postmodern tradition of genealogy, which we may understand as the mode of study concerned with the historical roots of contemporary phenomena (Pappin).</w:t>
      </w:r>
      <w:r w:rsidR="00B645AD">
        <w:rPr>
          <w:rStyle w:val="FootnoteReference"/>
          <w:rFonts w:ascii="Garamond" w:hAnsi="Garamond"/>
          <w:sz w:val="24"/>
          <w:szCs w:val="24"/>
        </w:rPr>
        <w:footnoteReference w:id="1"/>
      </w:r>
      <w:r w:rsidR="00B645AD" w:rsidRPr="00B645AD">
        <w:rPr>
          <w:rFonts w:ascii="Garamond" w:hAnsi="Garamond"/>
          <w:sz w:val="24"/>
          <w:szCs w:val="24"/>
        </w:rPr>
        <w:t xml:space="preserve"> A justification for this method may be to point out that many Societal structures and practices are based on philosophical and political ideas of the past; liberal democracies and authoritarian dictatorships may have their origin in a forgotten period of history, but the present continues to be influenced by the relevant past, whether we remember today or not. Therefore, in coming to know the nature of modern-day phenomena and the re-evaluation of it, we are required to look back and locate the constitutional source. </w:t>
      </w:r>
    </w:p>
    <w:p w14:paraId="5FCDA664" w14:textId="7E019FE2" w:rsidR="00B645AD" w:rsidRDefault="00B645AD" w:rsidP="00C75D50">
      <w:pPr>
        <w:spacing w:line="360" w:lineRule="auto"/>
        <w:jc w:val="both"/>
        <w:rPr>
          <w:rFonts w:ascii="Garamond" w:hAnsi="Garamond"/>
          <w:sz w:val="24"/>
          <w:szCs w:val="24"/>
        </w:rPr>
      </w:pPr>
    </w:p>
    <w:p w14:paraId="33E09710" w14:textId="16008A10" w:rsidR="00C75D50" w:rsidRDefault="00931628" w:rsidP="00C75D50">
      <w:pPr>
        <w:spacing w:line="360" w:lineRule="auto"/>
        <w:jc w:val="both"/>
        <w:rPr>
          <w:rFonts w:ascii="Garamond" w:hAnsi="Garamond"/>
          <w:sz w:val="24"/>
          <w:szCs w:val="24"/>
        </w:rPr>
      </w:pPr>
      <w:r>
        <w:rPr>
          <w:rFonts w:ascii="Garamond" w:hAnsi="Garamond"/>
          <w:sz w:val="24"/>
          <w:szCs w:val="24"/>
        </w:rPr>
        <w:t>Moreover, A</w:t>
      </w:r>
      <w:r w:rsidR="00FF7982" w:rsidRPr="0046234D">
        <w:rPr>
          <w:rFonts w:ascii="Garamond" w:hAnsi="Garamond"/>
          <w:sz w:val="24"/>
          <w:szCs w:val="24"/>
        </w:rPr>
        <w:t>gamben himself places his project in a post-Foucaultian context, but he quickly distinguishes his work from Foucault’s “limited” genealogy.</w:t>
      </w:r>
      <w:r>
        <w:rPr>
          <w:rStyle w:val="FootnoteReference"/>
          <w:rFonts w:ascii="Garamond" w:hAnsi="Garamond"/>
          <w:sz w:val="24"/>
          <w:szCs w:val="24"/>
        </w:rPr>
        <w:footnoteReference w:id="2"/>
      </w:r>
      <w:r w:rsidR="00FF7982" w:rsidRPr="0046234D">
        <w:rPr>
          <w:rFonts w:ascii="Garamond" w:hAnsi="Garamond"/>
          <w:sz w:val="24"/>
          <w:szCs w:val="24"/>
        </w:rPr>
        <w:t xml:space="preserve"> For Agamben, the proper understanding of contemporary governmental power is situated in the early centuries of Christian theology. Agamben imbues his “theoretical interrogation” of modern politics with a theological analysis, placing most of his interest in the Trinitarian doctrine.</w:t>
      </w:r>
      <w:r>
        <w:rPr>
          <w:rStyle w:val="FootnoteReference"/>
          <w:rFonts w:ascii="Garamond" w:hAnsi="Garamond"/>
          <w:sz w:val="24"/>
          <w:szCs w:val="24"/>
        </w:rPr>
        <w:footnoteReference w:id="3"/>
      </w:r>
      <w:r w:rsidR="00FF7982" w:rsidRPr="0046234D">
        <w:rPr>
          <w:rFonts w:ascii="Garamond" w:hAnsi="Garamond"/>
          <w:sz w:val="24"/>
          <w:szCs w:val="24"/>
        </w:rPr>
        <w:t xml:space="preserve"> Within this aspect of theology, Agamben seeks to expose the roots and identify the components for the modern political structure. </w:t>
      </w:r>
      <w:r w:rsidR="00FF7982" w:rsidRPr="0046234D">
        <w:rPr>
          <w:rFonts w:ascii="Garamond" w:hAnsi="Garamond"/>
          <w:sz w:val="24"/>
          <w:szCs w:val="24"/>
        </w:rPr>
        <w:lastRenderedPageBreak/>
        <w:t>By doing this, Agamben “hopes” to open up a pathway to overcoming the flaws of the structures influenced by our theological past.</w:t>
      </w:r>
      <w:r w:rsidR="008E72C2">
        <w:rPr>
          <w:rStyle w:val="FootnoteReference"/>
          <w:rFonts w:ascii="Garamond" w:hAnsi="Garamond"/>
          <w:sz w:val="24"/>
          <w:szCs w:val="24"/>
        </w:rPr>
        <w:footnoteReference w:id="4"/>
      </w:r>
      <w:r w:rsidR="00FF7982" w:rsidRPr="0046234D">
        <w:rPr>
          <w:rFonts w:ascii="Garamond" w:hAnsi="Garamond"/>
          <w:sz w:val="24"/>
          <w:szCs w:val="24"/>
        </w:rPr>
        <w:t xml:space="preserve"> </w:t>
      </w:r>
      <w:r w:rsidR="008E72C2">
        <w:rPr>
          <w:rFonts w:ascii="Garamond" w:hAnsi="Garamond"/>
          <w:sz w:val="24"/>
          <w:szCs w:val="24"/>
        </w:rPr>
        <w:t xml:space="preserve">In this essay, we </w:t>
      </w:r>
      <w:r w:rsidR="00D64526">
        <w:rPr>
          <w:rFonts w:ascii="Garamond" w:hAnsi="Garamond"/>
          <w:sz w:val="24"/>
          <w:szCs w:val="24"/>
        </w:rPr>
        <w:t xml:space="preserve">will </w:t>
      </w:r>
      <w:r w:rsidR="00F847A2">
        <w:rPr>
          <w:rFonts w:ascii="Garamond" w:hAnsi="Garamond"/>
          <w:sz w:val="24"/>
          <w:szCs w:val="24"/>
        </w:rPr>
        <w:t xml:space="preserve">use Agamben’s genealogical analysis in order to assess his analogy of the </w:t>
      </w:r>
      <w:r w:rsidR="00463ADA">
        <w:rPr>
          <w:rFonts w:ascii="Garamond" w:hAnsi="Garamond"/>
          <w:sz w:val="24"/>
          <w:szCs w:val="24"/>
        </w:rPr>
        <w:t xml:space="preserve">sovereignty of God and the sovereignty of the state. </w:t>
      </w:r>
      <w:r w:rsidR="00C361BA">
        <w:rPr>
          <w:rFonts w:ascii="Garamond" w:hAnsi="Garamond"/>
          <w:sz w:val="24"/>
          <w:szCs w:val="24"/>
        </w:rPr>
        <w:t xml:space="preserve">Moreover, </w:t>
      </w:r>
      <w:r w:rsidR="004E0A00">
        <w:rPr>
          <w:rFonts w:ascii="Garamond" w:hAnsi="Garamond"/>
          <w:sz w:val="24"/>
          <w:szCs w:val="24"/>
        </w:rPr>
        <w:t xml:space="preserve">we will see how </w:t>
      </w:r>
      <w:r w:rsidR="007C2B05">
        <w:rPr>
          <w:rFonts w:ascii="Garamond" w:hAnsi="Garamond"/>
          <w:sz w:val="24"/>
          <w:szCs w:val="24"/>
        </w:rPr>
        <w:t>important the idea of glory is in both contexts</w:t>
      </w:r>
      <w:r w:rsidR="00880186">
        <w:rPr>
          <w:rFonts w:ascii="Garamond" w:hAnsi="Garamond"/>
          <w:sz w:val="24"/>
          <w:szCs w:val="24"/>
        </w:rPr>
        <w:t>, as it fu</w:t>
      </w:r>
      <w:r w:rsidR="003F2217">
        <w:rPr>
          <w:rFonts w:ascii="Garamond" w:hAnsi="Garamond"/>
          <w:sz w:val="24"/>
          <w:szCs w:val="24"/>
        </w:rPr>
        <w:t xml:space="preserve">nctions in such a way as to be </w:t>
      </w:r>
      <w:r w:rsidR="00315E53">
        <w:rPr>
          <w:rFonts w:ascii="Garamond" w:hAnsi="Garamond"/>
          <w:sz w:val="24"/>
          <w:szCs w:val="24"/>
        </w:rPr>
        <w:t>separated</w:t>
      </w:r>
      <w:r w:rsidR="003F2217">
        <w:rPr>
          <w:rFonts w:ascii="Garamond" w:hAnsi="Garamond"/>
          <w:sz w:val="24"/>
          <w:szCs w:val="24"/>
        </w:rPr>
        <w:t xml:space="preserve"> from the notion of sovereignty. We will conclude that Agamben’s </w:t>
      </w:r>
      <w:r w:rsidR="00315E53">
        <w:rPr>
          <w:rFonts w:ascii="Garamond" w:hAnsi="Garamond"/>
          <w:sz w:val="24"/>
          <w:szCs w:val="24"/>
        </w:rPr>
        <w:t xml:space="preserve">analogy is well drawn out thanks to his </w:t>
      </w:r>
      <w:r w:rsidR="0012184C">
        <w:rPr>
          <w:rFonts w:ascii="Garamond" w:hAnsi="Garamond"/>
          <w:sz w:val="24"/>
          <w:szCs w:val="24"/>
        </w:rPr>
        <w:t xml:space="preserve">philosophical and theological interrogation of the past. </w:t>
      </w:r>
      <w:r w:rsidR="00481AAC">
        <w:rPr>
          <w:rFonts w:ascii="Garamond" w:hAnsi="Garamond"/>
          <w:sz w:val="24"/>
          <w:szCs w:val="24"/>
        </w:rPr>
        <w:t xml:space="preserve"> </w:t>
      </w:r>
    </w:p>
    <w:p w14:paraId="65379D38" w14:textId="0C0A149A" w:rsidR="00C75D50" w:rsidRDefault="00C75D50" w:rsidP="00C75D50">
      <w:pPr>
        <w:spacing w:line="360" w:lineRule="auto"/>
        <w:jc w:val="both"/>
        <w:rPr>
          <w:rFonts w:ascii="Garamond" w:hAnsi="Garamond"/>
          <w:sz w:val="24"/>
          <w:szCs w:val="24"/>
        </w:rPr>
      </w:pPr>
    </w:p>
    <w:p w14:paraId="79C51B61" w14:textId="7D05A36A" w:rsidR="00500355" w:rsidRPr="00500355" w:rsidRDefault="00474114" w:rsidP="00C75D50">
      <w:pPr>
        <w:spacing w:line="360" w:lineRule="auto"/>
        <w:jc w:val="both"/>
        <w:rPr>
          <w:rFonts w:ascii="Garamond" w:hAnsi="Garamond"/>
          <w:b/>
          <w:bCs/>
          <w:sz w:val="24"/>
          <w:szCs w:val="24"/>
        </w:rPr>
      </w:pPr>
      <w:r>
        <w:rPr>
          <w:rFonts w:ascii="Garamond" w:hAnsi="Garamond"/>
          <w:b/>
          <w:bCs/>
          <w:sz w:val="24"/>
          <w:szCs w:val="24"/>
        </w:rPr>
        <w:t>Glory and Sover</w:t>
      </w:r>
      <w:r w:rsidR="00264622">
        <w:rPr>
          <w:rFonts w:ascii="Garamond" w:hAnsi="Garamond"/>
          <w:b/>
          <w:bCs/>
          <w:sz w:val="24"/>
          <w:szCs w:val="24"/>
        </w:rPr>
        <w:t>eignty</w:t>
      </w:r>
    </w:p>
    <w:p w14:paraId="7589C360" w14:textId="4119361B" w:rsidR="00AA07AC" w:rsidRDefault="00AA07AC" w:rsidP="00C75D50">
      <w:pPr>
        <w:spacing w:line="360" w:lineRule="auto"/>
        <w:jc w:val="both"/>
        <w:rPr>
          <w:rFonts w:ascii="Garamond" w:hAnsi="Garamond"/>
          <w:sz w:val="24"/>
          <w:szCs w:val="24"/>
        </w:rPr>
      </w:pPr>
    </w:p>
    <w:p w14:paraId="6149307A" w14:textId="4A3412E4" w:rsidR="00AA07AC" w:rsidRDefault="00AA07AC" w:rsidP="00AA07AC">
      <w:pPr>
        <w:spacing w:line="360" w:lineRule="auto"/>
        <w:jc w:val="both"/>
        <w:rPr>
          <w:rFonts w:ascii="Garamond" w:hAnsi="Garamond"/>
          <w:sz w:val="24"/>
          <w:szCs w:val="24"/>
        </w:rPr>
      </w:pPr>
      <w:r w:rsidRPr="00AA07AC">
        <w:rPr>
          <w:rFonts w:ascii="Garamond" w:hAnsi="Garamond"/>
          <w:sz w:val="24"/>
          <w:szCs w:val="24"/>
        </w:rPr>
        <w:t>The issue for some may be the critical lens through which many postmodernists view Western society. If we accept our traditions as fundamental structures of the culture and society in which we live, then it can be difficult for us to acknowledge, or even tolerate criticism directed at them, especially with the force of philosophical weight. However uneasy it may be to grasp these opposing views, there is something to be said about reflecting on the kinds of structures that play a vital role in our daily lives. If a dominate structure of society collapses within but remains unexamined, then we run the risk of perpetuating it through generating artificial life, when in fact, the structure had died a long time ago. Death here signifies the loss of meaning, or the way in which a system is liable to change from what it originally was over time.</w:t>
      </w:r>
      <w:r>
        <w:rPr>
          <w:rFonts w:ascii="Garamond" w:hAnsi="Garamond"/>
          <w:sz w:val="24"/>
          <w:szCs w:val="24"/>
        </w:rPr>
        <w:t xml:space="preserve"> </w:t>
      </w:r>
      <w:r w:rsidRPr="0046234D">
        <w:rPr>
          <w:rFonts w:ascii="Garamond" w:hAnsi="Garamond"/>
          <w:sz w:val="24"/>
          <w:szCs w:val="24"/>
        </w:rPr>
        <w:t xml:space="preserve">A postmodern critique may go even further and criticise the very foundations on which </w:t>
      </w:r>
      <w:r w:rsidR="00500355">
        <w:rPr>
          <w:rFonts w:ascii="Garamond" w:hAnsi="Garamond"/>
          <w:sz w:val="24"/>
          <w:szCs w:val="24"/>
        </w:rPr>
        <w:t xml:space="preserve">modern-day </w:t>
      </w:r>
      <w:r>
        <w:rPr>
          <w:rFonts w:ascii="Garamond" w:hAnsi="Garamond"/>
          <w:sz w:val="24"/>
          <w:szCs w:val="24"/>
        </w:rPr>
        <w:t>structures are</w:t>
      </w:r>
      <w:r w:rsidRPr="0046234D">
        <w:rPr>
          <w:rFonts w:ascii="Garamond" w:hAnsi="Garamond"/>
          <w:sz w:val="24"/>
          <w:szCs w:val="24"/>
        </w:rPr>
        <w:t xml:space="preserve"> formed in the first place. History is a practical device for the postmodernist, not only for contemporary analysis but also criticism. </w:t>
      </w:r>
    </w:p>
    <w:p w14:paraId="4496CCBE" w14:textId="77777777" w:rsidR="00FF7982" w:rsidRDefault="00FF7982" w:rsidP="00AA07AC">
      <w:pPr>
        <w:spacing w:line="360" w:lineRule="auto"/>
        <w:jc w:val="both"/>
        <w:rPr>
          <w:rFonts w:ascii="Garamond" w:hAnsi="Garamond"/>
          <w:sz w:val="24"/>
          <w:szCs w:val="24"/>
        </w:rPr>
      </w:pPr>
    </w:p>
    <w:p w14:paraId="7F3D89F0" w14:textId="65AB0E74" w:rsidR="00AA07AC" w:rsidRDefault="00AA07AC" w:rsidP="00C75D50">
      <w:pPr>
        <w:spacing w:line="360" w:lineRule="auto"/>
        <w:jc w:val="both"/>
        <w:rPr>
          <w:rFonts w:ascii="Garamond" w:hAnsi="Garamond"/>
          <w:sz w:val="24"/>
          <w:szCs w:val="24"/>
        </w:rPr>
      </w:pPr>
      <w:r w:rsidRPr="00AA07AC">
        <w:rPr>
          <w:rFonts w:ascii="Garamond" w:hAnsi="Garamond"/>
          <w:sz w:val="24"/>
          <w:szCs w:val="24"/>
        </w:rPr>
        <w:t xml:space="preserve">This critical component of a genealogical analysis is apparent in the thought of Michel Foucault, who viewed the apparatus of modern governmentality as constituted by a set of “power relations” conceived at point </w:t>
      </w:r>
      <w:r w:rsidRPr="00AA07AC">
        <w:rPr>
          <w:rFonts w:ascii="Garamond" w:hAnsi="Garamond"/>
          <w:b/>
          <w:bCs/>
          <w:sz w:val="24"/>
          <w:szCs w:val="24"/>
        </w:rPr>
        <w:t>A</w:t>
      </w:r>
      <w:r w:rsidRPr="00AA07AC">
        <w:rPr>
          <w:rFonts w:ascii="Garamond" w:hAnsi="Garamond"/>
          <w:sz w:val="24"/>
          <w:szCs w:val="24"/>
        </w:rPr>
        <w:t xml:space="preserve">, but which have degenerated by the present time of point </w:t>
      </w:r>
      <w:r w:rsidRPr="00AA07AC">
        <w:rPr>
          <w:rFonts w:ascii="Garamond" w:hAnsi="Garamond"/>
          <w:b/>
          <w:bCs/>
          <w:sz w:val="24"/>
          <w:szCs w:val="24"/>
        </w:rPr>
        <w:t>B</w:t>
      </w:r>
      <w:r w:rsidRPr="00AA07AC">
        <w:rPr>
          <w:rFonts w:ascii="Garamond" w:hAnsi="Garamond"/>
          <w:sz w:val="24"/>
          <w:szCs w:val="24"/>
        </w:rPr>
        <w:t>, ultimately perverting human existence.</w:t>
      </w:r>
      <w:r w:rsidR="00500355">
        <w:rPr>
          <w:rStyle w:val="FootnoteReference"/>
          <w:rFonts w:ascii="Garamond" w:hAnsi="Garamond"/>
          <w:sz w:val="24"/>
          <w:szCs w:val="24"/>
        </w:rPr>
        <w:footnoteReference w:id="5"/>
      </w:r>
      <w:r w:rsidRPr="00AA07AC">
        <w:rPr>
          <w:rFonts w:ascii="Garamond" w:hAnsi="Garamond"/>
          <w:sz w:val="24"/>
          <w:szCs w:val="24"/>
        </w:rPr>
        <w:t xml:space="preserve"> For Foucault, the essence of contemporary government is simply the “art of exercising power in the form of economy”.</w:t>
      </w:r>
      <w:r w:rsidR="00C76E0F">
        <w:rPr>
          <w:rStyle w:val="FootnoteReference"/>
          <w:rFonts w:ascii="Garamond" w:hAnsi="Garamond"/>
          <w:sz w:val="24"/>
          <w:szCs w:val="24"/>
        </w:rPr>
        <w:footnoteReference w:id="6"/>
      </w:r>
      <w:r w:rsidRPr="00AA07AC">
        <w:rPr>
          <w:rFonts w:ascii="Garamond" w:hAnsi="Garamond"/>
          <w:sz w:val="24"/>
          <w:szCs w:val="24"/>
        </w:rPr>
        <w:t xml:space="preserve"> This political artform has its origin in the Christian pastorate, which may be understood as a “government of souls”, and which is partially responsible for giving council to mankind.</w:t>
      </w:r>
      <w:r w:rsidR="00C76E0F">
        <w:rPr>
          <w:rStyle w:val="FootnoteReference"/>
          <w:rFonts w:ascii="Garamond" w:hAnsi="Garamond"/>
          <w:sz w:val="24"/>
          <w:szCs w:val="24"/>
        </w:rPr>
        <w:footnoteReference w:id="7"/>
      </w:r>
      <w:r w:rsidRPr="00AA07AC">
        <w:rPr>
          <w:rFonts w:ascii="Garamond" w:hAnsi="Garamond"/>
          <w:sz w:val="24"/>
          <w:szCs w:val="24"/>
        </w:rPr>
        <w:t xml:space="preserve"> Foucault identifies two features of the pastorate that </w:t>
      </w:r>
      <w:r w:rsidRPr="00AA07AC">
        <w:rPr>
          <w:rFonts w:ascii="Garamond" w:hAnsi="Garamond"/>
          <w:sz w:val="24"/>
          <w:szCs w:val="24"/>
        </w:rPr>
        <w:lastRenderedPageBreak/>
        <w:t>are present in the contemporary political structure</w:t>
      </w:r>
      <w:r w:rsidR="00FF7982">
        <w:rPr>
          <w:rFonts w:ascii="Garamond" w:hAnsi="Garamond"/>
          <w:sz w:val="24"/>
          <w:szCs w:val="24"/>
        </w:rPr>
        <w:t>: t</w:t>
      </w:r>
      <w:r w:rsidRPr="00AA07AC">
        <w:rPr>
          <w:rFonts w:ascii="Garamond" w:hAnsi="Garamond"/>
          <w:sz w:val="24"/>
          <w:szCs w:val="24"/>
        </w:rPr>
        <w:t>he first is an individualising and totalising activity, referring to the way in which the pastorate concerns one and all.</w:t>
      </w:r>
      <w:r w:rsidR="00C76E0F">
        <w:rPr>
          <w:rStyle w:val="FootnoteReference"/>
          <w:rFonts w:ascii="Garamond" w:hAnsi="Garamond"/>
          <w:sz w:val="24"/>
          <w:szCs w:val="24"/>
        </w:rPr>
        <w:footnoteReference w:id="8"/>
      </w:r>
      <w:r w:rsidRPr="00AA07AC">
        <w:rPr>
          <w:rFonts w:ascii="Garamond" w:hAnsi="Garamond"/>
          <w:sz w:val="24"/>
          <w:szCs w:val="24"/>
        </w:rPr>
        <w:t xml:space="preserve"> The same is true of the modern state as it too concerns the lives of its citizens individually and nationally. The national identity assumes a collectivist view, wherein individuals are subsumed under the colours of a flag. The second feature relates to a specific notion of economy, namely, the administration of peoples, things and wealth which are all ordered by the </w:t>
      </w:r>
      <w:r w:rsidR="00FF7982">
        <w:rPr>
          <w:rFonts w:ascii="Garamond" w:hAnsi="Garamond"/>
          <w:sz w:val="24"/>
          <w:szCs w:val="24"/>
        </w:rPr>
        <w:t>“</w:t>
      </w:r>
      <w:r w:rsidRPr="00AA07AC">
        <w:rPr>
          <w:rFonts w:ascii="Garamond" w:hAnsi="Garamond"/>
          <w:sz w:val="24"/>
          <w:szCs w:val="24"/>
        </w:rPr>
        <w:t>family</w:t>
      </w:r>
      <w:r w:rsidR="00FF7982">
        <w:rPr>
          <w:rFonts w:ascii="Garamond" w:hAnsi="Garamond"/>
          <w:sz w:val="24"/>
          <w:szCs w:val="24"/>
        </w:rPr>
        <w:t>”</w:t>
      </w:r>
      <w:r w:rsidRPr="00AA07AC">
        <w:rPr>
          <w:rFonts w:ascii="Garamond" w:hAnsi="Garamond"/>
          <w:sz w:val="24"/>
          <w:szCs w:val="24"/>
        </w:rPr>
        <w:t xml:space="preserve"> structure.</w:t>
      </w:r>
      <w:r w:rsidR="00C76E0F">
        <w:rPr>
          <w:rStyle w:val="FootnoteReference"/>
          <w:rFonts w:ascii="Garamond" w:hAnsi="Garamond"/>
          <w:sz w:val="24"/>
          <w:szCs w:val="24"/>
        </w:rPr>
        <w:footnoteReference w:id="9"/>
      </w:r>
      <w:r w:rsidRPr="00AA07AC">
        <w:rPr>
          <w:rFonts w:ascii="Garamond" w:hAnsi="Garamond"/>
          <w:sz w:val="24"/>
          <w:szCs w:val="24"/>
        </w:rPr>
        <w:t xml:space="preserve"> Agamben points out that Foucault’s genealogy views this feature of the pastorate as an </w:t>
      </w:r>
      <w:r w:rsidR="00C76E0F">
        <w:rPr>
          <w:rFonts w:ascii="Garamond" w:hAnsi="Garamond"/>
          <w:sz w:val="24"/>
          <w:szCs w:val="24"/>
        </w:rPr>
        <w:t>“</w:t>
      </w:r>
      <w:r w:rsidRPr="00AA07AC">
        <w:rPr>
          <w:rFonts w:ascii="Garamond" w:hAnsi="Garamond"/>
          <w:sz w:val="24"/>
          <w:szCs w:val="24"/>
        </w:rPr>
        <w:t>economy of souls</w:t>
      </w:r>
      <w:r w:rsidR="00C76E0F">
        <w:rPr>
          <w:rFonts w:ascii="Garamond" w:hAnsi="Garamond"/>
          <w:sz w:val="24"/>
          <w:szCs w:val="24"/>
        </w:rPr>
        <w:t>”</w:t>
      </w:r>
      <w:r w:rsidRPr="00AA07AC">
        <w:rPr>
          <w:rFonts w:ascii="Garamond" w:hAnsi="Garamond"/>
          <w:sz w:val="24"/>
          <w:szCs w:val="24"/>
        </w:rPr>
        <w:t>, which gives rise to the fundamental issue of government: “the introduction of economy into political practice”.</w:t>
      </w:r>
      <w:r w:rsidR="00C76E0F">
        <w:rPr>
          <w:rStyle w:val="FootnoteReference"/>
          <w:rFonts w:ascii="Garamond" w:hAnsi="Garamond"/>
          <w:sz w:val="24"/>
          <w:szCs w:val="24"/>
        </w:rPr>
        <w:footnoteReference w:id="10"/>
      </w:r>
      <w:r w:rsidRPr="00AA07AC">
        <w:rPr>
          <w:rFonts w:ascii="Garamond" w:hAnsi="Garamond"/>
          <w:sz w:val="24"/>
          <w:szCs w:val="24"/>
        </w:rPr>
        <w:t xml:space="preserve"> Ultimately, Foucault thinks that the pastorate defined the activity of the church up until the eighteenth century, which is when it began to take on the more contemporary models of secular political government we know today.</w:t>
      </w:r>
      <w:r w:rsidR="00D538EB">
        <w:rPr>
          <w:rStyle w:val="FootnoteReference"/>
          <w:rFonts w:ascii="Garamond" w:hAnsi="Garamond"/>
          <w:sz w:val="24"/>
          <w:szCs w:val="24"/>
        </w:rPr>
        <w:footnoteReference w:id="11"/>
      </w:r>
      <w:r w:rsidRPr="00AA07AC">
        <w:rPr>
          <w:rFonts w:ascii="Garamond" w:hAnsi="Garamond"/>
          <w:sz w:val="24"/>
          <w:szCs w:val="24"/>
        </w:rPr>
        <w:t xml:space="preserve"> The connection between the pastorate and government highlighted by Foucault are useful here as they </w:t>
      </w:r>
      <w:r w:rsidR="00C76E0F">
        <w:rPr>
          <w:rFonts w:ascii="Garamond" w:hAnsi="Garamond"/>
          <w:sz w:val="24"/>
          <w:szCs w:val="24"/>
        </w:rPr>
        <w:t xml:space="preserve">bring into focus </w:t>
      </w:r>
      <w:r w:rsidR="00D538EB">
        <w:rPr>
          <w:rFonts w:ascii="Garamond" w:hAnsi="Garamond"/>
          <w:sz w:val="24"/>
          <w:szCs w:val="24"/>
        </w:rPr>
        <w:t>the context</w:t>
      </w:r>
      <w:r w:rsidRPr="00AA07AC">
        <w:rPr>
          <w:rFonts w:ascii="Garamond" w:hAnsi="Garamond"/>
          <w:sz w:val="24"/>
          <w:szCs w:val="24"/>
        </w:rPr>
        <w:t xml:space="preserve"> of Agamben’s work.  </w:t>
      </w:r>
    </w:p>
    <w:p w14:paraId="782A4BA3" w14:textId="09A4A7ED" w:rsidR="00C75D50" w:rsidRDefault="00C75D50" w:rsidP="00C75D50">
      <w:pPr>
        <w:spacing w:line="360" w:lineRule="auto"/>
        <w:jc w:val="both"/>
        <w:rPr>
          <w:rFonts w:ascii="Garamond" w:hAnsi="Garamond"/>
          <w:sz w:val="24"/>
          <w:szCs w:val="24"/>
        </w:rPr>
      </w:pPr>
    </w:p>
    <w:p w14:paraId="42D186D3" w14:textId="1618BFF5" w:rsidR="00C75D50" w:rsidRDefault="00D538EB" w:rsidP="00C75D50">
      <w:pPr>
        <w:spacing w:line="360" w:lineRule="auto"/>
        <w:jc w:val="both"/>
        <w:rPr>
          <w:rFonts w:ascii="Garamond" w:hAnsi="Garamond"/>
          <w:sz w:val="24"/>
          <w:szCs w:val="24"/>
        </w:rPr>
      </w:pPr>
      <w:r>
        <w:rPr>
          <w:rFonts w:ascii="Garamond" w:hAnsi="Garamond"/>
          <w:sz w:val="24"/>
          <w:szCs w:val="24"/>
        </w:rPr>
        <w:t xml:space="preserve">Much like the theological interest of Foucault, </w:t>
      </w:r>
      <w:r w:rsidR="00C75D50">
        <w:rPr>
          <w:rFonts w:ascii="Garamond" w:hAnsi="Garamond"/>
          <w:sz w:val="24"/>
          <w:szCs w:val="24"/>
        </w:rPr>
        <w:t>Agamben identifies</w:t>
      </w:r>
      <w:r w:rsidR="00C75D50" w:rsidRPr="00C75D50">
        <w:rPr>
          <w:rFonts w:ascii="Garamond" w:hAnsi="Garamond"/>
          <w:sz w:val="24"/>
          <w:szCs w:val="24"/>
        </w:rPr>
        <w:t xml:space="preserve"> two paradigms of </w:t>
      </w:r>
      <w:r w:rsidR="00C75D50">
        <w:rPr>
          <w:rFonts w:ascii="Garamond" w:hAnsi="Garamond"/>
          <w:sz w:val="24"/>
          <w:szCs w:val="24"/>
        </w:rPr>
        <w:t>the modern state</w:t>
      </w:r>
      <w:r w:rsidR="00C75D50" w:rsidRPr="00C75D50">
        <w:rPr>
          <w:rFonts w:ascii="Garamond" w:hAnsi="Garamond"/>
          <w:sz w:val="24"/>
          <w:szCs w:val="24"/>
        </w:rPr>
        <w:t xml:space="preserve"> that derive from Christian theology. The first of these is political theology, which grounds in the ONE God the “transcendence of sovereign power”.</w:t>
      </w:r>
      <w:r>
        <w:rPr>
          <w:rStyle w:val="FootnoteReference"/>
          <w:rFonts w:ascii="Garamond" w:hAnsi="Garamond"/>
          <w:sz w:val="24"/>
          <w:szCs w:val="24"/>
        </w:rPr>
        <w:footnoteReference w:id="12"/>
      </w:r>
      <w:r w:rsidR="00C75D50" w:rsidRPr="00C75D50">
        <w:rPr>
          <w:rFonts w:ascii="Garamond" w:hAnsi="Garamond"/>
          <w:sz w:val="24"/>
          <w:szCs w:val="24"/>
        </w:rPr>
        <w:t xml:space="preserve"> The second is economic theology, constituted by an oikonomia, which we may conceive as an “immanent order, domestic and non-political”.</w:t>
      </w:r>
      <w:r w:rsidR="00474114">
        <w:rPr>
          <w:rStyle w:val="FootnoteReference"/>
          <w:rFonts w:ascii="Garamond" w:hAnsi="Garamond"/>
          <w:sz w:val="24"/>
          <w:szCs w:val="24"/>
        </w:rPr>
        <w:footnoteReference w:id="13"/>
      </w:r>
      <w:r w:rsidR="00C75D50" w:rsidRPr="00C75D50">
        <w:rPr>
          <w:rFonts w:ascii="Garamond" w:hAnsi="Garamond"/>
          <w:sz w:val="24"/>
          <w:szCs w:val="24"/>
        </w:rPr>
        <w:t xml:space="preserve"> Agamben argues that the first paradigm gives rise to the modern theory of sovereignty, since it is political and juridical in essence.</w:t>
      </w:r>
      <w:r w:rsidR="00474114">
        <w:rPr>
          <w:rStyle w:val="FootnoteReference"/>
          <w:rFonts w:ascii="Garamond" w:hAnsi="Garamond"/>
          <w:sz w:val="24"/>
          <w:szCs w:val="24"/>
        </w:rPr>
        <w:footnoteReference w:id="14"/>
      </w:r>
      <w:r w:rsidR="00C75D50" w:rsidRPr="00C75D50">
        <w:rPr>
          <w:rFonts w:ascii="Garamond" w:hAnsi="Garamond"/>
          <w:sz w:val="24"/>
          <w:szCs w:val="24"/>
        </w:rPr>
        <w:t xml:space="preserve"> The second paradigm, however, is managerial; it underlies modern bio-politics and the various forms of economic management, which Agamben thinks governs all forms of social life.</w:t>
      </w:r>
      <w:r w:rsidR="00474114">
        <w:rPr>
          <w:rStyle w:val="FootnoteReference"/>
          <w:rFonts w:ascii="Garamond" w:hAnsi="Garamond"/>
          <w:sz w:val="24"/>
          <w:szCs w:val="24"/>
        </w:rPr>
        <w:footnoteReference w:id="15"/>
      </w:r>
    </w:p>
    <w:p w14:paraId="32489B50" w14:textId="77777777" w:rsidR="00C75D50" w:rsidRDefault="00C75D50" w:rsidP="00C75D50">
      <w:pPr>
        <w:spacing w:line="360" w:lineRule="auto"/>
        <w:jc w:val="both"/>
        <w:rPr>
          <w:rFonts w:ascii="Garamond" w:hAnsi="Garamond"/>
          <w:sz w:val="24"/>
          <w:szCs w:val="24"/>
        </w:rPr>
      </w:pPr>
    </w:p>
    <w:p w14:paraId="75ACCF69" w14:textId="47699532" w:rsidR="00C75D50" w:rsidRPr="00C75D50" w:rsidRDefault="00C75D50" w:rsidP="00C75D50">
      <w:pPr>
        <w:spacing w:line="360" w:lineRule="auto"/>
        <w:jc w:val="both"/>
        <w:rPr>
          <w:rFonts w:ascii="Garamond" w:hAnsi="Garamond"/>
          <w:sz w:val="24"/>
          <w:szCs w:val="24"/>
        </w:rPr>
      </w:pPr>
      <w:r w:rsidRPr="00C75D50">
        <w:rPr>
          <w:rFonts w:ascii="Garamond" w:hAnsi="Garamond"/>
          <w:sz w:val="24"/>
          <w:szCs w:val="24"/>
        </w:rPr>
        <w:t xml:space="preserve">The distinction between economy and politics in the religious domain is fundamental in our understanding of modern government. According to Pappin, in explaining God’s activity, the </w:t>
      </w:r>
      <w:r w:rsidRPr="00C75D50">
        <w:rPr>
          <w:rFonts w:ascii="Garamond" w:hAnsi="Garamond"/>
          <w:sz w:val="24"/>
          <w:szCs w:val="24"/>
        </w:rPr>
        <w:lastRenderedPageBreak/>
        <w:t>Church Fathers drew on the analogy of household management, or oikonomia.</w:t>
      </w:r>
      <w:r w:rsidR="00474114">
        <w:rPr>
          <w:rStyle w:val="FootnoteReference"/>
          <w:rFonts w:ascii="Garamond" w:hAnsi="Garamond"/>
          <w:sz w:val="24"/>
          <w:szCs w:val="24"/>
        </w:rPr>
        <w:footnoteReference w:id="16"/>
      </w:r>
      <w:r w:rsidRPr="00C75D50">
        <w:rPr>
          <w:rFonts w:ascii="Garamond" w:hAnsi="Garamond"/>
          <w:sz w:val="24"/>
          <w:szCs w:val="24"/>
        </w:rPr>
        <w:t xml:space="preserve"> This can be understood as a hierarchy in the household, whereby the head of the household has his own nature and proper acts but arranges the affairs of his household through a multitude of servants and ministers.</w:t>
      </w:r>
      <w:r w:rsidR="00474114">
        <w:rPr>
          <w:rStyle w:val="FootnoteReference"/>
          <w:rFonts w:ascii="Garamond" w:hAnsi="Garamond"/>
          <w:sz w:val="24"/>
          <w:szCs w:val="24"/>
        </w:rPr>
        <w:footnoteReference w:id="17"/>
      </w:r>
      <w:r w:rsidRPr="00C75D50">
        <w:rPr>
          <w:rFonts w:ascii="Garamond" w:hAnsi="Garamond"/>
          <w:sz w:val="24"/>
          <w:szCs w:val="24"/>
        </w:rPr>
        <w:t xml:space="preserve"> Economy here means “immanent ordering” provided by a supreme ruler through intermediaries. The tenets of this thought have been foundational to the Trinitarian doctrine, which holds that God is “absolutely one substance.</w:t>
      </w:r>
      <w:r w:rsidR="00474114">
        <w:rPr>
          <w:rStyle w:val="FootnoteReference"/>
          <w:rFonts w:ascii="Garamond" w:hAnsi="Garamond"/>
          <w:sz w:val="24"/>
          <w:szCs w:val="24"/>
        </w:rPr>
        <w:footnoteReference w:id="18"/>
      </w:r>
      <w:r w:rsidRPr="00C75D50">
        <w:rPr>
          <w:rFonts w:ascii="Garamond" w:hAnsi="Garamond"/>
          <w:sz w:val="24"/>
          <w:szCs w:val="24"/>
        </w:rPr>
        <w:t xml:space="preserve"> Yet, in so far as His economy is concerned, the way in which He manages His affairs in the divine and Earthly realm, He is three.</w:t>
      </w:r>
      <w:r w:rsidR="00474114">
        <w:rPr>
          <w:rStyle w:val="FootnoteReference"/>
          <w:rFonts w:ascii="Garamond" w:hAnsi="Garamond"/>
          <w:sz w:val="24"/>
          <w:szCs w:val="24"/>
        </w:rPr>
        <w:footnoteReference w:id="19"/>
      </w:r>
      <w:r w:rsidRPr="00C75D50">
        <w:rPr>
          <w:rFonts w:ascii="Garamond" w:hAnsi="Garamond"/>
          <w:sz w:val="24"/>
          <w:szCs w:val="24"/>
        </w:rPr>
        <w:t xml:space="preserve"> For example, the master of the house can share his duties with the son, allocating important administrative tasks. This is not to say that the house is divided. Instead, the unity of the master is kept intact. God can trust the salvation of man and the management of the world to Christ. Politics and economy, then, are two separate concepts. God has an ontological and economic dimension. The former concerns God’s being, while the latter concerns His managerial interacting with the divine house and the world in which we exist. Agamben thinks that the mystery of economy is the hidden epistemic paradigm of modern governments.</w:t>
      </w:r>
      <w:r w:rsidR="00474114">
        <w:rPr>
          <w:rStyle w:val="FootnoteReference"/>
          <w:rFonts w:ascii="Garamond" w:hAnsi="Garamond"/>
          <w:sz w:val="24"/>
          <w:szCs w:val="24"/>
        </w:rPr>
        <w:footnoteReference w:id="20"/>
      </w:r>
      <w:r w:rsidRPr="00C75D50">
        <w:rPr>
          <w:rFonts w:ascii="Garamond" w:hAnsi="Garamond"/>
          <w:sz w:val="24"/>
          <w:szCs w:val="24"/>
        </w:rPr>
        <w:t xml:space="preserve">  </w:t>
      </w:r>
    </w:p>
    <w:p w14:paraId="0CCADE62" w14:textId="77777777" w:rsidR="00C75D50" w:rsidRPr="00C75D50" w:rsidRDefault="00C75D50" w:rsidP="00C75D50">
      <w:pPr>
        <w:spacing w:line="360" w:lineRule="auto"/>
        <w:jc w:val="both"/>
        <w:rPr>
          <w:rFonts w:ascii="Garamond" w:hAnsi="Garamond"/>
          <w:sz w:val="24"/>
          <w:szCs w:val="24"/>
        </w:rPr>
      </w:pPr>
    </w:p>
    <w:p w14:paraId="0B13C4AB" w14:textId="0E9F6DA8" w:rsidR="00C75D50" w:rsidRPr="00C75D50" w:rsidRDefault="00C75D50" w:rsidP="00C75D50">
      <w:pPr>
        <w:spacing w:line="360" w:lineRule="auto"/>
        <w:jc w:val="both"/>
        <w:rPr>
          <w:rFonts w:ascii="Garamond" w:hAnsi="Garamond"/>
          <w:sz w:val="24"/>
          <w:szCs w:val="24"/>
        </w:rPr>
      </w:pPr>
      <w:r w:rsidRPr="00264622">
        <w:rPr>
          <w:rFonts w:ascii="Garamond" w:hAnsi="Garamond"/>
          <w:sz w:val="24"/>
          <w:szCs w:val="24"/>
        </w:rPr>
        <w:t xml:space="preserve">Before </w:t>
      </w:r>
      <w:r w:rsidR="00264622">
        <w:rPr>
          <w:rFonts w:ascii="Garamond" w:hAnsi="Garamond"/>
          <w:sz w:val="24"/>
          <w:szCs w:val="24"/>
        </w:rPr>
        <w:t>one can</w:t>
      </w:r>
      <w:r w:rsidRPr="00264622">
        <w:rPr>
          <w:rFonts w:ascii="Garamond" w:hAnsi="Garamond"/>
          <w:sz w:val="24"/>
          <w:szCs w:val="24"/>
        </w:rPr>
        <w:t xml:space="preserve"> assess</w:t>
      </w:r>
      <w:r w:rsidRPr="00C75D50">
        <w:rPr>
          <w:rFonts w:ascii="Garamond" w:hAnsi="Garamond"/>
          <w:sz w:val="24"/>
          <w:szCs w:val="24"/>
        </w:rPr>
        <w:t xml:space="preserve"> what Agamben means when he uses the term glory in the context of the modern state, it is first necessary for </w:t>
      </w:r>
      <w:r w:rsidR="00264622">
        <w:rPr>
          <w:rFonts w:ascii="Garamond" w:hAnsi="Garamond"/>
          <w:sz w:val="24"/>
          <w:szCs w:val="24"/>
        </w:rPr>
        <w:t>one</w:t>
      </w:r>
      <w:r w:rsidRPr="00C75D50">
        <w:rPr>
          <w:rFonts w:ascii="Garamond" w:hAnsi="Garamond"/>
          <w:sz w:val="24"/>
          <w:szCs w:val="24"/>
        </w:rPr>
        <w:t xml:space="preserve"> to follow Agamben’s genealogical interrogation of glory in the theological sense and understand the features of his project that correspond to</w:t>
      </w:r>
      <w:r w:rsidR="00264622">
        <w:rPr>
          <w:rFonts w:ascii="Garamond" w:hAnsi="Garamond"/>
          <w:sz w:val="24"/>
          <w:szCs w:val="24"/>
        </w:rPr>
        <w:t xml:space="preserve"> </w:t>
      </w:r>
      <w:r w:rsidR="0051009A">
        <w:rPr>
          <w:rFonts w:ascii="Garamond" w:hAnsi="Garamond"/>
          <w:sz w:val="24"/>
          <w:szCs w:val="24"/>
        </w:rPr>
        <w:t>the modern era</w:t>
      </w:r>
      <w:r w:rsidRPr="00C75D50">
        <w:rPr>
          <w:rFonts w:ascii="Garamond" w:hAnsi="Garamond"/>
          <w:sz w:val="24"/>
          <w:szCs w:val="24"/>
        </w:rPr>
        <w:t xml:space="preserve">. According to Agamben, the word </w:t>
      </w:r>
      <w:r w:rsidRPr="00C75D50">
        <w:rPr>
          <w:rFonts w:ascii="Garamond" w:hAnsi="Garamond"/>
          <w:i/>
          <w:iCs/>
          <w:sz w:val="24"/>
          <w:szCs w:val="24"/>
        </w:rPr>
        <w:t>glory</w:t>
      </w:r>
      <w:r w:rsidRPr="00C75D50">
        <w:rPr>
          <w:rFonts w:ascii="Garamond" w:hAnsi="Garamond"/>
          <w:sz w:val="24"/>
          <w:szCs w:val="24"/>
        </w:rPr>
        <w:t xml:space="preserve"> or </w:t>
      </w:r>
      <w:r w:rsidRPr="00C75D50">
        <w:rPr>
          <w:rFonts w:ascii="Garamond" w:hAnsi="Garamond"/>
          <w:i/>
          <w:iCs/>
          <w:sz w:val="24"/>
          <w:szCs w:val="24"/>
        </w:rPr>
        <w:t>doxa</w:t>
      </w:r>
      <w:r w:rsidRPr="00C75D50">
        <w:rPr>
          <w:rFonts w:ascii="Garamond" w:hAnsi="Garamond"/>
          <w:sz w:val="24"/>
          <w:szCs w:val="24"/>
        </w:rPr>
        <w:t xml:space="preserve"> has a precise theological meaning: it expresses the “internal relations of the Trinitarian economy”, which means that there is a “constitutive nexus” between </w:t>
      </w:r>
      <w:r w:rsidRPr="00C75D50">
        <w:rPr>
          <w:rFonts w:ascii="Garamond" w:hAnsi="Garamond"/>
          <w:i/>
          <w:iCs/>
          <w:sz w:val="24"/>
          <w:szCs w:val="24"/>
        </w:rPr>
        <w:t>oikonomia</w:t>
      </w:r>
      <w:r w:rsidRPr="00C75D50">
        <w:rPr>
          <w:rFonts w:ascii="Garamond" w:hAnsi="Garamond"/>
          <w:sz w:val="24"/>
          <w:szCs w:val="24"/>
        </w:rPr>
        <w:t xml:space="preserve"> and </w:t>
      </w:r>
      <w:r w:rsidRPr="00C75D50">
        <w:rPr>
          <w:rFonts w:ascii="Garamond" w:hAnsi="Garamond"/>
          <w:i/>
          <w:iCs/>
          <w:sz w:val="24"/>
          <w:szCs w:val="24"/>
        </w:rPr>
        <w:t xml:space="preserve">doxa </w:t>
      </w:r>
      <w:r w:rsidRPr="00C75D50">
        <w:rPr>
          <w:rFonts w:ascii="Garamond" w:hAnsi="Garamond"/>
          <w:sz w:val="24"/>
          <w:szCs w:val="24"/>
        </w:rPr>
        <w:t>that cannot be separated from our understanding of economic theology.</w:t>
      </w:r>
      <w:r w:rsidR="0051009A">
        <w:rPr>
          <w:rStyle w:val="FootnoteReference"/>
          <w:rFonts w:ascii="Garamond" w:hAnsi="Garamond"/>
          <w:sz w:val="24"/>
          <w:szCs w:val="24"/>
        </w:rPr>
        <w:footnoteReference w:id="21"/>
      </w:r>
      <w:r w:rsidRPr="00C75D50">
        <w:rPr>
          <w:rFonts w:ascii="Garamond" w:hAnsi="Garamond"/>
          <w:sz w:val="24"/>
          <w:szCs w:val="24"/>
        </w:rPr>
        <w:t xml:space="preserve"> </w:t>
      </w:r>
      <w:r w:rsidR="008A0BD2">
        <w:rPr>
          <w:rFonts w:ascii="Garamond" w:hAnsi="Garamond"/>
          <w:sz w:val="24"/>
          <w:szCs w:val="24"/>
        </w:rPr>
        <w:t>Furthermore, A</w:t>
      </w:r>
      <w:r w:rsidRPr="00C75D50">
        <w:rPr>
          <w:rFonts w:ascii="Garamond" w:hAnsi="Garamond"/>
          <w:sz w:val="24"/>
          <w:szCs w:val="24"/>
        </w:rPr>
        <w:t>gamben states that the “</w:t>
      </w:r>
      <w:r w:rsidRPr="00C75D50">
        <w:rPr>
          <w:rFonts w:ascii="Garamond" w:hAnsi="Garamond"/>
          <w:i/>
          <w:iCs/>
          <w:sz w:val="24"/>
          <w:szCs w:val="24"/>
        </w:rPr>
        <w:t xml:space="preserve">doxa theou” </w:t>
      </w:r>
      <w:r w:rsidRPr="00C75D50">
        <w:rPr>
          <w:rFonts w:ascii="Garamond" w:hAnsi="Garamond"/>
          <w:sz w:val="24"/>
          <w:szCs w:val="24"/>
        </w:rPr>
        <w:t>(glory to God) defines the “operation of reciprocal glorification” between the father, the son, and the holy spirit.</w:t>
      </w:r>
      <w:r w:rsidR="008A0BD2">
        <w:rPr>
          <w:rStyle w:val="FootnoteReference"/>
          <w:rFonts w:ascii="Garamond" w:hAnsi="Garamond"/>
          <w:sz w:val="24"/>
          <w:szCs w:val="24"/>
        </w:rPr>
        <w:footnoteReference w:id="22"/>
      </w:r>
      <w:r w:rsidRPr="00C75D50">
        <w:rPr>
          <w:rFonts w:ascii="Garamond" w:hAnsi="Garamond"/>
          <w:sz w:val="24"/>
          <w:szCs w:val="24"/>
        </w:rPr>
        <w:t xml:space="preserve"> The Trinitarian economy, then, is ultimately constituted by an economy of glory. Interestingly, Agamben claims that the economy of glory has “neither beginning nor end”.</w:t>
      </w:r>
      <w:r w:rsidR="008A0BD2">
        <w:rPr>
          <w:rStyle w:val="FootnoteReference"/>
          <w:rFonts w:ascii="Garamond" w:hAnsi="Garamond"/>
          <w:sz w:val="24"/>
          <w:szCs w:val="24"/>
        </w:rPr>
        <w:footnoteReference w:id="23"/>
      </w:r>
      <w:r w:rsidRPr="00C75D50">
        <w:rPr>
          <w:rFonts w:ascii="Garamond" w:hAnsi="Garamond"/>
          <w:sz w:val="24"/>
          <w:szCs w:val="24"/>
        </w:rPr>
        <w:t xml:space="preserve"> If we think of Jesus </w:t>
      </w:r>
      <w:r w:rsidRPr="00C75D50">
        <w:rPr>
          <w:rFonts w:ascii="Garamond" w:hAnsi="Garamond"/>
          <w:sz w:val="24"/>
          <w:szCs w:val="24"/>
        </w:rPr>
        <w:lastRenderedPageBreak/>
        <w:t>as carrying out God’s work on earth — the economy of salvation — then we may be tempted to say that the glorification of the father is with Him alone. Yet, as Agamben points out, the son is also glorified through the work of the father.</w:t>
      </w:r>
      <w:r w:rsidR="008A0BD2">
        <w:rPr>
          <w:rStyle w:val="FootnoteReference"/>
          <w:rFonts w:ascii="Garamond" w:hAnsi="Garamond"/>
          <w:sz w:val="24"/>
          <w:szCs w:val="24"/>
        </w:rPr>
        <w:footnoteReference w:id="24"/>
      </w:r>
      <w:r w:rsidRPr="00C75D50">
        <w:rPr>
          <w:rFonts w:ascii="Garamond" w:hAnsi="Garamond"/>
          <w:sz w:val="24"/>
          <w:szCs w:val="24"/>
        </w:rPr>
        <w:t xml:space="preserve"> According to Agamben, if this “doxological circle” is consistent with the idea that glory precedes the creation of the world, then it must also underly the Trinitarian relation from the very beginning.</w:t>
      </w:r>
      <w:r w:rsidR="00993AF7">
        <w:rPr>
          <w:rStyle w:val="FootnoteReference"/>
          <w:rFonts w:ascii="Garamond" w:hAnsi="Garamond"/>
          <w:sz w:val="24"/>
          <w:szCs w:val="24"/>
        </w:rPr>
        <w:footnoteReference w:id="25"/>
      </w:r>
      <w:r w:rsidRPr="00C75D50">
        <w:rPr>
          <w:rFonts w:ascii="Garamond" w:hAnsi="Garamond"/>
          <w:sz w:val="24"/>
          <w:szCs w:val="24"/>
        </w:rPr>
        <w:t xml:space="preserve"> </w:t>
      </w:r>
    </w:p>
    <w:p w14:paraId="106C8F78" w14:textId="77777777" w:rsidR="00C75D50" w:rsidRPr="00C75D50" w:rsidRDefault="00C75D50" w:rsidP="00C75D50">
      <w:pPr>
        <w:spacing w:line="360" w:lineRule="auto"/>
        <w:jc w:val="both"/>
        <w:rPr>
          <w:rFonts w:ascii="Garamond" w:hAnsi="Garamond"/>
          <w:sz w:val="24"/>
          <w:szCs w:val="24"/>
        </w:rPr>
      </w:pPr>
    </w:p>
    <w:p w14:paraId="2FC89CAD" w14:textId="22F96CD9" w:rsidR="00C75D50" w:rsidRPr="00C75D50" w:rsidRDefault="00993AF7" w:rsidP="00C75D50">
      <w:pPr>
        <w:spacing w:line="360" w:lineRule="auto"/>
        <w:jc w:val="both"/>
        <w:rPr>
          <w:rFonts w:ascii="Garamond" w:hAnsi="Garamond"/>
          <w:sz w:val="24"/>
          <w:szCs w:val="24"/>
        </w:rPr>
      </w:pPr>
      <w:r>
        <w:rPr>
          <w:rFonts w:ascii="Garamond" w:hAnsi="Garamond"/>
          <w:sz w:val="24"/>
          <w:szCs w:val="24"/>
        </w:rPr>
        <w:t>One</w:t>
      </w:r>
      <w:r w:rsidR="00C75D50" w:rsidRPr="00C75D50">
        <w:rPr>
          <w:rFonts w:ascii="Garamond" w:hAnsi="Garamond"/>
          <w:sz w:val="24"/>
          <w:szCs w:val="24"/>
        </w:rPr>
        <w:t xml:space="preserve"> may take note that there is a conceptual dichotomy to consider here. We find the affirmation of glory not only aimed at God Himself, but also at His work through Jesus Christ. Yet, it is clear that God, as He exists in Himself, is not present in the second instance. Rather, it is Jesus that carries out God’s will on earth. This creates a theological tension between the ontology of God and His economy. For clarification, Agamben makes the distinction between “economic trinity (trinity of revelation)” and “immanent trinity (trinity of substance)”.</w:t>
      </w:r>
      <w:r>
        <w:rPr>
          <w:rStyle w:val="FootnoteReference"/>
          <w:rFonts w:ascii="Garamond" w:hAnsi="Garamond"/>
          <w:sz w:val="24"/>
          <w:szCs w:val="24"/>
        </w:rPr>
        <w:footnoteReference w:id="26"/>
      </w:r>
      <w:r w:rsidR="00C75D50" w:rsidRPr="00C75D50">
        <w:rPr>
          <w:rFonts w:ascii="Garamond" w:hAnsi="Garamond"/>
          <w:sz w:val="24"/>
          <w:szCs w:val="24"/>
        </w:rPr>
        <w:t xml:space="preserve"> The economic trinity conceives God in His praxis of salvation, in which He reveals Himself to mankind</w:t>
      </w:r>
      <w:r w:rsidR="00F5708E">
        <w:rPr>
          <w:rFonts w:ascii="Garamond" w:hAnsi="Garamond"/>
          <w:sz w:val="24"/>
          <w:szCs w:val="24"/>
        </w:rPr>
        <w:t>, while</w:t>
      </w:r>
      <w:r w:rsidR="00C75D50" w:rsidRPr="00C75D50">
        <w:rPr>
          <w:rFonts w:ascii="Garamond" w:hAnsi="Garamond"/>
          <w:sz w:val="24"/>
          <w:szCs w:val="24"/>
        </w:rPr>
        <w:t xml:space="preserve"> </w:t>
      </w:r>
      <w:r w:rsidR="00F5708E">
        <w:rPr>
          <w:rFonts w:ascii="Garamond" w:hAnsi="Garamond"/>
          <w:sz w:val="24"/>
          <w:szCs w:val="24"/>
        </w:rPr>
        <w:t>t</w:t>
      </w:r>
      <w:r w:rsidR="00C75D50" w:rsidRPr="00C75D50">
        <w:rPr>
          <w:rFonts w:ascii="Garamond" w:hAnsi="Garamond"/>
          <w:sz w:val="24"/>
          <w:szCs w:val="24"/>
        </w:rPr>
        <w:t>he immanent trinity, on the other hand, defines God as He exists in Himself.</w:t>
      </w:r>
      <w:r w:rsidR="00F5708E">
        <w:rPr>
          <w:rStyle w:val="FootnoteReference"/>
          <w:rFonts w:ascii="Garamond" w:hAnsi="Garamond"/>
          <w:sz w:val="24"/>
          <w:szCs w:val="24"/>
        </w:rPr>
        <w:footnoteReference w:id="27"/>
      </w:r>
      <w:r w:rsidR="00C75D50" w:rsidRPr="00C75D50">
        <w:rPr>
          <w:rFonts w:ascii="Garamond" w:hAnsi="Garamond"/>
          <w:sz w:val="24"/>
          <w:szCs w:val="24"/>
        </w:rPr>
        <w:t xml:space="preserve"> The economic trinity corresponds to oikonomia and praxis, while the immanent trinity refers to ontology and theology. However, Agamben states that we should not think of these as two distinct trinities in the sense that they are incompatible or at odds with one another.</w:t>
      </w:r>
      <w:r w:rsidR="00F5708E">
        <w:rPr>
          <w:rStyle w:val="FootnoteReference"/>
          <w:rFonts w:ascii="Garamond" w:hAnsi="Garamond"/>
          <w:sz w:val="24"/>
          <w:szCs w:val="24"/>
        </w:rPr>
        <w:footnoteReference w:id="28"/>
      </w:r>
      <w:r w:rsidR="00C75D50" w:rsidRPr="00C75D50">
        <w:rPr>
          <w:rFonts w:ascii="Garamond" w:hAnsi="Garamond"/>
          <w:sz w:val="24"/>
          <w:szCs w:val="24"/>
        </w:rPr>
        <w:t xml:space="preserve"> Instead, they are a single trinity unified through a “single divine story of salvation and a single economy”.</w:t>
      </w:r>
      <w:r w:rsidR="00F5708E">
        <w:rPr>
          <w:rStyle w:val="FootnoteReference"/>
          <w:rFonts w:ascii="Garamond" w:hAnsi="Garamond"/>
          <w:sz w:val="24"/>
          <w:szCs w:val="24"/>
        </w:rPr>
        <w:footnoteReference w:id="29"/>
      </w:r>
      <w:r w:rsidR="00C75D50" w:rsidRPr="00C75D50">
        <w:rPr>
          <w:rFonts w:ascii="Garamond" w:hAnsi="Garamond"/>
          <w:sz w:val="24"/>
          <w:szCs w:val="24"/>
        </w:rPr>
        <w:t xml:space="preserve"> It has partly been the endeavour of theologians</w:t>
      </w:r>
      <w:r w:rsidR="00F07A04">
        <w:rPr>
          <w:rFonts w:ascii="Garamond" w:hAnsi="Garamond"/>
          <w:sz w:val="24"/>
          <w:szCs w:val="24"/>
        </w:rPr>
        <w:t>, Agamben notes,</w:t>
      </w:r>
      <w:r w:rsidR="00C75D50" w:rsidRPr="00C75D50">
        <w:rPr>
          <w:rFonts w:ascii="Garamond" w:hAnsi="Garamond"/>
          <w:sz w:val="24"/>
          <w:szCs w:val="24"/>
        </w:rPr>
        <w:t xml:space="preserve"> to articulate the principle by which both trinities can be conceived as inseparable.</w:t>
      </w:r>
      <w:r w:rsidR="00F07A04">
        <w:rPr>
          <w:rStyle w:val="FootnoteReference"/>
          <w:rFonts w:ascii="Garamond" w:hAnsi="Garamond"/>
          <w:sz w:val="24"/>
          <w:szCs w:val="24"/>
        </w:rPr>
        <w:footnoteReference w:id="30"/>
      </w:r>
      <w:r w:rsidR="00C75D50" w:rsidRPr="00C75D50">
        <w:rPr>
          <w:rFonts w:ascii="Garamond" w:hAnsi="Garamond"/>
          <w:sz w:val="24"/>
          <w:szCs w:val="24"/>
        </w:rPr>
        <w:t xml:space="preserve"> Agamben argues that the unity of being and praxis, or </w:t>
      </w:r>
      <w:r w:rsidR="00C75D50" w:rsidRPr="00C75D50">
        <w:rPr>
          <w:rFonts w:ascii="Garamond" w:hAnsi="Garamond"/>
          <w:i/>
          <w:iCs/>
          <w:sz w:val="24"/>
          <w:szCs w:val="24"/>
        </w:rPr>
        <w:t>theologia</w:t>
      </w:r>
      <w:r w:rsidR="00C75D50" w:rsidRPr="00C75D50">
        <w:rPr>
          <w:rFonts w:ascii="Garamond" w:hAnsi="Garamond"/>
          <w:sz w:val="24"/>
          <w:szCs w:val="24"/>
        </w:rPr>
        <w:t xml:space="preserve"> and </w:t>
      </w:r>
      <w:r w:rsidR="00C75D50" w:rsidRPr="00C75D50">
        <w:rPr>
          <w:rFonts w:ascii="Garamond" w:hAnsi="Garamond"/>
          <w:i/>
          <w:iCs/>
          <w:sz w:val="24"/>
          <w:szCs w:val="24"/>
        </w:rPr>
        <w:t>oikonomia</w:t>
      </w:r>
      <w:r w:rsidR="00C75D50" w:rsidRPr="00C75D50">
        <w:rPr>
          <w:rFonts w:ascii="Garamond" w:hAnsi="Garamond"/>
          <w:sz w:val="24"/>
          <w:szCs w:val="24"/>
        </w:rPr>
        <w:t xml:space="preserve">, is achieved in theology through glory. He cites that: </w:t>
      </w:r>
    </w:p>
    <w:p w14:paraId="3E2F6786" w14:textId="77777777" w:rsidR="00C75D50" w:rsidRPr="00C75D50" w:rsidRDefault="00C75D50" w:rsidP="00C75D50">
      <w:pPr>
        <w:spacing w:line="360" w:lineRule="auto"/>
        <w:jc w:val="both"/>
        <w:rPr>
          <w:rFonts w:ascii="Garamond" w:hAnsi="Garamond"/>
          <w:sz w:val="24"/>
          <w:szCs w:val="24"/>
        </w:rPr>
      </w:pPr>
    </w:p>
    <w:p w14:paraId="3BA34EE1" w14:textId="551CDFCE" w:rsidR="00C75D50" w:rsidRPr="00C75D50" w:rsidRDefault="00C75D50" w:rsidP="00C75D50">
      <w:pPr>
        <w:numPr>
          <w:ilvl w:val="0"/>
          <w:numId w:val="1"/>
        </w:numPr>
        <w:spacing w:line="360" w:lineRule="auto"/>
        <w:jc w:val="both"/>
        <w:rPr>
          <w:rFonts w:ascii="Garamond" w:hAnsi="Garamond"/>
          <w:sz w:val="24"/>
          <w:szCs w:val="24"/>
        </w:rPr>
      </w:pPr>
      <w:r w:rsidRPr="00C75D50">
        <w:rPr>
          <w:rFonts w:ascii="Garamond" w:hAnsi="Garamond"/>
          <w:sz w:val="24"/>
          <w:szCs w:val="24"/>
        </w:rPr>
        <w:t>“Real theology, which means the knowledge of God, finds expression in thanks, praise and adoration. There is no experience of salvation without</w:t>
      </w:r>
      <w:r w:rsidR="00A476EF" w:rsidRPr="00C75D50">
        <w:rPr>
          <w:rFonts w:ascii="Garamond" w:hAnsi="Garamond"/>
          <w:sz w:val="24"/>
          <w:szCs w:val="24"/>
        </w:rPr>
        <w:t xml:space="preserve"> </w:t>
      </w:r>
      <w:r w:rsidRPr="00C75D50">
        <w:rPr>
          <w:rFonts w:ascii="Garamond" w:hAnsi="Garamond"/>
          <w:sz w:val="24"/>
          <w:szCs w:val="24"/>
        </w:rPr>
        <w:t>the expression of that experience in thanks, praise and joy</w:t>
      </w:r>
      <w:r w:rsidR="00F07A04">
        <w:rPr>
          <w:rFonts w:ascii="Garamond" w:hAnsi="Garamond"/>
          <w:sz w:val="24"/>
          <w:szCs w:val="24"/>
        </w:rPr>
        <w:t>”</w:t>
      </w:r>
      <w:r w:rsidRPr="00C75D50">
        <w:rPr>
          <w:rFonts w:ascii="Garamond" w:hAnsi="Garamond"/>
          <w:sz w:val="24"/>
          <w:szCs w:val="24"/>
        </w:rPr>
        <w:t>.</w:t>
      </w:r>
      <w:r w:rsidR="00F07A04">
        <w:rPr>
          <w:rStyle w:val="FootnoteReference"/>
          <w:rFonts w:ascii="Garamond" w:hAnsi="Garamond"/>
          <w:sz w:val="24"/>
          <w:szCs w:val="24"/>
        </w:rPr>
        <w:footnoteReference w:id="31"/>
      </w:r>
      <w:r w:rsidRPr="00C75D50">
        <w:rPr>
          <w:rFonts w:ascii="Garamond" w:hAnsi="Garamond"/>
          <w:sz w:val="24"/>
          <w:szCs w:val="24"/>
        </w:rPr>
        <w:t xml:space="preserve"> </w:t>
      </w:r>
    </w:p>
    <w:p w14:paraId="0315E75B" w14:textId="77777777" w:rsidR="00C75D50" w:rsidRPr="00C75D50" w:rsidRDefault="00C75D50" w:rsidP="00C75D50">
      <w:pPr>
        <w:spacing w:line="360" w:lineRule="auto"/>
        <w:jc w:val="both"/>
        <w:rPr>
          <w:rFonts w:ascii="Garamond" w:hAnsi="Garamond"/>
          <w:sz w:val="24"/>
          <w:szCs w:val="24"/>
        </w:rPr>
      </w:pPr>
    </w:p>
    <w:p w14:paraId="528258C3" w14:textId="58D927B6" w:rsidR="00304232" w:rsidRDefault="00C75D50" w:rsidP="00C75D50">
      <w:pPr>
        <w:spacing w:line="360" w:lineRule="auto"/>
        <w:jc w:val="both"/>
        <w:rPr>
          <w:rFonts w:ascii="Garamond" w:hAnsi="Garamond"/>
          <w:sz w:val="24"/>
          <w:szCs w:val="24"/>
        </w:rPr>
      </w:pPr>
      <w:r w:rsidRPr="00770EE8">
        <w:rPr>
          <w:rFonts w:ascii="Garamond" w:hAnsi="Garamond"/>
          <w:sz w:val="24"/>
          <w:szCs w:val="24"/>
        </w:rPr>
        <w:t xml:space="preserve">Essentially, what is being said here is that </w:t>
      </w:r>
      <w:r w:rsidR="00ED071A">
        <w:rPr>
          <w:rFonts w:ascii="Garamond" w:hAnsi="Garamond"/>
          <w:sz w:val="24"/>
          <w:szCs w:val="24"/>
        </w:rPr>
        <w:t>through</w:t>
      </w:r>
      <w:r w:rsidRPr="00770EE8">
        <w:rPr>
          <w:rFonts w:ascii="Garamond" w:hAnsi="Garamond"/>
          <w:sz w:val="24"/>
          <w:szCs w:val="24"/>
        </w:rPr>
        <w:t xml:space="preserve"> glory, immanent trinity and economic trinity are congealed and interact with each other, manifesting a unified expression. The liturgical glorification of God’s being and praxis makes sense of the duality between immanence and economy — it generates a singular experience of the glory </w:t>
      </w:r>
      <w:r w:rsidR="00FF7982">
        <w:rPr>
          <w:rFonts w:ascii="Garamond" w:hAnsi="Garamond"/>
          <w:sz w:val="24"/>
          <w:szCs w:val="24"/>
        </w:rPr>
        <w:t>theorised</w:t>
      </w:r>
      <w:r w:rsidRPr="00770EE8">
        <w:rPr>
          <w:rFonts w:ascii="Garamond" w:hAnsi="Garamond"/>
          <w:sz w:val="24"/>
          <w:szCs w:val="24"/>
        </w:rPr>
        <w:t xml:space="preserve"> in both trinities.</w:t>
      </w:r>
      <w:r w:rsidR="00F07A04">
        <w:rPr>
          <w:rStyle w:val="FootnoteReference"/>
          <w:rFonts w:ascii="Garamond" w:hAnsi="Garamond"/>
          <w:sz w:val="24"/>
          <w:szCs w:val="24"/>
        </w:rPr>
        <w:footnoteReference w:id="32"/>
      </w:r>
      <w:r>
        <w:rPr>
          <w:rFonts w:ascii="Garamond" w:hAnsi="Garamond"/>
          <w:sz w:val="24"/>
          <w:szCs w:val="24"/>
        </w:rPr>
        <w:t xml:space="preserve"> However, </w:t>
      </w:r>
      <w:r w:rsidR="00F07A04">
        <w:rPr>
          <w:rFonts w:ascii="Garamond" w:hAnsi="Garamond"/>
          <w:sz w:val="24"/>
          <w:szCs w:val="24"/>
        </w:rPr>
        <w:t>one</w:t>
      </w:r>
      <w:r>
        <w:rPr>
          <w:rFonts w:ascii="Garamond" w:hAnsi="Garamond"/>
          <w:sz w:val="24"/>
          <w:szCs w:val="24"/>
        </w:rPr>
        <w:t xml:space="preserve"> can make a critical point here regarding the divine economy. Pappin </w:t>
      </w:r>
      <w:r w:rsidR="00304232">
        <w:rPr>
          <w:rFonts w:ascii="Garamond" w:hAnsi="Garamond"/>
          <w:sz w:val="24"/>
          <w:szCs w:val="24"/>
        </w:rPr>
        <w:t xml:space="preserve">observes that the implications of Agamben’s </w:t>
      </w:r>
      <w:r w:rsidRPr="00C75D50">
        <w:rPr>
          <w:rFonts w:ascii="Garamond" w:hAnsi="Garamond"/>
          <w:sz w:val="24"/>
          <w:szCs w:val="24"/>
        </w:rPr>
        <w:t xml:space="preserve">theological interrogation on </w:t>
      </w:r>
      <w:r w:rsidR="00304232">
        <w:rPr>
          <w:rFonts w:ascii="Garamond" w:hAnsi="Garamond"/>
          <w:sz w:val="24"/>
          <w:szCs w:val="24"/>
        </w:rPr>
        <w:t xml:space="preserve">the economy of God </w:t>
      </w:r>
      <w:r w:rsidR="00ED3CC5">
        <w:rPr>
          <w:rFonts w:ascii="Garamond" w:hAnsi="Garamond"/>
          <w:sz w:val="24"/>
          <w:szCs w:val="24"/>
        </w:rPr>
        <w:t xml:space="preserve">ultimately </w:t>
      </w:r>
      <w:r w:rsidR="00304232">
        <w:rPr>
          <w:rFonts w:ascii="Garamond" w:hAnsi="Garamond"/>
          <w:sz w:val="24"/>
          <w:szCs w:val="24"/>
        </w:rPr>
        <w:t xml:space="preserve">renders Him </w:t>
      </w:r>
      <w:r w:rsidRPr="00C75D50">
        <w:rPr>
          <w:rFonts w:ascii="Garamond" w:hAnsi="Garamond"/>
          <w:sz w:val="24"/>
          <w:szCs w:val="24"/>
        </w:rPr>
        <w:t xml:space="preserve">inoperative, meaning that He has nothing to do on </w:t>
      </w:r>
      <w:r w:rsidR="00304232">
        <w:rPr>
          <w:rFonts w:ascii="Garamond" w:hAnsi="Garamond"/>
          <w:sz w:val="24"/>
          <w:szCs w:val="24"/>
        </w:rPr>
        <w:t>H</w:t>
      </w:r>
      <w:r w:rsidRPr="00C75D50">
        <w:rPr>
          <w:rFonts w:ascii="Garamond" w:hAnsi="Garamond"/>
          <w:sz w:val="24"/>
          <w:szCs w:val="24"/>
        </w:rPr>
        <w:t xml:space="preserve">is own as </w:t>
      </w:r>
      <w:r w:rsidR="00304232">
        <w:rPr>
          <w:rFonts w:ascii="Garamond" w:hAnsi="Garamond"/>
          <w:sz w:val="24"/>
          <w:szCs w:val="24"/>
        </w:rPr>
        <w:t>the divine project of salvation is handed to Christ</w:t>
      </w:r>
      <w:r w:rsidRPr="00C75D50">
        <w:rPr>
          <w:rFonts w:ascii="Garamond" w:hAnsi="Garamond"/>
          <w:sz w:val="24"/>
          <w:szCs w:val="24"/>
        </w:rPr>
        <w:t>.</w:t>
      </w:r>
      <w:r w:rsidR="00ED3CC5">
        <w:rPr>
          <w:rStyle w:val="FootnoteReference"/>
          <w:rFonts w:ascii="Garamond" w:hAnsi="Garamond"/>
          <w:sz w:val="24"/>
          <w:szCs w:val="24"/>
        </w:rPr>
        <w:footnoteReference w:id="33"/>
      </w:r>
      <w:r w:rsidRPr="00C75D50">
        <w:rPr>
          <w:rFonts w:ascii="Garamond" w:hAnsi="Garamond"/>
          <w:sz w:val="24"/>
          <w:szCs w:val="24"/>
        </w:rPr>
        <w:t xml:space="preserve"> </w:t>
      </w:r>
      <w:r w:rsidR="00304232">
        <w:rPr>
          <w:rFonts w:ascii="Garamond" w:hAnsi="Garamond"/>
          <w:sz w:val="24"/>
          <w:szCs w:val="24"/>
        </w:rPr>
        <w:t xml:space="preserve">The emphasis that the liturgical glorification places on the divine economy hides the fact that </w:t>
      </w:r>
      <w:r w:rsidR="00ED071A">
        <w:rPr>
          <w:rFonts w:ascii="Garamond" w:hAnsi="Garamond"/>
          <w:sz w:val="24"/>
          <w:szCs w:val="24"/>
        </w:rPr>
        <w:t xml:space="preserve">aside from creation, God is completely inoperative in Himself. This is ultimately due to the fact that the work desired by God is </w:t>
      </w:r>
      <w:r w:rsidR="00AA07AC">
        <w:rPr>
          <w:rFonts w:ascii="Garamond" w:hAnsi="Garamond"/>
          <w:sz w:val="24"/>
          <w:szCs w:val="24"/>
        </w:rPr>
        <w:t>constituted</w:t>
      </w:r>
      <w:r w:rsidR="00ED071A">
        <w:rPr>
          <w:rFonts w:ascii="Garamond" w:hAnsi="Garamond"/>
          <w:sz w:val="24"/>
          <w:szCs w:val="24"/>
        </w:rPr>
        <w:t xml:space="preserve"> by an oikonomia, wherein various tasks are distributed to angelic agents or religious ministers here on earth. And yet, the consequence of this managerial ordering implies that God is inactive</w:t>
      </w:r>
      <w:r w:rsidR="00FF7982">
        <w:rPr>
          <w:rFonts w:ascii="Garamond" w:hAnsi="Garamond"/>
          <w:sz w:val="24"/>
          <w:szCs w:val="24"/>
        </w:rPr>
        <w:t>.</w:t>
      </w:r>
      <w:r w:rsidR="00ED3CC5">
        <w:rPr>
          <w:rStyle w:val="FootnoteReference"/>
          <w:rFonts w:ascii="Garamond" w:hAnsi="Garamond"/>
          <w:sz w:val="24"/>
          <w:szCs w:val="24"/>
        </w:rPr>
        <w:footnoteReference w:id="34"/>
      </w:r>
      <w:r w:rsidR="00FF7982">
        <w:rPr>
          <w:rFonts w:ascii="Garamond" w:hAnsi="Garamond"/>
          <w:sz w:val="24"/>
          <w:szCs w:val="24"/>
        </w:rPr>
        <w:t xml:space="preserve"> </w:t>
      </w:r>
      <w:r w:rsidR="00B41AF7">
        <w:rPr>
          <w:rFonts w:ascii="Garamond" w:hAnsi="Garamond"/>
          <w:sz w:val="24"/>
          <w:szCs w:val="24"/>
        </w:rPr>
        <w:t>I</w:t>
      </w:r>
      <w:r w:rsidR="00854A9D">
        <w:rPr>
          <w:rFonts w:ascii="Garamond" w:hAnsi="Garamond"/>
          <w:sz w:val="24"/>
          <w:szCs w:val="24"/>
        </w:rPr>
        <w:t xml:space="preserve">t is </w:t>
      </w:r>
      <w:r w:rsidR="00B41AF7">
        <w:rPr>
          <w:rFonts w:ascii="Garamond" w:hAnsi="Garamond"/>
          <w:sz w:val="24"/>
          <w:szCs w:val="24"/>
        </w:rPr>
        <w:t xml:space="preserve">essentially </w:t>
      </w:r>
      <w:r w:rsidR="00854A9D">
        <w:rPr>
          <w:rFonts w:ascii="Garamond" w:hAnsi="Garamond"/>
          <w:sz w:val="24"/>
          <w:szCs w:val="24"/>
        </w:rPr>
        <w:t xml:space="preserve">an issue that is glossed over </w:t>
      </w:r>
      <w:r w:rsidR="00D33F82">
        <w:rPr>
          <w:rFonts w:ascii="Garamond" w:hAnsi="Garamond"/>
          <w:sz w:val="24"/>
          <w:szCs w:val="24"/>
        </w:rPr>
        <w:t xml:space="preserve">or concealed </w:t>
      </w:r>
      <w:r w:rsidR="00854A9D">
        <w:rPr>
          <w:rFonts w:ascii="Garamond" w:hAnsi="Garamond"/>
          <w:sz w:val="24"/>
          <w:szCs w:val="24"/>
        </w:rPr>
        <w:t xml:space="preserve">by the liturgical glorification that ironically generates </w:t>
      </w:r>
      <w:r w:rsidR="00D33F82">
        <w:rPr>
          <w:rFonts w:ascii="Garamond" w:hAnsi="Garamond"/>
          <w:sz w:val="24"/>
          <w:szCs w:val="24"/>
        </w:rPr>
        <w:t xml:space="preserve">a unified expression. </w:t>
      </w:r>
      <w:r w:rsidR="005D2180">
        <w:rPr>
          <w:rFonts w:ascii="Garamond" w:hAnsi="Garamond"/>
          <w:sz w:val="24"/>
          <w:szCs w:val="24"/>
        </w:rPr>
        <w:t xml:space="preserve">It </w:t>
      </w:r>
      <w:r w:rsidR="0089068D">
        <w:rPr>
          <w:rFonts w:ascii="Garamond" w:hAnsi="Garamond"/>
          <w:sz w:val="24"/>
          <w:szCs w:val="24"/>
        </w:rPr>
        <w:t xml:space="preserve">will become clear that the function of glory in the contemporary world </w:t>
      </w:r>
      <w:r w:rsidR="005E44D3">
        <w:rPr>
          <w:rFonts w:ascii="Garamond" w:hAnsi="Garamond"/>
          <w:sz w:val="24"/>
          <w:szCs w:val="24"/>
        </w:rPr>
        <w:t xml:space="preserve">is </w:t>
      </w:r>
      <w:r w:rsidR="00ED071A">
        <w:rPr>
          <w:rFonts w:ascii="Garamond" w:hAnsi="Garamond"/>
          <w:sz w:val="24"/>
          <w:szCs w:val="24"/>
        </w:rPr>
        <w:t xml:space="preserve">  </w:t>
      </w:r>
    </w:p>
    <w:p w14:paraId="637E09C6" w14:textId="538F93A8" w:rsidR="00C75D50" w:rsidRDefault="00C75D50" w:rsidP="00C75D50">
      <w:pPr>
        <w:spacing w:line="360" w:lineRule="auto"/>
        <w:jc w:val="both"/>
        <w:rPr>
          <w:rFonts w:ascii="Garamond" w:hAnsi="Garamond"/>
          <w:sz w:val="24"/>
          <w:szCs w:val="24"/>
        </w:rPr>
      </w:pPr>
    </w:p>
    <w:p w14:paraId="79B4140B" w14:textId="77777777" w:rsidR="00E37584" w:rsidRDefault="005E44D3" w:rsidP="00BD79C4">
      <w:pPr>
        <w:spacing w:line="360" w:lineRule="auto"/>
        <w:jc w:val="both"/>
        <w:rPr>
          <w:rFonts w:ascii="Garamond" w:hAnsi="Garamond"/>
          <w:sz w:val="24"/>
          <w:szCs w:val="24"/>
        </w:rPr>
      </w:pPr>
      <w:r>
        <w:rPr>
          <w:rFonts w:ascii="Garamond" w:hAnsi="Garamond"/>
          <w:sz w:val="24"/>
          <w:szCs w:val="24"/>
        </w:rPr>
        <w:t xml:space="preserve">The function of glory </w:t>
      </w:r>
      <w:r w:rsidR="008852CE">
        <w:rPr>
          <w:rFonts w:ascii="Garamond" w:hAnsi="Garamond"/>
          <w:sz w:val="24"/>
          <w:szCs w:val="24"/>
        </w:rPr>
        <w:t xml:space="preserve">in the religious sense hides an inoperative God, but it will </w:t>
      </w:r>
      <w:r w:rsidR="0047402C">
        <w:rPr>
          <w:rFonts w:ascii="Garamond" w:hAnsi="Garamond"/>
          <w:sz w:val="24"/>
          <w:szCs w:val="24"/>
        </w:rPr>
        <w:t>also become clear that the modern state utilises glory for a similar affect.</w:t>
      </w:r>
      <w:r w:rsidR="00ED071A" w:rsidRPr="00ED071A">
        <w:rPr>
          <w:rFonts w:ascii="Garamond" w:hAnsi="Garamond"/>
          <w:sz w:val="24"/>
          <w:szCs w:val="24"/>
        </w:rPr>
        <w:t xml:space="preserve"> Agamben draws the connection between the theological polarities described above and the polarities of contemporary government. His genealogical analysis traverses various </w:t>
      </w:r>
      <w:r w:rsidR="00FF7982">
        <w:rPr>
          <w:rFonts w:ascii="Garamond" w:hAnsi="Garamond"/>
          <w:sz w:val="24"/>
          <w:szCs w:val="24"/>
        </w:rPr>
        <w:t xml:space="preserve">theological interrogations, but what he ultimately </w:t>
      </w:r>
      <w:r w:rsidR="002C1381">
        <w:rPr>
          <w:rFonts w:ascii="Garamond" w:hAnsi="Garamond"/>
          <w:sz w:val="24"/>
          <w:szCs w:val="24"/>
        </w:rPr>
        <w:t>concludes is that the economic apparatus of the modern state is predicated on the economic trinity of Christian theology.</w:t>
      </w:r>
      <w:r w:rsidR="0047402C">
        <w:rPr>
          <w:rStyle w:val="FootnoteReference"/>
          <w:rFonts w:ascii="Garamond" w:hAnsi="Garamond"/>
          <w:sz w:val="24"/>
          <w:szCs w:val="24"/>
        </w:rPr>
        <w:footnoteReference w:id="35"/>
      </w:r>
      <w:r w:rsidR="002C1381">
        <w:rPr>
          <w:rFonts w:ascii="Garamond" w:hAnsi="Garamond"/>
          <w:sz w:val="24"/>
          <w:szCs w:val="24"/>
        </w:rPr>
        <w:t xml:space="preserve"> </w:t>
      </w:r>
      <w:r w:rsidR="00CE3D3B">
        <w:rPr>
          <w:rFonts w:ascii="Garamond" w:hAnsi="Garamond"/>
          <w:sz w:val="24"/>
          <w:szCs w:val="24"/>
        </w:rPr>
        <w:t>One reason for this is that they both share an inherent doxology, which Agamben views as being fundamental</w:t>
      </w:r>
      <w:r w:rsidR="00A476EF">
        <w:rPr>
          <w:rFonts w:ascii="Garamond" w:hAnsi="Garamond"/>
          <w:sz w:val="24"/>
          <w:szCs w:val="24"/>
        </w:rPr>
        <w:t>ly</w:t>
      </w:r>
      <w:r w:rsidR="00CE3D3B">
        <w:rPr>
          <w:rFonts w:ascii="Garamond" w:hAnsi="Garamond"/>
          <w:sz w:val="24"/>
          <w:szCs w:val="24"/>
        </w:rPr>
        <w:t xml:space="preserve"> at the core of economic relations.</w:t>
      </w:r>
      <w:r w:rsidR="0047402C">
        <w:rPr>
          <w:rStyle w:val="FootnoteReference"/>
          <w:rFonts w:ascii="Garamond" w:hAnsi="Garamond"/>
          <w:sz w:val="24"/>
          <w:szCs w:val="24"/>
        </w:rPr>
        <w:footnoteReference w:id="36"/>
      </w:r>
      <w:r w:rsidR="00CE3D3B">
        <w:rPr>
          <w:rFonts w:ascii="Garamond" w:hAnsi="Garamond"/>
          <w:sz w:val="24"/>
          <w:szCs w:val="24"/>
        </w:rPr>
        <w:t xml:space="preserve"> Moreover, the modern democratic state </w:t>
      </w:r>
      <w:r w:rsidR="00A476EF">
        <w:rPr>
          <w:rFonts w:ascii="Garamond" w:hAnsi="Garamond"/>
          <w:sz w:val="24"/>
          <w:szCs w:val="24"/>
        </w:rPr>
        <w:t xml:space="preserve">not only </w:t>
      </w:r>
      <w:r w:rsidR="00CE3D3B">
        <w:rPr>
          <w:rFonts w:ascii="Garamond" w:hAnsi="Garamond"/>
          <w:sz w:val="24"/>
          <w:szCs w:val="24"/>
        </w:rPr>
        <w:t>promotes its glory</w:t>
      </w:r>
      <w:r w:rsidR="00A476EF">
        <w:rPr>
          <w:rFonts w:ascii="Garamond" w:hAnsi="Garamond"/>
          <w:sz w:val="24"/>
          <w:szCs w:val="24"/>
        </w:rPr>
        <w:t xml:space="preserve">, but </w:t>
      </w:r>
      <w:r w:rsidR="00861C9A">
        <w:rPr>
          <w:rFonts w:ascii="Garamond" w:hAnsi="Garamond"/>
          <w:sz w:val="24"/>
          <w:szCs w:val="24"/>
        </w:rPr>
        <w:t xml:space="preserve">it </w:t>
      </w:r>
      <w:r w:rsidR="00A476EF">
        <w:rPr>
          <w:rFonts w:ascii="Garamond" w:hAnsi="Garamond"/>
          <w:sz w:val="24"/>
          <w:szCs w:val="24"/>
        </w:rPr>
        <w:t xml:space="preserve">also </w:t>
      </w:r>
      <w:r w:rsidR="003C57A0">
        <w:rPr>
          <w:rFonts w:ascii="Garamond" w:hAnsi="Garamond"/>
          <w:sz w:val="24"/>
          <w:szCs w:val="24"/>
        </w:rPr>
        <w:t xml:space="preserve">makes its people inoperative. </w:t>
      </w:r>
      <w:r w:rsidR="009D5F80">
        <w:rPr>
          <w:rFonts w:ascii="Garamond" w:hAnsi="Garamond"/>
          <w:sz w:val="24"/>
          <w:szCs w:val="24"/>
        </w:rPr>
        <w:t>It is true that the state defines t</w:t>
      </w:r>
      <w:r w:rsidR="00035DCA">
        <w:rPr>
          <w:rFonts w:ascii="Garamond" w:hAnsi="Garamond"/>
          <w:sz w:val="24"/>
          <w:szCs w:val="24"/>
        </w:rPr>
        <w:t xml:space="preserve">he distinction between the sovereignty of its individuals and the </w:t>
      </w:r>
      <w:r w:rsidR="001411F8">
        <w:rPr>
          <w:rFonts w:ascii="Garamond" w:hAnsi="Garamond"/>
          <w:sz w:val="24"/>
          <w:szCs w:val="24"/>
        </w:rPr>
        <w:t xml:space="preserve">governmental </w:t>
      </w:r>
      <w:r w:rsidR="001411F8">
        <w:rPr>
          <w:rFonts w:ascii="Garamond" w:hAnsi="Garamond"/>
          <w:sz w:val="24"/>
          <w:szCs w:val="24"/>
        </w:rPr>
        <w:lastRenderedPageBreak/>
        <w:t xml:space="preserve">structure that serves them, but the </w:t>
      </w:r>
      <w:r w:rsidR="008641D7">
        <w:rPr>
          <w:rFonts w:ascii="Garamond" w:hAnsi="Garamond"/>
          <w:sz w:val="24"/>
          <w:szCs w:val="24"/>
        </w:rPr>
        <w:t xml:space="preserve">tendency </w:t>
      </w:r>
      <w:r w:rsidR="0058184F">
        <w:rPr>
          <w:rFonts w:ascii="Garamond" w:hAnsi="Garamond"/>
          <w:sz w:val="24"/>
          <w:szCs w:val="24"/>
        </w:rPr>
        <w:t>is to consume all power for itself.</w:t>
      </w:r>
      <w:r w:rsidR="009E7EDE">
        <w:rPr>
          <w:rStyle w:val="FootnoteReference"/>
          <w:rFonts w:ascii="Garamond" w:hAnsi="Garamond"/>
          <w:sz w:val="24"/>
          <w:szCs w:val="24"/>
        </w:rPr>
        <w:footnoteReference w:id="37"/>
      </w:r>
      <w:r w:rsidR="0058184F">
        <w:rPr>
          <w:rFonts w:ascii="Garamond" w:hAnsi="Garamond"/>
          <w:sz w:val="24"/>
          <w:szCs w:val="24"/>
        </w:rPr>
        <w:t xml:space="preserve"> </w:t>
      </w:r>
      <w:r w:rsidR="00ED114D">
        <w:rPr>
          <w:rFonts w:ascii="Garamond" w:hAnsi="Garamond"/>
          <w:sz w:val="24"/>
          <w:szCs w:val="24"/>
        </w:rPr>
        <w:t>In the theological economy of God</w:t>
      </w:r>
      <w:r w:rsidR="003113FE">
        <w:rPr>
          <w:rFonts w:ascii="Garamond" w:hAnsi="Garamond"/>
          <w:sz w:val="24"/>
          <w:szCs w:val="24"/>
        </w:rPr>
        <w:t>,</w:t>
      </w:r>
      <w:r w:rsidR="00ED114D">
        <w:rPr>
          <w:rFonts w:ascii="Garamond" w:hAnsi="Garamond"/>
          <w:sz w:val="24"/>
          <w:szCs w:val="24"/>
        </w:rPr>
        <w:t xml:space="preserve"> we see a reliance </w:t>
      </w:r>
      <w:r w:rsidR="00F977ED">
        <w:rPr>
          <w:rFonts w:ascii="Garamond" w:hAnsi="Garamond"/>
          <w:sz w:val="24"/>
          <w:szCs w:val="24"/>
        </w:rPr>
        <w:t xml:space="preserve">placed </w:t>
      </w:r>
      <w:r w:rsidR="00ED114D">
        <w:rPr>
          <w:rFonts w:ascii="Garamond" w:hAnsi="Garamond"/>
          <w:sz w:val="24"/>
          <w:szCs w:val="24"/>
        </w:rPr>
        <w:t xml:space="preserve">on </w:t>
      </w:r>
      <w:r w:rsidR="00105871">
        <w:rPr>
          <w:rFonts w:ascii="Garamond" w:hAnsi="Garamond"/>
          <w:sz w:val="24"/>
          <w:szCs w:val="24"/>
        </w:rPr>
        <w:t xml:space="preserve">the </w:t>
      </w:r>
      <w:r w:rsidR="00296FE8">
        <w:rPr>
          <w:rFonts w:ascii="Garamond" w:hAnsi="Garamond"/>
          <w:sz w:val="24"/>
          <w:szCs w:val="24"/>
        </w:rPr>
        <w:t>distribution of divine</w:t>
      </w:r>
      <w:r w:rsidR="00FC5DDA">
        <w:rPr>
          <w:rFonts w:ascii="Garamond" w:hAnsi="Garamond"/>
          <w:sz w:val="24"/>
          <w:szCs w:val="24"/>
        </w:rPr>
        <w:t xml:space="preserve"> tasks and duties </w:t>
      </w:r>
      <w:r w:rsidR="00AE70C8">
        <w:rPr>
          <w:rFonts w:ascii="Garamond" w:hAnsi="Garamond"/>
          <w:sz w:val="24"/>
          <w:szCs w:val="24"/>
        </w:rPr>
        <w:t xml:space="preserve">that are </w:t>
      </w:r>
      <w:r w:rsidR="00FC5DDA">
        <w:rPr>
          <w:rFonts w:ascii="Garamond" w:hAnsi="Garamond"/>
          <w:sz w:val="24"/>
          <w:szCs w:val="24"/>
        </w:rPr>
        <w:t xml:space="preserve">carried out by </w:t>
      </w:r>
      <w:r w:rsidR="00AF4F49">
        <w:rPr>
          <w:rFonts w:ascii="Garamond" w:hAnsi="Garamond"/>
          <w:sz w:val="24"/>
          <w:szCs w:val="24"/>
        </w:rPr>
        <w:t>intermediaries and secondary causes</w:t>
      </w:r>
      <w:r w:rsidR="003113FE">
        <w:rPr>
          <w:rFonts w:ascii="Garamond" w:hAnsi="Garamond"/>
          <w:sz w:val="24"/>
          <w:szCs w:val="24"/>
        </w:rPr>
        <w:t>.</w:t>
      </w:r>
      <w:r w:rsidR="00DC2669">
        <w:rPr>
          <w:rFonts w:ascii="Garamond" w:hAnsi="Garamond"/>
          <w:sz w:val="24"/>
          <w:szCs w:val="24"/>
        </w:rPr>
        <w:t xml:space="preserve"> </w:t>
      </w:r>
      <w:r w:rsidR="003113FE">
        <w:rPr>
          <w:rFonts w:ascii="Garamond" w:hAnsi="Garamond"/>
          <w:sz w:val="24"/>
          <w:szCs w:val="24"/>
        </w:rPr>
        <w:t>M</w:t>
      </w:r>
      <w:r w:rsidR="005E198D">
        <w:rPr>
          <w:rFonts w:ascii="Garamond" w:hAnsi="Garamond"/>
          <w:sz w:val="24"/>
          <w:szCs w:val="24"/>
        </w:rPr>
        <w:t xml:space="preserve">embers of the household </w:t>
      </w:r>
      <w:r w:rsidR="001925CC">
        <w:rPr>
          <w:rFonts w:ascii="Garamond" w:hAnsi="Garamond"/>
          <w:sz w:val="24"/>
          <w:szCs w:val="24"/>
        </w:rPr>
        <w:t xml:space="preserve">keep </w:t>
      </w:r>
      <w:r w:rsidR="003F680E">
        <w:rPr>
          <w:rFonts w:ascii="Garamond" w:hAnsi="Garamond"/>
          <w:sz w:val="24"/>
          <w:szCs w:val="24"/>
        </w:rPr>
        <w:t>the machine</w:t>
      </w:r>
      <w:r w:rsidR="001925CC">
        <w:rPr>
          <w:rFonts w:ascii="Garamond" w:hAnsi="Garamond"/>
          <w:sz w:val="24"/>
          <w:szCs w:val="24"/>
        </w:rPr>
        <w:t xml:space="preserve"> running by </w:t>
      </w:r>
      <w:r w:rsidR="003113FE">
        <w:rPr>
          <w:rFonts w:ascii="Garamond" w:hAnsi="Garamond"/>
          <w:sz w:val="24"/>
          <w:szCs w:val="24"/>
        </w:rPr>
        <w:t xml:space="preserve">performing </w:t>
      </w:r>
      <w:r w:rsidR="001925CC">
        <w:rPr>
          <w:rFonts w:ascii="Garamond" w:hAnsi="Garamond"/>
          <w:sz w:val="24"/>
          <w:szCs w:val="24"/>
        </w:rPr>
        <w:t>the various jobs allocated to them</w:t>
      </w:r>
      <w:r w:rsidR="00576642">
        <w:rPr>
          <w:rFonts w:ascii="Garamond" w:hAnsi="Garamond"/>
          <w:sz w:val="24"/>
          <w:szCs w:val="24"/>
        </w:rPr>
        <w:t xml:space="preserve">, but as we have seen in the case of Christian theology, the </w:t>
      </w:r>
      <w:r w:rsidR="00B51AC2">
        <w:rPr>
          <w:rFonts w:ascii="Garamond" w:hAnsi="Garamond"/>
          <w:sz w:val="24"/>
          <w:szCs w:val="24"/>
        </w:rPr>
        <w:t xml:space="preserve">glorious ontological dimension is </w:t>
      </w:r>
      <w:r w:rsidR="00F86444">
        <w:rPr>
          <w:rFonts w:ascii="Garamond" w:hAnsi="Garamond"/>
          <w:sz w:val="24"/>
          <w:szCs w:val="24"/>
        </w:rPr>
        <w:t xml:space="preserve">completely attached to the economic, </w:t>
      </w:r>
      <w:r w:rsidR="000E2FE6">
        <w:rPr>
          <w:rFonts w:ascii="Garamond" w:hAnsi="Garamond"/>
          <w:sz w:val="24"/>
          <w:szCs w:val="24"/>
        </w:rPr>
        <w:t xml:space="preserve">which </w:t>
      </w:r>
      <w:r w:rsidR="003A144A">
        <w:rPr>
          <w:rFonts w:ascii="Garamond" w:hAnsi="Garamond"/>
          <w:sz w:val="24"/>
          <w:szCs w:val="24"/>
        </w:rPr>
        <w:t xml:space="preserve">is to say, </w:t>
      </w:r>
      <w:r w:rsidR="00FD120A">
        <w:rPr>
          <w:rFonts w:ascii="Garamond" w:hAnsi="Garamond"/>
          <w:sz w:val="24"/>
          <w:szCs w:val="24"/>
        </w:rPr>
        <w:t xml:space="preserve">the economy of salvation is </w:t>
      </w:r>
      <w:r w:rsidR="00DA2802">
        <w:rPr>
          <w:rFonts w:ascii="Garamond" w:hAnsi="Garamond"/>
          <w:sz w:val="24"/>
          <w:szCs w:val="24"/>
        </w:rPr>
        <w:t>the desire of</w:t>
      </w:r>
      <w:r w:rsidR="0050505E">
        <w:rPr>
          <w:rFonts w:ascii="Garamond" w:hAnsi="Garamond"/>
          <w:sz w:val="24"/>
          <w:szCs w:val="24"/>
        </w:rPr>
        <w:t xml:space="preserve"> </w:t>
      </w:r>
      <w:r w:rsidR="00DA2802">
        <w:rPr>
          <w:rFonts w:ascii="Garamond" w:hAnsi="Garamond"/>
          <w:sz w:val="24"/>
          <w:szCs w:val="24"/>
        </w:rPr>
        <w:t xml:space="preserve">a </w:t>
      </w:r>
      <w:r w:rsidR="0050505E">
        <w:rPr>
          <w:rFonts w:ascii="Garamond" w:hAnsi="Garamond"/>
          <w:sz w:val="24"/>
          <w:szCs w:val="24"/>
        </w:rPr>
        <w:t xml:space="preserve">sovereign </w:t>
      </w:r>
      <w:r w:rsidR="005C31A6">
        <w:rPr>
          <w:rFonts w:ascii="Garamond" w:hAnsi="Garamond"/>
          <w:sz w:val="24"/>
          <w:szCs w:val="24"/>
        </w:rPr>
        <w:t xml:space="preserve">and transcendent </w:t>
      </w:r>
      <w:r w:rsidR="0050505E">
        <w:rPr>
          <w:rFonts w:ascii="Garamond" w:hAnsi="Garamond"/>
          <w:sz w:val="24"/>
          <w:szCs w:val="24"/>
        </w:rPr>
        <w:t>being</w:t>
      </w:r>
      <w:r w:rsidR="003113FE">
        <w:rPr>
          <w:rFonts w:ascii="Garamond" w:hAnsi="Garamond"/>
          <w:sz w:val="24"/>
          <w:szCs w:val="24"/>
        </w:rPr>
        <w:t>.</w:t>
      </w:r>
    </w:p>
    <w:p w14:paraId="0660F8AA" w14:textId="77777777" w:rsidR="00E37584" w:rsidRDefault="00E37584" w:rsidP="00BD79C4">
      <w:pPr>
        <w:spacing w:line="360" w:lineRule="auto"/>
        <w:jc w:val="both"/>
        <w:rPr>
          <w:rFonts w:ascii="Garamond" w:hAnsi="Garamond"/>
          <w:sz w:val="24"/>
          <w:szCs w:val="24"/>
        </w:rPr>
      </w:pPr>
    </w:p>
    <w:p w14:paraId="539F7377" w14:textId="42DC75B5" w:rsidR="00BD79C4" w:rsidRDefault="00BD79C4" w:rsidP="00BD79C4">
      <w:pPr>
        <w:spacing w:line="360" w:lineRule="auto"/>
        <w:jc w:val="both"/>
        <w:rPr>
          <w:rFonts w:ascii="Garamond" w:hAnsi="Garamond"/>
          <w:sz w:val="24"/>
          <w:szCs w:val="24"/>
        </w:rPr>
      </w:pPr>
      <w:r>
        <w:rPr>
          <w:rFonts w:ascii="Garamond" w:hAnsi="Garamond"/>
          <w:sz w:val="24"/>
          <w:szCs w:val="24"/>
        </w:rPr>
        <w:t xml:space="preserve">Similarly, </w:t>
      </w:r>
      <w:r w:rsidRPr="00BD79C4">
        <w:rPr>
          <w:rFonts w:ascii="Garamond" w:hAnsi="Garamond"/>
          <w:sz w:val="24"/>
          <w:szCs w:val="24"/>
        </w:rPr>
        <w:t>Agamben notes how political power is perpetuated by various intermediaries in contemporary society, like how the intermediaries of God’s divine council oversee His work.</w:t>
      </w:r>
      <w:r w:rsidR="00342885">
        <w:rPr>
          <w:rStyle w:val="FootnoteReference"/>
          <w:rFonts w:ascii="Garamond" w:hAnsi="Garamond"/>
          <w:sz w:val="24"/>
          <w:szCs w:val="24"/>
        </w:rPr>
        <w:footnoteReference w:id="38"/>
      </w:r>
      <w:r w:rsidRPr="00BD79C4">
        <w:rPr>
          <w:rFonts w:ascii="Garamond" w:hAnsi="Garamond"/>
          <w:sz w:val="24"/>
          <w:szCs w:val="24"/>
        </w:rPr>
        <w:t xml:space="preserve"> </w:t>
      </w:r>
      <w:r w:rsidR="008F043D">
        <w:rPr>
          <w:rFonts w:ascii="Garamond" w:hAnsi="Garamond"/>
          <w:sz w:val="24"/>
          <w:szCs w:val="24"/>
        </w:rPr>
        <w:t>First,</w:t>
      </w:r>
      <w:r w:rsidRPr="00BD79C4">
        <w:rPr>
          <w:rFonts w:ascii="Garamond" w:hAnsi="Garamond"/>
          <w:sz w:val="24"/>
          <w:szCs w:val="24"/>
        </w:rPr>
        <w:t xml:space="preserve"> Agamben draws the parallels between bureaucracy and political power as the inherent structural imitation of the angels and how their role is to act as mediators or ministers</w:t>
      </w:r>
      <w:r w:rsidR="008F043D">
        <w:rPr>
          <w:rFonts w:ascii="Garamond" w:hAnsi="Garamond"/>
          <w:sz w:val="24"/>
          <w:szCs w:val="24"/>
        </w:rPr>
        <w:t>,</w:t>
      </w:r>
      <w:r w:rsidRPr="00BD79C4">
        <w:rPr>
          <w:rFonts w:ascii="Garamond" w:hAnsi="Garamond"/>
          <w:sz w:val="24"/>
          <w:szCs w:val="24"/>
        </w:rPr>
        <w:t xml:space="preserve"> which </w:t>
      </w:r>
      <w:r w:rsidR="00606DAF">
        <w:rPr>
          <w:rFonts w:ascii="Garamond" w:hAnsi="Garamond"/>
          <w:sz w:val="24"/>
          <w:szCs w:val="24"/>
        </w:rPr>
        <w:t xml:space="preserve">we have seen, </w:t>
      </w:r>
      <w:r w:rsidRPr="00BD79C4">
        <w:rPr>
          <w:rFonts w:ascii="Garamond" w:hAnsi="Garamond"/>
          <w:sz w:val="24"/>
          <w:szCs w:val="24"/>
        </w:rPr>
        <w:t xml:space="preserve">are called upon to implement desired outcomes here on </w:t>
      </w:r>
      <w:r>
        <w:rPr>
          <w:rFonts w:ascii="Garamond" w:hAnsi="Garamond"/>
          <w:sz w:val="24"/>
          <w:szCs w:val="24"/>
        </w:rPr>
        <w:t>e</w:t>
      </w:r>
      <w:r w:rsidRPr="00BD79C4">
        <w:rPr>
          <w:rFonts w:ascii="Garamond" w:hAnsi="Garamond"/>
          <w:sz w:val="24"/>
          <w:szCs w:val="24"/>
        </w:rPr>
        <w:t xml:space="preserve">arth. </w:t>
      </w:r>
      <w:r w:rsidR="00606DAF">
        <w:rPr>
          <w:rFonts w:ascii="Garamond" w:hAnsi="Garamond"/>
          <w:sz w:val="24"/>
          <w:szCs w:val="24"/>
        </w:rPr>
        <w:t xml:space="preserve">Secondly, </w:t>
      </w:r>
      <w:r w:rsidRPr="00BD79C4">
        <w:rPr>
          <w:rFonts w:ascii="Garamond" w:hAnsi="Garamond"/>
          <w:sz w:val="24"/>
          <w:szCs w:val="24"/>
        </w:rPr>
        <w:t>the function of national media and democratic polling in contemporary society reflect the “medieval need for a liturgy of glorification”.</w:t>
      </w:r>
      <w:r w:rsidR="00635D17">
        <w:rPr>
          <w:rStyle w:val="FootnoteReference"/>
          <w:rFonts w:ascii="Garamond" w:hAnsi="Garamond"/>
          <w:sz w:val="24"/>
          <w:szCs w:val="24"/>
        </w:rPr>
        <w:footnoteReference w:id="39"/>
      </w:r>
      <w:r w:rsidRPr="00BD79C4">
        <w:rPr>
          <w:rFonts w:ascii="Garamond" w:hAnsi="Garamond"/>
          <w:sz w:val="24"/>
          <w:szCs w:val="24"/>
        </w:rPr>
        <w:t xml:space="preserve"> The spectacle of media has a glorious element, </w:t>
      </w:r>
      <w:r w:rsidR="00DE20FE">
        <w:rPr>
          <w:rFonts w:ascii="Garamond" w:hAnsi="Garamond"/>
          <w:sz w:val="24"/>
          <w:szCs w:val="24"/>
        </w:rPr>
        <w:t>but it remains nonetheless an agent of the state</w:t>
      </w:r>
      <w:r w:rsidR="00637BF4">
        <w:rPr>
          <w:rFonts w:ascii="Garamond" w:hAnsi="Garamond"/>
          <w:sz w:val="24"/>
          <w:szCs w:val="24"/>
        </w:rPr>
        <w:t xml:space="preserve"> and operates in such a way as to perpetuate</w:t>
      </w:r>
      <w:r w:rsidR="00BB24A8">
        <w:rPr>
          <w:rFonts w:ascii="Garamond" w:hAnsi="Garamond"/>
          <w:sz w:val="24"/>
          <w:szCs w:val="24"/>
        </w:rPr>
        <w:t xml:space="preserve"> the ideals of the machine</w:t>
      </w:r>
      <w:r w:rsidRPr="00BD79C4">
        <w:rPr>
          <w:rFonts w:ascii="Garamond" w:hAnsi="Garamond"/>
          <w:sz w:val="24"/>
          <w:szCs w:val="24"/>
        </w:rPr>
        <w:t>.</w:t>
      </w:r>
      <w:r w:rsidR="00090A7E">
        <w:rPr>
          <w:rFonts w:ascii="Garamond" w:hAnsi="Garamond"/>
          <w:sz w:val="24"/>
          <w:szCs w:val="24"/>
        </w:rPr>
        <w:t xml:space="preserve"> </w:t>
      </w:r>
      <w:r w:rsidR="00A0174C">
        <w:rPr>
          <w:rFonts w:ascii="Garamond" w:hAnsi="Garamond"/>
          <w:sz w:val="24"/>
          <w:szCs w:val="24"/>
        </w:rPr>
        <w:t>Agamben holds the view that t</w:t>
      </w:r>
      <w:r w:rsidRPr="00BD79C4">
        <w:rPr>
          <w:rFonts w:ascii="Garamond" w:hAnsi="Garamond"/>
          <w:sz w:val="24"/>
          <w:szCs w:val="24"/>
        </w:rPr>
        <w:t xml:space="preserve">he </w:t>
      </w:r>
      <w:r w:rsidR="00090A7E">
        <w:rPr>
          <w:rFonts w:ascii="Garamond" w:hAnsi="Garamond"/>
          <w:sz w:val="24"/>
          <w:szCs w:val="24"/>
        </w:rPr>
        <w:t>managerial principle</w:t>
      </w:r>
      <w:r w:rsidRPr="00BD79C4">
        <w:rPr>
          <w:rFonts w:ascii="Garamond" w:hAnsi="Garamond"/>
          <w:sz w:val="24"/>
          <w:szCs w:val="24"/>
        </w:rPr>
        <w:t xml:space="preserve"> that permeates the religious and political domains ultimately hide the lack of human sovereignty</w:t>
      </w:r>
      <w:r w:rsidR="00741D3D">
        <w:rPr>
          <w:rFonts w:ascii="Garamond" w:hAnsi="Garamond"/>
          <w:sz w:val="24"/>
          <w:szCs w:val="24"/>
        </w:rPr>
        <w:t xml:space="preserve"> in contemporary life</w:t>
      </w:r>
      <w:r w:rsidRPr="00BD79C4">
        <w:rPr>
          <w:rFonts w:ascii="Garamond" w:hAnsi="Garamond"/>
          <w:sz w:val="24"/>
          <w:szCs w:val="24"/>
        </w:rPr>
        <w:t xml:space="preserve">; the will of the individual is negated by God’s plan for mankind, namely, a destiny of salvation, which His heavily agents and </w:t>
      </w:r>
      <w:r w:rsidR="00A0174C">
        <w:rPr>
          <w:rFonts w:ascii="Garamond" w:hAnsi="Garamond"/>
          <w:sz w:val="24"/>
          <w:szCs w:val="24"/>
        </w:rPr>
        <w:t>e</w:t>
      </w:r>
      <w:r w:rsidRPr="00BD79C4">
        <w:rPr>
          <w:rFonts w:ascii="Garamond" w:hAnsi="Garamond"/>
          <w:sz w:val="24"/>
          <w:szCs w:val="24"/>
        </w:rPr>
        <w:t>arthly ministers work towards</w:t>
      </w:r>
      <w:r w:rsidR="00741D3D">
        <w:rPr>
          <w:rFonts w:ascii="Garamond" w:hAnsi="Garamond"/>
          <w:sz w:val="24"/>
          <w:szCs w:val="24"/>
        </w:rPr>
        <w:t xml:space="preserve">, and so too </w:t>
      </w:r>
      <w:r w:rsidR="00463DEB">
        <w:rPr>
          <w:rFonts w:ascii="Garamond" w:hAnsi="Garamond"/>
          <w:sz w:val="24"/>
          <w:szCs w:val="24"/>
        </w:rPr>
        <w:t>the state exercises its power through glorious ceremonial content</w:t>
      </w:r>
      <w:r w:rsidRPr="00BD79C4">
        <w:rPr>
          <w:rFonts w:ascii="Garamond" w:hAnsi="Garamond"/>
          <w:sz w:val="24"/>
          <w:szCs w:val="24"/>
        </w:rPr>
        <w:t xml:space="preserve">. It is also the case for Agamben that the sovereignty of the individual in contemporary society is diminished by the managerial mechanisms that are intrinsic to the governmental machine. The types of management that modern </w:t>
      </w:r>
      <w:r w:rsidR="00932AD3">
        <w:rPr>
          <w:rFonts w:ascii="Garamond" w:hAnsi="Garamond"/>
          <w:sz w:val="24"/>
          <w:szCs w:val="24"/>
        </w:rPr>
        <w:t xml:space="preserve">state </w:t>
      </w:r>
      <w:r w:rsidR="00903F46">
        <w:rPr>
          <w:rFonts w:ascii="Garamond" w:hAnsi="Garamond"/>
          <w:sz w:val="24"/>
          <w:szCs w:val="24"/>
        </w:rPr>
        <w:t>relies upon ultimately</w:t>
      </w:r>
      <w:r w:rsidRPr="00BD79C4">
        <w:rPr>
          <w:rFonts w:ascii="Garamond" w:hAnsi="Garamond"/>
          <w:sz w:val="24"/>
          <w:szCs w:val="24"/>
        </w:rPr>
        <w:t xml:space="preserve"> render the individual li</w:t>
      </w:r>
      <w:r w:rsidR="00A0174C">
        <w:rPr>
          <w:rFonts w:ascii="Garamond" w:hAnsi="Garamond"/>
          <w:sz w:val="24"/>
          <w:szCs w:val="24"/>
        </w:rPr>
        <w:t>f</w:t>
      </w:r>
      <w:r w:rsidRPr="00BD79C4">
        <w:rPr>
          <w:rFonts w:ascii="Garamond" w:hAnsi="Garamond"/>
          <w:sz w:val="24"/>
          <w:szCs w:val="24"/>
        </w:rPr>
        <w:t xml:space="preserve">e inoperative. </w:t>
      </w:r>
      <w:r w:rsidR="00F80195">
        <w:rPr>
          <w:rFonts w:ascii="Garamond" w:hAnsi="Garamond"/>
          <w:sz w:val="24"/>
          <w:szCs w:val="24"/>
        </w:rPr>
        <w:t xml:space="preserve"> </w:t>
      </w:r>
    </w:p>
    <w:p w14:paraId="486E87EA" w14:textId="4BA8916F" w:rsidR="00A0174C" w:rsidRDefault="00A0174C" w:rsidP="00BD79C4">
      <w:pPr>
        <w:spacing w:line="360" w:lineRule="auto"/>
        <w:jc w:val="both"/>
        <w:rPr>
          <w:rFonts w:ascii="Garamond" w:hAnsi="Garamond"/>
          <w:sz w:val="24"/>
          <w:szCs w:val="24"/>
        </w:rPr>
      </w:pPr>
    </w:p>
    <w:p w14:paraId="11A7BF3D" w14:textId="0663EF35" w:rsidR="00F32833" w:rsidRPr="00F32833" w:rsidRDefault="00A0174C" w:rsidP="00F32833">
      <w:pPr>
        <w:spacing w:line="360" w:lineRule="auto"/>
        <w:jc w:val="both"/>
        <w:rPr>
          <w:rFonts w:ascii="Garamond" w:hAnsi="Garamond"/>
          <w:sz w:val="24"/>
          <w:szCs w:val="24"/>
        </w:rPr>
      </w:pPr>
      <w:r w:rsidRPr="00A0174C">
        <w:rPr>
          <w:rFonts w:ascii="Garamond" w:hAnsi="Garamond"/>
          <w:sz w:val="24"/>
          <w:szCs w:val="24"/>
        </w:rPr>
        <w:t xml:space="preserve">If we are to evaluate Agamben’s claims on glory and the sovereignty of God and the state, then we need to assess why it may be the case that we as individuals are subjects of a divine and governmental oikonomia. In order to do this, we must turn to the philosophical presuppositions that Agamben identifies in his genealogy, the ones that relate to our historical circumstance and </w:t>
      </w:r>
      <w:r w:rsidRPr="00A0174C">
        <w:rPr>
          <w:rFonts w:ascii="Garamond" w:hAnsi="Garamond"/>
          <w:sz w:val="24"/>
          <w:szCs w:val="24"/>
        </w:rPr>
        <w:lastRenderedPageBreak/>
        <w:t>current position as people of a society. For Agamben, we in fact allow ourselves to be driven by the "law of efficiency”, which in the end calls upon us to perceive everything, including the entirety of human affairs, in terms of their operational function.</w:t>
      </w:r>
      <w:r w:rsidR="00635D17">
        <w:rPr>
          <w:rStyle w:val="FootnoteReference"/>
          <w:rFonts w:ascii="Garamond" w:hAnsi="Garamond"/>
          <w:sz w:val="24"/>
          <w:szCs w:val="24"/>
        </w:rPr>
        <w:footnoteReference w:id="40"/>
      </w:r>
      <w:r w:rsidRPr="00A0174C">
        <w:rPr>
          <w:rFonts w:ascii="Garamond" w:hAnsi="Garamond"/>
          <w:sz w:val="24"/>
          <w:szCs w:val="24"/>
        </w:rPr>
        <w:t xml:space="preserve"> Agamben claims that the appeal to an operative mode of existence came from a theological error predicated on ancient Greek philosophy. Greek philosophers endeavoured to make the distinction between the good life, or the kind of life that should be lived, and the form of life as it is.</w:t>
      </w:r>
      <w:r w:rsidR="003F4775">
        <w:rPr>
          <w:rStyle w:val="FootnoteReference"/>
          <w:rFonts w:ascii="Garamond" w:hAnsi="Garamond"/>
          <w:sz w:val="24"/>
          <w:szCs w:val="24"/>
        </w:rPr>
        <w:footnoteReference w:id="41"/>
      </w:r>
      <w:r w:rsidRPr="00A0174C">
        <w:rPr>
          <w:rFonts w:ascii="Garamond" w:hAnsi="Garamond"/>
          <w:sz w:val="24"/>
          <w:szCs w:val="24"/>
        </w:rPr>
        <w:t xml:space="preserve"> The error committed, in Agamben’s view, is that the priority was given to determining the best way of life and the imposed order of it by an appropriate political regime.</w:t>
      </w:r>
      <w:r w:rsidR="003F4775">
        <w:rPr>
          <w:rStyle w:val="FootnoteReference"/>
          <w:rFonts w:ascii="Garamond" w:hAnsi="Garamond"/>
          <w:sz w:val="24"/>
          <w:szCs w:val="24"/>
        </w:rPr>
        <w:footnoteReference w:id="42"/>
      </w:r>
      <w:r w:rsidRPr="00A0174C">
        <w:rPr>
          <w:rFonts w:ascii="Garamond" w:hAnsi="Garamond"/>
          <w:sz w:val="24"/>
          <w:szCs w:val="24"/>
        </w:rPr>
        <w:t xml:space="preserve"> As Pappin states, Agamben follows Heidegger’s view that the philosophical “quest for essences” is the original sin in philosophy, as it corrupts our perceptions of existence itself.</w:t>
      </w:r>
      <w:r w:rsidR="003F4775">
        <w:rPr>
          <w:rStyle w:val="FootnoteReference"/>
          <w:rFonts w:ascii="Garamond" w:hAnsi="Garamond"/>
          <w:sz w:val="24"/>
          <w:szCs w:val="24"/>
        </w:rPr>
        <w:footnoteReference w:id="43"/>
      </w:r>
      <w:r w:rsidRPr="00A0174C">
        <w:rPr>
          <w:rFonts w:ascii="Garamond" w:hAnsi="Garamond"/>
          <w:sz w:val="24"/>
          <w:szCs w:val="24"/>
        </w:rPr>
        <w:t xml:space="preserve"> Consequently, we impose onto the world our own structure and make it dance according to our ideas of what should be, rather than interacting with and utilising what is already available to us. Western tradition, then, has imbued human existence with a confused and distorted view of itself. This distorted element is perpetuated by the modern state, as it is inherently orientated toward an idea of </w:t>
      </w:r>
      <w:r w:rsidR="003F4775">
        <w:rPr>
          <w:rFonts w:ascii="Garamond" w:hAnsi="Garamond"/>
          <w:sz w:val="24"/>
          <w:szCs w:val="24"/>
        </w:rPr>
        <w:t xml:space="preserve">economic </w:t>
      </w:r>
      <w:r w:rsidRPr="00A0174C">
        <w:rPr>
          <w:rFonts w:ascii="Garamond" w:hAnsi="Garamond"/>
          <w:sz w:val="24"/>
          <w:szCs w:val="24"/>
        </w:rPr>
        <w:t xml:space="preserve">prosperity. If the entirety of human life is continuously measured according to a specific standard, then we are infinitely bound to associate existence with the necessary processes of a machine that is geared to operating us in the </w:t>
      </w:r>
      <w:r w:rsidR="003F4775">
        <w:rPr>
          <w:rFonts w:ascii="Garamond" w:hAnsi="Garamond"/>
          <w:sz w:val="24"/>
          <w:szCs w:val="24"/>
        </w:rPr>
        <w:t>“</w:t>
      </w:r>
      <w:r w:rsidRPr="00A0174C">
        <w:rPr>
          <w:rFonts w:ascii="Garamond" w:hAnsi="Garamond"/>
          <w:sz w:val="24"/>
          <w:szCs w:val="24"/>
        </w:rPr>
        <w:t>right</w:t>
      </w:r>
      <w:r w:rsidR="003F4775">
        <w:rPr>
          <w:rFonts w:ascii="Garamond" w:hAnsi="Garamond"/>
          <w:sz w:val="24"/>
          <w:szCs w:val="24"/>
        </w:rPr>
        <w:t>”</w:t>
      </w:r>
      <w:r w:rsidRPr="00A0174C">
        <w:rPr>
          <w:rFonts w:ascii="Garamond" w:hAnsi="Garamond"/>
          <w:sz w:val="24"/>
          <w:szCs w:val="24"/>
        </w:rPr>
        <w:t xml:space="preserve"> direction. </w:t>
      </w:r>
      <w:r w:rsidR="003F4775">
        <w:rPr>
          <w:rFonts w:ascii="Garamond" w:hAnsi="Garamond"/>
          <w:sz w:val="24"/>
          <w:szCs w:val="24"/>
        </w:rPr>
        <w:t>Yet, i</w:t>
      </w:r>
      <w:r w:rsidRPr="00A0174C">
        <w:rPr>
          <w:rFonts w:ascii="Garamond" w:hAnsi="Garamond"/>
          <w:sz w:val="24"/>
          <w:szCs w:val="24"/>
        </w:rPr>
        <w:t>n the end, human potential is a thing to be directed by the state — it is thrown into an education and disciplinary system so that it may be contorted and made in the image of an ideal.</w:t>
      </w:r>
      <w:r w:rsidR="003F4775">
        <w:rPr>
          <w:rStyle w:val="FootnoteReference"/>
          <w:rFonts w:ascii="Garamond" w:hAnsi="Garamond"/>
          <w:sz w:val="24"/>
          <w:szCs w:val="24"/>
        </w:rPr>
        <w:footnoteReference w:id="44"/>
      </w:r>
      <w:r w:rsidRPr="00A0174C">
        <w:rPr>
          <w:rFonts w:ascii="Garamond" w:hAnsi="Garamond"/>
          <w:sz w:val="24"/>
          <w:szCs w:val="24"/>
        </w:rPr>
        <w:t xml:space="preserve"> Agamben gives us a view of life in the modern world that is inherently economic and devoid of God, one in which salvation is replaced by a glorious push to make our own society work.</w:t>
      </w:r>
      <w:r w:rsidR="003F4775">
        <w:rPr>
          <w:rStyle w:val="FootnoteReference"/>
          <w:rFonts w:ascii="Garamond" w:hAnsi="Garamond"/>
          <w:sz w:val="24"/>
          <w:szCs w:val="24"/>
        </w:rPr>
        <w:footnoteReference w:id="45"/>
      </w:r>
      <w:r w:rsidRPr="00A0174C">
        <w:rPr>
          <w:rFonts w:ascii="Garamond" w:hAnsi="Garamond"/>
          <w:sz w:val="24"/>
          <w:szCs w:val="24"/>
        </w:rPr>
        <w:t xml:space="preserve"> But who is it working for?</w:t>
      </w:r>
      <w:r w:rsidR="003F4775">
        <w:rPr>
          <w:rFonts w:ascii="Garamond" w:hAnsi="Garamond"/>
          <w:sz w:val="24"/>
          <w:szCs w:val="24"/>
        </w:rPr>
        <w:t xml:space="preserve"> </w:t>
      </w:r>
      <w:r w:rsidR="00B415BF">
        <w:rPr>
          <w:rFonts w:ascii="Garamond" w:hAnsi="Garamond"/>
          <w:sz w:val="24"/>
          <w:szCs w:val="24"/>
        </w:rPr>
        <w:t xml:space="preserve">Unlike the sovereignty of God, the sovereignty of the modern state </w:t>
      </w:r>
      <w:r w:rsidR="005158A7">
        <w:rPr>
          <w:rFonts w:ascii="Garamond" w:hAnsi="Garamond"/>
          <w:sz w:val="24"/>
          <w:szCs w:val="24"/>
        </w:rPr>
        <w:t xml:space="preserve">is not transcendent, but it does have the </w:t>
      </w:r>
      <w:r w:rsidR="00FB7CFB">
        <w:rPr>
          <w:rFonts w:ascii="Garamond" w:hAnsi="Garamond"/>
          <w:sz w:val="24"/>
          <w:szCs w:val="24"/>
        </w:rPr>
        <w:t xml:space="preserve">monopoly </w:t>
      </w:r>
      <w:r w:rsidR="00FB0026">
        <w:rPr>
          <w:rFonts w:ascii="Garamond" w:hAnsi="Garamond"/>
          <w:sz w:val="24"/>
          <w:szCs w:val="24"/>
        </w:rPr>
        <w:t>on the operational lives of individuals.</w:t>
      </w:r>
      <w:r w:rsidR="0035365B">
        <w:rPr>
          <w:rFonts w:ascii="Garamond" w:hAnsi="Garamond"/>
          <w:sz w:val="24"/>
          <w:szCs w:val="24"/>
        </w:rPr>
        <w:t xml:space="preserve"> </w:t>
      </w:r>
      <w:r w:rsidR="00F32833" w:rsidRPr="00F32833">
        <w:rPr>
          <w:rFonts w:ascii="Garamond" w:hAnsi="Garamond"/>
          <w:sz w:val="24"/>
          <w:szCs w:val="24"/>
        </w:rPr>
        <w:t xml:space="preserve">Though the modern state makes the distinction between the sovereign people and the very government that claims to serve them, it ultimately makes individuals inoperative and consumes all power for itself. For example, the theological economy of God and the economy of the state operate in an analogous way: economic theology relies on the works of intermediaries and secondary causes to carry out God’s divine work. While the economic dimension of the state heavily depends on the </w:t>
      </w:r>
      <w:r w:rsidR="00F32833" w:rsidRPr="00F32833">
        <w:rPr>
          <w:rFonts w:ascii="Garamond" w:hAnsi="Garamond"/>
          <w:sz w:val="24"/>
          <w:szCs w:val="24"/>
        </w:rPr>
        <w:lastRenderedPageBreak/>
        <w:t xml:space="preserve">supposes freedoms of its citizens. The connection between the religious past and the modern-day state gives us a view of contemporary government that is constituted by a notion of sovereignty that resembles the sovereignty of God. </w:t>
      </w:r>
      <w:r w:rsidR="00972973">
        <w:rPr>
          <w:rFonts w:ascii="Garamond" w:hAnsi="Garamond"/>
          <w:sz w:val="24"/>
          <w:szCs w:val="24"/>
        </w:rPr>
        <w:t>For instance,</w:t>
      </w:r>
      <w:r w:rsidR="00F32833" w:rsidRPr="00F32833">
        <w:rPr>
          <w:rFonts w:ascii="Garamond" w:hAnsi="Garamond"/>
          <w:sz w:val="24"/>
          <w:szCs w:val="24"/>
        </w:rPr>
        <w:t xml:space="preserve"> God</w:t>
      </w:r>
      <w:r w:rsidR="00972973">
        <w:rPr>
          <w:rFonts w:ascii="Garamond" w:hAnsi="Garamond"/>
          <w:sz w:val="24"/>
          <w:szCs w:val="24"/>
        </w:rPr>
        <w:t xml:space="preserve"> is </w:t>
      </w:r>
      <w:r w:rsidR="00BA31FF">
        <w:rPr>
          <w:rFonts w:ascii="Garamond" w:hAnsi="Garamond"/>
          <w:sz w:val="24"/>
          <w:szCs w:val="24"/>
        </w:rPr>
        <w:t>sovereign,</w:t>
      </w:r>
      <w:r w:rsidR="00972973">
        <w:rPr>
          <w:rFonts w:ascii="Garamond" w:hAnsi="Garamond"/>
          <w:sz w:val="24"/>
          <w:szCs w:val="24"/>
        </w:rPr>
        <w:t xml:space="preserve"> but He </w:t>
      </w:r>
      <w:r w:rsidR="00A17B96">
        <w:rPr>
          <w:rFonts w:ascii="Garamond" w:hAnsi="Garamond"/>
          <w:sz w:val="24"/>
          <w:szCs w:val="24"/>
        </w:rPr>
        <w:t>ordains</w:t>
      </w:r>
      <w:r w:rsidR="00972973">
        <w:rPr>
          <w:rFonts w:ascii="Garamond" w:hAnsi="Garamond"/>
          <w:sz w:val="24"/>
          <w:szCs w:val="24"/>
        </w:rPr>
        <w:t xml:space="preserve"> those to carry out His work</w:t>
      </w:r>
      <w:r w:rsidR="00A17B96">
        <w:rPr>
          <w:rFonts w:ascii="Garamond" w:hAnsi="Garamond"/>
          <w:sz w:val="24"/>
          <w:szCs w:val="24"/>
        </w:rPr>
        <w:t xml:space="preserve">. The state ordains the police, the media, and other </w:t>
      </w:r>
      <w:r w:rsidR="00451137">
        <w:rPr>
          <w:rFonts w:ascii="Garamond" w:hAnsi="Garamond"/>
          <w:sz w:val="24"/>
          <w:szCs w:val="24"/>
        </w:rPr>
        <w:t xml:space="preserve">public services to perpetuate the various notions that it holds dear. </w:t>
      </w:r>
      <w:r w:rsidR="00F32833" w:rsidRPr="00F32833">
        <w:rPr>
          <w:rFonts w:ascii="Garamond" w:hAnsi="Garamond"/>
          <w:sz w:val="24"/>
          <w:szCs w:val="24"/>
        </w:rPr>
        <w:t xml:space="preserve"> </w:t>
      </w:r>
    </w:p>
    <w:p w14:paraId="1A0A3CC0" w14:textId="77777777" w:rsidR="00A0174C" w:rsidRPr="00A0174C" w:rsidRDefault="00A0174C" w:rsidP="00A0174C">
      <w:pPr>
        <w:spacing w:line="360" w:lineRule="auto"/>
        <w:jc w:val="both"/>
        <w:rPr>
          <w:rFonts w:ascii="Garamond" w:hAnsi="Garamond"/>
          <w:sz w:val="24"/>
          <w:szCs w:val="24"/>
        </w:rPr>
      </w:pPr>
    </w:p>
    <w:p w14:paraId="1CE032D5" w14:textId="5F57DD8A" w:rsidR="00A0174C" w:rsidRDefault="00FB0026" w:rsidP="00BD79C4">
      <w:pPr>
        <w:spacing w:line="360" w:lineRule="auto"/>
        <w:jc w:val="both"/>
        <w:rPr>
          <w:rFonts w:ascii="Garamond" w:hAnsi="Garamond"/>
          <w:sz w:val="24"/>
          <w:szCs w:val="24"/>
        </w:rPr>
      </w:pPr>
      <w:r>
        <w:rPr>
          <w:rFonts w:ascii="Garamond" w:hAnsi="Garamond"/>
          <w:sz w:val="24"/>
          <w:szCs w:val="24"/>
        </w:rPr>
        <w:t>One</w:t>
      </w:r>
      <w:r w:rsidR="00A0174C" w:rsidRPr="00A0174C">
        <w:rPr>
          <w:rFonts w:ascii="Garamond" w:hAnsi="Garamond"/>
          <w:sz w:val="24"/>
          <w:szCs w:val="24"/>
        </w:rPr>
        <w:t xml:space="preserve"> may take issue here with Agamben’s idea of sovereignty. If the sovereignty of God and the state are clearly defined as… then the question remains what is the current state of individual sovereignty? If we seriously accept Agamben’s view that modern governments impose their power through various activities for the purpose of economic prosperity, then we might say that individual, or even, human sovereignty is negated by the various ministers, governmental departments, and the political structure itself. However, is it not in everyone’s best interest to contribute to the economic structure that is responsible for a nation’s global prosperity? The case can even be made that we as individuals have sovereignty over the types of economic contributions that we choose to pursue. The same applies to the public sector, where we can elect to become agents and ministers of the state in the numerous departments that function according to the overall structure. Yet, we may also say that the continuous problem for Agamben is that the freedom to choose the capacity of our work is merely a limited freedom within society; we as individuals remain tied to the law of efficacy; the modern state insists on making human existence operative by generating capital, ensuring security, and imposing order through glorious celebration. According to Pappin, the functions of a democratic state manufacture a legitimacy</w:t>
      </w:r>
      <w:r w:rsidR="00451137">
        <w:rPr>
          <w:rFonts w:ascii="Garamond" w:hAnsi="Garamond"/>
          <w:sz w:val="24"/>
          <w:szCs w:val="24"/>
        </w:rPr>
        <w:t>, which means that d</w:t>
      </w:r>
      <w:r w:rsidR="00A0174C" w:rsidRPr="00A0174C">
        <w:rPr>
          <w:rFonts w:ascii="Garamond" w:hAnsi="Garamond"/>
          <w:sz w:val="24"/>
          <w:szCs w:val="24"/>
        </w:rPr>
        <w:t>espite all the apparent freedoms that we may have, we remain subject to the onslaught of efficacy that gears us toward the economic ideals of our society.</w:t>
      </w:r>
      <w:r w:rsidR="00451137">
        <w:rPr>
          <w:rStyle w:val="FootnoteReference"/>
          <w:rFonts w:ascii="Garamond" w:hAnsi="Garamond"/>
          <w:sz w:val="24"/>
          <w:szCs w:val="24"/>
        </w:rPr>
        <w:footnoteReference w:id="46"/>
      </w:r>
      <w:r w:rsidR="00451137">
        <w:rPr>
          <w:rFonts w:ascii="Garamond" w:hAnsi="Garamond"/>
          <w:sz w:val="24"/>
          <w:szCs w:val="24"/>
        </w:rPr>
        <w:t xml:space="preserve"> </w:t>
      </w:r>
      <w:r w:rsidR="007B134C">
        <w:rPr>
          <w:rFonts w:ascii="Garamond" w:hAnsi="Garamond"/>
          <w:sz w:val="24"/>
          <w:szCs w:val="24"/>
        </w:rPr>
        <w:t xml:space="preserve">One can argue that Agamben’s analogy between the sovereignty of the state and the sovereignty of God </w:t>
      </w:r>
      <w:r w:rsidR="0046222F">
        <w:rPr>
          <w:rFonts w:ascii="Garamond" w:hAnsi="Garamond"/>
          <w:sz w:val="24"/>
          <w:szCs w:val="24"/>
        </w:rPr>
        <w:t xml:space="preserve">is predicated on the philosophical presuppositions that we have come to </w:t>
      </w:r>
      <w:r w:rsidR="00C91821">
        <w:rPr>
          <w:rFonts w:ascii="Garamond" w:hAnsi="Garamond"/>
          <w:sz w:val="24"/>
          <w:szCs w:val="24"/>
        </w:rPr>
        <w:t xml:space="preserve">use in defining our way of life. We are </w:t>
      </w:r>
      <w:r w:rsidR="003D6B43">
        <w:rPr>
          <w:rFonts w:ascii="Garamond" w:hAnsi="Garamond"/>
          <w:sz w:val="24"/>
          <w:szCs w:val="24"/>
        </w:rPr>
        <w:t>compelled</w:t>
      </w:r>
      <w:r w:rsidR="00C91821">
        <w:rPr>
          <w:rFonts w:ascii="Garamond" w:hAnsi="Garamond"/>
          <w:sz w:val="24"/>
          <w:szCs w:val="24"/>
        </w:rPr>
        <w:t xml:space="preserve"> by God for salvation; we are compelled by the state for economic prosperity. </w:t>
      </w:r>
      <w:r w:rsidR="003D6B43">
        <w:rPr>
          <w:rFonts w:ascii="Garamond" w:hAnsi="Garamond"/>
          <w:sz w:val="24"/>
          <w:szCs w:val="24"/>
        </w:rPr>
        <w:t xml:space="preserve">Though a religious system is distinct from a political one, Agamben nonetheless others us a </w:t>
      </w:r>
      <w:r w:rsidR="00600EF1">
        <w:rPr>
          <w:rFonts w:ascii="Garamond" w:hAnsi="Garamond"/>
          <w:sz w:val="24"/>
          <w:szCs w:val="24"/>
        </w:rPr>
        <w:t xml:space="preserve">deep connection between the ideas of today and the ideas of the past. </w:t>
      </w:r>
    </w:p>
    <w:p w14:paraId="48DAE4FA" w14:textId="108F2F9A" w:rsidR="00600EF1" w:rsidRDefault="00600EF1" w:rsidP="00BD79C4">
      <w:pPr>
        <w:spacing w:line="360" w:lineRule="auto"/>
        <w:jc w:val="both"/>
        <w:rPr>
          <w:rFonts w:ascii="Garamond" w:hAnsi="Garamond"/>
          <w:sz w:val="24"/>
          <w:szCs w:val="24"/>
        </w:rPr>
      </w:pPr>
    </w:p>
    <w:p w14:paraId="6021E62F" w14:textId="02E78B3A" w:rsidR="00600EF1" w:rsidRPr="00BD79C4" w:rsidRDefault="00600EF1" w:rsidP="00BD79C4">
      <w:pPr>
        <w:spacing w:line="360" w:lineRule="auto"/>
        <w:jc w:val="both"/>
        <w:rPr>
          <w:rFonts w:ascii="Garamond" w:hAnsi="Garamond"/>
          <w:sz w:val="24"/>
          <w:szCs w:val="24"/>
        </w:rPr>
      </w:pPr>
      <w:r>
        <w:rPr>
          <w:rFonts w:ascii="Garamond" w:hAnsi="Garamond"/>
          <w:sz w:val="24"/>
          <w:szCs w:val="24"/>
        </w:rPr>
        <w:t xml:space="preserve">In conclusion we have </w:t>
      </w:r>
      <w:r w:rsidR="00CF3F44">
        <w:rPr>
          <w:rFonts w:ascii="Garamond" w:hAnsi="Garamond"/>
          <w:sz w:val="24"/>
          <w:szCs w:val="24"/>
        </w:rPr>
        <w:t xml:space="preserve">elaborated on the postmodern interest </w:t>
      </w:r>
      <w:r w:rsidR="007825FB">
        <w:rPr>
          <w:rFonts w:ascii="Garamond" w:hAnsi="Garamond"/>
          <w:sz w:val="24"/>
          <w:szCs w:val="24"/>
        </w:rPr>
        <w:t xml:space="preserve">of a genealogical analysis since it </w:t>
      </w:r>
      <w:r w:rsidR="001D0CAA">
        <w:rPr>
          <w:rFonts w:ascii="Garamond" w:hAnsi="Garamond"/>
          <w:sz w:val="24"/>
          <w:szCs w:val="24"/>
        </w:rPr>
        <w:t xml:space="preserve">underlies most of Agamben’s project. We have based the strength of his analogy between state </w:t>
      </w:r>
      <w:r w:rsidR="004F543B">
        <w:rPr>
          <w:rFonts w:ascii="Garamond" w:hAnsi="Garamond"/>
          <w:sz w:val="24"/>
          <w:szCs w:val="24"/>
        </w:rPr>
        <w:lastRenderedPageBreak/>
        <w:t>sovereignty</w:t>
      </w:r>
      <w:r w:rsidR="001D0CAA">
        <w:rPr>
          <w:rFonts w:ascii="Garamond" w:hAnsi="Garamond"/>
          <w:sz w:val="24"/>
          <w:szCs w:val="24"/>
        </w:rPr>
        <w:t xml:space="preserve"> and the sovereignty of God on </w:t>
      </w:r>
      <w:r w:rsidR="000665AC">
        <w:rPr>
          <w:rFonts w:ascii="Garamond" w:hAnsi="Garamond"/>
          <w:sz w:val="24"/>
          <w:szCs w:val="24"/>
        </w:rPr>
        <w:t xml:space="preserve">the very foundations that interest him, namely, theological. Through an evaluation of glory, </w:t>
      </w:r>
      <w:r w:rsidR="00B73C3E">
        <w:rPr>
          <w:rFonts w:ascii="Garamond" w:hAnsi="Garamond"/>
          <w:sz w:val="24"/>
          <w:szCs w:val="24"/>
        </w:rPr>
        <w:t>we were able to see the essential function that made</w:t>
      </w:r>
      <w:r w:rsidR="00822587">
        <w:rPr>
          <w:rFonts w:ascii="Garamond" w:hAnsi="Garamond"/>
          <w:sz w:val="24"/>
          <w:szCs w:val="24"/>
        </w:rPr>
        <w:t xml:space="preserve"> us inoperative. Ultimately, we saw how individual sovereignty is negated by the sovereignty of the state, which elects to </w:t>
      </w:r>
      <w:r w:rsidR="004F543B">
        <w:rPr>
          <w:rFonts w:ascii="Garamond" w:hAnsi="Garamond"/>
          <w:sz w:val="24"/>
          <w:szCs w:val="24"/>
        </w:rPr>
        <w:t xml:space="preserve">direct us towards economic prosperity. </w:t>
      </w:r>
    </w:p>
    <w:p w14:paraId="3BE5509E" w14:textId="271D819C" w:rsidR="002C1381" w:rsidRPr="00FF7982" w:rsidRDefault="002C1381" w:rsidP="00C75D50">
      <w:pPr>
        <w:spacing w:line="360" w:lineRule="auto"/>
        <w:jc w:val="both"/>
        <w:rPr>
          <w:rFonts w:ascii="Garamond" w:hAnsi="Garamond"/>
          <w:sz w:val="24"/>
          <w:szCs w:val="24"/>
        </w:rPr>
      </w:pPr>
    </w:p>
    <w:p w14:paraId="4394E017" w14:textId="77777777" w:rsidR="00FF7982" w:rsidRPr="00FF7982" w:rsidRDefault="00FF7982" w:rsidP="00FF7982">
      <w:pPr>
        <w:spacing w:line="360" w:lineRule="auto"/>
        <w:jc w:val="both"/>
        <w:rPr>
          <w:rFonts w:ascii="Garamond" w:hAnsi="Garamond"/>
          <w:sz w:val="24"/>
          <w:szCs w:val="24"/>
        </w:rPr>
      </w:pPr>
    </w:p>
    <w:p w14:paraId="72D3FF9F" w14:textId="77777777" w:rsidR="00FF7982" w:rsidRPr="00FF7982" w:rsidRDefault="00FF7982" w:rsidP="00FF7982">
      <w:pPr>
        <w:spacing w:line="360" w:lineRule="auto"/>
        <w:jc w:val="both"/>
        <w:rPr>
          <w:rFonts w:ascii="Garamond" w:hAnsi="Garamond"/>
          <w:sz w:val="24"/>
          <w:szCs w:val="24"/>
        </w:rPr>
      </w:pPr>
    </w:p>
    <w:p w14:paraId="6ED132FC" w14:textId="36F87B5F" w:rsidR="00FF7982" w:rsidRDefault="00FF7982" w:rsidP="00ED071A">
      <w:pPr>
        <w:spacing w:line="360" w:lineRule="auto"/>
        <w:jc w:val="both"/>
        <w:rPr>
          <w:rFonts w:ascii="Garamond" w:hAnsi="Garamond"/>
          <w:sz w:val="24"/>
          <w:szCs w:val="24"/>
        </w:rPr>
      </w:pPr>
    </w:p>
    <w:p w14:paraId="75A1C32D" w14:textId="50192CC1" w:rsidR="00AF6392" w:rsidRDefault="00AF6392" w:rsidP="00ED071A">
      <w:pPr>
        <w:spacing w:line="360" w:lineRule="auto"/>
        <w:jc w:val="both"/>
        <w:rPr>
          <w:rFonts w:ascii="Garamond" w:hAnsi="Garamond"/>
          <w:sz w:val="24"/>
          <w:szCs w:val="24"/>
        </w:rPr>
      </w:pPr>
    </w:p>
    <w:p w14:paraId="70D6D342" w14:textId="7C73816F" w:rsidR="00BA31FF" w:rsidRDefault="00BA31FF" w:rsidP="00ED071A">
      <w:pPr>
        <w:spacing w:line="360" w:lineRule="auto"/>
        <w:jc w:val="both"/>
        <w:rPr>
          <w:rFonts w:ascii="Garamond" w:hAnsi="Garamond"/>
          <w:sz w:val="24"/>
          <w:szCs w:val="24"/>
        </w:rPr>
      </w:pPr>
    </w:p>
    <w:p w14:paraId="76398644" w14:textId="17E0E427" w:rsidR="00BA31FF" w:rsidRDefault="00BA31FF" w:rsidP="00ED071A">
      <w:pPr>
        <w:spacing w:line="360" w:lineRule="auto"/>
        <w:jc w:val="both"/>
        <w:rPr>
          <w:rFonts w:ascii="Garamond" w:hAnsi="Garamond"/>
          <w:sz w:val="24"/>
          <w:szCs w:val="24"/>
        </w:rPr>
      </w:pPr>
    </w:p>
    <w:p w14:paraId="299D72FA" w14:textId="1850AD40" w:rsidR="00BA31FF" w:rsidRDefault="00BA31FF" w:rsidP="00ED071A">
      <w:pPr>
        <w:spacing w:line="360" w:lineRule="auto"/>
        <w:jc w:val="both"/>
        <w:rPr>
          <w:rFonts w:ascii="Garamond" w:hAnsi="Garamond"/>
          <w:sz w:val="24"/>
          <w:szCs w:val="24"/>
        </w:rPr>
      </w:pPr>
    </w:p>
    <w:p w14:paraId="6A132E37" w14:textId="7CE0D622" w:rsidR="00BA31FF" w:rsidRDefault="00BA31FF" w:rsidP="00ED071A">
      <w:pPr>
        <w:spacing w:line="360" w:lineRule="auto"/>
        <w:jc w:val="both"/>
        <w:rPr>
          <w:rFonts w:ascii="Garamond" w:hAnsi="Garamond"/>
          <w:sz w:val="24"/>
          <w:szCs w:val="24"/>
        </w:rPr>
      </w:pPr>
    </w:p>
    <w:p w14:paraId="5883D49B" w14:textId="54801AB2" w:rsidR="00BA31FF" w:rsidRDefault="00BA31FF" w:rsidP="00ED071A">
      <w:pPr>
        <w:spacing w:line="360" w:lineRule="auto"/>
        <w:jc w:val="both"/>
        <w:rPr>
          <w:rFonts w:ascii="Garamond" w:hAnsi="Garamond"/>
          <w:sz w:val="24"/>
          <w:szCs w:val="24"/>
        </w:rPr>
      </w:pPr>
    </w:p>
    <w:p w14:paraId="518CF714" w14:textId="27EFA0FE" w:rsidR="00BA31FF" w:rsidRDefault="00BA31FF" w:rsidP="00ED071A">
      <w:pPr>
        <w:spacing w:line="360" w:lineRule="auto"/>
        <w:jc w:val="both"/>
        <w:rPr>
          <w:rFonts w:ascii="Garamond" w:hAnsi="Garamond"/>
          <w:sz w:val="24"/>
          <w:szCs w:val="24"/>
        </w:rPr>
      </w:pPr>
    </w:p>
    <w:p w14:paraId="2F000B3D" w14:textId="2FBBEA45" w:rsidR="00BA31FF" w:rsidRDefault="00BA31FF" w:rsidP="00ED071A">
      <w:pPr>
        <w:spacing w:line="360" w:lineRule="auto"/>
        <w:jc w:val="both"/>
        <w:rPr>
          <w:rFonts w:ascii="Garamond" w:hAnsi="Garamond"/>
          <w:sz w:val="24"/>
          <w:szCs w:val="24"/>
        </w:rPr>
      </w:pPr>
    </w:p>
    <w:p w14:paraId="57171B01" w14:textId="2C73C936" w:rsidR="00BA31FF" w:rsidRDefault="00BA31FF" w:rsidP="00ED071A">
      <w:pPr>
        <w:spacing w:line="360" w:lineRule="auto"/>
        <w:jc w:val="both"/>
        <w:rPr>
          <w:rFonts w:ascii="Garamond" w:hAnsi="Garamond"/>
          <w:sz w:val="24"/>
          <w:szCs w:val="24"/>
        </w:rPr>
      </w:pPr>
    </w:p>
    <w:p w14:paraId="70FAD9E8" w14:textId="62868972" w:rsidR="00BA31FF" w:rsidRDefault="00BA31FF" w:rsidP="00ED071A">
      <w:pPr>
        <w:spacing w:line="360" w:lineRule="auto"/>
        <w:jc w:val="both"/>
        <w:rPr>
          <w:rFonts w:ascii="Garamond" w:hAnsi="Garamond"/>
          <w:sz w:val="24"/>
          <w:szCs w:val="24"/>
        </w:rPr>
      </w:pPr>
    </w:p>
    <w:p w14:paraId="5E53D778" w14:textId="517DF680" w:rsidR="00BA31FF" w:rsidRDefault="00BA31FF" w:rsidP="00ED071A">
      <w:pPr>
        <w:spacing w:line="360" w:lineRule="auto"/>
        <w:jc w:val="both"/>
        <w:rPr>
          <w:rFonts w:ascii="Garamond" w:hAnsi="Garamond"/>
          <w:sz w:val="24"/>
          <w:szCs w:val="24"/>
        </w:rPr>
      </w:pPr>
    </w:p>
    <w:p w14:paraId="68667985" w14:textId="3E50C82C" w:rsidR="00BA31FF" w:rsidRDefault="00BA31FF" w:rsidP="00ED071A">
      <w:pPr>
        <w:spacing w:line="360" w:lineRule="auto"/>
        <w:jc w:val="both"/>
        <w:rPr>
          <w:rFonts w:ascii="Garamond" w:hAnsi="Garamond"/>
          <w:sz w:val="24"/>
          <w:szCs w:val="24"/>
        </w:rPr>
      </w:pPr>
    </w:p>
    <w:p w14:paraId="3C1C0631" w14:textId="1A266736" w:rsidR="00BA31FF" w:rsidRDefault="00BA31FF" w:rsidP="00ED071A">
      <w:pPr>
        <w:spacing w:line="360" w:lineRule="auto"/>
        <w:jc w:val="both"/>
        <w:rPr>
          <w:rFonts w:ascii="Garamond" w:hAnsi="Garamond"/>
          <w:sz w:val="24"/>
          <w:szCs w:val="24"/>
        </w:rPr>
      </w:pPr>
    </w:p>
    <w:p w14:paraId="4E523B30" w14:textId="43B57F99" w:rsidR="00BA31FF" w:rsidRDefault="00BA31FF" w:rsidP="00ED071A">
      <w:pPr>
        <w:spacing w:line="360" w:lineRule="auto"/>
        <w:jc w:val="both"/>
        <w:rPr>
          <w:rFonts w:ascii="Garamond" w:hAnsi="Garamond"/>
          <w:sz w:val="24"/>
          <w:szCs w:val="24"/>
        </w:rPr>
      </w:pPr>
    </w:p>
    <w:p w14:paraId="24ECDE49" w14:textId="2E1857DC" w:rsidR="00BA31FF" w:rsidRDefault="00BA31FF" w:rsidP="00ED071A">
      <w:pPr>
        <w:spacing w:line="360" w:lineRule="auto"/>
        <w:jc w:val="both"/>
        <w:rPr>
          <w:rFonts w:ascii="Garamond" w:hAnsi="Garamond"/>
          <w:sz w:val="24"/>
          <w:szCs w:val="24"/>
        </w:rPr>
      </w:pPr>
    </w:p>
    <w:p w14:paraId="76EF5561" w14:textId="56AB6EDC" w:rsidR="00BA31FF" w:rsidRDefault="00BA31FF" w:rsidP="00ED071A">
      <w:pPr>
        <w:spacing w:line="360" w:lineRule="auto"/>
        <w:jc w:val="both"/>
        <w:rPr>
          <w:rFonts w:ascii="Garamond" w:hAnsi="Garamond"/>
          <w:sz w:val="24"/>
          <w:szCs w:val="24"/>
        </w:rPr>
      </w:pPr>
    </w:p>
    <w:p w14:paraId="09C8DB3F" w14:textId="77777777" w:rsidR="00BA31FF" w:rsidRDefault="00BA31FF" w:rsidP="00ED071A">
      <w:pPr>
        <w:spacing w:line="360" w:lineRule="auto"/>
        <w:jc w:val="both"/>
        <w:rPr>
          <w:rFonts w:ascii="Garamond" w:hAnsi="Garamond"/>
          <w:sz w:val="24"/>
          <w:szCs w:val="24"/>
        </w:rPr>
      </w:pPr>
    </w:p>
    <w:p w14:paraId="22248A0C" w14:textId="64A8D389" w:rsidR="00AF6392" w:rsidRDefault="00AF6392" w:rsidP="00ED071A">
      <w:pPr>
        <w:spacing w:line="360" w:lineRule="auto"/>
        <w:jc w:val="both"/>
        <w:rPr>
          <w:rFonts w:ascii="Garamond" w:hAnsi="Garamond"/>
          <w:sz w:val="24"/>
          <w:szCs w:val="24"/>
        </w:rPr>
      </w:pPr>
    </w:p>
    <w:p w14:paraId="3BC818DE" w14:textId="75BCD939" w:rsidR="00AF6392" w:rsidRDefault="00AF6392" w:rsidP="00ED071A">
      <w:pPr>
        <w:spacing w:line="360" w:lineRule="auto"/>
        <w:jc w:val="both"/>
        <w:rPr>
          <w:rFonts w:ascii="Garamond" w:hAnsi="Garamond"/>
          <w:b/>
          <w:bCs/>
          <w:sz w:val="24"/>
          <w:szCs w:val="24"/>
        </w:rPr>
      </w:pPr>
      <w:r>
        <w:rPr>
          <w:rFonts w:ascii="Garamond" w:hAnsi="Garamond"/>
          <w:b/>
          <w:bCs/>
          <w:sz w:val="24"/>
          <w:szCs w:val="24"/>
        </w:rPr>
        <w:lastRenderedPageBreak/>
        <w:t xml:space="preserve">References </w:t>
      </w:r>
    </w:p>
    <w:p w14:paraId="68E6592A" w14:textId="67F78B07" w:rsidR="00AF6392" w:rsidRDefault="00AF6392" w:rsidP="00ED071A">
      <w:pPr>
        <w:spacing w:line="360" w:lineRule="auto"/>
        <w:jc w:val="both"/>
        <w:rPr>
          <w:rFonts w:ascii="Garamond" w:hAnsi="Garamond"/>
          <w:b/>
          <w:bCs/>
          <w:sz w:val="24"/>
          <w:szCs w:val="24"/>
        </w:rPr>
      </w:pPr>
    </w:p>
    <w:p w14:paraId="1E9D8587" w14:textId="1A287A27" w:rsidR="00AF6392" w:rsidRPr="00AF6392" w:rsidRDefault="00AF6392" w:rsidP="00ED071A">
      <w:pPr>
        <w:spacing w:line="360" w:lineRule="auto"/>
        <w:jc w:val="both"/>
        <w:rPr>
          <w:rFonts w:ascii="Garamond" w:hAnsi="Garamond"/>
          <w:sz w:val="24"/>
          <w:szCs w:val="24"/>
        </w:rPr>
      </w:pPr>
      <w:r>
        <w:rPr>
          <w:rFonts w:ascii="Garamond" w:hAnsi="Garamond"/>
          <w:sz w:val="24"/>
          <w:szCs w:val="24"/>
        </w:rPr>
        <w:t xml:space="preserve">Agamben, G. </w:t>
      </w:r>
      <w:r w:rsidR="008841FE">
        <w:rPr>
          <w:rFonts w:ascii="Garamond" w:hAnsi="Garamond"/>
          <w:sz w:val="24"/>
          <w:szCs w:val="24"/>
        </w:rPr>
        <w:t xml:space="preserve">The Kingdom and the Glory. </w:t>
      </w:r>
      <w:r w:rsidR="00B04FEF">
        <w:rPr>
          <w:rFonts w:ascii="Garamond" w:hAnsi="Garamond"/>
          <w:sz w:val="24"/>
          <w:szCs w:val="24"/>
        </w:rPr>
        <w:t>(</w:t>
      </w:r>
      <w:r w:rsidR="00171431">
        <w:rPr>
          <w:rFonts w:ascii="Garamond" w:hAnsi="Garamond"/>
          <w:sz w:val="24"/>
          <w:szCs w:val="24"/>
        </w:rPr>
        <w:t xml:space="preserve">Stanford California: </w:t>
      </w:r>
      <w:r w:rsidR="00B04FEF">
        <w:rPr>
          <w:rFonts w:ascii="Garamond" w:hAnsi="Garamond"/>
          <w:sz w:val="24"/>
          <w:szCs w:val="24"/>
        </w:rPr>
        <w:t>Stanford University Press</w:t>
      </w:r>
      <w:r w:rsidR="00171431">
        <w:rPr>
          <w:rFonts w:ascii="Garamond" w:hAnsi="Garamond"/>
          <w:sz w:val="24"/>
          <w:szCs w:val="24"/>
        </w:rPr>
        <w:t>, 2011</w:t>
      </w:r>
      <w:r w:rsidR="00B04FEF">
        <w:rPr>
          <w:rFonts w:ascii="Garamond" w:hAnsi="Garamond"/>
          <w:sz w:val="24"/>
          <w:szCs w:val="24"/>
        </w:rPr>
        <w:t>).</w:t>
      </w:r>
      <w:r w:rsidR="0008306E">
        <w:rPr>
          <w:rFonts w:ascii="Garamond" w:hAnsi="Garamond"/>
          <w:sz w:val="24"/>
          <w:szCs w:val="24"/>
        </w:rPr>
        <w:t xml:space="preserve"> </w:t>
      </w:r>
    </w:p>
    <w:p w14:paraId="78ACD33E" w14:textId="7FF269C5" w:rsidR="00ED071A" w:rsidRPr="00C75D50" w:rsidRDefault="003122CB" w:rsidP="00C75D50">
      <w:pPr>
        <w:spacing w:line="360" w:lineRule="auto"/>
        <w:jc w:val="both"/>
        <w:rPr>
          <w:rFonts w:ascii="Garamond" w:hAnsi="Garamond"/>
          <w:sz w:val="24"/>
          <w:szCs w:val="24"/>
        </w:rPr>
      </w:pPr>
      <w:r>
        <w:rPr>
          <w:rFonts w:ascii="Garamond" w:hAnsi="Garamond"/>
          <w:sz w:val="24"/>
          <w:szCs w:val="24"/>
        </w:rPr>
        <w:t xml:space="preserve">Pappin, </w:t>
      </w:r>
      <w:r w:rsidR="00A70979">
        <w:rPr>
          <w:rFonts w:ascii="Garamond" w:hAnsi="Garamond"/>
          <w:sz w:val="24"/>
          <w:szCs w:val="24"/>
        </w:rPr>
        <w:t xml:space="preserve">Gladden, J. Explaining Agamben. </w:t>
      </w:r>
      <w:r w:rsidR="00CF3B81">
        <w:rPr>
          <w:rFonts w:ascii="Garamond" w:hAnsi="Garamond"/>
          <w:sz w:val="24"/>
          <w:szCs w:val="24"/>
        </w:rPr>
        <w:t>In:</w:t>
      </w:r>
      <w:r w:rsidR="00CF3B81" w:rsidRPr="00CF3B81">
        <w:rPr>
          <w:rFonts w:ascii="Source Sans Pro" w:hAnsi="Source Sans Pro"/>
          <w:color w:val="3A3A3A"/>
          <w:sz w:val="23"/>
          <w:szCs w:val="23"/>
          <w:shd w:val="clear" w:color="auto" w:fill="F3F3F3"/>
        </w:rPr>
        <w:t xml:space="preserve"> </w:t>
      </w:r>
      <w:r w:rsidR="00CF3B81" w:rsidRPr="00CF3B81">
        <w:rPr>
          <w:rFonts w:ascii="Garamond" w:hAnsi="Garamond"/>
          <w:sz w:val="24"/>
          <w:szCs w:val="24"/>
        </w:rPr>
        <w:t>First Things, 2014 (239)</w:t>
      </w:r>
      <w:r w:rsidR="00CF3B81">
        <w:rPr>
          <w:rFonts w:ascii="Garamond" w:hAnsi="Garamond"/>
          <w:sz w:val="24"/>
          <w:szCs w:val="24"/>
        </w:rPr>
        <w:t xml:space="preserve">. </w:t>
      </w:r>
      <w:r w:rsidR="003E40BD" w:rsidRPr="003E40BD">
        <w:rPr>
          <w:rFonts w:ascii="Garamond" w:hAnsi="Garamond"/>
          <w:sz w:val="24"/>
          <w:szCs w:val="24"/>
        </w:rPr>
        <w:t>New York: Institute on Religion and Public Life</w:t>
      </w:r>
      <w:r w:rsidR="003E40BD">
        <w:rPr>
          <w:rFonts w:ascii="Garamond" w:hAnsi="Garamond"/>
          <w:sz w:val="24"/>
          <w:szCs w:val="24"/>
        </w:rPr>
        <w:t xml:space="preserve">. </w:t>
      </w:r>
      <w:r w:rsidR="001547F3">
        <w:rPr>
          <w:rFonts w:ascii="Garamond" w:hAnsi="Garamond"/>
          <w:sz w:val="24"/>
          <w:szCs w:val="24"/>
        </w:rPr>
        <w:t>(</w:t>
      </w:r>
      <w:r w:rsidR="00CF3B81">
        <w:rPr>
          <w:rFonts w:ascii="Garamond" w:hAnsi="Garamond"/>
          <w:sz w:val="24"/>
          <w:szCs w:val="24"/>
        </w:rPr>
        <w:t>Online Article</w:t>
      </w:r>
      <w:r w:rsidR="001547F3">
        <w:rPr>
          <w:rFonts w:ascii="Garamond" w:hAnsi="Garamond"/>
          <w:sz w:val="24"/>
          <w:szCs w:val="24"/>
        </w:rPr>
        <w:t>).</w:t>
      </w:r>
    </w:p>
    <w:sectPr w:rsidR="00ED071A" w:rsidRPr="00C75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8A574" w14:textId="77777777" w:rsidR="00B645AD" w:rsidRDefault="00B645AD" w:rsidP="00B645AD">
      <w:pPr>
        <w:spacing w:after="0" w:line="240" w:lineRule="auto"/>
      </w:pPr>
      <w:r>
        <w:separator/>
      </w:r>
    </w:p>
  </w:endnote>
  <w:endnote w:type="continuationSeparator" w:id="0">
    <w:p w14:paraId="2C2B7BBB" w14:textId="77777777" w:rsidR="00B645AD" w:rsidRDefault="00B645AD" w:rsidP="00B64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F45CE" w14:textId="77777777" w:rsidR="00B645AD" w:rsidRDefault="00B645AD" w:rsidP="00B645AD">
      <w:pPr>
        <w:spacing w:after="0" w:line="240" w:lineRule="auto"/>
      </w:pPr>
      <w:r>
        <w:separator/>
      </w:r>
    </w:p>
  </w:footnote>
  <w:footnote w:type="continuationSeparator" w:id="0">
    <w:p w14:paraId="0A3A8E61" w14:textId="77777777" w:rsidR="00B645AD" w:rsidRDefault="00B645AD" w:rsidP="00B645AD">
      <w:pPr>
        <w:spacing w:after="0" w:line="240" w:lineRule="auto"/>
      </w:pPr>
      <w:r>
        <w:continuationSeparator/>
      </w:r>
    </w:p>
  </w:footnote>
  <w:footnote w:id="1">
    <w:p w14:paraId="69483182" w14:textId="29850CC3" w:rsidR="00B645AD" w:rsidRDefault="00B645AD">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2">
    <w:p w14:paraId="7D0ACB51" w14:textId="1AC4C791" w:rsidR="00931628" w:rsidRDefault="00931628">
      <w:pPr>
        <w:pStyle w:val="FootnoteText"/>
      </w:pPr>
      <w:r>
        <w:rPr>
          <w:rStyle w:val="FootnoteReference"/>
        </w:rPr>
        <w:footnoteRef/>
      </w:r>
      <w:r>
        <w:t xml:space="preserve"> </w:t>
      </w:r>
      <w:bookmarkStart w:id="0" w:name="_Hlk122107394"/>
      <w:r w:rsidR="00CA0E23">
        <w:t xml:space="preserve">Giorgio </w:t>
      </w:r>
      <w:r w:rsidR="0086265F" w:rsidRPr="0086265F">
        <w:t>Agamben. The Kingdom and the Glory. (Stanford California: Stanford University Press, 2011).</w:t>
      </w:r>
      <w:r w:rsidR="00CA0E23">
        <w:t xml:space="preserve"> </w:t>
      </w:r>
      <w:r>
        <w:t>Preface</w:t>
      </w:r>
      <w:bookmarkEnd w:id="0"/>
      <w:r>
        <w:t>.</w:t>
      </w:r>
    </w:p>
  </w:footnote>
  <w:footnote w:id="3">
    <w:p w14:paraId="0E223367" w14:textId="01D2837C" w:rsidR="00931628" w:rsidRDefault="00931628">
      <w:pPr>
        <w:pStyle w:val="FootnoteText"/>
      </w:pPr>
      <w:r>
        <w:rPr>
          <w:rStyle w:val="FootnoteReference"/>
        </w:rPr>
        <w:footnoteRef/>
      </w:r>
      <w:r>
        <w:t xml:space="preserve"> </w:t>
      </w:r>
      <w:r w:rsidR="00CA0E23" w:rsidRPr="00CA0E23">
        <w:t>Giorgio Agamben. The Kingdom and the Glory. (Stanford California: Stanford University Press, 2011). Preface</w:t>
      </w:r>
      <w:r w:rsidR="00CA0E23">
        <w:t>.</w:t>
      </w:r>
    </w:p>
  </w:footnote>
  <w:footnote w:id="4">
    <w:p w14:paraId="30D02C55" w14:textId="15B05960" w:rsidR="008E72C2" w:rsidRDefault="008E72C2">
      <w:pPr>
        <w:pStyle w:val="FootnoteText"/>
      </w:pPr>
      <w:r>
        <w:rPr>
          <w:rStyle w:val="FootnoteReference"/>
        </w:rPr>
        <w:footnoteRef/>
      </w:r>
      <w:r>
        <w:t xml:space="preserve"> </w:t>
      </w:r>
      <w:r w:rsidR="00CA0E23" w:rsidRPr="00CA0E23">
        <w:t>Giorgio Agamben. The Kingdom and the Glory. (Stanford California: Stanford University Press, 2011). Preface</w:t>
      </w:r>
      <w:r w:rsidR="00CA0E23">
        <w:t>.</w:t>
      </w:r>
    </w:p>
  </w:footnote>
  <w:footnote w:id="5">
    <w:p w14:paraId="470A5D41" w14:textId="1A0B4BE7" w:rsidR="00500355" w:rsidRDefault="00500355">
      <w:pPr>
        <w:pStyle w:val="FootnoteText"/>
      </w:pPr>
      <w:r>
        <w:rPr>
          <w:rStyle w:val="FootnoteReference"/>
        </w:rPr>
        <w:footnoteRef/>
      </w:r>
      <w:r>
        <w:t xml:space="preserve"> </w:t>
      </w:r>
      <w:r w:rsidR="00CA0E23" w:rsidRPr="00CA0E23">
        <w:t>Giorgio Agamben. The Kingdom and the Glory. (Stanford California: Stanford University Press, 2011).</w:t>
      </w:r>
      <w:r w:rsidR="00CA0E23" w:rsidRPr="00CA0E23">
        <w:t xml:space="preserve"> </w:t>
      </w:r>
      <w:r w:rsidR="00C76E0F">
        <w:t>P</w:t>
      </w:r>
      <w:r w:rsidR="00CA0E23">
        <w:t>p</w:t>
      </w:r>
      <w:r w:rsidR="00C76E0F">
        <w:t xml:space="preserve"> 110</w:t>
      </w:r>
      <w:r w:rsidR="00DB54D8">
        <w:t>.</w:t>
      </w:r>
    </w:p>
  </w:footnote>
  <w:footnote w:id="6">
    <w:p w14:paraId="734096D6" w14:textId="117617E6" w:rsidR="00C76E0F" w:rsidRDefault="00C76E0F">
      <w:pPr>
        <w:pStyle w:val="FootnoteText"/>
      </w:pPr>
      <w:r>
        <w:rPr>
          <w:rStyle w:val="FootnoteReference"/>
        </w:rPr>
        <w:footnoteRef/>
      </w:r>
      <w:r>
        <w:t xml:space="preserve"> </w:t>
      </w:r>
      <w:r w:rsidR="00DB54D8" w:rsidRPr="00DB54D8">
        <w:t xml:space="preserve">Giorgio Agamben. The Kingdom and the Glory. (Stanford California: Stanford University Press, 2011). </w:t>
      </w:r>
      <w:r w:rsidR="00DB54D8">
        <w:t>Pp</w:t>
      </w:r>
      <w:r>
        <w:t xml:space="preserve"> 110</w:t>
      </w:r>
      <w:r w:rsidR="00DB54D8">
        <w:t>.</w:t>
      </w:r>
    </w:p>
  </w:footnote>
  <w:footnote w:id="7">
    <w:p w14:paraId="7CE02F21" w14:textId="0CD60065" w:rsidR="00C76E0F" w:rsidRDefault="00C76E0F">
      <w:pPr>
        <w:pStyle w:val="FootnoteText"/>
      </w:pPr>
      <w:r>
        <w:rPr>
          <w:rStyle w:val="FootnoteReference"/>
        </w:rPr>
        <w:footnoteRef/>
      </w:r>
      <w:r>
        <w:t xml:space="preserve"> </w:t>
      </w:r>
      <w:r w:rsidR="00DB54D8" w:rsidRPr="00DB54D8">
        <w:t>Giorgio Agamben. The Kingdom and the Glory. (Stanford California: Stanford University Press, 2011).</w:t>
      </w:r>
      <w:r>
        <w:t xml:space="preserve"> </w:t>
      </w:r>
      <w:r w:rsidR="00DB54D8">
        <w:t xml:space="preserve">Pp </w:t>
      </w:r>
      <w:r>
        <w:t>110</w:t>
      </w:r>
      <w:r w:rsidR="00DB54D8">
        <w:t>.</w:t>
      </w:r>
    </w:p>
  </w:footnote>
  <w:footnote w:id="8">
    <w:p w14:paraId="27883167" w14:textId="7155A008" w:rsidR="00C76E0F" w:rsidRDefault="00C76E0F">
      <w:pPr>
        <w:pStyle w:val="FootnoteText"/>
      </w:pPr>
      <w:r>
        <w:rPr>
          <w:rStyle w:val="FootnoteReference"/>
        </w:rPr>
        <w:footnoteRef/>
      </w:r>
      <w:r>
        <w:t xml:space="preserve"> </w:t>
      </w:r>
      <w:r w:rsidR="00DB54D8" w:rsidRPr="00DB54D8">
        <w:t>Giorgio Agamben. The Kingdom and the Glory. (Stanford California: Stanford University Press, 2011).</w:t>
      </w:r>
      <w:r>
        <w:t xml:space="preserve"> </w:t>
      </w:r>
      <w:r w:rsidR="00DB54D8">
        <w:t xml:space="preserve">Pp </w:t>
      </w:r>
      <w:r>
        <w:t>110</w:t>
      </w:r>
      <w:r w:rsidR="00DB54D8">
        <w:t>.</w:t>
      </w:r>
    </w:p>
  </w:footnote>
  <w:footnote w:id="9">
    <w:p w14:paraId="44E5019A" w14:textId="24AE8092" w:rsidR="00C76E0F" w:rsidRDefault="00C76E0F">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110-111</w:t>
      </w:r>
      <w:r w:rsidR="00DB54D8">
        <w:t>.</w:t>
      </w:r>
    </w:p>
  </w:footnote>
  <w:footnote w:id="10">
    <w:p w14:paraId="5410F2D3" w14:textId="44E66772" w:rsidR="00C76E0F" w:rsidRDefault="00C76E0F">
      <w:pPr>
        <w:pStyle w:val="FootnoteText"/>
      </w:pPr>
      <w:r>
        <w:rPr>
          <w:rStyle w:val="FootnoteReference"/>
        </w:rPr>
        <w:footnoteRef/>
      </w:r>
      <w:r w:rsidR="00DB54D8">
        <w:t xml:space="preserve"> </w:t>
      </w:r>
      <w:r w:rsidR="00DB54D8" w:rsidRPr="00DB54D8">
        <w:t xml:space="preserve">Giorgio Agamben. The Kingdom and the Glory. (Stanford California: Stanford University Press, 2011). </w:t>
      </w:r>
      <w:r w:rsidR="00DB54D8">
        <w:t>Pp</w:t>
      </w:r>
      <w:r>
        <w:t xml:space="preserve"> 110-111</w:t>
      </w:r>
      <w:r w:rsidR="00DB54D8">
        <w:t>.</w:t>
      </w:r>
    </w:p>
  </w:footnote>
  <w:footnote w:id="11">
    <w:p w14:paraId="6E565B58" w14:textId="4255D86F" w:rsidR="00D538EB" w:rsidRDefault="00D538EB">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110</w:t>
      </w:r>
      <w:r w:rsidR="00DB54D8">
        <w:t>.</w:t>
      </w:r>
    </w:p>
  </w:footnote>
  <w:footnote w:id="12">
    <w:p w14:paraId="18F51BFD" w14:textId="08BFB21D" w:rsidR="00D538EB" w:rsidRDefault="00D538EB">
      <w:pPr>
        <w:pStyle w:val="FootnoteText"/>
      </w:pPr>
      <w:r>
        <w:rPr>
          <w:rStyle w:val="FootnoteReference"/>
        </w:rPr>
        <w:footnoteRef/>
      </w:r>
      <w:r>
        <w:t xml:space="preserve"> </w:t>
      </w:r>
      <w:r w:rsidR="00DB54D8" w:rsidRPr="00DB54D8">
        <w:t xml:space="preserve">Giorgio Agamben. The Kingdom and the Glory. (Stanford California: Stanford University Press, 2011). </w:t>
      </w:r>
      <w:r w:rsidR="00474114">
        <w:t>P</w:t>
      </w:r>
      <w:r w:rsidR="00DB54D8">
        <w:t>p</w:t>
      </w:r>
      <w:r w:rsidR="00474114">
        <w:t xml:space="preserve"> 1-2</w:t>
      </w:r>
      <w:r w:rsidR="00DB54D8">
        <w:t>.</w:t>
      </w:r>
    </w:p>
  </w:footnote>
  <w:footnote w:id="13">
    <w:p w14:paraId="67E110E5" w14:textId="1A810B40" w:rsidR="00474114" w:rsidRDefault="00474114">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1-2</w:t>
      </w:r>
      <w:r w:rsidR="00DB54D8">
        <w:t>.</w:t>
      </w:r>
    </w:p>
  </w:footnote>
  <w:footnote w:id="14">
    <w:p w14:paraId="5EBC4105" w14:textId="3EBF136F" w:rsidR="00474114" w:rsidRDefault="00474114">
      <w:pPr>
        <w:pStyle w:val="FootnoteText"/>
      </w:pPr>
      <w:r>
        <w:rPr>
          <w:rStyle w:val="FootnoteReference"/>
        </w:rPr>
        <w:footnoteRef/>
      </w:r>
      <w:r>
        <w:t xml:space="preserve"> </w:t>
      </w:r>
      <w:r w:rsidR="00DB54D8" w:rsidRPr="00DB54D8">
        <w:t xml:space="preserve">Giorgio Agamben. The Kingdom and the Glory. (Stanford California: Stanford University Press, 2011). </w:t>
      </w:r>
      <w:r w:rsidR="00DB54D8">
        <w:t xml:space="preserve">Pp </w:t>
      </w:r>
      <w:r>
        <w:t>2</w:t>
      </w:r>
      <w:r w:rsidR="00DB54D8">
        <w:t>.</w:t>
      </w:r>
    </w:p>
  </w:footnote>
  <w:footnote w:id="15">
    <w:p w14:paraId="4E88EA1A" w14:textId="7856A12E" w:rsidR="00474114" w:rsidRDefault="00474114">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2</w:t>
      </w:r>
      <w:r w:rsidR="00DB54D8">
        <w:t>.</w:t>
      </w:r>
    </w:p>
  </w:footnote>
  <w:footnote w:id="16">
    <w:p w14:paraId="13CB1A52" w14:textId="56B57BC5" w:rsidR="00474114" w:rsidRDefault="00474114">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17">
    <w:p w14:paraId="4BD75FEF" w14:textId="120D57F5" w:rsidR="00474114" w:rsidRDefault="00474114">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18">
    <w:p w14:paraId="5B0C85BD" w14:textId="28B89078" w:rsidR="00474114" w:rsidRDefault="00474114">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19">
    <w:p w14:paraId="0E8250B5" w14:textId="57871E1E" w:rsidR="00474114" w:rsidRDefault="00474114">
      <w:pPr>
        <w:pStyle w:val="FootnoteText"/>
      </w:pPr>
      <w:r>
        <w:rPr>
          <w:rStyle w:val="FootnoteReference"/>
        </w:rPr>
        <w:footnoteRef/>
      </w:r>
      <w:r>
        <w:t xml:space="preserve"> </w:t>
      </w:r>
      <w:r w:rsidR="00DB54D8" w:rsidRPr="00DB54D8">
        <w:t xml:space="preserve">Giorgio Agamben. The Kingdom and the Glory. (Stanford California: Stanford University Press, 2011). </w:t>
      </w:r>
      <w:r>
        <w:t>P</w:t>
      </w:r>
      <w:r w:rsidR="00DB54D8">
        <w:t>p</w:t>
      </w:r>
      <w:r>
        <w:t xml:space="preserve"> 2-3</w:t>
      </w:r>
      <w:r w:rsidR="00DB54D8">
        <w:t>.</w:t>
      </w:r>
    </w:p>
  </w:footnote>
  <w:footnote w:id="20">
    <w:p w14:paraId="388D6F7D" w14:textId="57899A31" w:rsidR="00474114" w:rsidRDefault="00474114">
      <w:pPr>
        <w:pStyle w:val="FootnoteText"/>
      </w:pPr>
      <w:r>
        <w:rPr>
          <w:rStyle w:val="FootnoteReference"/>
        </w:rPr>
        <w:footnoteRef/>
      </w:r>
      <w:r>
        <w:t xml:space="preserve"> </w:t>
      </w:r>
      <w:r w:rsidR="00DB54D8" w:rsidRPr="00DB54D8">
        <w:t xml:space="preserve">Giorgio Agamben. The Kingdom and the Glory. (Stanford California: Stanford University Press, 2011). </w:t>
      </w:r>
      <w:r w:rsidR="00DB54D8">
        <w:t>Pp</w:t>
      </w:r>
      <w:r>
        <w:t xml:space="preserve"> 2-3</w:t>
      </w:r>
      <w:r w:rsidR="00DB54D8">
        <w:t>.</w:t>
      </w:r>
    </w:p>
  </w:footnote>
  <w:footnote w:id="21">
    <w:p w14:paraId="024E3E5E" w14:textId="0AA8E160" w:rsidR="0051009A" w:rsidRDefault="0051009A">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201</w:t>
      </w:r>
      <w:r w:rsidR="00DB54D8">
        <w:t>.</w:t>
      </w:r>
    </w:p>
  </w:footnote>
  <w:footnote w:id="22">
    <w:p w14:paraId="6805468E" w14:textId="498280E2" w:rsidR="008A0BD2" w:rsidRDefault="008A0BD2">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201-202</w:t>
      </w:r>
      <w:r w:rsidR="00DB54D8">
        <w:t>.</w:t>
      </w:r>
    </w:p>
  </w:footnote>
  <w:footnote w:id="23">
    <w:p w14:paraId="01848184" w14:textId="5700787B" w:rsidR="008A0BD2" w:rsidRDefault="008A0BD2">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 xml:space="preserve">p </w:t>
      </w:r>
      <w:r>
        <w:t>201-202</w:t>
      </w:r>
      <w:r w:rsidR="00DB54D8">
        <w:t>.</w:t>
      </w:r>
    </w:p>
  </w:footnote>
  <w:footnote w:id="24">
    <w:p w14:paraId="4D7B3B1D" w14:textId="58DA17C0" w:rsidR="008A0BD2" w:rsidRDefault="008A0BD2">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201-202</w:t>
      </w:r>
      <w:r w:rsidR="00DB54D8">
        <w:t>.</w:t>
      </w:r>
    </w:p>
  </w:footnote>
  <w:footnote w:id="25">
    <w:p w14:paraId="153E81C1" w14:textId="73C8DF9D" w:rsidR="00993AF7" w:rsidRDefault="00993AF7">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201-202</w:t>
      </w:r>
      <w:r w:rsidR="00DB54D8">
        <w:t>.</w:t>
      </w:r>
    </w:p>
  </w:footnote>
  <w:footnote w:id="26">
    <w:p w14:paraId="18BAD759" w14:textId="45DC18F7" w:rsidR="00993AF7" w:rsidRDefault="00993AF7">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207</w:t>
      </w:r>
      <w:r w:rsidR="00DB54D8">
        <w:t>.</w:t>
      </w:r>
    </w:p>
  </w:footnote>
  <w:footnote w:id="27">
    <w:p w14:paraId="2F0C190C" w14:textId="6D031578" w:rsidR="00F5708E" w:rsidRDefault="00F5708E">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207</w:t>
      </w:r>
      <w:r w:rsidR="00DB54D8">
        <w:t>.</w:t>
      </w:r>
    </w:p>
  </w:footnote>
  <w:footnote w:id="28">
    <w:p w14:paraId="3B3A7BE2" w14:textId="1E2DFD11" w:rsidR="00F5708E" w:rsidRDefault="00F5708E">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207-208</w:t>
      </w:r>
      <w:r w:rsidR="00DB54D8">
        <w:t>.</w:t>
      </w:r>
    </w:p>
  </w:footnote>
  <w:footnote w:id="29">
    <w:p w14:paraId="389BB44D" w14:textId="03116A15" w:rsidR="00F5708E" w:rsidRDefault="00F5708E">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208</w:t>
      </w:r>
      <w:r w:rsidR="00DB54D8">
        <w:t>.</w:t>
      </w:r>
    </w:p>
  </w:footnote>
  <w:footnote w:id="30">
    <w:p w14:paraId="55D1955A" w14:textId="7E22EEBF" w:rsidR="00F07A04" w:rsidRDefault="00F07A04">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208</w:t>
      </w:r>
      <w:r w:rsidR="00DB54D8">
        <w:t>.</w:t>
      </w:r>
    </w:p>
  </w:footnote>
  <w:footnote w:id="31">
    <w:p w14:paraId="07FE49CB" w14:textId="219721D6" w:rsidR="00F07A04" w:rsidRDefault="00F07A04">
      <w:pPr>
        <w:pStyle w:val="FootnoteText"/>
      </w:pPr>
      <w:r>
        <w:rPr>
          <w:rStyle w:val="FootnoteReference"/>
        </w:rPr>
        <w:footnoteRef/>
      </w:r>
      <w:r>
        <w:t xml:space="preserve"> 208-209</w:t>
      </w:r>
    </w:p>
  </w:footnote>
  <w:footnote w:id="32">
    <w:p w14:paraId="5EDCF563" w14:textId="22C14DDE" w:rsidR="00F07A04" w:rsidRDefault="00F07A04">
      <w:pPr>
        <w:pStyle w:val="FootnoteText"/>
      </w:pPr>
      <w:r>
        <w:rPr>
          <w:rStyle w:val="FootnoteReference"/>
        </w:rPr>
        <w:footnoteRef/>
      </w:r>
      <w:r>
        <w:t xml:space="preserve"> </w:t>
      </w:r>
      <w:r w:rsidR="00DB54D8" w:rsidRPr="00DB54D8">
        <w:t>Giorgio Agamben. The Kingdom and the Glory. (Stanford California: Stanford University Press, 2011). P</w:t>
      </w:r>
      <w:r w:rsidR="00DB54D8">
        <w:t>p</w:t>
      </w:r>
      <w:r w:rsidR="00DB54D8" w:rsidRPr="00DB54D8">
        <w:t xml:space="preserve"> </w:t>
      </w:r>
      <w:r>
        <w:t>209</w:t>
      </w:r>
      <w:r w:rsidR="00DB54D8">
        <w:t>.</w:t>
      </w:r>
    </w:p>
  </w:footnote>
  <w:footnote w:id="33">
    <w:p w14:paraId="084695F5" w14:textId="24E42DE8" w:rsidR="00ED3CC5" w:rsidRDefault="00ED3CC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4">
    <w:p w14:paraId="54CBC17C" w14:textId="52AB8A8E" w:rsidR="00ED3CC5" w:rsidRDefault="00ED3CC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5">
    <w:p w14:paraId="336C5D7C" w14:textId="6F38D721" w:rsidR="0047402C" w:rsidRDefault="0047402C">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6">
    <w:p w14:paraId="12136C68" w14:textId="149FFA9C" w:rsidR="0047402C" w:rsidRDefault="0047402C">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7">
    <w:p w14:paraId="4228B51A" w14:textId="21840478" w:rsidR="009E7EDE" w:rsidRDefault="009E7EDE">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8">
    <w:p w14:paraId="0EEA6482" w14:textId="437F1B1E" w:rsidR="00342885" w:rsidRDefault="0034288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39">
    <w:p w14:paraId="13FC9BAB" w14:textId="2FF45013" w:rsidR="00635D17" w:rsidRDefault="00635D17">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0">
    <w:p w14:paraId="4D44A738" w14:textId="560E5B36" w:rsidR="00635D17" w:rsidRDefault="00635D17">
      <w:pPr>
        <w:pStyle w:val="FootnoteText"/>
      </w:pPr>
      <w:r>
        <w:rPr>
          <w:rStyle w:val="FootnoteReference"/>
        </w:rPr>
        <w:footnoteRef/>
      </w:r>
      <w:r>
        <w:t xml:space="preserve"> </w:t>
      </w:r>
      <w:r w:rsidR="00DB54D8" w:rsidRPr="00DB54D8">
        <w:t>Giorgio Agamben. The Kingdom and the Glory. (Stanford California: Stanford University Press, 2011).</w:t>
      </w:r>
    </w:p>
  </w:footnote>
  <w:footnote w:id="41">
    <w:p w14:paraId="29F42842" w14:textId="5102DC93" w:rsidR="003F4775" w:rsidRDefault="003F477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2">
    <w:p w14:paraId="1A002ADF" w14:textId="1223B83A" w:rsidR="003F4775" w:rsidRDefault="003F477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3">
    <w:p w14:paraId="224B1002" w14:textId="3D36C309" w:rsidR="003F4775" w:rsidRDefault="003F477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4">
    <w:p w14:paraId="79D82311" w14:textId="3052549C" w:rsidR="003F4775" w:rsidRDefault="003F477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5">
    <w:p w14:paraId="6A924051" w14:textId="4B948E51" w:rsidR="003F4775" w:rsidRDefault="003F4775">
      <w:pPr>
        <w:pStyle w:val="FootnoteText"/>
      </w:pPr>
      <w:r>
        <w:rPr>
          <w:rStyle w:val="FootnoteReference"/>
        </w:rPr>
        <w:footnoteRef/>
      </w:r>
      <w:r>
        <w:t xml:space="preserve"> </w:t>
      </w:r>
      <w:r w:rsidR="001547F3" w:rsidRPr="001547F3">
        <w:t>Gladden, J, Pappin. Explaining Agamben. In: First Things, 2014 (239). New York: Institute on Religion and Public Life.</w:t>
      </w:r>
    </w:p>
  </w:footnote>
  <w:footnote w:id="46">
    <w:p w14:paraId="57FDB98E" w14:textId="69D4D805" w:rsidR="00451137" w:rsidRDefault="00451137">
      <w:pPr>
        <w:pStyle w:val="FootnoteText"/>
      </w:pPr>
      <w:r>
        <w:rPr>
          <w:rStyle w:val="FootnoteReference"/>
        </w:rPr>
        <w:footnoteRef/>
      </w:r>
      <w:r>
        <w:t xml:space="preserve"> </w:t>
      </w:r>
      <w:r w:rsidR="001547F3" w:rsidRPr="001547F3">
        <w:t>Gladden, J</w:t>
      </w:r>
      <w:r w:rsidR="001547F3">
        <w:t>, Pappin</w:t>
      </w:r>
      <w:r w:rsidR="001547F3" w:rsidRPr="001547F3">
        <w:t>. Explaining Agamben. In: First Things, 2014 (239). New York: Institute on Religion and Public Life.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07034"/>
    <w:multiLevelType w:val="hybridMultilevel"/>
    <w:tmpl w:val="D0A85776"/>
    <w:lvl w:ilvl="0" w:tplc="0AB62FF2">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8537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D50"/>
    <w:rsid w:val="00035DCA"/>
    <w:rsid w:val="00053810"/>
    <w:rsid w:val="000665AC"/>
    <w:rsid w:val="0008306E"/>
    <w:rsid w:val="00090A7E"/>
    <w:rsid w:val="000D2C24"/>
    <w:rsid w:val="000E2FE6"/>
    <w:rsid w:val="00105871"/>
    <w:rsid w:val="001168EF"/>
    <w:rsid w:val="0012184C"/>
    <w:rsid w:val="001411F8"/>
    <w:rsid w:val="001547F3"/>
    <w:rsid w:val="00171431"/>
    <w:rsid w:val="001925CC"/>
    <w:rsid w:val="001D0CAA"/>
    <w:rsid w:val="002433D6"/>
    <w:rsid w:val="00264622"/>
    <w:rsid w:val="00296FE8"/>
    <w:rsid w:val="002B43FE"/>
    <w:rsid w:val="002C1381"/>
    <w:rsid w:val="00304232"/>
    <w:rsid w:val="00306713"/>
    <w:rsid w:val="003113FE"/>
    <w:rsid w:val="003122CB"/>
    <w:rsid w:val="0031339C"/>
    <w:rsid w:val="00315E53"/>
    <w:rsid w:val="00321BB9"/>
    <w:rsid w:val="00330AA2"/>
    <w:rsid w:val="00342885"/>
    <w:rsid w:val="0035365B"/>
    <w:rsid w:val="003A144A"/>
    <w:rsid w:val="003A1B0A"/>
    <w:rsid w:val="003C57A0"/>
    <w:rsid w:val="003D6B43"/>
    <w:rsid w:val="003E18FD"/>
    <w:rsid w:val="003E40BD"/>
    <w:rsid w:val="003F1315"/>
    <w:rsid w:val="003F2217"/>
    <w:rsid w:val="003F4775"/>
    <w:rsid w:val="003F680E"/>
    <w:rsid w:val="00451137"/>
    <w:rsid w:val="0046222F"/>
    <w:rsid w:val="00463ADA"/>
    <w:rsid w:val="00463DEB"/>
    <w:rsid w:val="0047402C"/>
    <w:rsid w:val="00474114"/>
    <w:rsid w:val="00481AAC"/>
    <w:rsid w:val="004E0A00"/>
    <w:rsid w:val="004F543B"/>
    <w:rsid w:val="00500355"/>
    <w:rsid w:val="0050505E"/>
    <w:rsid w:val="0051009A"/>
    <w:rsid w:val="005158A7"/>
    <w:rsid w:val="00521FFA"/>
    <w:rsid w:val="00576642"/>
    <w:rsid w:val="0058184F"/>
    <w:rsid w:val="005C31A6"/>
    <w:rsid w:val="005D2180"/>
    <w:rsid w:val="005E198D"/>
    <w:rsid w:val="005E44D3"/>
    <w:rsid w:val="00600EF1"/>
    <w:rsid w:val="00606DAF"/>
    <w:rsid w:val="00635D17"/>
    <w:rsid w:val="00637BF4"/>
    <w:rsid w:val="00691CDB"/>
    <w:rsid w:val="0073136A"/>
    <w:rsid w:val="007361E9"/>
    <w:rsid w:val="00741D3D"/>
    <w:rsid w:val="00756887"/>
    <w:rsid w:val="007825FB"/>
    <w:rsid w:val="007B134C"/>
    <w:rsid w:val="007C2B05"/>
    <w:rsid w:val="007F3FB0"/>
    <w:rsid w:val="00822587"/>
    <w:rsid w:val="00834EE0"/>
    <w:rsid w:val="00854A9D"/>
    <w:rsid w:val="00861C9A"/>
    <w:rsid w:val="0086265F"/>
    <w:rsid w:val="008641D7"/>
    <w:rsid w:val="00880186"/>
    <w:rsid w:val="008841FE"/>
    <w:rsid w:val="008852CE"/>
    <w:rsid w:val="0089068D"/>
    <w:rsid w:val="008A0BD2"/>
    <w:rsid w:val="008E72C2"/>
    <w:rsid w:val="008F043D"/>
    <w:rsid w:val="00902A60"/>
    <w:rsid w:val="00903F46"/>
    <w:rsid w:val="0090644D"/>
    <w:rsid w:val="00927A20"/>
    <w:rsid w:val="00931628"/>
    <w:rsid w:val="00932AD3"/>
    <w:rsid w:val="009345FF"/>
    <w:rsid w:val="00951F82"/>
    <w:rsid w:val="00972973"/>
    <w:rsid w:val="00993AF7"/>
    <w:rsid w:val="009B2CEE"/>
    <w:rsid w:val="009D5F80"/>
    <w:rsid w:val="009E7EDE"/>
    <w:rsid w:val="009F3E5F"/>
    <w:rsid w:val="00A0174C"/>
    <w:rsid w:val="00A17B96"/>
    <w:rsid w:val="00A476EF"/>
    <w:rsid w:val="00A70979"/>
    <w:rsid w:val="00AA07AC"/>
    <w:rsid w:val="00AE70C8"/>
    <w:rsid w:val="00AF4F49"/>
    <w:rsid w:val="00AF6392"/>
    <w:rsid w:val="00B04FEF"/>
    <w:rsid w:val="00B415BF"/>
    <w:rsid w:val="00B41AF7"/>
    <w:rsid w:val="00B51AC2"/>
    <w:rsid w:val="00B645AD"/>
    <w:rsid w:val="00B73C3E"/>
    <w:rsid w:val="00BA31FF"/>
    <w:rsid w:val="00BB24A8"/>
    <w:rsid w:val="00BD79C4"/>
    <w:rsid w:val="00C361BA"/>
    <w:rsid w:val="00C75D50"/>
    <w:rsid w:val="00C76E0F"/>
    <w:rsid w:val="00C91821"/>
    <w:rsid w:val="00CA0E23"/>
    <w:rsid w:val="00CE3D3B"/>
    <w:rsid w:val="00CF3B81"/>
    <w:rsid w:val="00CF3F44"/>
    <w:rsid w:val="00CF5C0F"/>
    <w:rsid w:val="00D33F82"/>
    <w:rsid w:val="00D37506"/>
    <w:rsid w:val="00D538EB"/>
    <w:rsid w:val="00D64526"/>
    <w:rsid w:val="00D748E9"/>
    <w:rsid w:val="00DA2802"/>
    <w:rsid w:val="00DB54D8"/>
    <w:rsid w:val="00DC2669"/>
    <w:rsid w:val="00DE20FE"/>
    <w:rsid w:val="00E11DC2"/>
    <w:rsid w:val="00E37584"/>
    <w:rsid w:val="00ED071A"/>
    <w:rsid w:val="00ED114D"/>
    <w:rsid w:val="00ED3CC5"/>
    <w:rsid w:val="00F07A04"/>
    <w:rsid w:val="00F32833"/>
    <w:rsid w:val="00F5708E"/>
    <w:rsid w:val="00F80195"/>
    <w:rsid w:val="00F847A2"/>
    <w:rsid w:val="00F86444"/>
    <w:rsid w:val="00F977ED"/>
    <w:rsid w:val="00FA70AF"/>
    <w:rsid w:val="00FB0026"/>
    <w:rsid w:val="00FB72A2"/>
    <w:rsid w:val="00FB7CFB"/>
    <w:rsid w:val="00FC5DDA"/>
    <w:rsid w:val="00FD120A"/>
    <w:rsid w:val="00FF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DB9C"/>
  <w15:chartTrackingRefBased/>
  <w15:docId w15:val="{44545B37-7143-4398-8351-DF901AA3C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45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45AD"/>
    <w:rPr>
      <w:sz w:val="20"/>
      <w:szCs w:val="20"/>
    </w:rPr>
  </w:style>
  <w:style w:type="character" w:styleId="FootnoteReference">
    <w:name w:val="footnote reference"/>
    <w:basedOn w:val="DefaultParagraphFont"/>
    <w:uiPriority w:val="99"/>
    <w:semiHidden/>
    <w:unhideWhenUsed/>
    <w:rsid w:val="00B645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59123-2CDA-4740-9E2A-E829C81C3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3204</Words>
  <Characters>18267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 Silurean8</dc:creator>
  <cp:keywords/>
  <dc:description/>
  <cp:lastModifiedBy>Pipe Silurean8</cp:lastModifiedBy>
  <cp:revision>3</cp:revision>
  <dcterms:created xsi:type="dcterms:W3CDTF">2022-12-16T18:35:00Z</dcterms:created>
  <dcterms:modified xsi:type="dcterms:W3CDTF">2022-12-16T18:36:00Z</dcterms:modified>
</cp:coreProperties>
</file>