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58723861"/>
        <w:docPartObj>
          <w:docPartGallery w:val="Cover Pages"/>
          <w:docPartUnique/>
        </w:docPartObj>
      </w:sdtPr>
      <w:sdtEndPr>
        <w:rPr>
          <w:sz w:val="22"/>
        </w:rPr>
      </w:sdtEndPr>
      <w:sdtContent>
        <w:p w14:paraId="2A3DA320" w14:textId="6CBAE717" w:rsidR="00957029" w:rsidRPr="00957029" w:rsidRDefault="00526171" w:rsidP="00957029">
          <w:pPr>
            <w:pStyle w:val="NoSpacing"/>
            <w:rPr>
              <w:sz w:val="2"/>
            </w:rPr>
          </w:pPr>
          <w:r>
            <w:rPr>
              <w:noProof/>
            </w:rPr>
            <mc:AlternateContent>
              <mc:Choice Requires="wps">
                <w:drawing>
                  <wp:anchor distT="0" distB="0" distL="114300" distR="114300" simplePos="0" relativeHeight="251661312" behindDoc="0" locked="0" layoutInCell="1" allowOverlap="1" wp14:anchorId="70F3B895" wp14:editId="19767410">
                    <wp:simplePos x="0" y="0"/>
                    <wp:positionH relativeFrom="page">
                      <wp:posOffset>890494</wp:posOffset>
                    </wp:positionH>
                    <wp:positionV relativeFrom="margin">
                      <wp:posOffset>23906</wp:posOffset>
                    </wp:positionV>
                    <wp:extent cx="5943600" cy="2384612"/>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23846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D88D0" w14:textId="019A9673" w:rsidR="008A2108" w:rsidRDefault="008A2108">
                                <w:pPr>
                                  <w:pStyle w:val="NoSpacing"/>
                                  <w:rPr>
                                    <w:rFonts w:asciiTheme="majorHAnsi" w:eastAsiaTheme="majorEastAsia" w:hAnsiTheme="majorHAnsi" w:cstheme="majorBidi"/>
                                    <w:caps/>
                                    <w:color w:val="8496B0" w:themeColor="text2" w:themeTint="99"/>
                                    <w:sz w:val="68"/>
                                    <w:szCs w:val="68"/>
                                  </w:rPr>
                                </w:pPr>
                              </w:p>
                              <w:p w14:paraId="79665592" w14:textId="6009F7A1" w:rsidR="008A2108" w:rsidRDefault="008A2108" w:rsidP="00526171">
                                <w:pPr>
                                  <w:pStyle w:val="NoSpacing"/>
                                  <w:spacing w:before="120"/>
                                  <w:jc w:val="center"/>
                                  <w:rPr>
                                    <w:color w:val="4472C4" w:themeColor="accent1"/>
                                    <w:sz w:val="36"/>
                                    <w:szCs w:val="36"/>
                                  </w:rPr>
                                </w:pPr>
                              </w:p>
                              <w:p w14:paraId="65EDC337" w14:textId="0A201595" w:rsidR="008A2108" w:rsidRPr="000E692E" w:rsidRDefault="00526171" w:rsidP="00526171">
                                <w:pPr>
                                  <w:jc w:val="center"/>
                                  <w:rPr>
                                    <w:rFonts w:ascii="Century" w:hAnsi="Century"/>
                                    <w:b/>
                                    <w:bCs/>
                                    <w:sz w:val="48"/>
                                    <w:szCs w:val="48"/>
                                  </w:rPr>
                                </w:pPr>
                                <w:r w:rsidRPr="000E692E">
                                  <w:rPr>
                                    <w:rFonts w:ascii="Century" w:hAnsi="Century"/>
                                    <w:b/>
                                    <w:bCs/>
                                    <w:sz w:val="48"/>
                                    <w:szCs w:val="48"/>
                                  </w:rPr>
                                  <w:t>International Financial Management</w:t>
                                </w:r>
                              </w:p>
                              <w:p w14:paraId="0D344383" w14:textId="6A04EEDA" w:rsidR="00967B4C" w:rsidRPr="000E692E" w:rsidRDefault="00967B4C" w:rsidP="00526171">
                                <w:pPr>
                                  <w:jc w:val="center"/>
                                  <w:rPr>
                                    <w:rFonts w:ascii="Century" w:hAnsi="Century"/>
                                    <w:b/>
                                    <w:bCs/>
                                    <w:sz w:val="48"/>
                                    <w:szCs w:val="48"/>
                                  </w:rPr>
                                </w:pPr>
                                <w:r w:rsidRPr="000E692E">
                                  <w:rPr>
                                    <w:rFonts w:ascii="Century" w:hAnsi="Century"/>
                                    <w:b/>
                                    <w:bCs/>
                                    <w:sz w:val="48"/>
                                    <w:szCs w:val="48"/>
                                  </w:rPr>
                                  <w:t>LCBB</w:t>
                                </w:r>
                                <w:r w:rsidR="00DF003E" w:rsidRPr="000E692E">
                                  <w:rPr>
                                    <w:rFonts w:ascii="Century" w:hAnsi="Century"/>
                                    <w:b/>
                                    <w:bCs/>
                                    <w:sz w:val="48"/>
                                    <w:szCs w:val="48"/>
                                  </w:rPr>
                                  <w:t>6002</w:t>
                                </w:r>
                              </w:p>
                              <w:p w14:paraId="32BEB95A" w14:textId="519A90DB" w:rsidR="00DF003E" w:rsidRPr="000E692E" w:rsidRDefault="00DF003E" w:rsidP="00526171">
                                <w:pPr>
                                  <w:jc w:val="center"/>
                                  <w:rPr>
                                    <w:rFonts w:ascii="Century" w:hAnsi="Century"/>
                                    <w:b/>
                                    <w:bCs/>
                                    <w:sz w:val="48"/>
                                    <w:szCs w:val="48"/>
                                  </w:rPr>
                                </w:pPr>
                                <w:r w:rsidRPr="000E692E">
                                  <w:rPr>
                                    <w:rFonts w:ascii="Century" w:hAnsi="Century"/>
                                    <w:b/>
                                    <w:bCs/>
                                    <w:sz w:val="48"/>
                                    <w:szCs w:val="48"/>
                                  </w:rPr>
                                  <w:t>Assessment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0F3B895" id="_x0000_t202" coordsize="21600,21600" o:spt="202" path="m,l,21600r21600,l21600,xe">
                    <v:stroke joinstyle="miter"/>
                    <v:path gradientshapeok="t" o:connecttype="rect"/>
                  </v:shapetype>
                  <v:shape id="Text Box 15" o:spid="_x0000_s1026" type="#_x0000_t202" style="position:absolute;margin-left:70.1pt;margin-top:1.9pt;width:468pt;height:187.7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" filled="f" stroked="f" strokeweight=".5pt">
                    <v:textbox>
                      <w:txbxContent>
                        <w:p w14:paraId="01AD88D0" w14:textId="019A9673" w:rsidR="008A2108" w:rsidRDefault="008A2108">
                          <w:pPr>
                            <w:pStyle w:val="NoSpacing"/>
                            <w:rPr>
                              <w:rFonts w:asciiTheme="majorHAnsi" w:eastAsiaTheme="majorEastAsia" w:hAnsiTheme="majorHAnsi" w:cstheme="majorBidi"/>
                              <w:caps/>
                              <w:color w:val="8496B0" w:themeColor="text2" w:themeTint="99"/>
                              <w:sz w:val="68"/>
                              <w:szCs w:val="68"/>
                            </w:rPr>
                          </w:pPr>
                        </w:p>
                        <w:p w14:paraId="79665592" w14:textId="6009F7A1" w:rsidR="008A2108" w:rsidRDefault="008A2108" w:rsidP="00526171">
                          <w:pPr>
                            <w:pStyle w:val="NoSpacing"/>
                            <w:spacing w:before="120"/>
                            <w:jc w:val="center"/>
                            <w:rPr>
                              <w:color w:val="4472C4" w:themeColor="accent1"/>
                              <w:sz w:val="36"/>
                              <w:szCs w:val="36"/>
                            </w:rPr>
                          </w:pPr>
                        </w:p>
                        <w:p w14:paraId="65EDC337" w14:textId="0A201595" w:rsidR="008A2108" w:rsidRPr="000E692E" w:rsidRDefault="00526171" w:rsidP="00526171">
                          <w:pPr>
                            <w:jc w:val="center"/>
                            <w:rPr>
                              <w:rFonts w:ascii="Century" w:hAnsi="Century"/>
                              <w:b/>
                              <w:bCs/>
                              <w:sz w:val="48"/>
                              <w:szCs w:val="48"/>
                            </w:rPr>
                          </w:pPr>
                          <w:r w:rsidRPr="000E692E">
                            <w:rPr>
                              <w:rFonts w:ascii="Century" w:hAnsi="Century"/>
                              <w:b/>
                              <w:bCs/>
                              <w:sz w:val="48"/>
                              <w:szCs w:val="48"/>
                            </w:rPr>
                            <w:t>International Financial Management</w:t>
                          </w:r>
                        </w:p>
                        <w:p w14:paraId="0D344383" w14:textId="6A04EEDA" w:rsidR="00967B4C" w:rsidRPr="000E692E" w:rsidRDefault="00967B4C" w:rsidP="00526171">
                          <w:pPr>
                            <w:jc w:val="center"/>
                            <w:rPr>
                              <w:rFonts w:ascii="Century" w:hAnsi="Century"/>
                              <w:b/>
                              <w:bCs/>
                              <w:sz w:val="48"/>
                              <w:szCs w:val="48"/>
                            </w:rPr>
                          </w:pPr>
                          <w:r w:rsidRPr="000E692E">
                            <w:rPr>
                              <w:rFonts w:ascii="Century" w:hAnsi="Century"/>
                              <w:b/>
                              <w:bCs/>
                              <w:sz w:val="48"/>
                              <w:szCs w:val="48"/>
                            </w:rPr>
                            <w:t>LCBB</w:t>
                          </w:r>
                          <w:r w:rsidR="00DF003E" w:rsidRPr="000E692E">
                            <w:rPr>
                              <w:rFonts w:ascii="Century" w:hAnsi="Century"/>
                              <w:b/>
                              <w:bCs/>
                              <w:sz w:val="48"/>
                              <w:szCs w:val="48"/>
                            </w:rPr>
                            <w:t>6002</w:t>
                          </w:r>
                        </w:p>
                        <w:p w14:paraId="32BEB95A" w14:textId="519A90DB" w:rsidR="00DF003E" w:rsidRPr="000E692E" w:rsidRDefault="00DF003E" w:rsidP="00526171">
                          <w:pPr>
                            <w:jc w:val="center"/>
                            <w:rPr>
                              <w:rFonts w:ascii="Century" w:hAnsi="Century"/>
                              <w:b/>
                              <w:bCs/>
                              <w:sz w:val="48"/>
                              <w:szCs w:val="48"/>
                            </w:rPr>
                          </w:pPr>
                          <w:r w:rsidRPr="000E692E">
                            <w:rPr>
                              <w:rFonts w:ascii="Century" w:hAnsi="Century"/>
                              <w:b/>
                              <w:bCs/>
                              <w:sz w:val="48"/>
                              <w:szCs w:val="48"/>
                            </w:rPr>
                            <w:t>Assessment 1</w:t>
                          </w:r>
                        </w:p>
                      </w:txbxContent>
                    </v:textbox>
                    <w10:wrap anchorx="page" anchory="margin"/>
                  </v:shape>
                </w:pict>
              </mc:Fallback>
            </mc:AlternateContent>
          </w:r>
          <w:r w:rsidR="008A2108">
            <w:rPr>
              <w:noProof/>
              <w:color w:val="4472C4" w:themeColor="accent1"/>
              <w:sz w:val="36"/>
              <w:szCs w:val="36"/>
            </w:rPr>
            <mc:AlternateContent>
              <mc:Choice Requires="wpg">
                <w:drawing>
                  <wp:anchor distT="0" distB="0" distL="114300" distR="114300" simplePos="0" relativeHeight="251660288" behindDoc="1" locked="0" layoutInCell="1" allowOverlap="1" wp14:anchorId="190E1EFD" wp14:editId="3D8C65A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1AF439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sdtContent>
    </w:sdt>
    <w:p w14:paraId="60CD4227" w14:textId="7526CE07" w:rsidR="00FF4032" w:rsidRDefault="00FF4032"/>
    <w:p w14:paraId="50D93849" w14:textId="3AAF0BA0" w:rsidR="00957029" w:rsidRDefault="00957029"/>
    <w:p w14:paraId="1E8E3358" w14:textId="45638C56" w:rsidR="00957029" w:rsidRDefault="00957029"/>
    <w:p w14:paraId="513C8C51" w14:textId="77777777" w:rsidR="00957029" w:rsidRDefault="00957029"/>
    <w:p w14:paraId="1C7E8AC3" w14:textId="77777777" w:rsidR="00957029" w:rsidRDefault="00957029"/>
    <w:p w14:paraId="732DAFE1" w14:textId="77777777" w:rsidR="00957029" w:rsidRDefault="00957029"/>
    <w:p w14:paraId="242E33AF" w14:textId="77777777" w:rsidR="00957029" w:rsidRDefault="00957029"/>
    <w:p w14:paraId="50790674" w14:textId="77777777" w:rsidR="00957029" w:rsidRDefault="00957029"/>
    <w:p w14:paraId="768E5AE4" w14:textId="77777777" w:rsidR="00957029" w:rsidRDefault="00957029"/>
    <w:p w14:paraId="5141DCC9" w14:textId="77777777" w:rsidR="00957029" w:rsidRDefault="00957029"/>
    <w:p w14:paraId="6C56AB19" w14:textId="77777777" w:rsidR="00957029" w:rsidRDefault="00957029"/>
    <w:p w14:paraId="0BAD60E5" w14:textId="77777777" w:rsidR="00957029" w:rsidRDefault="00957029"/>
    <w:p w14:paraId="43BBC44C" w14:textId="77777777" w:rsidR="00957029" w:rsidRDefault="00957029"/>
    <w:p w14:paraId="170F6F76" w14:textId="77777777" w:rsidR="00957029" w:rsidRDefault="00957029"/>
    <w:p w14:paraId="47EEEC15" w14:textId="77777777" w:rsidR="00957029" w:rsidRDefault="00957029"/>
    <w:p w14:paraId="41A1A784" w14:textId="77777777" w:rsidR="00957029" w:rsidRDefault="00957029"/>
    <w:p w14:paraId="490E634E" w14:textId="77777777" w:rsidR="00957029" w:rsidRDefault="00957029"/>
    <w:p w14:paraId="6DAEC61B" w14:textId="77777777" w:rsidR="00957029" w:rsidRDefault="00957029"/>
    <w:p w14:paraId="57712237" w14:textId="77777777" w:rsidR="00957029" w:rsidRDefault="00957029"/>
    <w:p w14:paraId="22C24DB5" w14:textId="77777777" w:rsidR="00957029" w:rsidRDefault="00957029"/>
    <w:p w14:paraId="166B7563" w14:textId="77777777" w:rsidR="00957029" w:rsidRDefault="00957029"/>
    <w:p w14:paraId="4736EB93" w14:textId="77777777" w:rsidR="00957029" w:rsidRDefault="00957029"/>
    <w:p w14:paraId="6D63CC1A" w14:textId="77777777" w:rsidR="00957029" w:rsidRDefault="00957029"/>
    <w:p w14:paraId="32A66406" w14:textId="77777777" w:rsidR="00957029" w:rsidRDefault="00957029"/>
    <w:p w14:paraId="2DEBA4B2" w14:textId="77777777" w:rsidR="00957029" w:rsidRDefault="00957029"/>
    <w:p w14:paraId="33DA2DB0" w14:textId="77777777" w:rsidR="00957029" w:rsidRDefault="00957029"/>
    <w:p w14:paraId="1141E207" w14:textId="77777777" w:rsidR="009E43FC" w:rsidRDefault="009E43FC" w:rsidP="0068617A"/>
    <w:p w14:paraId="03D24276" w14:textId="68D684F9" w:rsidR="00586443" w:rsidRPr="00305F10" w:rsidRDefault="00586443" w:rsidP="00622C9E">
      <w:pPr>
        <w:rPr>
          <w:rFonts w:cstheme="minorHAnsi"/>
          <w:b/>
          <w:bCs/>
          <w:i/>
          <w:iCs/>
          <w:sz w:val="24"/>
          <w:szCs w:val="24"/>
        </w:rPr>
      </w:pPr>
      <w:r w:rsidRPr="00305F10">
        <w:rPr>
          <w:rFonts w:cstheme="minorHAnsi"/>
          <w:b/>
          <w:bCs/>
          <w:i/>
          <w:iCs/>
          <w:sz w:val="24"/>
          <w:szCs w:val="24"/>
        </w:rPr>
        <w:t>Student name: Anca Mirela Dula</w:t>
      </w:r>
    </w:p>
    <w:p w14:paraId="02398EC9" w14:textId="1003D7DE" w:rsidR="00586443" w:rsidRPr="00305F10" w:rsidRDefault="00586443" w:rsidP="00622C9E">
      <w:pPr>
        <w:rPr>
          <w:rFonts w:cstheme="minorHAnsi"/>
          <w:b/>
          <w:bCs/>
          <w:i/>
          <w:iCs/>
          <w:sz w:val="24"/>
          <w:szCs w:val="24"/>
        </w:rPr>
      </w:pPr>
      <w:r w:rsidRPr="00305F10">
        <w:rPr>
          <w:rFonts w:cstheme="minorHAnsi"/>
          <w:b/>
          <w:bCs/>
          <w:i/>
          <w:iCs/>
          <w:sz w:val="24"/>
          <w:szCs w:val="24"/>
        </w:rPr>
        <w:t xml:space="preserve">Student ID: </w:t>
      </w:r>
      <w:r w:rsidR="00427D38" w:rsidRPr="00305F10">
        <w:rPr>
          <w:rFonts w:cstheme="minorHAnsi"/>
          <w:b/>
          <w:bCs/>
          <w:i/>
          <w:iCs/>
          <w:sz w:val="24"/>
          <w:szCs w:val="24"/>
        </w:rPr>
        <w:t>2112863</w:t>
      </w:r>
    </w:p>
    <w:p w14:paraId="22D45BF3" w14:textId="5FA7E1DB" w:rsidR="00427D38" w:rsidRPr="00305F10" w:rsidRDefault="00427D38" w:rsidP="00622C9E">
      <w:pPr>
        <w:rPr>
          <w:rFonts w:cstheme="minorHAnsi"/>
          <w:b/>
          <w:bCs/>
          <w:i/>
          <w:iCs/>
          <w:color w:val="1D2125"/>
          <w:sz w:val="24"/>
          <w:szCs w:val="24"/>
          <w:shd w:val="clear" w:color="auto" w:fill="F8F9FA"/>
        </w:rPr>
      </w:pPr>
      <w:r w:rsidRPr="00305F10">
        <w:rPr>
          <w:rFonts w:cstheme="minorHAnsi"/>
          <w:b/>
          <w:bCs/>
          <w:i/>
          <w:iCs/>
          <w:sz w:val="24"/>
          <w:szCs w:val="24"/>
        </w:rPr>
        <w:t>Lecturer name:</w:t>
      </w:r>
      <w:r w:rsidR="00622C9E" w:rsidRPr="00305F10">
        <w:rPr>
          <w:rFonts w:cstheme="minorHAnsi"/>
          <w:b/>
          <w:bCs/>
          <w:i/>
          <w:iCs/>
          <w:color w:val="1D2125"/>
          <w:sz w:val="24"/>
          <w:szCs w:val="24"/>
          <w:shd w:val="clear" w:color="auto" w:fill="F8F9FA"/>
        </w:rPr>
        <w:t xml:space="preserve"> Andry </w:t>
      </w:r>
      <w:proofErr w:type="spellStart"/>
      <w:r w:rsidR="00622C9E" w:rsidRPr="00305F10">
        <w:rPr>
          <w:rFonts w:cstheme="minorHAnsi"/>
          <w:b/>
          <w:bCs/>
          <w:i/>
          <w:iCs/>
          <w:color w:val="1D2125"/>
          <w:sz w:val="24"/>
          <w:szCs w:val="24"/>
          <w:shd w:val="clear" w:color="auto" w:fill="F8F9FA"/>
        </w:rPr>
        <w:t>Rakotovololona</w:t>
      </w:r>
      <w:proofErr w:type="spellEnd"/>
    </w:p>
    <w:p w14:paraId="4E8D1FB9" w14:textId="58A29192" w:rsidR="00622C9E" w:rsidRPr="00305F10" w:rsidRDefault="00622C9E" w:rsidP="00622C9E">
      <w:pPr>
        <w:rPr>
          <w:rFonts w:cstheme="minorHAnsi"/>
          <w:b/>
          <w:bCs/>
          <w:i/>
          <w:iCs/>
          <w:sz w:val="24"/>
          <w:szCs w:val="24"/>
        </w:rPr>
      </w:pPr>
      <w:r w:rsidRPr="00305F10">
        <w:rPr>
          <w:rFonts w:cstheme="minorHAnsi"/>
          <w:b/>
          <w:bCs/>
          <w:i/>
          <w:iCs/>
          <w:color w:val="1D2125"/>
          <w:sz w:val="24"/>
          <w:szCs w:val="24"/>
          <w:shd w:val="clear" w:color="auto" w:fill="F8F9FA"/>
        </w:rPr>
        <w:t>Date: 02/01/2024</w:t>
      </w:r>
    </w:p>
    <w:p w14:paraId="23F07960" w14:textId="77777777" w:rsidR="00586443" w:rsidRPr="009E43FC" w:rsidRDefault="00586443" w:rsidP="009E43FC">
      <w:pPr>
        <w:jc w:val="right"/>
      </w:pPr>
    </w:p>
    <w:sdt>
      <w:sdtPr>
        <w:rPr>
          <w:rFonts w:asciiTheme="minorHAnsi" w:eastAsiaTheme="minorHAnsi" w:hAnsiTheme="minorHAnsi" w:cstheme="minorBidi"/>
          <w:color w:val="auto"/>
          <w:sz w:val="22"/>
          <w:szCs w:val="22"/>
          <w:lang w:val="en-GB"/>
        </w:rPr>
        <w:id w:val="274371336"/>
        <w:docPartObj>
          <w:docPartGallery w:val="Table of Contents"/>
          <w:docPartUnique/>
        </w:docPartObj>
      </w:sdtPr>
      <w:sdtEndPr>
        <w:rPr>
          <w:b/>
          <w:bCs/>
          <w:noProof/>
        </w:rPr>
      </w:sdtEndPr>
      <w:sdtContent>
        <w:p w14:paraId="6A1CA4D6" w14:textId="1721D676" w:rsidR="00886A44" w:rsidRDefault="00886A44">
          <w:pPr>
            <w:pStyle w:val="TOCHeading"/>
          </w:pPr>
          <w:r>
            <w:t>Table of Contents</w:t>
          </w:r>
        </w:p>
        <w:p w14:paraId="255292BE" w14:textId="33A7F67F" w:rsidR="006D6FED" w:rsidRPr="00EA04F8" w:rsidRDefault="00886A44">
          <w:pPr>
            <w:pStyle w:val="TOC1"/>
            <w:tabs>
              <w:tab w:val="right" w:leader="dot" w:pos="9016"/>
            </w:tabs>
            <w:rPr>
              <w:rFonts w:ascii="Arial" w:eastAsiaTheme="minorEastAsia" w:hAnsi="Arial" w:cs="Arial"/>
              <w:noProof/>
              <w:kern w:val="2"/>
              <w:sz w:val="24"/>
              <w:szCs w:val="24"/>
              <w:lang w:eastAsia="en-GB"/>
              <w14:ligatures w14:val="standardContextual"/>
            </w:rPr>
          </w:pPr>
          <w:r w:rsidRPr="00EA04F8">
            <w:rPr>
              <w:rFonts w:ascii="Arial" w:hAnsi="Arial" w:cs="Arial"/>
              <w:sz w:val="24"/>
              <w:szCs w:val="24"/>
            </w:rPr>
            <w:fldChar w:fldCharType="begin"/>
          </w:r>
          <w:r w:rsidRPr="00EA04F8">
            <w:rPr>
              <w:rFonts w:ascii="Arial" w:hAnsi="Arial" w:cs="Arial"/>
              <w:sz w:val="24"/>
              <w:szCs w:val="24"/>
            </w:rPr>
            <w:instrText xml:space="preserve"> TOC \o "1-3" \h \z \u </w:instrText>
          </w:r>
          <w:r w:rsidRPr="00EA04F8">
            <w:rPr>
              <w:rFonts w:ascii="Arial" w:hAnsi="Arial" w:cs="Arial"/>
              <w:sz w:val="24"/>
              <w:szCs w:val="24"/>
            </w:rPr>
            <w:fldChar w:fldCharType="separate"/>
          </w:r>
          <w:hyperlink w:anchor="_Toc155031694" w:history="1">
            <w:r w:rsidR="006D6FED" w:rsidRPr="00EA04F8">
              <w:rPr>
                <w:rStyle w:val="Hyperlink"/>
                <w:rFonts w:ascii="Arial" w:hAnsi="Arial" w:cs="Arial"/>
                <w:noProof/>
                <w:sz w:val="24"/>
                <w:szCs w:val="24"/>
              </w:rPr>
              <w:t>Introduction</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_Toc155031694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2</w:t>
            </w:r>
            <w:r w:rsidR="006D6FED" w:rsidRPr="00EA04F8">
              <w:rPr>
                <w:rFonts w:ascii="Arial" w:hAnsi="Arial" w:cs="Arial"/>
                <w:noProof/>
                <w:webHidden/>
                <w:sz w:val="24"/>
                <w:szCs w:val="24"/>
              </w:rPr>
              <w:fldChar w:fldCharType="end"/>
            </w:r>
          </w:hyperlink>
        </w:p>
        <w:p w14:paraId="6BD440E9" w14:textId="12925597"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695" w:history="1">
            <w:r w:rsidR="006D6FED" w:rsidRPr="00EA04F8">
              <w:rPr>
                <w:rStyle w:val="Hyperlink"/>
                <w:rFonts w:ascii="Arial" w:hAnsi="Arial" w:cs="Arial"/>
                <w:noProof/>
                <w:sz w:val="24"/>
                <w:szCs w:val="24"/>
              </w:rPr>
              <w:t>1. Forward Contracts</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_Toc155031695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48CB2C32" w14:textId="259A19C4"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696" w:history="1">
            <w:r w:rsidR="006D6FED" w:rsidRPr="00EA04F8">
              <w:rPr>
                <w:rStyle w:val="Hyperlink"/>
                <w:rFonts w:ascii="Arial" w:hAnsi="Arial" w:cs="Arial"/>
                <w:noProof/>
                <w:sz w:val="24"/>
                <w:szCs w:val="24"/>
                <w:bdr w:val="single" w:sz="2" w:space="0" w:color="D9D9E3" w:frame="1"/>
              </w:rPr>
              <w:t>2. Options</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_Toc155031696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356B5640" w14:textId="692D1A27"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697" w:history="1">
            <w:r w:rsidR="006D6FED" w:rsidRPr="00EA04F8">
              <w:rPr>
                <w:rStyle w:val="Hyperlink"/>
                <w:rFonts w:ascii="Arial" w:hAnsi="Arial" w:cs="Arial"/>
                <w:noProof/>
                <w:sz w:val="24"/>
                <w:szCs w:val="24"/>
              </w:rPr>
              <w:t>3. Currency Swaps</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_Toc155031697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71D8B827" w14:textId="40F415B1"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698" w:history="1">
            <w:r w:rsidR="006D6FED" w:rsidRPr="00EA04F8">
              <w:rPr>
                <w:rStyle w:val="Hyperlink"/>
                <w:rFonts w:ascii="Arial" w:hAnsi="Arial" w:cs="Arial"/>
                <w:noProof/>
                <w:sz w:val="24"/>
                <w:szCs w:val="24"/>
              </w:rPr>
              <w:t>4. Money Market Hedging</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_Toc155031698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221DA762" w14:textId="2B2ABF07"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699" w:history="1">
            <w:r w:rsidR="006D6FED" w:rsidRPr="00EA04F8">
              <w:rPr>
                <w:rStyle w:val="Hyperlink"/>
                <w:rFonts w:ascii="Arial" w:hAnsi="Arial" w:cs="Arial"/>
                <w:noProof/>
                <w:sz w:val="24"/>
                <w:szCs w:val="24"/>
              </w:rPr>
              <w:t>5. Natural Hedging</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_Toc155031699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66AB0DC7" w14:textId="101E1238"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700" w:history="1">
            <w:r w:rsidR="006D6FED" w:rsidRPr="00EA04F8">
              <w:rPr>
                <w:rStyle w:val="Hyperlink"/>
                <w:rFonts w:ascii="Arial" w:hAnsi="Arial" w:cs="Arial"/>
                <w:noProof/>
                <w:sz w:val="24"/>
                <w:szCs w:val="24"/>
              </w:rPr>
              <w:t xml:space="preserve">6. </w:t>
            </w:r>
            <w:r w:rsidR="00EA04F8">
              <w:rPr>
                <w:rStyle w:val="Hyperlink"/>
                <w:rFonts w:ascii="Arial" w:hAnsi="Arial" w:cs="Arial"/>
                <w:noProof/>
                <w:sz w:val="24"/>
                <w:szCs w:val="24"/>
              </w:rPr>
              <w:t xml:space="preserve"> </w:t>
            </w:r>
            <w:r w:rsidR="006D6FED" w:rsidRPr="00EA04F8">
              <w:rPr>
                <w:rStyle w:val="Hyperlink"/>
                <w:rFonts w:ascii="Arial" w:hAnsi="Arial" w:cs="Arial"/>
                <w:noProof/>
                <w:sz w:val="24"/>
                <w:szCs w:val="24"/>
              </w:rPr>
              <w:t>Economic Exposure Management</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_Toc155031700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3</w:t>
            </w:r>
            <w:r w:rsidR="006D6FED" w:rsidRPr="00EA04F8">
              <w:rPr>
                <w:rFonts w:ascii="Arial" w:hAnsi="Arial" w:cs="Arial"/>
                <w:noProof/>
                <w:webHidden/>
                <w:sz w:val="24"/>
                <w:szCs w:val="24"/>
              </w:rPr>
              <w:fldChar w:fldCharType="end"/>
            </w:r>
          </w:hyperlink>
        </w:p>
        <w:p w14:paraId="4B3C6774" w14:textId="4F3F544E" w:rsidR="006D6FED" w:rsidRPr="00EA04F8" w:rsidRDefault="00000000">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5031701" w:history="1">
            <w:r w:rsidR="006D6FED" w:rsidRPr="00EA04F8">
              <w:rPr>
                <w:rStyle w:val="Hyperlink"/>
                <w:rFonts w:ascii="Arial" w:hAnsi="Arial" w:cs="Arial"/>
                <w:noProof/>
                <w:sz w:val="24"/>
                <w:szCs w:val="24"/>
              </w:rPr>
              <w:t>7. Strategic Hedging</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_Toc155031701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4</w:t>
            </w:r>
            <w:r w:rsidR="006D6FED" w:rsidRPr="00EA04F8">
              <w:rPr>
                <w:rFonts w:ascii="Arial" w:hAnsi="Arial" w:cs="Arial"/>
                <w:noProof/>
                <w:webHidden/>
                <w:sz w:val="24"/>
                <w:szCs w:val="24"/>
              </w:rPr>
              <w:fldChar w:fldCharType="end"/>
            </w:r>
          </w:hyperlink>
        </w:p>
        <w:p w14:paraId="6759B703" w14:textId="4B832BE7" w:rsidR="006D6FED" w:rsidRPr="00EA04F8" w:rsidRDefault="00000000">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5031702" w:history="1">
            <w:r w:rsidR="006D6FED" w:rsidRPr="00EA04F8">
              <w:rPr>
                <w:rStyle w:val="Hyperlink"/>
                <w:rFonts w:ascii="Arial" w:hAnsi="Arial" w:cs="Arial"/>
                <w:noProof/>
                <w:sz w:val="24"/>
                <w:szCs w:val="24"/>
              </w:rPr>
              <w:t>Conclusion</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_Toc155031702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5</w:t>
            </w:r>
            <w:r w:rsidR="006D6FED" w:rsidRPr="00EA04F8">
              <w:rPr>
                <w:rFonts w:ascii="Arial" w:hAnsi="Arial" w:cs="Arial"/>
                <w:noProof/>
                <w:webHidden/>
                <w:sz w:val="24"/>
                <w:szCs w:val="24"/>
              </w:rPr>
              <w:fldChar w:fldCharType="end"/>
            </w:r>
          </w:hyperlink>
        </w:p>
        <w:p w14:paraId="77CEE12D" w14:textId="49436FAA" w:rsidR="006D6FED" w:rsidRPr="00EA04F8" w:rsidRDefault="00000000">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5031703" w:history="1">
            <w:r w:rsidR="006D6FED" w:rsidRPr="00EA04F8">
              <w:rPr>
                <w:rStyle w:val="Hyperlink"/>
                <w:rFonts w:ascii="Arial" w:hAnsi="Arial" w:cs="Arial"/>
                <w:noProof/>
                <w:sz w:val="24"/>
                <w:szCs w:val="24"/>
              </w:rPr>
              <w:t>References</w:t>
            </w:r>
            <w:r w:rsidR="006D6FED" w:rsidRPr="00EA04F8">
              <w:rPr>
                <w:rFonts w:ascii="Arial" w:hAnsi="Arial" w:cs="Arial"/>
                <w:noProof/>
                <w:webHidden/>
                <w:sz w:val="24"/>
                <w:szCs w:val="24"/>
              </w:rPr>
              <w:tab/>
            </w:r>
            <w:r w:rsidR="006D6FED" w:rsidRPr="00EA04F8">
              <w:rPr>
                <w:rFonts w:ascii="Arial" w:hAnsi="Arial" w:cs="Arial"/>
                <w:noProof/>
                <w:webHidden/>
                <w:sz w:val="24"/>
                <w:szCs w:val="24"/>
              </w:rPr>
              <w:fldChar w:fldCharType="begin"/>
            </w:r>
            <w:r w:rsidR="006D6FED" w:rsidRPr="00EA04F8">
              <w:rPr>
                <w:rFonts w:ascii="Arial" w:hAnsi="Arial" w:cs="Arial"/>
                <w:noProof/>
                <w:webHidden/>
                <w:sz w:val="24"/>
                <w:szCs w:val="24"/>
              </w:rPr>
              <w:instrText xml:space="preserve"> PAGEREF _Toc155031703 \h </w:instrText>
            </w:r>
            <w:r w:rsidR="006D6FED" w:rsidRPr="00EA04F8">
              <w:rPr>
                <w:rFonts w:ascii="Arial" w:hAnsi="Arial" w:cs="Arial"/>
                <w:noProof/>
                <w:webHidden/>
                <w:sz w:val="24"/>
                <w:szCs w:val="24"/>
              </w:rPr>
            </w:r>
            <w:r w:rsidR="006D6FED" w:rsidRPr="00EA04F8">
              <w:rPr>
                <w:rFonts w:ascii="Arial" w:hAnsi="Arial" w:cs="Arial"/>
                <w:noProof/>
                <w:webHidden/>
                <w:sz w:val="24"/>
                <w:szCs w:val="24"/>
              </w:rPr>
              <w:fldChar w:fldCharType="separate"/>
            </w:r>
            <w:r w:rsidR="006D6FED" w:rsidRPr="00EA04F8">
              <w:rPr>
                <w:rFonts w:ascii="Arial" w:hAnsi="Arial" w:cs="Arial"/>
                <w:noProof/>
                <w:webHidden/>
                <w:sz w:val="24"/>
                <w:szCs w:val="24"/>
              </w:rPr>
              <w:t>6</w:t>
            </w:r>
            <w:r w:rsidR="006D6FED" w:rsidRPr="00EA04F8">
              <w:rPr>
                <w:rFonts w:ascii="Arial" w:hAnsi="Arial" w:cs="Arial"/>
                <w:noProof/>
                <w:webHidden/>
                <w:sz w:val="24"/>
                <w:szCs w:val="24"/>
              </w:rPr>
              <w:fldChar w:fldCharType="end"/>
            </w:r>
          </w:hyperlink>
        </w:p>
        <w:p w14:paraId="67ECA3D8" w14:textId="56A17B8D" w:rsidR="00886A44" w:rsidRDefault="00886A44">
          <w:r w:rsidRPr="00EA04F8">
            <w:rPr>
              <w:rFonts w:ascii="Arial" w:hAnsi="Arial" w:cs="Arial"/>
              <w:b/>
              <w:bCs/>
              <w:noProof/>
              <w:sz w:val="24"/>
              <w:szCs w:val="24"/>
            </w:rPr>
            <w:fldChar w:fldCharType="end"/>
          </w:r>
        </w:p>
      </w:sdtContent>
    </w:sdt>
    <w:p w14:paraId="1AD53D5A" w14:textId="77777777" w:rsidR="00314CE9" w:rsidRDefault="00314CE9" w:rsidP="0068617A"/>
    <w:p w14:paraId="050BEC59" w14:textId="77777777" w:rsidR="0068617A" w:rsidRDefault="0068617A" w:rsidP="0068617A"/>
    <w:p w14:paraId="2A89511D" w14:textId="77777777" w:rsidR="0068617A" w:rsidRDefault="0068617A" w:rsidP="0068617A"/>
    <w:p w14:paraId="2E1CF455" w14:textId="77777777" w:rsidR="0068617A" w:rsidRDefault="0068617A" w:rsidP="0068617A"/>
    <w:p w14:paraId="5D95192C" w14:textId="77777777" w:rsidR="0068617A" w:rsidRDefault="0068617A" w:rsidP="0068617A"/>
    <w:p w14:paraId="0D002ADB" w14:textId="77777777" w:rsidR="0068617A" w:rsidRDefault="0068617A" w:rsidP="0068617A"/>
    <w:p w14:paraId="67D1666C" w14:textId="77777777" w:rsidR="0068617A" w:rsidRDefault="0068617A" w:rsidP="0068617A"/>
    <w:p w14:paraId="7A38BF1B" w14:textId="77777777" w:rsidR="0068617A" w:rsidRDefault="0068617A" w:rsidP="0068617A"/>
    <w:p w14:paraId="5264312F" w14:textId="77777777" w:rsidR="0068617A" w:rsidRDefault="0068617A" w:rsidP="0068617A"/>
    <w:p w14:paraId="1E66A0AE" w14:textId="77777777" w:rsidR="0068617A" w:rsidRDefault="0068617A" w:rsidP="0068617A"/>
    <w:p w14:paraId="3F5CDCB1" w14:textId="77777777" w:rsidR="0068617A" w:rsidRDefault="0068617A" w:rsidP="0068617A"/>
    <w:p w14:paraId="42DDD3C9" w14:textId="77777777" w:rsidR="0068617A" w:rsidRDefault="0068617A" w:rsidP="0068617A"/>
    <w:p w14:paraId="0BAB56AF" w14:textId="77777777" w:rsidR="0068617A" w:rsidRDefault="0068617A" w:rsidP="0068617A"/>
    <w:p w14:paraId="1381CB16" w14:textId="77777777" w:rsidR="0068617A" w:rsidRDefault="0068617A" w:rsidP="0068617A"/>
    <w:p w14:paraId="675F20F9" w14:textId="77777777" w:rsidR="0068617A" w:rsidRDefault="0068617A" w:rsidP="0068617A"/>
    <w:p w14:paraId="35057E74" w14:textId="77777777" w:rsidR="0068617A" w:rsidRDefault="0068617A" w:rsidP="0068617A"/>
    <w:p w14:paraId="1F9CB605" w14:textId="77777777" w:rsidR="0068617A" w:rsidRDefault="0068617A" w:rsidP="0068617A"/>
    <w:p w14:paraId="3C813B67" w14:textId="77777777" w:rsidR="0068617A" w:rsidRDefault="0068617A" w:rsidP="0068617A"/>
    <w:p w14:paraId="31D4763C" w14:textId="6BF59CA6" w:rsidR="0068617A" w:rsidRDefault="0068617A" w:rsidP="0068617A"/>
    <w:p w14:paraId="10E59987" w14:textId="376614CF" w:rsidR="00DC01B0" w:rsidRDefault="0068617A" w:rsidP="00DC01B0">
      <w:pPr>
        <w:pStyle w:val="Heading1"/>
      </w:pPr>
      <w:bookmarkStart w:id="0" w:name="_Toc155031694"/>
      <w:r>
        <w:lastRenderedPageBreak/>
        <w:t>Int</w:t>
      </w:r>
      <w:r w:rsidR="00DC01B0">
        <w:t>roduction</w:t>
      </w:r>
      <w:bookmarkEnd w:id="0"/>
    </w:p>
    <w:p w14:paraId="74CDFC3D" w14:textId="1296711A" w:rsidR="000E4256" w:rsidRDefault="005D1E2F" w:rsidP="000E4256">
      <w:pPr>
        <w:rPr>
          <w:rFonts w:ascii="Arial" w:hAnsi="Arial" w:cs="Arial"/>
        </w:rPr>
      </w:pPr>
      <w:r w:rsidRPr="005D1E2F">
        <w:rPr>
          <w:rFonts w:ascii="Arial" w:hAnsi="Arial" w:cs="Arial"/>
        </w:rPr>
        <w:t>IFM, which stands for "international financial management," refers to the administration of financial activities and decisions in a global or multinational context. This is what is indicated by the word "international financial management." Monitoring financial operations, investments, and risks that are carried out across international borders is a part of the process. This involves taking into consideration the impact that various currencies, regulatory regimes, and economic conditions have on financial plans.</w:t>
      </w:r>
      <w:sdt>
        <w:sdtPr>
          <w:rPr>
            <w:rFonts w:ascii="Arial" w:hAnsi="Arial" w:cs="Arial"/>
          </w:rPr>
          <w:id w:val="592135792"/>
          <w:citation/>
        </w:sdtPr>
        <w:sdtContent>
          <w:r w:rsidR="00056EEA">
            <w:rPr>
              <w:rFonts w:ascii="Arial" w:hAnsi="Arial" w:cs="Arial"/>
            </w:rPr>
            <w:fldChar w:fldCharType="begin"/>
          </w:r>
          <w:r w:rsidR="00056EEA">
            <w:rPr>
              <w:rFonts w:ascii="Arial" w:hAnsi="Arial" w:cs="Arial"/>
            </w:rPr>
            <w:instrText xml:space="preserve"> CITATION Gee17 \l 2057 </w:instrText>
          </w:r>
          <w:r w:rsidR="00056EEA">
            <w:rPr>
              <w:rFonts w:ascii="Arial" w:hAnsi="Arial" w:cs="Arial"/>
            </w:rPr>
            <w:fldChar w:fldCharType="separate"/>
          </w:r>
          <w:r w:rsidR="00056EEA">
            <w:rPr>
              <w:rFonts w:ascii="Arial" w:hAnsi="Arial" w:cs="Arial"/>
              <w:noProof/>
            </w:rPr>
            <w:t xml:space="preserve"> </w:t>
          </w:r>
          <w:r w:rsidR="00056EEA" w:rsidRPr="00056EEA">
            <w:rPr>
              <w:rFonts w:ascii="Arial" w:hAnsi="Arial" w:cs="Arial"/>
              <w:noProof/>
            </w:rPr>
            <w:t>(Geert Bekaert, 2017)</w:t>
          </w:r>
          <w:r w:rsidR="00056EEA">
            <w:rPr>
              <w:rFonts w:ascii="Arial" w:hAnsi="Arial" w:cs="Arial"/>
            </w:rPr>
            <w:fldChar w:fldCharType="end"/>
          </w:r>
        </w:sdtContent>
      </w:sdt>
    </w:p>
    <w:p w14:paraId="74A5C328" w14:textId="77777777" w:rsidR="005D1E2F" w:rsidRPr="000E4256" w:rsidRDefault="005D1E2F" w:rsidP="000E4256">
      <w:pPr>
        <w:rPr>
          <w:rFonts w:ascii="Arial" w:hAnsi="Arial" w:cs="Arial"/>
        </w:rPr>
      </w:pPr>
    </w:p>
    <w:p w14:paraId="70AB6017" w14:textId="77777777" w:rsidR="00B43DF8" w:rsidRDefault="00A067EA" w:rsidP="00A067EA">
      <w:pPr>
        <w:rPr>
          <w:rFonts w:ascii="Arial" w:hAnsi="Arial" w:cs="Arial"/>
        </w:rPr>
      </w:pPr>
      <w:r w:rsidRPr="00A067EA">
        <w:rPr>
          <w:rFonts w:ascii="Arial" w:hAnsi="Arial" w:cs="Arial"/>
        </w:rPr>
        <w:t xml:space="preserve">A wide variety of financial duties are included in the scope of integrated financial management, which includes the following </w:t>
      </w:r>
      <w:r w:rsidR="00B43DF8" w:rsidRPr="00A067EA">
        <w:rPr>
          <w:rFonts w:ascii="Arial" w:hAnsi="Arial" w:cs="Arial"/>
        </w:rPr>
        <w:t>activities</w:t>
      </w:r>
      <w:r w:rsidR="00B43DF8">
        <w:rPr>
          <w:rFonts w:ascii="Arial" w:hAnsi="Arial" w:cs="Arial"/>
        </w:rPr>
        <w:t>.</w:t>
      </w:r>
      <w:r w:rsidR="00B43DF8" w:rsidRPr="00A067EA">
        <w:rPr>
          <w:rFonts w:ascii="Arial" w:hAnsi="Arial" w:cs="Arial"/>
        </w:rPr>
        <w:t xml:space="preserve"> </w:t>
      </w:r>
    </w:p>
    <w:p w14:paraId="62EF8D78" w14:textId="77777777" w:rsidR="00FB55C7" w:rsidRDefault="00B43DF8" w:rsidP="00A067EA">
      <w:pPr>
        <w:pStyle w:val="ListParagraph"/>
        <w:numPr>
          <w:ilvl w:val="0"/>
          <w:numId w:val="3"/>
        </w:numPr>
        <w:rPr>
          <w:rFonts w:ascii="Arial" w:hAnsi="Arial" w:cs="Arial"/>
        </w:rPr>
      </w:pPr>
      <w:r w:rsidRPr="00B43DF8">
        <w:rPr>
          <w:rFonts w:ascii="Arial" w:hAnsi="Arial" w:cs="Arial"/>
        </w:rPr>
        <w:t>The</w:t>
      </w:r>
      <w:r w:rsidR="00A067EA" w:rsidRPr="00B43DF8">
        <w:rPr>
          <w:rFonts w:ascii="Arial" w:hAnsi="Arial" w:cs="Arial"/>
        </w:rPr>
        <w:t xml:space="preserve"> management of currency exchange rates, the reduction of currency risks, and the execution of transactions in a range of currencies are all included in the management of foreign exchange transactions. This management also comprises the management of currency exchange rates.</w:t>
      </w:r>
    </w:p>
    <w:p w14:paraId="32D3D7E1" w14:textId="77777777" w:rsidR="00FB55C7" w:rsidRDefault="00A067EA" w:rsidP="00FB55C7">
      <w:pPr>
        <w:pStyle w:val="ListParagraph"/>
        <w:numPr>
          <w:ilvl w:val="0"/>
          <w:numId w:val="3"/>
        </w:numPr>
        <w:rPr>
          <w:rFonts w:ascii="Arial" w:hAnsi="Arial" w:cs="Arial"/>
        </w:rPr>
      </w:pPr>
      <w:r w:rsidRPr="00FB55C7">
        <w:rPr>
          <w:rFonts w:ascii="Arial" w:hAnsi="Arial" w:cs="Arial"/>
        </w:rPr>
        <w:t xml:space="preserve"> Capital budgeting and investment alternatives involve evaluating and choosing assets while </w:t>
      </w:r>
      <w:r w:rsidR="00B43DF8" w:rsidRPr="00FB55C7">
        <w:rPr>
          <w:rFonts w:ascii="Arial" w:hAnsi="Arial" w:cs="Arial"/>
        </w:rPr>
        <w:t>considering</w:t>
      </w:r>
      <w:r w:rsidRPr="00FB55C7">
        <w:rPr>
          <w:rFonts w:ascii="Arial" w:hAnsi="Arial" w:cs="Arial"/>
        </w:rPr>
        <w:t xml:space="preserve"> cash flows, risks, and returns in </w:t>
      </w:r>
      <w:r w:rsidR="00B43DF8" w:rsidRPr="00FB55C7">
        <w:rPr>
          <w:rFonts w:ascii="Arial" w:hAnsi="Arial" w:cs="Arial"/>
        </w:rPr>
        <w:t>several</w:t>
      </w:r>
      <w:r w:rsidRPr="00FB55C7">
        <w:rPr>
          <w:rFonts w:ascii="Arial" w:hAnsi="Arial" w:cs="Arial"/>
        </w:rPr>
        <w:t xml:space="preserve"> different nations. This is done before making any decisions about investments.</w:t>
      </w:r>
    </w:p>
    <w:p w14:paraId="5BA3A41C" w14:textId="77777777" w:rsidR="00FB55C7" w:rsidRDefault="00A067EA" w:rsidP="00A067EA">
      <w:pPr>
        <w:pStyle w:val="ListParagraph"/>
        <w:numPr>
          <w:ilvl w:val="0"/>
          <w:numId w:val="3"/>
        </w:numPr>
        <w:rPr>
          <w:rFonts w:ascii="Arial" w:hAnsi="Arial" w:cs="Arial"/>
        </w:rPr>
      </w:pPr>
      <w:r w:rsidRPr="00FB55C7">
        <w:rPr>
          <w:rFonts w:ascii="Arial" w:hAnsi="Arial" w:cs="Arial"/>
        </w:rPr>
        <w:t>Among the components that make up international finance are the following: the administration of debt and equity arrangements, the procurement of cash and capital from worldwide markets, and the engagement with financial institutions that are based in other countries.</w:t>
      </w:r>
    </w:p>
    <w:p w14:paraId="18A8DB6F" w14:textId="12A2EB5C" w:rsidR="00CC2212" w:rsidRDefault="00CC2212" w:rsidP="00A067EA">
      <w:pPr>
        <w:pStyle w:val="ListParagraph"/>
        <w:numPr>
          <w:ilvl w:val="0"/>
          <w:numId w:val="3"/>
        </w:numPr>
        <w:rPr>
          <w:rFonts w:ascii="Arial" w:hAnsi="Arial" w:cs="Arial"/>
        </w:rPr>
      </w:pPr>
      <w:r w:rsidRPr="00CC2212">
        <w:rPr>
          <w:rFonts w:ascii="Arial" w:hAnsi="Arial" w:cs="Arial"/>
        </w:rPr>
        <w:t>• Risk management is a methodical way to find, evaluate, and handle the many risks that come with doing business in more than one country. A different name for this process is strategic risk management. This group of problems includes a wide range of risks, including political risks, worries about regulations, and threats to the exchange rate.</w:t>
      </w:r>
    </w:p>
    <w:p w14:paraId="3C868B98" w14:textId="386BBFC6" w:rsidR="000E4256" w:rsidRDefault="00A067EA" w:rsidP="00A067EA">
      <w:pPr>
        <w:pStyle w:val="ListParagraph"/>
        <w:numPr>
          <w:ilvl w:val="0"/>
          <w:numId w:val="3"/>
        </w:numPr>
        <w:rPr>
          <w:rFonts w:ascii="Arial" w:hAnsi="Arial" w:cs="Arial"/>
        </w:rPr>
      </w:pPr>
      <w:r w:rsidRPr="00644A8B">
        <w:rPr>
          <w:rFonts w:ascii="Arial" w:hAnsi="Arial" w:cs="Arial"/>
        </w:rPr>
        <w:t xml:space="preserve">In the context of the management of cash flows, liquidity, and financial assets in </w:t>
      </w:r>
      <w:r w:rsidR="00FB55C7" w:rsidRPr="00644A8B">
        <w:rPr>
          <w:rFonts w:ascii="Arial" w:hAnsi="Arial" w:cs="Arial"/>
        </w:rPr>
        <w:t>a few</w:t>
      </w:r>
      <w:r w:rsidRPr="00644A8B">
        <w:rPr>
          <w:rFonts w:ascii="Arial" w:hAnsi="Arial" w:cs="Arial"/>
        </w:rPr>
        <w:t xml:space="preserve"> different currencies and across </w:t>
      </w:r>
      <w:r w:rsidR="00644A8B" w:rsidRPr="00644A8B">
        <w:rPr>
          <w:rFonts w:ascii="Arial" w:hAnsi="Arial" w:cs="Arial"/>
        </w:rPr>
        <w:t>a few</w:t>
      </w:r>
      <w:r w:rsidRPr="00644A8B">
        <w:rPr>
          <w:rFonts w:ascii="Arial" w:hAnsi="Arial" w:cs="Arial"/>
        </w:rPr>
        <w:t xml:space="preserve"> different locations, the phrase "global Treasury operations" is used. This administration is carried out inside the borders of the United States.</w:t>
      </w:r>
    </w:p>
    <w:p w14:paraId="140227FF" w14:textId="77777777" w:rsidR="00644A8B" w:rsidRPr="00644A8B" w:rsidRDefault="00644A8B" w:rsidP="00644A8B">
      <w:pPr>
        <w:ind w:left="360"/>
        <w:rPr>
          <w:rFonts w:ascii="Arial" w:hAnsi="Arial" w:cs="Arial"/>
        </w:rPr>
      </w:pPr>
    </w:p>
    <w:p w14:paraId="503150BB" w14:textId="12240578" w:rsidR="000E4256" w:rsidRDefault="0024004E" w:rsidP="000E4256">
      <w:pPr>
        <w:rPr>
          <w:rFonts w:ascii="Arial" w:hAnsi="Arial" w:cs="Arial"/>
        </w:rPr>
      </w:pPr>
      <w:r w:rsidRPr="0024004E">
        <w:rPr>
          <w:rFonts w:ascii="Arial" w:hAnsi="Arial" w:cs="Arial"/>
        </w:rPr>
        <w:t>For multinational companies (MNCs), financial institutions, and investors that participate in worldwide trade, the International Financial Management (IFM) system is a tool that is necessary for them to have at their disposal. To achieve success in the financial industry, it is essential to possess a comprehensive understanding of global financial markets and regulatory frameworks. Additionally, it is essential to possess the ability to navigate the complexities involved with currency fluctuations, investments that straddle international boundaries, and a wide range of economic circumstances.</w:t>
      </w:r>
      <w:r w:rsidR="00FC365D">
        <w:rPr>
          <w:rFonts w:ascii="Arial" w:hAnsi="Arial" w:cs="Arial"/>
        </w:rPr>
        <w:t xml:space="preserve"> </w:t>
      </w:r>
      <w:sdt>
        <w:sdtPr>
          <w:rPr>
            <w:rFonts w:ascii="Arial" w:hAnsi="Arial" w:cs="Arial"/>
          </w:rPr>
          <w:id w:val="820928874"/>
          <w:citation/>
        </w:sdtPr>
        <w:sdtContent>
          <w:r w:rsidR="00FC365D">
            <w:rPr>
              <w:rFonts w:ascii="Arial" w:hAnsi="Arial" w:cs="Arial"/>
            </w:rPr>
            <w:fldChar w:fldCharType="begin"/>
          </w:r>
          <w:r w:rsidR="00FC365D">
            <w:rPr>
              <w:rFonts w:ascii="Arial" w:hAnsi="Arial" w:cs="Arial"/>
            </w:rPr>
            <w:instrText xml:space="preserve"> CITATION Suz13 \l 2057 </w:instrText>
          </w:r>
          <w:r w:rsidR="00FC365D">
            <w:rPr>
              <w:rFonts w:ascii="Arial" w:hAnsi="Arial" w:cs="Arial"/>
            </w:rPr>
            <w:fldChar w:fldCharType="separate"/>
          </w:r>
          <w:r w:rsidR="00FC365D" w:rsidRPr="00FC365D">
            <w:rPr>
              <w:rFonts w:ascii="Arial" w:hAnsi="Arial" w:cs="Arial"/>
              <w:noProof/>
            </w:rPr>
            <w:t>(Strutner, 2013)</w:t>
          </w:r>
          <w:r w:rsidR="00FC365D">
            <w:rPr>
              <w:rFonts w:ascii="Arial" w:hAnsi="Arial" w:cs="Arial"/>
            </w:rPr>
            <w:fldChar w:fldCharType="end"/>
          </w:r>
        </w:sdtContent>
      </w:sdt>
    </w:p>
    <w:p w14:paraId="2333B964" w14:textId="77777777" w:rsidR="006B438D" w:rsidRDefault="006B438D" w:rsidP="000E4256">
      <w:pPr>
        <w:rPr>
          <w:rFonts w:ascii="Arial" w:hAnsi="Arial" w:cs="Arial"/>
        </w:rPr>
      </w:pPr>
    </w:p>
    <w:p w14:paraId="1CFA2AA1" w14:textId="570A8CBB" w:rsidR="000E4256" w:rsidRDefault="006B438D" w:rsidP="000E4256">
      <w:pPr>
        <w:rPr>
          <w:rFonts w:ascii="Arial" w:hAnsi="Arial" w:cs="Arial"/>
        </w:rPr>
      </w:pPr>
      <w:r w:rsidRPr="006B438D">
        <w:rPr>
          <w:rFonts w:ascii="Arial" w:hAnsi="Arial" w:cs="Arial"/>
        </w:rPr>
        <w:t xml:space="preserve">There are several variables that contribute to the continual growth of the International Financial Management (IFM) field. These aspects include globalisation, improvements in technology, adjustments to financial regulation, and changes in geopolitical dynamics. Because of this, individuals who oversee managing money are required to adjust their plans in order to effectively manage risks and make the most of the opportunities that are presented by the international arena. Because they are vulnerable to currency fluctuations that might possibly have a negative impact on their financial performance, multinational </w:t>
      </w:r>
      <w:r w:rsidRPr="006B438D">
        <w:rPr>
          <w:rFonts w:ascii="Arial" w:hAnsi="Arial" w:cs="Arial"/>
        </w:rPr>
        <w:lastRenderedPageBreak/>
        <w:t>companies (MNCs) are regarded to be susceptible to foreign exchange risks. There are a number of different processes that may be used in order to reduce these risks. Some of these procedures are based on notions that are associated with international financial management. The following are some examples of these methods:</w:t>
      </w:r>
    </w:p>
    <w:p w14:paraId="2CC9715F" w14:textId="77777777" w:rsidR="004C3251" w:rsidRDefault="004C3251" w:rsidP="000E4256">
      <w:pPr>
        <w:rPr>
          <w:rFonts w:ascii="Arial" w:hAnsi="Arial" w:cs="Arial"/>
        </w:rPr>
      </w:pPr>
    </w:p>
    <w:p w14:paraId="3642AE8D" w14:textId="1BFF6046" w:rsidR="00280F30" w:rsidRPr="00DF16C8" w:rsidRDefault="007C3B9A" w:rsidP="00280F30">
      <w:pPr>
        <w:pStyle w:val="Heading2"/>
        <w:rPr>
          <w:rStyle w:val="Strong"/>
          <w:rFonts w:ascii="Arial" w:hAnsi="Arial" w:cs="Arial"/>
          <w:b w:val="0"/>
          <w:bCs w:val="0"/>
          <w:sz w:val="22"/>
          <w:szCs w:val="22"/>
          <w:bdr w:val="single" w:sz="2" w:space="0" w:color="D9D9E3" w:frame="1"/>
        </w:rPr>
      </w:pPr>
      <w:bookmarkStart w:id="1" w:name="_Toc155031695"/>
      <w:r w:rsidRPr="00280F30">
        <w:t>1</w:t>
      </w:r>
      <w:r w:rsidR="00AA3528" w:rsidRPr="00DF16C8">
        <w:rPr>
          <w:rFonts w:ascii="Arial" w:hAnsi="Arial" w:cs="Arial"/>
          <w:sz w:val="22"/>
          <w:szCs w:val="22"/>
        </w:rPr>
        <w:t>.</w:t>
      </w:r>
      <w:r w:rsidRPr="00DF16C8">
        <w:rPr>
          <w:rFonts w:ascii="Arial" w:hAnsi="Arial" w:cs="Arial"/>
          <w:sz w:val="22"/>
          <w:szCs w:val="22"/>
        </w:rPr>
        <w:t xml:space="preserve"> </w:t>
      </w:r>
      <w:r w:rsidR="00280F30" w:rsidRPr="00DF16C8">
        <w:rPr>
          <w:rFonts w:ascii="Arial" w:hAnsi="Arial" w:cs="Arial"/>
          <w:sz w:val="22"/>
          <w:szCs w:val="22"/>
        </w:rPr>
        <w:t>Forward Contracts</w:t>
      </w:r>
      <w:bookmarkEnd w:id="1"/>
      <w:r w:rsidR="00280F30" w:rsidRPr="00DF16C8">
        <w:rPr>
          <w:rStyle w:val="Strong"/>
          <w:rFonts w:ascii="Arial" w:hAnsi="Arial" w:cs="Arial"/>
          <w:b w:val="0"/>
          <w:bCs w:val="0"/>
          <w:sz w:val="22"/>
          <w:szCs w:val="22"/>
          <w:bdr w:val="single" w:sz="2" w:space="0" w:color="D9D9E3" w:frame="1"/>
        </w:rPr>
        <w:t xml:space="preserve"> </w:t>
      </w:r>
    </w:p>
    <w:p w14:paraId="3B43D337" w14:textId="14BDBFEF" w:rsidR="007C3B9A" w:rsidRPr="00DF16C8" w:rsidRDefault="007C3B9A" w:rsidP="00280F30">
      <w:pPr>
        <w:rPr>
          <w:rFonts w:ascii="Arial" w:hAnsi="Arial" w:cs="Arial"/>
        </w:rPr>
      </w:pPr>
      <w:r w:rsidRPr="00DF16C8">
        <w:rPr>
          <w:rFonts w:ascii="Arial" w:hAnsi="Arial" w:cs="Arial"/>
        </w:rPr>
        <w:t xml:space="preserve">Forward contracts allow multinational corporations to lock in future currency rates. </w:t>
      </w:r>
      <w:r w:rsidR="00280F30" w:rsidRPr="00DF16C8">
        <w:rPr>
          <w:rFonts w:ascii="Arial" w:hAnsi="Arial" w:cs="Arial"/>
        </w:rPr>
        <w:t>To</w:t>
      </w:r>
      <w:r w:rsidRPr="00DF16C8">
        <w:rPr>
          <w:rFonts w:ascii="Arial" w:hAnsi="Arial" w:cs="Arial"/>
        </w:rPr>
        <w:t xml:space="preserve"> ensure that cash flows are predictable, this method involves reaching an agreement on a certain rate for a future transaction. On the other hand, it is not flexible since the rate is set every time, regardless of </w:t>
      </w:r>
      <w:r w:rsidR="00280F30" w:rsidRPr="00DF16C8">
        <w:rPr>
          <w:rFonts w:ascii="Arial" w:hAnsi="Arial" w:cs="Arial"/>
        </w:rPr>
        <w:t>whether</w:t>
      </w:r>
      <w:r w:rsidRPr="00DF16C8">
        <w:rPr>
          <w:rFonts w:ascii="Arial" w:hAnsi="Arial" w:cs="Arial"/>
        </w:rPr>
        <w:t xml:space="preserve"> the currency advances in a positive direction.</w:t>
      </w:r>
      <w:sdt>
        <w:sdtPr>
          <w:rPr>
            <w:rFonts w:ascii="Arial" w:hAnsi="Arial" w:cs="Arial"/>
          </w:rPr>
          <w:id w:val="-437146337"/>
          <w:citation/>
        </w:sdtPr>
        <w:sdtContent>
          <w:r w:rsidR="00925612">
            <w:rPr>
              <w:rFonts w:ascii="Arial" w:hAnsi="Arial" w:cs="Arial"/>
            </w:rPr>
            <w:fldChar w:fldCharType="begin"/>
          </w:r>
          <w:r w:rsidR="00925612">
            <w:rPr>
              <w:rFonts w:ascii="Arial" w:hAnsi="Arial" w:cs="Arial"/>
            </w:rPr>
            <w:instrText xml:space="preserve"> CITATION Har19 \l 2057 </w:instrText>
          </w:r>
          <w:r w:rsidR="00925612">
            <w:rPr>
              <w:rFonts w:ascii="Arial" w:hAnsi="Arial" w:cs="Arial"/>
            </w:rPr>
            <w:fldChar w:fldCharType="separate"/>
          </w:r>
          <w:r w:rsidR="00925612">
            <w:rPr>
              <w:rFonts w:ascii="Arial" w:hAnsi="Arial" w:cs="Arial"/>
              <w:noProof/>
            </w:rPr>
            <w:t xml:space="preserve"> </w:t>
          </w:r>
          <w:r w:rsidR="00925612" w:rsidRPr="00925612">
            <w:rPr>
              <w:rFonts w:ascii="Arial" w:hAnsi="Arial" w:cs="Arial"/>
              <w:noProof/>
            </w:rPr>
            <w:t>(Sakthivel, 2019)</w:t>
          </w:r>
          <w:r w:rsidR="00925612">
            <w:rPr>
              <w:rFonts w:ascii="Arial" w:hAnsi="Arial" w:cs="Arial"/>
            </w:rPr>
            <w:fldChar w:fldCharType="end"/>
          </w:r>
        </w:sdtContent>
      </w:sdt>
    </w:p>
    <w:p w14:paraId="7C9BB5BF" w14:textId="77777777" w:rsidR="00552661" w:rsidRPr="00DF16C8" w:rsidRDefault="00552661" w:rsidP="00280F30">
      <w:pPr>
        <w:rPr>
          <w:rFonts w:ascii="Arial" w:hAnsi="Arial" w:cs="Arial"/>
        </w:rPr>
      </w:pPr>
    </w:p>
    <w:p w14:paraId="44C59AF0" w14:textId="5E55C8A6" w:rsidR="00280F30" w:rsidRPr="00DF16C8" w:rsidRDefault="00280F30" w:rsidP="00280F30">
      <w:pPr>
        <w:pStyle w:val="Heading2"/>
        <w:rPr>
          <w:rFonts w:ascii="Arial" w:hAnsi="Arial" w:cs="Arial"/>
          <w:sz w:val="22"/>
          <w:szCs w:val="22"/>
          <w:bdr w:val="single" w:sz="2" w:space="0" w:color="D9D9E3" w:frame="1"/>
        </w:rPr>
      </w:pPr>
      <w:bookmarkStart w:id="2" w:name="_Toc155031696"/>
      <w:r w:rsidRPr="00DF16C8">
        <w:rPr>
          <w:rFonts w:ascii="Arial" w:hAnsi="Arial" w:cs="Arial"/>
          <w:sz w:val="22"/>
          <w:szCs w:val="22"/>
          <w:bdr w:val="single" w:sz="2" w:space="0" w:color="D9D9E3" w:frame="1"/>
        </w:rPr>
        <w:t>2</w:t>
      </w:r>
      <w:r w:rsidR="00AA3528" w:rsidRPr="00DF16C8">
        <w:rPr>
          <w:rFonts w:ascii="Arial" w:hAnsi="Arial" w:cs="Arial"/>
          <w:sz w:val="22"/>
          <w:szCs w:val="22"/>
          <w:bdr w:val="single" w:sz="2" w:space="0" w:color="D9D9E3" w:frame="1"/>
        </w:rPr>
        <w:t>.</w:t>
      </w:r>
      <w:r w:rsidRPr="00DF16C8">
        <w:rPr>
          <w:rFonts w:ascii="Arial" w:hAnsi="Arial" w:cs="Arial"/>
          <w:sz w:val="22"/>
          <w:szCs w:val="22"/>
          <w:bdr w:val="single" w:sz="2" w:space="0" w:color="D9D9E3" w:frame="1"/>
        </w:rPr>
        <w:t xml:space="preserve"> </w:t>
      </w:r>
      <w:r w:rsidR="00552661" w:rsidRPr="00DF16C8">
        <w:rPr>
          <w:rFonts w:ascii="Arial" w:hAnsi="Arial" w:cs="Arial"/>
          <w:sz w:val="22"/>
          <w:szCs w:val="22"/>
          <w:bdr w:val="single" w:sz="2" w:space="0" w:color="D9D9E3" w:frame="1"/>
        </w:rPr>
        <w:t>Options</w:t>
      </w:r>
      <w:bookmarkEnd w:id="2"/>
    </w:p>
    <w:p w14:paraId="3492253F" w14:textId="31B81DC1" w:rsidR="00F760F7" w:rsidRPr="00DF16C8" w:rsidRDefault="00F760F7" w:rsidP="00F760F7">
      <w:pPr>
        <w:rPr>
          <w:rFonts w:ascii="Arial" w:hAnsi="Arial" w:cs="Arial"/>
        </w:rPr>
      </w:pPr>
      <w:r w:rsidRPr="00DF16C8">
        <w:rPr>
          <w:rFonts w:ascii="Arial" w:hAnsi="Arial" w:cs="Arial"/>
        </w:rPr>
        <w:t>Multinational corporations’ benefit from the flexibility that options afford. Call options allow them to acquire foreign currency at a specified rate, while put options allow them to sell at a particular rate. Both choices are available to them. Using this method, they can protect themselves against unfavourable moves while also profiting from favourable ones.</w:t>
      </w:r>
      <w:sdt>
        <w:sdtPr>
          <w:rPr>
            <w:rFonts w:ascii="Arial" w:hAnsi="Arial" w:cs="Arial"/>
          </w:rPr>
          <w:id w:val="1565368203"/>
          <w:citation/>
        </w:sdtPr>
        <w:sdtContent>
          <w:r w:rsidR="00925612">
            <w:rPr>
              <w:rFonts w:ascii="Arial" w:hAnsi="Arial" w:cs="Arial"/>
            </w:rPr>
            <w:fldChar w:fldCharType="begin"/>
          </w:r>
          <w:r w:rsidR="00925612">
            <w:rPr>
              <w:rFonts w:ascii="Arial" w:hAnsi="Arial" w:cs="Arial"/>
            </w:rPr>
            <w:instrText xml:space="preserve"> CITATION Har19 \l 2057 </w:instrText>
          </w:r>
          <w:r w:rsidR="00925612">
            <w:rPr>
              <w:rFonts w:ascii="Arial" w:hAnsi="Arial" w:cs="Arial"/>
            </w:rPr>
            <w:fldChar w:fldCharType="separate"/>
          </w:r>
          <w:r w:rsidR="00925612">
            <w:rPr>
              <w:rFonts w:ascii="Arial" w:hAnsi="Arial" w:cs="Arial"/>
              <w:noProof/>
            </w:rPr>
            <w:t xml:space="preserve"> </w:t>
          </w:r>
          <w:r w:rsidR="00925612" w:rsidRPr="00925612">
            <w:rPr>
              <w:rFonts w:ascii="Arial" w:hAnsi="Arial" w:cs="Arial"/>
              <w:noProof/>
            </w:rPr>
            <w:t>(Sakthivel, 2019)</w:t>
          </w:r>
          <w:r w:rsidR="00925612">
            <w:rPr>
              <w:rFonts w:ascii="Arial" w:hAnsi="Arial" w:cs="Arial"/>
            </w:rPr>
            <w:fldChar w:fldCharType="end"/>
          </w:r>
        </w:sdtContent>
      </w:sdt>
    </w:p>
    <w:p w14:paraId="7BE0FCA2" w14:textId="65A74D85" w:rsidR="00552661" w:rsidRDefault="003644C5" w:rsidP="009C23E9">
      <w:pPr>
        <w:pStyle w:val="Heading2"/>
      </w:pPr>
      <w:bookmarkStart w:id="3" w:name="_Toc155031697"/>
      <w:r w:rsidRPr="009C23E9">
        <w:t>3</w:t>
      </w:r>
      <w:r w:rsidR="00AA3528" w:rsidRPr="009C23E9">
        <w:t>.</w:t>
      </w:r>
      <w:r w:rsidRPr="009C23E9">
        <w:t xml:space="preserve"> </w:t>
      </w:r>
      <w:r w:rsidR="00AA3528" w:rsidRPr="009C23E9">
        <w:t>Currency Swaps</w:t>
      </w:r>
      <w:bookmarkEnd w:id="3"/>
    </w:p>
    <w:p w14:paraId="1BF7ACAD" w14:textId="39F3D2CC" w:rsidR="009C23E9" w:rsidRPr="00586639" w:rsidRDefault="00586639" w:rsidP="009C23E9">
      <w:pPr>
        <w:rPr>
          <w:rFonts w:ascii="Arial" w:hAnsi="Arial" w:cs="Arial"/>
        </w:rPr>
      </w:pPr>
      <w:r w:rsidRPr="00586639">
        <w:rPr>
          <w:rFonts w:ascii="Arial" w:hAnsi="Arial" w:cs="Arial"/>
        </w:rPr>
        <w:t>Swaps are a kind of currency exchange that include exchanging currencies at the spot rate and agreeing to reverse the transaction at a future date that has been determined. Swaps are a type of currency exchange. To obtain money without being exposed to the danger of exchange rates or to reach a rate that is superior to the market rate, multinational firms take use of this aspect of the market.</w:t>
      </w:r>
      <w:sdt>
        <w:sdtPr>
          <w:rPr>
            <w:rFonts w:ascii="Arial" w:hAnsi="Arial" w:cs="Arial"/>
          </w:rPr>
          <w:id w:val="-938607684"/>
          <w:citation/>
        </w:sdtPr>
        <w:sdtContent>
          <w:r w:rsidR="00925612">
            <w:rPr>
              <w:rFonts w:ascii="Arial" w:hAnsi="Arial" w:cs="Arial"/>
            </w:rPr>
            <w:fldChar w:fldCharType="begin"/>
          </w:r>
          <w:r w:rsidR="00925612">
            <w:rPr>
              <w:rFonts w:ascii="Arial" w:hAnsi="Arial" w:cs="Arial"/>
            </w:rPr>
            <w:instrText xml:space="preserve"> CITATION Har19 \l 2057 </w:instrText>
          </w:r>
          <w:r w:rsidR="00925612">
            <w:rPr>
              <w:rFonts w:ascii="Arial" w:hAnsi="Arial" w:cs="Arial"/>
            </w:rPr>
            <w:fldChar w:fldCharType="separate"/>
          </w:r>
          <w:r w:rsidR="00925612">
            <w:rPr>
              <w:rFonts w:ascii="Arial" w:hAnsi="Arial" w:cs="Arial"/>
              <w:noProof/>
            </w:rPr>
            <w:t xml:space="preserve"> </w:t>
          </w:r>
          <w:r w:rsidR="00925612" w:rsidRPr="00925612">
            <w:rPr>
              <w:rFonts w:ascii="Arial" w:hAnsi="Arial" w:cs="Arial"/>
              <w:noProof/>
            </w:rPr>
            <w:t>(Sakthivel, 2019)</w:t>
          </w:r>
          <w:r w:rsidR="00925612">
            <w:rPr>
              <w:rFonts w:ascii="Arial" w:hAnsi="Arial" w:cs="Arial"/>
            </w:rPr>
            <w:fldChar w:fldCharType="end"/>
          </w:r>
        </w:sdtContent>
      </w:sdt>
    </w:p>
    <w:p w14:paraId="1DAE4B9F" w14:textId="77777777" w:rsidR="00DF16C8" w:rsidRDefault="00DF16C8" w:rsidP="00DF16C8"/>
    <w:p w14:paraId="5485D05C" w14:textId="69BC95A8" w:rsidR="00DF16C8" w:rsidRDefault="00DF16C8" w:rsidP="009C23E9">
      <w:pPr>
        <w:pStyle w:val="Heading2"/>
      </w:pPr>
      <w:bookmarkStart w:id="4" w:name="_Toc155031698"/>
      <w:r w:rsidRPr="009C23E9">
        <w:t>4.</w:t>
      </w:r>
      <w:r w:rsidR="007D57C2" w:rsidRPr="009C23E9">
        <w:t xml:space="preserve"> Money Market Hedging</w:t>
      </w:r>
      <w:bookmarkEnd w:id="4"/>
    </w:p>
    <w:p w14:paraId="7AFE6DCE" w14:textId="7FCE8329" w:rsidR="00FF7A26" w:rsidRPr="00F766D6" w:rsidRDefault="00F766D6" w:rsidP="00FF7A26">
      <w:pPr>
        <w:rPr>
          <w:rFonts w:ascii="Arial" w:hAnsi="Arial" w:cs="Arial"/>
        </w:rPr>
      </w:pPr>
      <w:r w:rsidRPr="00F766D6">
        <w:rPr>
          <w:rFonts w:ascii="Arial" w:hAnsi="Arial" w:cs="Arial"/>
        </w:rPr>
        <w:t>Depending on the interest rate differences that exist between the various currencies, multinational firms have the potential to borrow money or invest in a few different currencies. As a result of taking advantage of these disparities, they can safeguard themselves against fluctuations in exchange rates.</w:t>
      </w:r>
    </w:p>
    <w:p w14:paraId="7DBD5CB9" w14:textId="77777777" w:rsidR="00E73884" w:rsidRPr="009C23E9" w:rsidRDefault="00E73884" w:rsidP="009C23E9">
      <w:pPr>
        <w:pStyle w:val="Heading2"/>
      </w:pPr>
    </w:p>
    <w:p w14:paraId="2BE36254" w14:textId="73B0CF47" w:rsidR="00E73884" w:rsidRDefault="00E73884" w:rsidP="009C23E9">
      <w:pPr>
        <w:pStyle w:val="Heading2"/>
      </w:pPr>
      <w:bookmarkStart w:id="5" w:name="_Toc155031699"/>
      <w:r w:rsidRPr="009C23E9">
        <w:t>5. Natural Hedging</w:t>
      </w:r>
      <w:bookmarkEnd w:id="5"/>
    </w:p>
    <w:p w14:paraId="5616D48D" w14:textId="1F366664" w:rsidR="00F766D6" w:rsidRPr="006238C2" w:rsidRDefault="006238C2" w:rsidP="00F766D6">
      <w:pPr>
        <w:rPr>
          <w:rFonts w:ascii="Arial" w:hAnsi="Arial" w:cs="Arial"/>
        </w:rPr>
      </w:pPr>
      <w:r w:rsidRPr="006238C2">
        <w:rPr>
          <w:rFonts w:ascii="Arial" w:hAnsi="Arial" w:cs="Arial"/>
        </w:rPr>
        <w:t>When income and expenditures are aligned in the same currency, it is possible to limit the amount of exposure that is incurred. By putting manufacturing operations in the same region as products are sold, for instance, it may be possible to reduce the amount of currency translations that are required.</w:t>
      </w:r>
      <w:sdt>
        <w:sdtPr>
          <w:rPr>
            <w:rFonts w:ascii="Arial" w:hAnsi="Arial" w:cs="Arial"/>
          </w:rPr>
          <w:id w:val="-1003512701"/>
          <w:citation/>
        </w:sdtPr>
        <w:sdtContent>
          <w:r w:rsidR="00B277B6">
            <w:rPr>
              <w:rFonts w:ascii="Arial" w:hAnsi="Arial" w:cs="Arial"/>
            </w:rPr>
            <w:fldChar w:fldCharType="begin"/>
          </w:r>
          <w:r w:rsidR="00B277B6">
            <w:rPr>
              <w:rFonts w:ascii="Arial" w:hAnsi="Arial" w:cs="Arial"/>
            </w:rPr>
            <w:instrText xml:space="preserve"> CITATION Har19 \l 2057 </w:instrText>
          </w:r>
          <w:r w:rsidR="00B277B6">
            <w:rPr>
              <w:rFonts w:ascii="Arial" w:hAnsi="Arial" w:cs="Arial"/>
            </w:rPr>
            <w:fldChar w:fldCharType="separate"/>
          </w:r>
          <w:r w:rsidR="00B277B6">
            <w:rPr>
              <w:rFonts w:ascii="Arial" w:hAnsi="Arial" w:cs="Arial"/>
              <w:noProof/>
            </w:rPr>
            <w:t xml:space="preserve"> </w:t>
          </w:r>
          <w:r w:rsidR="00B277B6" w:rsidRPr="00B277B6">
            <w:rPr>
              <w:rFonts w:ascii="Arial" w:hAnsi="Arial" w:cs="Arial"/>
              <w:noProof/>
            </w:rPr>
            <w:t>(Sakthivel, 2019)</w:t>
          </w:r>
          <w:r w:rsidR="00B277B6">
            <w:rPr>
              <w:rFonts w:ascii="Arial" w:hAnsi="Arial" w:cs="Arial"/>
            </w:rPr>
            <w:fldChar w:fldCharType="end"/>
          </w:r>
        </w:sdtContent>
      </w:sdt>
    </w:p>
    <w:p w14:paraId="45996B29" w14:textId="77777777" w:rsidR="00E73884" w:rsidRPr="009C23E9" w:rsidRDefault="00E73884" w:rsidP="009C23E9">
      <w:pPr>
        <w:pStyle w:val="Heading2"/>
      </w:pPr>
    </w:p>
    <w:p w14:paraId="7FFDF510" w14:textId="4BF21F6B" w:rsidR="00E73884" w:rsidRDefault="00E73884" w:rsidP="009C23E9">
      <w:pPr>
        <w:pStyle w:val="Heading2"/>
      </w:pPr>
      <w:bookmarkStart w:id="6" w:name="_Toc155031700"/>
      <w:r w:rsidRPr="009C23E9">
        <w:t xml:space="preserve">6. </w:t>
      </w:r>
      <w:r w:rsidR="005502A2" w:rsidRPr="009C23E9">
        <w:t xml:space="preserve"> Economic </w:t>
      </w:r>
      <w:r w:rsidR="00363B9C" w:rsidRPr="009C23E9">
        <w:t>Exposure Management</w:t>
      </w:r>
      <w:bookmarkEnd w:id="6"/>
    </w:p>
    <w:p w14:paraId="3EFF0202" w14:textId="6F892D17" w:rsidR="00363B9C" w:rsidRPr="001C1EA2" w:rsidRDefault="00AD45F7" w:rsidP="001C1EA2">
      <w:pPr>
        <w:rPr>
          <w:rFonts w:ascii="Arial" w:hAnsi="Arial" w:cs="Arial"/>
        </w:rPr>
      </w:pPr>
      <w:r w:rsidRPr="00AD45F7">
        <w:rPr>
          <w:rFonts w:ascii="Arial" w:hAnsi="Arial" w:cs="Arial"/>
        </w:rPr>
        <w:t>Not only do multinational businesses (MNCs) look at how changes in currency affect their cash flows, but they also make sure to consider how these changes affect their overall competitive position. The deployment of methods such as adjusting prices, broadening product offerings, or relocating production facilities are all examples of ways in which economic risk may be managed.</w:t>
      </w:r>
      <w:r w:rsidR="00513E5E">
        <w:rPr>
          <w:rFonts w:ascii="Arial" w:hAnsi="Arial" w:cs="Arial"/>
        </w:rPr>
        <w:t xml:space="preserve"> </w:t>
      </w:r>
      <w:sdt>
        <w:sdtPr>
          <w:rPr>
            <w:rFonts w:ascii="Arial" w:hAnsi="Arial" w:cs="Arial"/>
          </w:rPr>
          <w:id w:val="194282240"/>
          <w:citation/>
        </w:sdtPr>
        <w:sdtContent>
          <w:r w:rsidR="00B277B6">
            <w:rPr>
              <w:rFonts w:ascii="Arial" w:hAnsi="Arial" w:cs="Arial"/>
            </w:rPr>
            <w:fldChar w:fldCharType="begin"/>
          </w:r>
          <w:r w:rsidR="00B277B6">
            <w:rPr>
              <w:rFonts w:ascii="Arial" w:hAnsi="Arial" w:cs="Arial"/>
            </w:rPr>
            <w:instrText xml:space="preserve"> CITATION Har19 \l 2057 </w:instrText>
          </w:r>
          <w:r w:rsidR="00B277B6">
            <w:rPr>
              <w:rFonts w:ascii="Arial" w:hAnsi="Arial" w:cs="Arial"/>
            </w:rPr>
            <w:fldChar w:fldCharType="separate"/>
          </w:r>
          <w:r w:rsidR="00B277B6" w:rsidRPr="00B277B6">
            <w:rPr>
              <w:rFonts w:ascii="Arial" w:hAnsi="Arial" w:cs="Arial"/>
              <w:noProof/>
            </w:rPr>
            <w:t>(Sakthivel, 2019)</w:t>
          </w:r>
          <w:r w:rsidR="00B277B6">
            <w:rPr>
              <w:rFonts w:ascii="Arial" w:hAnsi="Arial" w:cs="Arial"/>
            </w:rPr>
            <w:fldChar w:fldCharType="end"/>
          </w:r>
        </w:sdtContent>
      </w:sdt>
    </w:p>
    <w:p w14:paraId="1AE1109E" w14:textId="7A95DC6B" w:rsidR="00363B9C" w:rsidRDefault="00363B9C" w:rsidP="009C23E9">
      <w:pPr>
        <w:pStyle w:val="Heading2"/>
      </w:pPr>
      <w:bookmarkStart w:id="7" w:name="_Toc155031701"/>
      <w:r w:rsidRPr="009C23E9">
        <w:lastRenderedPageBreak/>
        <w:t xml:space="preserve">7. </w:t>
      </w:r>
      <w:r w:rsidR="00CF2863" w:rsidRPr="009C23E9">
        <w:t>Strategic Hedging</w:t>
      </w:r>
      <w:bookmarkEnd w:id="7"/>
    </w:p>
    <w:p w14:paraId="412D9DA7" w14:textId="10E447A9" w:rsidR="00917B7F" w:rsidRDefault="00FF2E61" w:rsidP="00917B7F">
      <w:pPr>
        <w:rPr>
          <w:rFonts w:ascii="Arial" w:hAnsi="Arial" w:cs="Arial"/>
        </w:rPr>
      </w:pPr>
      <w:r w:rsidRPr="00FF2E61">
        <w:rPr>
          <w:rFonts w:ascii="Arial" w:hAnsi="Arial" w:cs="Arial"/>
        </w:rPr>
        <w:t>To do this, it is necessary to implement a holistic strategy, which necessitates the incorporation of a variety of diverse approaches to the management of the various types of risk. It not only takes into consideration the hedging of financial risks, but it also considers alterations to both the functional and strategic aspects of the business.</w:t>
      </w:r>
      <w:r w:rsidR="00513E5E">
        <w:rPr>
          <w:rFonts w:ascii="Arial" w:hAnsi="Arial" w:cs="Arial"/>
        </w:rPr>
        <w:t xml:space="preserve"> </w:t>
      </w:r>
      <w:sdt>
        <w:sdtPr>
          <w:rPr>
            <w:rFonts w:ascii="Arial" w:hAnsi="Arial" w:cs="Arial"/>
          </w:rPr>
          <w:id w:val="347912250"/>
          <w:citation/>
        </w:sdtPr>
        <w:sdtContent>
          <w:r w:rsidR="00513E5E">
            <w:rPr>
              <w:rFonts w:ascii="Arial" w:hAnsi="Arial" w:cs="Arial"/>
            </w:rPr>
            <w:fldChar w:fldCharType="begin"/>
          </w:r>
          <w:r w:rsidR="00513E5E">
            <w:rPr>
              <w:rFonts w:ascii="Arial" w:hAnsi="Arial" w:cs="Arial"/>
            </w:rPr>
            <w:instrText xml:space="preserve"> CITATION Har19 \l 2057 </w:instrText>
          </w:r>
          <w:r w:rsidR="00513E5E">
            <w:rPr>
              <w:rFonts w:ascii="Arial" w:hAnsi="Arial" w:cs="Arial"/>
            </w:rPr>
            <w:fldChar w:fldCharType="separate"/>
          </w:r>
          <w:r w:rsidR="00513E5E" w:rsidRPr="00513E5E">
            <w:rPr>
              <w:rFonts w:ascii="Arial" w:hAnsi="Arial" w:cs="Arial"/>
              <w:noProof/>
            </w:rPr>
            <w:t>(Sakthivel, 2019)</w:t>
          </w:r>
          <w:r w:rsidR="00513E5E">
            <w:rPr>
              <w:rFonts w:ascii="Arial" w:hAnsi="Arial" w:cs="Arial"/>
            </w:rPr>
            <w:fldChar w:fldCharType="end"/>
          </w:r>
        </w:sdtContent>
      </w:sdt>
    </w:p>
    <w:p w14:paraId="0F224C63" w14:textId="77777777" w:rsidR="006B0188" w:rsidRPr="00917B7F" w:rsidRDefault="006B0188" w:rsidP="00917B7F">
      <w:pPr>
        <w:rPr>
          <w:rFonts w:ascii="Arial" w:hAnsi="Arial" w:cs="Arial"/>
        </w:rPr>
      </w:pPr>
    </w:p>
    <w:p w14:paraId="4F0A6D3D" w14:textId="77777777" w:rsidR="00BA4CA5" w:rsidRDefault="00BA4CA5" w:rsidP="00BA4CA5">
      <w:pPr>
        <w:rPr>
          <w:rFonts w:ascii="Arial" w:hAnsi="Arial" w:cs="Arial"/>
        </w:rPr>
      </w:pPr>
      <w:r w:rsidRPr="00BA4CA5">
        <w:rPr>
          <w:rFonts w:ascii="Arial" w:hAnsi="Arial" w:cs="Arial"/>
        </w:rPr>
        <w:t>However, it is important to consider a few disadvantages. Hedging incurs expenses, such as transaction fees, and may limit the potential benefits that may be gained if the market swings favourably. Furthermore, there is a risk of incurring financial losses due to imprecise estimations or an excessive use of hedging strategies.</w:t>
      </w:r>
    </w:p>
    <w:p w14:paraId="10AFD6BE" w14:textId="77777777" w:rsidR="00925612" w:rsidRPr="00BA4CA5" w:rsidRDefault="00925612" w:rsidP="00BA4CA5">
      <w:pPr>
        <w:rPr>
          <w:rFonts w:ascii="Arial" w:hAnsi="Arial" w:cs="Arial"/>
        </w:rPr>
      </w:pPr>
    </w:p>
    <w:p w14:paraId="5E0DA648" w14:textId="27C32E2D" w:rsidR="00BA4CA5" w:rsidRPr="00BA4CA5" w:rsidRDefault="00BA4CA5" w:rsidP="00BA4CA5">
      <w:pPr>
        <w:rPr>
          <w:rFonts w:ascii="Arial" w:hAnsi="Arial" w:cs="Arial"/>
        </w:rPr>
      </w:pPr>
      <w:r w:rsidRPr="00BA4CA5">
        <w:rPr>
          <w:rFonts w:ascii="Arial" w:hAnsi="Arial" w:cs="Arial"/>
        </w:rPr>
        <w:t xml:space="preserve">An individualised strategy that considers the multinational organization's risk tolerance, exposure levels, and market circumstances is crucial for effectively handling foreign currency risks. This is essential </w:t>
      </w:r>
      <w:r w:rsidR="006D6FED" w:rsidRPr="00BA4CA5">
        <w:rPr>
          <w:rFonts w:ascii="Arial" w:hAnsi="Arial" w:cs="Arial"/>
        </w:rPr>
        <w:t>to</w:t>
      </w:r>
      <w:r w:rsidRPr="00BA4CA5">
        <w:rPr>
          <w:rFonts w:ascii="Arial" w:hAnsi="Arial" w:cs="Arial"/>
        </w:rPr>
        <w:t xml:space="preserve"> meet the criteria of efficient risk management. Continuous monitoring and adjustments are crucial to ensure that plans are in line with the constantly changing conditions and aims. Nevertheless, multinational corporations often choose for a blend of these solutions, carefully considering both their advantages and drawbacks, </w:t>
      </w:r>
      <w:r w:rsidR="006D6FED" w:rsidRPr="00BA4CA5">
        <w:rPr>
          <w:rFonts w:ascii="Arial" w:hAnsi="Arial" w:cs="Arial"/>
        </w:rPr>
        <w:t>to</w:t>
      </w:r>
      <w:r w:rsidRPr="00BA4CA5">
        <w:rPr>
          <w:rFonts w:ascii="Arial" w:hAnsi="Arial" w:cs="Arial"/>
        </w:rPr>
        <w:t xml:space="preserve"> effectively handle their exposure to foreign currency risks.</w:t>
      </w:r>
      <w:r w:rsidR="000E648F">
        <w:rPr>
          <w:rFonts w:ascii="Arial" w:hAnsi="Arial" w:cs="Arial"/>
        </w:rPr>
        <w:t xml:space="preserve"> </w:t>
      </w:r>
      <w:sdt>
        <w:sdtPr>
          <w:rPr>
            <w:rFonts w:ascii="Arial" w:hAnsi="Arial" w:cs="Arial"/>
          </w:rPr>
          <w:id w:val="1559828980"/>
          <w:citation/>
        </w:sdtPr>
        <w:sdtContent>
          <w:r w:rsidR="000E648F">
            <w:rPr>
              <w:rFonts w:ascii="Arial" w:hAnsi="Arial" w:cs="Arial"/>
            </w:rPr>
            <w:fldChar w:fldCharType="begin"/>
          </w:r>
          <w:r w:rsidR="000E648F">
            <w:rPr>
              <w:rFonts w:ascii="Arial" w:hAnsi="Arial" w:cs="Arial"/>
            </w:rPr>
            <w:instrText xml:space="preserve"> CITATION AVR95 \l 2057 </w:instrText>
          </w:r>
          <w:r w:rsidR="000E648F">
            <w:rPr>
              <w:rFonts w:ascii="Arial" w:hAnsi="Arial" w:cs="Arial"/>
            </w:rPr>
            <w:fldChar w:fldCharType="separate"/>
          </w:r>
          <w:r w:rsidR="000E648F" w:rsidRPr="000E648F">
            <w:rPr>
              <w:rFonts w:ascii="Arial" w:hAnsi="Arial" w:cs="Arial"/>
              <w:noProof/>
            </w:rPr>
            <w:t>(Rajwade, 1995)</w:t>
          </w:r>
          <w:r w:rsidR="000E648F">
            <w:rPr>
              <w:rFonts w:ascii="Arial" w:hAnsi="Arial" w:cs="Arial"/>
            </w:rPr>
            <w:fldChar w:fldCharType="end"/>
          </w:r>
        </w:sdtContent>
      </w:sdt>
    </w:p>
    <w:p w14:paraId="4CB1124A" w14:textId="77777777" w:rsidR="00BA4CA5" w:rsidRPr="00BA4CA5" w:rsidRDefault="00BA4CA5" w:rsidP="00BA4CA5">
      <w:pPr>
        <w:rPr>
          <w:rFonts w:ascii="Arial" w:hAnsi="Arial" w:cs="Arial"/>
        </w:rPr>
      </w:pPr>
    </w:p>
    <w:p w14:paraId="3CE788B4" w14:textId="6E687E01" w:rsidR="00FF3719" w:rsidRPr="00BA4CA5" w:rsidRDefault="00BA4CA5" w:rsidP="00BA4CA5">
      <w:pPr>
        <w:rPr>
          <w:rFonts w:ascii="Arial" w:hAnsi="Arial" w:cs="Arial"/>
        </w:rPr>
      </w:pPr>
      <w:r w:rsidRPr="00BA4CA5">
        <w:rPr>
          <w:rFonts w:ascii="Arial" w:hAnsi="Arial" w:cs="Arial"/>
        </w:rPr>
        <w:t>Currency exchange risks, sometimes referred to as forex risks, arise from fluctuations in exchange rates across different currencies. These movements have the potential to impact firms, investors, and economies. For multinational enterprises, investors, and financial managers operating in the global market, it is crucial to possess a comprehensive comprehension of these dangers. Several crucial elements of foreign currency concerns</w:t>
      </w:r>
      <w:r w:rsidR="0056228C">
        <w:rPr>
          <w:rFonts w:ascii="Arial" w:hAnsi="Arial" w:cs="Arial"/>
        </w:rPr>
        <w:t xml:space="preserve">. </w:t>
      </w:r>
      <w:sdt>
        <w:sdtPr>
          <w:rPr>
            <w:rFonts w:ascii="Arial" w:hAnsi="Arial" w:cs="Arial"/>
          </w:rPr>
          <w:id w:val="-21562732"/>
          <w:citation/>
        </w:sdtPr>
        <w:sdtContent>
          <w:r w:rsidR="00FF3719">
            <w:rPr>
              <w:rFonts w:ascii="Arial" w:hAnsi="Arial" w:cs="Arial"/>
            </w:rPr>
            <w:fldChar w:fldCharType="begin"/>
          </w:r>
          <w:r w:rsidR="00FF3719">
            <w:rPr>
              <w:rFonts w:ascii="Arial" w:hAnsi="Arial" w:cs="Arial"/>
            </w:rPr>
            <w:instrText xml:space="preserve"> CITATION Elv23 \l 2057 </w:instrText>
          </w:r>
          <w:r w:rsidR="00FF3719">
            <w:rPr>
              <w:rFonts w:ascii="Arial" w:hAnsi="Arial" w:cs="Arial"/>
            </w:rPr>
            <w:fldChar w:fldCharType="separate"/>
          </w:r>
          <w:r w:rsidR="00FF3719" w:rsidRPr="00FF3719">
            <w:rPr>
              <w:rFonts w:ascii="Arial" w:hAnsi="Arial" w:cs="Arial"/>
              <w:noProof/>
            </w:rPr>
            <w:t>(Picardo, 2023)</w:t>
          </w:r>
          <w:r w:rsidR="00FF3719">
            <w:rPr>
              <w:rFonts w:ascii="Arial" w:hAnsi="Arial" w:cs="Arial"/>
            </w:rPr>
            <w:fldChar w:fldCharType="end"/>
          </w:r>
        </w:sdtContent>
      </w:sdt>
    </w:p>
    <w:p w14:paraId="3E5210EB" w14:textId="40F0AFC3" w:rsidR="00BA4CA5" w:rsidRPr="00BA4CA5" w:rsidRDefault="00D24AA8" w:rsidP="00BA4CA5">
      <w:pPr>
        <w:rPr>
          <w:rFonts w:ascii="Arial" w:hAnsi="Arial" w:cs="Arial"/>
        </w:rPr>
      </w:pPr>
      <w:r w:rsidRPr="00D24AA8">
        <w:rPr>
          <w:rFonts w:ascii="Arial" w:hAnsi="Arial" w:cs="Arial"/>
        </w:rPr>
        <w:t>This kind of risk arises when contract parties utilise currencies different than the one specified in the contract. Depending on how the currency rate changes between the transaction date and the settlement date, you might gain or lose money. When multinational businesses (MNCs) having subsidiaries or operations in many countries combine their financial records, the potential of translation emerges. Exchange rate variations may affect the value of assets, liabilities, revenues, and expenses when translated to a currency used for financial reporting.</w:t>
      </w:r>
    </w:p>
    <w:p w14:paraId="6D5FE6C1" w14:textId="77777777" w:rsidR="00BA4CA5" w:rsidRPr="00BA4CA5" w:rsidRDefault="00BA4CA5" w:rsidP="00BA4CA5">
      <w:pPr>
        <w:rPr>
          <w:rFonts w:ascii="Arial" w:hAnsi="Arial" w:cs="Arial"/>
        </w:rPr>
      </w:pPr>
      <w:r w:rsidRPr="00BA4CA5">
        <w:rPr>
          <w:rFonts w:ascii="Arial" w:hAnsi="Arial" w:cs="Arial"/>
        </w:rPr>
        <w:t>The economic risk stemming from currency changes that impact a company's competitive position is sometimes known as either operational risk or competitive risk, depending on the context. Fluctuations in exchange rates have an influence on many elements, such as the demand for goods and services, production costs, and market competitiveness.</w:t>
      </w:r>
    </w:p>
    <w:p w14:paraId="13245CB9" w14:textId="77777777" w:rsidR="00BA4CA5" w:rsidRPr="00BA4CA5" w:rsidRDefault="00BA4CA5" w:rsidP="00BA4CA5">
      <w:pPr>
        <w:rPr>
          <w:rFonts w:ascii="Arial" w:hAnsi="Arial" w:cs="Arial"/>
        </w:rPr>
      </w:pPr>
    </w:p>
    <w:p w14:paraId="2FFD6AFB" w14:textId="7505DA2E" w:rsidR="002B015B" w:rsidRPr="002B015B" w:rsidRDefault="00BA4CA5" w:rsidP="00BA4CA5">
      <w:pPr>
        <w:rPr>
          <w:rFonts w:ascii="Arial" w:hAnsi="Arial" w:cs="Arial"/>
        </w:rPr>
      </w:pPr>
      <w:r w:rsidRPr="00BA4CA5">
        <w:rPr>
          <w:rFonts w:ascii="Arial" w:hAnsi="Arial" w:cs="Arial"/>
        </w:rPr>
        <w:t>When faced with the potential for fluctuations in currency rates, strategic actions such as entering new markets or purchasing firms in other nations are vulnerable to strategic risk. Unforeseen circumstances may impact the feasibility and profitability of these strategies. Currency exchange rates are vulnerable to country risk, including factors such as political instability, economic challenges, and regulatory modifications in other countries. Investments done in countries with uncertain or volatile conditions are subject to a higher amount of national risk.</w:t>
      </w:r>
    </w:p>
    <w:p w14:paraId="6422DDAE" w14:textId="77777777" w:rsidR="00BD2D90" w:rsidRDefault="00BD2D90" w:rsidP="00B61A81">
      <w:pPr>
        <w:rPr>
          <w:rFonts w:ascii="Arial" w:hAnsi="Arial" w:cs="Arial"/>
        </w:rPr>
      </w:pPr>
      <w:r w:rsidRPr="00BD2D90">
        <w:rPr>
          <w:rFonts w:ascii="Arial" w:hAnsi="Arial" w:cs="Arial"/>
        </w:rPr>
        <w:lastRenderedPageBreak/>
        <w:t>Disparities in interest rates across nations may influence currency exchange rates. This danger is known as interest rate risk. Decreased interest rates may result in a decrease in the value of the currency, whilst increased interest rates might entice foreign investors and perhaps result in a currency appreciation.</w:t>
      </w:r>
    </w:p>
    <w:p w14:paraId="3F0108E3" w14:textId="7B3CBCC5" w:rsidR="00B61A81" w:rsidRPr="00B61A81" w:rsidRDefault="00B61A81" w:rsidP="00B61A81">
      <w:pPr>
        <w:rPr>
          <w:rFonts w:ascii="Arial" w:hAnsi="Arial" w:cs="Arial"/>
        </w:rPr>
      </w:pPr>
      <w:r w:rsidRPr="00B61A81">
        <w:rPr>
          <w:rFonts w:ascii="Arial" w:hAnsi="Arial" w:cs="Arial"/>
        </w:rPr>
        <w:t>It is essential to analyse the potential impact of these risks on cash flows, profitability, and overall financial performance in order to have a comprehensive knowledge of these risks. When it comes to reducing these risks, hedging measures are often used. These strategies include the use of financial instruments such as forward contracts, options, or swaps; natural hedging, which involves aligning revenues and expenses; and diversification across different financial markets and currencies.</w:t>
      </w:r>
      <w:r w:rsidR="00D475B1">
        <w:rPr>
          <w:rFonts w:ascii="Arial" w:hAnsi="Arial" w:cs="Arial"/>
        </w:rPr>
        <w:t xml:space="preserve"> </w:t>
      </w:r>
      <w:sdt>
        <w:sdtPr>
          <w:rPr>
            <w:rFonts w:ascii="Arial" w:hAnsi="Arial" w:cs="Arial"/>
          </w:rPr>
          <w:id w:val="-113756971"/>
          <w:citation/>
        </w:sdtPr>
        <w:sdtContent>
          <w:r w:rsidR="00D475B1">
            <w:rPr>
              <w:rFonts w:ascii="Arial" w:hAnsi="Arial" w:cs="Arial"/>
            </w:rPr>
            <w:fldChar w:fldCharType="begin"/>
          </w:r>
          <w:r w:rsidR="00D475B1">
            <w:rPr>
              <w:rFonts w:ascii="Arial" w:hAnsi="Arial" w:cs="Arial"/>
            </w:rPr>
            <w:instrText xml:space="preserve"> CITATION San20 \l 2057 </w:instrText>
          </w:r>
          <w:r w:rsidR="00D475B1">
            <w:rPr>
              <w:rFonts w:ascii="Arial" w:hAnsi="Arial" w:cs="Arial"/>
            </w:rPr>
            <w:fldChar w:fldCharType="separate"/>
          </w:r>
          <w:r w:rsidR="00D475B1" w:rsidRPr="00D475B1">
            <w:rPr>
              <w:rFonts w:ascii="Arial" w:hAnsi="Arial" w:cs="Arial"/>
              <w:noProof/>
            </w:rPr>
            <w:t>(Santosh Raikar, 2020)</w:t>
          </w:r>
          <w:r w:rsidR="00D475B1">
            <w:rPr>
              <w:rFonts w:ascii="Arial" w:hAnsi="Arial" w:cs="Arial"/>
            </w:rPr>
            <w:fldChar w:fldCharType="end"/>
          </w:r>
        </w:sdtContent>
      </w:sdt>
    </w:p>
    <w:p w14:paraId="25BECB1A" w14:textId="77777777" w:rsidR="00B61A81" w:rsidRPr="00B61A81" w:rsidRDefault="00B61A81" w:rsidP="00B61A81">
      <w:pPr>
        <w:rPr>
          <w:rFonts w:ascii="Arial" w:hAnsi="Arial" w:cs="Arial"/>
        </w:rPr>
      </w:pPr>
    </w:p>
    <w:p w14:paraId="75307250" w14:textId="36D82466" w:rsidR="00D56542" w:rsidRDefault="00B61A81" w:rsidP="00B61A81">
      <w:pPr>
        <w:rPr>
          <w:rFonts w:ascii="Arial" w:hAnsi="Arial" w:cs="Arial"/>
        </w:rPr>
      </w:pPr>
      <w:r w:rsidRPr="00B61A81">
        <w:rPr>
          <w:rFonts w:ascii="Arial" w:hAnsi="Arial" w:cs="Arial"/>
        </w:rPr>
        <w:t>Furthermore, in order to proactively address and control foreign currency risks, it is crucial to maintain a state of vigilance about worldwide economic patterns, geopolitical occurrences, central bank policies, and market sentiments. Empirical research, risk management models, and real-time market analysis are all significant variables that enhance the understanding and control of foreign currency risks in an increasingly interconnected global economy.</w:t>
      </w:r>
      <w:r w:rsidR="00D475B1">
        <w:rPr>
          <w:rFonts w:ascii="Arial" w:hAnsi="Arial" w:cs="Arial"/>
        </w:rPr>
        <w:t xml:space="preserve"> </w:t>
      </w:r>
      <w:r w:rsidR="00C609B0">
        <w:rPr>
          <w:rFonts w:ascii="Arial" w:hAnsi="Arial" w:cs="Arial"/>
        </w:rPr>
        <w:t xml:space="preserve"> </w:t>
      </w:r>
      <w:sdt>
        <w:sdtPr>
          <w:rPr>
            <w:rFonts w:ascii="Arial" w:hAnsi="Arial" w:cs="Arial"/>
          </w:rPr>
          <w:id w:val="-194002914"/>
          <w:citation/>
        </w:sdtPr>
        <w:sdtContent>
          <w:r w:rsidR="00C609B0">
            <w:rPr>
              <w:rFonts w:ascii="Arial" w:hAnsi="Arial" w:cs="Arial"/>
            </w:rPr>
            <w:fldChar w:fldCharType="begin"/>
          </w:r>
          <w:r w:rsidR="007F6BE4">
            <w:rPr>
              <w:rFonts w:ascii="Arial" w:hAnsi="Arial" w:cs="Arial"/>
            </w:rPr>
            <w:instrText xml:space="preserve">CITATION Has96 \l 2057 </w:instrText>
          </w:r>
          <w:r w:rsidR="00C609B0">
            <w:rPr>
              <w:rFonts w:ascii="Arial" w:hAnsi="Arial" w:cs="Arial"/>
            </w:rPr>
            <w:fldChar w:fldCharType="separate"/>
          </w:r>
          <w:r w:rsidR="007F6BE4" w:rsidRPr="007F6BE4">
            <w:rPr>
              <w:rFonts w:ascii="Arial" w:hAnsi="Arial" w:cs="Arial"/>
              <w:noProof/>
            </w:rPr>
            <w:t>(Mark, 1996)</w:t>
          </w:r>
          <w:r w:rsidR="00C609B0">
            <w:rPr>
              <w:rFonts w:ascii="Arial" w:hAnsi="Arial" w:cs="Arial"/>
            </w:rPr>
            <w:fldChar w:fldCharType="end"/>
          </w:r>
        </w:sdtContent>
      </w:sdt>
    </w:p>
    <w:p w14:paraId="4AC5308B" w14:textId="77777777" w:rsidR="006D6FED" w:rsidRDefault="006D6FED" w:rsidP="00B61A81">
      <w:pPr>
        <w:rPr>
          <w:rFonts w:ascii="Arial" w:hAnsi="Arial" w:cs="Arial"/>
        </w:rPr>
      </w:pPr>
    </w:p>
    <w:p w14:paraId="5EC23F7A" w14:textId="77777777" w:rsidR="006D6FED" w:rsidRDefault="006D6FED" w:rsidP="00B61A81">
      <w:pPr>
        <w:rPr>
          <w:rFonts w:ascii="Arial" w:hAnsi="Arial" w:cs="Arial"/>
        </w:rPr>
      </w:pPr>
    </w:p>
    <w:p w14:paraId="3E87B6E6" w14:textId="77777777" w:rsidR="006D6FED" w:rsidRDefault="006D6FED" w:rsidP="00B61A81">
      <w:pPr>
        <w:rPr>
          <w:rFonts w:ascii="Arial" w:hAnsi="Arial" w:cs="Arial"/>
        </w:rPr>
      </w:pPr>
    </w:p>
    <w:p w14:paraId="7C2641E1" w14:textId="1884E63C" w:rsidR="00D56542" w:rsidRDefault="00D56542" w:rsidP="00D56542">
      <w:pPr>
        <w:pStyle w:val="Heading1"/>
      </w:pPr>
      <w:bookmarkStart w:id="8" w:name="_Toc155031702"/>
      <w:r>
        <w:t>Conclusion</w:t>
      </w:r>
      <w:bookmarkEnd w:id="8"/>
      <w:r>
        <w:t xml:space="preserve"> </w:t>
      </w:r>
    </w:p>
    <w:p w14:paraId="25816E48" w14:textId="77777777" w:rsidR="00D56542" w:rsidRDefault="00D56542" w:rsidP="002B015B">
      <w:pPr>
        <w:rPr>
          <w:rFonts w:ascii="Arial" w:hAnsi="Arial" w:cs="Arial"/>
        </w:rPr>
      </w:pPr>
    </w:p>
    <w:p w14:paraId="7A45330E" w14:textId="54D232D6" w:rsidR="00D56542" w:rsidRPr="00D56542" w:rsidRDefault="00D56542" w:rsidP="00D56542">
      <w:pPr>
        <w:rPr>
          <w:rFonts w:ascii="Arial" w:hAnsi="Arial" w:cs="Arial"/>
        </w:rPr>
      </w:pPr>
      <w:r w:rsidRPr="00D56542">
        <w:rPr>
          <w:rFonts w:ascii="Arial" w:hAnsi="Arial" w:cs="Arial"/>
        </w:rPr>
        <w:t>Empirical data strongly confirms the presence and significance of these foreign currency risks; however, their management is intricate. Limitations to risk mitigation measures arise from factors such as the expense of hedging, the lack of perfect correlation between exposures and accessible hedging instruments, and the difficulty of accurately predicting exchange rate fluctuations.</w:t>
      </w:r>
    </w:p>
    <w:p w14:paraId="4BC4A023" w14:textId="77777777" w:rsidR="00D56542" w:rsidRPr="00D56542" w:rsidRDefault="00D56542" w:rsidP="00D56542">
      <w:pPr>
        <w:rPr>
          <w:rFonts w:ascii="Arial" w:hAnsi="Arial" w:cs="Arial"/>
        </w:rPr>
      </w:pPr>
    </w:p>
    <w:p w14:paraId="514048E3" w14:textId="77777777" w:rsidR="00D56542" w:rsidRPr="00D56542" w:rsidRDefault="00D56542" w:rsidP="00D56542">
      <w:pPr>
        <w:rPr>
          <w:rFonts w:ascii="Arial" w:hAnsi="Arial" w:cs="Arial"/>
        </w:rPr>
      </w:pPr>
      <w:r w:rsidRPr="00D56542">
        <w:rPr>
          <w:rFonts w:ascii="Arial" w:hAnsi="Arial" w:cs="Arial"/>
        </w:rPr>
        <w:t>Furthermore, the ever-changing nature of international markets implies that while past data and models provide valuable insights, they may not consistently forecast future trends, so bringing uncertainty into risk management techniques.</w:t>
      </w:r>
    </w:p>
    <w:p w14:paraId="0C602D05" w14:textId="6AE9F687" w:rsidR="00D56542" w:rsidRDefault="00D56542" w:rsidP="00D56542">
      <w:pPr>
        <w:rPr>
          <w:rFonts w:ascii="Arial" w:hAnsi="Arial" w:cs="Arial"/>
        </w:rPr>
      </w:pPr>
      <w:r w:rsidRPr="00D56542">
        <w:rPr>
          <w:rFonts w:ascii="Arial" w:hAnsi="Arial" w:cs="Arial"/>
        </w:rPr>
        <w:t>To summarise, empirical data confirms the importance of foreign exchange risks and the efficacy of certain risk management tactics. However, due to the intricate and uncertain nature of currency markets, it is crucial to use a sophisticated and flexible strategy in order to properly handle these risks.</w:t>
      </w:r>
    </w:p>
    <w:p w14:paraId="530485AF" w14:textId="77777777" w:rsidR="00E47091" w:rsidRDefault="00E47091" w:rsidP="00D56542">
      <w:pPr>
        <w:rPr>
          <w:rFonts w:ascii="Arial" w:hAnsi="Arial" w:cs="Arial"/>
        </w:rPr>
      </w:pPr>
    </w:p>
    <w:p w14:paraId="0411F15E" w14:textId="77777777" w:rsidR="00E47091" w:rsidRDefault="00E47091" w:rsidP="00D56542">
      <w:pPr>
        <w:rPr>
          <w:rFonts w:ascii="Arial" w:hAnsi="Arial" w:cs="Arial"/>
        </w:rPr>
      </w:pPr>
    </w:p>
    <w:p w14:paraId="2B85A325" w14:textId="77777777" w:rsidR="00E47091" w:rsidRDefault="00E47091" w:rsidP="00D56542">
      <w:pPr>
        <w:rPr>
          <w:rFonts w:ascii="Arial" w:hAnsi="Arial" w:cs="Arial"/>
        </w:rPr>
      </w:pPr>
    </w:p>
    <w:p w14:paraId="4599F534" w14:textId="77777777" w:rsidR="005A4C5E" w:rsidRDefault="005A4C5E" w:rsidP="00D56542">
      <w:pPr>
        <w:rPr>
          <w:rFonts w:ascii="Arial" w:hAnsi="Arial" w:cs="Arial"/>
        </w:rPr>
      </w:pPr>
    </w:p>
    <w:p w14:paraId="2E54A331" w14:textId="51148C65" w:rsidR="005A4C5E" w:rsidRDefault="005A4C5E" w:rsidP="005A4C5E">
      <w:pPr>
        <w:pStyle w:val="Heading1"/>
      </w:pPr>
      <w:bookmarkStart w:id="9" w:name="_Toc155031703"/>
      <w:r>
        <w:lastRenderedPageBreak/>
        <w:t>References</w:t>
      </w:r>
      <w:bookmarkEnd w:id="9"/>
    </w:p>
    <w:sdt>
      <w:sdtPr>
        <w:rPr>
          <w:rFonts w:asciiTheme="minorHAnsi" w:eastAsiaTheme="minorHAnsi" w:hAnsiTheme="minorHAnsi" w:cstheme="minorBidi"/>
          <w:color w:val="auto"/>
          <w:sz w:val="22"/>
          <w:szCs w:val="22"/>
        </w:rPr>
        <w:id w:val="-377704008"/>
        <w:docPartObj>
          <w:docPartGallery w:val="Bibliographies"/>
          <w:docPartUnique/>
        </w:docPartObj>
      </w:sdtPr>
      <w:sdtContent>
        <w:p w14:paraId="6D049EA8" w14:textId="09AC9F88" w:rsidR="007F6BE4" w:rsidRDefault="007F6BE4">
          <w:pPr>
            <w:pStyle w:val="Heading1"/>
          </w:pPr>
        </w:p>
        <w:sdt>
          <w:sdtPr>
            <w:id w:val="-573587230"/>
            <w:bibliography/>
          </w:sdtPr>
          <w:sdtContent>
            <w:p w14:paraId="322A02E4" w14:textId="4C041DD7" w:rsidR="0064606D" w:rsidRPr="0064606D" w:rsidRDefault="0064606D" w:rsidP="007F6BE4">
              <w:pPr>
                <w:pStyle w:val="Bibliography"/>
                <w:rPr>
                  <w:rFonts w:ascii="Arial" w:hAnsi="Arial" w:cs="Arial"/>
                </w:rPr>
              </w:pPr>
              <w:r w:rsidRPr="0064606D">
                <w:rPr>
                  <w:rFonts w:ascii="Arial" w:hAnsi="Arial" w:cs="Arial"/>
                </w:rPr>
                <w:t xml:space="preserve">Baker James C. </w:t>
              </w:r>
              <w:r w:rsidR="00EB6741">
                <w:rPr>
                  <w:rFonts w:ascii="Arial" w:hAnsi="Arial" w:cs="Arial"/>
                </w:rPr>
                <w:t>(</w:t>
              </w:r>
              <w:r w:rsidRPr="0064606D">
                <w:rPr>
                  <w:rFonts w:ascii="Arial" w:hAnsi="Arial" w:cs="Arial"/>
                </w:rPr>
                <w:t>1998</w:t>
              </w:r>
              <w:r w:rsidR="00EB6741">
                <w:rPr>
                  <w:rFonts w:ascii="Arial" w:hAnsi="Arial" w:cs="Arial"/>
                </w:rPr>
                <w:t>)</w:t>
              </w:r>
              <w:r w:rsidRPr="00EB6741">
                <w:rPr>
                  <w:rFonts w:ascii="Arial" w:hAnsi="Arial" w:cs="Arial"/>
                  <w:i/>
                  <w:iCs/>
                </w:rPr>
                <w:t>. International Finance: Management, Market and Institutions</w:t>
              </w:r>
              <w:r w:rsidRPr="0064606D">
                <w:rPr>
                  <w:rFonts w:ascii="Arial" w:hAnsi="Arial" w:cs="Arial"/>
                </w:rPr>
                <w:t>. New Jersy: Prentice Hall.</w:t>
              </w:r>
            </w:p>
            <w:p w14:paraId="29DCCA8B" w14:textId="77F2A17C" w:rsidR="007F6BE4" w:rsidRPr="0064606D" w:rsidRDefault="007F6BE4" w:rsidP="007F6BE4">
              <w:pPr>
                <w:pStyle w:val="Bibliography"/>
                <w:rPr>
                  <w:rFonts w:ascii="Arial" w:hAnsi="Arial" w:cs="Arial"/>
                  <w:noProof/>
                  <w:sz w:val="24"/>
                  <w:szCs w:val="24"/>
                </w:rPr>
              </w:pPr>
              <w:r w:rsidRPr="0064606D">
                <w:rPr>
                  <w:rFonts w:ascii="Arial" w:hAnsi="Arial" w:cs="Arial"/>
                </w:rPr>
                <w:fldChar w:fldCharType="begin"/>
              </w:r>
              <w:r w:rsidRPr="0064606D">
                <w:rPr>
                  <w:rFonts w:ascii="Arial" w:hAnsi="Arial" w:cs="Arial"/>
                </w:rPr>
                <w:instrText xml:space="preserve"> BIBLIOGRAPHY </w:instrText>
              </w:r>
              <w:r w:rsidRPr="0064606D">
                <w:rPr>
                  <w:rFonts w:ascii="Arial" w:hAnsi="Arial" w:cs="Arial"/>
                </w:rPr>
                <w:fldChar w:fldCharType="separate"/>
              </w:r>
              <w:r w:rsidRPr="0064606D">
                <w:rPr>
                  <w:rFonts w:ascii="Arial" w:hAnsi="Arial" w:cs="Arial"/>
                  <w:noProof/>
                </w:rPr>
                <w:t xml:space="preserve">Geert Bekaert, R. H. (2017) </w:t>
              </w:r>
              <w:r w:rsidRPr="0064606D">
                <w:rPr>
                  <w:rFonts w:ascii="Arial" w:hAnsi="Arial" w:cs="Arial"/>
                  <w:i/>
                  <w:iCs/>
                  <w:noProof/>
                </w:rPr>
                <w:t xml:space="preserve">International Financial Management. </w:t>
              </w:r>
              <w:r w:rsidRPr="0064606D">
                <w:rPr>
                  <w:rFonts w:ascii="Arial" w:hAnsi="Arial" w:cs="Arial"/>
                  <w:noProof/>
                </w:rPr>
                <w:t>1nd ed. New York: Cambridge University Press.</w:t>
              </w:r>
            </w:p>
            <w:p w14:paraId="1652FBBC" w14:textId="6E81B9D9" w:rsidR="007F6BE4" w:rsidRPr="0064606D" w:rsidRDefault="007F6BE4" w:rsidP="007F6BE4">
              <w:pPr>
                <w:pStyle w:val="Bibliography"/>
                <w:rPr>
                  <w:rFonts w:ascii="Arial" w:hAnsi="Arial" w:cs="Arial"/>
                  <w:noProof/>
                </w:rPr>
              </w:pPr>
              <w:r w:rsidRPr="0064606D">
                <w:rPr>
                  <w:rFonts w:ascii="Arial" w:hAnsi="Arial" w:cs="Arial"/>
                  <w:noProof/>
                </w:rPr>
                <w:t xml:space="preserve">Mark, H. (1996) </w:t>
              </w:r>
              <w:r w:rsidRPr="0064606D">
                <w:rPr>
                  <w:rFonts w:ascii="Arial" w:hAnsi="Arial" w:cs="Arial"/>
                  <w:i/>
                  <w:iCs/>
                  <w:noProof/>
                </w:rPr>
                <w:t xml:space="preserve">International Financial Reporting and Analysis. </w:t>
              </w:r>
              <w:r w:rsidRPr="0064606D">
                <w:rPr>
                  <w:rFonts w:ascii="Arial" w:hAnsi="Arial" w:cs="Arial"/>
                  <w:noProof/>
                </w:rPr>
                <w:t>Chicago: Irwin.</w:t>
              </w:r>
            </w:p>
            <w:p w14:paraId="0890087B" w14:textId="4C402439" w:rsidR="007F6BE4" w:rsidRPr="0064606D" w:rsidRDefault="007F6BE4" w:rsidP="007F6BE4">
              <w:pPr>
                <w:pStyle w:val="Bibliography"/>
                <w:rPr>
                  <w:rFonts w:ascii="Arial" w:hAnsi="Arial" w:cs="Arial"/>
                  <w:noProof/>
                </w:rPr>
              </w:pPr>
              <w:r w:rsidRPr="0064606D">
                <w:rPr>
                  <w:rFonts w:ascii="Arial" w:hAnsi="Arial" w:cs="Arial"/>
                  <w:noProof/>
                </w:rPr>
                <w:t>Picardo, E.</w:t>
              </w:r>
              <w:r w:rsidR="00EA04F8" w:rsidRPr="0064606D">
                <w:rPr>
                  <w:rFonts w:ascii="Arial" w:hAnsi="Arial" w:cs="Arial"/>
                  <w:noProof/>
                </w:rPr>
                <w:t xml:space="preserve"> </w:t>
              </w:r>
              <w:r w:rsidRPr="0064606D">
                <w:rPr>
                  <w:rFonts w:ascii="Arial" w:hAnsi="Arial" w:cs="Arial"/>
                  <w:noProof/>
                </w:rPr>
                <w:t xml:space="preserve">(2023) </w:t>
              </w:r>
              <w:r w:rsidRPr="0064606D">
                <w:rPr>
                  <w:rFonts w:ascii="Arial" w:hAnsi="Arial" w:cs="Arial"/>
                  <w:i/>
                  <w:iCs/>
                  <w:noProof/>
                </w:rPr>
                <w:t xml:space="preserve">Exchange Rate Risk: Economic Exposure. </w:t>
              </w:r>
              <w:r w:rsidRPr="0064606D">
                <w:rPr>
                  <w:rFonts w:ascii="Arial" w:hAnsi="Arial" w:cs="Arial"/>
                  <w:noProof/>
                </w:rPr>
                <w:t xml:space="preserve">[Online] </w:t>
              </w:r>
              <w:r w:rsidRPr="0064606D">
                <w:rPr>
                  <w:rFonts w:ascii="Arial" w:hAnsi="Arial" w:cs="Arial"/>
                  <w:noProof/>
                </w:rPr>
                <w:br/>
                <w:t xml:space="preserve">Available at: </w:t>
              </w:r>
              <w:r w:rsidRPr="0064606D">
                <w:rPr>
                  <w:rFonts w:ascii="Arial" w:hAnsi="Arial" w:cs="Arial"/>
                  <w:noProof/>
                  <w:u w:val="single"/>
                </w:rPr>
                <w:t>https://www.investopedia.com/articles/forex/021114/exchange-rate-risk-economic-exposure.asp#:~:text=Exchange%20rate%20risk%20refers%20to,and%20economic%20or%20operating%20exposure.</w:t>
              </w:r>
              <w:r w:rsidRPr="0064606D">
                <w:rPr>
                  <w:rFonts w:ascii="Arial" w:hAnsi="Arial" w:cs="Arial"/>
                  <w:noProof/>
                </w:rPr>
                <w:br/>
                <w:t>[Accessed 27 12 2023].</w:t>
              </w:r>
            </w:p>
            <w:p w14:paraId="18A21E78" w14:textId="590AE3CD" w:rsidR="007F6BE4" w:rsidRPr="0064606D" w:rsidRDefault="007F6BE4" w:rsidP="007F6BE4">
              <w:pPr>
                <w:pStyle w:val="Bibliography"/>
                <w:rPr>
                  <w:rFonts w:ascii="Arial" w:hAnsi="Arial" w:cs="Arial"/>
                  <w:noProof/>
                </w:rPr>
              </w:pPr>
              <w:r w:rsidRPr="0064606D">
                <w:rPr>
                  <w:rFonts w:ascii="Arial" w:hAnsi="Arial" w:cs="Arial"/>
                  <w:noProof/>
                </w:rPr>
                <w:t xml:space="preserve">Rajwade, A. V. (1995) </w:t>
              </w:r>
              <w:r w:rsidRPr="0064606D">
                <w:rPr>
                  <w:rFonts w:ascii="Arial" w:hAnsi="Arial" w:cs="Arial"/>
                  <w:i/>
                  <w:iCs/>
                  <w:noProof/>
                </w:rPr>
                <w:t xml:space="preserve">Foreign Exchange, International Finance and Risk Managemet. </w:t>
              </w:r>
              <w:r w:rsidRPr="0064606D">
                <w:rPr>
                  <w:rFonts w:ascii="Arial" w:hAnsi="Arial" w:cs="Arial"/>
                  <w:noProof/>
                </w:rPr>
                <w:t>4 th ed. New Delhi: Academy of Business Studies.</w:t>
              </w:r>
            </w:p>
            <w:p w14:paraId="1E779585" w14:textId="72C1BE6C" w:rsidR="007F6BE4" w:rsidRPr="0064606D" w:rsidRDefault="007F6BE4" w:rsidP="007F6BE4">
              <w:pPr>
                <w:pStyle w:val="Bibliography"/>
                <w:rPr>
                  <w:rFonts w:ascii="Arial" w:hAnsi="Arial" w:cs="Arial"/>
                  <w:noProof/>
                </w:rPr>
              </w:pPr>
              <w:r w:rsidRPr="0064606D">
                <w:rPr>
                  <w:rFonts w:ascii="Arial" w:hAnsi="Arial" w:cs="Arial"/>
                  <w:noProof/>
                </w:rPr>
                <w:t xml:space="preserve">Sakthivel, H. (2019) </w:t>
              </w:r>
              <w:r w:rsidRPr="0064606D">
                <w:rPr>
                  <w:rFonts w:ascii="Arial" w:hAnsi="Arial" w:cs="Arial"/>
                  <w:i/>
                  <w:iCs/>
                  <w:noProof/>
                </w:rPr>
                <w:t xml:space="preserve">International Finance Management, </w:t>
              </w:r>
              <w:r w:rsidRPr="0064606D">
                <w:rPr>
                  <w:rFonts w:ascii="Arial" w:hAnsi="Arial" w:cs="Arial"/>
                  <w:noProof/>
                </w:rPr>
                <w:t>India: Sri Krishna College of Arts and Science.</w:t>
              </w:r>
            </w:p>
            <w:p w14:paraId="6CAFE46F" w14:textId="78CF29C9" w:rsidR="007F6BE4" w:rsidRPr="0064606D" w:rsidRDefault="007F6BE4" w:rsidP="007F6BE4">
              <w:pPr>
                <w:pStyle w:val="Bibliography"/>
                <w:rPr>
                  <w:rFonts w:ascii="Arial" w:hAnsi="Arial" w:cs="Arial"/>
                  <w:noProof/>
                </w:rPr>
              </w:pPr>
              <w:r w:rsidRPr="0064606D">
                <w:rPr>
                  <w:rFonts w:ascii="Arial" w:hAnsi="Arial" w:cs="Arial"/>
                  <w:noProof/>
                </w:rPr>
                <w:t xml:space="preserve">Santosh Raikar, S. A. (2020) </w:t>
              </w:r>
              <w:r w:rsidRPr="0064606D">
                <w:rPr>
                  <w:rFonts w:ascii="Arial" w:hAnsi="Arial" w:cs="Arial"/>
                  <w:i/>
                  <w:iCs/>
                  <w:noProof/>
                </w:rPr>
                <w:t xml:space="preserve">Exchange Rate Risk. </w:t>
              </w:r>
              <w:r w:rsidRPr="0064606D">
                <w:rPr>
                  <w:rFonts w:ascii="Arial" w:hAnsi="Arial" w:cs="Arial"/>
                  <w:noProof/>
                </w:rPr>
                <w:t xml:space="preserve">[Online] </w:t>
              </w:r>
              <w:r w:rsidRPr="0064606D">
                <w:rPr>
                  <w:rFonts w:ascii="Arial" w:hAnsi="Arial" w:cs="Arial"/>
                  <w:noProof/>
                </w:rPr>
                <w:br/>
                <w:t xml:space="preserve">Available at: </w:t>
              </w:r>
              <w:r w:rsidRPr="0064606D">
                <w:rPr>
                  <w:rFonts w:ascii="Arial" w:hAnsi="Arial" w:cs="Arial"/>
                  <w:noProof/>
                  <w:u w:val="single"/>
                </w:rPr>
                <w:t>https://www.sciencedirect.com/topics/economics-econometrics-and-finance/exchange-rate-risk</w:t>
              </w:r>
              <w:r w:rsidRPr="0064606D">
                <w:rPr>
                  <w:rFonts w:ascii="Arial" w:hAnsi="Arial" w:cs="Arial"/>
                  <w:noProof/>
                </w:rPr>
                <w:br/>
                <w:t>[Accessed 28 12 2023].</w:t>
              </w:r>
            </w:p>
            <w:p w14:paraId="6B984D35" w14:textId="77777777" w:rsidR="00B221EA" w:rsidRPr="0064606D" w:rsidRDefault="007F6BE4" w:rsidP="00B221EA">
              <w:pPr>
                <w:pStyle w:val="Bibliography"/>
                <w:rPr>
                  <w:rFonts w:ascii="Arial" w:hAnsi="Arial" w:cs="Arial"/>
                  <w:noProof/>
                </w:rPr>
              </w:pPr>
              <w:r w:rsidRPr="0064606D">
                <w:rPr>
                  <w:rFonts w:ascii="Arial" w:hAnsi="Arial" w:cs="Arial"/>
                  <w:noProof/>
                </w:rPr>
                <w:t xml:space="preserve">Strutner, S. (2013) </w:t>
              </w:r>
              <w:r w:rsidRPr="0064606D">
                <w:rPr>
                  <w:rFonts w:ascii="Arial" w:hAnsi="Arial" w:cs="Arial"/>
                  <w:i/>
                  <w:iCs/>
                  <w:noProof/>
                </w:rPr>
                <w:t xml:space="preserve">Financial Management Explained: Scope, Objectives &amp; Importance. </w:t>
              </w:r>
              <w:r w:rsidRPr="0064606D">
                <w:rPr>
                  <w:rFonts w:ascii="Arial" w:hAnsi="Arial" w:cs="Arial"/>
                  <w:noProof/>
                </w:rPr>
                <w:t xml:space="preserve">[Online] </w:t>
              </w:r>
              <w:r w:rsidRPr="0064606D">
                <w:rPr>
                  <w:rFonts w:ascii="Arial" w:hAnsi="Arial" w:cs="Arial"/>
                  <w:noProof/>
                </w:rPr>
                <w:br/>
                <w:t xml:space="preserve">Available at: </w:t>
              </w:r>
              <w:r w:rsidRPr="0064606D">
                <w:rPr>
                  <w:rFonts w:ascii="Arial" w:hAnsi="Arial" w:cs="Arial"/>
                  <w:noProof/>
                  <w:u w:val="single"/>
                </w:rPr>
                <w:t>https://www.netsuite.com/portal/resource/articles/financial-management/financial-management.shtml</w:t>
              </w:r>
              <w:r w:rsidRPr="0064606D">
                <w:rPr>
                  <w:rFonts w:ascii="Arial" w:hAnsi="Arial" w:cs="Arial"/>
                  <w:noProof/>
                </w:rPr>
                <w:br/>
                <w:t>[Accessed 27 12 2023].</w:t>
              </w:r>
            </w:p>
            <w:p w14:paraId="654784B2" w14:textId="5A4A3321" w:rsidR="007F6BE4" w:rsidRDefault="007F6BE4" w:rsidP="00B221EA">
              <w:pPr>
                <w:pStyle w:val="Bibliography"/>
              </w:pPr>
              <w:r w:rsidRPr="0064606D">
                <w:rPr>
                  <w:rFonts w:ascii="Arial" w:hAnsi="Arial" w:cs="Arial"/>
                  <w:b/>
                  <w:bCs/>
                  <w:noProof/>
                </w:rPr>
                <w:fldChar w:fldCharType="end"/>
              </w:r>
            </w:p>
          </w:sdtContent>
        </w:sdt>
      </w:sdtContent>
    </w:sdt>
    <w:p w14:paraId="1DBEF7C2" w14:textId="77777777" w:rsidR="007F6BE4" w:rsidRPr="007F6BE4" w:rsidRDefault="007F6BE4" w:rsidP="007F6BE4"/>
    <w:sectPr w:rsidR="007F6BE4" w:rsidRPr="007F6BE4" w:rsidSect="008A210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DC503" w14:textId="77777777" w:rsidR="00330F3C" w:rsidRDefault="00330F3C" w:rsidP="00DC01B0">
      <w:pPr>
        <w:spacing w:after="0" w:line="240" w:lineRule="auto"/>
      </w:pPr>
      <w:r>
        <w:separator/>
      </w:r>
    </w:p>
  </w:endnote>
  <w:endnote w:type="continuationSeparator" w:id="0">
    <w:p w14:paraId="2C90331B" w14:textId="77777777" w:rsidR="00330F3C" w:rsidRDefault="00330F3C" w:rsidP="00DC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183746"/>
      <w:docPartObj>
        <w:docPartGallery w:val="Page Numbers (Bottom of Page)"/>
        <w:docPartUnique/>
      </w:docPartObj>
    </w:sdtPr>
    <w:sdtContent>
      <w:p w14:paraId="7F00DDF2" w14:textId="1C9B8759" w:rsidR="00886A44" w:rsidRDefault="00886A44">
        <w:pPr>
          <w:pStyle w:val="Footer"/>
        </w:pPr>
        <w:r>
          <w:rPr>
            <w:noProof/>
          </w:rPr>
          <mc:AlternateContent>
            <mc:Choice Requires="wps">
              <w:drawing>
                <wp:anchor distT="0" distB="0" distL="114300" distR="114300" simplePos="0" relativeHeight="251659264" behindDoc="0" locked="0" layoutInCell="1" allowOverlap="1" wp14:anchorId="6CA0258F" wp14:editId="5210261D">
                  <wp:simplePos x="0" y="0"/>
                  <wp:positionH relativeFrom="rightMargin">
                    <wp:align>center</wp:align>
                  </wp:positionH>
                  <wp:positionV relativeFrom="bottomMargin">
                    <wp:align>center</wp:align>
                  </wp:positionV>
                  <wp:extent cx="565785" cy="191770"/>
                  <wp:effectExtent l="0" t="0" r="0" b="0"/>
                  <wp:wrapNone/>
                  <wp:docPr id="3749299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6CDCE4B" w14:textId="77777777" w:rsidR="00886A44" w:rsidRDefault="00886A44">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CA0258F" id="Rectangle 1" o:spid="_x0000_s102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56CDCE4B" w14:textId="77777777" w:rsidR="00886A44" w:rsidRDefault="00886A44">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3905A" w14:textId="77777777" w:rsidR="00330F3C" w:rsidRDefault="00330F3C" w:rsidP="00DC01B0">
      <w:pPr>
        <w:spacing w:after="0" w:line="240" w:lineRule="auto"/>
      </w:pPr>
      <w:r>
        <w:separator/>
      </w:r>
    </w:p>
  </w:footnote>
  <w:footnote w:type="continuationSeparator" w:id="0">
    <w:p w14:paraId="2F81CFCB" w14:textId="77777777" w:rsidR="00330F3C" w:rsidRDefault="00330F3C" w:rsidP="00DC0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C401C"/>
    <w:multiLevelType w:val="multilevel"/>
    <w:tmpl w:val="497A4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5F19C7"/>
    <w:multiLevelType w:val="hybridMultilevel"/>
    <w:tmpl w:val="CDB8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66408"/>
    <w:multiLevelType w:val="hybridMultilevel"/>
    <w:tmpl w:val="8904C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7623140">
    <w:abstractNumId w:val="1"/>
  </w:num>
  <w:num w:numId="2" w16cid:durableId="477654378">
    <w:abstractNumId w:val="0"/>
  </w:num>
  <w:num w:numId="3" w16cid:durableId="1936009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F"/>
    <w:rsid w:val="00056EEA"/>
    <w:rsid w:val="000E4256"/>
    <w:rsid w:val="000E648F"/>
    <w:rsid w:val="000E692E"/>
    <w:rsid w:val="001C1EA2"/>
    <w:rsid w:val="0024004E"/>
    <w:rsid w:val="00280F30"/>
    <w:rsid w:val="002B015B"/>
    <w:rsid w:val="00305F10"/>
    <w:rsid w:val="00314CE9"/>
    <w:rsid w:val="00327E7D"/>
    <w:rsid w:val="00330F3C"/>
    <w:rsid w:val="00363B9C"/>
    <w:rsid w:val="003644C5"/>
    <w:rsid w:val="003D6FE3"/>
    <w:rsid w:val="00427D38"/>
    <w:rsid w:val="0045619A"/>
    <w:rsid w:val="00466D58"/>
    <w:rsid w:val="004C3251"/>
    <w:rsid w:val="00513E5E"/>
    <w:rsid w:val="00526171"/>
    <w:rsid w:val="005502A2"/>
    <w:rsid w:val="00552661"/>
    <w:rsid w:val="0056228C"/>
    <w:rsid w:val="00586443"/>
    <w:rsid w:val="00586639"/>
    <w:rsid w:val="005A4C5E"/>
    <w:rsid w:val="005B3E7E"/>
    <w:rsid w:val="005D1E2F"/>
    <w:rsid w:val="00622C9E"/>
    <w:rsid w:val="006238C2"/>
    <w:rsid w:val="00644A8B"/>
    <w:rsid w:val="0064606D"/>
    <w:rsid w:val="0068617A"/>
    <w:rsid w:val="006B0188"/>
    <w:rsid w:val="006B438D"/>
    <w:rsid w:val="006C40D4"/>
    <w:rsid w:val="006D6FED"/>
    <w:rsid w:val="007C3B9A"/>
    <w:rsid w:val="007D57C2"/>
    <w:rsid w:val="007F00E9"/>
    <w:rsid w:val="007F6BE4"/>
    <w:rsid w:val="0085655B"/>
    <w:rsid w:val="00886A44"/>
    <w:rsid w:val="008A2108"/>
    <w:rsid w:val="00917B7F"/>
    <w:rsid w:val="00925612"/>
    <w:rsid w:val="00957029"/>
    <w:rsid w:val="00967B4C"/>
    <w:rsid w:val="009C23E9"/>
    <w:rsid w:val="009E43FC"/>
    <w:rsid w:val="00A067EA"/>
    <w:rsid w:val="00A512B6"/>
    <w:rsid w:val="00A978D6"/>
    <w:rsid w:val="00AA3528"/>
    <w:rsid w:val="00AD45F7"/>
    <w:rsid w:val="00AF23BF"/>
    <w:rsid w:val="00B221EA"/>
    <w:rsid w:val="00B277B6"/>
    <w:rsid w:val="00B40785"/>
    <w:rsid w:val="00B43DF8"/>
    <w:rsid w:val="00B61A81"/>
    <w:rsid w:val="00BA4CA5"/>
    <w:rsid w:val="00BD2D90"/>
    <w:rsid w:val="00C609B0"/>
    <w:rsid w:val="00CC2212"/>
    <w:rsid w:val="00CF2863"/>
    <w:rsid w:val="00D24AA8"/>
    <w:rsid w:val="00D475B1"/>
    <w:rsid w:val="00D56542"/>
    <w:rsid w:val="00DC01B0"/>
    <w:rsid w:val="00DD359A"/>
    <w:rsid w:val="00DF003E"/>
    <w:rsid w:val="00DF16C8"/>
    <w:rsid w:val="00E47091"/>
    <w:rsid w:val="00E73884"/>
    <w:rsid w:val="00EA04F8"/>
    <w:rsid w:val="00EB6741"/>
    <w:rsid w:val="00ED5CC3"/>
    <w:rsid w:val="00EF7C65"/>
    <w:rsid w:val="00F760F7"/>
    <w:rsid w:val="00F766D6"/>
    <w:rsid w:val="00FB55C7"/>
    <w:rsid w:val="00FC365D"/>
    <w:rsid w:val="00FF2E61"/>
    <w:rsid w:val="00FF3719"/>
    <w:rsid w:val="00FF4032"/>
    <w:rsid w:val="00FF7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9DB90"/>
  <w15:chartTrackingRefBased/>
  <w15:docId w15:val="{F72A4B34-AEE0-4F86-B1D1-B22576D8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0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3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1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2108"/>
    <w:rPr>
      <w:rFonts w:eastAsiaTheme="minorEastAsia"/>
      <w:lang w:val="en-US"/>
    </w:rPr>
  </w:style>
  <w:style w:type="character" w:customStyle="1" w:styleId="Heading1Char">
    <w:name w:val="Heading 1 Char"/>
    <w:basedOn w:val="DefaultParagraphFont"/>
    <w:link w:val="Heading1"/>
    <w:uiPriority w:val="9"/>
    <w:rsid w:val="009570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7029"/>
    <w:pPr>
      <w:outlineLvl w:val="9"/>
    </w:pPr>
    <w:rPr>
      <w:lang w:val="en-US"/>
    </w:rPr>
  </w:style>
  <w:style w:type="paragraph" w:styleId="Header">
    <w:name w:val="header"/>
    <w:basedOn w:val="Normal"/>
    <w:link w:val="HeaderChar"/>
    <w:uiPriority w:val="99"/>
    <w:unhideWhenUsed/>
    <w:rsid w:val="00DC0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1B0"/>
  </w:style>
  <w:style w:type="paragraph" w:styleId="Footer">
    <w:name w:val="footer"/>
    <w:basedOn w:val="Normal"/>
    <w:link w:val="FooterChar"/>
    <w:uiPriority w:val="99"/>
    <w:unhideWhenUsed/>
    <w:rsid w:val="00DC0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1B0"/>
  </w:style>
  <w:style w:type="paragraph" w:styleId="ListParagraph">
    <w:name w:val="List Paragraph"/>
    <w:basedOn w:val="Normal"/>
    <w:uiPriority w:val="34"/>
    <w:qFormat/>
    <w:rsid w:val="000E4256"/>
    <w:pPr>
      <w:ind w:left="720"/>
      <w:contextualSpacing/>
    </w:pPr>
  </w:style>
  <w:style w:type="character" w:customStyle="1" w:styleId="Heading2Char">
    <w:name w:val="Heading 2 Char"/>
    <w:basedOn w:val="DefaultParagraphFont"/>
    <w:link w:val="Heading2"/>
    <w:uiPriority w:val="9"/>
    <w:rsid w:val="007C3B9A"/>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80F30"/>
    <w:rPr>
      <w:b/>
      <w:bCs/>
    </w:rPr>
  </w:style>
  <w:style w:type="paragraph" w:styleId="NormalWeb">
    <w:name w:val="Normal (Web)"/>
    <w:basedOn w:val="Normal"/>
    <w:uiPriority w:val="99"/>
    <w:semiHidden/>
    <w:unhideWhenUsed/>
    <w:rsid w:val="003644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886A44"/>
    <w:pPr>
      <w:spacing w:after="100"/>
    </w:pPr>
  </w:style>
  <w:style w:type="paragraph" w:styleId="TOC2">
    <w:name w:val="toc 2"/>
    <w:basedOn w:val="Normal"/>
    <w:next w:val="Normal"/>
    <w:autoRedefine/>
    <w:uiPriority w:val="39"/>
    <w:unhideWhenUsed/>
    <w:rsid w:val="00886A44"/>
    <w:pPr>
      <w:spacing w:after="100"/>
      <w:ind w:left="220"/>
    </w:pPr>
  </w:style>
  <w:style w:type="character" w:styleId="Hyperlink">
    <w:name w:val="Hyperlink"/>
    <w:basedOn w:val="DefaultParagraphFont"/>
    <w:uiPriority w:val="99"/>
    <w:unhideWhenUsed/>
    <w:rsid w:val="00886A44"/>
    <w:rPr>
      <w:color w:val="0563C1" w:themeColor="hyperlink"/>
      <w:u w:val="single"/>
    </w:rPr>
  </w:style>
  <w:style w:type="paragraph" w:styleId="Bibliography">
    <w:name w:val="Bibliography"/>
    <w:basedOn w:val="Normal"/>
    <w:next w:val="Normal"/>
    <w:uiPriority w:val="37"/>
    <w:unhideWhenUsed/>
    <w:rsid w:val="007F6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8436">
      <w:bodyDiv w:val="1"/>
      <w:marLeft w:val="0"/>
      <w:marRight w:val="0"/>
      <w:marTop w:val="0"/>
      <w:marBottom w:val="0"/>
      <w:divBdr>
        <w:top w:val="none" w:sz="0" w:space="0" w:color="auto"/>
        <w:left w:val="none" w:sz="0" w:space="0" w:color="auto"/>
        <w:bottom w:val="none" w:sz="0" w:space="0" w:color="auto"/>
        <w:right w:val="none" w:sz="0" w:space="0" w:color="auto"/>
      </w:divBdr>
    </w:div>
    <w:div w:id="309480654">
      <w:bodyDiv w:val="1"/>
      <w:marLeft w:val="0"/>
      <w:marRight w:val="0"/>
      <w:marTop w:val="0"/>
      <w:marBottom w:val="0"/>
      <w:divBdr>
        <w:top w:val="none" w:sz="0" w:space="0" w:color="auto"/>
        <w:left w:val="none" w:sz="0" w:space="0" w:color="auto"/>
        <w:bottom w:val="none" w:sz="0" w:space="0" w:color="auto"/>
        <w:right w:val="none" w:sz="0" w:space="0" w:color="auto"/>
      </w:divBdr>
    </w:div>
    <w:div w:id="331379044">
      <w:bodyDiv w:val="1"/>
      <w:marLeft w:val="0"/>
      <w:marRight w:val="0"/>
      <w:marTop w:val="0"/>
      <w:marBottom w:val="0"/>
      <w:divBdr>
        <w:top w:val="none" w:sz="0" w:space="0" w:color="auto"/>
        <w:left w:val="none" w:sz="0" w:space="0" w:color="auto"/>
        <w:bottom w:val="none" w:sz="0" w:space="0" w:color="auto"/>
        <w:right w:val="none" w:sz="0" w:space="0" w:color="auto"/>
      </w:divBdr>
    </w:div>
    <w:div w:id="370616354">
      <w:bodyDiv w:val="1"/>
      <w:marLeft w:val="0"/>
      <w:marRight w:val="0"/>
      <w:marTop w:val="0"/>
      <w:marBottom w:val="0"/>
      <w:divBdr>
        <w:top w:val="none" w:sz="0" w:space="0" w:color="auto"/>
        <w:left w:val="none" w:sz="0" w:space="0" w:color="auto"/>
        <w:bottom w:val="none" w:sz="0" w:space="0" w:color="auto"/>
        <w:right w:val="none" w:sz="0" w:space="0" w:color="auto"/>
      </w:divBdr>
    </w:div>
    <w:div w:id="404692848">
      <w:bodyDiv w:val="1"/>
      <w:marLeft w:val="0"/>
      <w:marRight w:val="0"/>
      <w:marTop w:val="0"/>
      <w:marBottom w:val="0"/>
      <w:divBdr>
        <w:top w:val="none" w:sz="0" w:space="0" w:color="auto"/>
        <w:left w:val="none" w:sz="0" w:space="0" w:color="auto"/>
        <w:bottom w:val="none" w:sz="0" w:space="0" w:color="auto"/>
        <w:right w:val="none" w:sz="0" w:space="0" w:color="auto"/>
      </w:divBdr>
    </w:div>
    <w:div w:id="660931147">
      <w:bodyDiv w:val="1"/>
      <w:marLeft w:val="0"/>
      <w:marRight w:val="0"/>
      <w:marTop w:val="0"/>
      <w:marBottom w:val="0"/>
      <w:divBdr>
        <w:top w:val="none" w:sz="0" w:space="0" w:color="auto"/>
        <w:left w:val="none" w:sz="0" w:space="0" w:color="auto"/>
        <w:bottom w:val="none" w:sz="0" w:space="0" w:color="auto"/>
        <w:right w:val="none" w:sz="0" w:space="0" w:color="auto"/>
      </w:divBdr>
    </w:div>
    <w:div w:id="784036028">
      <w:bodyDiv w:val="1"/>
      <w:marLeft w:val="0"/>
      <w:marRight w:val="0"/>
      <w:marTop w:val="0"/>
      <w:marBottom w:val="0"/>
      <w:divBdr>
        <w:top w:val="none" w:sz="0" w:space="0" w:color="auto"/>
        <w:left w:val="none" w:sz="0" w:space="0" w:color="auto"/>
        <w:bottom w:val="none" w:sz="0" w:space="0" w:color="auto"/>
        <w:right w:val="none" w:sz="0" w:space="0" w:color="auto"/>
      </w:divBdr>
    </w:div>
    <w:div w:id="941957666">
      <w:bodyDiv w:val="1"/>
      <w:marLeft w:val="0"/>
      <w:marRight w:val="0"/>
      <w:marTop w:val="0"/>
      <w:marBottom w:val="0"/>
      <w:divBdr>
        <w:top w:val="none" w:sz="0" w:space="0" w:color="auto"/>
        <w:left w:val="none" w:sz="0" w:space="0" w:color="auto"/>
        <w:bottom w:val="none" w:sz="0" w:space="0" w:color="auto"/>
        <w:right w:val="none" w:sz="0" w:space="0" w:color="auto"/>
      </w:divBdr>
    </w:div>
    <w:div w:id="951060071">
      <w:bodyDiv w:val="1"/>
      <w:marLeft w:val="0"/>
      <w:marRight w:val="0"/>
      <w:marTop w:val="0"/>
      <w:marBottom w:val="0"/>
      <w:divBdr>
        <w:top w:val="none" w:sz="0" w:space="0" w:color="auto"/>
        <w:left w:val="none" w:sz="0" w:space="0" w:color="auto"/>
        <w:bottom w:val="none" w:sz="0" w:space="0" w:color="auto"/>
        <w:right w:val="none" w:sz="0" w:space="0" w:color="auto"/>
      </w:divBdr>
    </w:div>
    <w:div w:id="1025985932">
      <w:bodyDiv w:val="1"/>
      <w:marLeft w:val="0"/>
      <w:marRight w:val="0"/>
      <w:marTop w:val="0"/>
      <w:marBottom w:val="0"/>
      <w:divBdr>
        <w:top w:val="none" w:sz="0" w:space="0" w:color="auto"/>
        <w:left w:val="none" w:sz="0" w:space="0" w:color="auto"/>
        <w:bottom w:val="none" w:sz="0" w:space="0" w:color="auto"/>
        <w:right w:val="none" w:sz="0" w:space="0" w:color="auto"/>
      </w:divBdr>
    </w:div>
    <w:div w:id="1172913253">
      <w:bodyDiv w:val="1"/>
      <w:marLeft w:val="0"/>
      <w:marRight w:val="0"/>
      <w:marTop w:val="0"/>
      <w:marBottom w:val="0"/>
      <w:divBdr>
        <w:top w:val="none" w:sz="0" w:space="0" w:color="auto"/>
        <w:left w:val="none" w:sz="0" w:space="0" w:color="auto"/>
        <w:bottom w:val="none" w:sz="0" w:space="0" w:color="auto"/>
        <w:right w:val="none" w:sz="0" w:space="0" w:color="auto"/>
      </w:divBdr>
    </w:div>
    <w:div w:id="1222710100">
      <w:bodyDiv w:val="1"/>
      <w:marLeft w:val="0"/>
      <w:marRight w:val="0"/>
      <w:marTop w:val="0"/>
      <w:marBottom w:val="0"/>
      <w:divBdr>
        <w:top w:val="none" w:sz="0" w:space="0" w:color="auto"/>
        <w:left w:val="none" w:sz="0" w:space="0" w:color="auto"/>
        <w:bottom w:val="none" w:sz="0" w:space="0" w:color="auto"/>
        <w:right w:val="none" w:sz="0" w:space="0" w:color="auto"/>
      </w:divBdr>
    </w:div>
    <w:div w:id="1400129559">
      <w:bodyDiv w:val="1"/>
      <w:marLeft w:val="0"/>
      <w:marRight w:val="0"/>
      <w:marTop w:val="0"/>
      <w:marBottom w:val="0"/>
      <w:divBdr>
        <w:top w:val="none" w:sz="0" w:space="0" w:color="auto"/>
        <w:left w:val="none" w:sz="0" w:space="0" w:color="auto"/>
        <w:bottom w:val="none" w:sz="0" w:space="0" w:color="auto"/>
        <w:right w:val="none" w:sz="0" w:space="0" w:color="auto"/>
      </w:divBdr>
    </w:div>
    <w:div w:id="1685789521">
      <w:bodyDiv w:val="1"/>
      <w:marLeft w:val="0"/>
      <w:marRight w:val="0"/>
      <w:marTop w:val="0"/>
      <w:marBottom w:val="0"/>
      <w:divBdr>
        <w:top w:val="none" w:sz="0" w:space="0" w:color="auto"/>
        <w:left w:val="none" w:sz="0" w:space="0" w:color="auto"/>
        <w:bottom w:val="none" w:sz="0" w:space="0" w:color="auto"/>
        <w:right w:val="none" w:sz="0" w:space="0" w:color="auto"/>
      </w:divBdr>
    </w:div>
    <w:div w:id="1817529269">
      <w:bodyDiv w:val="1"/>
      <w:marLeft w:val="0"/>
      <w:marRight w:val="0"/>
      <w:marTop w:val="0"/>
      <w:marBottom w:val="0"/>
      <w:divBdr>
        <w:top w:val="none" w:sz="0" w:space="0" w:color="auto"/>
        <w:left w:val="none" w:sz="0" w:space="0" w:color="auto"/>
        <w:bottom w:val="none" w:sz="0" w:space="0" w:color="auto"/>
        <w:right w:val="none" w:sz="0" w:space="0" w:color="auto"/>
      </w:divBdr>
    </w:div>
    <w:div w:id="1848867583">
      <w:bodyDiv w:val="1"/>
      <w:marLeft w:val="0"/>
      <w:marRight w:val="0"/>
      <w:marTop w:val="0"/>
      <w:marBottom w:val="0"/>
      <w:divBdr>
        <w:top w:val="none" w:sz="0" w:space="0" w:color="auto"/>
        <w:left w:val="none" w:sz="0" w:space="0" w:color="auto"/>
        <w:bottom w:val="none" w:sz="0" w:space="0" w:color="auto"/>
        <w:right w:val="none" w:sz="0" w:space="0" w:color="auto"/>
      </w:divBdr>
    </w:div>
    <w:div w:id="1951207423">
      <w:bodyDiv w:val="1"/>
      <w:marLeft w:val="0"/>
      <w:marRight w:val="0"/>
      <w:marTop w:val="0"/>
      <w:marBottom w:val="0"/>
      <w:divBdr>
        <w:top w:val="none" w:sz="0" w:space="0" w:color="auto"/>
        <w:left w:val="none" w:sz="0" w:space="0" w:color="auto"/>
        <w:bottom w:val="none" w:sz="0" w:space="0" w:color="auto"/>
        <w:right w:val="none" w:sz="0" w:space="0" w:color="auto"/>
      </w:divBdr>
    </w:div>
    <w:div w:id="1971979367">
      <w:bodyDiv w:val="1"/>
      <w:marLeft w:val="0"/>
      <w:marRight w:val="0"/>
      <w:marTop w:val="0"/>
      <w:marBottom w:val="0"/>
      <w:divBdr>
        <w:top w:val="none" w:sz="0" w:space="0" w:color="auto"/>
        <w:left w:val="none" w:sz="0" w:space="0" w:color="auto"/>
        <w:bottom w:val="none" w:sz="0" w:space="0" w:color="auto"/>
        <w:right w:val="none" w:sz="0" w:space="0" w:color="auto"/>
      </w:divBdr>
    </w:div>
    <w:div w:id="2108696043">
      <w:bodyDiv w:val="1"/>
      <w:marLeft w:val="0"/>
      <w:marRight w:val="0"/>
      <w:marTop w:val="0"/>
      <w:marBottom w:val="0"/>
      <w:divBdr>
        <w:top w:val="none" w:sz="0" w:space="0" w:color="auto"/>
        <w:left w:val="none" w:sz="0" w:space="0" w:color="auto"/>
        <w:bottom w:val="none" w:sz="0" w:space="0" w:color="auto"/>
        <w:right w:val="none" w:sz="0" w:space="0" w:color="auto"/>
      </w:divBdr>
    </w:div>
    <w:div w:id="212207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Gee17</b:Tag>
    <b:SourceType>Book</b:SourceType>
    <b:Guid>{719C51F3-9FC6-4F3C-9B31-A676C4350014}</b:Guid>
    <b:Title>International Financial Management</b:Title>
    <b:Year>2017</b:Year>
    <b:Publisher>Cambridge University Press</b:Publisher>
    <b:City>New York</b:City>
    <b:Author>
      <b:Author>
        <b:NameList>
          <b:Person>
            <b:Last>Geert Bekaert</b:Last>
            <b:First>Robert</b:First>
            <b:Middle>Hodrick</b:Middle>
          </b:Person>
        </b:NameList>
      </b:Author>
    </b:Author>
    <b:Edition> 1nd</b:Edition>
    <b:RefOrder>1</b:RefOrder>
  </b:Source>
  <b:Source>
    <b:Tag>Suz13</b:Tag>
    <b:SourceType>DocumentFromInternetSite</b:SourceType>
    <b:Guid>{A2378685-6B40-4EAA-B115-BFE51E7C5965}</b:Guid>
    <b:Title>Financial Management Explained: Scope, Objectives &amp; Importance</b:Title>
    <b:Year>2013</b:Year>
    <b:Author>
      <b:Author>
        <b:NameList>
          <b:Person>
            <b:Last>Strutner</b:Last>
            <b:First>Suzy</b:First>
          </b:Person>
        </b:NameList>
      </b:Author>
    </b:Author>
    <b:Month>09</b:Month>
    <b:Day>05</b:Day>
    <b:YearAccessed>2023</b:YearAccessed>
    <b:MonthAccessed>12</b:MonthAccessed>
    <b:DayAccessed>27</b:DayAccessed>
    <b:URL>https://www.netsuite.com/portal/resource/articles/financial-management/financial-management.shtml</b:URL>
    <b:RefOrder>2</b:RefOrder>
  </b:Source>
  <b:Source>
    <b:Tag>Har19</b:Tag>
    <b:SourceType>Report</b:SourceType>
    <b:Guid>{C705A5A8-D777-4204-B62C-99BFEA9FBB4E}</b:Guid>
    <b:Title>International Finance Management</b:Title>
    <b:Year>2019</b:Year>
    <b:Author>
      <b:Author>
        <b:NameList>
          <b:Person>
            <b:Last>Sakthivel</b:Last>
            <b:First>Haripriya</b:First>
          </b:Person>
        </b:NameList>
      </b:Author>
    </b:Author>
    <b:Publisher>Sri Krishna College of Arts and Science</b:Publisher>
    <b:City>India</b:City>
    <b:RefOrder>3</b:RefOrder>
  </b:Source>
  <b:Source>
    <b:Tag>AVR95</b:Tag>
    <b:SourceType>Book</b:SourceType>
    <b:Guid>{2F2E8ED2-5828-45C0-9B50-2821D8EC5C9A}</b:Guid>
    <b:Title>Foreign Exchange, International Finance and Risk Managemet</b:Title>
    <b:Year>1995</b:Year>
    <b:Publisher>Academy of Business Studies</b:Publisher>
    <b:City>New Delhi</b:City>
    <b:Author>
      <b:Author>
        <b:NameList>
          <b:Person>
            <b:Last>Rajwade</b:Last>
            <b:First>A.</b:First>
            <b:Middle>V.</b:Middle>
          </b:Person>
        </b:NameList>
      </b:Author>
    </b:Author>
    <b:Edition> 4 th</b:Edition>
    <b:RefOrder>4</b:RefOrder>
  </b:Source>
  <b:Source>
    <b:Tag>Elv23</b:Tag>
    <b:SourceType>InternetSite</b:SourceType>
    <b:Guid>{F9185184-B536-4150-8105-631E1EDC3DB5}</b:Guid>
    <b:Title>Exchange Rate Risk: Economic Exposure</b:Title>
    <b:Year>2023</b:Year>
    <b:Author>
      <b:Author>
        <b:NameList>
          <b:Person>
            <b:Last>Picardo</b:Last>
            <b:First>Elvis</b:First>
          </b:Person>
        </b:NameList>
      </b:Author>
    </b:Author>
    <b:YearAccessed>2023</b:YearAccessed>
    <b:MonthAccessed>12</b:MonthAccessed>
    <b:DayAccessed>27</b:DayAccessed>
    <b:URL>https://www.investopedia.com/articles/forex/021114/exchange-rate-risk-economic-exposure.asp#:~:text=Exchange%20rate%20risk%20refers%20to,and%20economic%20or%20operating%20exposure.</b:URL>
    <b:RefOrder>5</b:RefOrder>
  </b:Source>
  <b:Source>
    <b:Tag>San20</b:Tag>
    <b:SourceType>DocumentFromInternetSite</b:SourceType>
    <b:Guid>{82B52D5E-CEA6-46C0-A406-8DCE194D703D}</b:Guid>
    <b:Title>Exchange Rate Risk</b:Title>
    <b:Year>2020</b:Year>
    <b:YearAccessed>2023</b:YearAccessed>
    <b:MonthAccessed>12</b:MonthAccessed>
    <b:DayAccessed>28</b:DayAccessed>
    <b:URL>https://www.sciencedirect.com/topics/economics-econometrics-and-finance/exchange-rate-risk</b:URL>
    <b:Author>
      <b:Author>
        <b:NameList>
          <b:Person>
            <b:Last>Santosh Raikar</b:Last>
            <b:First>Seabron</b:First>
            <b:Middle>Adamson</b:Middle>
          </b:Person>
        </b:NameList>
      </b:Author>
    </b:Author>
    <b:RefOrder>6</b:RefOrder>
  </b:Source>
  <b:Source>
    <b:Tag>Has96</b:Tag>
    <b:SourceType>Book</b:SourceType>
    <b:Guid>{6B1E093A-E672-41B7-AB29-F8BA49126957}</b:Guid>
    <b:Title>International Financial Reporting and Analysis</b:Title>
    <b:Year>1996</b:Year>
    <b:Author>
      <b:Author>
        <b:NameList>
          <b:Person>
            <b:Last>Mark</b:Last>
            <b:First>Haskin</b:First>
          </b:Person>
        </b:NameList>
      </b:Author>
    </b:Author>
    <b:City>Chicago</b:City>
    <b:Publisher>Irwin</b:Publisher>
    <b:RefOrder>7</b:RefOrder>
  </b:Source>
</b:Sources>
</file>

<file path=customXml/itemProps1.xml><?xml version="1.0" encoding="utf-8"?>
<ds:datastoreItem xmlns:ds="http://schemas.openxmlformats.org/officeDocument/2006/customXml" ds:itemID="{F37EA417-8E9F-4D23-A34D-5FD554DB7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2108</Words>
  <Characters>12022</Characters>
  <Application>Microsoft Office Word</Application>
  <DocSecurity>0</DocSecurity>
  <Lines>100</Lines>
  <Paragraphs>28</Paragraphs>
  <ScaleCrop>false</ScaleCrop>
  <Company/>
  <LinksUpToDate>false</LinksUpToDate>
  <CharactersWithSpaces>14102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Dula (2112863)</dc:creator>
  <cp:keywords/>
  <dc:description/>
  <cp:lastModifiedBy>Anca Dula (2112863)</cp:lastModifiedBy>
  <cp:revision>84</cp:revision>
  <dcterms:created xsi:type="dcterms:W3CDTF">2024-01-01T19:03:00Z</dcterms:created>
  <dcterms:modified xsi:type="dcterms:W3CDTF">2024-01-01T21:15:00Z</dcterms:modified>
</cp:coreProperties>
</file>