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5C971B" w14:textId="77777777" w:rsidR="00735A2E" w:rsidRDefault="00071DCF">
      <w:pPr>
        <w:rPr>
          <w:sz w:val="24"/>
          <w:u w:val="single"/>
        </w:rPr>
      </w:pPr>
      <w:r w:rsidRPr="00071DCF">
        <w:rPr>
          <w:sz w:val="24"/>
          <w:u w:val="single"/>
        </w:rPr>
        <w:t xml:space="preserve">Identify the main elements of Athenian Homicide Law. </w:t>
      </w:r>
    </w:p>
    <w:p w14:paraId="2F1DB75C" w14:textId="77777777" w:rsidR="00071DCF" w:rsidRDefault="00071DCF">
      <w:pPr>
        <w:rPr>
          <w:sz w:val="24"/>
          <w:u w:val="single"/>
        </w:rPr>
      </w:pPr>
      <w:r>
        <w:rPr>
          <w:sz w:val="24"/>
          <w:u w:val="single"/>
        </w:rPr>
        <w:t>1804942</w:t>
      </w:r>
    </w:p>
    <w:p w14:paraId="22100204" w14:textId="77777777" w:rsidR="00071DCF" w:rsidRDefault="00071DCF">
      <w:pPr>
        <w:rPr>
          <w:sz w:val="24"/>
          <w:u w:val="single"/>
        </w:rPr>
      </w:pPr>
    </w:p>
    <w:p w14:paraId="5B2A12C4" w14:textId="5D055FDA" w:rsidR="00071DCF" w:rsidRDefault="00FB2325">
      <w:pPr>
        <w:rPr>
          <w:sz w:val="24"/>
        </w:rPr>
      </w:pPr>
      <w:r>
        <w:rPr>
          <w:sz w:val="24"/>
        </w:rPr>
        <w:t>W</w:t>
      </w:r>
      <w:r w:rsidR="00071DCF">
        <w:rPr>
          <w:sz w:val="24"/>
        </w:rPr>
        <w:t>ithin the Athenian Homicide Law</w:t>
      </w:r>
      <w:r>
        <w:rPr>
          <w:sz w:val="24"/>
        </w:rPr>
        <w:t xml:space="preserve"> there are five elements which are vital to take into consideration</w:t>
      </w:r>
      <w:r w:rsidR="00071DCF">
        <w:rPr>
          <w:sz w:val="24"/>
        </w:rPr>
        <w:t xml:space="preserve">; </w:t>
      </w:r>
      <w:proofErr w:type="spellStart"/>
      <w:r w:rsidR="00071DCF">
        <w:rPr>
          <w:sz w:val="24"/>
        </w:rPr>
        <w:t>Dracos</w:t>
      </w:r>
      <w:proofErr w:type="spellEnd"/>
      <w:r w:rsidR="00071DCF">
        <w:rPr>
          <w:sz w:val="24"/>
        </w:rPr>
        <w:t xml:space="preserve"> Law,</w:t>
      </w:r>
      <w:r>
        <w:rPr>
          <w:sz w:val="24"/>
        </w:rPr>
        <w:t xml:space="preserve"> </w:t>
      </w:r>
      <w:r w:rsidR="00F12D38">
        <w:rPr>
          <w:sz w:val="24"/>
        </w:rPr>
        <w:t xml:space="preserve">the basileus, </w:t>
      </w:r>
      <w:r>
        <w:rPr>
          <w:sz w:val="24"/>
        </w:rPr>
        <w:t xml:space="preserve">the </w:t>
      </w:r>
      <w:r w:rsidR="008F48A2">
        <w:rPr>
          <w:sz w:val="24"/>
        </w:rPr>
        <w:t>three courts</w:t>
      </w:r>
      <w:r w:rsidR="00D746F1">
        <w:rPr>
          <w:sz w:val="24"/>
        </w:rPr>
        <w:t xml:space="preserve"> </w:t>
      </w:r>
      <w:r w:rsidR="00071DCF">
        <w:rPr>
          <w:sz w:val="24"/>
        </w:rPr>
        <w:t>and the penalties and pardons</w:t>
      </w:r>
      <w:r>
        <w:rPr>
          <w:sz w:val="24"/>
        </w:rPr>
        <w:t xml:space="preserve"> of the accused.</w:t>
      </w:r>
      <w:r w:rsidR="00FE39D4">
        <w:rPr>
          <w:sz w:val="24"/>
        </w:rPr>
        <w:t xml:space="preserve"> To create an understating of each individual element</w:t>
      </w:r>
      <w:r w:rsidR="00093D82">
        <w:rPr>
          <w:sz w:val="24"/>
        </w:rPr>
        <w:t>,</w:t>
      </w:r>
      <w:r w:rsidR="00FE39D4">
        <w:rPr>
          <w:sz w:val="24"/>
        </w:rPr>
        <w:t xml:space="preserve"> I will be using evidence </w:t>
      </w:r>
      <w:r>
        <w:rPr>
          <w:sz w:val="24"/>
        </w:rPr>
        <w:t>provided by</w:t>
      </w:r>
      <w:r w:rsidR="00FE39D4">
        <w:rPr>
          <w:sz w:val="24"/>
        </w:rPr>
        <w:t xml:space="preserve"> Antiphon, </w:t>
      </w:r>
      <w:proofErr w:type="spellStart"/>
      <w:r w:rsidR="00FE39D4">
        <w:rPr>
          <w:sz w:val="24"/>
        </w:rPr>
        <w:t>Demosthesnes</w:t>
      </w:r>
      <w:proofErr w:type="spellEnd"/>
      <w:r w:rsidR="00FE39D4">
        <w:rPr>
          <w:sz w:val="24"/>
        </w:rPr>
        <w:t xml:space="preserve"> and the modern sources from MacDowell and Gagarin</w:t>
      </w:r>
      <w:r w:rsidR="00AC3845">
        <w:rPr>
          <w:sz w:val="24"/>
        </w:rPr>
        <w:t>.</w:t>
      </w:r>
    </w:p>
    <w:p w14:paraId="781ED5B2" w14:textId="7E182911" w:rsidR="000F2E43" w:rsidRDefault="000F2E43">
      <w:pPr>
        <w:rPr>
          <w:sz w:val="24"/>
        </w:rPr>
      </w:pPr>
      <w:r>
        <w:rPr>
          <w:sz w:val="24"/>
        </w:rPr>
        <w:t>The sources used come with their own criticisms. MacDowell</w:t>
      </w:r>
      <w:r w:rsidR="007518F6">
        <w:rPr>
          <w:sz w:val="24"/>
        </w:rPr>
        <w:t xml:space="preserve"> </w:t>
      </w:r>
      <w:r>
        <w:rPr>
          <w:sz w:val="24"/>
        </w:rPr>
        <w:t xml:space="preserve">mentions that the scholars who have tried to act out Athenian Homicide Law, specifically </w:t>
      </w:r>
      <w:proofErr w:type="spellStart"/>
      <w:r>
        <w:rPr>
          <w:sz w:val="24"/>
        </w:rPr>
        <w:t>Rushchenbusch</w:t>
      </w:r>
      <w:proofErr w:type="spellEnd"/>
      <w:r>
        <w:rPr>
          <w:sz w:val="24"/>
        </w:rPr>
        <w:t>, highlighted ‘insecure foundations’ (MacDowell</w:t>
      </w:r>
      <w:r w:rsidR="00381A51">
        <w:rPr>
          <w:sz w:val="24"/>
        </w:rPr>
        <w:t>,</w:t>
      </w:r>
      <w:r>
        <w:rPr>
          <w:sz w:val="24"/>
        </w:rPr>
        <w:t xml:space="preserve"> 1963</w:t>
      </w:r>
      <w:r w:rsidR="007518F6">
        <w:rPr>
          <w:sz w:val="24"/>
        </w:rPr>
        <w:t>, p6</w:t>
      </w:r>
      <w:r>
        <w:rPr>
          <w:sz w:val="24"/>
        </w:rPr>
        <w:t>) from their reconstructions due to details being ‘open to many different explanations’ (MacDowell</w:t>
      </w:r>
      <w:r w:rsidR="00381A51">
        <w:rPr>
          <w:sz w:val="24"/>
        </w:rPr>
        <w:t>,</w:t>
      </w:r>
      <w:r>
        <w:rPr>
          <w:sz w:val="24"/>
        </w:rPr>
        <w:t xml:space="preserve"> 1963</w:t>
      </w:r>
      <w:r w:rsidR="007518F6">
        <w:rPr>
          <w:sz w:val="24"/>
        </w:rPr>
        <w:t>, p7</w:t>
      </w:r>
      <w:r>
        <w:rPr>
          <w:sz w:val="24"/>
        </w:rPr>
        <w:t xml:space="preserve">). Another issue MacDowell </w:t>
      </w:r>
      <w:r w:rsidR="00381A51">
        <w:rPr>
          <w:sz w:val="24"/>
        </w:rPr>
        <w:t>mentions</w:t>
      </w:r>
      <w:r w:rsidR="00EF4865">
        <w:rPr>
          <w:sz w:val="24"/>
        </w:rPr>
        <w:t>,</w:t>
      </w:r>
      <w:r>
        <w:rPr>
          <w:sz w:val="24"/>
        </w:rPr>
        <w:t xml:space="preserve"> </w:t>
      </w:r>
      <w:r w:rsidR="00381A51">
        <w:rPr>
          <w:sz w:val="24"/>
        </w:rPr>
        <w:t>is</w:t>
      </w:r>
      <w:r>
        <w:rPr>
          <w:sz w:val="24"/>
        </w:rPr>
        <w:t xml:space="preserve"> the ‘reconstructions used statements in authors of the fourth century and later’ (MacDowell</w:t>
      </w:r>
      <w:r w:rsidR="007518F6">
        <w:rPr>
          <w:sz w:val="24"/>
        </w:rPr>
        <w:t>,</w:t>
      </w:r>
      <w:r>
        <w:rPr>
          <w:sz w:val="24"/>
        </w:rPr>
        <w:t xml:space="preserve"> 1963</w:t>
      </w:r>
      <w:r w:rsidR="007518F6">
        <w:rPr>
          <w:sz w:val="24"/>
        </w:rPr>
        <w:t>, p7</w:t>
      </w:r>
      <w:r>
        <w:rPr>
          <w:sz w:val="24"/>
        </w:rPr>
        <w:t xml:space="preserve">). This poses an issue </w:t>
      </w:r>
      <w:r w:rsidR="00381A51">
        <w:rPr>
          <w:sz w:val="24"/>
        </w:rPr>
        <w:t xml:space="preserve">as it could be considered a secondary source as it comes from such a time after the </w:t>
      </w:r>
      <w:proofErr w:type="spellStart"/>
      <w:r w:rsidR="00381A51">
        <w:rPr>
          <w:sz w:val="24"/>
        </w:rPr>
        <w:t>Drakon</w:t>
      </w:r>
      <w:proofErr w:type="spellEnd"/>
      <w:r w:rsidR="00381A51">
        <w:rPr>
          <w:sz w:val="24"/>
        </w:rPr>
        <w:t xml:space="preserve"> Laws on homicide, but they are most likely to have a larger understanding on the laws and procedures than scholars do today. </w:t>
      </w:r>
    </w:p>
    <w:p w14:paraId="51F90E77" w14:textId="0F548525" w:rsidR="00311E7A" w:rsidRDefault="00093D82">
      <w:pPr>
        <w:rPr>
          <w:sz w:val="24"/>
        </w:rPr>
      </w:pPr>
      <w:r>
        <w:rPr>
          <w:sz w:val="24"/>
        </w:rPr>
        <w:t>The Homicide Law was the first set of Grecian Laws to be written out and are the ‘oldest of their laws’ (Gagarin</w:t>
      </w:r>
      <w:r w:rsidR="00381A51">
        <w:rPr>
          <w:sz w:val="24"/>
        </w:rPr>
        <w:t>,</w:t>
      </w:r>
      <w:r>
        <w:rPr>
          <w:sz w:val="24"/>
        </w:rPr>
        <w:t xml:space="preserve"> 2003).  It was introduced by Draco ‘the</w:t>
      </w:r>
      <w:r w:rsidR="00035248">
        <w:rPr>
          <w:sz w:val="24"/>
        </w:rPr>
        <w:t>ir</w:t>
      </w:r>
      <w:r>
        <w:rPr>
          <w:sz w:val="24"/>
        </w:rPr>
        <w:t xml:space="preserve"> first lawgiver’</w:t>
      </w:r>
      <w:r w:rsidR="00381A51">
        <w:rPr>
          <w:sz w:val="24"/>
        </w:rPr>
        <w:t xml:space="preserve"> </w:t>
      </w:r>
      <w:r w:rsidR="00035248">
        <w:rPr>
          <w:sz w:val="24"/>
        </w:rPr>
        <w:t>(Gagarin</w:t>
      </w:r>
      <w:r w:rsidR="00381A51">
        <w:rPr>
          <w:sz w:val="24"/>
        </w:rPr>
        <w:t>,</w:t>
      </w:r>
      <w:r w:rsidR="00035248">
        <w:rPr>
          <w:sz w:val="24"/>
        </w:rPr>
        <w:t xml:space="preserve"> 2003) and</w:t>
      </w:r>
      <w:r w:rsidR="00EF4865">
        <w:rPr>
          <w:sz w:val="24"/>
        </w:rPr>
        <w:t xml:space="preserve"> were known to be especially harsh by implicating the death penalty for most crimes. </w:t>
      </w:r>
    </w:p>
    <w:p w14:paraId="5AACCE5C" w14:textId="5719AAE6" w:rsidR="00093D82" w:rsidRPr="00071DCF" w:rsidRDefault="00F47DC8">
      <w:pPr>
        <w:rPr>
          <w:sz w:val="24"/>
        </w:rPr>
      </w:pPr>
      <w:r>
        <w:rPr>
          <w:sz w:val="24"/>
        </w:rPr>
        <w:t>When a family member is murdered it is the duty of the head of house to provide justice to the victim</w:t>
      </w:r>
      <w:r w:rsidR="00D746F1">
        <w:rPr>
          <w:sz w:val="24"/>
        </w:rPr>
        <w:t xml:space="preserve"> and to </w:t>
      </w:r>
      <w:r>
        <w:rPr>
          <w:sz w:val="24"/>
        </w:rPr>
        <w:t>‘</w:t>
      </w:r>
      <w:r w:rsidR="00743BE5">
        <w:rPr>
          <w:sz w:val="24"/>
        </w:rPr>
        <w:t>instruct them to avenge the wrong they have received’ (Ant</w:t>
      </w:r>
      <w:r w:rsidR="007518F6">
        <w:rPr>
          <w:sz w:val="24"/>
        </w:rPr>
        <w:t>iph</w:t>
      </w:r>
      <w:r w:rsidR="00743BE5">
        <w:rPr>
          <w:sz w:val="24"/>
        </w:rPr>
        <w:t>.1.29).</w:t>
      </w:r>
      <w:r w:rsidR="00467D09">
        <w:rPr>
          <w:sz w:val="24"/>
        </w:rPr>
        <w:t xml:space="preserve"> Murder was an impure act, described as </w:t>
      </w:r>
      <w:r w:rsidR="00743BE5">
        <w:rPr>
          <w:sz w:val="24"/>
        </w:rPr>
        <w:t xml:space="preserve">‘the whole state being </w:t>
      </w:r>
      <w:r w:rsidR="00FF6EAD">
        <w:rPr>
          <w:sz w:val="24"/>
        </w:rPr>
        <w:t>polluted</w:t>
      </w:r>
      <w:r w:rsidR="00743BE5">
        <w:rPr>
          <w:sz w:val="24"/>
        </w:rPr>
        <w:t xml:space="preserve"> by him until he is prosecuted’ (Ant</w:t>
      </w:r>
      <w:r w:rsidR="007518F6">
        <w:rPr>
          <w:sz w:val="24"/>
        </w:rPr>
        <w:t>iph</w:t>
      </w:r>
      <w:r w:rsidR="00743BE5">
        <w:rPr>
          <w:sz w:val="24"/>
        </w:rPr>
        <w:t>.2a.3.) and to ‘purify the state was a duty of the family of the killed person’ (MacDowell</w:t>
      </w:r>
      <w:r w:rsidR="007518F6">
        <w:rPr>
          <w:sz w:val="24"/>
        </w:rPr>
        <w:t>,</w:t>
      </w:r>
      <w:r w:rsidR="00743BE5">
        <w:rPr>
          <w:sz w:val="24"/>
        </w:rPr>
        <w:t xml:space="preserve"> 1963</w:t>
      </w:r>
      <w:r w:rsidR="007518F6">
        <w:rPr>
          <w:sz w:val="24"/>
        </w:rPr>
        <w:t>, p1</w:t>
      </w:r>
      <w:r w:rsidR="00743BE5">
        <w:rPr>
          <w:sz w:val="24"/>
        </w:rPr>
        <w:t xml:space="preserve">). </w:t>
      </w:r>
    </w:p>
    <w:p w14:paraId="254FD3E2" w14:textId="2A62B39F" w:rsidR="00996397" w:rsidRDefault="00996397" w:rsidP="00996397">
      <w:pPr>
        <w:rPr>
          <w:sz w:val="24"/>
        </w:rPr>
      </w:pPr>
      <w:r>
        <w:rPr>
          <w:sz w:val="24"/>
        </w:rPr>
        <w:t>The basileus was the ‘official in charge of all homicide cases’ (MacDowell, 1963). The role of the basileus was to make a ‘proclamation against the person accused of homicide (MacDowell, 1963</w:t>
      </w:r>
      <w:r w:rsidR="007518F6">
        <w:rPr>
          <w:sz w:val="24"/>
        </w:rPr>
        <w:t>, p33</w:t>
      </w:r>
      <w:r>
        <w:rPr>
          <w:sz w:val="24"/>
        </w:rPr>
        <w:t xml:space="preserve">) and to ‘hold three </w:t>
      </w:r>
      <w:proofErr w:type="spellStart"/>
      <w:r>
        <w:rPr>
          <w:sz w:val="24"/>
        </w:rPr>
        <w:t>prodikasiai</w:t>
      </w:r>
      <w:proofErr w:type="spellEnd"/>
      <w:r>
        <w:rPr>
          <w:sz w:val="24"/>
        </w:rPr>
        <w:t xml:space="preserve"> in three months’ (Ant</w:t>
      </w:r>
      <w:r w:rsidR="007518F6">
        <w:rPr>
          <w:sz w:val="24"/>
        </w:rPr>
        <w:t>iph</w:t>
      </w:r>
      <w:r>
        <w:rPr>
          <w:sz w:val="24"/>
        </w:rPr>
        <w:t>.6.24) and the case would be held in the ‘fourth month’ (Ant</w:t>
      </w:r>
      <w:r w:rsidR="007518F6">
        <w:rPr>
          <w:sz w:val="24"/>
        </w:rPr>
        <w:t>iph</w:t>
      </w:r>
      <w:r>
        <w:rPr>
          <w:sz w:val="24"/>
        </w:rPr>
        <w:t xml:space="preserve">.6.24). </w:t>
      </w:r>
    </w:p>
    <w:p w14:paraId="3275852D" w14:textId="61168204" w:rsidR="00071DCF" w:rsidRDefault="00437F82">
      <w:pPr>
        <w:rPr>
          <w:sz w:val="24"/>
        </w:rPr>
      </w:pPr>
      <w:r>
        <w:rPr>
          <w:sz w:val="24"/>
        </w:rPr>
        <w:t xml:space="preserve">Apart of </w:t>
      </w:r>
      <w:proofErr w:type="spellStart"/>
      <w:r>
        <w:rPr>
          <w:sz w:val="24"/>
        </w:rPr>
        <w:t>Dra</w:t>
      </w:r>
      <w:r w:rsidR="00FF6EAD">
        <w:rPr>
          <w:sz w:val="24"/>
        </w:rPr>
        <w:t>cos</w:t>
      </w:r>
      <w:proofErr w:type="spellEnd"/>
      <w:r>
        <w:rPr>
          <w:sz w:val="24"/>
        </w:rPr>
        <w:t xml:space="preserve"> Law was the allocation of three homicide courts; the Areopagus, the </w:t>
      </w:r>
      <w:r w:rsidR="00467D09">
        <w:rPr>
          <w:sz w:val="24"/>
        </w:rPr>
        <w:t>P</w:t>
      </w:r>
      <w:r>
        <w:rPr>
          <w:sz w:val="24"/>
        </w:rPr>
        <w:t xml:space="preserve">alladium and the </w:t>
      </w:r>
      <w:r w:rsidR="00467D09">
        <w:rPr>
          <w:sz w:val="24"/>
        </w:rPr>
        <w:t>D</w:t>
      </w:r>
      <w:r>
        <w:rPr>
          <w:sz w:val="24"/>
        </w:rPr>
        <w:t>elphinium.</w:t>
      </w:r>
      <w:r w:rsidR="00FF6EAD">
        <w:rPr>
          <w:sz w:val="24"/>
        </w:rPr>
        <w:t xml:space="preserve"> The Areopagus dealt with </w:t>
      </w:r>
      <w:r w:rsidR="00467D09">
        <w:rPr>
          <w:sz w:val="24"/>
        </w:rPr>
        <w:t>‘intentional murder’ (Gagarin, 2003), the Palladium with ‘unintentional or accidental murder’ (Gagarin, 2003), and the Delphinium dealt with those who presented a ‘specific justification such as the accidental murder of a solider’ (Gagarin, 2003).</w:t>
      </w:r>
      <w:r w:rsidR="00F12D38">
        <w:rPr>
          <w:sz w:val="24"/>
        </w:rPr>
        <w:t xml:space="preserve"> You can only be convicted if you went through the correct court. If, for example, you were on trial for intentional murder but, were found guilty with unintentional, you would then have to go through the Palladium to get you</w:t>
      </w:r>
      <w:r w:rsidR="00EB0AF8">
        <w:rPr>
          <w:sz w:val="24"/>
        </w:rPr>
        <w:t>r</w:t>
      </w:r>
      <w:r w:rsidR="00F12D38">
        <w:rPr>
          <w:sz w:val="24"/>
        </w:rPr>
        <w:t xml:space="preserve"> penalty (MacDowell, 1963</w:t>
      </w:r>
      <w:r w:rsidR="007518F6">
        <w:rPr>
          <w:sz w:val="24"/>
        </w:rPr>
        <w:t>, p47</w:t>
      </w:r>
      <w:r w:rsidR="00F12D38">
        <w:rPr>
          <w:sz w:val="24"/>
        </w:rPr>
        <w:t xml:space="preserve">). </w:t>
      </w:r>
      <w:r w:rsidR="00467D09">
        <w:rPr>
          <w:sz w:val="24"/>
        </w:rPr>
        <w:t xml:space="preserve"> </w:t>
      </w:r>
    </w:p>
    <w:p w14:paraId="5584E5F2" w14:textId="450619C5" w:rsidR="007518F6" w:rsidRDefault="00A76FD9">
      <w:pPr>
        <w:rPr>
          <w:sz w:val="24"/>
        </w:rPr>
      </w:pPr>
      <w:r w:rsidRPr="00A76FD9">
        <w:rPr>
          <w:sz w:val="24"/>
        </w:rPr>
        <w:t xml:space="preserve">The penalties of homicide are varied due to the nature of the prosecution. The intentional killers were punished with ‘death, perpetual exile, and confiscation of property’ </w:t>
      </w:r>
      <w:r w:rsidRPr="00A76FD9">
        <w:rPr>
          <w:sz w:val="24"/>
        </w:rPr>
        <w:lastRenderedPageBreak/>
        <w:t>(D</w:t>
      </w:r>
      <w:r w:rsidR="007518F6">
        <w:rPr>
          <w:sz w:val="24"/>
        </w:rPr>
        <w:t>em</w:t>
      </w:r>
      <w:r w:rsidRPr="00A76FD9">
        <w:rPr>
          <w:sz w:val="24"/>
        </w:rPr>
        <w:t>.21.43.) whilst those convicted of unintentionally homicide were allowed a ‘pardon and very sympathetic treatment’ (D</w:t>
      </w:r>
      <w:r w:rsidR="007518F6">
        <w:rPr>
          <w:sz w:val="24"/>
        </w:rPr>
        <w:t>em</w:t>
      </w:r>
      <w:r w:rsidRPr="00A76FD9">
        <w:rPr>
          <w:sz w:val="24"/>
        </w:rPr>
        <w:t xml:space="preserve">.21.24). </w:t>
      </w:r>
    </w:p>
    <w:p w14:paraId="4472CD68" w14:textId="12B7334C" w:rsidR="00A76FD9" w:rsidRDefault="00EB0AF8">
      <w:pPr>
        <w:rPr>
          <w:sz w:val="24"/>
        </w:rPr>
      </w:pPr>
      <w:r>
        <w:rPr>
          <w:sz w:val="24"/>
        </w:rPr>
        <w:t xml:space="preserve">To conclude, </w:t>
      </w:r>
      <w:r w:rsidR="007518F6">
        <w:rPr>
          <w:sz w:val="24"/>
        </w:rPr>
        <w:t xml:space="preserve">the main elements of Athenian homicide law are based on Draco’s law, with its three courts, each of which, have their own rules and jury and </w:t>
      </w:r>
      <w:r w:rsidR="00AC3845">
        <w:rPr>
          <w:sz w:val="24"/>
        </w:rPr>
        <w:t>relevant punishments. However, our understanding is</w:t>
      </w:r>
      <w:r w:rsidR="00D746F1">
        <w:rPr>
          <w:sz w:val="24"/>
        </w:rPr>
        <w:t xml:space="preserve"> </w:t>
      </w:r>
      <w:r w:rsidR="00AC3845">
        <w:rPr>
          <w:sz w:val="24"/>
        </w:rPr>
        <w:t>limited, so we have little way of knowing how the law was carried out</w:t>
      </w:r>
      <w:r w:rsidR="00D746F1">
        <w:rPr>
          <w:sz w:val="24"/>
        </w:rPr>
        <w:t xml:space="preserve"> as our sources come from later</w:t>
      </w:r>
      <w:r w:rsidR="00AC3845">
        <w:rPr>
          <w:sz w:val="24"/>
        </w:rPr>
        <w:t>.</w:t>
      </w:r>
      <w:bookmarkStart w:id="0" w:name="_GoBack"/>
      <w:bookmarkEnd w:id="0"/>
    </w:p>
    <w:p w14:paraId="1A0A012B" w14:textId="0CDB974E" w:rsidR="007518F6" w:rsidRDefault="007518F6">
      <w:pPr>
        <w:rPr>
          <w:sz w:val="24"/>
        </w:rPr>
      </w:pPr>
    </w:p>
    <w:p w14:paraId="5F484627" w14:textId="72B8368F" w:rsidR="007518F6" w:rsidRDefault="007518F6">
      <w:pPr>
        <w:rPr>
          <w:sz w:val="24"/>
        </w:rPr>
      </w:pPr>
    </w:p>
    <w:p w14:paraId="2011F779" w14:textId="6C4FA99B" w:rsidR="007518F6" w:rsidRDefault="007518F6">
      <w:pPr>
        <w:rPr>
          <w:sz w:val="24"/>
        </w:rPr>
      </w:pPr>
    </w:p>
    <w:p w14:paraId="472A988B" w14:textId="482AE270" w:rsidR="007518F6" w:rsidRDefault="007518F6">
      <w:pPr>
        <w:rPr>
          <w:sz w:val="24"/>
        </w:rPr>
      </w:pPr>
    </w:p>
    <w:p w14:paraId="303DC9A4" w14:textId="4D6D6215" w:rsidR="007518F6" w:rsidRDefault="007518F6">
      <w:pPr>
        <w:rPr>
          <w:sz w:val="24"/>
        </w:rPr>
      </w:pPr>
    </w:p>
    <w:p w14:paraId="7858A0BC" w14:textId="7B1B35B8" w:rsidR="007518F6" w:rsidRDefault="007518F6">
      <w:pPr>
        <w:rPr>
          <w:sz w:val="24"/>
        </w:rPr>
      </w:pPr>
    </w:p>
    <w:p w14:paraId="5DE8C38F" w14:textId="45A33E8F" w:rsidR="007518F6" w:rsidRDefault="007518F6">
      <w:pPr>
        <w:rPr>
          <w:sz w:val="24"/>
        </w:rPr>
      </w:pPr>
    </w:p>
    <w:p w14:paraId="22A3C639" w14:textId="7FF83D1D" w:rsidR="007518F6" w:rsidRDefault="007518F6">
      <w:pPr>
        <w:rPr>
          <w:sz w:val="24"/>
        </w:rPr>
      </w:pPr>
    </w:p>
    <w:p w14:paraId="714D7B84" w14:textId="44886C11" w:rsidR="007518F6" w:rsidRDefault="007518F6">
      <w:pPr>
        <w:rPr>
          <w:sz w:val="24"/>
        </w:rPr>
      </w:pPr>
    </w:p>
    <w:p w14:paraId="40A69E6B" w14:textId="53184B55" w:rsidR="007518F6" w:rsidRDefault="007518F6">
      <w:pPr>
        <w:rPr>
          <w:sz w:val="24"/>
        </w:rPr>
      </w:pPr>
    </w:p>
    <w:p w14:paraId="660EDB43" w14:textId="62FE7BF2" w:rsidR="007518F6" w:rsidRDefault="007518F6">
      <w:pPr>
        <w:rPr>
          <w:sz w:val="24"/>
        </w:rPr>
      </w:pPr>
    </w:p>
    <w:p w14:paraId="57E5CE40" w14:textId="26265733" w:rsidR="007518F6" w:rsidRDefault="007518F6">
      <w:pPr>
        <w:rPr>
          <w:sz w:val="24"/>
        </w:rPr>
      </w:pPr>
    </w:p>
    <w:p w14:paraId="27EC1339" w14:textId="26AA476D" w:rsidR="007518F6" w:rsidRDefault="007518F6">
      <w:pPr>
        <w:rPr>
          <w:sz w:val="24"/>
        </w:rPr>
      </w:pPr>
    </w:p>
    <w:p w14:paraId="6D82F2A4" w14:textId="53A379CF" w:rsidR="007518F6" w:rsidRDefault="007518F6">
      <w:pPr>
        <w:rPr>
          <w:sz w:val="24"/>
        </w:rPr>
      </w:pPr>
    </w:p>
    <w:p w14:paraId="4184DA55" w14:textId="20B8CA72" w:rsidR="007518F6" w:rsidRDefault="007518F6">
      <w:pPr>
        <w:rPr>
          <w:sz w:val="24"/>
        </w:rPr>
      </w:pPr>
    </w:p>
    <w:p w14:paraId="6C3B298A" w14:textId="34B580D4" w:rsidR="007518F6" w:rsidRDefault="007518F6">
      <w:pPr>
        <w:rPr>
          <w:sz w:val="24"/>
        </w:rPr>
      </w:pPr>
    </w:p>
    <w:p w14:paraId="321C1BDC" w14:textId="7B658E66" w:rsidR="007518F6" w:rsidRDefault="007518F6">
      <w:pPr>
        <w:rPr>
          <w:sz w:val="24"/>
        </w:rPr>
      </w:pPr>
    </w:p>
    <w:p w14:paraId="0214EA33" w14:textId="776965D7" w:rsidR="007518F6" w:rsidRDefault="007518F6">
      <w:pPr>
        <w:rPr>
          <w:sz w:val="24"/>
        </w:rPr>
      </w:pPr>
    </w:p>
    <w:p w14:paraId="2174D59B" w14:textId="1A336677" w:rsidR="007518F6" w:rsidRDefault="007518F6">
      <w:pPr>
        <w:rPr>
          <w:sz w:val="24"/>
        </w:rPr>
      </w:pPr>
    </w:p>
    <w:p w14:paraId="40EE9DD3" w14:textId="3884A0B4" w:rsidR="007518F6" w:rsidRDefault="007518F6">
      <w:pPr>
        <w:rPr>
          <w:sz w:val="24"/>
        </w:rPr>
      </w:pPr>
    </w:p>
    <w:p w14:paraId="5315DF13" w14:textId="091BB2E6" w:rsidR="008F48A2" w:rsidRDefault="008F48A2">
      <w:pPr>
        <w:rPr>
          <w:sz w:val="24"/>
        </w:rPr>
      </w:pPr>
    </w:p>
    <w:p w14:paraId="06AAD09D" w14:textId="77777777" w:rsidR="008F48A2" w:rsidRDefault="008F48A2">
      <w:pPr>
        <w:rPr>
          <w:sz w:val="24"/>
        </w:rPr>
      </w:pPr>
    </w:p>
    <w:p w14:paraId="5C98CD99" w14:textId="6D145865" w:rsidR="007518F6" w:rsidRDefault="007518F6">
      <w:pPr>
        <w:rPr>
          <w:sz w:val="24"/>
        </w:rPr>
      </w:pPr>
    </w:p>
    <w:p w14:paraId="797817F3" w14:textId="0F3BB692" w:rsidR="007518F6" w:rsidRDefault="007518F6">
      <w:pPr>
        <w:rPr>
          <w:sz w:val="24"/>
        </w:rPr>
      </w:pPr>
    </w:p>
    <w:p w14:paraId="00D7CB18" w14:textId="516A73E1" w:rsidR="007518F6" w:rsidRDefault="007518F6">
      <w:pPr>
        <w:rPr>
          <w:sz w:val="24"/>
          <w:u w:val="single"/>
        </w:rPr>
      </w:pPr>
      <w:r w:rsidRPr="007518F6">
        <w:rPr>
          <w:sz w:val="24"/>
          <w:u w:val="single"/>
        </w:rPr>
        <w:t>Bibliography.</w:t>
      </w:r>
    </w:p>
    <w:p w14:paraId="7BEC56B4" w14:textId="2BA92DF7" w:rsidR="007518F6" w:rsidRDefault="007518F6">
      <w:pPr>
        <w:rPr>
          <w:sz w:val="24"/>
        </w:rPr>
      </w:pPr>
      <w:r>
        <w:rPr>
          <w:sz w:val="24"/>
        </w:rPr>
        <w:lastRenderedPageBreak/>
        <w:t xml:space="preserve">Gagarin. M. (2003) </w:t>
      </w:r>
      <w:proofErr w:type="spellStart"/>
      <w:r>
        <w:rPr>
          <w:i/>
          <w:sz w:val="24"/>
        </w:rPr>
        <w:t>Stoa</w:t>
      </w:r>
      <w:proofErr w:type="spellEnd"/>
      <w:r>
        <w:rPr>
          <w:sz w:val="24"/>
        </w:rPr>
        <w:t xml:space="preserve"> [A summary of: </w:t>
      </w:r>
      <w:proofErr w:type="spellStart"/>
      <w:r>
        <w:rPr>
          <w:sz w:val="24"/>
        </w:rPr>
        <w:t>Athenain</w:t>
      </w:r>
      <w:proofErr w:type="spellEnd"/>
      <w:r>
        <w:rPr>
          <w:sz w:val="24"/>
        </w:rPr>
        <w:t xml:space="preserve"> Homicide Law: Case Studies] </w:t>
      </w:r>
      <w:hyperlink r:id="rId4" w:history="1">
        <w:r w:rsidRPr="007F10B1">
          <w:rPr>
            <w:rStyle w:val="Hyperlink"/>
            <w:sz w:val="24"/>
          </w:rPr>
          <w:t>www.stoa.org/projects/demos/summargy_homicide?greekEncoding</w:t>
        </w:r>
      </w:hyperlink>
      <w:r>
        <w:rPr>
          <w:sz w:val="24"/>
        </w:rPr>
        <w:t xml:space="preserve"> (Accessed: 25 September 2018). </w:t>
      </w:r>
    </w:p>
    <w:p w14:paraId="04BDD479" w14:textId="3A2B9DE3" w:rsidR="007518F6" w:rsidRDefault="007518F6">
      <w:pPr>
        <w:rPr>
          <w:sz w:val="24"/>
        </w:rPr>
      </w:pPr>
      <w:r>
        <w:rPr>
          <w:sz w:val="24"/>
        </w:rPr>
        <w:t>MacDowell. D (1963) Athenian Homicide Law. In the Age of the Orators</w:t>
      </w:r>
    </w:p>
    <w:p w14:paraId="3654F218" w14:textId="75617179" w:rsidR="007518F6" w:rsidRDefault="007518F6">
      <w:pPr>
        <w:rPr>
          <w:sz w:val="24"/>
        </w:rPr>
      </w:pPr>
      <w:proofErr w:type="spellStart"/>
      <w:r>
        <w:rPr>
          <w:sz w:val="24"/>
        </w:rPr>
        <w:t>Aniphone</w:t>
      </w:r>
      <w:proofErr w:type="spellEnd"/>
      <w:r>
        <w:rPr>
          <w:sz w:val="24"/>
        </w:rPr>
        <w:t xml:space="preserve"> D. MacDowell. 1963 Manchester, Manchester University Press. </w:t>
      </w:r>
    </w:p>
    <w:p w14:paraId="364B2EA3" w14:textId="3E393D9B" w:rsidR="007518F6" w:rsidRPr="007518F6" w:rsidRDefault="007518F6">
      <w:pPr>
        <w:rPr>
          <w:sz w:val="24"/>
        </w:rPr>
      </w:pPr>
      <w:r>
        <w:rPr>
          <w:sz w:val="24"/>
        </w:rPr>
        <w:t xml:space="preserve">Demosthenes D. MacDowell. 1963 Manchester, Manchester University Press. </w:t>
      </w:r>
    </w:p>
    <w:p w14:paraId="54DBB52D" w14:textId="77777777" w:rsidR="007518F6" w:rsidRPr="00A76FD9" w:rsidRDefault="007518F6">
      <w:pPr>
        <w:rPr>
          <w:sz w:val="24"/>
        </w:rPr>
      </w:pPr>
    </w:p>
    <w:sectPr w:rsidR="007518F6" w:rsidRPr="00A76F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DCF"/>
    <w:rsid w:val="00035248"/>
    <w:rsid w:val="00071DCF"/>
    <w:rsid w:val="00093D82"/>
    <w:rsid w:val="000F2E43"/>
    <w:rsid w:val="00311E7A"/>
    <w:rsid w:val="00381A51"/>
    <w:rsid w:val="00437F82"/>
    <w:rsid w:val="00467D09"/>
    <w:rsid w:val="00735A2E"/>
    <w:rsid w:val="00743BE5"/>
    <w:rsid w:val="007518F6"/>
    <w:rsid w:val="008F48A2"/>
    <w:rsid w:val="00996397"/>
    <w:rsid w:val="00A76FD9"/>
    <w:rsid w:val="00AC3845"/>
    <w:rsid w:val="00D746F1"/>
    <w:rsid w:val="00EB0AF8"/>
    <w:rsid w:val="00EC1B7B"/>
    <w:rsid w:val="00EF4865"/>
    <w:rsid w:val="00F12D38"/>
    <w:rsid w:val="00F22B70"/>
    <w:rsid w:val="00F47DC8"/>
    <w:rsid w:val="00FB2325"/>
    <w:rsid w:val="00FE39D4"/>
    <w:rsid w:val="00FF6E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FFE18"/>
  <w15:chartTrackingRefBased/>
  <w15:docId w15:val="{E0BF671C-DED7-4CFB-87C8-31D0D4E20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18F6"/>
    <w:rPr>
      <w:color w:val="0563C1" w:themeColor="hyperlink"/>
      <w:u w:val="single"/>
    </w:rPr>
  </w:style>
  <w:style w:type="character" w:styleId="UnresolvedMention">
    <w:name w:val="Unresolved Mention"/>
    <w:basedOn w:val="DefaultParagraphFont"/>
    <w:uiPriority w:val="99"/>
    <w:semiHidden/>
    <w:unhideWhenUsed/>
    <w:rsid w:val="007518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stoa.org/projects/demos/summargy_homicide?greekEnco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579</Words>
  <Characters>3303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Issie Griffin</dc:creator>
  <cp:keywords/>
  <dc:description/>
  <cp:lastModifiedBy>Issie Griffin</cp:lastModifiedBy>
  <cp:revision>2</cp:revision>
  <dcterms:created xsi:type="dcterms:W3CDTF">2018-09-26T18:51:00Z</dcterms:created>
  <dcterms:modified xsi:type="dcterms:W3CDTF">2018-09-26T18:51:00Z</dcterms:modified>
</cp:coreProperties>
</file>