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BD2BF" w14:textId="77777777" w:rsidR="000B3697" w:rsidRPr="000B3697" w:rsidRDefault="000B3697" w:rsidP="006E7433">
      <w:pPr>
        <w:pStyle w:val="Default"/>
        <w:rPr>
          <w:rFonts w:ascii="Times New Roman" w:hAnsi="Times New Roman" w:cs="Times New Roman"/>
          <w:b/>
          <w:lang w:val="en-GB"/>
        </w:rPr>
      </w:pPr>
    </w:p>
    <w:p w14:paraId="2BF2AF8A" w14:textId="77777777" w:rsidR="000B3697" w:rsidRPr="000B3697" w:rsidRDefault="000B3697" w:rsidP="006E7433">
      <w:pPr>
        <w:pStyle w:val="Default"/>
        <w:rPr>
          <w:rFonts w:ascii="Times New Roman" w:hAnsi="Times New Roman" w:cs="Times New Roman"/>
          <w:b/>
          <w:lang w:val="en-GB"/>
        </w:rPr>
      </w:pPr>
      <w:r w:rsidRPr="000B3697">
        <w:rPr>
          <w:rFonts w:ascii="Times New Roman" w:hAnsi="Times New Roman" w:cs="Times New Roman"/>
          <w:b/>
          <w:lang w:val="en-GB"/>
        </w:rPr>
        <w:t xml:space="preserve"> </w:t>
      </w:r>
    </w:p>
    <w:p w14:paraId="2AF2791E" w14:textId="77777777" w:rsidR="000B3697" w:rsidRPr="000B3697" w:rsidRDefault="000B3697" w:rsidP="006E7433">
      <w:pPr>
        <w:pStyle w:val="Default"/>
        <w:rPr>
          <w:rFonts w:ascii="Times New Roman" w:hAnsi="Times New Roman" w:cs="Times New Roman"/>
          <w:b/>
          <w:lang w:val="en-GB"/>
        </w:rPr>
      </w:pPr>
    </w:p>
    <w:p w14:paraId="0492B07A" w14:textId="77777777" w:rsidR="000B3697" w:rsidRPr="000B3697" w:rsidRDefault="000B3697" w:rsidP="006E7433">
      <w:pPr>
        <w:pStyle w:val="Default"/>
        <w:rPr>
          <w:rFonts w:ascii="Times New Roman" w:hAnsi="Times New Roman" w:cs="Times New Roman"/>
          <w:b/>
          <w:lang w:val="en-GB"/>
        </w:rPr>
      </w:pPr>
    </w:p>
    <w:p w14:paraId="41240A48" w14:textId="77777777" w:rsidR="000B3697" w:rsidRPr="000B3697" w:rsidRDefault="000B3697" w:rsidP="006E7433">
      <w:pPr>
        <w:pStyle w:val="Default"/>
        <w:rPr>
          <w:rFonts w:ascii="Times New Roman" w:hAnsi="Times New Roman" w:cs="Times New Roman"/>
          <w:b/>
          <w:lang w:val="en-GB"/>
        </w:rPr>
      </w:pPr>
    </w:p>
    <w:p w14:paraId="2CEB0AD3" w14:textId="77777777" w:rsidR="000B3697" w:rsidRPr="000B3697" w:rsidRDefault="000B3697" w:rsidP="006E7433">
      <w:pPr>
        <w:pStyle w:val="Default"/>
        <w:rPr>
          <w:rFonts w:ascii="Times New Roman" w:hAnsi="Times New Roman" w:cs="Times New Roman"/>
          <w:b/>
          <w:lang w:val="en-GB"/>
        </w:rPr>
      </w:pPr>
    </w:p>
    <w:p w14:paraId="54C4E84A" w14:textId="77777777" w:rsidR="000B3697" w:rsidRPr="000B3697" w:rsidRDefault="000B3697" w:rsidP="006E7433">
      <w:pPr>
        <w:pStyle w:val="Default"/>
        <w:rPr>
          <w:rFonts w:ascii="Times New Roman" w:hAnsi="Times New Roman" w:cs="Times New Roman"/>
          <w:b/>
          <w:lang w:val="en-GB"/>
        </w:rPr>
      </w:pPr>
    </w:p>
    <w:p w14:paraId="08624B9B" w14:textId="77777777" w:rsidR="000B3697" w:rsidRPr="000B3697" w:rsidRDefault="000B3697" w:rsidP="006E7433">
      <w:pPr>
        <w:pStyle w:val="Default"/>
        <w:rPr>
          <w:rFonts w:ascii="Times New Roman" w:hAnsi="Times New Roman" w:cs="Times New Roman"/>
          <w:b/>
          <w:lang w:val="en-GB"/>
        </w:rPr>
      </w:pPr>
    </w:p>
    <w:p w14:paraId="65F243B6" w14:textId="77777777" w:rsidR="000B3697" w:rsidRPr="000B3697" w:rsidRDefault="000B3697" w:rsidP="006E7433">
      <w:pPr>
        <w:pStyle w:val="Default"/>
        <w:rPr>
          <w:rFonts w:ascii="Times New Roman" w:hAnsi="Times New Roman" w:cs="Times New Roman"/>
          <w:b/>
          <w:lang w:val="en-GB"/>
        </w:rPr>
      </w:pPr>
    </w:p>
    <w:p w14:paraId="564B81BD" w14:textId="77777777" w:rsidR="000B3697" w:rsidRPr="000B3697" w:rsidRDefault="000B3697" w:rsidP="006E7433">
      <w:pPr>
        <w:pStyle w:val="Default"/>
        <w:rPr>
          <w:rFonts w:ascii="Times New Roman" w:hAnsi="Times New Roman" w:cs="Times New Roman"/>
          <w:b/>
          <w:lang w:val="en-GB"/>
        </w:rPr>
      </w:pPr>
      <w:r w:rsidRPr="000B3697">
        <w:rPr>
          <w:rFonts w:ascii="Times New Roman" w:hAnsi="Times New Roman" w:cs="Times New Roman"/>
          <w:b/>
          <w:lang w:val="en-GB"/>
        </w:rPr>
        <w:t xml:space="preserve">  </w:t>
      </w:r>
    </w:p>
    <w:p w14:paraId="56F6BB95" w14:textId="77777777" w:rsidR="000B3697" w:rsidRPr="000B3697" w:rsidRDefault="000B3697" w:rsidP="006E7433">
      <w:pPr>
        <w:pStyle w:val="Default"/>
        <w:rPr>
          <w:rFonts w:ascii="Times New Roman" w:hAnsi="Times New Roman" w:cs="Times New Roman"/>
          <w:b/>
          <w:lang w:val="en-GB"/>
        </w:rPr>
      </w:pPr>
    </w:p>
    <w:p w14:paraId="285A5AA2" w14:textId="77777777" w:rsidR="000B3697" w:rsidRPr="000B3697" w:rsidRDefault="000B3697" w:rsidP="006E7433">
      <w:pPr>
        <w:pStyle w:val="Default"/>
        <w:rPr>
          <w:rFonts w:ascii="Times New Roman" w:hAnsi="Times New Roman" w:cs="Times New Roman"/>
          <w:b/>
          <w:lang w:val="en-GB"/>
        </w:rPr>
      </w:pPr>
    </w:p>
    <w:p w14:paraId="4DAC84FE" w14:textId="419058F2" w:rsidR="000B3697" w:rsidRPr="000B3697" w:rsidRDefault="000B3697" w:rsidP="006E7433">
      <w:pPr>
        <w:pStyle w:val="Default"/>
        <w:rPr>
          <w:rFonts w:ascii="Times New Roman" w:hAnsi="Times New Roman" w:cs="Times New Roman"/>
          <w:b/>
          <w:sz w:val="40"/>
          <w:szCs w:val="40"/>
          <w:lang w:val="en-GB"/>
        </w:rPr>
      </w:pPr>
      <w:r w:rsidRPr="000B3697">
        <w:rPr>
          <w:rFonts w:ascii="Times New Roman" w:hAnsi="Times New Roman" w:cs="Times New Roman"/>
          <w:b/>
          <w:sz w:val="40"/>
          <w:szCs w:val="40"/>
          <w:lang w:val="en-GB"/>
        </w:rPr>
        <w:t xml:space="preserve">   LCBB4001: Accounting Fundamentals Assessment 1</w:t>
      </w:r>
    </w:p>
    <w:p w14:paraId="542BFBEC" w14:textId="77777777" w:rsidR="000B3697" w:rsidRPr="000B3697" w:rsidRDefault="000B3697" w:rsidP="006E7433">
      <w:pPr>
        <w:rPr>
          <w:rFonts w:ascii="Times New Roman" w:hAnsi="Times New Roman" w:cs="Times New Roman"/>
          <w:sz w:val="24"/>
          <w:szCs w:val="24"/>
          <w:lang w:val="en-GB"/>
        </w:rPr>
      </w:pPr>
    </w:p>
    <w:p w14:paraId="366C6F7E" w14:textId="3364F99E" w:rsidR="000B3697" w:rsidRPr="0045774F" w:rsidRDefault="0045774F" w:rsidP="006E7433">
      <w:pPr>
        <w:rPr>
          <w:rFonts w:ascii="Times New Roman" w:hAnsi="Times New Roman" w:cs="Times New Roman"/>
          <w:b/>
          <w:bCs/>
          <w:sz w:val="44"/>
          <w:szCs w:val="44"/>
          <w:lang w:val="en-GB"/>
        </w:rPr>
      </w:pPr>
      <w:r>
        <w:rPr>
          <w:rFonts w:ascii="Times New Roman" w:hAnsi="Times New Roman" w:cs="Times New Roman"/>
          <w:b/>
          <w:bCs/>
          <w:sz w:val="48"/>
          <w:szCs w:val="48"/>
          <w:lang w:val="en-GB"/>
        </w:rPr>
        <w:t xml:space="preserve">  </w:t>
      </w:r>
      <w:r w:rsidRPr="0045774F">
        <w:rPr>
          <w:rFonts w:ascii="Times New Roman" w:hAnsi="Times New Roman" w:cs="Times New Roman"/>
          <w:b/>
          <w:bCs/>
          <w:sz w:val="44"/>
          <w:szCs w:val="44"/>
          <w:lang w:val="en-GB"/>
        </w:rPr>
        <w:t xml:space="preserve">Student </w:t>
      </w:r>
      <w:proofErr w:type="gramStart"/>
      <w:r w:rsidRPr="0045774F">
        <w:rPr>
          <w:rFonts w:ascii="Times New Roman" w:hAnsi="Times New Roman" w:cs="Times New Roman"/>
          <w:b/>
          <w:bCs/>
          <w:sz w:val="44"/>
          <w:szCs w:val="44"/>
          <w:lang w:val="en-GB"/>
        </w:rPr>
        <w:t>name :Bilyana</w:t>
      </w:r>
      <w:proofErr w:type="gramEnd"/>
      <w:r w:rsidRPr="0045774F">
        <w:rPr>
          <w:rFonts w:ascii="Times New Roman" w:hAnsi="Times New Roman" w:cs="Times New Roman"/>
          <w:b/>
          <w:bCs/>
          <w:sz w:val="44"/>
          <w:szCs w:val="44"/>
          <w:lang w:val="en-GB"/>
        </w:rPr>
        <w:t xml:space="preserve"> Todorova</w:t>
      </w:r>
    </w:p>
    <w:p w14:paraId="78FDF7AE" w14:textId="25DBA06C" w:rsidR="000B3697" w:rsidRPr="0045774F" w:rsidRDefault="0045774F" w:rsidP="006E7433">
      <w:pPr>
        <w:rPr>
          <w:rFonts w:ascii="Times New Roman" w:hAnsi="Times New Roman" w:cs="Times New Roman"/>
          <w:b/>
          <w:bCs/>
          <w:sz w:val="44"/>
          <w:szCs w:val="44"/>
          <w:lang w:val="en-GB"/>
        </w:rPr>
      </w:pPr>
      <w:r>
        <w:rPr>
          <w:rFonts w:ascii="Times New Roman" w:hAnsi="Times New Roman" w:cs="Times New Roman"/>
          <w:b/>
          <w:bCs/>
          <w:sz w:val="44"/>
          <w:szCs w:val="44"/>
          <w:lang w:val="en-GB"/>
        </w:rPr>
        <w:t xml:space="preserve">  </w:t>
      </w:r>
      <w:r w:rsidRPr="0045774F">
        <w:rPr>
          <w:rFonts w:ascii="Times New Roman" w:hAnsi="Times New Roman" w:cs="Times New Roman"/>
          <w:b/>
          <w:bCs/>
          <w:sz w:val="44"/>
          <w:szCs w:val="44"/>
          <w:lang w:val="en-GB"/>
        </w:rPr>
        <w:t>Student number: 2010307</w:t>
      </w:r>
    </w:p>
    <w:p w14:paraId="4213D648" w14:textId="77777777" w:rsidR="000B3697" w:rsidRPr="000B3697" w:rsidRDefault="000B3697" w:rsidP="006E7433">
      <w:pPr>
        <w:spacing w:after="0"/>
        <w:rPr>
          <w:rFonts w:ascii="Times New Roman" w:hAnsi="Times New Roman" w:cs="Times New Roman"/>
          <w:sz w:val="24"/>
          <w:szCs w:val="24"/>
          <w:lang w:val="en-GB"/>
        </w:rPr>
      </w:pPr>
    </w:p>
    <w:p w14:paraId="0E105C9B" w14:textId="77777777" w:rsidR="000B3697" w:rsidRPr="000B3697" w:rsidRDefault="000B3697" w:rsidP="006E7433">
      <w:pPr>
        <w:spacing w:after="0"/>
        <w:rPr>
          <w:rFonts w:ascii="Times New Roman" w:hAnsi="Times New Roman" w:cs="Times New Roman"/>
          <w:sz w:val="24"/>
          <w:szCs w:val="24"/>
          <w:lang w:val="en-GB"/>
        </w:rPr>
      </w:pPr>
    </w:p>
    <w:p w14:paraId="24BD4E9F" w14:textId="77777777" w:rsidR="000B3697" w:rsidRPr="000B3697" w:rsidRDefault="000B3697" w:rsidP="006E7433">
      <w:pPr>
        <w:spacing w:after="0"/>
        <w:rPr>
          <w:rFonts w:ascii="Times New Roman" w:hAnsi="Times New Roman" w:cs="Times New Roman"/>
          <w:sz w:val="24"/>
          <w:szCs w:val="24"/>
          <w:lang w:val="en-GB"/>
        </w:rPr>
      </w:pPr>
    </w:p>
    <w:p w14:paraId="0D7DF8F7" w14:textId="77777777" w:rsidR="000B3697" w:rsidRPr="000B3697" w:rsidRDefault="000B3697" w:rsidP="006E7433">
      <w:pPr>
        <w:spacing w:after="0"/>
        <w:rPr>
          <w:rFonts w:ascii="Times New Roman" w:hAnsi="Times New Roman" w:cs="Times New Roman"/>
          <w:sz w:val="24"/>
          <w:szCs w:val="24"/>
          <w:lang w:val="en-GB"/>
        </w:rPr>
      </w:pPr>
    </w:p>
    <w:p w14:paraId="34C4CEFC" w14:textId="77777777" w:rsidR="000B3697" w:rsidRPr="000B3697" w:rsidRDefault="000B3697" w:rsidP="006E7433">
      <w:pPr>
        <w:spacing w:after="0"/>
        <w:rPr>
          <w:rFonts w:ascii="Times New Roman" w:hAnsi="Times New Roman" w:cs="Times New Roman"/>
          <w:sz w:val="24"/>
          <w:szCs w:val="24"/>
          <w:lang w:val="en-GB"/>
        </w:rPr>
      </w:pPr>
    </w:p>
    <w:p w14:paraId="7D45564F" w14:textId="77777777" w:rsidR="000B3697" w:rsidRPr="000B3697" w:rsidRDefault="000B3697" w:rsidP="006E7433">
      <w:pPr>
        <w:spacing w:after="0"/>
        <w:rPr>
          <w:rFonts w:ascii="Times New Roman" w:hAnsi="Times New Roman" w:cs="Times New Roman"/>
          <w:sz w:val="24"/>
          <w:szCs w:val="24"/>
          <w:lang w:val="en-GB"/>
        </w:rPr>
      </w:pPr>
    </w:p>
    <w:p w14:paraId="680D20D0" w14:textId="77777777" w:rsidR="000B3697" w:rsidRPr="000B3697" w:rsidRDefault="000B3697" w:rsidP="006E7433">
      <w:pPr>
        <w:spacing w:after="0"/>
        <w:rPr>
          <w:rFonts w:ascii="Times New Roman" w:hAnsi="Times New Roman" w:cs="Times New Roman"/>
          <w:sz w:val="24"/>
          <w:szCs w:val="24"/>
          <w:lang w:val="en-GB"/>
        </w:rPr>
      </w:pPr>
    </w:p>
    <w:p w14:paraId="5AB0BF2D" w14:textId="77777777" w:rsidR="000B3697" w:rsidRPr="000B3697" w:rsidRDefault="000B3697" w:rsidP="006E7433">
      <w:pPr>
        <w:spacing w:after="0"/>
        <w:rPr>
          <w:rFonts w:ascii="Times New Roman" w:hAnsi="Times New Roman" w:cs="Times New Roman"/>
          <w:sz w:val="24"/>
          <w:szCs w:val="24"/>
          <w:lang w:val="en-GB"/>
        </w:rPr>
      </w:pPr>
    </w:p>
    <w:p w14:paraId="49A3059A" w14:textId="77777777" w:rsidR="000B3697" w:rsidRPr="000B3697" w:rsidRDefault="000B3697" w:rsidP="006E7433">
      <w:pPr>
        <w:spacing w:after="0"/>
        <w:rPr>
          <w:rFonts w:ascii="Times New Roman" w:hAnsi="Times New Roman" w:cs="Times New Roman"/>
          <w:sz w:val="24"/>
          <w:szCs w:val="24"/>
          <w:lang w:val="en-GB"/>
        </w:rPr>
      </w:pPr>
    </w:p>
    <w:p w14:paraId="0E1AC023" w14:textId="77777777" w:rsidR="000B3697" w:rsidRPr="000B3697" w:rsidRDefault="000B3697" w:rsidP="006E7433">
      <w:pPr>
        <w:spacing w:after="0"/>
        <w:rPr>
          <w:rFonts w:ascii="Times New Roman" w:hAnsi="Times New Roman" w:cs="Times New Roman"/>
          <w:sz w:val="24"/>
          <w:szCs w:val="24"/>
          <w:lang w:val="en-GB"/>
        </w:rPr>
      </w:pPr>
    </w:p>
    <w:p w14:paraId="3349B45D" w14:textId="77777777" w:rsidR="000B3697" w:rsidRPr="000B3697" w:rsidRDefault="000B3697" w:rsidP="006E7433">
      <w:pPr>
        <w:spacing w:after="0"/>
        <w:rPr>
          <w:rFonts w:ascii="Times New Roman" w:hAnsi="Times New Roman" w:cs="Times New Roman"/>
          <w:sz w:val="24"/>
          <w:szCs w:val="24"/>
          <w:lang w:val="en-GB"/>
        </w:rPr>
      </w:pPr>
    </w:p>
    <w:p w14:paraId="2D992FB9" w14:textId="77777777" w:rsidR="000B3697" w:rsidRPr="000B3697" w:rsidRDefault="000B3697" w:rsidP="006E7433">
      <w:pPr>
        <w:spacing w:after="0"/>
        <w:rPr>
          <w:rFonts w:ascii="Times New Roman" w:hAnsi="Times New Roman" w:cs="Times New Roman"/>
          <w:sz w:val="24"/>
          <w:szCs w:val="24"/>
          <w:lang w:val="en-GB"/>
        </w:rPr>
      </w:pPr>
    </w:p>
    <w:p w14:paraId="68C8A12C" w14:textId="77777777" w:rsidR="000B3697" w:rsidRPr="000B3697" w:rsidRDefault="000B3697" w:rsidP="006E7433">
      <w:pPr>
        <w:spacing w:after="0"/>
        <w:rPr>
          <w:rFonts w:ascii="Times New Roman" w:hAnsi="Times New Roman" w:cs="Times New Roman"/>
          <w:sz w:val="24"/>
          <w:szCs w:val="24"/>
          <w:lang w:val="en-GB"/>
        </w:rPr>
      </w:pPr>
    </w:p>
    <w:p w14:paraId="73DC146F" w14:textId="77777777" w:rsidR="000B3697" w:rsidRPr="000B3697" w:rsidRDefault="000B3697" w:rsidP="006E7433">
      <w:pPr>
        <w:spacing w:after="0"/>
        <w:rPr>
          <w:rFonts w:ascii="Times New Roman" w:hAnsi="Times New Roman" w:cs="Times New Roman"/>
          <w:sz w:val="24"/>
          <w:szCs w:val="24"/>
          <w:lang w:val="en-GB"/>
        </w:rPr>
      </w:pPr>
    </w:p>
    <w:p w14:paraId="5D08E567" w14:textId="77777777" w:rsidR="000B3697" w:rsidRPr="000B3697" w:rsidRDefault="000B3697" w:rsidP="006E7433">
      <w:pPr>
        <w:spacing w:after="0"/>
        <w:rPr>
          <w:rFonts w:ascii="Times New Roman" w:hAnsi="Times New Roman" w:cs="Times New Roman"/>
          <w:sz w:val="24"/>
          <w:szCs w:val="24"/>
          <w:lang w:val="en-GB"/>
        </w:rPr>
      </w:pPr>
    </w:p>
    <w:p w14:paraId="39557CA8" w14:textId="77777777" w:rsidR="000B3697" w:rsidRPr="000B3697" w:rsidRDefault="000B3697" w:rsidP="006E7433">
      <w:pPr>
        <w:spacing w:after="0"/>
        <w:rPr>
          <w:rFonts w:ascii="Times New Roman" w:hAnsi="Times New Roman" w:cs="Times New Roman"/>
          <w:sz w:val="24"/>
          <w:szCs w:val="24"/>
          <w:lang w:val="en-GB"/>
        </w:rPr>
      </w:pPr>
    </w:p>
    <w:p w14:paraId="1F9C0383" w14:textId="77777777" w:rsidR="000B3697" w:rsidRPr="000B3697" w:rsidRDefault="000B3697" w:rsidP="006E7433">
      <w:pPr>
        <w:spacing w:after="0"/>
        <w:rPr>
          <w:rFonts w:ascii="Times New Roman" w:hAnsi="Times New Roman" w:cs="Times New Roman"/>
          <w:sz w:val="24"/>
          <w:szCs w:val="24"/>
          <w:lang w:val="en-GB"/>
        </w:rPr>
      </w:pPr>
    </w:p>
    <w:p w14:paraId="3F3F8132" w14:textId="77777777" w:rsidR="000B3697" w:rsidRPr="000B3697" w:rsidRDefault="000B3697" w:rsidP="006E7433">
      <w:pPr>
        <w:spacing w:after="0"/>
        <w:rPr>
          <w:rFonts w:ascii="Times New Roman" w:hAnsi="Times New Roman" w:cs="Times New Roman"/>
          <w:sz w:val="24"/>
          <w:szCs w:val="24"/>
          <w:lang w:val="en-GB"/>
        </w:rPr>
      </w:pPr>
    </w:p>
    <w:p w14:paraId="024C3562" w14:textId="77777777" w:rsidR="000B3697" w:rsidRPr="000B3697" w:rsidRDefault="000B3697" w:rsidP="006E7433">
      <w:pPr>
        <w:spacing w:after="0"/>
        <w:rPr>
          <w:rFonts w:ascii="Times New Roman" w:hAnsi="Times New Roman" w:cs="Times New Roman"/>
          <w:sz w:val="24"/>
          <w:szCs w:val="24"/>
          <w:lang w:val="en-GB"/>
        </w:rPr>
      </w:pPr>
    </w:p>
    <w:p w14:paraId="40A89864" w14:textId="77777777" w:rsidR="000B3697" w:rsidRPr="000B3697" w:rsidRDefault="000B3697" w:rsidP="006E7433">
      <w:pPr>
        <w:spacing w:after="0"/>
        <w:rPr>
          <w:rFonts w:ascii="Times New Roman" w:hAnsi="Times New Roman" w:cs="Times New Roman"/>
          <w:sz w:val="24"/>
          <w:szCs w:val="24"/>
          <w:lang w:val="en-GB"/>
        </w:rPr>
      </w:pPr>
    </w:p>
    <w:p w14:paraId="1EEAF91E" w14:textId="7AC148B2" w:rsidR="000B3697" w:rsidRPr="000B3697" w:rsidRDefault="000B3697" w:rsidP="006E7433">
      <w:pPr>
        <w:spacing w:after="0"/>
        <w:rPr>
          <w:rFonts w:ascii="Times New Roman" w:hAnsi="Times New Roman" w:cs="Times New Roman"/>
          <w:sz w:val="24"/>
          <w:szCs w:val="24"/>
          <w:lang w:val="en-GB"/>
        </w:rPr>
      </w:pPr>
    </w:p>
    <w:p w14:paraId="640EDFBB" w14:textId="29A9FEA6" w:rsidR="000B3697" w:rsidRPr="000B3697" w:rsidRDefault="000B3697" w:rsidP="006E7433">
      <w:pPr>
        <w:spacing w:after="0"/>
        <w:rPr>
          <w:rFonts w:ascii="Times New Roman" w:hAnsi="Times New Roman" w:cs="Times New Roman"/>
          <w:sz w:val="24"/>
          <w:szCs w:val="24"/>
          <w:lang w:val="en-GB"/>
        </w:rPr>
      </w:pPr>
    </w:p>
    <w:p w14:paraId="799AE77D" w14:textId="46AFA7A9" w:rsidR="000B3697" w:rsidRPr="000B3697" w:rsidRDefault="000B3697" w:rsidP="006E7433">
      <w:pPr>
        <w:spacing w:after="0"/>
        <w:rPr>
          <w:rFonts w:ascii="Times New Roman" w:hAnsi="Times New Roman" w:cs="Times New Roman"/>
          <w:sz w:val="24"/>
          <w:szCs w:val="24"/>
          <w:lang w:val="en-GB"/>
        </w:rPr>
      </w:pPr>
    </w:p>
    <w:p w14:paraId="5BBFE4F8" w14:textId="6BBFF17B" w:rsidR="000B3697" w:rsidRPr="000B3697" w:rsidRDefault="000B3697" w:rsidP="006E7433">
      <w:pPr>
        <w:spacing w:after="0"/>
        <w:rPr>
          <w:rFonts w:ascii="Times New Roman" w:hAnsi="Times New Roman" w:cs="Times New Roman"/>
          <w:sz w:val="24"/>
          <w:szCs w:val="24"/>
          <w:lang w:val="en-GB"/>
        </w:rPr>
      </w:pPr>
    </w:p>
    <w:p w14:paraId="3D9FF165" w14:textId="77777777" w:rsidR="000B3697" w:rsidRPr="000B3697" w:rsidRDefault="000B3697" w:rsidP="006E7433">
      <w:pPr>
        <w:spacing w:after="0"/>
        <w:rPr>
          <w:rFonts w:ascii="Times New Roman" w:hAnsi="Times New Roman" w:cs="Times New Roman"/>
          <w:sz w:val="24"/>
          <w:szCs w:val="24"/>
          <w:lang w:val="en-GB"/>
        </w:rPr>
      </w:pPr>
    </w:p>
    <w:p w14:paraId="3763B4A3" w14:textId="77777777" w:rsidR="000B3697" w:rsidRPr="000B3697" w:rsidRDefault="000B3697" w:rsidP="006E7433">
      <w:pPr>
        <w:spacing w:after="0"/>
        <w:rPr>
          <w:rFonts w:ascii="Times New Roman" w:hAnsi="Times New Roman" w:cs="Times New Roman"/>
          <w:sz w:val="24"/>
          <w:szCs w:val="24"/>
          <w:lang w:val="en-GB"/>
        </w:rPr>
      </w:pPr>
    </w:p>
    <w:p w14:paraId="0715A8A9" w14:textId="77777777" w:rsidR="000B3697" w:rsidRPr="000B3697" w:rsidRDefault="000B3697" w:rsidP="006E7433">
      <w:pPr>
        <w:spacing w:after="0"/>
        <w:rPr>
          <w:rFonts w:ascii="Times New Roman" w:hAnsi="Times New Roman" w:cs="Times New Roman"/>
          <w:sz w:val="24"/>
          <w:szCs w:val="24"/>
          <w:lang w:val="en-GB"/>
        </w:rPr>
      </w:pPr>
    </w:p>
    <w:p w14:paraId="53556DC4" w14:textId="67173EB2" w:rsidR="000B3697" w:rsidRPr="000B3697" w:rsidRDefault="000B3697" w:rsidP="006E7433">
      <w:pPr>
        <w:rPr>
          <w:rFonts w:ascii="Times New Roman" w:hAnsi="Times New Roman" w:cs="Times New Roman"/>
          <w:b/>
          <w:iCs/>
          <w:sz w:val="24"/>
          <w:szCs w:val="24"/>
          <w:lang w:val="en-GB"/>
        </w:rPr>
      </w:pPr>
      <w:r w:rsidRPr="000B3697">
        <w:rPr>
          <w:rFonts w:ascii="Times New Roman" w:hAnsi="Times New Roman" w:cs="Times New Roman"/>
          <w:b/>
          <w:iCs/>
          <w:sz w:val="24"/>
          <w:szCs w:val="24"/>
          <w:lang w:val="en-GB"/>
        </w:rPr>
        <w:t>QUESTION ONE</w:t>
      </w:r>
    </w:p>
    <w:tbl>
      <w:tblPr>
        <w:tblW w:w="7762" w:type="dxa"/>
        <w:tblInd w:w="55" w:type="dxa"/>
        <w:tblCellMar>
          <w:left w:w="70" w:type="dxa"/>
          <w:right w:w="70" w:type="dxa"/>
        </w:tblCellMar>
        <w:tblLook w:val="04A0" w:firstRow="1" w:lastRow="0" w:firstColumn="1" w:lastColumn="0" w:noHBand="0" w:noVBand="1"/>
      </w:tblPr>
      <w:tblGrid>
        <w:gridCol w:w="6042"/>
        <w:gridCol w:w="860"/>
        <w:gridCol w:w="860"/>
      </w:tblGrid>
      <w:tr w:rsidR="000B3697" w:rsidRPr="000B3697" w14:paraId="133E00F4" w14:textId="77777777" w:rsidTr="00200EC3">
        <w:trPr>
          <w:trHeight w:val="315"/>
        </w:trPr>
        <w:tc>
          <w:tcPr>
            <w:tcW w:w="7762"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F60E501"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INCOME STATEMENT for the period 01/01/2018-31/12/2018</w:t>
            </w:r>
          </w:p>
        </w:tc>
      </w:tr>
      <w:tr w:rsidR="000B3697" w:rsidRPr="000B3697" w14:paraId="4FC89C84" w14:textId="77777777" w:rsidTr="00200EC3">
        <w:trPr>
          <w:trHeight w:val="300"/>
        </w:trPr>
        <w:tc>
          <w:tcPr>
            <w:tcW w:w="6042" w:type="dxa"/>
            <w:tcBorders>
              <w:top w:val="nil"/>
              <w:left w:val="nil"/>
              <w:bottom w:val="nil"/>
              <w:right w:val="nil"/>
            </w:tcBorders>
            <w:shd w:val="clear" w:color="auto" w:fill="auto"/>
            <w:noWrap/>
            <w:vAlign w:val="bottom"/>
            <w:hideMark/>
          </w:tcPr>
          <w:p w14:paraId="4CB73CD9"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860" w:type="dxa"/>
            <w:tcBorders>
              <w:top w:val="nil"/>
              <w:left w:val="nil"/>
              <w:bottom w:val="nil"/>
              <w:right w:val="nil"/>
            </w:tcBorders>
            <w:shd w:val="clear" w:color="auto" w:fill="auto"/>
            <w:noWrap/>
            <w:vAlign w:val="bottom"/>
            <w:hideMark/>
          </w:tcPr>
          <w:p w14:paraId="2CA6311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Credit</w:t>
            </w:r>
          </w:p>
        </w:tc>
        <w:tc>
          <w:tcPr>
            <w:tcW w:w="860" w:type="dxa"/>
            <w:tcBorders>
              <w:top w:val="nil"/>
              <w:left w:val="nil"/>
              <w:bottom w:val="nil"/>
              <w:right w:val="nil"/>
            </w:tcBorders>
            <w:shd w:val="clear" w:color="auto" w:fill="auto"/>
            <w:noWrap/>
            <w:vAlign w:val="bottom"/>
            <w:hideMark/>
          </w:tcPr>
          <w:p w14:paraId="7EB70F08"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Debit</w:t>
            </w:r>
          </w:p>
        </w:tc>
      </w:tr>
      <w:tr w:rsidR="000B3697" w:rsidRPr="000B3697" w14:paraId="2259D09B" w14:textId="77777777" w:rsidTr="00200EC3">
        <w:trPr>
          <w:trHeight w:val="300"/>
        </w:trPr>
        <w:tc>
          <w:tcPr>
            <w:tcW w:w="6042" w:type="dxa"/>
            <w:tcBorders>
              <w:top w:val="nil"/>
              <w:left w:val="nil"/>
              <w:bottom w:val="nil"/>
              <w:right w:val="nil"/>
            </w:tcBorders>
            <w:shd w:val="clear" w:color="auto" w:fill="auto"/>
            <w:noWrap/>
            <w:vAlign w:val="bottom"/>
            <w:hideMark/>
          </w:tcPr>
          <w:p w14:paraId="5E296279"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Revenue (amount of goods or services sold for the period)</w:t>
            </w:r>
          </w:p>
        </w:tc>
        <w:tc>
          <w:tcPr>
            <w:tcW w:w="860" w:type="dxa"/>
            <w:tcBorders>
              <w:top w:val="nil"/>
              <w:left w:val="nil"/>
              <w:bottom w:val="nil"/>
              <w:right w:val="nil"/>
            </w:tcBorders>
            <w:shd w:val="clear" w:color="auto" w:fill="auto"/>
            <w:noWrap/>
            <w:vAlign w:val="bottom"/>
            <w:hideMark/>
          </w:tcPr>
          <w:p w14:paraId="74B392B9" w14:textId="2158F224"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82</w:t>
            </w:r>
            <w:r w:rsidR="00200EC3">
              <w:rPr>
                <w:rFonts w:ascii="Times New Roman" w:eastAsia="Times New Roman" w:hAnsi="Times New Roman" w:cs="Times New Roman"/>
                <w:color w:val="000000"/>
                <w:sz w:val="24"/>
                <w:szCs w:val="24"/>
                <w:lang w:val="en-GB" w:eastAsia="bg-BG"/>
              </w:rPr>
              <w:t>76</w:t>
            </w:r>
            <w:r w:rsidRPr="000B3697">
              <w:rPr>
                <w:rFonts w:ascii="Times New Roman" w:eastAsia="Times New Roman" w:hAnsi="Times New Roman" w:cs="Times New Roman"/>
                <w:color w:val="000000"/>
                <w:sz w:val="24"/>
                <w:szCs w:val="24"/>
                <w:lang w:val="en-GB" w:eastAsia="bg-BG"/>
              </w:rPr>
              <w:t>50</w:t>
            </w:r>
          </w:p>
        </w:tc>
        <w:tc>
          <w:tcPr>
            <w:tcW w:w="860" w:type="dxa"/>
            <w:tcBorders>
              <w:top w:val="nil"/>
              <w:left w:val="nil"/>
              <w:bottom w:val="nil"/>
              <w:right w:val="nil"/>
            </w:tcBorders>
            <w:shd w:val="clear" w:color="auto" w:fill="auto"/>
            <w:noWrap/>
            <w:vAlign w:val="bottom"/>
            <w:hideMark/>
          </w:tcPr>
          <w:p w14:paraId="2810AA16"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827650</w:t>
            </w:r>
          </w:p>
        </w:tc>
      </w:tr>
      <w:tr w:rsidR="000B3697" w:rsidRPr="000B3697" w14:paraId="2E5C7A35" w14:textId="77777777" w:rsidTr="00200EC3">
        <w:trPr>
          <w:trHeight w:val="300"/>
        </w:trPr>
        <w:tc>
          <w:tcPr>
            <w:tcW w:w="6042" w:type="dxa"/>
            <w:tcBorders>
              <w:top w:val="nil"/>
              <w:left w:val="nil"/>
              <w:bottom w:val="nil"/>
              <w:right w:val="nil"/>
            </w:tcBorders>
            <w:shd w:val="clear" w:color="auto" w:fill="auto"/>
            <w:noWrap/>
            <w:vAlign w:val="bottom"/>
            <w:hideMark/>
          </w:tcPr>
          <w:p w14:paraId="6AA49024"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Cost of sales</w:t>
            </w:r>
          </w:p>
        </w:tc>
        <w:tc>
          <w:tcPr>
            <w:tcW w:w="860" w:type="dxa"/>
            <w:tcBorders>
              <w:top w:val="nil"/>
              <w:left w:val="nil"/>
              <w:bottom w:val="nil"/>
              <w:right w:val="nil"/>
            </w:tcBorders>
            <w:shd w:val="clear" w:color="auto" w:fill="auto"/>
            <w:noWrap/>
            <w:vAlign w:val="bottom"/>
            <w:hideMark/>
          </w:tcPr>
          <w:p w14:paraId="463A9A02"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578650</w:t>
            </w:r>
          </w:p>
        </w:tc>
        <w:tc>
          <w:tcPr>
            <w:tcW w:w="860" w:type="dxa"/>
            <w:tcBorders>
              <w:top w:val="nil"/>
              <w:left w:val="nil"/>
              <w:bottom w:val="nil"/>
              <w:right w:val="nil"/>
            </w:tcBorders>
            <w:shd w:val="clear" w:color="auto" w:fill="auto"/>
            <w:noWrap/>
            <w:vAlign w:val="bottom"/>
            <w:hideMark/>
          </w:tcPr>
          <w:p w14:paraId="51330BE7"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578650</w:t>
            </w:r>
          </w:p>
        </w:tc>
      </w:tr>
      <w:tr w:rsidR="000B3697" w:rsidRPr="000B3697" w14:paraId="47C0040E" w14:textId="77777777" w:rsidTr="00200EC3">
        <w:trPr>
          <w:trHeight w:val="300"/>
        </w:trPr>
        <w:tc>
          <w:tcPr>
            <w:tcW w:w="6042" w:type="dxa"/>
            <w:tcBorders>
              <w:top w:val="single" w:sz="4" w:space="0" w:color="auto"/>
              <w:left w:val="nil"/>
              <w:bottom w:val="single" w:sz="4" w:space="0" w:color="auto"/>
              <w:right w:val="nil"/>
            </w:tcBorders>
            <w:shd w:val="clear" w:color="auto" w:fill="auto"/>
            <w:noWrap/>
            <w:vAlign w:val="bottom"/>
            <w:hideMark/>
          </w:tcPr>
          <w:p w14:paraId="2CC8FC33"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GROSS PROFIT</w:t>
            </w:r>
          </w:p>
        </w:tc>
        <w:tc>
          <w:tcPr>
            <w:tcW w:w="860" w:type="dxa"/>
            <w:tcBorders>
              <w:top w:val="single" w:sz="4" w:space="0" w:color="auto"/>
              <w:left w:val="nil"/>
              <w:bottom w:val="single" w:sz="4" w:space="0" w:color="auto"/>
              <w:right w:val="nil"/>
            </w:tcBorders>
            <w:shd w:val="clear" w:color="auto" w:fill="auto"/>
            <w:noWrap/>
            <w:vAlign w:val="bottom"/>
            <w:hideMark/>
          </w:tcPr>
          <w:p w14:paraId="35800C2A" w14:textId="0793F576"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24</w:t>
            </w:r>
            <w:r w:rsidR="00200EC3">
              <w:rPr>
                <w:rFonts w:ascii="Times New Roman" w:eastAsia="Times New Roman" w:hAnsi="Times New Roman" w:cs="Times New Roman"/>
                <w:b/>
                <w:bCs/>
                <w:color w:val="000000"/>
                <w:sz w:val="24"/>
                <w:szCs w:val="24"/>
                <w:lang w:val="en-GB" w:eastAsia="bg-BG"/>
              </w:rPr>
              <w:t>9</w:t>
            </w:r>
            <w:r w:rsidRPr="000B3697">
              <w:rPr>
                <w:rFonts w:ascii="Times New Roman" w:eastAsia="Times New Roman" w:hAnsi="Times New Roman" w:cs="Times New Roman"/>
                <w:b/>
                <w:bCs/>
                <w:color w:val="000000"/>
                <w:sz w:val="24"/>
                <w:szCs w:val="24"/>
                <w:lang w:val="en-GB" w:eastAsia="bg-BG"/>
              </w:rPr>
              <w:t>000</w:t>
            </w:r>
          </w:p>
        </w:tc>
        <w:tc>
          <w:tcPr>
            <w:tcW w:w="860" w:type="dxa"/>
            <w:tcBorders>
              <w:top w:val="single" w:sz="4" w:space="0" w:color="auto"/>
              <w:left w:val="nil"/>
              <w:bottom w:val="single" w:sz="4" w:space="0" w:color="auto"/>
              <w:right w:val="nil"/>
            </w:tcBorders>
            <w:shd w:val="clear" w:color="auto" w:fill="auto"/>
            <w:noWrap/>
            <w:vAlign w:val="bottom"/>
            <w:hideMark/>
          </w:tcPr>
          <w:p w14:paraId="0C5F86B8" w14:textId="0230155A"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24</w:t>
            </w:r>
            <w:r w:rsidR="00200EC3">
              <w:rPr>
                <w:rFonts w:ascii="Times New Roman" w:eastAsia="Times New Roman" w:hAnsi="Times New Roman" w:cs="Times New Roman"/>
                <w:b/>
                <w:bCs/>
                <w:color w:val="000000"/>
                <w:sz w:val="24"/>
                <w:szCs w:val="24"/>
                <w:lang w:val="en-GB" w:eastAsia="bg-BG"/>
              </w:rPr>
              <w:t>9000</w:t>
            </w:r>
          </w:p>
        </w:tc>
      </w:tr>
      <w:tr w:rsidR="000B3697" w:rsidRPr="000B3697" w14:paraId="42886F22" w14:textId="77777777" w:rsidTr="00200EC3">
        <w:trPr>
          <w:trHeight w:val="300"/>
        </w:trPr>
        <w:tc>
          <w:tcPr>
            <w:tcW w:w="6042" w:type="dxa"/>
            <w:tcBorders>
              <w:top w:val="nil"/>
              <w:left w:val="nil"/>
              <w:bottom w:val="nil"/>
              <w:right w:val="nil"/>
            </w:tcBorders>
            <w:shd w:val="clear" w:color="auto" w:fill="auto"/>
            <w:noWrap/>
            <w:vAlign w:val="bottom"/>
            <w:hideMark/>
          </w:tcPr>
          <w:p w14:paraId="2C68644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Distribution costs</w:t>
            </w:r>
          </w:p>
        </w:tc>
        <w:tc>
          <w:tcPr>
            <w:tcW w:w="860" w:type="dxa"/>
            <w:tcBorders>
              <w:top w:val="nil"/>
              <w:left w:val="nil"/>
              <w:bottom w:val="nil"/>
              <w:right w:val="nil"/>
            </w:tcBorders>
            <w:shd w:val="clear" w:color="auto" w:fill="auto"/>
            <w:noWrap/>
            <w:vAlign w:val="bottom"/>
            <w:hideMark/>
          </w:tcPr>
          <w:p w14:paraId="3BDCC84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28000</w:t>
            </w:r>
          </w:p>
        </w:tc>
        <w:tc>
          <w:tcPr>
            <w:tcW w:w="860" w:type="dxa"/>
            <w:tcBorders>
              <w:top w:val="nil"/>
              <w:left w:val="nil"/>
              <w:bottom w:val="nil"/>
              <w:right w:val="nil"/>
            </w:tcBorders>
            <w:shd w:val="clear" w:color="auto" w:fill="auto"/>
            <w:noWrap/>
            <w:vAlign w:val="bottom"/>
            <w:hideMark/>
          </w:tcPr>
          <w:p w14:paraId="1FFCDBC9"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31000</w:t>
            </w:r>
          </w:p>
        </w:tc>
      </w:tr>
      <w:tr w:rsidR="000B3697" w:rsidRPr="000B3697" w14:paraId="5E9F1D89" w14:textId="77777777" w:rsidTr="00200EC3">
        <w:trPr>
          <w:trHeight w:val="300"/>
        </w:trPr>
        <w:tc>
          <w:tcPr>
            <w:tcW w:w="6042" w:type="dxa"/>
            <w:tcBorders>
              <w:top w:val="nil"/>
              <w:left w:val="nil"/>
              <w:bottom w:val="nil"/>
              <w:right w:val="nil"/>
            </w:tcBorders>
            <w:shd w:val="clear" w:color="auto" w:fill="auto"/>
            <w:noWrap/>
            <w:vAlign w:val="bottom"/>
            <w:hideMark/>
          </w:tcPr>
          <w:p w14:paraId="071C3F46"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Administration expenses</w:t>
            </w:r>
          </w:p>
        </w:tc>
        <w:tc>
          <w:tcPr>
            <w:tcW w:w="860" w:type="dxa"/>
            <w:tcBorders>
              <w:top w:val="nil"/>
              <w:left w:val="nil"/>
              <w:bottom w:val="nil"/>
              <w:right w:val="nil"/>
            </w:tcBorders>
            <w:shd w:val="clear" w:color="auto" w:fill="auto"/>
            <w:noWrap/>
            <w:vAlign w:val="bottom"/>
            <w:hideMark/>
          </w:tcPr>
          <w:p w14:paraId="61B424B0" w14:textId="3DD46308" w:rsidR="000B3697" w:rsidRPr="000B3697" w:rsidRDefault="00200EC3" w:rsidP="006E7433">
            <w:pPr>
              <w:spacing w:after="0" w:line="240" w:lineRule="auto"/>
              <w:rPr>
                <w:rFonts w:ascii="Times New Roman" w:eastAsia="Times New Roman" w:hAnsi="Times New Roman" w:cs="Times New Roman"/>
                <w:color w:val="000000"/>
                <w:sz w:val="24"/>
                <w:szCs w:val="24"/>
                <w:lang w:val="en-GB" w:eastAsia="bg-BG"/>
              </w:rPr>
            </w:pPr>
            <w:r>
              <w:rPr>
                <w:rFonts w:ascii="Times New Roman" w:eastAsia="Times New Roman" w:hAnsi="Times New Roman" w:cs="Times New Roman"/>
                <w:color w:val="000000"/>
                <w:sz w:val="24"/>
                <w:szCs w:val="24"/>
                <w:lang w:val="en-GB" w:eastAsia="bg-BG"/>
              </w:rPr>
              <w:t>35</w:t>
            </w:r>
            <w:r w:rsidR="000B3697" w:rsidRPr="000B3697">
              <w:rPr>
                <w:rFonts w:ascii="Times New Roman" w:eastAsia="Times New Roman" w:hAnsi="Times New Roman" w:cs="Times New Roman"/>
                <w:color w:val="000000"/>
                <w:sz w:val="24"/>
                <w:szCs w:val="24"/>
                <w:lang w:val="en-GB" w:eastAsia="bg-BG"/>
              </w:rPr>
              <w:t>000</w:t>
            </w:r>
          </w:p>
        </w:tc>
        <w:tc>
          <w:tcPr>
            <w:tcW w:w="860" w:type="dxa"/>
            <w:tcBorders>
              <w:top w:val="nil"/>
              <w:left w:val="nil"/>
              <w:bottom w:val="nil"/>
              <w:right w:val="nil"/>
            </w:tcBorders>
            <w:shd w:val="clear" w:color="auto" w:fill="auto"/>
            <w:noWrap/>
            <w:vAlign w:val="bottom"/>
            <w:hideMark/>
          </w:tcPr>
          <w:p w14:paraId="56F05FFC" w14:textId="27755693" w:rsidR="000B3697" w:rsidRPr="000B3697" w:rsidRDefault="00200EC3" w:rsidP="006E7433">
            <w:pPr>
              <w:spacing w:after="0" w:line="240" w:lineRule="auto"/>
              <w:rPr>
                <w:rFonts w:ascii="Times New Roman" w:eastAsia="Times New Roman" w:hAnsi="Times New Roman" w:cs="Times New Roman"/>
                <w:color w:val="000000"/>
                <w:sz w:val="24"/>
                <w:szCs w:val="24"/>
                <w:lang w:val="en-GB" w:eastAsia="bg-BG"/>
              </w:rPr>
            </w:pPr>
            <w:r>
              <w:rPr>
                <w:rFonts w:ascii="Times New Roman" w:eastAsia="Times New Roman" w:hAnsi="Times New Roman" w:cs="Times New Roman"/>
                <w:color w:val="000000"/>
                <w:sz w:val="24"/>
                <w:szCs w:val="24"/>
                <w:lang w:val="en-GB" w:eastAsia="bg-BG"/>
              </w:rPr>
              <w:t>35</w:t>
            </w:r>
            <w:r w:rsidR="000B3697" w:rsidRPr="000B3697">
              <w:rPr>
                <w:rFonts w:ascii="Times New Roman" w:eastAsia="Times New Roman" w:hAnsi="Times New Roman" w:cs="Times New Roman"/>
                <w:color w:val="000000"/>
                <w:sz w:val="24"/>
                <w:szCs w:val="24"/>
                <w:lang w:val="en-GB" w:eastAsia="bg-BG"/>
              </w:rPr>
              <w:t>000</w:t>
            </w:r>
          </w:p>
        </w:tc>
      </w:tr>
      <w:tr w:rsidR="000B3697" w:rsidRPr="000B3697" w14:paraId="70459C7F" w14:textId="77777777" w:rsidTr="00200EC3">
        <w:trPr>
          <w:trHeight w:val="300"/>
        </w:trPr>
        <w:tc>
          <w:tcPr>
            <w:tcW w:w="6042" w:type="dxa"/>
            <w:tcBorders>
              <w:top w:val="nil"/>
              <w:left w:val="nil"/>
              <w:bottom w:val="nil"/>
              <w:right w:val="nil"/>
            </w:tcBorders>
            <w:shd w:val="clear" w:color="auto" w:fill="auto"/>
            <w:noWrap/>
            <w:vAlign w:val="bottom"/>
            <w:hideMark/>
          </w:tcPr>
          <w:p w14:paraId="193D0C8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Other income</w:t>
            </w:r>
          </w:p>
        </w:tc>
        <w:tc>
          <w:tcPr>
            <w:tcW w:w="860" w:type="dxa"/>
            <w:tcBorders>
              <w:top w:val="nil"/>
              <w:left w:val="nil"/>
              <w:bottom w:val="nil"/>
              <w:right w:val="nil"/>
            </w:tcBorders>
            <w:shd w:val="clear" w:color="auto" w:fill="auto"/>
            <w:noWrap/>
            <w:vAlign w:val="bottom"/>
            <w:hideMark/>
          </w:tcPr>
          <w:p w14:paraId="561759C2"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0</w:t>
            </w:r>
          </w:p>
        </w:tc>
        <w:tc>
          <w:tcPr>
            <w:tcW w:w="860" w:type="dxa"/>
            <w:tcBorders>
              <w:top w:val="nil"/>
              <w:left w:val="nil"/>
              <w:bottom w:val="nil"/>
              <w:right w:val="nil"/>
            </w:tcBorders>
            <w:shd w:val="clear" w:color="auto" w:fill="auto"/>
            <w:noWrap/>
            <w:vAlign w:val="bottom"/>
            <w:hideMark/>
          </w:tcPr>
          <w:p w14:paraId="58DB4DD4"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0</w:t>
            </w:r>
          </w:p>
        </w:tc>
      </w:tr>
      <w:tr w:rsidR="000B3697" w:rsidRPr="000B3697" w14:paraId="55128E5E" w14:textId="77777777" w:rsidTr="00200EC3">
        <w:trPr>
          <w:trHeight w:val="300"/>
        </w:trPr>
        <w:tc>
          <w:tcPr>
            <w:tcW w:w="6042" w:type="dxa"/>
            <w:tcBorders>
              <w:top w:val="single" w:sz="4" w:space="0" w:color="auto"/>
              <w:left w:val="nil"/>
              <w:bottom w:val="single" w:sz="4" w:space="0" w:color="auto"/>
              <w:right w:val="nil"/>
            </w:tcBorders>
            <w:shd w:val="clear" w:color="auto" w:fill="auto"/>
            <w:noWrap/>
            <w:vAlign w:val="bottom"/>
            <w:hideMark/>
          </w:tcPr>
          <w:p w14:paraId="3991B637"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OPERATING PROFIT</w:t>
            </w:r>
          </w:p>
        </w:tc>
        <w:tc>
          <w:tcPr>
            <w:tcW w:w="860" w:type="dxa"/>
            <w:tcBorders>
              <w:top w:val="single" w:sz="4" w:space="0" w:color="auto"/>
              <w:left w:val="nil"/>
              <w:bottom w:val="single" w:sz="4" w:space="0" w:color="auto"/>
              <w:right w:val="nil"/>
            </w:tcBorders>
            <w:shd w:val="clear" w:color="auto" w:fill="auto"/>
            <w:noWrap/>
            <w:vAlign w:val="bottom"/>
            <w:hideMark/>
          </w:tcPr>
          <w:p w14:paraId="26081C0C" w14:textId="3A93642A"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1</w:t>
            </w:r>
            <w:r w:rsidR="00200EC3">
              <w:rPr>
                <w:rFonts w:ascii="Times New Roman" w:eastAsia="Times New Roman" w:hAnsi="Times New Roman" w:cs="Times New Roman"/>
                <w:b/>
                <w:bCs/>
                <w:color w:val="000000"/>
                <w:sz w:val="24"/>
                <w:szCs w:val="24"/>
                <w:lang w:val="en-GB" w:eastAsia="bg-BG"/>
              </w:rPr>
              <w:t>86</w:t>
            </w:r>
            <w:r w:rsidRPr="000B3697">
              <w:rPr>
                <w:rFonts w:ascii="Times New Roman" w:eastAsia="Times New Roman" w:hAnsi="Times New Roman" w:cs="Times New Roman"/>
                <w:b/>
                <w:bCs/>
                <w:color w:val="000000"/>
                <w:sz w:val="24"/>
                <w:szCs w:val="24"/>
                <w:lang w:val="en-GB" w:eastAsia="bg-BG"/>
              </w:rPr>
              <w:t>000</w:t>
            </w:r>
          </w:p>
        </w:tc>
        <w:tc>
          <w:tcPr>
            <w:tcW w:w="860" w:type="dxa"/>
            <w:tcBorders>
              <w:top w:val="single" w:sz="4" w:space="0" w:color="auto"/>
              <w:left w:val="nil"/>
              <w:bottom w:val="single" w:sz="4" w:space="0" w:color="auto"/>
              <w:right w:val="nil"/>
            </w:tcBorders>
            <w:shd w:val="clear" w:color="auto" w:fill="auto"/>
            <w:noWrap/>
            <w:vAlign w:val="bottom"/>
            <w:hideMark/>
          </w:tcPr>
          <w:p w14:paraId="2028B774" w14:textId="6D5487FE"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1</w:t>
            </w:r>
            <w:r w:rsidR="00200EC3">
              <w:rPr>
                <w:rFonts w:ascii="Times New Roman" w:eastAsia="Times New Roman" w:hAnsi="Times New Roman" w:cs="Times New Roman"/>
                <w:b/>
                <w:bCs/>
                <w:color w:val="000000"/>
                <w:sz w:val="24"/>
                <w:szCs w:val="24"/>
                <w:lang w:val="en-GB" w:eastAsia="bg-BG"/>
              </w:rPr>
              <w:t>83000</w:t>
            </w:r>
          </w:p>
        </w:tc>
      </w:tr>
      <w:tr w:rsidR="000B3697" w:rsidRPr="000B3697" w14:paraId="7892B49E" w14:textId="77777777" w:rsidTr="00200EC3">
        <w:trPr>
          <w:trHeight w:val="300"/>
        </w:trPr>
        <w:tc>
          <w:tcPr>
            <w:tcW w:w="6042" w:type="dxa"/>
            <w:tcBorders>
              <w:top w:val="nil"/>
              <w:left w:val="nil"/>
              <w:bottom w:val="nil"/>
              <w:right w:val="nil"/>
            </w:tcBorders>
            <w:shd w:val="clear" w:color="auto" w:fill="auto"/>
            <w:noWrap/>
            <w:vAlign w:val="bottom"/>
            <w:hideMark/>
          </w:tcPr>
          <w:p w14:paraId="43EC92F3"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Income from investments</w:t>
            </w:r>
          </w:p>
        </w:tc>
        <w:tc>
          <w:tcPr>
            <w:tcW w:w="860" w:type="dxa"/>
            <w:tcBorders>
              <w:top w:val="nil"/>
              <w:left w:val="nil"/>
              <w:bottom w:val="nil"/>
              <w:right w:val="nil"/>
            </w:tcBorders>
            <w:shd w:val="clear" w:color="auto" w:fill="auto"/>
            <w:noWrap/>
            <w:vAlign w:val="bottom"/>
            <w:hideMark/>
          </w:tcPr>
          <w:p w14:paraId="65CE5635"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0</w:t>
            </w:r>
          </w:p>
        </w:tc>
        <w:tc>
          <w:tcPr>
            <w:tcW w:w="860" w:type="dxa"/>
            <w:tcBorders>
              <w:top w:val="nil"/>
              <w:left w:val="nil"/>
              <w:bottom w:val="nil"/>
              <w:right w:val="nil"/>
            </w:tcBorders>
            <w:shd w:val="clear" w:color="auto" w:fill="auto"/>
            <w:noWrap/>
            <w:vAlign w:val="bottom"/>
            <w:hideMark/>
          </w:tcPr>
          <w:p w14:paraId="37CE189B" w14:textId="77777777" w:rsidR="000B3697" w:rsidRPr="00200EC3" w:rsidRDefault="000B3697" w:rsidP="006E7433">
            <w:pPr>
              <w:spacing w:after="0" w:line="240" w:lineRule="auto"/>
              <w:rPr>
                <w:rFonts w:ascii="Times New Roman" w:eastAsia="Times New Roman" w:hAnsi="Times New Roman" w:cs="Times New Roman"/>
                <w:color w:val="000000"/>
                <w:sz w:val="24"/>
                <w:szCs w:val="24"/>
                <w:lang w:val="en-GB" w:eastAsia="bg-BG"/>
              </w:rPr>
            </w:pPr>
            <w:r w:rsidRPr="00200EC3">
              <w:rPr>
                <w:rFonts w:ascii="Times New Roman" w:eastAsia="Times New Roman" w:hAnsi="Times New Roman" w:cs="Times New Roman"/>
                <w:color w:val="000000"/>
                <w:sz w:val="24"/>
                <w:szCs w:val="24"/>
                <w:lang w:val="en-GB" w:eastAsia="bg-BG"/>
              </w:rPr>
              <w:t>0</w:t>
            </w:r>
          </w:p>
        </w:tc>
      </w:tr>
      <w:tr w:rsidR="000B3697" w:rsidRPr="000B3697" w14:paraId="26C819DC" w14:textId="77777777" w:rsidTr="00200EC3">
        <w:trPr>
          <w:trHeight w:val="300"/>
        </w:trPr>
        <w:tc>
          <w:tcPr>
            <w:tcW w:w="6042" w:type="dxa"/>
            <w:tcBorders>
              <w:top w:val="nil"/>
              <w:left w:val="nil"/>
              <w:bottom w:val="nil"/>
              <w:right w:val="nil"/>
            </w:tcBorders>
            <w:shd w:val="clear" w:color="auto" w:fill="auto"/>
            <w:noWrap/>
            <w:vAlign w:val="bottom"/>
          </w:tcPr>
          <w:p w14:paraId="2F280816"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Debentures</w:t>
            </w:r>
          </w:p>
        </w:tc>
        <w:tc>
          <w:tcPr>
            <w:tcW w:w="860" w:type="dxa"/>
            <w:tcBorders>
              <w:top w:val="nil"/>
              <w:left w:val="nil"/>
              <w:bottom w:val="nil"/>
              <w:right w:val="nil"/>
            </w:tcBorders>
            <w:shd w:val="clear" w:color="auto" w:fill="auto"/>
            <w:noWrap/>
            <w:vAlign w:val="bottom"/>
          </w:tcPr>
          <w:p w14:paraId="2DCB030B"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4000</w:t>
            </w:r>
          </w:p>
        </w:tc>
        <w:tc>
          <w:tcPr>
            <w:tcW w:w="860" w:type="dxa"/>
            <w:tcBorders>
              <w:top w:val="nil"/>
              <w:left w:val="nil"/>
              <w:bottom w:val="nil"/>
              <w:right w:val="nil"/>
            </w:tcBorders>
            <w:shd w:val="clear" w:color="auto" w:fill="auto"/>
            <w:noWrap/>
            <w:vAlign w:val="bottom"/>
          </w:tcPr>
          <w:p w14:paraId="604088A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r>
      <w:tr w:rsidR="000B3697" w:rsidRPr="000B3697" w14:paraId="4FE15BCE" w14:textId="77777777" w:rsidTr="00200EC3">
        <w:trPr>
          <w:trHeight w:val="300"/>
        </w:trPr>
        <w:tc>
          <w:tcPr>
            <w:tcW w:w="6042" w:type="dxa"/>
            <w:tcBorders>
              <w:top w:val="nil"/>
              <w:left w:val="nil"/>
              <w:bottom w:val="nil"/>
              <w:right w:val="nil"/>
            </w:tcBorders>
            <w:shd w:val="clear" w:color="auto" w:fill="auto"/>
            <w:noWrap/>
            <w:vAlign w:val="bottom"/>
            <w:hideMark/>
          </w:tcPr>
          <w:p w14:paraId="6594CB8F"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Finance costs</w:t>
            </w:r>
          </w:p>
        </w:tc>
        <w:tc>
          <w:tcPr>
            <w:tcW w:w="860" w:type="dxa"/>
            <w:tcBorders>
              <w:top w:val="nil"/>
              <w:left w:val="nil"/>
              <w:bottom w:val="nil"/>
              <w:right w:val="nil"/>
            </w:tcBorders>
            <w:shd w:val="clear" w:color="auto" w:fill="auto"/>
            <w:noWrap/>
            <w:vAlign w:val="bottom"/>
            <w:hideMark/>
          </w:tcPr>
          <w:p w14:paraId="18522776"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2000</w:t>
            </w:r>
          </w:p>
        </w:tc>
        <w:tc>
          <w:tcPr>
            <w:tcW w:w="860" w:type="dxa"/>
            <w:tcBorders>
              <w:top w:val="nil"/>
              <w:left w:val="nil"/>
              <w:bottom w:val="nil"/>
              <w:right w:val="nil"/>
            </w:tcBorders>
            <w:shd w:val="clear" w:color="auto" w:fill="auto"/>
            <w:noWrap/>
            <w:vAlign w:val="bottom"/>
            <w:hideMark/>
          </w:tcPr>
          <w:p w14:paraId="22C08CA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2000</w:t>
            </w:r>
          </w:p>
        </w:tc>
      </w:tr>
      <w:tr w:rsidR="000B3697" w:rsidRPr="000B3697" w14:paraId="4FA31577" w14:textId="77777777" w:rsidTr="00200EC3">
        <w:trPr>
          <w:trHeight w:val="300"/>
        </w:trPr>
        <w:tc>
          <w:tcPr>
            <w:tcW w:w="6042" w:type="dxa"/>
            <w:tcBorders>
              <w:top w:val="single" w:sz="4" w:space="0" w:color="auto"/>
              <w:left w:val="nil"/>
              <w:bottom w:val="single" w:sz="4" w:space="0" w:color="auto"/>
              <w:right w:val="nil"/>
            </w:tcBorders>
            <w:shd w:val="clear" w:color="auto" w:fill="auto"/>
            <w:noWrap/>
            <w:vAlign w:val="bottom"/>
            <w:hideMark/>
          </w:tcPr>
          <w:p w14:paraId="138BC5F4" w14:textId="77777777" w:rsidR="000B3697" w:rsidRPr="000B3697" w:rsidRDefault="000B3697" w:rsidP="006E7433">
            <w:pPr>
              <w:spacing w:after="0" w:line="240" w:lineRule="auto"/>
              <w:rPr>
                <w:rFonts w:ascii="Times New Roman" w:eastAsia="Times New Roman" w:hAnsi="Times New Roman" w:cs="Times New Roman"/>
                <w:b/>
                <w:bCs/>
                <w:sz w:val="24"/>
                <w:szCs w:val="24"/>
                <w:lang w:val="en-GB" w:eastAsia="bg-BG"/>
              </w:rPr>
            </w:pPr>
            <w:r w:rsidRPr="000B3697">
              <w:rPr>
                <w:rFonts w:ascii="Times New Roman" w:eastAsia="Times New Roman" w:hAnsi="Times New Roman" w:cs="Times New Roman"/>
                <w:b/>
                <w:bCs/>
                <w:sz w:val="24"/>
                <w:szCs w:val="24"/>
                <w:lang w:val="en-GB" w:eastAsia="bg-BG"/>
              </w:rPr>
              <w:t>PROFIT BEFORE TAX</w:t>
            </w:r>
          </w:p>
        </w:tc>
        <w:tc>
          <w:tcPr>
            <w:tcW w:w="860" w:type="dxa"/>
            <w:tcBorders>
              <w:top w:val="single" w:sz="4" w:space="0" w:color="auto"/>
              <w:left w:val="nil"/>
              <w:bottom w:val="single" w:sz="4" w:space="0" w:color="auto"/>
              <w:right w:val="nil"/>
            </w:tcBorders>
            <w:shd w:val="clear" w:color="auto" w:fill="auto"/>
            <w:noWrap/>
            <w:vAlign w:val="bottom"/>
            <w:hideMark/>
          </w:tcPr>
          <w:p w14:paraId="7435EC7E" w14:textId="613E6747" w:rsidR="000B3697" w:rsidRPr="000B3697" w:rsidRDefault="000B3697" w:rsidP="006E7433">
            <w:pPr>
              <w:spacing w:after="0" w:line="240" w:lineRule="auto"/>
              <w:rPr>
                <w:rFonts w:ascii="Times New Roman" w:eastAsia="Times New Roman" w:hAnsi="Times New Roman" w:cs="Times New Roman"/>
                <w:b/>
                <w:bCs/>
                <w:sz w:val="24"/>
                <w:szCs w:val="24"/>
                <w:lang w:val="en-GB" w:eastAsia="bg-BG"/>
              </w:rPr>
            </w:pPr>
            <w:r w:rsidRPr="000B3697">
              <w:rPr>
                <w:rFonts w:ascii="Times New Roman" w:eastAsia="Times New Roman" w:hAnsi="Times New Roman" w:cs="Times New Roman"/>
                <w:b/>
                <w:bCs/>
                <w:sz w:val="24"/>
                <w:szCs w:val="24"/>
                <w:lang w:val="en-GB" w:eastAsia="bg-BG"/>
              </w:rPr>
              <w:t>1</w:t>
            </w:r>
            <w:r w:rsidR="00200EC3">
              <w:rPr>
                <w:rFonts w:ascii="Times New Roman" w:eastAsia="Times New Roman" w:hAnsi="Times New Roman" w:cs="Times New Roman"/>
                <w:b/>
                <w:bCs/>
                <w:sz w:val="24"/>
                <w:szCs w:val="24"/>
                <w:lang w:val="en-GB" w:eastAsia="bg-BG"/>
              </w:rPr>
              <w:t>80</w:t>
            </w:r>
            <w:r w:rsidRPr="000B3697">
              <w:rPr>
                <w:rFonts w:ascii="Times New Roman" w:eastAsia="Times New Roman" w:hAnsi="Times New Roman" w:cs="Times New Roman"/>
                <w:b/>
                <w:bCs/>
                <w:sz w:val="24"/>
                <w:szCs w:val="24"/>
                <w:lang w:val="en-GB" w:eastAsia="bg-BG"/>
              </w:rPr>
              <w:t>000</w:t>
            </w:r>
          </w:p>
        </w:tc>
        <w:tc>
          <w:tcPr>
            <w:tcW w:w="860" w:type="dxa"/>
            <w:tcBorders>
              <w:top w:val="single" w:sz="4" w:space="0" w:color="auto"/>
              <w:left w:val="nil"/>
              <w:bottom w:val="single" w:sz="4" w:space="0" w:color="auto"/>
              <w:right w:val="nil"/>
            </w:tcBorders>
            <w:shd w:val="clear" w:color="auto" w:fill="auto"/>
            <w:noWrap/>
            <w:vAlign w:val="bottom"/>
            <w:hideMark/>
          </w:tcPr>
          <w:p w14:paraId="53BE8938" w14:textId="0653ED0E" w:rsidR="000B3697" w:rsidRPr="000B3697" w:rsidRDefault="000B3697" w:rsidP="006E7433">
            <w:pPr>
              <w:spacing w:after="0" w:line="240" w:lineRule="auto"/>
              <w:rPr>
                <w:rFonts w:ascii="Times New Roman" w:eastAsia="Times New Roman" w:hAnsi="Times New Roman" w:cs="Times New Roman"/>
                <w:b/>
                <w:bCs/>
                <w:sz w:val="24"/>
                <w:szCs w:val="24"/>
                <w:lang w:val="en-GB" w:eastAsia="bg-BG"/>
              </w:rPr>
            </w:pPr>
            <w:r w:rsidRPr="000B3697">
              <w:rPr>
                <w:rFonts w:ascii="Times New Roman" w:eastAsia="Times New Roman" w:hAnsi="Times New Roman" w:cs="Times New Roman"/>
                <w:b/>
                <w:bCs/>
                <w:sz w:val="24"/>
                <w:szCs w:val="24"/>
                <w:lang w:val="en-GB" w:eastAsia="bg-BG"/>
              </w:rPr>
              <w:t>1</w:t>
            </w:r>
            <w:r w:rsidR="00200EC3">
              <w:rPr>
                <w:rFonts w:ascii="Times New Roman" w:eastAsia="Times New Roman" w:hAnsi="Times New Roman" w:cs="Times New Roman"/>
                <w:b/>
                <w:bCs/>
                <w:sz w:val="24"/>
                <w:szCs w:val="24"/>
                <w:lang w:val="en-GB" w:eastAsia="bg-BG"/>
              </w:rPr>
              <w:t>81000</w:t>
            </w:r>
          </w:p>
        </w:tc>
      </w:tr>
      <w:tr w:rsidR="000B3697" w:rsidRPr="000B3697" w14:paraId="715F171A" w14:textId="77777777" w:rsidTr="00200EC3">
        <w:trPr>
          <w:trHeight w:val="300"/>
        </w:trPr>
        <w:tc>
          <w:tcPr>
            <w:tcW w:w="6042" w:type="dxa"/>
            <w:tcBorders>
              <w:top w:val="nil"/>
              <w:left w:val="nil"/>
              <w:bottom w:val="nil"/>
              <w:right w:val="nil"/>
            </w:tcBorders>
            <w:shd w:val="clear" w:color="auto" w:fill="auto"/>
            <w:noWrap/>
            <w:vAlign w:val="bottom"/>
            <w:hideMark/>
          </w:tcPr>
          <w:p w14:paraId="3E7B5431"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Taxation</w:t>
            </w:r>
          </w:p>
        </w:tc>
        <w:tc>
          <w:tcPr>
            <w:tcW w:w="860" w:type="dxa"/>
            <w:tcBorders>
              <w:top w:val="nil"/>
              <w:left w:val="nil"/>
              <w:bottom w:val="nil"/>
              <w:right w:val="nil"/>
            </w:tcBorders>
            <w:shd w:val="clear" w:color="auto" w:fill="auto"/>
            <w:noWrap/>
            <w:vAlign w:val="bottom"/>
            <w:hideMark/>
          </w:tcPr>
          <w:p w14:paraId="1C59AD1A"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68000</w:t>
            </w:r>
          </w:p>
        </w:tc>
        <w:tc>
          <w:tcPr>
            <w:tcW w:w="860" w:type="dxa"/>
            <w:tcBorders>
              <w:top w:val="nil"/>
              <w:left w:val="nil"/>
              <w:bottom w:val="nil"/>
              <w:right w:val="nil"/>
            </w:tcBorders>
            <w:shd w:val="clear" w:color="auto" w:fill="auto"/>
            <w:noWrap/>
            <w:vAlign w:val="bottom"/>
            <w:hideMark/>
          </w:tcPr>
          <w:p w14:paraId="375274F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68000</w:t>
            </w:r>
          </w:p>
        </w:tc>
      </w:tr>
      <w:tr w:rsidR="000B3697" w:rsidRPr="000B3697" w14:paraId="6FAE476F" w14:textId="77777777" w:rsidTr="00200EC3">
        <w:trPr>
          <w:trHeight w:val="300"/>
        </w:trPr>
        <w:tc>
          <w:tcPr>
            <w:tcW w:w="6042" w:type="dxa"/>
            <w:tcBorders>
              <w:top w:val="single" w:sz="4" w:space="0" w:color="auto"/>
              <w:left w:val="nil"/>
              <w:bottom w:val="single" w:sz="4" w:space="0" w:color="auto"/>
              <w:right w:val="nil"/>
            </w:tcBorders>
            <w:shd w:val="clear" w:color="auto" w:fill="auto"/>
            <w:noWrap/>
            <w:vAlign w:val="bottom"/>
            <w:hideMark/>
          </w:tcPr>
          <w:p w14:paraId="680630B0"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PROFIT FOR THE PERIOD (Net profit)</w:t>
            </w:r>
          </w:p>
        </w:tc>
        <w:tc>
          <w:tcPr>
            <w:tcW w:w="860" w:type="dxa"/>
            <w:tcBorders>
              <w:top w:val="single" w:sz="4" w:space="0" w:color="auto"/>
              <w:left w:val="nil"/>
              <w:bottom w:val="single" w:sz="4" w:space="0" w:color="auto"/>
              <w:right w:val="nil"/>
            </w:tcBorders>
            <w:shd w:val="clear" w:color="auto" w:fill="auto"/>
            <w:noWrap/>
            <w:vAlign w:val="bottom"/>
            <w:hideMark/>
          </w:tcPr>
          <w:p w14:paraId="5086ADAC" w14:textId="59FC8976" w:rsidR="000B3697" w:rsidRPr="000B3697" w:rsidRDefault="00200EC3" w:rsidP="006E7433">
            <w:pPr>
              <w:spacing w:after="0" w:line="240" w:lineRule="auto"/>
              <w:rPr>
                <w:rFonts w:ascii="Times New Roman" w:eastAsia="Times New Roman" w:hAnsi="Times New Roman" w:cs="Times New Roman"/>
                <w:b/>
                <w:bCs/>
                <w:color w:val="000000"/>
                <w:sz w:val="24"/>
                <w:szCs w:val="24"/>
                <w:lang w:val="en-GB" w:eastAsia="bg-BG"/>
              </w:rPr>
            </w:pPr>
            <w:r>
              <w:rPr>
                <w:rFonts w:ascii="Times New Roman" w:eastAsia="Times New Roman" w:hAnsi="Times New Roman" w:cs="Times New Roman"/>
                <w:b/>
                <w:bCs/>
                <w:color w:val="000000"/>
                <w:sz w:val="24"/>
                <w:szCs w:val="24"/>
                <w:lang w:val="en-GB" w:eastAsia="bg-BG"/>
              </w:rPr>
              <w:t>112000</w:t>
            </w:r>
          </w:p>
        </w:tc>
        <w:tc>
          <w:tcPr>
            <w:tcW w:w="860" w:type="dxa"/>
            <w:tcBorders>
              <w:top w:val="single" w:sz="4" w:space="0" w:color="auto"/>
              <w:left w:val="nil"/>
              <w:bottom w:val="single" w:sz="4" w:space="0" w:color="auto"/>
              <w:right w:val="nil"/>
            </w:tcBorders>
            <w:shd w:val="clear" w:color="auto" w:fill="auto"/>
            <w:noWrap/>
            <w:vAlign w:val="bottom"/>
            <w:hideMark/>
          </w:tcPr>
          <w:p w14:paraId="59C1823D" w14:textId="23D46357" w:rsidR="000B3697" w:rsidRPr="000B3697" w:rsidRDefault="00200EC3" w:rsidP="006E7433">
            <w:pPr>
              <w:spacing w:after="0" w:line="240" w:lineRule="auto"/>
              <w:rPr>
                <w:rFonts w:ascii="Times New Roman" w:eastAsia="Times New Roman" w:hAnsi="Times New Roman" w:cs="Times New Roman"/>
                <w:b/>
                <w:bCs/>
                <w:color w:val="000000"/>
                <w:sz w:val="24"/>
                <w:szCs w:val="24"/>
                <w:lang w:val="en-GB" w:eastAsia="bg-BG"/>
              </w:rPr>
            </w:pPr>
            <w:r>
              <w:rPr>
                <w:rFonts w:ascii="Times New Roman" w:eastAsia="Times New Roman" w:hAnsi="Times New Roman" w:cs="Times New Roman"/>
                <w:b/>
                <w:bCs/>
                <w:color w:val="000000"/>
                <w:sz w:val="24"/>
                <w:szCs w:val="24"/>
                <w:lang w:val="en-GB" w:eastAsia="bg-BG"/>
              </w:rPr>
              <w:t>113000</w:t>
            </w:r>
          </w:p>
        </w:tc>
      </w:tr>
    </w:tbl>
    <w:p w14:paraId="299FBA5A" w14:textId="77777777" w:rsidR="000B3697" w:rsidRPr="000B3697" w:rsidRDefault="000B3697" w:rsidP="006E7433">
      <w:pPr>
        <w:rPr>
          <w:rFonts w:ascii="Times New Roman" w:hAnsi="Times New Roman" w:cs="Times New Roman"/>
          <w:sz w:val="24"/>
          <w:szCs w:val="24"/>
          <w:lang w:val="en-GB"/>
        </w:rPr>
      </w:pPr>
    </w:p>
    <w:tbl>
      <w:tblPr>
        <w:tblW w:w="9776" w:type="dxa"/>
        <w:tblInd w:w="55" w:type="dxa"/>
        <w:tblCellMar>
          <w:left w:w="70" w:type="dxa"/>
          <w:right w:w="70" w:type="dxa"/>
        </w:tblCellMar>
        <w:tblLook w:val="04A0" w:firstRow="1" w:lastRow="0" w:firstColumn="1" w:lastColumn="0" w:noHBand="0" w:noVBand="1"/>
      </w:tblPr>
      <w:tblGrid>
        <w:gridCol w:w="2709"/>
        <w:gridCol w:w="980"/>
        <w:gridCol w:w="980"/>
        <w:gridCol w:w="3021"/>
        <w:gridCol w:w="1136"/>
        <w:gridCol w:w="980"/>
      </w:tblGrid>
      <w:tr w:rsidR="000B3697" w:rsidRPr="000B3697" w14:paraId="3B8554B6" w14:textId="77777777" w:rsidTr="00474E6F">
        <w:trPr>
          <w:trHeight w:val="315"/>
        </w:trPr>
        <w:tc>
          <w:tcPr>
            <w:tcW w:w="9776"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FBCDD5E"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BALANCE SHEET AS AT 31/12/2018</w:t>
            </w:r>
          </w:p>
        </w:tc>
      </w:tr>
      <w:tr w:rsidR="000B3697" w:rsidRPr="000B3697" w14:paraId="53B09ADD" w14:textId="77777777" w:rsidTr="00474E6F">
        <w:trPr>
          <w:trHeight w:val="300"/>
        </w:trPr>
        <w:tc>
          <w:tcPr>
            <w:tcW w:w="2709" w:type="dxa"/>
            <w:tcBorders>
              <w:top w:val="nil"/>
              <w:left w:val="nil"/>
              <w:bottom w:val="nil"/>
              <w:right w:val="nil"/>
            </w:tcBorders>
            <w:shd w:val="clear" w:color="auto" w:fill="auto"/>
            <w:noWrap/>
            <w:vAlign w:val="bottom"/>
            <w:hideMark/>
          </w:tcPr>
          <w:p w14:paraId="050FA3CF"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440BFFEF"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Credit</w:t>
            </w:r>
          </w:p>
        </w:tc>
        <w:tc>
          <w:tcPr>
            <w:tcW w:w="970" w:type="dxa"/>
            <w:tcBorders>
              <w:top w:val="nil"/>
              <w:left w:val="nil"/>
              <w:bottom w:val="nil"/>
              <w:right w:val="nil"/>
            </w:tcBorders>
            <w:shd w:val="clear" w:color="auto" w:fill="auto"/>
            <w:noWrap/>
            <w:vAlign w:val="bottom"/>
            <w:hideMark/>
          </w:tcPr>
          <w:p w14:paraId="1B665575"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Debit</w:t>
            </w:r>
          </w:p>
        </w:tc>
        <w:tc>
          <w:tcPr>
            <w:tcW w:w="3021" w:type="dxa"/>
            <w:tcBorders>
              <w:top w:val="nil"/>
              <w:left w:val="single" w:sz="8" w:space="0" w:color="auto"/>
              <w:bottom w:val="nil"/>
              <w:right w:val="nil"/>
            </w:tcBorders>
            <w:shd w:val="clear" w:color="auto" w:fill="auto"/>
            <w:noWrap/>
            <w:vAlign w:val="bottom"/>
            <w:hideMark/>
          </w:tcPr>
          <w:p w14:paraId="3FE936FB"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w:t>
            </w:r>
          </w:p>
        </w:tc>
        <w:tc>
          <w:tcPr>
            <w:tcW w:w="1136" w:type="dxa"/>
            <w:tcBorders>
              <w:top w:val="nil"/>
              <w:left w:val="nil"/>
              <w:bottom w:val="nil"/>
              <w:right w:val="nil"/>
            </w:tcBorders>
            <w:shd w:val="clear" w:color="auto" w:fill="auto"/>
            <w:noWrap/>
            <w:vAlign w:val="bottom"/>
            <w:hideMark/>
          </w:tcPr>
          <w:p w14:paraId="70EF0DFA"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Credit</w:t>
            </w:r>
          </w:p>
        </w:tc>
        <w:tc>
          <w:tcPr>
            <w:tcW w:w="970" w:type="dxa"/>
            <w:tcBorders>
              <w:top w:val="nil"/>
              <w:left w:val="nil"/>
              <w:bottom w:val="nil"/>
              <w:right w:val="nil"/>
            </w:tcBorders>
            <w:shd w:val="clear" w:color="auto" w:fill="auto"/>
            <w:noWrap/>
            <w:vAlign w:val="bottom"/>
            <w:hideMark/>
          </w:tcPr>
          <w:p w14:paraId="1DF82503"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Debit</w:t>
            </w:r>
          </w:p>
        </w:tc>
      </w:tr>
      <w:tr w:rsidR="000B3697" w:rsidRPr="000B3697" w14:paraId="1E69D3A9" w14:textId="77777777" w:rsidTr="00474E6F">
        <w:trPr>
          <w:trHeight w:val="300"/>
        </w:trPr>
        <w:tc>
          <w:tcPr>
            <w:tcW w:w="2709" w:type="dxa"/>
            <w:tcBorders>
              <w:top w:val="single" w:sz="4" w:space="0" w:color="auto"/>
              <w:left w:val="single" w:sz="4" w:space="0" w:color="auto"/>
              <w:bottom w:val="single" w:sz="4" w:space="0" w:color="auto"/>
              <w:right w:val="nil"/>
            </w:tcBorders>
            <w:shd w:val="clear" w:color="auto" w:fill="auto"/>
            <w:noWrap/>
            <w:vAlign w:val="bottom"/>
            <w:hideMark/>
          </w:tcPr>
          <w:p w14:paraId="3931E1A8"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ASSETS</w:t>
            </w:r>
          </w:p>
        </w:tc>
        <w:tc>
          <w:tcPr>
            <w:tcW w:w="970" w:type="dxa"/>
            <w:tcBorders>
              <w:top w:val="single" w:sz="4" w:space="0" w:color="auto"/>
              <w:left w:val="nil"/>
              <w:bottom w:val="single" w:sz="4" w:space="0" w:color="auto"/>
              <w:right w:val="nil"/>
            </w:tcBorders>
            <w:shd w:val="clear" w:color="auto" w:fill="auto"/>
            <w:noWrap/>
            <w:vAlign w:val="bottom"/>
            <w:hideMark/>
          </w:tcPr>
          <w:p w14:paraId="49AACDE9"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1146355</w:t>
            </w:r>
          </w:p>
        </w:tc>
        <w:tc>
          <w:tcPr>
            <w:tcW w:w="970" w:type="dxa"/>
            <w:tcBorders>
              <w:top w:val="single" w:sz="4" w:space="0" w:color="auto"/>
              <w:left w:val="nil"/>
              <w:bottom w:val="single" w:sz="4" w:space="0" w:color="auto"/>
              <w:right w:val="nil"/>
            </w:tcBorders>
            <w:shd w:val="clear" w:color="auto" w:fill="auto"/>
            <w:noWrap/>
            <w:vAlign w:val="bottom"/>
            <w:hideMark/>
          </w:tcPr>
          <w:p w14:paraId="38AA425B"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1147335</w:t>
            </w:r>
          </w:p>
        </w:tc>
        <w:tc>
          <w:tcPr>
            <w:tcW w:w="3021" w:type="dxa"/>
            <w:tcBorders>
              <w:top w:val="single" w:sz="4" w:space="0" w:color="auto"/>
              <w:left w:val="single" w:sz="8" w:space="0" w:color="auto"/>
              <w:bottom w:val="single" w:sz="4" w:space="0" w:color="auto"/>
              <w:right w:val="nil"/>
            </w:tcBorders>
            <w:shd w:val="clear" w:color="auto" w:fill="auto"/>
            <w:noWrap/>
            <w:vAlign w:val="bottom"/>
            <w:hideMark/>
          </w:tcPr>
          <w:p w14:paraId="76C0674F"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LIABILITIES &amp; SHAREHOLDER'S EQUITY</w:t>
            </w:r>
          </w:p>
        </w:tc>
        <w:tc>
          <w:tcPr>
            <w:tcW w:w="1136" w:type="dxa"/>
            <w:tcBorders>
              <w:top w:val="single" w:sz="4" w:space="0" w:color="auto"/>
              <w:left w:val="nil"/>
              <w:bottom w:val="single" w:sz="4" w:space="0" w:color="auto"/>
              <w:right w:val="nil"/>
            </w:tcBorders>
            <w:shd w:val="clear" w:color="auto" w:fill="auto"/>
            <w:noWrap/>
            <w:vAlign w:val="bottom"/>
            <w:hideMark/>
          </w:tcPr>
          <w:p w14:paraId="4E484220"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1146355</w:t>
            </w:r>
          </w:p>
        </w:tc>
        <w:tc>
          <w:tcPr>
            <w:tcW w:w="970" w:type="dxa"/>
            <w:tcBorders>
              <w:top w:val="single" w:sz="4" w:space="0" w:color="auto"/>
              <w:left w:val="nil"/>
              <w:bottom w:val="single" w:sz="4" w:space="0" w:color="auto"/>
              <w:right w:val="single" w:sz="4" w:space="0" w:color="auto"/>
            </w:tcBorders>
            <w:shd w:val="clear" w:color="auto" w:fill="auto"/>
            <w:noWrap/>
            <w:vAlign w:val="bottom"/>
            <w:hideMark/>
          </w:tcPr>
          <w:p w14:paraId="451DAC5A" w14:textId="77777777" w:rsidR="000B3697" w:rsidRPr="000B3697" w:rsidRDefault="000B3697" w:rsidP="006E7433">
            <w:pPr>
              <w:spacing w:after="0" w:line="240" w:lineRule="auto"/>
              <w:rPr>
                <w:rFonts w:ascii="Times New Roman" w:eastAsia="Times New Roman" w:hAnsi="Times New Roman" w:cs="Times New Roman"/>
                <w:b/>
                <w:bCs/>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1147335</w:t>
            </w:r>
          </w:p>
        </w:tc>
      </w:tr>
      <w:tr w:rsidR="000B3697" w:rsidRPr="000B3697" w14:paraId="1C01DB7E" w14:textId="77777777" w:rsidTr="00474E6F">
        <w:trPr>
          <w:trHeight w:val="300"/>
        </w:trPr>
        <w:tc>
          <w:tcPr>
            <w:tcW w:w="2709" w:type="dxa"/>
            <w:tcBorders>
              <w:top w:val="nil"/>
              <w:left w:val="nil"/>
              <w:bottom w:val="nil"/>
              <w:right w:val="nil"/>
            </w:tcBorders>
            <w:shd w:val="clear" w:color="auto" w:fill="auto"/>
            <w:noWrap/>
            <w:vAlign w:val="bottom"/>
            <w:hideMark/>
          </w:tcPr>
          <w:p w14:paraId="5CE9C180"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Non-current assets</w:t>
            </w:r>
          </w:p>
        </w:tc>
        <w:tc>
          <w:tcPr>
            <w:tcW w:w="970" w:type="dxa"/>
            <w:tcBorders>
              <w:top w:val="nil"/>
              <w:left w:val="nil"/>
              <w:bottom w:val="nil"/>
              <w:right w:val="nil"/>
            </w:tcBorders>
            <w:shd w:val="clear" w:color="auto" w:fill="auto"/>
            <w:noWrap/>
            <w:vAlign w:val="bottom"/>
            <w:hideMark/>
          </w:tcPr>
          <w:p w14:paraId="0EB133C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3F1D1351"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3021" w:type="dxa"/>
            <w:tcBorders>
              <w:top w:val="nil"/>
              <w:left w:val="single" w:sz="8" w:space="0" w:color="auto"/>
              <w:bottom w:val="nil"/>
              <w:right w:val="nil"/>
            </w:tcBorders>
            <w:shd w:val="clear" w:color="auto" w:fill="auto"/>
            <w:noWrap/>
            <w:vAlign w:val="bottom"/>
            <w:hideMark/>
          </w:tcPr>
          <w:p w14:paraId="597AEE14"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Current liabilities</w:t>
            </w:r>
          </w:p>
        </w:tc>
        <w:tc>
          <w:tcPr>
            <w:tcW w:w="1136" w:type="dxa"/>
            <w:tcBorders>
              <w:top w:val="nil"/>
              <w:left w:val="nil"/>
              <w:bottom w:val="nil"/>
              <w:right w:val="nil"/>
            </w:tcBorders>
            <w:shd w:val="clear" w:color="auto" w:fill="auto"/>
            <w:noWrap/>
            <w:vAlign w:val="bottom"/>
            <w:hideMark/>
          </w:tcPr>
          <w:p w14:paraId="5C0C656F"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171355</w:t>
            </w:r>
          </w:p>
        </w:tc>
        <w:tc>
          <w:tcPr>
            <w:tcW w:w="970" w:type="dxa"/>
            <w:tcBorders>
              <w:top w:val="nil"/>
              <w:left w:val="nil"/>
              <w:bottom w:val="nil"/>
              <w:right w:val="nil"/>
            </w:tcBorders>
            <w:shd w:val="clear" w:color="auto" w:fill="auto"/>
            <w:noWrap/>
            <w:vAlign w:val="bottom"/>
            <w:hideMark/>
          </w:tcPr>
          <w:p w14:paraId="629C29F1"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174355</w:t>
            </w:r>
          </w:p>
        </w:tc>
      </w:tr>
      <w:tr w:rsidR="000B3697" w:rsidRPr="000B3697" w14:paraId="6A5E029B" w14:textId="77777777" w:rsidTr="00474E6F">
        <w:trPr>
          <w:trHeight w:val="300"/>
        </w:trPr>
        <w:tc>
          <w:tcPr>
            <w:tcW w:w="2709" w:type="dxa"/>
            <w:tcBorders>
              <w:top w:val="nil"/>
              <w:left w:val="nil"/>
              <w:bottom w:val="nil"/>
              <w:right w:val="nil"/>
            </w:tcBorders>
            <w:shd w:val="clear" w:color="auto" w:fill="auto"/>
            <w:noWrap/>
            <w:vAlign w:val="bottom"/>
            <w:hideMark/>
          </w:tcPr>
          <w:p w14:paraId="0E4E3B8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Property, plants, equipment</w:t>
            </w:r>
          </w:p>
        </w:tc>
        <w:tc>
          <w:tcPr>
            <w:tcW w:w="970" w:type="dxa"/>
            <w:tcBorders>
              <w:top w:val="nil"/>
              <w:left w:val="nil"/>
              <w:bottom w:val="nil"/>
              <w:right w:val="nil"/>
            </w:tcBorders>
            <w:shd w:val="clear" w:color="auto" w:fill="auto"/>
            <w:noWrap/>
            <w:vAlign w:val="bottom"/>
            <w:hideMark/>
          </w:tcPr>
          <w:p w14:paraId="6A4F74B3"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632730</w:t>
            </w:r>
          </w:p>
        </w:tc>
        <w:tc>
          <w:tcPr>
            <w:tcW w:w="970" w:type="dxa"/>
            <w:tcBorders>
              <w:top w:val="nil"/>
              <w:left w:val="nil"/>
              <w:bottom w:val="nil"/>
              <w:right w:val="nil"/>
            </w:tcBorders>
            <w:shd w:val="clear" w:color="auto" w:fill="auto"/>
            <w:noWrap/>
            <w:vAlign w:val="bottom"/>
            <w:hideMark/>
          </w:tcPr>
          <w:p w14:paraId="053CE720"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632730</w:t>
            </w:r>
          </w:p>
        </w:tc>
        <w:tc>
          <w:tcPr>
            <w:tcW w:w="3021" w:type="dxa"/>
            <w:tcBorders>
              <w:top w:val="nil"/>
              <w:left w:val="single" w:sz="8" w:space="0" w:color="auto"/>
              <w:bottom w:val="nil"/>
              <w:right w:val="nil"/>
            </w:tcBorders>
            <w:shd w:val="clear" w:color="auto" w:fill="auto"/>
            <w:noWrap/>
            <w:vAlign w:val="bottom"/>
            <w:hideMark/>
          </w:tcPr>
          <w:p w14:paraId="0C7B5FEA"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Non-current liabilities</w:t>
            </w:r>
          </w:p>
        </w:tc>
        <w:tc>
          <w:tcPr>
            <w:tcW w:w="1136" w:type="dxa"/>
            <w:tcBorders>
              <w:top w:val="nil"/>
              <w:left w:val="nil"/>
              <w:bottom w:val="nil"/>
              <w:right w:val="nil"/>
            </w:tcBorders>
            <w:shd w:val="clear" w:color="auto" w:fill="auto"/>
            <w:noWrap/>
            <w:vAlign w:val="bottom"/>
            <w:hideMark/>
          </w:tcPr>
          <w:p w14:paraId="741B4AB4"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100000</w:t>
            </w:r>
          </w:p>
        </w:tc>
        <w:tc>
          <w:tcPr>
            <w:tcW w:w="970" w:type="dxa"/>
            <w:tcBorders>
              <w:top w:val="nil"/>
              <w:left w:val="nil"/>
              <w:bottom w:val="nil"/>
              <w:right w:val="nil"/>
            </w:tcBorders>
            <w:shd w:val="clear" w:color="auto" w:fill="auto"/>
            <w:noWrap/>
            <w:vAlign w:val="bottom"/>
            <w:hideMark/>
          </w:tcPr>
          <w:p w14:paraId="560DCC28"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100000</w:t>
            </w:r>
          </w:p>
        </w:tc>
      </w:tr>
      <w:tr w:rsidR="000B3697" w:rsidRPr="000B3697" w14:paraId="2E30E197" w14:textId="77777777" w:rsidTr="00474E6F">
        <w:trPr>
          <w:trHeight w:val="300"/>
        </w:trPr>
        <w:tc>
          <w:tcPr>
            <w:tcW w:w="2709" w:type="dxa"/>
            <w:tcBorders>
              <w:top w:val="nil"/>
              <w:left w:val="nil"/>
              <w:bottom w:val="nil"/>
              <w:right w:val="nil"/>
            </w:tcBorders>
            <w:shd w:val="clear" w:color="auto" w:fill="auto"/>
            <w:noWrap/>
            <w:vAlign w:val="bottom"/>
            <w:hideMark/>
          </w:tcPr>
          <w:p w14:paraId="3396D99D"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Intangible assets</w:t>
            </w:r>
          </w:p>
        </w:tc>
        <w:tc>
          <w:tcPr>
            <w:tcW w:w="970" w:type="dxa"/>
            <w:tcBorders>
              <w:top w:val="nil"/>
              <w:left w:val="nil"/>
              <w:bottom w:val="nil"/>
              <w:right w:val="nil"/>
            </w:tcBorders>
            <w:shd w:val="clear" w:color="auto" w:fill="auto"/>
            <w:noWrap/>
            <w:vAlign w:val="bottom"/>
            <w:hideMark/>
          </w:tcPr>
          <w:p w14:paraId="3D2725B1"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0</w:t>
            </w:r>
          </w:p>
        </w:tc>
        <w:tc>
          <w:tcPr>
            <w:tcW w:w="970" w:type="dxa"/>
            <w:tcBorders>
              <w:top w:val="nil"/>
              <w:left w:val="nil"/>
              <w:bottom w:val="nil"/>
              <w:right w:val="nil"/>
            </w:tcBorders>
            <w:shd w:val="clear" w:color="auto" w:fill="auto"/>
            <w:noWrap/>
            <w:vAlign w:val="bottom"/>
            <w:hideMark/>
          </w:tcPr>
          <w:p w14:paraId="21DDBFF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0</w:t>
            </w:r>
          </w:p>
        </w:tc>
        <w:tc>
          <w:tcPr>
            <w:tcW w:w="3021" w:type="dxa"/>
            <w:tcBorders>
              <w:top w:val="nil"/>
              <w:left w:val="single" w:sz="8" w:space="0" w:color="auto"/>
              <w:bottom w:val="nil"/>
              <w:right w:val="nil"/>
            </w:tcBorders>
            <w:shd w:val="clear" w:color="auto" w:fill="auto"/>
            <w:noWrap/>
            <w:vAlign w:val="bottom"/>
            <w:hideMark/>
          </w:tcPr>
          <w:p w14:paraId="531AE15D"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w:t>
            </w:r>
          </w:p>
        </w:tc>
        <w:tc>
          <w:tcPr>
            <w:tcW w:w="1136" w:type="dxa"/>
            <w:tcBorders>
              <w:top w:val="nil"/>
              <w:left w:val="nil"/>
              <w:bottom w:val="nil"/>
              <w:right w:val="nil"/>
            </w:tcBorders>
            <w:shd w:val="clear" w:color="auto" w:fill="auto"/>
            <w:noWrap/>
            <w:vAlign w:val="bottom"/>
            <w:hideMark/>
          </w:tcPr>
          <w:p w14:paraId="49449D2D"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684EB2D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r>
      <w:tr w:rsidR="000B3697" w:rsidRPr="000B3697" w14:paraId="321ECC1A" w14:textId="77777777" w:rsidTr="00474E6F">
        <w:trPr>
          <w:trHeight w:val="300"/>
        </w:trPr>
        <w:tc>
          <w:tcPr>
            <w:tcW w:w="2709" w:type="dxa"/>
            <w:tcBorders>
              <w:top w:val="nil"/>
              <w:left w:val="nil"/>
              <w:bottom w:val="nil"/>
              <w:right w:val="nil"/>
            </w:tcBorders>
            <w:shd w:val="clear" w:color="auto" w:fill="auto"/>
            <w:noWrap/>
            <w:vAlign w:val="bottom"/>
            <w:hideMark/>
          </w:tcPr>
          <w:p w14:paraId="244B29C3"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Total of Non-current assets</w:t>
            </w:r>
          </w:p>
        </w:tc>
        <w:tc>
          <w:tcPr>
            <w:tcW w:w="970" w:type="dxa"/>
            <w:tcBorders>
              <w:top w:val="nil"/>
              <w:left w:val="nil"/>
              <w:bottom w:val="nil"/>
              <w:right w:val="nil"/>
            </w:tcBorders>
            <w:shd w:val="clear" w:color="auto" w:fill="auto"/>
            <w:noWrap/>
            <w:vAlign w:val="bottom"/>
            <w:hideMark/>
          </w:tcPr>
          <w:p w14:paraId="728DD163"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632730</w:t>
            </w:r>
          </w:p>
        </w:tc>
        <w:tc>
          <w:tcPr>
            <w:tcW w:w="970" w:type="dxa"/>
            <w:tcBorders>
              <w:top w:val="nil"/>
              <w:left w:val="nil"/>
              <w:bottom w:val="nil"/>
              <w:right w:val="nil"/>
            </w:tcBorders>
            <w:shd w:val="clear" w:color="auto" w:fill="auto"/>
            <w:noWrap/>
            <w:vAlign w:val="bottom"/>
            <w:hideMark/>
          </w:tcPr>
          <w:p w14:paraId="45A6C1F8"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632730</w:t>
            </w:r>
          </w:p>
        </w:tc>
        <w:tc>
          <w:tcPr>
            <w:tcW w:w="3021" w:type="dxa"/>
            <w:tcBorders>
              <w:top w:val="nil"/>
              <w:left w:val="single" w:sz="8" w:space="0" w:color="auto"/>
              <w:bottom w:val="nil"/>
              <w:right w:val="nil"/>
            </w:tcBorders>
            <w:shd w:val="clear" w:color="auto" w:fill="auto"/>
            <w:noWrap/>
            <w:vAlign w:val="bottom"/>
            <w:hideMark/>
          </w:tcPr>
          <w:p w14:paraId="296C1C70"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LIABILITIES</w:t>
            </w:r>
          </w:p>
        </w:tc>
        <w:tc>
          <w:tcPr>
            <w:tcW w:w="1136" w:type="dxa"/>
            <w:tcBorders>
              <w:top w:val="nil"/>
              <w:left w:val="nil"/>
              <w:bottom w:val="nil"/>
              <w:right w:val="nil"/>
            </w:tcBorders>
            <w:shd w:val="clear" w:color="auto" w:fill="auto"/>
            <w:noWrap/>
            <w:vAlign w:val="bottom"/>
            <w:hideMark/>
          </w:tcPr>
          <w:p w14:paraId="338BCA42"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271355</w:t>
            </w:r>
          </w:p>
        </w:tc>
        <w:tc>
          <w:tcPr>
            <w:tcW w:w="970" w:type="dxa"/>
            <w:tcBorders>
              <w:top w:val="nil"/>
              <w:left w:val="nil"/>
              <w:bottom w:val="nil"/>
              <w:right w:val="nil"/>
            </w:tcBorders>
            <w:shd w:val="clear" w:color="auto" w:fill="auto"/>
            <w:noWrap/>
            <w:vAlign w:val="bottom"/>
            <w:hideMark/>
          </w:tcPr>
          <w:p w14:paraId="14DB0A17"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274355</w:t>
            </w:r>
          </w:p>
        </w:tc>
      </w:tr>
      <w:tr w:rsidR="000B3697" w:rsidRPr="000B3697" w14:paraId="341ECD7F" w14:textId="77777777" w:rsidTr="00474E6F">
        <w:trPr>
          <w:trHeight w:val="300"/>
        </w:trPr>
        <w:tc>
          <w:tcPr>
            <w:tcW w:w="2709" w:type="dxa"/>
            <w:tcBorders>
              <w:top w:val="nil"/>
              <w:left w:val="nil"/>
              <w:bottom w:val="nil"/>
              <w:right w:val="nil"/>
            </w:tcBorders>
            <w:shd w:val="clear" w:color="auto" w:fill="auto"/>
            <w:noWrap/>
            <w:vAlign w:val="bottom"/>
            <w:hideMark/>
          </w:tcPr>
          <w:p w14:paraId="6288E0AD"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382047E1"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49726651"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3021" w:type="dxa"/>
            <w:tcBorders>
              <w:top w:val="nil"/>
              <w:left w:val="single" w:sz="8" w:space="0" w:color="auto"/>
              <w:bottom w:val="nil"/>
              <w:right w:val="nil"/>
            </w:tcBorders>
            <w:shd w:val="clear" w:color="auto" w:fill="auto"/>
            <w:noWrap/>
            <w:vAlign w:val="bottom"/>
            <w:hideMark/>
          </w:tcPr>
          <w:p w14:paraId="44CC1AA0"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w:t>
            </w:r>
          </w:p>
        </w:tc>
        <w:tc>
          <w:tcPr>
            <w:tcW w:w="1136" w:type="dxa"/>
            <w:tcBorders>
              <w:top w:val="nil"/>
              <w:left w:val="nil"/>
              <w:bottom w:val="nil"/>
              <w:right w:val="nil"/>
            </w:tcBorders>
            <w:shd w:val="clear" w:color="auto" w:fill="auto"/>
            <w:noWrap/>
            <w:vAlign w:val="bottom"/>
            <w:hideMark/>
          </w:tcPr>
          <w:p w14:paraId="652646D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087964DB"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r>
      <w:tr w:rsidR="000B3697" w:rsidRPr="000B3697" w14:paraId="7383BBFC" w14:textId="77777777" w:rsidTr="00474E6F">
        <w:trPr>
          <w:trHeight w:val="300"/>
        </w:trPr>
        <w:tc>
          <w:tcPr>
            <w:tcW w:w="2709" w:type="dxa"/>
            <w:tcBorders>
              <w:top w:val="nil"/>
              <w:left w:val="nil"/>
              <w:bottom w:val="nil"/>
              <w:right w:val="nil"/>
            </w:tcBorders>
            <w:shd w:val="clear" w:color="auto" w:fill="auto"/>
            <w:noWrap/>
            <w:vAlign w:val="bottom"/>
            <w:hideMark/>
          </w:tcPr>
          <w:p w14:paraId="1CBE53D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Current assets</w:t>
            </w:r>
          </w:p>
        </w:tc>
        <w:tc>
          <w:tcPr>
            <w:tcW w:w="970" w:type="dxa"/>
            <w:tcBorders>
              <w:top w:val="nil"/>
              <w:left w:val="nil"/>
              <w:bottom w:val="nil"/>
              <w:right w:val="nil"/>
            </w:tcBorders>
            <w:shd w:val="clear" w:color="auto" w:fill="auto"/>
            <w:noWrap/>
            <w:vAlign w:val="bottom"/>
            <w:hideMark/>
          </w:tcPr>
          <w:p w14:paraId="4CA3E6C7"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46D9418D"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3021" w:type="dxa"/>
            <w:tcBorders>
              <w:top w:val="nil"/>
              <w:left w:val="single" w:sz="8" w:space="0" w:color="auto"/>
              <w:bottom w:val="nil"/>
              <w:right w:val="nil"/>
            </w:tcBorders>
            <w:shd w:val="clear" w:color="auto" w:fill="auto"/>
            <w:noWrap/>
            <w:vAlign w:val="bottom"/>
            <w:hideMark/>
          </w:tcPr>
          <w:p w14:paraId="17B48F39"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Share capital</w:t>
            </w:r>
          </w:p>
        </w:tc>
        <w:tc>
          <w:tcPr>
            <w:tcW w:w="1136" w:type="dxa"/>
            <w:tcBorders>
              <w:top w:val="nil"/>
              <w:left w:val="nil"/>
              <w:bottom w:val="nil"/>
              <w:right w:val="nil"/>
            </w:tcBorders>
            <w:shd w:val="clear" w:color="auto" w:fill="auto"/>
            <w:noWrap/>
            <w:vAlign w:val="bottom"/>
            <w:hideMark/>
          </w:tcPr>
          <w:p w14:paraId="04E73EC0"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310000</w:t>
            </w:r>
          </w:p>
        </w:tc>
        <w:tc>
          <w:tcPr>
            <w:tcW w:w="970" w:type="dxa"/>
            <w:tcBorders>
              <w:top w:val="nil"/>
              <w:left w:val="nil"/>
              <w:bottom w:val="nil"/>
              <w:right w:val="nil"/>
            </w:tcBorders>
            <w:shd w:val="clear" w:color="auto" w:fill="auto"/>
            <w:noWrap/>
            <w:vAlign w:val="bottom"/>
            <w:hideMark/>
          </w:tcPr>
          <w:p w14:paraId="365EF257"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310000</w:t>
            </w:r>
          </w:p>
        </w:tc>
      </w:tr>
      <w:tr w:rsidR="000B3697" w:rsidRPr="000B3697" w14:paraId="724DD552" w14:textId="77777777" w:rsidTr="00474E6F">
        <w:trPr>
          <w:trHeight w:val="300"/>
        </w:trPr>
        <w:tc>
          <w:tcPr>
            <w:tcW w:w="2709" w:type="dxa"/>
            <w:tcBorders>
              <w:top w:val="nil"/>
              <w:left w:val="nil"/>
              <w:bottom w:val="nil"/>
              <w:right w:val="nil"/>
            </w:tcBorders>
            <w:shd w:val="clear" w:color="auto" w:fill="auto"/>
            <w:noWrap/>
            <w:vAlign w:val="bottom"/>
            <w:hideMark/>
          </w:tcPr>
          <w:p w14:paraId="1FCF9E39" w14:textId="36F3D666"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xml:space="preserve">- </w:t>
            </w:r>
            <w:r w:rsidR="00200EC3" w:rsidRPr="000B3697">
              <w:rPr>
                <w:rFonts w:ascii="Times New Roman" w:eastAsia="Times New Roman" w:hAnsi="Times New Roman" w:cs="Times New Roman"/>
                <w:color w:val="000000"/>
                <w:sz w:val="24"/>
                <w:szCs w:val="24"/>
                <w:lang w:val="en-GB" w:eastAsia="bg-BG"/>
              </w:rPr>
              <w:t>Inventories</w:t>
            </w:r>
          </w:p>
        </w:tc>
        <w:tc>
          <w:tcPr>
            <w:tcW w:w="970" w:type="dxa"/>
            <w:tcBorders>
              <w:top w:val="nil"/>
              <w:left w:val="nil"/>
              <w:bottom w:val="nil"/>
              <w:right w:val="nil"/>
            </w:tcBorders>
            <w:shd w:val="clear" w:color="auto" w:fill="auto"/>
            <w:noWrap/>
            <w:vAlign w:val="bottom"/>
            <w:hideMark/>
          </w:tcPr>
          <w:p w14:paraId="7AF5A4E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330600</w:t>
            </w:r>
          </w:p>
        </w:tc>
        <w:tc>
          <w:tcPr>
            <w:tcW w:w="970" w:type="dxa"/>
            <w:tcBorders>
              <w:top w:val="nil"/>
              <w:left w:val="nil"/>
              <w:bottom w:val="nil"/>
              <w:right w:val="nil"/>
            </w:tcBorders>
            <w:shd w:val="clear" w:color="auto" w:fill="auto"/>
            <w:noWrap/>
            <w:vAlign w:val="bottom"/>
            <w:hideMark/>
          </w:tcPr>
          <w:p w14:paraId="3CC52F74"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330600</w:t>
            </w:r>
          </w:p>
        </w:tc>
        <w:tc>
          <w:tcPr>
            <w:tcW w:w="3021" w:type="dxa"/>
            <w:tcBorders>
              <w:top w:val="nil"/>
              <w:left w:val="single" w:sz="8" w:space="0" w:color="auto"/>
              <w:bottom w:val="nil"/>
              <w:right w:val="nil"/>
            </w:tcBorders>
            <w:shd w:val="clear" w:color="auto" w:fill="auto"/>
            <w:noWrap/>
            <w:vAlign w:val="bottom"/>
            <w:hideMark/>
          </w:tcPr>
          <w:p w14:paraId="73BA4BA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Share premium</w:t>
            </w:r>
          </w:p>
        </w:tc>
        <w:tc>
          <w:tcPr>
            <w:tcW w:w="1136" w:type="dxa"/>
            <w:tcBorders>
              <w:top w:val="nil"/>
              <w:left w:val="nil"/>
              <w:bottom w:val="nil"/>
              <w:right w:val="nil"/>
            </w:tcBorders>
            <w:shd w:val="clear" w:color="auto" w:fill="auto"/>
            <w:noWrap/>
            <w:vAlign w:val="bottom"/>
            <w:hideMark/>
          </w:tcPr>
          <w:p w14:paraId="4CF64A8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300000</w:t>
            </w:r>
          </w:p>
        </w:tc>
        <w:tc>
          <w:tcPr>
            <w:tcW w:w="970" w:type="dxa"/>
            <w:tcBorders>
              <w:top w:val="nil"/>
              <w:left w:val="nil"/>
              <w:bottom w:val="nil"/>
              <w:right w:val="nil"/>
            </w:tcBorders>
            <w:shd w:val="clear" w:color="auto" w:fill="auto"/>
            <w:noWrap/>
            <w:vAlign w:val="bottom"/>
            <w:hideMark/>
          </w:tcPr>
          <w:p w14:paraId="1F96ABE9"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300000</w:t>
            </w:r>
          </w:p>
        </w:tc>
      </w:tr>
      <w:tr w:rsidR="000B3697" w:rsidRPr="000B3697" w14:paraId="3B5AB305" w14:textId="77777777" w:rsidTr="00474E6F">
        <w:trPr>
          <w:trHeight w:val="300"/>
        </w:trPr>
        <w:tc>
          <w:tcPr>
            <w:tcW w:w="2709" w:type="dxa"/>
            <w:tcBorders>
              <w:top w:val="nil"/>
              <w:left w:val="nil"/>
              <w:bottom w:val="nil"/>
              <w:right w:val="nil"/>
            </w:tcBorders>
            <w:shd w:val="clear" w:color="auto" w:fill="auto"/>
            <w:noWrap/>
            <w:vAlign w:val="bottom"/>
            <w:hideMark/>
          </w:tcPr>
          <w:p w14:paraId="2EFD962A"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Trade receivables</w:t>
            </w:r>
          </w:p>
        </w:tc>
        <w:tc>
          <w:tcPr>
            <w:tcW w:w="970" w:type="dxa"/>
            <w:tcBorders>
              <w:top w:val="nil"/>
              <w:left w:val="nil"/>
              <w:bottom w:val="nil"/>
              <w:right w:val="nil"/>
            </w:tcBorders>
            <w:shd w:val="clear" w:color="auto" w:fill="auto"/>
            <w:noWrap/>
            <w:vAlign w:val="bottom"/>
            <w:hideMark/>
          </w:tcPr>
          <w:p w14:paraId="517687F9"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170125</w:t>
            </w:r>
          </w:p>
        </w:tc>
        <w:tc>
          <w:tcPr>
            <w:tcW w:w="970" w:type="dxa"/>
            <w:tcBorders>
              <w:top w:val="nil"/>
              <w:left w:val="nil"/>
              <w:bottom w:val="nil"/>
              <w:right w:val="nil"/>
            </w:tcBorders>
            <w:shd w:val="clear" w:color="auto" w:fill="auto"/>
            <w:noWrap/>
            <w:vAlign w:val="bottom"/>
            <w:hideMark/>
          </w:tcPr>
          <w:p w14:paraId="4B4B3692"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171105</w:t>
            </w:r>
          </w:p>
        </w:tc>
        <w:tc>
          <w:tcPr>
            <w:tcW w:w="3021" w:type="dxa"/>
            <w:tcBorders>
              <w:top w:val="nil"/>
              <w:left w:val="single" w:sz="8" w:space="0" w:color="auto"/>
              <w:bottom w:val="nil"/>
              <w:right w:val="nil"/>
            </w:tcBorders>
            <w:shd w:val="clear" w:color="auto" w:fill="auto"/>
            <w:noWrap/>
            <w:vAlign w:val="bottom"/>
            <w:hideMark/>
          </w:tcPr>
          <w:p w14:paraId="1F795416"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Other reserves</w:t>
            </w:r>
          </w:p>
        </w:tc>
        <w:tc>
          <w:tcPr>
            <w:tcW w:w="1136" w:type="dxa"/>
            <w:tcBorders>
              <w:top w:val="nil"/>
              <w:left w:val="nil"/>
              <w:bottom w:val="nil"/>
              <w:right w:val="nil"/>
            </w:tcBorders>
            <w:shd w:val="clear" w:color="auto" w:fill="auto"/>
            <w:noWrap/>
            <w:vAlign w:val="bottom"/>
            <w:hideMark/>
          </w:tcPr>
          <w:p w14:paraId="0C9B89B1"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0</w:t>
            </w:r>
          </w:p>
        </w:tc>
        <w:tc>
          <w:tcPr>
            <w:tcW w:w="970" w:type="dxa"/>
            <w:tcBorders>
              <w:top w:val="nil"/>
              <w:left w:val="nil"/>
              <w:bottom w:val="nil"/>
              <w:right w:val="nil"/>
            </w:tcBorders>
            <w:shd w:val="clear" w:color="auto" w:fill="auto"/>
            <w:noWrap/>
            <w:vAlign w:val="bottom"/>
            <w:hideMark/>
          </w:tcPr>
          <w:p w14:paraId="45FDF988"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0</w:t>
            </w:r>
          </w:p>
        </w:tc>
      </w:tr>
      <w:tr w:rsidR="000B3697" w:rsidRPr="000B3697" w14:paraId="448811BB" w14:textId="77777777" w:rsidTr="00474E6F">
        <w:trPr>
          <w:trHeight w:val="300"/>
        </w:trPr>
        <w:tc>
          <w:tcPr>
            <w:tcW w:w="2709" w:type="dxa"/>
            <w:tcBorders>
              <w:top w:val="nil"/>
              <w:left w:val="nil"/>
              <w:bottom w:val="nil"/>
              <w:right w:val="nil"/>
            </w:tcBorders>
            <w:shd w:val="clear" w:color="auto" w:fill="auto"/>
            <w:noWrap/>
            <w:vAlign w:val="bottom"/>
            <w:hideMark/>
          </w:tcPr>
          <w:p w14:paraId="21928DC7"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Cash</w:t>
            </w:r>
          </w:p>
        </w:tc>
        <w:tc>
          <w:tcPr>
            <w:tcW w:w="970" w:type="dxa"/>
            <w:tcBorders>
              <w:top w:val="nil"/>
              <w:left w:val="nil"/>
              <w:bottom w:val="nil"/>
              <w:right w:val="nil"/>
            </w:tcBorders>
            <w:shd w:val="clear" w:color="auto" w:fill="auto"/>
            <w:noWrap/>
            <w:vAlign w:val="bottom"/>
            <w:hideMark/>
          </w:tcPr>
          <w:p w14:paraId="0E55BF4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12900</w:t>
            </w:r>
          </w:p>
        </w:tc>
        <w:tc>
          <w:tcPr>
            <w:tcW w:w="970" w:type="dxa"/>
            <w:tcBorders>
              <w:top w:val="nil"/>
              <w:left w:val="nil"/>
              <w:bottom w:val="nil"/>
              <w:right w:val="nil"/>
            </w:tcBorders>
            <w:shd w:val="clear" w:color="auto" w:fill="auto"/>
            <w:noWrap/>
            <w:vAlign w:val="bottom"/>
            <w:hideMark/>
          </w:tcPr>
          <w:p w14:paraId="0A987C56"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12900</w:t>
            </w:r>
          </w:p>
        </w:tc>
        <w:tc>
          <w:tcPr>
            <w:tcW w:w="3021" w:type="dxa"/>
            <w:tcBorders>
              <w:top w:val="nil"/>
              <w:left w:val="single" w:sz="8" w:space="0" w:color="auto"/>
              <w:bottom w:val="nil"/>
              <w:right w:val="nil"/>
            </w:tcBorders>
            <w:shd w:val="clear" w:color="auto" w:fill="auto"/>
            <w:noWrap/>
            <w:vAlign w:val="bottom"/>
            <w:hideMark/>
          </w:tcPr>
          <w:p w14:paraId="16E6ABC9"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Retained earnings</w:t>
            </w:r>
          </w:p>
        </w:tc>
        <w:tc>
          <w:tcPr>
            <w:tcW w:w="1136" w:type="dxa"/>
            <w:tcBorders>
              <w:top w:val="nil"/>
              <w:left w:val="nil"/>
              <w:bottom w:val="nil"/>
              <w:right w:val="nil"/>
            </w:tcBorders>
            <w:shd w:val="clear" w:color="auto" w:fill="auto"/>
            <w:noWrap/>
            <w:vAlign w:val="bottom"/>
            <w:hideMark/>
          </w:tcPr>
          <w:p w14:paraId="2A590EDE"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132000</w:t>
            </w:r>
          </w:p>
        </w:tc>
        <w:tc>
          <w:tcPr>
            <w:tcW w:w="970" w:type="dxa"/>
            <w:tcBorders>
              <w:top w:val="nil"/>
              <w:left w:val="nil"/>
              <w:bottom w:val="nil"/>
              <w:right w:val="nil"/>
            </w:tcBorders>
            <w:shd w:val="clear" w:color="auto" w:fill="auto"/>
            <w:noWrap/>
            <w:vAlign w:val="bottom"/>
            <w:hideMark/>
          </w:tcPr>
          <w:p w14:paraId="359C341D"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132000</w:t>
            </w:r>
          </w:p>
        </w:tc>
      </w:tr>
      <w:tr w:rsidR="000B3697" w:rsidRPr="000B3697" w14:paraId="60CE6274" w14:textId="77777777" w:rsidTr="00474E6F">
        <w:trPr>
          <w:trHeight w:val="300"/>
        </w:trPr>
        <w:tc>
          <w:tcPr>
            <w:tcW w:w="2709" w:type="dxa"/>
            <w:tcBorders>
              <w:top w:val="nil"/>
              <w:left w:val="nil"/>
              <w:bottom w:val="nil"/>
              <w:right w:val="nil"/>
            </w:tcBorders>
            <w:shd w:val="clear" w:color="auto" w:fill="auto"/>
            <w:noWrap/>
            <w:vAlign w:val="bottom"/>
            <w:hideMark/>
          </w:tcPr>
          <w:p w14:paraId="331CFA91"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79C55906"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970" w:type="dxa"/>
            <w:tcBorders>
              <w:top w:val="nil"/>
              <w:left w:val="nil"/>
              <w:bottom w:val="nil"/>
              <w:right w:val="nil"/>
            </w:tcBorders>
            <w:shd w:val="clear" w:color="auto" w:fill="auto"/>
            <w:noWrap/>
            <w:vAlign w:val="bottom"/>
            <w:hideMark/>
          </w:tcPr>
          <w:p w14:paraId="22F53EE8"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p>
        </w:tc>
        <w:tc>
          <w:tcPr>
            <w:tcW w:w="3021" w:type="dxa"/>
            <w:tcBorders>
              <w:top w:val="nil"/>
              <w:left w:val="single" w:sz="8" w:space="0" w:color="auto"/>
              <w:bottom w:val="nil"/>
              <w:right w:val="nil"/>
            </w:tcBorders>
            <w:shd w:val="clear" w:color="auto" w:fill="auto"/>
            <w:noWrap/>
            <w:vAlign w:val="bottom"/>
            <w:hideMark/>
          </w:tcPr>
          <w:p w14:paraId="357B0A59"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PROFIT BEFORE TAX</w:t>
            </w:r>
          </w:p>
        </w:tc>
        <w:tc>
          <w:tcPr>
            <w:tcW w:w="1136" w:type="dxa"/>
            <w:tcBorders>
              <w:top w:val="nil"/>
              <w:left w:val="nil"/>
              <w:bottom w:val="nil"/>
              <w:right w:val="nil"/>
            </w:tcBorders>
            <w:shd w:val="clear" w:color="auto" w:fill="auto"/>
            <w:noWrap/>
            <w:vAlign w:val="bottom"/>
            <w:hideMark/>
          </w:tcPr>
          <w:p w14:paraId="4C48B76C"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133000</w:t>
            </w:r>
          </w:p>
        </w:tc>
        <w:tc>
          <w:tcPr>
            <w:tcW w:w="970" w:type="dxa"/>
            <w:tcBorders>
              <w:top w:val="nil"/>
              <w:left w:val="nil"/>
              <w:bottom w:val="nil"/>
              <w:right w:val="nil"/>
            </w:tcBorders>
            <w:shd w:val="clear" w:color="auto" w:fill="auto"/>
            <w:noWrap/>
            <w:vAlign w:val="bottom"/>
            <w:hideMark/>
          </w:tcPr>
          <w:p w14:paraId="1CB181D4" w14:textId="77777777" w:rsidR="000B3697" w:rsidRPr="000B3697" w:rsidRDefault="000B3697" w:rsidP="006E7433">
            <w:pPr>
              <w:spacing w:after="0" w:line="240" w:lineRule="auto"/>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130980</w:t>
            </w:r>
          </w:p>
        </w:tc>
      </w:tr>
      <w:tr w:rsidR="000B3697" w:rsidRPr="000B3697" w14:paraId="21233EA5" w14:textId="77777777" w:rsidTr="00474E6F">
        <w:trPr>
          <w:trHeight w:val="300"/>
        </w:trPr>
        <w:tc>
          <w:tcPr>
            <w:tcW w:w="2709" w:type="dxa"/>
            <w:tcBorders>
              <w:top w:val="nil"/>
              <w:left w:val="nil"/>
              <w:bottom w:val="nil"/>
              <w:right w:val="nil"/>
            </w:tcBorders>
            <w:shd w:val="clear" w:color="auto" w:fill="auto"/>
            <w:noWrap/>
            <w:vAlign w:val="bottom"/>
            <w:hideMark/>
          </w:tcPr>
          <w:p w14:paraId="68A3DE12"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Total of Current assets</w:t>
            </w:r>
          </w:p>
        </w:tc>
        <w:tc>
          <w:tcPr>
            <w:tcW w:w="970" w:type="dxa"/>
            <w:tcBorders>
              <w:top w:val="nil"/>
              <w:left w:val="nil"/>
              <w:bottom w:val="nil"/>
              <w:right w:val="nil"/>
            </w:tcBorders>
            <w:shd w:val="clear" w:color="auto" w:fill="auto"/>
            <w:noWrap/>
            <w:vAlign w:val="bottom"/>
            <w:hideMark/>
          </w:tcPr>
          <w:p w14:paraId="718B41E3"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513625</w:t>
            </w:r>
          </w:p>
        </w:tc>
        <w:tc>
          <w:tcPr>
            <w:tcW w:w="970" w:type="dxa"/>
            <w:tcBorders>
              <w:top w:val="nil"/>
              <w:left w:val="nil"/>
              <w:bottom w:val="nil"/>
              <w:right w:val="nil"/>
            </w:tcBorders>
            <w:shd w:val="clear" w:color="auto" w:fill="auto"/>
            <w:noWrap/>
            <w:vAlign w:val="bottom"/>
            <w:hideMark/>
          </w:tcPr>
          <w:p w14:paraId="066B8A25"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514605</w:t>
            </w:r>
          </w:p>
        </w:tc>
        <w:tc>
          <w:tcPr>
            <w:tcW w:w="3021" w:type="dxa"/>
            <w:tcBorders>
              <w:top w:val="nil"/>
              <w:left w:val="single" w:sz="8" w:space="0" w:color="auto"/>
              <w:bottom w:val="nil"/>
              <w:right w:val="nil"/>
            </w:tcBorders>
            <w:shd w:val="clear" w:color="auto" w:fill="auto"/>
            <w:noWrap/>
            <w:vAlign w:val="bottom"/>
            <w:hideMark/>
          </w:tcPr>
          <w:p w14:paraId="669F5779"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EQUITY/CAPITAL</w:t>
            </w:r>
          </w:p>
        </w:tc>
        <w:tc>
          <w:tcPr>
            <w:tcW w:w="1136" w:type="dxa"/>
            <w:tcBorders>
              <w:top w:val="nil"/>
              <w:left w:val="nil"/>
              <w:bottom w:val="nil"/>
              <w:right w:val="nil"/>
            </w:tcBorders>
            <w:shd w:val="clear" w:color="auto" w:fill="auto"/>
            <w:noWrap/>
            <w:vAlign w:val="bottom"/>
            <w:hideMark/>
          </w:tcPr>
          <w:p w14:paraId="09EBB957"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875000</w:t>
            </w:r>
          </w:p>
        </w:tc>
        <w:tc>
          <w:tcPr>
            <w:tcW w:w="970" w:type="dxa"/>
            <w:tcBorders>
              <w:top w:val="nil"/>
              <w:left w:val="nil"/>
              <w:bottom w:val="nil"/>
              <w:right w:val="nil"/>
            </w:tcBorders>
            <w:shd w:val="clear" w:color="auto" w:fill="auto"/>
            <w:noWrap/>
            <w:vAlign w:val="bottom"/>
            <w:hideMark/>
          </w:tcPr>
          <w:p w14:paraId="3332062A" w14:textId="77777777" w:rsidR="000B3697" w:rsidRPr="000B3697" w:rsidRDefault="000B3697" w:rsidP="006E7433">
            <w:pPr>
              <w:spacing w:after="0" w:line="240" w:lineRule="auto"/>
              <w:rPr>
                <w:rFonts w:ascii="Times New Roman" w:eastAsia="Times New Roman" w:hAnsi="Times New Roman" w:cs="Times New Roman"/>
                <w:b/>
                <w:color w:val="000000"/>
                <w:sz w:val="24"/>
                <w:szCs w:val="24"/>
                <w:lang w:val="en-GB" w:eastAsia="bg-BG"/>
              </w:rPr>
            </w:pPr>
            <w:r w:rsidRPr="000B3697">
              <w:rPr>
                <w:rFonts w:ascii="Times New Roman" w:eastAsia="Times New Roman" w:hAnsi="Times New Roman" w:cs="Times New Roman"/>
                <w:b/>
                <w:color w:val="000000"/>
                <w:sz w:val="24"/>
                <w:szCs w:val="24"/>
                <w:lang w:val="en-GB" w:eastAsia="bg-BG"/>
              </w:rPr>
              <w:t>872980</w:t>
            </w:r>
          </w:p>
        </w:tc>
      </w:tr>
    </w:tbl>
    <w:p w14:paraId="6026FB0F" w14:textId="77777777" w:rsidR="000B3697" w:rsidRPr="000B3697" w:rsidRDefault="000B3697" w:rsidP="006E7433">
      <w:pPr>
        <w:rPr>
          <w:rFonts w:ascii="Times New Roman" w:hAnsi="Times New Roman" w:cs="Times New Roman"/>
          <w:sz w:val="24"/>
          <w:szCs w:val="24"/>
          <w:lang w:val="en-GB"/>
        </w:rPr>
      </w:pPr>
    </w:p>
    <w:p w14:paraId="3A02DBBC" w14:textId="233917BB" w:rsidR="000B3697" w:rsidRPr="000B3697" w:rsidRDefault="00220F2E" w:rsidP="006E7433">
      <w:pPr>
        <w:rPr>
          <w:rFonts w:ascii="Times New Roman" w:hAnsi="Times New Roman" w:cs="Times New Roman"/>
          <w:b/>
          <w:iCs/>
          <w:sz w:val="24"/>
          <w:szCs w:val="24"/>
          <w:lang w:val="en-GB"/>
        </w:rPr>
      </w:pPr>
      <w:r w:rsidRPr="00220F2E">
        <w:rPr>
          <w:rFonts w:ascii="Times New Roman" w:hAnsi="Times New Roman" w:cs="Times New Roman"/>
          <w:sz w:val="24"/>
          <w:szCs w:val="24"/>
          <w:lang w:val="en-GB"/>
        </w:rPr>
        <w:t xml:space="preserve">The income statement for the year 01/01/2018 to 31/12/2018 was prepared for the purpose of completing the mission, as the additional details is reflected with before and after, accordingly. Similarly, the balance sheet as of 31/12/2018 was prepared in the same </w:t>
      </w:r>
      <w:proofErr w:type="spellStart"/>
      <w:proofErr w:type="gramStart"/>
      <w:r w:rsidRPr="00220F2E">
        <w:rPr>
          <w:rFonts w:ascii="Times New Roman" w:hAnsi="Times New Roman" w:cs="Times New Roman"/>
          <w:sz w:val="24"/>
          <w:szCs w:val="24"/>
          <w:lang w:val="en-GB"/>
        </w:rPr>
        <w:t>manner.</w:t>
      </w:r>
      <w:r w:rsidR="000B3697" w:rsidRPr="000B3697">
        <w:rPr>
          <w:rFonts w:ascii="Times New Roman" w:hAnsi="Times New Roman" w:cs="Times New Roman"/>
          <w:b/>
          <w:iCs/>
          <w:sz w:val="24"/>
          <w:szCs w:val="24"/>
          <w:lang w:val="en-GB"/>
        </w:rPr>
        <w:t>INCOME</w:t>
      </w:r>
      <w:proofErr w:type="spellEnd"/>
      <w:proofErr w:type="gramEnd"/>
      <w:r w:rsidR="000B3697" w:rsidRPr="000B3697">
        <w:rPr>
          <w:rFonts w:ascii="Times New Roman" w:hAnsi="Times New Roman" w:cs="Times New Roman"/>
          <w:b/>
          <w:iCs/>
          <w:sz w:val="24"/>
          <w:szCs w:val="24"/>
          <w:lang w:val="en-GB"/>
        </w:rPr>
        <w:t xml:space="preserve"> STATEMENT for the period from 01/01/2018 – 31/12/2018</w:t>
      </w:r>
    </w:p>
    <w:p w14:paraId="37931629" w14:textId="77777777" w:rsidR="00220F2E" w:rsidRPr="008E3869" w:rsidRDefault="00220F2E" w:rsidP="00220F2E">
      <w:pPr>
        <w:rPr>
          <w:rFonts w:ascii="Times New Roman" w:hAnsi="Times New Roman" w:cs="Times New Roman"/>
          <w:bCs/>
          <w:sz w:val="24"/>
          <w:szCs w:val="24"/>
          <w:lang w:val="en-GB"/>
        </w:rPr>
      </w:pPr>
      <w:r w:rsidRPr="008E3869">
        <w:rPr>
          <w:rFonts w:ascii="Times New Roman" w:hAnsi="Times New Roman" w:cs="Times New Roman"/>
          <w:bCs/>
          <w:sz w:val="24"/>
          <w:szCs w:val="24"/>
          <w:lang w:val="en-GB"/>
        </w:rPr>
        <w:lastRenderedPageBreak/>
        <w:t>Revenue is calculated as the amount of all sales, which is £827650. On December 31st, consumers received goods worth £980. That is why I increased Revenue by £980. After the trade, the Revenue totals £827630 (=£826650+£980). Thanks to the fact that the balance of the sent products is due by 28 February 2019, the same sum is used in trade receivables (£170125+£980=£171105).</w:t>
      </w:r>
    </w:p>
    <w:p w14:paraId="20C5E163" w14:textId="77777777" w:rsidR="00220F2E" w:rsidRPr="008E3869" w:rsidRDefault="00220F2E" w:rsidP="00220F2E">
      <w:pPr>
        <w:rPr>
          <w:rFonts w:ascii="Times New Roman" w:hAnsi="Times New Roman" w:cs="Times New Roman"/>
          <w:bCs/>
          <w:sz w:val="24"/>
          <w:szCs w:val="24"/>
          <w:lang w:val="en-GB"/>
        </w:rPr>
      </w:pPr>
      <w:r w:rsidRPr="008E3869">
        <w:rPr>
          <w:rFonts w:ascii="Times New Roman" w:hAnsi="Times New Roman" w:cs="Times New Roman"/>
          <w:bCs/>
          <w:sz w:val="24"/>
          <w:szCs w:val="24"/>
          <w:lang w:val="en-GB"/>
        </w:rPr>
        <w:t>The income statement shows the cost of sales for £578650. There is no alteration following the inclusion of the supplementary detail.</w:t>
      </w:r>
    </w:p>
    <w:p w14:paraId="254BAD48" w14:textId="5BE2CAA9" w:rsidR="008E3869" w:rsidRPr="008E3869" w:rsidRDefault="00220F2E" w:rsidP="00220F2E">
      <w:pPr>
        <w:rPr>
          <w:rFonts w:ascii="Times New Roman" w:hAnsi="Times New Roman" w:cs="Times New Roman"/>
          <w:bCs/>
          <w:sz w:val="24"/>
          <w:szCs w:val="24"/>
          <w:lang w:val="en-GB"/>
        </w:rPr>
      </w:pPr>
      <w:r w:rsidRPr="008E3869">
        <w:rPr>
          <w:rFonts w:ascii="Times New Roman" w:hAnsi="Times New Roman" w:cs="Times New Roman"/>
          <w:bCs/>
          <w:sz w:val="24"/>
          <w:szCs w:val="24"/>
          <w:lang w:val="en-GB"/>
        </w:rPr>
        <w:t>Gross profit is the profit a business earns by deducting the value of manufacturing and distributing its goods or services. Gross profit is reported on an organization's income statement which is measured by subtracting the cost of product sold from revenues (sales)</w:t>
      </w:r>
      <w:r w:rsidR="000A04AA">
        <w:rPr>
          <w:rFonts w:ascii="Times New Roman" w:hAnsi="Times New Roman" w:cs="Times New Roman"/>
          <w:bCs/>
          <w:sz w:val="24"/>
          <w:szCs w:val="24"/>
          <w:lang w:val="en-GB"/>
        </w:rPr>
        <w:t xml:space="preserve"> </w:t>
      </w:r>
      <w:r w:rsidR="000A04AA" w:rsidRPr="000A04AA">
        <w:rPr>
          <w:rFonts w:ascii="Times New Roman" w:hAnsi="Times New Roman" w:cs="Times New Roman"/>
          <w:bCs/>
          <w:sz w:val="24"/>
          <w:szCs w:val="24"/>
          <w:lang w:val="en-GB"/>
        </w:rPr>
        <w:t>(Wild 2015)</w:t>
      </w:r>
      <w:r w:rsidRPr="008E3869">
        <w:rPr>
          <w:rFonts w:ascii="Times New Roman" w:hAnsi="Times New Roman" w:cs="Times New Roman"/>
          <w:bCs/>
          <w:sz w:val="24"/>
          <w:szCs w:val="24"/>
          <w:lang w:val="en-GB"/>
        </w:rPr>
        <w:t>.</w:t>
      </w:r>
    </w:p>
    <w:p w14:paraId="02FF106B" w14:textId="4938DB8E" w:rsidR="000B3697" w:rsidRPr="000B3697" w:rsidRDefault="000B3697" w:rsidP="00220F2E">
      <w:pPr>
        <w:rPr>
          <w:rFonts w:ascii="Times New Roman" w:hAnsi="Times New Roman" w:cs="Times New Roman"/>
          <w:b/>
          <w:color w:val="111111"/>
          <w:sz w:val="24"/>
          <w:szCs w:val="24"/>
          <w:shd w:val="clear" w:color="auto" w:fill="FFFFFF"/>
          <w:lang w:val="en-GB"/>
        </w:rPr>
      </w:pPr>
      <w:r w:rsidRPr="000B3697">
        <w:rPr>
          <w:rFonts w:ascii="Times New Roman" w:hAnsi="Times New Roman" w:cs="Times New Roman"/>
          <w:b/>
          <w:color w:val="111111"/>
          <w:sz w:val="24"/>
          <w:szCs w:val="24"/>
          <w:shd w:val="clear" w:color="auto" w:fill="FFFFFF"/>
          <w:lang w:val="en-GB"/>
        </w:rPr>
        <w:t>GROSS PROFIT = REVENUE (SALES) – COST OF SALES</w:t>
      </w:r>
    </w:p>
    <w:p w14:paraId="6E43DD32" w14:textId="2E13A3B0" w:rsidR="008E3869" w:rsidRPr="008E3869" w:rsidRDefault="008E3869" w:rsidP="008E3869">
      <w:pPr>
        <w:pStyle w:val="comp"/>
        <w:shd w:val="clear" w:color="auto" w:fill="FFFFFF"/>
        <w:spacing w:after="240"/>
        <w:ind w:left="2835" w:hanging="2835"/>
        <w:rPr>
          <w:rFonts w:eastAsiaTheme="minorHAnsi"/>
          <w:bCs/>
          <w:lang w:val="en-GB" w:eastAsia="en-US"/>
        </w:rPr>
      </w:pPr>
      <w:r w:rsidRPr="008E3869">
        <w:rPr>
          <w:rFonts w:eastAsiaTheme="minorHAnsi"/>
          <w:bCs/>
          <w:lang w:val="en-GB" w:eastAsia="en-US"/>
        </w:rPr>
        <w:t>£28000 is the rate of distribution. According to our records, salespeople are owed £3000 in commission for December sales. It will be remitted on January 31, 2019. The distribution prices were increased by £3000. The same figure is found as Current liabilities on the balance sheet (the sum for Trade creditors plus due commission is £171355 + £3000 = £174355).</w:t>
      </w:r>
    </w:p>
    <w:p w14:paraId="3C89B2C3" w14:textId="77777777" w:rsidR="008E3869" w:rsidRPr="008E3869" w:rsidRDefault="008E3869" w:rsidP="008E3869">
      <w:pPr>
        <w:pStyle w:val="comp"/>
        <w:shd w:val="clear" w:color="auto" w:fill="FFFFFF"/>
        <w:spacing w:after="240"/>
        <w:ind w:left="2835" w:hanging="2835"/>
        <w:rPr>
          <w:rFonts w:eastAsiaTheme="minorHAnsi"/>
          <w:bCs/>
          <w:lang w:val="en-GB" w:eastAsia="en-US"/>
        </w:rPr>
      </w:pPr>
    </w:p>
    <w:p w14:paraId="099BB663" w14:textId="77777777" w:rsidR="008E3869" w:rsidRPr="008E3869" w:rsidRDefault="008E3869" w:rsidP="008E3869">
      <w:pPr>
        <w:pStyle w:val="comp"/>
        <w:shd w:val="clear" w:color="auto" w:fill="FFFFFF"/>
        <w:spacing w:after="240"/>
        <w:ind w:left="2835" w:hanging="2835"/>
        <w:rPr>
          <w:rFonts w:eastAsiaTheme="minorHAnsi"/>
          <w:bCs/>
          <w:lang w:val="en-GB" w:eastAsia="en-US"/>
        </w:rPr>
      </w:pPr>
      <w:r w:rsidRPr="008E3869">
        <w:rPr>
          <w:rFonts w:eastAsiaTheme="minorHAnsi"/>
          <w:bCs/>
          <w:lang w:val="en-GB" w:eastAsia="en-US"/>
        </w:rPr>
        <w:t>Administration/operating costs are calculated as the number of ordinary dividends paid + preference dividends paid + administrative expenses + director's remuneration (£20,000+£30,000+£30,000+£5000=£85000).</w:t>
      </w:r>
    </w:p>
    <w:p w14:paraId="35B0BBBF" w14:textId="77777777" w:rsidR="008E3869" w:rsidRPr="008E3869" w:rsidRDefault="008E3869" w:rsidP="008E3869">
      <w:pPr>
        <w:pStyle w:val="comp"/>
        <w:shd w:val="clear" w:color="auto" w:fill="FFFFFF"/>
        <w:spacing w:after="240"/>
        <w:ind w:left="2835" w:hanging="2835"/>
        <w:rPr>
          <w:rFonts w:eastAsiaTheme="minorHAnsi"/>
          <w:bCs/>
          <w:lang w:val="en-GB" w:eastAsia="en-US"/>
        </w:rPr>
      </w:pPr>
    </w:p>
    <w:p w14:paraId="581F68AD" w14:textId="4C3EC7A9" w:rsidR="008E3869" w:rsidRPr="008E3869" w:rsidRDefault="008E3869" w:rsidP="008E3869">
      <w:pPr>
        <w:pStyle w:val="comp"/>
        <w:shd w:val="clear" w:color="auto" w:fill="FFFFFF"/>
        <w:spacing w:after="240"/>
        <w:ind w:left="2835" w:hanging="2835"/>
        <w:rPr>
          <w:rFonts w:eastAsiaTheme="minorHAnsi"/>
          <w:bCs/>
          <w:lang w:val="en-GB" w:eastAsia="en-US"/>
        </w:rPr>
      </w:pPr>
      <w:r w:rsidRPr="008E3869">
        <w:rPr>
          <w:rFonts w:eastAsiaTheme="minorHAnsi"/>
          <w:bCs/>
          <w:lang w:val="en-GB" w:eastAsia="en-US"/>
        </w:rPr>
        <w:t>Earnings before interest and taxes, or operating benefit</w:t>
      </w:r>
    </w:p>
    <w:p w14:paraId="315CAFC2" w14:textId="7FFD38E7" w:rsidR="008E3869" w:rsidRPr="008E3869" w:rsidRDefault="008E3869" w:rsidP="008E3869">
      <w:pPr>
        <w:pStyle w:val="comp"/>
        <w:shd w:val="clear" w:color="auto" w:fill="FFFFFF"/>
        <w:spacing w:after="240"/>
        <w:ind w:left="2835" w:hanging="2835"/>
        <w:rPr>
          <w:rFonts w:eastAsiaTheme="minorHAnsi"/>
          <w:bCs/>
          <w:lang w:val="en-GB" w:eastAsia="en-US"/>
        </w:rPr>
      </w:pPr>
      <w:r w:rsidRPr="008E3869">
        <w:rPr>
          <w:rFonts w:eastAsiaTheme="minorHAnsi"/>
          <w:bCs/>
          <w:lang w:val="en-GB" w:eastAsia="en-US"/>
        </w:rPr>
        <w:t>Operating profit is a measure of a business's income before debt and taxes are deducted. Operating profit is calculated by subtracting operating costs from gross profit. Operating profit is a critical metric for administrators to monitor because it represents sales and costs that are under their authority</w:t>
      </w:r>
      <w:r w:rsidR="000A04AA">
        <w:rPr>
          <w:rFonts w:eastAsiaTheme="minorHAnsi"/>
          <w:bCs/>
          <w:lang w:val="en-GB" w:eastAsia="en-US"/>
        </w:rPr>
        <w:t xml:space="preserve"> </w:t>
      </w:r>
      <w:r w:rsidR="000A04AA" w:rsidRPr="000A04AA">
        <w:rPr>
          <w:rFonts w:eastAsiaTheme="minorHAnsi"/>
          <w:bCs/>
          <w:lang w:val="en-GB" w:eastAsia="en-US"/>
        </w:rPr>
        <w:t>(Agtarap-San 2007)</w:t>
      </w:r>
      <w:r w:rsidRPr="008E3869">
        <w:rPr>
          <w:rFonts w:eastAsiaTheme="minorHAnsi"/>
          <w:bCs/>
          <w:lang w:val="en-GB" w:eastAsia="en-US"/>
        </w:rPr>
        <w:t>.</w:t>
      </w:r>
    </w:p>
    <w:p w14:paraId="46CB9C23" w14:textId="77777777" w:rsidR="008E3869" w:rsidRPr="008E3869" w:rsidRDefault="008E3869" w:rsidP="008E3869">
      <w:pPr>
        <w:pStyle w:val="comp"/>
        <w:shd w:val="clear" w:color="auto" w:fill="FFFFFF"/>
        <w:spacing w:before="0" w:beforeAutospacing="0" w:after="240" w:afterAutospacing="0"/>
        <w:ind w:left="2835" w:hanging="2835"/>
        <w:rPr>
          <w:rFonts w:eastAsiaTheme="minorHAnsi"/>
          <w:bCs/>
          <w:lang w:val="en-GB" w:eastAsia="en-US"/>
        </w:rPr>
      </w:pPr>
      <w:r w:rsidRPr="008E3869">
        <w:rPr>
          <w:rFonts w:eastAsiaTheme="minorHAnsi"/>
          <w:bCs/>
          <w:lang w:val="en-GB" w:eastAsia="en-US"/>
        </w:rPr>
        <w:t>The following formula can be used to measure operating profit:</w:t>
      </w:r>
    </w:p>
    <w:p w14:paraId="62CE5EF5" w14:textId="70ECC843" w:rsidR="000B3697" w:rsidRPr="000B3697" w:rsidRDefault="000B3697" w:rsidP="008E3869">
      <w:pPr>
        <w:pStyle w:val="comp"/>
        <w:shd w:val="clear" w:color="auto" w:fill="FFFFFF"/>
        <w:spacing w:before="0" w:beforeAutospacing="0" w:after="240" w:afterAutospacing="0"/>
        <w:ind w:left="2835" w:hanging="2835"/>
        <w:rPr>
          <w:rStyle w:val="Strong"/>
          <w:lang w:val="en-GB"/>
        </w:rPr>
      </w:pPr>
      <w:r w:rsidRPr="000B3697">
        <w:rPr>
          <w:rStyle w:val="Strong"/>
          <w:color w:val="111111"/>
          <w:lang w:val="en-GB"/>
        </w:rPr>
        <w:t xml:space="preserve">OPERATING PROFIT = </w:t>
      </w:r>
      <w:r w:rsidRPr="000B3697">
        <w:rPr>
          <w:rStyle w:val="Strong"/>
          <w:color w:val="111111"/>
          <w:lang w:val="en-GB"/>
        </w:rPr>
        <w:tab/>
      </w:r>
      <w:r w:rsidRPr="000B3697">
        <w:rPr>
          <w:b/>
          <w:color w:val="111111"/>
          <w:shd w:val="clear" w:color="auto" w:fill="FFFFFF"/>
          <w:lang w:val="en-GB"/>
        </w:rPr>
        <w:t>REVENUE (SALES) – COST OF SALES</w:t>
      </w:r>
      <w:r w:rsidRPr="000B3697">
        <w:rPr>
          <w:rStyle w:val="Strong"/>
          <w:color w:val="111111"/>
          <w:lang w:val="en-GB"/>
        </w:rPr>
        <w:t xml:space="preserve"> – </w:t>
      </w:r>
      <w:r w:rsidRPr="000B3697">
        <w:rPr>
          <w:b/>
          <w:lang w:val="en-GB"/>
        </w:rPr>
        <w:t xml:space="preserve">OPERATING EXPENSES </w:t>
      </w:r>
      <w:r w:rsidRPr="000B3697">
        <w:rPr>
          <w:lang w:val="en-GB"/>
        </w:rPr>
        <w:t>(which are represented as a sum of distribution costs + administration costs)</w:t>
      </w:r>
      <w:r w:rsidRPr="000B3697">
        <w:rPr>
          <w:rStyle w:val="Strong"/>
          <w:color w:val="111111"/>
          <w:lang w:val="en-GB"/>
        </w:rPr>
        <w:t xml:space="preserve"> – </w:t>
      </w:r>
      <w:r w:rsidRPr="000B3697">
        <w:rPr>
          <w:rStyle w:val="Strong"/>
          <w:lang w:val="en-GB"/>
        </w:rPr>
        <w:t>DEPRECIATION – AMORTIZATION</w:t>
      </w:r>
    </w:p>
    <w:p w14:paraId="0E3719E4" w14:textId="4867A9EA" w:rsidR="008E3869" w:rsidRPr="008E3869" w:rsidRDefault="008E3869" w:rsidP="00AC4AF2">
      <w:pPr>
        <w:ind w:left="2835" w:hanging="2835"/>
        <w:rPr>
          <w:rFonts w:ascii="Times New Roman" w:eastAsia="Times New Roman" w:hAnsi="Times New Roman" w:cs="Times New Roman"/>
          <w:bCs/>
          <w:sz w:val="24"/>
          <w:szCs w:val="24"/>
          <w:shd w:val="clear" w:color="auto" w:fill="FFFFFF"/>
          <w:lang w:val="en-GB" w:eastAsia="bg-BG"/>
        </w:rPr>
      </w:pPr>
      <w:r w:rsidRPr="008E3869">
        <w:rPr>
          <w:rFonts w:ascii="Times New Roman" w:eastAsia="Times New Roman" w:hAnsi="Times New Roman" w:cs="Times New Roman"/>
          <w:bCs/>
          <w:sz w:val="24"/>
          <w:szCs w:val="24"/>
          <w:shd w:val="clear" w:color="auto" w:fill="FFFFFF"/>
          <w:lang w:val="en-GB" w:eastAsia="bg-BG"/>
        </w:rPr>
        <w:t>Net profit is the profit earned by a business after operating expenses, taxation, interest, and depreciation are deducted from overall sales. The concept is often used interchangeably with 'bottom line' and can also be alluded to as 'net profits' or 'net income'</w:t>
      </w:r>
      <w:r w:rsidR="000A04AA">
        <w:rPr>
          <w:rFonts w:ascii="Times New Roman" w:eastAsia="Times New Roman" w:hAnsi="Times New Roman" w:cs="Times New Roman"/>
          <w:bCs/>
          <w:sz w:val="24"/>
          <w:szCs w:val="24"/>
          <w:shd w:val="clear" w:color="auto" w:fill="FFFFFF"/>
          <w:lang w:val="en-GB" w:eastAsia="bg-BG"/>
        </w:rPr>
        <w:t xml:space="preserve"> </w:t>
      </w:r>
      <w:r w:rsidR="000A04AA" w:rsidRPr="000A04AA">
        <w:rPr>
          <w:rFonts w:ascii="Times New Roman" w:eastAsia="Times New Roman" w:hAnsi="Times New Roman" w:cs="Times New Roman"/>
          <w:bCs/>
          <w:sz w:val="24"/>
          <w:szCs w:val="24"/>
          <w:shd w:val="clear" w:color="auto" w:fill="FFFFFF"/>
          <w:lang w:val="en-GB" w:eastAsia="bg-BG"/>
        </w:rPr>
        <w:t>(Ballada 2019)</w:t>
      </w:r>
      <w:r w:rsidRPr="008E3869">
        <w:rPr>
          <w:rFonts w:ascii="Times New Roman" w:eastAsia="Times New Roman" w:hAnsi="Times New Roman" w:cs="Times New Roman"/>
          <w:bCs/>
          <w:sz w:val="24"/>
          <w:szCs w:val="24"/>
          <w:shd w:val="clear" w:color="auto" w:fill="FFFFFF"/>
          <w:lang w:val="en-GB" w:eastAsia="bg-BG"/>
        </w:rPr>
        <w:t>.</w:t>
      </w:r>
    </w:p>
    <w:p w14:paraId="2668C7A9" w14:textId="6CA2B653" w:rsidR="000B3697" w:rsidRDefault="000B3697" w:rsidP="00AC4AF2">
      <w:pPr>
        <w:ind w:left="2835" w:hanging="2835"/>
        <w:rPr>
          <w:rFonts w:ascii="Times New Roman" w:hAnsi="Times New Roman" w:cs="Times New Roman"/>
          <w:b/>
          <w:sz w:val="24"/>
          <w:szCs w:val="24"/>
          <w:lang w:val="en-GB"/>
        </w:rPr>
      </w:pPr>
      <w:r w:rsidRPr="000B3697">
        <w:rPr>
          <w:rFonts w:ascii="Times New Roman" w:hAnsi="Times New Roman" w:cs="Times New Roman"/>
          <w:b/>
          <w:sz w:val="24"/>
          <w:szCs w:val="24"/>
          <w:lang w:val="en-GB"/>
        </w:rPr>
        <w:t xml:space="preserve">NET PROFIT = </w:t>
      </w:r>
      <w:r w:rsidRPr="000B3697">
        <w:rPr>
          <w:rFonts w:ascii="Times New Roman" w:hAnsi="Times New Roman" w:cs="Times New Roman"/>
          <w:b/>
          <w:sz w:val="24"/>
          <w:szCs w:val="24"/>
          <w:lang w:val="en-GB"/>
        </w:rPr>
        <w:tab/>
        <w:t>REVENUE (SALES) – COST OF SALES – OPERATING EXPENSES – INTEREST PAID – TAXATION</w:t>
      </w:r>
    </w:p>
    <w:p w14:paraId="15F80E25" w14:textId="77777777" w:rsidR="000A04AA" w:rsidRDefault="000A04AA" w:rsidP="006E7433">
      <w:pPr>
        <w:rPr>
          <w:rFonts w:ascii="Times New Roman" w:hAnsi="Times New Roman" w:cs="Times New Roman"/>
          <w:b/>
          <w:sz w:val="24"/>
          <w:szCs w:val="24"/>
          <w:lang w:val="en-GB"/>
        </w:rPr>
      </w:pPr>
    </w:p>
    <w:p w14:paraId="1CC056BE" w14:textId="5B7AED8D" w:rsidR="000B3697" w:rsidRPr="00AC4AF2" w:rsidRDefault="000B3697" w:rsidP="006E7433">
      <w:pPr>
        <w:rPr>
          <w:rFonts w:ascii="Times New Roman" w:hAnsi="Times New Roman" w:cs="Times New Roman"/>
          <w:b/>
          <w:iCs/>
          <w:sz w:val="24"/>
          <w:szCs w:val="24"/>
          <w:lang w:val="en-GB"/>
        </w:rPr>
      </w:pPr>
      <w:r w:rsidRPr="00AC4AF2">
        <w:rPr>
          <w:rFonts w:ascii="Times New Roman" w:hAnsi="Times New Roman" w:cs="Times New Roman"/>
          <w:b/>
          <w:iCs/>
          <w:sz w:val="24"/>
          <w:szCs w:val="24"/>
          <w:lang w:val="en-GB"/>
        </w:rPr>
        <w:t>BALANCE SHEET as at 31/12/2018</w:t>
      </w:r>
    </w:p>
    <w:p w14:paraId="52405A2D" w14:textId="4BF97717"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A balance sheet is a financial statement that summarises a business's assets, liabilities, and investor interest at a certain point in time and serves as a guideline for calculating rates of return and assessing its capital structure. It is a financial statement that summarises the assets and liabilities of a company, as well as the amount spent by shareholders</w:t>
      </w:r>
      <w:r w:rsidR="000A04AA">
        <w:rPr>
          <w:rFonts w:ascii="Times New Roman" w:hAnsi="Times New Roman" w:cs="Times New Roman"/>
          <w:sz w:val="24"/>
          <w:szCs w:val="24"/>
          <w:lang w:val="en-GB"/>
        </w:rPr>
        <w:t xml:space="preserve"> </w:t>
      </w:r>
      <w:r w:rsidR="000A04AA" w:rsidRPr="000A04AA">
        <w:rPr>
          <w:rFonts w:ascii="Times New Roman" w:hAnsi="Times New Roman" w:cs="Times New Roman"/>
          <w:sz w:val="24"/>
          <w:szCs w:val="24"/>
          <w:lang w:val="en-GB"/>
        </w:rPr>
        <w:t>(Agtarap-San 2007)</w:t>
      </w:r>
      <w:r w:rsidRPr="008E3869">
        <w:rPr>
          <w:rFonts w:ascii="Times New Roman" w:hAnsi="Times New Roman" w:cs="Times New Roman"/>
          <w:sz w:val="24"/>
          <w:szCs w:val="24"/>
          <w:lang w:val="en-GB"/>
        </w:rPr>
        <w:t>.</w:t>
      </w:r>
    </w:p>
    <w:p w14:paraId="09D06038" w14:textId="0465E0A5"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For doing fundamental analyses or measuring financial ratios, the balance sheet is used in conjunction with other critical financial statements, such as the income statement and statement of cash flows</w:t>
      </w:r>
      <w:r w:rsidR="000A04AA">
        <w:rPr>
          <w:rFonts w:ascii="Times New Roman" w:hAnsi="Times New Roman" w:cs="Times New Roman"/>
          <w:sz w:val="24"/>
          <w:szCs w:val="24"/>
          <w:lang w:val="en-GB"/>
        </w:rPr>
        <w:t xml:space="preserve"> </w:t>
      </w:r>
      <w:r w:rsidR="000A04AA" w:rsidRPr="000A04AA">
        <w:rPr>
          <w:rFonts w:ascii="Times New Roman" w:hAnsi="Times New Roman" w:cs="Times New Roman"/>
          <w:sz w:val="24"/>
          <w:szCs w:val="24"/>
          <w:lang w:val="en-GB"/>
        </w:rPr>
        <w:t>(Ballada 2019)</w:t>
      </w:r>
      <w:r w:rsidRPr="008E3869">
        <w:rPr>
          <w:rFonts w:ascii="Times New Roman" w:hAnsi="Times New Roman" w:cs="Times New Roman"/>
          <w:sz w:val="24"/>
          <w:szCs w:val="24"/>
          <w:lang w:val="en-GB"/>
        </w:rPr>
        <w:t>.</w:t>
      </w:r>
    </w:p>
    <w:p w14:paraId="3FD1D86B" w14:textId="2625AA34"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The value of 'Plant and facilities' is shown on the balance sheet as non-current assets.</w:t>
      </w:r>
    </w:p>
    <w:p w14:paraId="6BF1865E" w14:textId="73D0A3B7"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Current assets are calculated as the amount of stock on hand as of 31 December 2018 (Inventory) + trade creditors (Trade receivables) + cash and bank (£330600 + £170125 + £12900 = £513625).</w:t>
      </w:r>
    </w:p>
    <w:p w14:paraId="0238D44B" w14:textId="064FAE82"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After I account for the receivables from buyers for the £980 good sold, the total current asset value will be £514605 (= £330600 + £171105 + £12900).</w:t>
      </w:r>
    </w:p>
    <w:p w14:paraId="5934F47F" w14:textId="77777777"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The Ordinary (£310000) and Preference (£300000) shares are included in the Balance sheet as part of the Equity.</w:t>
      </w:r>
    </w:p>
    <w:p w14:paraId="02F182CD" w14:textId="0633A50E"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I agree that the Company's issued Debentures must be repaid after one year. They are listed on the Balance Sheet as Non-Current Liabilities.</w:t>
      </w:r>
    </w:p>
    <w:p w14:paraId="0602BEDB" w14:textId="5A762A8C"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 xml:space="preserve">The equity, also known as shareholders' equity (or 'owners' equity for privately owned companies), is the sum of capital that would be returning to a company's shareholders if its properties were </w:t>
      </w:r>
      <w:r w:rsidR="000A04AA" w:rsidRPr="008E3869">
        <w:rPr>
          <w:rFonts w:ascii="Times New Roman" w:hAnsi="Times New Roman" w:cs="Times New Roman"/>
          <w:sz w:val="24"/>
          <w:szCs w:val="24"/>
          <w:lang w:val="en-GB"/>
        </w:rPr>
        <w:t>liquidated,</w:t>
      </w:r>
      <w:r w:rsidRPr="008E3869">
        <w:rPr>
          <w:rFonts w:ascii="Times New Roman" w:hAnsi="Times New Roman" w:cs="Times New Roman"/>
          <w:sz w:val="24"/>
          <w:szCs w:val="24"/>
          <w:lang w:val="en-GB"/>
        </w:rPr>
        <w:t xml:space="preserve"> and all debt was paid off in the event of a liquidation. In the case of a merger, that is the valuation of the business sold minus any untransferred obligations of the company. Additionally, stock interest may be used to represent a company's book value. Additionally, it denotes the pro-rata holding of a corporation's shares. Equity can be found on a company's balance sheet and is one of the most often used pieces of evidence for investors to determine a company's financial stability</w:t>
      </w:r>
      <w:r w:rsidR="000A04AA">
        <w:rPr>
          <w:rFonts w:ascii="Times New Roman" w:hAnsi="Times New Roman" w:cs="Times New Roman"/>
          <w:sz w:val="24"/>
          <w:szCs w:val="24"/>
          <w:lang w:val="en-GB"/>
        </w:rPr>
        <w:t xml:space="preserve"> </w:t>
      </w:r>
      <w:r w:rsidR="000A04AA" w:rsidRPr="000A04AA">
        <w:rPr>
          <w:rFonts w:ascii="Times New Roman" w:hAnsi="Times New Roman" w:cs="Times New Roman"/>
          <w:sz w:val="24"/>
          <w:szCs w:val="24"/>
          <w:lang w:val="en-GB"/>
        </w:rPr>
        <w:t>(Agtarap-San 2007)</w:t>
      </w:r>
      <w:r w:rsidRPr="008E3869">
        <w:rPr>
          <w:rFonts w:ascii="Times New Roman" w:hAnsi="Times New Roman" w:cs="Times New Roman"/>
          <w:sz w:val="24"/>
          <w:szCs w:val="24"/>
          <w:lang w:val="en-GB"/>
        </w:rPr>
        <w:t>.</w:t>
      </w:r>
    </w:p>
    <w:p w14:paraId="326079BA" w14:textId="47383B00" w:rsidR="008E3869" w:rsidRPr="008E3869"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A company's equity/capital consists of its common and preferred shares, other reserves, residual profits from past years, and existing gains before taxes</w:t>
      </w:r>
      <w:r w:rsidR="000A04AA">
        <w:rPr>
          <w:rFonts w:ascii="Times New Roman" w:hAnsi="Times New Roman" w:cs="Times New Roman"/>
          <w:sz w:val="24"/>
          <w:szCs w:val="24"/>
          <w:lang w:val="en-GB"/>
        </w:rPr>
        <w:t xml:space="preserve"> </w:t>
      </w:r>
      <w:r w:rsidR="000A04AA" w:rsidRPr="000A04AA">
        <w:rPr>
          <w:rFonts w:ascii="Times New Roman" w:hAnsi="Times New Roman" w:cs="Times New Roman"/>
          <w:sz w:val="24"/>
          <w:szCs w:val="24"/>
          <w:lang w:val="en-GB"/>
        </w:rPr>
        <w:t>(Agtarap-San 2007)</w:t>
      </w:r>
      <w:r w:rsidRPr="008E3869">
        <w:rPr>
          <w:rFonts w:ascii="Times New Roman" w:hAnsi="Times New Roman" w:cs="Times New Roman"/>
          <w:sz w:val="24"/>
          <w:szCs w:val="24"/>
          <w:lang w:val="en-GB"/>
        </w:rPr>
        <w:t>.</w:t>
      </w:r>
    </w:p>
    <w:p w14:paraId="1FC8D6EC" w14:textId="3A2AA7D1" w:rsidR="000B3697" w:rsidRPr="000B3697" w:rsidRDefault="008E3869" w:rsidP="008E3869">
      <w:pPr>
        <w:rPr>
          <w:rFonts w:ascii="Times New Roman" w:hAnsi="Times New Roman" w:cs="Times New Roman"/>
          <w:sz w:val="24"/>
          <w:szCs w:val="24"/>
          <w:lang w:val="en-GB"/>
        </w:rPr>
      </w:pPr>
      <w:r w:rsidRPr="008E3869">
        <w:rPr>
          <w:rFonts w:ascii="Times New Roman" w:hAnsi="Times New Roman" w:cs="Times New Roman"/>
          <w:sz w:val="24"/>
          <w:szCs w:val="24"/>
          <w:lang w:val="en-GB"/>
        </w:rPr>
        <w:t>Since calculating the profit before taxes, which can be counted in the gross sum of equity, the balance sheet is balanced.</w:t>
      </w:r>
    </w:p>
    <w:p w14:paraId="76E9DC65" w14:textId="77777777" w:rsidR="000B3697" w:rsidRPr="000B3697" w:rsidRDefault="000B3697" w:rsidP="006E7433">
      <w:pPr>
        <w:rPr>
          <w:rFonts w:ascii="Times New Roman" w:hAnsi="Times New Roman" w:cs="Times New Roman"/>
          <w:sz w:val="24"/>
          <w:szCs w:val="24"/>
          <w:lang w:val="en-GB"/>
        </w:rPr>
      </w:pPr>
    </w:p>
    <w:p w14:paraId="493D9BF0" w14:textId="77777777" w:rsidR="008E3869" w:rsidRDefault="008E3869" w:rsidP="006E7433">
      <w:pPr>
        <w:rPr>
          <w:rFonts w:ascii="Times New Roman" w:hAnsi="Times New Roman" w:cs="Times New Roman"/>
          <w:sz w:val="24"/>
          <w:szCs w:val="24"/>
          <w:lang w:val="en-GB"/>
        </w:rPr>
      </w:pPr>
    </w:p>
    <w:p w14:paraId="5BAEE8F3" w14:textId="77777777" w:rsidR="008E3869" w:rsidRDefault="008E3869" w:rsidP="006E7433">
      <w:pPr>
        <w:rPr>
          <w:rFonts w:ascii="Times New Roman" w:hAnsi="Times New Roman" w:cs="Times New Roman"/>
          <w:sz w:val="24"/>
          <w:szCs w:val="24"/>
          <w:lang w:val="en-GB"/>
        </w:rPr>
      </w:pPr>
    </w:p>
    <w:p w14:paraId="011E52E9" w14:textId="77777777" w:rsidR="008E3869" w:rsidRDefault="008E3869" w:rsidP="006E7433">
      <w:pPr>
        <w:rPr>
          <w:rFonts w:ascii="Times New Roman" w:hAnsi="Times New Roman" w:cs="Times New Roman"/>
          <w:sz w:val="24"/>
          <w:szCs w:val="24"/>
          <w:lang w:val="en-GB"/>
        </w:rPr>
      </w:pPr>
    </w:p>
    <w:p w14:paraId="7F9D0E40" w14:textId="77777777" w:rsidR="008E3869" w:rsidRDefault="008E3869" w:rsidP="006E7433">
      <w:pPr>
        <w:rPr>
          <w:rFonts w:ascii="Times New Roman" w:hAnsi="Times New Roman" w:cs="Times New Roman"/>
          <w:sz w:val="24"/>
          <w:szCs w:val="24"/>
          <w:lang w:val="en-GB"/>
        </w:rPr>
      </w:pPr>
    </w:p>
    <w:p w14:paraId="611CF48A" w14:textId="77777777" w:rsidR="008E3869" w:rsidRDefault="008E3869" w:rsidP="006E7433">
      <w:pPr>
        <w:rPr>
          <w:rFonts w:ascii="Times New Roman" w:hAnsi="Times New Roman" w:cs="Times New Roman"/>
          <w:sz w:val="24"/>
          <w:szCs w:val="24"/>
          <w:lang w:val="en-GB"/>
        </w:rPr>
      </w:pPr>
    </w:p>
    <w:p w14:paraId="402075F4" w14:textId="4738979B" w:rsidR="000B3697" w:rsidRPr="00BD02C3" w:rsidRDefault="000B3697" w:rsidP="006E7433">
      <w:pPr>
        <w:rPr>
          <w:rFonts w:ascii="Times New Roman" w:hAnsi="Times New Roman" w:cs="Times New Roman"/>
          <w:b/>
          <w:iCs/>
          <w:sz w:val="24"/>
          <w:szCs w:val="24"/>
          <w:lang w:val="en-GB"/>
        </w:rPr>
      </w:pPr>
      <w:r w:rsidRPr="00BD02C3">
        <w:rPr>
          <w:rFonts w:ascii="Times New Roman" w:hAnsi="Times New Roman" w:cs="Times New Roman"/>
          <w:b/>
          <w:iCs/>
          <w:sz w:val="24"/>
          <w:szCs w:val="24"/>
          <w:lang w:val="en-GB"/>
        </w:rPr>
        <w:t>QUESTION 2</w:t>
      </w:r>
    </w:p>
    <w:p w14:paraId="75D9BBCB" w14:textId="77777777" w:rsidR="000B3697" w:rsidRPr="00BD02C3" w:rsidRDefault="000B3697" w:rsidP="006E7433">
      <w:pPr>
        <w:rPr>
          <w:rFonts w:ascii="Times New Roman" w:hAnsi="Times New Roman" w:cs="Times New Roman"/>
          <w:bCs/>
          <w:sz w:val="24"/>
          <w:szCs w:val="24"/>
          <w:lang w:val="en-GB"/>
        </w:rPr>
      </w:pPr>
      <w:r w:rsidRPr="00BD02C3">
        <w:rPr>
          <w:rFonts w:ascii="Times New Roman" w:eastAsia="Times New Roman" w:hAnsi="Times New Roman" w:cs="Times New Roman"/>
          <w:b/>
          <w:bCs/>
          <w:color w:val="000000"/>
          <w:sz w:val="24"/>
          <w:szCs w:val="24"/>
          <w:lang w:val="en-GB" w:eastAsia="bg-BG"/>
        </w:rPr>
        <w:t>INVESTMENT RATIO</w:t>
      </w:r>
    </w:p>
    <w:p w14:paraId="3D063F4D" w14:textId="452FAE64" w:rsidR="000B3697" w:rsidRPr="000B3697" w:rsidRDefault="000B3697" w:rsidP="006E7433">
      <w:pPr>
        <w:pStyle w:val="ListParagraph"/>
        <w:numPr>
          <w:ilvl w:val="0"/>
          <w:numId w:val="2"/>
        </w:numPr>
        <w:ind w:left="567" w:hanging="425"/>
        <w:rPr>
          <w:rFonts w:ascii="Times New Roman" w:hAnsi="Times New Roman" w:cs="Times New Roman"/>
          <w:bCs/>
          <w:sz w:val="24"/>
          <w:szCs w:val="24"/>
          <w:lang w:val="en-GB"/>
        </w:rPr>
      </w:pPr>
      <w:r w:rsidRPr="000B3697">
        <w:rPr>
          <w:rFonts w:ascii="Times New Roman" w:eastAsia="Times New Roman" w:hAnsi="Times New Roman" w:cs="Times New Roman"/>
          <w:b/>
          <w:bCs/>
          <w:color w:val="000000"/>
          <w:sz w:val="24"/>
          <w:szCs w:val="24"/>
          <w:lang w:val="en-GB" w:eastAsia="bg-BG"/>
        </w:rPr>
        <w:t>Return on</w:t>
      </w:r>
      <w:r w:rsidR="00D75D05">
        <w:rPr>
          <w:rFonts w:ascii="Times New Roman" w:eastAsia="Times New Roman" w:hAnsi="Times New Roman" w:cs="Times New Roman"/>
          <w:b/>
          <w:bCs/>
          <w:color w:val="000000"/>
          <w:sz w:val="24"/>
          <w:szCs w:val="24"/>
          <w:lang w:val="en-GB" w:eastAsia="bg-BG"/>
        </w:rPr>
        <w:t xml:space="preserve"> Investment</w:t>
      </w:r>
    </w:p>
    <w:p w14:paraId="1D80D0D9" w14:textId="1F408D5E" w:rsidR="00206B5A" w:rsidRDefault="000B3697" w:rsidP="006E7433">
      <w:pPr>
        <w:pStyle w:val="ListParagraph"/>
        <w:ind w:left="567" w:hanging="425"/>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 xml:space="preserve">       </w:t>
      </w:r>
      <w:r w:rsidR="00206B5A" w:rsidRPr="00206B5A">
        <w:rPr>
          <w:rFonts w:ascii="Times New Roman" w:eastAsia="Times New Roman" w:hAnsi="Times New Roman" w:cs="Times New Roman"/>
          <w:color w:val="000000"/>
          <w:sz w:val="24"/>
          <w:szCs w:val="24"/>
          <w:lang w:val="en-GB" w:eastAsia="bg-BG"/>
        </w:rPr>
        <w:t>Return on investment (ROI) is a profitability metric that can be used to determine a business's financial performance. In other words, the ratio will be used to determine the efficiency at which a company derives revenue from its capital. The return on investment (ROI) ratio is one of several viability metrics that financial managers, borrowers, and prospective investors may use to assess a business's investment potential. The ROI formula calculates the benefit earned by a company from a £1 investment in working capital. Clearly, the more value a company generates per £1, the greater. Therefore, a higher return on investment equates to better business profitability</w:t>
      </w:r>
      <w:r w:rsidR="000A04AA">
        <w:rPr>
          <w:rFonts w:ascii="Times New Roman" w:eastAsia="Times New Roman" w:hAnsi="Times New Roman" w:cs="Times New Roman"/>
          <w:color w:val="000000"/>
          <w:sz w:val="24"/>
          <w:szCs w:val="24"/>
          <w:lang w:val="en-GB" w:eastAsia="bg-BG"/>
        </w:rPr>
        <w:t xml:space="preserve"> </w:t>
      </w:r>
      <w:r w:rsidR="000A04AA" w:rsidRPr="000A04AA">
        <w:rPr>
          <w:rFonts w:ascii="Times New Roman" w:eastAsia="Times New Roman" w:hAnsi="Times New Roman" w:cs="Times New Roman"/>
          <w:color w:val="000000"/>
          <w:sz w:val="24"/>
          <w:szCs w:val="24"/>
          <w:lang w:val="en-GB" w:eastAsia="bg-BG"/>
        </w:rPr>
        <w:t>(Ballada 2019)</w:t>
      </w:r>
      <w:r w:rsidR="00206B5A" w:rsidRPr="00206B5A">
        <w:rPr>
          <w:rFonts w:ascii="Times New Roman" w:eastAsia="Times New Roman" w:hAnsi="Times New Roman" w:cs="Times New Roman"/>
          <w:color w:val="000000"/>
          <w:sz w:val="24"/>
          <w:szCs w:val="24"/>
          <w:lang w:val="en-GB" w:eastAsia="bg-BG"/>
        </w:rPr>
        <w:t>.</w:t>
      </w:r>
    </w:p>
    <w:p w14:paraId="17CB7AC2" w14:textId="05B21FF6" w:rsidR="000B3697" w:rsidRPr="000B3697" w:rsidRDefault="000B3697" w:rsidP="006E7433">
      <w:pPr>
        <w:pStyle w:val="ListParagraph"/>
        <w:ind w:left="567" w:hanging="425"/>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b/>
          <w:bCs/>
          <w:color w:val="000000"/>
          <w:sz w:val="24"/>
          <w:szCs w:val="24"/>
          <w:lang w:val="en-GB" w:eastAsia="bg-BG"/>
        </w:rPr>
        <w:t xml:space="preserve">ROI = </w:t>
      </w:r>
      <w:r w:rsidR="00BD02C3" w:rsidRPr="000B3697">
        <w:rPr>
          <w:rFonts w:ascii="Times New Roman" w:eastAsia="Times New Roman" w:hAnsi="Times New Roman" w:cs="Times New Roman"/>
          <w:b/>
          <w:bCs/>
          <w:color w:val="000000"/>
          <w:sz w:val="24"/>
          <w:szCs w:val="24"/>
          <w:lang w:val="en-GB" w:eastAsia="bg-BG"/>
        </w:rPr>
        <w:t>Income before</w:t>
      </w:r>
      <w:r w:rsidRPr="000B3697">
        <w:rPr>
          <w:rFonts w:ascii="Times New Roman" w:eastAsia="Times New Roman" w:hAnsi="Times New Roman" w:cs="Times New Roman"/>
          <w:b/>
          <w:bCs/>
          <w:color w:val="000000"/>
          <w:sz w:val="24"/>
          <w:szCs w:val="24"/>
          <w:lang w:val="en-GB" w:eastAsia="bg-BG"/>
        </w:rPr>
        <w:t xml:space="preserve"> Interest and tax) / Working Capital</w:t>
      </w:r>
    </w:p>
    <w:p w14:paraId="7431134E" w14:textId="77777777" w:rsidR="000B3697" w:rsidRPr="000B3697" w:rsidRDefault="000B3697" w:rsidP="006E7433">
      <w:pPr>
        <w:pStyle w:val="ListParagraph"/>
        <w:ind w:left="567" w:hanging="425"/>
        <w:rPr>
          <w:rFonts w:ascii="Times New Roman" w:eastAsia="Times New Roman" w:hAnsi="Times New Roman" w:cs="Times New Roman"/>
          <w:color w:val="000000"/>
          <w:sz w:val="24"/>
          <w:szCs w:val="24"/>
          <w:lang w:val="en-GB" w:eastAsia="bg-BG"/>
        </w:rPr>
      </w:pPr>
      <w:r w:rsidRPr="000B3697">
        <w:rPr>
          <w:rFonts w:ascii="Times New Roman" w:eastAsia="Times New Roman" w:hAnsi="Times New Roman" w:cs="Times New Roman"/>
          <w:color w:val="000000"/>
          <w:sz w:val="24"/>
          <w:szCs w:val="24"/>
          <w:lang w:val="en-GB" w:eastAsia="bg-BG"/>
        </w:rPr>
        <w:t>where Capital employed is = Total assets - Current liabilities</w:t>
      </w:r>
    </w:p>
    <w:p w14:paraId="19BE8555" w14:textId="77777777" w:rsidR="000B3697" w:rsidRPr="000B3697" w:rsidRDefault="000B3697" w:rsidP="006E7433">
      <w:pPr>
        <w:pStyle w:val="ListParagraph"/>
        <w:ind w:left="567" w:hanging="425"/>
        <w:rPr>
          <w:rFonts w:ascii="Times New Roman" w:hAnsi="Times New Roman" w:cs="Times New Roman"/>
          <w:bCs/>
          <w:sz w:val="24"/>
          <w:szCs w:val="24"/>
          <w:lang w:val="en-GB"/>
        </w:rPr>
      </w:pPr>
    </w:p>
    <w:p w14:paraId="3D0DDA3B" w14:textId="77777777" w:rsidR="000B3697" w:rsidRPr="000B3697" w:rsidRDefault="000B3697" w:rsidP="006E7433">
      <w:pPr>
        <w:pStyle w:val="ListParagraph"/>
        <w:ind w:left="567" w:hanging="425"/>
        <w:rPr>
          <w:rFonts w:ascii="Times New Roman" w:hAnsi="Times New Roman" w:cs="Times New Roman"/>
          <w:b/>
          <w:bCs/>
          <w:sz w:val="24"/>
          <w:szCs w:val="24"/>
          <w:lang w:val="en-GB"/>
        </w:rPr>
      </w:pPr>
      <w:r w:rsidRPr="000B3697">
        <w:rPr>
          <w:rFonts w:ascii="Times New Roman" w:hAnsi="Times New Roman" w:cs="Times New Roman"/>
          <w:b/>
          <w:bCs/>
          <w:sz w:val="24"/>
          <w:szCs w:val="24"/>
          <w:lang w:val="en-GB"/>
        </w:rPr>
        <w:t>Calculations/Result</w:t>
      </w:r>
    </w:p>
    <w:p w14:paraId="5779E6CB"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699</w:t>
      </w:r>
      <w:proofErr w:type="gramStart"/>
      <w:r w:rsidRPr="000B3697">
        <w:rPr>
          <w:rFonts w:ascii="Times New Roman" w:hAnsi="Times New Roman" w:cs="Times New Roman"/>
          <w:bCs/>
          <w:sz w:val="24"/>
          <w:szCs w:val="24"/>
          <w:lang w:val="en-GB"/>
        </w:rPr>
        <w:t>/(</w:t>
      </w:r>
      <w:proofErr w:type="gramEnd"/>
      <w:r w:rsidRPr="000B3697">
        <w:rPr>
          <w:rFonts w:ascii="Times New Roman" w:hAnsi="Times New Roman" w:cs="Times New Roman"/>
          <w:bCs/>
          <w:sz w:val="24"/>
          <w:szCs w:val="24"/>
          <w:lang w:val="en-GB"/>
        </w:rPr>
        <w:t>10087-3046) * 100 = 10%</w:t>
      </w:r>
    </w:p>
    <w:p w14:paraId="2F7A1DB3" w14:textId="40925BAF" w:rsidR="000B3697" w:rsidRPr="00D75D05" w:rsidRDefault="000B3697" w:rsidP="00D75D05">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805</w:t>
      </w:r>
      <w:proofErr w:type="gramStart"/>
      <w:r w:rsidRPr="000B3697">
        <w:rPr>
          <w:rFonts w:ascii="Times New Roman" w:hAnsi="Times New Roman" w:cs="Times New Roman"/>
          <w:bCs/>
          <w:sz w:val="24"/>
          <w:szCs w:val="24"/>
          <w:lang w:val="en-GB"/>
        </w:rPr>
        <w:t>/(</w:t>
      </w:r>
      <w:proofErr w:type="gramEnd"/>
      <w:r w:rsidRPr="000B3697">
        <w:rPr>
          <w:rFonts w:ascii="Times New Roman" w:hAnsi="Times New Roman" w:cs="Times New Roman"/>
          <w:bCs/>
          <w:sz w:val="24"/>
          <w:szCs w:val="24"/>
          <w:lang w:val="en-GB"/>
        </w:rPr>
        <w:t>9736-2511) * 100 = 11%</w:t>
      </w:r>
    </w:p>
    <w:p w14:paraId="688F8F30" w14:textId="0542B3EB" w:rsidR="000B3697" w:rsidRPr="00D75D05" w:rsidRDefault="000B3697" w:rsidP="00D75D05">
      <w:pPr>
        <w:pStyle w:val="ListParagraph"/>
        <w:ind w:left="567"/>
        <w:rPr>
          <w:rFonts w:ascii="Times New Roman" w:hAnsi="Times New Roman" w:cs="Times New Roman"/>
          <w:bCs/>
          <w:sz w:val="24"/>
          <w:szCs w:val="24"/>
          <w:lang w:val="en-GB"/>
        </w:rPr>
      </w:pPr>
      <w:r w:rsidRPr="000B3697">
        <w:rPr>
          <w:rFonts w:ascii="Times New Roman" w:hAnsi="Times New Roman" w:cs="Times New Roman"/>
          <w:bCs/>
          <w:sz w:val="24"/>
          <w:szCs w:val="24"/>
          <w:lang w:val="en-GB"/>
        </w:rPr>
        <w:t xml:space="preserve">In 2018 for every £100 have been invested in the company, it </w:t>
      </w:r>
      <w:r w:rsidR="00EE1BD0" w:rsidRPr="000B3697">
        <w:rPr>
          <w:rFonts w:ascii="Times New Roman" w:hAnsi="Times New Roman" w:cs="Times New Roman"/>
          <w:bCs/>
          <w:sz w:val="24"/>
          <w:szCs w:val="24"/>
          <w:lang w:val="en-GB"/>
        </w:rPr>
        <w:t>gets</w:t>
      </w:r>
      <w:r w:rsidRPr="000B3697">
        <w:rPr>
          <w:rFonts w:ascii="Times New Roman" w:hAnsi="Times New Roman" w:cs="Times New Roman"/>
          <w:bCs/>
          <w:sz w:val="24"/>
          <w:szCs w:val="24"/>
          <w:lang w:val="en-GB"/>
        </w:rPr>
        <w:t xml:space="preserve"> £10 in return. This pace continues in 2019 with a slightly increase with 1%</w:t>
      </w:r>
    </w:p>
    <w:p w14:paraId="66750D8F" w14:textId="77777777" w:rsidR="000B3697" w:rsidRPr="000B3697" w:rsidRDefault="000B3697" w:rsidP="006E7433">
      <w:pPr>
        <w:pStyle w:val="ListParagraph"/>
        <w:numPr>
          <w:ilvl w:val="0"/>
          <w:numId w:val="2"/>
        </w:numPr>
        <w:ind w:left="567" w:hanging="425"/>
        <w:rPr>
          <w:rFonts w:ascii="Times New Roman" w:hAnsi="Times New Roman" w:cs="Times New Roman"/>
          <w:bCs/>
          <w:sz w:val="24"/>
          <w:szCs w:val="24"/>
          <w:lang w:val="en-GB"/>
        </w:rPr>
      </w:pPr>
      <w:r w:rsidRPr="000B3697">
        <w:rPr>
          <w:rFonts w:ascii="Times New Roman" w:eastAsia="Times New Roman" w:hAnsi="Times New Roman" w:cs="Times New Roman"/>
          <w:b/>
          <w:bCs/>
          <w:color w:val="000000"/>
          <w:sz w:val="24"/>
          <w:szCs w:val="24"/>
          <w:lang w:val="en-GB" w:eastAsia="bg-BG"/>
        </w:rPr>
        <w:t>Return on equity (ROE)</w:t>
      </w:r>
    </w:p>
    <w:p w14:paraId="00023D46" w14:textId="02E0575F" w:rsidR="00206B5A" w:rsidRDefault="00206B5A" w:rsidP="00D75D05">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 xml:space="preserve">The return on equity (ROE) is a financial efficiency metric that is determined by dividing net profits by shareholders' equity. </w:t>
      </w:r>
      <w:r w:rsidR="000A04AA" w:rsidRPr="00206B5A">
        <w:rPr>
          <w:rFonts w:ascii="Times New Roman" w:hAnsi="Times New Roman" w:cs="Times New Roman"/>
          <w:bCs/>
          <w:sz w:val="24"/>
          <w:szCs w:val="24"/>
          <w:lang w:val="en-GB"/>
        </w:rPr>
        <w:t>Since</w:t>
      </w:r>
      <w:r w:rsidRPr="00206B5A">
        <w:rPr>
          <w:rFonts w:ascii="Times New Roman" w:hAnsi="Times New Roman" w:cs="Times New Roman"/>
          <w:bCs/>
          <w:sz w:val="24"/>
          <w:szCs w:val="24"/>
          <w:lang w:val="en-GB"/>
        </w:rPr>
        <w:t xml:space="preserve"> shareholders' equity equals a company's assets minus its debt, ROE is referred to as return on net assets. ROE is a metric used to determine a corporation's viability in comparison to its stockholders' equity. Net income is the volume of revenue produced by a business after deducting expenses and taxes for a given time</w:t>
      </w:r>
      <w:r w:rsidR="000A04AA" w:rsidRPr="000A04AA">
        <w:t xml:space="preserve"> </w:t>
      </w:r>
      <w:r w:rsidR="000A04AA" w:rsidRPr="000A04AA">
        <w:rPr>
          <w:rFonts w:ascii="Times New Roman" w:hAnsi="Times New Roman" w:cs="Times New Roman"/>
          <w:bCs/>
          <w:sz w:val="24"/>
          <w:szCs w:val="24"/>
          <w:lang w:val="en-GB"/>
        </w:rPr>
        <w:t>(Ballada 2019)</w:t>
      </w:r>
      <w:r w:rsidRPr="00206B5A">
        <w:rPr>
          <w:rFonts w:ascii="Times New Roman" w:hAnsi="Times New Roman" w:cs="Times New Roman"/>
          <w:bCs/>
          <w:sz w:val="24"/>
          <w:szCs w:val="24"/>
          <w:lang w:val="en-GB"/>
        </w:rPr>
        <w:t>. The average shareholders' equity is determined by starting the cycle with zero equity. The period's start and end dates should correspond to the period from which net income is received. The income statement – a summary of financial performance for the preceding fiscal year or trailing 12 months – contains net income for that time. The balance sheet – a running balance of a company's entire history of asset and liability adjustments – is the source of shareholders' equity. Due to the mismatch between the income statement and the balance sheet, it is considered best practise to measure ROE using average equity over a lifetime. A typical investor shortcut is to see a return on equity near the S&amp;P 500's long-term average (14 percent) as an acceptable ratio and something less than 10% as bad</w:t>
      </w:r>
      <w:r w:rsidR="000A04AA">
        <w:rPr>
          <w:rFonts w:ascii="Times New Roman" w:hAnsi="Times New Roman" w:cs="Times New Roman"/>
          <w:bCs/>
          <w:sz w:val="24"/>
          <w:szCs w:val="24"/>
          <w:lang w:val="en-GB"/>
        </w:rPr>
        <w:t xml:space="preserve"> </w:t>
      </w:r>
      <w:r w:rsidR="000A04AA" w:rsidRPr="000A04AA">
        <w:rPr>
          <w:rFonts w:ascii="Times New Roman" w:hAnsi="Times New Roman" w:cs="Times New Roman"/>
          <w:bCs/>
          <w:sz w:val="24"/>
          <w:szCs w:val="24"/>
          <w:lang w:val="en-GB"/>
        </w:rPr>
        <w:t>(Wild 2015)</w:t>
      </w:r>
      <w:r w:rsidRPr="00206B5A">
        <w:rPr>
          <w:rFonts w:ascii="Times New Roman" w:hAnsi="Times New Roman" w:cs="Times New Roman"/>
          <w:bCs/>
          <w:sz w:val="24"/>
          <w:szCs w:val="24"/>
          <w:lang w:val="en-GB"/>
        </w:rPr>
        <w:t>.</w:t>
      </w:r>
    </w:p>
    <w:p w14:paraId="34B216F0" w14:textId="2C4F79D9" w:rsidR="000B3697" w:rsidRPr="00D75D05" w:rsidRDefault="000B3697" w:rsidP="00D75D05">
      <w:pPr>
        <w:rPr>
          <w:rFonts w:ascii="Times New Roman" w:hAnsi="Times New Roman" w:cs="Times New Roman"/>
          <w:bCs/>
          <w:sz w:val="24"/>
          <w:szCs w:val="24"/>
          <w:lang w:val="en-GB"/>
        </w:rPr>
      </w:pPr>
      <w:r w:rsidRPr="00D75D05">
        <w:rPr>
          <w:rFonts w:ascii="Times New Roman" w:hAnsi="Times New Roman" w:cs="Times New Roman"/>
          <w:b/>
          <w:bCs/>
          <w:sz w:val="24"/>
          <w:szCs w:val="24"/>
          <w:lang w:val="en-GB"/>
        </w:rPr>
        <w:t>ROE = Net Income / Average shareholders' equity</w:t>
      </w:r>
    </w:p>
    <w:p w14:paraId="2F26D1A6"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366 / 2912 * 100 = 13%</w:t>
      </w:r>
    </w:p>
    <w:p w14:paraId="2EFEBE8B" w14:textId="21859105" w:rsidR="000B3697" w:rsidRPr="00D75D05" w:rsidRDefault="000B3697" w:rsidP="00D75D05">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431 / 3088 * 100 = 14%</w:t>
      </w:r>
    </w:p>
    <w:p w14:paraId="1980A125" w14:textId="77777777" w:rsidR="00206B5A" w:rsidRPr="00206B5A" w:rsidRDefault="00206B5A"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In 2018, owners receive £13 for every £100 invested. This is considered fair and a high rate of return on equity. In 2019, we should anticipate a 1% rise. The corporation is profitable in terms of equity.</w:t>
      </w:r>
    </w:p>
    <w:p w14:paraId="75CC675A" w14:textId="77777777" w:rsidR="00206B5A" w:rsidRDefault="00206B5A" w:rsidP="00206B5A">
      <w:pPr>
        <w:rPr>
          <w:rFonts w:ascii="Times New Roman" w:hAnsi="Times New Roman" w:cs="Times New Roman"/>
          <w:bCs/>
          <w:sz w:val="24"/>
          <w:szCs w:val="24"/>
          <w:lang w:val="en-GB"/>
        </w:rPr>
      </w:pPr>
    </w:p>
    <w:p w14:paraId="4551F514" w14:textId="62EF3B1F" w:rsidR="000B3697" w:rsidRPr="00206B5A" w:rsidRDefault="000B3697" w:rsidP="00206B5A">
      <w:pPr>
        <w:rPr>
          <w:rFonts w:ascii="Times New Roman" w:hAnsi="Times New Roman" w:cs="Times New Roman"/>
          <w:bCs/>
          <w:sz w:val="24"/>
          <w:szCs w:val="24"/>
          <w:lang w:val="en-GB"/>
        </w:rPr>
      </w:pPr>
      <w:r w:rsidRPr="00206B5A">
        <w:rPr>
          <w:rFonts w:ascii="Times New Roman" w:eastAsia="Times New Roman" w:hAnsi="Times New Roman" w:cs="Times New Roman"/>
          <w:b/>
          <w:bCs/>
          <w:color w:val="000000"/>
          <w:sz w:val="24"/>
          <w:szCs w:val="24"/>
          <w:lang w:val="en-GB" w:eastAsia="bg-BG"/>
        </w:rPr>
        <w:t xml:space="preserve">Earnings per share </w:t>
      </w:r>
    </w:p>
    <w:p w14:paraId="60B84F73" w14:textId="7F680511" w:rsidR="00206B5A" w:rsidRDefault="00206B5A" w:rsidP="00D75D05">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 xml:space="preserve">The earnings per share statistic shows how much money a company earns for each share of its shares and is a commonly used metric for determining a company's worth. A higher EPS means more value, as buyers </w:t>
      </w:r>
      <w:r w:rsidR="000A04AA" w:rsidRPr="00206B5A">
        <w:rPr>
          <w:rFonts w:ascii="Times New Roman" w:hAnsi="Times New Roman" w:cs="Times New Roman"/>
          <w:bCs/>
          <w:sz w:val="24"/>
          <w:szCs w:val="24"/>
          <w:lang w:val="en-GB"/>
        </w:rPr>
        <w:t>will</w:t>
      </w:r>
      <w:r w:rsidRPr="00206B5A">
        <w:rPr>
          <w:rFonts w:ascii="Times New Roman" w:hAnsi="Times New Roman" w:cs="Times New Roman"/>
          <w:bCs/>
          <w:sz w:val="24"/>
          <w:szCs w:val="24"/>
          <w:lang w:val="en-GB"/>
        </w:rPr>
        <w:t xml:space="preserve"> pay a premium for a company's stock if they believe the company's earnings are higher in comparison to the share price</w:t>
      </w:r>
      <w:r w:rsidR="000A04AA">
        <w:rPr>
          <w:rFonts w:ascii="Times New Roman" w:hAnsi="Times New Roman" w:cs="Times New Roman"/>
          <w:bCs/>
          <w:sz w:val="24"/>
          <w:szCs w:val="24"/>
          <w:lang w:val="en-GB"/>
        </w:rPr>
        <w:t xml:space="preserve"> </w:t>
      </w:r>
      <w:r w:rsidR="000A04AA" w:rsidRPr="000A04AA">
        <w:rPr>
          <w:rFonts w:ascii="Times New Roman" w:hAnsi="Times New Roman" w:cs="Times New Roman"/>
          <w:bCs/>
          <w:sz w:val="24"/>
          <w:szCs w:val="24"/>
          <w:lang w:val="en-GB"/>
        </w:rPr>
        <w:t>(Wild 2015)</w:t>
      </w:r>
      <w:r w:rsidRPr="00206B5A">
        <w:rPr>
          <w:rFonts w:ascii="Times New Roman" w:hAnsi="Times New Roman" w:cs="Times New Roman"/>
          <w:bCs/>
          <w:sz w:val="24"/>
          <w:szCs w:val="24"/>
          <w:lang w:val="en-GB"/>
        </w:rPr>
        <w:t>.</w:t>
      </w:r>
    </w:p>
    <w:p w14:paraId="640B8ABC" w14:textId="6571FB08" w:rsidR="000B3697" w:rsidRPr="00D75D05" w:rsidRDefault="000B3697" w:rsidP="00D75D05">
      <w:pPr>
        <w:rPr>
          <w:rFonts w:ascii="Times New Roman" w:hAnsi="Times New Roman" w:cs="Times New Roman"/>
          <w:b/>
          <w:bCs/>
          <w:sz w:val="24"/>
          <w:szCs w:val="24"/>
          <w:lang w:val="en-GB"/>
        </w:rPr>
      </w:pPr>
      <w:r w:rsidRPr="00D75D05">
        <w:rPr>
          <w:rFonts w:ascii="Times New Roman" w:hAnsi="Times New Roman" w:cs="Times New Roman"/>
          <w:b/>
          <w:bCs/>
          <w:sz w:val="24"/>
          <w:szCs w:val="24"/>
          <w:lang w:val="en-GB"/>
        </w:rPr>
        <w:t>EPS = Net profit (earnings) / Ordinary shares</w:t>
      </w:r>
    </w:p>
    <w:p w14:paraId="29D649DB"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366/300 = 1.22</w:t>
      </w:r>
    </w:p>
    <w:p w14:paraId="4C3EF51D" w14:textId="16A1F77E" w:rsidR="00EE1BD0" w:rsidRPr="00E04046" w:rsidRDefault="000B3697" w:rsidP="00E04046">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431/300 = 1.44</w:t>
      </w:r>
    </w:p>
    <w:p w14:paraId="7EE87684" w14:textId="77777777" w:rsidR="00206B5A" w:rsidRDefault="00206B5A" w:rsidP="006E7433">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In 2018, the group earned £1,22 in net profit on each ordinary share owned. In 2019, the EPS ratio increases. The firm has a good financial position and is therefore a trustworthy investment.</w:t>
      </w:r>
    </w:p>
    <w:p w14:paraId="5B05091D" w14:textId="2BB8D407" w:rsidR="000B3697" w:rsidRPr="00206B5A" w:rsidRDefault="000B3697" w:rsidP="00206B5A">
      <w:pPr>
        <w:rPr>
          <w:rFonts w:ascii="Times New Roman" w:hAnsi="Times New Roman" w:cs="Times New Roman"/>
          <w:bCs/>
          <w:sz w:val="24"/>
          <w:szCs w:val="24"/>
          <w:lang w:val="en-GB"/>
        </w:rPr>
      </w:pPr>
      <w:r w:rsidRPr="00EE1BD0">
        <w:rPr>
          <w:rFonts w:ascii="Times New Roman" w:eastAsia="Times New Roman" w:hAnsi="Times New Roman" w:cs="Times New Roman"/>
          <w:b/>
          <w:bCs/>
          <w:color w:val="000000"/>
          <w:sz w:val="24"/>
          <w:szCs w:val="24"/>
          <w:lang w:val="en-GB" w:eastAsia="bg-BG"/>
        </w:rPr>
        <w:t>PROFITABILITY RATIOS</w:t>
      </w:r>
      <w:r w:rsidR="00206B5A">
        <w:rPr>
          <w:rFonts w:ascii="Times New Roman" w:hAnsi="Times New Roman" w:cs="Times New Roman"/>
          <w:bCs/>
          <w:sz w:val="24"/>
          <w:szCs w:val="24"/>
          <w:lang w:val="en-GB"/>
        </w:rPr>
        <w:br/>
      </w:r>
      <w:r w:rsidRPr="00206B5A">
        <w:rPr>
          <w:rFonts w:ascii="Times New Roman" w:hAnsi="Times New Roman" w:cs="Times New Roman"/>
          <w:b/>
          <w:bCs/>
          <w:sz w:val="24"/>
          <w:szCs w:val="24"/>
          <w:lang w:val="en-GB"/>
        </w:rPr>
        <w:t>Gross profit margin (GPM)</w:t>
      </w:r>
    </w:p>
    <w:p w14:paraId="26435892" w14:textId="591D9775" w:rsidR="00206B5A" w:rsidRDefault="00206B5A" w:rsidP="006E7433">
      <w:pPr>
        <w:pStyle w:val="ListParagraph"/>
        <w:ind w:left="567" w:hanging="425"/>
        <w:rPr>
          <w:rFonts w:ascii="Times New Roman" w:hAnsi="Times New Roman" w:cs="Times New Roman"/>
          <w:bCs/>
          <w:sz w:val="24"/>
          <w:szCs w:val="24"/>
          <w:lang w:val="en-GB"/>
        </w:rPr>
      </w:pPr>
      <w:r w:rsidRPr="00206B5A">
        <w:rPr>
          <w:rFonts w:ascii="Times New Roman" w:hAnsi="Times New Roman" w:cs="Times New Roman"/>
          <w:bCs/>
          <w:sz w:val="24"/>
          <w:szCs w:val="24"/>
          <w:lang w:val="en-GB"/>
        </w:rPr>
        <w:t>Gross profit margin is a financial statistic that analysts use to determine a company's financial health. It is calculated as the amount of money remaining by subtracting the cost of products sold from commodity profits (COGS). Gross profit margin, which is also referred to as the gross margin ratio, is usually expressed as a percentage of revenue. The gross profit margin ratio of a company is determined by subtracting the expense of products sold from the net profits (gross revenues minus returns, allowances, and discounts). The gross profit margin is then calculated in percentage terms by dividing this amount by net revenue</w:t>
      </w:r>
      <w:r w:rsidR="00E04046">
        <w:rPr>
          <w:rFonts w:ascii="Times New Roman" w:hAnsi="Times New Roman" w:cs="Times New Roman"/>
          <w:bCs/>
          <w:sz w:val="24"/>
          <w:szCs w:val="24"/>
          <w:lang w:val="en-GB"/>
        </w:rPr>
        <w:t xml:space="preserve"> </w:t>
      </w:r>
      <w:r w:rsidR="00E04046" w:rsidRPr="00E04046">
        <w:rPr>
          <w:rFonts w:ascii="Times New Roman" w:hAnsi="Times New Roman" w:cs="Times New Roman"/>
          <w:bCs/>
          <w:sz w:val="24"/>
          <w:szCs w:val="24"/>
          <w:lang w:val="en-GB"/>
        </w:rPr>
        <w:t>(Wild 2015)</w:t>
      </w:r>
      <w:r w:rsidRPr="00206B5A">
        <w:rPr>
          <w:rFonts w:ascii="Times New Roman" w:hAnsi="Times New Roman" w:cs="Times New Roman"/>
          <w:bCs/>
          <w:sz w:val="24"/>
          <w:szCs w:val="24"/>
          <w:lang w:val="en-GB"/>
        </w:rPr>
        <w:t>.</w:t>
      </w:r>
    </w:p>
    <w:p w14:paraId="04BCA767" w14:textId="77777777" w:rsidR="00206B5A" w:rsidRDefault="00206B5A" w:rsidP="006E7433">
      <w:pPr>
        <w:pStyle w:val="ListParagraph"/>
        <w:ind w:left="567" w:hanging="425"/>
        <w:rPr>
          <w:rFonts w:ascii="Times New Roman" w:hAnsi="Times New Roman" w:cs="Times New Roman"/>
          <w:bCs/>
          <w:sz w:val="24"/>
          <w:szCs w:val="24"/>
          <w:lang w:val="en-GB"/>
        </w:rPr>
      </w:pPr>
    </w:p>
    <w:p w14:paraId="74904B58" w14:textId="00A994C3" w:rsidR="000B3697" w:rsidRPr="000B3697" w:rsidRDefault="000B3697" w:rsidP="006E7433">
      <w:pPr>
        <w:pStyle w:val="ListParagraph"/>
        <w:ind w:left="567" w:hanging="425"/>
        <w:rPr>
          <w:rFonts w:ascii="Times New Roman" w:hAnsi="Times New Roman" w:cs="Times New Roman"/>
          <w:b/>
          <w:bCs/>
          <w:sz w:val="24"/>
          <w:szCs w:val="24"/>
          <w:lang w:val="en-GB"/>
        </w:rPr>
      </w:pPr>
      <w:r w:rsidRPr="000B3697">
        <w:rPr>
          <w:rFonts w:ascii="Times New Roman" w:hAnsi="Times New Roman" w:cs="Times New Roman"/>
          <w:b/>
          <w:bCs/>
          <w:sz w:val="24"/>
          <w:szCs w:val="24"/>
          <w:lang w:val="en-GB"/>
        </w:rPr>
        <w:t>Gross Profit Margin = (Net Sales − COGS) / Net Sales</w:t>
      </w:r>
    </w:p>
    <w:p w14:paraId="5EA7691A"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where COGS = cost of goods sold</w:t>
      </w:r>
    </w:p>
    <w:p w14:paraId="5777E748" w14:textId="77777777" w:rsidR="000B3697" w:rsidRPr="000B3697" w:rsidRDefault="000B3697" w:rsidP="006E7433">
      <w:pPr>
        <w:pStyle w:val="ListParagraph"/>
        <w:ind w:left="567" w:hanging="425"/>
        <w:rPr>
          <w:rFonts w:ascii="Times New Roman" w:hAnsi="Times New Roman" w:cs="Times New Roman"/>
          <w:bCs/>
          <w:sz w:val="24"/>
          <w:szCs w:val="24"/>
          <w:lang w:val="en-GB"/>
        </w:rPr>
      </w:pPr>
    </w:p>
    <w:p w14:paraId="2DF09105"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(6441-3096) / 6441 * 100 = 52%</w:t>
      </w:r>
    </w:p>
    <w:p w14:paraId="00F83AD2"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(6738-3235)/6738 * 100 = 52%</w:t>
      </w:r>
    </w:p>
    <w:p w14:paraId="7E40BC96" w14:textId="13062FE8" w:rsidR="000B3697" w:rsidRP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 xml:space="preserve">The company works with a margin of 52% of the Gross profit. This means that the company will earn £52 on every £100 sales. The ratio </w:t>
      </w:r>
      <w:r w:rsidR="00206B5A" w:rsidRPr="00206B5A">
        <w:rPr>
          <w:rFonts w:ascii="Times New Roman" w:hAnsi="Times New Roman" w:cs="Times New Roman"/>
          <w:bCs/>
          <w:sz w:val="24"/>
          <w:szCs w:val="24"/>
          <w:lang w:val="en-GB"/>
        </w:rPr>
        <w:t>does not</w:t>
      </w:r>
      <w:r w:rsidRPr="00206B5A">
        <w:rPr>
          <w:rFonts w:ascii="Times New Roman" w:hAnsi="Times New Roman" w:cs="Times New Roman"/>
          <w:bCs/>
          <w:sz w:val="24"/>
          <w:szCs w:val="24"/>
          <w:lang w:val="en-GB"/>
        </w:rPr>
        <w:t xml:space="preserve"> </w:t>
      </w:r>
      <w:r w:rsidR="00D75D05" w:rsidRPr="00206B5A">
        <w:rPr>
          <w:rFonts w:ascii="Times New Roman" w:hAnsi="Times New Roman" w:cs="Times New Roman"/>
          <w:bCs/>
          <w:sz w:val="24"/>
          <w:szCs w:val="24"/>
          <w:lang w:val="en-GB"/>
        </w:rPr>
        <w:t>fluctuate</w:t>
      </w:r>
      <w:r w:rsidRPr="00206B5A">
        <w:rPr>
          <w:rFonts w:ascii="Times New Roman" w:hAnsi="Times New Roman" w:cs="Times New Roman"/>
          <w:bCs/>
          <w:sz w:val="24"/>
          <w:szCs w:val="24"/>
          <w:lang w:val="en-GB"/>
        </w:rPr>
        <w:t xml:space="preserve"> in last 2 years.</w:t>
      </w:r>
    </w:p>
    <w:p w14:paraId="148FC546" w14:textId="77777777" w:rsidR="000B3697" w:rsidRP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Net profit margin (NPM)</w:t>
      </w:r>
    </w:p>
    <w:p w14:paraId="520D86C9" w14:textId="77777777" w:rsidR="00206B5A" w:rsidRPr="00E04046" w:rsidRDefault="00206B5A" w:rsidP="00E04046">
      <w:pPr>
        <w:rPr>
          <w:rFonts w:ascii="Times New Roman" w:hAnsi="Times New Roman" w:cs="Times New Roman"/>
          <w:bCs/>
          <w:sz w:val="24"/>
          <w:szCs w:val="24"/>
          <w:lang w:val="en-GB"/>
        </w:rPr>
      </w:pPr>
      <w:r w:rsidRPr="00E04046">
        <w:rPr>
          <w:rFonts w:ascii="Times New Roman" w:hAnsi="Times New Roman" w:cs="Times New Roman"/>
          <w:bCs/>
          <w:sz w:val="24"/>
          <w:szCs w:val="24"/>
          <w:lang w:val="en-GB"/>
        </w:rPr>
        <w:t>The net profit margin is proportional to the amount of sales created from net gain or profit. The net profit margin of a corporation or business division is the ratio of net income to sales. While net profit margin is usually expressed in percentage terms, it can also be expressed in decimal terms. The net profit margin indicates how much of a company's sales in GBP is profit.</w:t>
      </w:r>
    </w:p>
    <w:p w14:paraId="23F72802" w14:textId="0AE0DC8D" w:rsidR="000B3697" w:rsidRPr="00E04046" w:rsidRDefault="00206B5A" w:rsidP="00E04046">
      <w:pPr>
        <w:rPr>
          <w:rFonts w:ascii="Times New Roman" w:hAnsi="Times New Roman" w:cs="Times New Roman"/>
          <w:bCs/>
          <w:sz w:val="24"/>
          <w:szCs w:val="24"/>
          <w:lang w:val="en-GB"/>
        </w:rPr>
      </w:pPr>
      <w:r w:rsidRPr="00E04046">
        <w:rPr>
          <w:rFonts w:ascii="Times New Roman" w:hAnsi="Times New Roman" w:cs="Times New Roman"/>
          <w:bCs/>
          <w:sz w:val="24"/>
          <w:szCs w:val="24"/>
          <w:lang w:val="en-GB"/>
        </w:rPr>
        <w:t xml:space="preserve">Net profits </w:t>
      </w:r>
      <w:r w:rsidR="00E04046" w:rsidRPr="00E04046">
        <w:rPr>
          <w:rFonts w:ascii="Times New Roman" w:hAnsi="Times New Roman" w:cs="Times New Roman"/>
          <w:bCs/>
          <w:sz w:val="24"/>
          <w:szCs w:val="24"/>
          <w:lang w:val="en-GB"/>
        </w:rPr>
        <w:t>are</w:t>
      </w:r>
      <w:r w:rsidRPr="00E04046">
        <w:rPr>
          <w:rFonts w:ascii="Times New Roman" w:hAnsi="Times New Roman" w:cs="Times New Roman"/>
          <w:bCs/>
          <w:sz w:val="24"/>
          <w:szCs w:val="24"/>
          <w:lang w:val="en-GB"/>
        </w:rPr>
        <w:t xml:space="preserve"> often referred to as a company's bottom line or net profit. The term "net profit margin" is often used to refer to the profit margin. Net profits </w:t>
      </w:r>
      <w:r w:rsidR="00E04046" w:rsidRPr="00E04046">
        <w:rPr>
          <w:rFonts w:ascii="Times New Roman" w:hAnsi="Times New Roman" w:cs="Times New Roman"/>
          <w:bCs/>
          <w:sz w:val="24"/>
          <w:szCs w:val="24"/>
          <w:lang w:val="en-GB"/>
        </w:rPr>
        <w:t>are</w:t>
      </w:r>
      <w:r w:rsidRPr="00E04046">
        <w:rPr>
          <w:rFonts w:ascii="Times New Roman" w:hAnsi="Times New Roman" w:cs="Times New Roman"/>
          <w:bCs/>
          <w:sz w:val="24"/>
          <w:szCs w:val="24"/>
          <w:lang w:val="en-GB"/>
        </w:rPr>
        <w:t xml:space="preserve"> synonymous with net income on the income statement, though the words should be used interchangeably.</w:t>
      </w:r>
      <w:r w:rsidR="000B3697" w:rsidRPr="00E04046">
        <w:rPr>
          <w:rFonts w:ascii="Times New Roman" w:hAnsi="Times New Roman" w:cs="Times New Roman"/>
          <w:bCs/>
          <w:sz w:val="24"/>
          <w:szCs w:val="24"/>
          <w:lang w:val="en-GB"/>
        </w:rPr>
        <w:t xml:space="preserve">Net profit margin is one of the most important indicators of a company's financial health. By tracking increases and decreases in its net </w:t>
      </w:r>
      <w:r w:rsidR="000B3697" w:rsidRPr="00E04046">
        <w:rPr>
          <w:rFonts w:ascii="Times New Roman" w:hAnsi="Times New Roman" w:cs="Times New Roman"/>
          <w:bCs/>
          <w:sz w:val="24"/>
          <w:szCs w:val="24"/>
          <w:lang w:val="en-GB"/>
        </w:rPr>
        <w:lastRenderedPageBreak/>
        <w:t xml:space="preserve">profit margin, a company can assess whether current practices are </w:t>
      </w:r>
      <w:r w:rsidR="00EE1BD0" w:rsidRPr="00E04046">
        <w:rPr>
          <w:rFonts w:ascii="Times New Roman" w:hAnsi="Times New Roman" w:cs="Times New Roman"/>
          <w:bCs/>
          <w:sz w:val="24"/>
          <w:szCs w:val="24"/>
          <w:lang w:val="en-GB"/>
        </w:rPr>
        <w:t>working,</w:t>
      </w:r>
      <w:r w:rsidR="000B3697" w:rsidRPr="00E04046">
        <w:rPr>
          <w:rFonts w:ascii="Times New Roman" w:hAnsi="Times New Roman" w:cs="Times New Roman"/>
          <w:bCs/>
          <w:sz w:val="24"/>
          <w:szCs w:val="24"/>
          <w:lang w:val="en-GB"/>
        </w:rPr>
        <w:t xml:space="preserve"> and forecast profits based on revenues. Because companies express net profit margin as a percentage rather than </w:t>
      </w:r>
      <w:proofErr w:type="spellStart"/>
      <w:proofErr w:type="gramStart"/>
      <w:r w:rsidR="000B3697" w:rsidRPr="00E04046">
        <w:rPr>
          <w:rFonts w:ascii="Times New Roman" w:hAnsi="Times New Roman" w:cs="Times New Roman"/>
          <w:bCs/>
          <w:sz w:val="24"/>
          <w:szCs w:val="24"/>
          <w:lang w:val="en-GB"/>
        </w:rPr>
        <w:t>a</w:t>
      </w:r>
      <w:proofErr w:type="spellEnd"/>
      <w:proofErr w:type="gramEnd"/>
      <w:r w:rsidR="000B3697" w:rsidRPr="00E04046">
        <w:rPr>
          <w:rFonts w:ascii="Times New Roman" w:hAnsi="Times New Roman" w:cs="Times New Roman"/>
          <w:bCs/>
          <w:sz w:val="24"/>
          <w:szCs w:val="24"/>
          <w:lang w:val="en-GB"/>
        </w:rPr>
        <w:t xml:space="preserve"> amount, it is possible to compare the profitability of two or more businesses regardless of size</w:t>
      </w:r>
      <w:r w:rsidR="00E04046">
        <w:rPr>
          <w:rFonts w:ascii="Times New Roman" w:hAnsi="Times New Roman" w:cs="Times New Roman"/>
          <w:bCs/>
          <w:sz w:val="24"/>
          <w:szCs w:val="24"/>
          <w:lang w:val="en-GB"/>
        </w:rPr>
        <w:t xml:space="preserve"> </w:t>
      </w:r>
      <w:r w:rsidR="00E04046" w:rsidRPr="00E04046">
        <w:rPr>
          <w:rFonts w:ascii="Times New Roman" w:hAnsi="Times New Roman" w:cs="Times New Roman"/>
          <w:bCs/>
          <w:sz w:val="24"/>
          <w:szCs w:val="24"/>
          <w:lang w:val="en-GB"/>
        </w:rPr>
        <w:t>(Ballada 2019)</w:t>
      </w:r>
      <w:r w:rsidR="000B3697" w:rsidRPr="00E04046">
        <w:rPr>
          <w:rFonts w:ascii="Times New Roman" w:hAnsi="Times New Roman" w:cs="Times New Roman"/>
          <w:bCs/>
          <w:sz w:val="24"/>
          <w:szCs w:val="24"/>
          <w:lang w:val="en-GB"/>
        </w:rPr>
        <w:t>.</w:t>
      </w:r>
    </w:p>
    <w:p w14:paraId="5BC6A892" w14:textId="77777777" w:rsidR="000B3697" w:rsidRPr="000B3697" w:rsidRDefault="000B3697" w:rsidP="006E7433">
      <w:pPr>
        <w:pStyle w:val="ListParagraph"/>
        <w:ind w:left="567" w:hanging="425"/>
        <w:rPr>
          <w:rFonts w:ascii="Times New Roman" w:hAnsi="Times New Roman" w:cs="Times New Roman"/>
          <w:b/>
          <w:bCs/>
          <w:sz w:val="24"/>
          <w:szCs w:val="24"/>
          <w:lang w:val="en-GB"/>
        </w:rPr>
      </w:pPr>
      <w:r w:rsidRPr="000B3697">
        <w:rPr>
          <w:rFonts w:ascii="Times New Roman" w:hAnsi="Times New Roman" w:cs="Times New Roman"/>
          <w:b/>
          <w:bCs/>
          <w:sz w:val="24"/>
          <w:szCs w:val="24"/>
          <w:lang w:val="en-GB"/>
        </w:rPr>
        <w:t>Net Profit Margin = (R – COGS – E – I – T) / R * 100</w:t>
      </w:r>
    </w:p>
    <w:p w14:paraId="6F3DCCB1"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Where:</w:t>
      </w:r>
    </w:p>
    <w:p w14:paraId="30E29278"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R = Revenue</w:t>
      </w:r>
    </w:p>
    <w:p w14:paraId="7F19DC48" w14:textId="7CDD5510"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 xml:space="preserve">COGS = Cost </w:t>
      </w:r>
      <w:r w:rsidR="00D75D05" w:rsidRPr="000B3697">
        <w:rPr>
          <w:rFonts w:ascii="Times New Roman" w:hAnsi="Times New Roman" w:cs="Times New Roman"/>
          <w:bCs/>
          <w:sz w:val="24"/>
          <w:szCs w:val="24"/>
          <w:lang w:val="en-GB"/>
        </w:rPr>
        <w:t>of</w:t>
      </w:r>
      <w:r w:rsidRPr="000B3697">
        <w:rPr>
          <w:rFonts w:ascii="Times New Roman" w:hAnsi="Times New Roman" w:cs="Times New Roman"/>
          <w:bCs/>
          <w:sz w:val="24"/>
          <w:szCs w:val="24"/>
          <w:lang w:val="en-GB"/>
        </w:rPr>
        <w:t xml:space="preserve"> Goods Sold</w:t>
      </w:r>
    </w:p>
    <w:p w14:paraId="1E24BC6E"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E = Operating and other expenses</w:t>
      </w:r>
    </w:p>
    <w:p w14:paraId="025D8E9F"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I = Interest paid</w:t>
      </w:r>
    </w:p>
    <w:p w14:paraId="44560BD3" w14:textId="16005B57" w:rsidR="000B3697" w:rsidRPr="00D75D05" w:rsidRDefault="000B3697" w:rsidP="00D75D05">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T = Taxes paid</w:t>
      </w:r>
    </w:p>
    <w:p w14:paraId="34106FB3"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366/6441 * 100 = 6%</w:t>
      </w:r>
    </w:p>
    <w:p w14:paraId="2F61602D" w14:textId="0396B82D" w:rsidR="000B3697" w:rsidRPr="00D75D05" w:rsidRDefault="000B3697" w:rsidP="00D75D05">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431 / 6738 * 100 = 6%</w:t>
      </w:r>
    </w:p>
    <w:p w14:paraId="1FA46EFD" w14:textId="4B3CA0C5" w:rsidR="00206B5A" w:rsidRDefault="00206B5A" w:rsidP="006E7433">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 xml:space="preserve">Net profit is insufficient in comparison to gross profit. It is just 6% after payroll expenses, interest payments, and taxes are deducted. </w:t>
      </w:r>
      <w:r w:rsidR="00AE2B7A" w:rsidRPr="00206B5A">
        <w:rPr>
          <w:rFonts w:ascii="Times New Roman" w:hAnsi="Times New Roman" w:cs="Times New Roman"/>
          <w:bCs/>
          <w:sz w:val="24"/>
          <w:szCs w:val="24"/>
          <w:lang w:val="en-GB"/>
        </w:rPr>
        <w:t>Most of</w:t>
      </w:r>
      <w:r w:rsidRPr="00206B5A">
        <w:rPr>
          <w:rFonts w:ascii="Times New Roman" w:hAnsi="Times New Roman" w:cs="Times New Roman"/>
          <w:bCs/>
          <w:sz w:val="24"/>
          <w:szCs w:val="24"/>
          <w:lang w:val="en-GB"/>
        </w:rPr>
        <w:t xml:space="preserve"> the budget is devoted to publicity and sales expenses. They accounted for almost half of gross operating expenses in both 2018 and 2019.</w:t>
      </w:r>
    </w:p>
    <w:p w14:paraId="62BA5846" w14:textId="20D17C90" w:rsidR="000B3697" w:rsidRPr="00EE1BD0" w:rsidRDefault="000B3697" w:rsidP="006E7433">
      <w:pPr>
        <w:rPr>
          <w:rFonts w:ascii="Times New Roman" w:hAnsi="Times New Roman" w:cs="Times New Roman"/>
          <w:bCs/>
          <w:sz w:val="24"/>
          <w:szCs w:val="24"/>
          <w:lang w:val="en-GB"/>
        </w:rPr>
      </w:pPr>
      <w:r w:rsidRPr="00EE1BD0">
        <w:rPr>
          <w:rFonts w:ascii="Times New Roman" w:eastAsia="Times New Roman" w:hAnsi="Times New Roman" w:cs="Times New Roman"/>
          <w:b/>
          <w:bCs/>
          <w:color w:val="000000"/>
          <w:sz w:val="24"/>
          <w:szCs w:val="24"/>
          <w:lang w:val="en-GB" w:eastAsia="bg-BG"/>
        </w:rPr>
        <w:t>EFFICIENCY RATIOS</w:t>
      </w:r>
    </w:p>
    <w:p w14:paraId="21D953B1" w14:textId="77777777" w:rsidR="000B3697" w:rsidRP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Asset turnover</w:t>
      </w:r>
    </w:p>
    <w:p w14:paraId="5362EA3F" w14:textId="77777777" w:rsidR="00206B5A" w:rsidRPr="00206B5A" w:rsidRDefault="00206B5A"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The asset turnover ratio quantifies a business's sales or profits in relation to the valuation of its inventory. The asset turnover ratio can be used to determine how efficiently a business uses its assets to produce sales.</w:t>
      </w:r>
    </w:p>
    <w:p w14:paraId="14C14922" w14:textId="77777777" w:rsidR="00206B5A" w:rsidRPr="00206B5A" w:rsidRDefault="00206B5A"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A higher asset turnover ratio indicates that a business is more effective at extracting income from its investments. On the other hand, a poor inventory turnover ratio means that a business is not effectively using its assets to produce revenue.</w:t>
      </w:r>
    </w:p>
    <w:p w14:paraId="561F5373" w14:textId="77777777" w:rsidR="00206B5A" w:rsidRPr="00206B5A" w:rsidRDefault="00206B5A"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The ratio of net income or earnings to average assets is called asset turnover.</w:t>
      </w:r>
    </w:p>
    <w:p w14:paraId="0AD1422A" w14:textId="77777777" w:rsidR="00206B5A" w:rsidRPr="00206B5A" w:rsidRDefault="00206B5A"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This measure enables investors to determine how efficiently businesses use their properties to produce revenue.</w:t>
      </w:r>
    </w:p>
    <w:p w14:paraId="18E40181" w14:textId="77777777" w:rsidR="00206B5A" w:rsidRPr="00206B5A" w:rsidRDefault="00206B5A"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The asset turnover ratio is used by investors to compare competing firms in the same industry or category.</w:t>
      </w:r>
    </w:p>
    <w:p w14:paraId="2C56D388" w14:textId="75124E88" w:rsidR="000B3697" w:rsidRPr="00206B5A" w:rsidRDefault="00206B5A"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Per year, a company's asset turnover ratio will be affected by both large asset transactions and large asset acquisitions. The asset turnover ratio is usually measured on an annual basis. The higher the inventory turnover ratio, the more profitable the business, as higher ratios indicate that the business generates more sales per pound of assets. Certain industries have a higher stock turnover ratio than others. Retail and consumer staples, for example, have limited asset bases but large revenue volumes, resulting in the highest overall asset turnover ratio</w:t>
      </w:r>
      <w:r w:rsidR="00E04046">
        <w:rPr>
          <w:rFonts w:ascii="Times New Roman" w:hAnsi="Times New Roman" w:cs="Times New Roman"/>
          <w:bCs/>
          <w:sz w:val="24"/>
          <w:szCs w:val="24"/>
          <w:lang w:val="en-GB"/>
        </w:rPr>
        <w:t xml:space="preserve"> </w:t>
      </w:r>
      <w:r w:rsidR="00E04046" w:rsidRPr="00E04046">
        <w:rPr>
          <w:rFonts w:ascii="Times New Roman" w:hAnsi="Times New Roman" w:cs="Times New Roman"/>
          <w:bCs/>
          <w:sz w:val="24"/>
          <w:szCs w:val="24"/>
          <w:lang w:val="en-GB"/>
        </w:rPr>
        <w:t>(Ballada 2019)</w:t>
      </w:r>
      <w:r w:rsidRPr="00206B5A">
        <w:rPr>
          <w:rFonts w:ascii="Times New Roman" w:hAnsi="Times New Roman" w:cs="Times New Roman"/>
          <w:bCs/>
          <w:sz w:val="24"/>
          <w:szCs w:val="24"/>
          <w:lang w:val="en-GB"/>
        </w:rPr>
        <w:t>. On the other hand, companies in industries such as infrastructure and real estate have substantial equity bases and a low turnover of assets.</w:t>
      </w:r>
      <w:r w:rsidR="00AE2B7A">
        <w:rPr>
          <w:rFonts w:ascii="Times New Roman" w:hAnsi="Times New Roman" w:cs="Times New Roman"/>
          <w:bCs/>
          <w:sz w:val="24"/>
          <w:szCs w:val="24"/>
          <w:lang w:val="en-GB"/>
        </w:rPr>
        <w:t xml:space="preserve"> </w:t>
      </w:r>
      <w:r w:rsidR="000B3697" w:rsidRPr="00206B5A">
        <w:rPr>
          <w:rFonts w:ascii="Times New Roman" w:hAnsi="Times New Roman" w:cs="Times New Roman"/>
          <w:bCs/>
          <w:sz w:val="24"/>
          <w:szCs w:val="24"/>
          <w:lang w:val="en-GB"/>
        </w:rPr>
        <w:t xml:space="preserve">Since this ratio can vary widely from one industry to the next, comparing the asset turnover ratios of a retail company and a telecommunications company would not be very productive. </w:t>
      </w:r>
      <w:r w:rsidR="000B3697" w:rsidRPr="00206B5A">
        <w:rPr>
          <w:rFonts w:ascii="Times New Roman" w:hAnsi="Times New Roman" w:cs="Times New Roman"/>
          <w:bCs/>
          <w:sz w:val="24"/>
          <w:szCs w:val="24"/>
          <w:lang w:val="en-GB"/>
        </w:rPr>
        <w:lastRenderedPageBreak/>
        <w:t>Comparisons are only meaningful when they are made for different companies within the same sector</w:t>
      </w:r>
      <w:r w:rsidR="00E04046">
        <w:rPr>
          <w:rFonts w:ascii="Times New Roman" w:hAnsi="Times New Roman" w:cs="Times New Roman"/>
          <w:bCs/>
          <w:sz w:val="24"/>
          <w:szCs w:val="24"/>
          <w:lang w:val="en-GB"/>
        </w:rPr>
        <w:t xml:space="preserve"> </w:t>
      </w:r>
      <w:r w:rsidR="00E04046" w:rsidRPr="00E04046">
        <w:rPr>
          <w:rFonts w:ascii="Times New Roman" w:hAnsi="Times New Roman" w:cs="Times New Roman"/>
          <w:bCs/>
          <w:sz w:val="24"/>
          <w:szCs w:val="24"/>
          <w:lang w:val="en-GB"/>
        </w:rPr>
        <w:t>(Agtarap-San 2007)</w:t>
      </w:r>
      <w:r w:rsidR="000B3697" w:rsidRPr="00206B5A">
        <w:rPr>
          <w:rFonts w:ascii="Times New Roman" w:hAnsi="Times New Roman" w:cs="Times New Roman"/>
          <w:bCs/>
          <w:sz w:val="24"/>
          <w:szCs w:val="24"/>
          <w:lang w:val="en-GB"/>
        </w:rPr>
        <w:t>.</w:t>
      </w:r>
    </w:p>
    <w:p w14:paraId="72DB950A" w14:textId="3E3DB862" w:rsidR="000B3697" w:rsidRP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Assets Turnover = Total turnover / Capital employed,</w:t>
      </w:r>
      <w:r w:rsidR="00206B5A">
        <w:rPr>
          <w:rFonts w:ascii="Times New Roman" w:hAnsi="Times New Roman" w:cs="Times New Roman"/>
          <w:b/>
          <w:bCs/>
          <w:sz w:val="24"/>
          <w:szCs w:val="24"/>
          <w:lang w:val="en-GB"/>
        </w:rPr>
        <w:t xml:space="preserve"> </w:t>
      </w:r>
      <w:r w:rsidRPr="00206B5A">
        <w:rPr>
          <w:rFonts w:ascii="Times New Roman" w:hAnsi="Times New Roman" w:cs="Times New Roman"/>
          <w:bCs/>
          <w:sz w:val="24"/>
          <w:szCs w:val="24"/>
          <w:lang w:val="en-GB"/>
        </w:rPr>
        <w:t>where Capital employed is = Total assets - Current liabilities</w:t>
      </w:r>
    </w:p>
    <w:p w14:paraId="6CF1990A"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6411 / (10087-3046) = 0.91</w:t>
      </w:r>
    </w:p>
    <w:p w14:paraId="245BAE37" w14:textId="4917EFD4" w:rsidR="000B3697" w:rsidRPr="00AE2B7A" w:rsidRDefault="000B3697" w:rsidP="00AE2B7A">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6738 / (9736-2511) = 0.93</w:t>
      </w:r>
    </w:p>
    <w:p w14:paraId="6C374473" w14:textId="5AF60D64" w:rsidR="000B3697" w:rsidRP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 xml:space="preserve">The asset turnover is with low result in both 2018 and 2019. It is under 1. This means that the company is not efficiently using assets to generate </w:t>
      </w:r>
      <w:r w:rsidR="00EE1BD0" w:rsidRPr="00206B5A">
        <w:rPr>
          <w:rFonts w:ascii="Times New Roman" w:hAnsi="Times New Roman" w:cs="Times New Roman"/>
          <w:bCs/>
          <w:sz w:val="24"/>
          <w:szCs w:val="24"/>
          <w:lang w:val="en-GB"/>
        </w:rPr>
        <w:t>sales.</w:t>
      </w:r>
    </w:p>
    <w:p w14:paraId="7300FC7F" w14:textId="56283FEA" w:rsidR="000B3697" w:rsidRP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 xml:space="preserve">Stock holding period / Inventory </w:t>
      </w:r>
      <w:r w:rsidR="00EE1BD0" w:rsidRPr="00206B5A">
        <w:rPr>
          <w:rFonts w:ascii="Times New Roman" w:hAnsi="Times New Roman" w:cs="Times New Roman"/>
          <w:b/>
          <w:bCs/>
          <w:sz w:val="24"/>
          <w:szCs w:val="24"/>
          <w:lang w:val="en-GB"/>
        </w:rPr>
        <w:t>Turnover.</w:t>
      </w:r>
    </w:p>
    <w:p w14:paraId="34C9B273" w14:textId="4DB1928B" w:rsidR="006F4882" w:rsidRPr="006F4882" w:rsidRDefault="006F4882" w:rsidP="006F4882">
      <w:pPr>
        <w:pStyle w:val="ListParagraph"/>
        <w:ind w:left="567" w:hanging="425"/>
        <w:rPr>
          <w:rFonts w:ascii="Times New Roman" w:hAnsi="Times New Roman" w:cs="Times New Roman"/>
          <w:bCs/>
          <w:sz w:val="24"/>
          <w:szCs w:val="24"/>
          <w:lang w:val="en-GB"/>
        </w:rPr>
      </w:pPr>
      <w:r w:rsidRPr="006F4882">
        <w:rPr>
          <w:rFonts w:ascii="Times New Roman" w:hAnsi="Times New Roman" w:cs="Times New Roman"/>
          <w:bCs/>
          <w:sz w:val="24"/>
          <w:szCs w:val="24"/>
          <w:lang w:val="en-GB"/>
        </w:rPr>
        <w:t>Inventory turnover is a ratio that indicates how much a business sells and replaces inventory over a</w:t>
      </w:r>
      <w:r w:rsidR="00E04046">
        <w:rPr>
          <w:rFonts w:ascii="Times New Roman" w:hAnsi="Times New Roman" w:cs="Times New Roman"/>
          <w:bCs/>
          <w:sz w:val="24"/>
          <w:szCs w:val="24"/>
          <w:lang w:val="en-GB"/>
        </w:rPr>
        <w:t xml:space="preserve"> </w:t>
      </w:r>
      <w:r w:rsidRPr="006F4882">
        <w:rPr>
          <w:rFonts w:ascii="Times New Roman" w:hAnsi="Times New Roman" w:cs="Times New Roman"/>
          <w:bCs/>
          <w:sz w:val="24"/>
          <w:szCs w:val="24"/>
          <w:lang w:val="en-GB"/>
        </w:rPr>
        <w:t>specified time span. The days in the cycle will then be divided by the inventory turnover calculation to determine the number of days required to sell the inventory on hand. Calculating inventory turnover enables companies to make more informed choices on sales, sourcing, marketing, and new inventory purchases</w:t>
      </w:r>
      <w:r w:rsidR="00E04046">
        <w:rPr>
          <w:rFonts w:ascii="Times New Roman" w:hAnsi="Times New Roman" w:cs="Times New Roman"/>
          <w:bCs/>
          <w:sz w:val="24"/>
          <w:szCs w:val="24"/>
          <w:lang w:val="en-GB"/>
        </w:rPr>
        <w:t xml:space="preserve"> </w:t>
      </w:r>
      <w:r w:rsidR="00E04046" w:rsidRPr="00E04046">
        <w:rPr>
          <w:rFonts w:ascii="Times New Roman" w:hAnsi="Times New Roman" w:cs="Times New Roman"/>
          <w:bCs/>
          <w:sz w:val="24"/>
          <w:szCs w:val="24"/>
          <w:lang w:val="en-GB"/>
        </w:rPr>
        <w:t>(Agtarap-San 2007)</w:t>
      </w:r>
      <w:r w:rsidRPr="006F4882">
        <w:rPr>
          <w:rFonts w:ascii="Times New Roman" w:hAnsi="Times New Roman" w:cs="Times New Roman"/>
          <w:bCs/>
          <w:sz w:val="24"/>
          <w:szCs w:val="24"/>
          <w:lang w:val="en-GB"/>
        </w:rPr>
        <w:t>.</w:t>
      </w:r>
    </w:p>
    <w:p w14:paraId="38CFB521" w14:textId="23DA2F44" w:rsidR="006F4882" w:rsidRPr="006F4882" w:rsidRDefault="006F4882" w:rsidP="006F4882">
      <w:pPr>
        <w:pStyle w:val="ListParagraph"/>
        <w:ind w:left="567" w:hanging="425"/>
        <w:rPr>
          <w:rFonts w:ascii="Times New Roman" w:hAnsi="Times New Roman" w:cs="Times New Roman"/>
          <w:bCs/>
          <w:sz w:val="24"/>
          <w:szCs w:val="24"/>
          <w:lang w:val="en-GB"/>
        </w:rPr>
      </w:pPr>
      <w:r w:rsidRPr="006F4882">
        <w:rPr>
          <w:rFonts w:ascii="Times New Roman" w:hAnsi="Times New Roman" w:cs="Times New Roman"/>
          <w:bCs/>
          <w:sz w:val="24"/>
          <w:szCs w:val="24"/>
          <w:lang w:val="en-GB"/>
        </w:rPr>
        <w:t>Stock turnover is a metric that investors use to determine how quickly a business sells its inventory and how it compares to market averages. A poor turnover rate indicates sluggish revenue and potentially surplus inventory, referred to as overstocking. It may be an indication of an issue with the products being sold or a product of insufficient promotion</w:t>
      </w:r>
      <w:r w:rsidR="00E04046">
        <w:rPr>
          <w:rFonts w:ascii="Times New Roman" w:hAnsi="Times New Roman" w:cs="Times New Roman"/>
          <w:bCs/>
          <w:sz w:val="24"/>
          <w:szCs w:val="24"/>
          <w:lang w:val="en-GB"/>
        </w:rPr>
        <w:t xml:space="preserve"> </w:t>
      </w:r>
      <w:r w:rsidR="00E04046" w:rsidRPr="00E04046">
        <w:rPr>
          <w:rFonts w:ascii="Times New Roman" w:hAnsi="Times New Roman" w:cs="Times New Roman"/>
          <w:bCs/>
          <w:sz w:val="24"/>
          <w:szCs w:val="24"/>
          <w:lang w:val="en-GB"/>
        </w:rPr>
        <w:t>(Agtarap-San 2007)</w:t>
      </w:r>
      <w:r w:rsidRPr="006F4882">
        <w:rPr>
          <w:rFonts w:ascii="Times New Roman" w:hAnsi="Times New Roman" w:cs="Times New Roman"/>
          <w:bCs/>
          <w:sz w:val="24"/>
          <w:szCs w:val="24"/>
          <w:lang w:val="en-GB"/>
        </w:rPr>
        <w:t>.</w:t>
      </w:r>
    </w:p>
    <w:p w14:paraId="1364742E" w14:textId="1FAFCDB7" w:rsidR="006F4882" w:rsidRPr="006F4882" w:rsidRDefault="006F4882" w:rsidP="006F4882">
      <w:pPr>
        <w:pStyle w:val="ListParagraph"/>
        <w:ind w:left="567" w:hanging="425"/>
        <w:rPr>
          <w:rFonts w:ascii="Times New Roman" w:hAnsi="Times New Roman" w:cs="Times New Roman"/>
          <w:bCs/>
          <w:sz w:val="24"/>
          <w:szCs w:val="24"/>
          <w:lang w:val="en-GB"/>
        </w:rPr>
      </w:pPr>
      <w:r w:rsidRPr="006F4882">
        <w:rPr>
          <w:rFonts w:ascii="Times New Roman" w:hAnsi="Times New Roman" w:cs="Times New Roman"/>
          <w:bCs/>
          <w:sz w:val="24"/>
          <w:szCs w:val="24"/>
          <w:lang w:val="en-GB"/>
        </w:rPr>
        <w:t>A high ratio indicates either high sales volume or inadequate inventory. The former is preferable, while the latter can result in business loss. A low inventory turnover rate can be advantageous under some circumstances, such as when costs are predicted to escalate (inventory is pre-positioned to satisfy rapidly the demand) or when shortages are predicted</w:t>
      </w:r>
      <w:r w:rsidR="00E04046">
        <w:rPr>
          <w:rFonts w:ascii="Times New Roman" w:hAnsi="Times New Roman" w:cs="Times New Roman"/>
          <w:bCs/>
          <w:sz w:val="24"/>
          <w:szCs w:val="24"/>
          <w:lang w:val="en-GB"/>
        </w:rPr>
        <w:t xml:space="preserve"> </w:t>
      </w:r>
      <w:r w:rsidR="00E04046" w:rsidRPr="00E04046">
        <w:rPr>
          <w:rFonts w:ascii="Times New Roman" w:hAnsi="Times New Roman" w:cs="Times New Roman"/>
          <w:bCs/>
          <w:sz w:val="24"/>
          <w:szCs w:val="24"/>
          <w:lang w:val="en-GB"/>
        </w:rPr>
        <w:t>(Agtarap-San 2007)</w:t>
      </w:r>
      <w:r w:rsidRPr="006F4882">
        <w:rPr>
          <w:rFonts w:ascii="Times New Roman" w:hAnsi="Times New Roman" w:cs="Times New Roman"/>
          <w:bCs/>
          <w:sz w:val="24"/>
          <w:szCs w:val="24"/>
          <w:lang w:val="en-GB"/>
        </w:rPr>
        <w:t>.</w:t>
      </w:r>
    </w:p>
    <w:p w14:paraId="0AD28909" w14:textId="725996C6" w:rsidR="006F4882" w:rsidRDefault="006F4882" w:rsidP="006F4882">
      <w:pPr>
        <w:pStyle w:val="ListParagraph"/>
        <w:ind w:left="567" w:hanging="425"/>
        <w:rPr>
          <w:rFonts w:ascii="Times New Roman" w:hAnsi="Times New Roman" w:cs="Times New Roman"/>
          <w:bCs/>
          <w:sz w:val="24"/>
          <w:szCs w:val="24"/>
          <w:lang w:val="en-GB"/>
        </w:rPr>
      </w:pPr>
      <w:r w:rsidRPr="006F4882">
        <w:rPr>
          <w:rFonts w:ascii="Times New Roman" w:hAnsi="Times New Roman" w:cs="Times New Roman"/>
          <w:bCs/>
          <w:sz w:val="24"/>
          <w:szCs w:val="24"/>
          <w:lang w:val="en-GB"/>
        </w:rPr>
        <w:t>The rate at which a business can sell its inventory is a key indicator of its success. Retailers who transfer products quickly often outperform their competitors. The longer an item is stored, the greater the holding rate, and the less reasons shoppers will return to the store for new products</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(Agtarap-San 2007)</w:t>
      </w:r>
      <w:r w:rsidRPr="006F4882">
        <w:rPr>
          <w:rFonts w:ascii="Times New Roman" w:hAnsi="Times New Roman" w:cs="Times New Roman"/>
          <w:bCs/>
          <w:sz w:val="24"/>
          <w:szCs w:val="24"/>
          <w:lang w:val="en-GB"/>
        </w:rPr>
        <w:t>.</w:t>
      </w:r>
    </w:p>
    <w:p w14:paraId="5F7FEB18" w14:textId="77777777" w:rsidR="006F4882" w:rsidRDefault="006F4882" w:rsidP="006F4882">
      <w:pPr>
        <w:pStyle w:val="ListParagraph"/>
        <w:ind w:left="567" w:hanging="425"/>
        <w:rPr>
          <w:rFonts w:ascii="Times New Roman" w:hAnsi="Times New Roman" w:cs="Times New Roman"/>
          <w:bCs/>
          <w:sz w:val="24"/>
          <w:szCs w:val="24"/>
          <w:lang w:val="en-GB"/>
        </w:rPr>
      </w:pPr>
    </w:p>
    <w:p w14:paraId="383670EC" w14:textId="035A3887" w:rsidR="000B3697" w:rsidRPr="000B3697" w:rsidRDefault="000B3697" w:rsidP="006F4882">
      <w:pPr>
        <w:pStyle w:val="ListParagraph"/>
        <w:ind w:left="567" w:hanging="425"/>
        <w:rPr>
          <w:rFonts w:ascii="Times New Roman" w:hAnsi="Times New Roman" w:cs="Times New Roman"/>
          <w:b/>
          <w:bCs/>
          <w:sz w:val="24"/>
          <w:szCs w:val="24"/>
          <w:lang w:val="en-GB"/>
        </w:rPr>
      </w:pPr>
      <w:r w:rsidRPr="000B3697">
        <w:rPr>
          <w:rFonts w:ascii="Times New Roman" w:hAnsi="Times New Roman" w:cs="Times New Roman"/>
          <w:b/>
          <w:bCs/>
          <w:sz w:val="24"/>
          <w:szCs w:val="24"/>
          <w:lang w:val="en-GB"/>
        </w:rPr>
        <w:t xml:space="preserve">Inventory Turnover = (Inventory / Cost </w:t>
      </w:r>
      <w:r w:rsidR="00AE2B7A" w:rsidRPr="000B3697">
        <w:rPr>
          <w:rFonts w:ascii="Times New Roman" w:hAnsi="Times New Roman" w:cs="Times New Roman"/>
          <w:b/>
          <w:bCs/>
          <w:sz w:val="24"/>
          <w:szCs w:val="24"/>
          <w:lang w:val="en-GB"/>
        </w:rPr>
        <w:t>of</w:t>
      </w:r>
      <w:r w:rsidRPr="000B3697">
        <w:rPr>
          <w:rFonts w:ascii="Times New Roman" w:hAnsi="Times New Roman" w:cs="Times New Roman"/>
          <w:b/>
          <w:bCs/>
          <w:sz w:val="24"/>
          <w:szCs w:val="24"/>
          <w:lang w:val="en-GB"/>
        </w:rPr>
        <w:t xml:space="preserve"> Goods Sold) * 365</w:t>
      </w:r>
    </w:p>
    <w:p w14:paraId="1B96D9CA" w14:textId="77777777" w:rsidR="000B3697" w:rsidRPr="000B3697" w:rsidRDefault="000B3697" w:rsidP="006E7433">
      <w:pPr>
        <w:pStyle w:val="ListParagraph"/>
        <w:ind w:left="567" w:hanging="425"/>
        <w:rPr>
          <w:rFonts w:ascii="Times New Roman" w:hAnsi="Times New Roman" w:cs="Times New Roman"/>
          <w:b/>
          <w:bCs/>
          <w:sz w:val="24"/>
          <w:szCs w:val="24"/>
          <w:lang w:val="en-GB"/>
        </w:rPr>
      </w:pPr>
    </w:p>
    <w:p w14:paraId="052DDBE0"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(659/3096) * 365 = 78 days</w:t>
      </w:r>
    </w:p>
    <w:p w14:paraId="4B58CA69"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(708/3235) * 365 = 80 days</w:t>
      </w:r>
    </w:p>
    <w:p w14:paraId="2BE411A8" w14:textId="647FF6F9" w:rsidR="006F4882" w:rsidRDefault="006F4882" w:rsidP="00206B5A">
      <w:pPr>
        <w:rPr>
          <w:rFonts w:ascii="Times New Roman" w:hAnsi="Times New Roman" w:cs="Times New Roman"/>
          <w:bCs/>
          <w:sz w:val="24"/>
          <w:szCs w:val="24"/>
          <w:lang w:val="en-GB"/>
        </w:rPr>
      </w:pPr>
      <w:r w:rsidRPr="006F4882">
        <w:rPr>
          <w:rFonts w:ascii="Times New Roman" w:hAnsi="Times New Roman" w:cs="Times New Roman"/>
          <w:bCs/>
          <w:sz w:val="24"/>
          <w:szCs w:val="24"/>
          <w:lang w:val="en-GB"/>
        </w:rPr>
        <w:t xml:space="preserve">Stock turnover is more than a month (twice or more), and it is expected to rise in 2019. (it takes 80 days to turn inventory into sales). The corporation is a retailer with global distribution. </w:t>
      </w:r>
      <w:r w:rsidR="007A7CE2" w:rsidRPr="006F4882">
        <w:rPr>
          <w:rFonts w:ascii="Times New Roman" w:hAnsi="Times New Roman" w:cs="Times New Roman"/>
          <w:bCs/>
          <w:sz w:val="24"/>
          <w:szCs w:val="24"/>
          <w:lang w:val="en-GB"/>
        </w:rPr>
        <w:t>Considering</w:t>
      </w:r>
      <w:r w:rsidRPr="006F4882">
        <w:rPr>
          <w:rFonts w:ascii="Times New Roman" w:hAnsi="Times New Roman" w:cs="Times New Roman"/>
          <w:bCs/>
          <w:sz w:val="24"/>
          <w:szCs w:val="24"/>
          <w:lang w:val="en-GB"/>
        </w:rPr>
        <w:t xml:space="preserve"> this detail, we should conclude that this is a typical time, as the organisation must retain inventory in order to maintain a steady stream of output.</w:t>
      </w:r>
    </w:p>
    <w:p w14:paraId="762BF92E" w14:textId="166B4288" w:rsidR="000B3697" w:rsidRPr="00206B5A" w:rsidRDefault="00EE1BD0" w:rsidP="00206B5A">
      <w:pPr>
        <w:rPr>
          <w:rFonts w:ascii="Times New Roman" w:hAnsi="Times New Roman" w:cs="Times New Roman"/>
          <w:bCs/>
          <w:sz w:val="24"/>
          <w:szCs w:val="24"/>
          <w:lang w:val="en-GB"/>
        </w:rPr>
      </w:pPr>
      <w:r w:rsidRPr="00206B5A">
        <w:rPr>
          <w:rFonts w:ascii="Times New Roman" w:hAnsi="Times New Roman" w:cs="Times New Roman"/>
          <w:b/>
          <w:bCs/>
          <w:sz w:val="24"/>
          <w:szCs w:val="24"/>
          <w:lang w:val="en-GB"/>
        </w:rPr>
        <w:t>Debtors’</w:t>
      </w:r>
      <w:r w:rsidR="000B3697" w:rsidRPr="00206B5A">
        <w:rPr>
          <w:rFonts w:ascii="Times New Roman" w:hAnsi="Times New Roman" w:cs="Times New Roman"/>
          <w:b/>
          <w:bCs/>
          <w:sz w:val="24"/>
          <w:szCs w:val="24"/>
          <w:lang w:val="en-GB"/>
        </w:rPr>
        <w:t xml:space="preserve"> collection period / Average Collection Period</w:t>
      </w:r>
    </w:p>
    <w:p w14:paraId="03A7EDD4" w14:textId="4FEAAF9A"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typical recovery period is the time period over which a company receives fees from its customers in terms of accounts receivable. Businesses determine the average collecting time in order to ensure they have sufficient cash on hand to fulfil their financial commitments</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(Wild 2015)</w:t>
      </w:r>
      <w:r w:rsidRPr="00AE2B7A">
        <w:rPr>
          <w:rFonts w:ascii="Times New Roman" w:hAnsi="Times New Roman" w:cs="Times New Roman"/>
          <w:bCs/>
          <w:sz w:val="24"/>
          <w:szCs w:val="24"/>
          <w:lang w:val="en-GB"/>
        </w:rPr>
        <w:t>.</w:t>
      </w:r>
    </w:p>
    <w:p w14:paraId="5C5B8B45" w14:textId="7C52F6E3"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lastRenderedPageBreak/>
        <w:t>The estimated recovery duration is determined by measuring the average account receivable balance by the period's cumulative net credit purchases and multiplying the quotient by the period's number of days</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(Wild 2015)</w:t>
      </w:r>
      <w:r w:rsidRPr="00AE2B7A">
        <w:rPr>
          <w:rFonts w:ascii="Times New Roman" w:hAnsi="Times New Roman" w:cs="Times New Roman"/>
          <w:bCs/>
          <w:sz w:val="24"/>
          <w:szCs w:val="24"/>
          <w:lang w:val="en-GB"/>
        </w:rPr>
        <w:t>.</w:t>
      </w:r>
    </w:p>
    <w:p w14:paraId="3EFACB2E" w14:textId="77777777"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average recovery time is critical for businesses that depend heavily on receivables to generate cash.</w:t>
      </w:r>
    </w:p>
    <w:p w14:paraId="365179E1" w14:textId="381B12E8"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average collection period is defined as the average number of days between the date of a credit sale and the date of payment by the purchaser. The typical recovery time of a business is representative of its accounts receivable accounting activities' efficacy. Businesses must be able to handle their overall collection time effectively in order to function efficiently</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(Ballada 2019)</w:t>
      </w:r>
      <w:r w:rsidRPr="00AE2B7A">
        <w:rPr>
          <w:rFonts w:ascii="Times New Roman" w:hAnsi="Times New Roman" w:cs="Times New Roman"/>
          <w:bCs/>
          <w:sz w:val="24"/>
          <w:szCs w:val="24"/>
          <w:lang w:val="en-GB"/>
        </w:rPr>
        <w:t>.</w:t>
      </w:r>
    </w:p>
    <w:p w14:paraId="6EBD823B" w14:textId="1AAACF64"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In general, a shorter average collection time is preferable to a longer average collection period. A short overall collection time reflects the organization's ability to receive payments quickly. However, there is a disadvantage to this, since it can mean that the company's credit conditions are too tight. Customers may look for suppliers or service providers that provide more accommodating payment terms</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(Ballada 2019)</w:t>
      </w:r>
      <w:r w:rsidRPr="00AE2B7A">
        <w:rPr>
          <w:rFonts w:ascii="Times New Roman" w:hAnsi="Times New Roman" w:cs="Times New Roman"/>
          <w:bCs/>
          <w:sz w:val="24"/>
          <w:szCs w:val="24"/>
          <w:lang w:val="en-GB"/>
        </w:rPr>
        <w:t>.</w:t>
      </w:r>
    </w:p>
    <w:p w14:paraId="2DB650CF" w14:textId="59526AEA" w:rsid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cumulative balance of accounts receivable is determined by combining the opening and closing balances of accounts receivable and dividing by two. For the sake of convenience, when measuring the total compilation time for an entire year, 365 may be used as the number of days in a year</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(Ballada 2019)</w:t>
      </w:r>
      <w:r w:rsidRPr="00AE2B7A">
        <w:rPr>
          <w:rFonts w:ascii="Times New Roman" w:hAnsi="Times New Roman" w:cs="Times New Roman"/>
          <w:bCs/>
          <w:sz w:val="24"/>
          <w:szCs w:val="24"/>
          <w:lang w:val="en-GB"/>
        </w:rPr>
        <w:t>.</w:t>
      </w:r>
    </w:p>
    <w:p w14:paraId="3777AB98" w14:textId="05767D6C" w:rsidR="000B3697" w:rsidRPr="00206B5A" w:rsidRDefault="000B3697" w:rsidP="00AE2B7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Debtors Collection Period = Trade receivables / Sales * 365</w:t>
      </w:r>
    </w:p>
    <w:p w14:paraId="0F6E5971" w14:textId="77777777" w:rsid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2018: = (1287/6441) * 365 = 73 days</w:t>
      </w:r>
    </w:p>
    <w:p w14:paraId="05E540A9" w14:textId="68F4B91C" w:rsidR="000B3697" w:rsidRP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2019: = (1249/6738) * 365 = 68 days</w:t>
      </w:r>
    </w:p>
    <w:p w14:paraId="22F06BB2" w14:textId="77777777" w:rsidR="00AE2B7A" w:rsidRDefault="00AE2B7A" w:rsidP="00206B5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corporation collects fees in about 70 days. The ratio fluctuates marginally between 2018 and 2019. (decreases to 68 days comparing with 2018 - 73 days). To make a definitive determination of whether this indicator is below appropriate standards, we need to understand how the business negotiates payment terms with its clients. Given the company's global reach, this metric is appropriate.</w:t>
      </w:r>
    </w:p>
    <w:p w14:paraId="2FD966DC" w14:textId="4AE088E4" w:rsidR="00206B5A" w:rsidRDefault="00EE1BD0" w:rsidP="00206B5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Creditor’s</w:t>
      </w:r>
      <w:r w:rsidR="000B3697" w:rsidRPr="00206B5A">
        <w:rPr>
          <w:rFonts w:ascii="Times New Roman" w:hAnsi="Times New Roman" w:cs="Times New Roman"/>
          <w:b/>
          <w:bCs/>
          <w:sz w:val="24"/>
          <w:szCs w:val="24"/>
          <w:lang w:val="en-GB"/>
        </w:rPr>
        <w:t xml:space="preserve"> payment period / Days Payable Outstanding</w:t>
      </w:r>
    </w:p>
    <w:p w14:paraId="783AF81B" w14:textId="350508B1"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Days payable unpaid is a financial ratio that reflects how long it takes on average (in days) for a business to pay its bills and invoices to its trade creditors, who can include manufacturers, retailers, or financiers. The percentage is usually measured quarterly or annually and reflects how well the organisation manages its cash outflows</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(Ballada 2019)</w:t>
      </w:r>
      <w:r w:rsidRPr="00AE2B7A">
        <w:rPr>
          <w:rFonts w:ascii="Times New Roman" w:hAnsi="Times New Roman" w:cs="Times New Roman"/>
          <w:bCs/>
          <w:sz w:val="24"/>
          <w:szCs w:val="24"/>
          <w:lang w:val="en-GB"/>
        </w:rPr>
        <w:t>.</w:t>
      </w:r>
    </w:p>
    <w:p w14:paraId="094D23F1" w14:textId="68399EA1" w:rsidR="00AE2B7A" w:rsidRPr="00AE2B7A" w:rsidRDefault="007A7CE2"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An</w:t>
      </w:r>
      <w:r w:rsidR="00AE2B7A" w:rsidRPr="00AE2B7A">
        <w:rPr>
          <w:rFonts w:ascii="Times New Roman" w:hAnsi="Times New Roman" w:cs="Times New Roman"/>
          <w:bCs/>
          <w:sz w:val="24"/>
          <w:szCs w:val="24"/>
          <w:lang w:val="en-GB"/>
        </w:rPr>
        <w:t xml:space="preserve"> organisation with a higher DPO value takes longer to cover the bills, which means it will keep unused funds for a longer </w:t>
      </w:r>
      <w:r w:rsidRPr="00AE2B7A">
        <w:rPr>
          <w:rFonts w:ascii="Times New Roman" w:hAnsi="Times New Roman" w:cs="Times New Roman"/>
          <w:bCs/>
          <w:sz w:val="24"/>
          <w:szCs w:val="24"/>
          <w:lang w:val="en-GB"/>
        </w:rPr>
        <w:t>period</w:t>
      </w:r>
      <w:r w:rsidR="00AE2B7A" w:rsidRPr="00AE2B7A">
        <w:rPr>
          <w:rFonts w:ascii="Times New Roman" w:hAnsi="Times New Roman" w:cs="Times New Roman"/>
          <w:bCs/>
          <w:sz w:val="24"/>
          <w:szCs w:val="24"/>
          <w:lang w:val="en-GB"/>
        </w:rPr>
        <w:t>, giving the company the ability to reap the profits of those funds. A high DPO, on the other hand, can be a warning sign of an organization's failure to pay its bills on time</w:t>
      </w:r>
      <w:r>
        <w:rPr>
          <w:rFonts w:ascii="Times New Roman" w:hAnsi="Times New Roman" w:cs="Times New Roman"/>
          <w:bCs/>
          <w:sz w:val="24"/>
          <w:szCs w:val="24"/>
          <w:lang w:val="en-GB"/>
        </w:rPr>
        <w:t xml:space="preserve"> </w:t>
      </w:r>
      <w:r w:rsidRPr="007A7CE2">
        <w:rPr>
          <w:rFonts w:ascii="Times New Roman" w:hAnsi="Times New Roman" w:cs="Times New Roman"/>
          <w:bCs/>
          <w:sz w:val="24"/>
          <w:szCs w:val="24"/>
          <w:lang w:val="en-GB"/>
        </w:rPr>
        <w:t>(Ballada 2019)</w:t>
      </w:r>
      <w:r w:rsidR="00AE2B7A" w:rsidRPr="00AE2B7A">
        <w:rPr>
          <w:rFonts w:ascii="Times New Roman" w:hAnsi="Times New Roman" w:cs="Times New Roman"/>
          <w:bCs/>
          <w:sz w:val="24"/>
          <w:szCs w:val="24"/>
          <w:lang w:val="en-GB"/>
        </w:rPr>
        <w:t>.</w:t>
      </w:r>
    </w:p>
    <w:p w14:paraId="6F68790A" w14:textId="77E71192"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days payable outstanding (DPO) metric is used to determine the total amount of days required by a business to meet its bills and obligations</w:t>
      </w:r>
      <w:r w:rsidR="007A7CE2">
        <w:rPr>
          <w:rFonts w:ascii="Times New Roman" w:hAnsi="Times New Roman" w:cs="Times New Roman"/>
          <w:bCs/>
          <w:sz w:val="24"/>
          <w:szCs w:val="24"/>
          <w:lang w:val="en-GB"/>
        </w:rPr>
        <w:t xml:space="preserve"> </w:t>
      </w:r>
      <w:r w:rsidR="007A7CE2">
        <w:rPr>
          <w:rFonts w:ascii="Montserrat" w:hAnsi="Montserrat"/>
          <w:color w:val="333333"/>
          <w:sz w:val="21"/>
          <w:szCs w:val="21"/>
          <w:shd w:val="clear" w:color="auto" w:fill="FFFFFF"/>
        </w:rPr>
        <w:t>(Ballada 2019)</w:t>
      </w:r>
      <w:r w:rsidRPr="00AE2B7A">
        <w:rPr>
          <w:rFonts w:ascii="Times New Roman" w:hAnsi="Times New Roman" w:cs="Times New Roman"/>
          <w:bCs/>
          <w:sz w:val="24"/>
          <w:szCs w:val="24"/>
          <w:lang w:val="en-GB"/>
        </w:rPr>
        <w:t>.</w:t>
      </w:r>
    </w:p>
    <w:p w14:paraId="15F86015" w14:textId="569D05DA"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lastRenderedPageBreak/>
        <w:t>Companies with a high DPO will defer payments and use the available cash for short-term acquisitions, working capital expansion, and free cash flow generation</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(Agtarap-San 2007)</w:t>
      </w:r>
      <w:r w:rsidRPr="00AE2B7A">
        <w:rPr>
          <w:rFonts w:ascii="Times New Roman" w:hAnsi="Times New Roman" w:cs="Times New Roman"/>
          <w:bCs/>
          <w:sz w:val="24"/>
          <w:szCs w:val="24"/>
          <w:lang w:val="en-GB"/>
        </w:rPr>
        <w:t>.</w:t>
      </w:r>
    </w:p>
    <w:p w14:paraId="7EAABF8B" w14:textId="1A3FF109" w:rsid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However, while higher DPO values are desirable, they may not always be beneficial to the company, as they may indicate a cash shortage and failure to pay</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(Agtarap-San 2007)</w:t>
      </w:r>
      <w:r w:rsidRPr="00AE2B7A">
        <w:rPr>
          <w:rFonts w:ascii="Times New Roman" w:hAnsi="Times New Roman" w:cs="Times New Roman"/>
          <w:bCs/>
          <w:sz w:val="24"/>
          <w:szCs w:val="24"/>
          <w:lang w:val="en-GB"/>
        </w:rPr>
        <w:t>.</w:t>
      </w:r>
    </w:p>
    <w:p w14:paraId="55B90DC2" w14:textId="0BA972EE" w:rsidR="000B3697" w:rsidRPr="00206B5A" w:rsidRDefault="00EE1BD0" w:rsidP="00AE2B7A">
      <w:pPr>
        <w:rPr>
          <w:rFonts w:ascii="Times New Roman" w:hAnsi="Times New Roman" w:cs="Times New Roman"/>
          <w:bCs/>
          <w:sz w:val="24"/>
          <w:szCs w:val="24"/>
          <w:lang w:val="en-GB"/>
        </w:rPr>
      </w:pPr>
      <w:r w:rsidRPr="00206B5A">
        <w:rPr>
          <w:rFonts w:ascii="Times New Roman" w:hAnsi="Times New Roman" w:cs="Times New Roman"/>
          <w:b/>
          <w:bCs/>
          <w:sz w:val="24"/>
          <w:szCs w:val="24"/>
          <w:lang w:val="en-GB"/>
        </w:rPr>
        <w:t>Creditor’s</w:t>
      </w:r>
      <w:r w:rsidR="000B3697" w:rsidRPr="00206B5A">
        <w:rPr>
          <w:rFonts w:ascii="Times New Roman" w:hAnsi="Times New Roman" w:cs="Times New Roman"/>
          <w:b/>
          <w:bCs/>
          <w:sz w:val="24"/>
          <w:szCs w:val="24"/>
          <w:lang w:val="en-GB"/>
        </w:rPr>
        <w:t xml:space="preserve"> payment period = Trade payables / Credit Purchases (or Cost of sales) * 365</w:t>
      </w:r>
    </w:p>
    <w:p w14:paraId="37519D26"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(655/3096) * 365 = 77 days</w:t>
      </w:r>
    </w:p>
    <w:p w14:paraId="04701065" w14:textId="688B59F6" w:rsidR="000B3697" w:rsidRPr="00D75D05" w:rsidRDefault="000B3697" w:rsidP="00D75D05">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(583/3235) * 365 = 66 days</w:t>
      </w:r>
    </w:p>
    <w:p w14:paraId="2F45C033" w14:textId="7BD3754A" w:rsidR="006E7433" w:rsidRDefault="000B3697" w:rsidP="006E7433">
      <w:pPr>
        <w:pStyle w:val="ListParagraph"/>
        <w:ind w:left="567"/>
        <w:rPr>
          <w:rFonts w:ascii="Times New Roman" w:hAnsi="Times New Roman" w:cs="Times New Roman"/>
          <w:bCs/>
          <w:sz w:val="24"/>
          <w:szCs w:val="24"/>
          <w:lang w:val="en-GB"/>
        </w:rPr>
      </w:pPr>
      <w:r w:rsidRPr="000B3697">
        <w:rPr>
          <w:rFonts w:ascii="Times New Roman" w:hAnsi="Times New Roman" w:cs="Times New Roman"/>
          <w:bCs/>
          <w:sz w:val="24"/>
          <w:szCs w:val="24"/>
          <w:lang w:val="en-GB"/>
        </w:rPr>
        <w:t xml:space="preserve">It takes at around 70 days for the company to pay its bills to trade creditors, which may include suppliers, vendors, or financiers. The ratio varies slightly during 2018 and 2019 (decreases </w:t>
      </w:r>
      <w:r w:rsidR="007A7CE2" w:rsidRPr="000B3697">
        <w:rPr>
          <w:rFonts w:ascii="Times New Roman" w:hAnsi="Times New Roman" w:cs="Times New Roman"/>
          <w:bCs/>
          <w:sz w:val="24"/>
          <w:szCs w:val="24"/>
          <w:lang w:val="en-GB"/>
        </w:rPr>
        <w:t>to 66</w:t>
      </w:r>
      <w:r w:rsidRPr="000B3697">
        <w:rPr>
          <w:rFonts w:ascii="Times New Roman" w:hAnsi="Times New Roman" w:cs="Times New Roman"/>
          <w:bCs/>
          <w:sz w:val="24"/>
          <w:szCs w:val="24"/>
          <w:lang w:val="en-GB"/>
        </w:rPr>
        <w:t xml:space="preserve"> days comparing with 2018 - 77 days)</w:t>
      </w:r>
    </w:p>
    <w:p w14:paraId="23DD0031" w14:textId="5AF62066" w:rsidR="000B3697" w:rsidRPr="006E7433" w:rsidRDefault="000B3697" w:rsidP="006E7433">
      <w:pPr>
        <w:rPr>
          <w:rFonts w:ascii="Times New Roman" w:hAnsi="Times New Roman" w:cs="Times New Roman"/>
          <w:bCs/>
          <w:sz w:val="24"/>
          <w:szCs w:val="24"/>
          <w:lang w:val="en-GB"/>
        </w:rPr>
      </w:pPr>
      <w:r w:rsidRPr="006E7433">
        <w:rPr>
          <w:rFonts w:ascii="Times New Roman" w:eastAsia="Times New Roman" w:hAnsi="Times New Roman" w:cs="Times New Roman"/>
          <w:b/>
          <w:bCs/>
          <w:color w:val="000000"/>
          <w:sz w:val="24"/>
          <w:szCs w:val="24"/>
          <w:lang w:val="en-GB" w:eastAsia="bg-BG"/>
        </w:rPr>
        <w:t>LIQUIDITY RATIOS</w:t>
      </w:r>
    </w:p>
    <w:p w14:paraId="705D2C51" w14:textId="77777777" w:rsidR="000B3697" w:rsidRP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Current ratio</w:t>
      </w:r>
    </w:p>
    <w:p w14:paraId="00B6D1DE" w14:textId="7D4F6755"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current ratio is a liquidity ratio that indicates a company's willingness to pay short-term or one-year commitments. It explains to customers and analysts how a business can optimise its liquid assets in order to pay off current loans and other payables</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(Agtarap-San 2007)</w:t>
      </w:r>
      <w:r w:rsidRPr="00AE2B7A">
        <w:rPr>
          <w:rFonts w:ascii="Times New Roman" w:hAnsi="Times New Roman" w:cs="Times New Roman"/>
          <w:bCs/>
          <w:sz w:val="24"/>
          <w:szCs w:val="24"/>
          <w:lang w:val="en-GB"/>
        </w:rPr>
        <w:t>.</w:t>
      </w:r>
    </w:p>
    <w:p w14:paraId="009DD385" w14:textId="57E1D460" w:rsidR="00AE2B7A" w:rsidRP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current ratio is calculated by comparing a company's total current assets to its total current liabilities. These are typically classified as cash-generating assets or those that will be converted to cash within a year, and liabilities that will be paid within a year</w:t>
      </w:r>
      <w:r w:rsidR="007A7CE2">
        <w:rPr>
          <w:rFonts w:ascii="Times New Roman" w:hAnsi="Times New Roman" w:cs="Times New Roman"/>
          <w:bCs/>
          <w:sz w:val="24"/>
          <w:szCs w:val="24"/>
          <w:lang w:val="en-GB"/>
        </w:rPr>
        <w:t xml:space="preserve"> </w:t>
      </w:r>
      <w:r w:rsidR="007A7CE2" w:rsidRPr="007A7CE2">
        <w:rPr>
          <w:rFonts w:ascii="Times New Roman" w:hAnsi="Times New Roman" w:cs="Times New Roman"/>
          <w:bCs/>
          <w:sz w:val="24"/>
          <w:szCs w:val="24"/>
          <w:lang w:val="en-GB"/>
        </w:rPr>
        <w:t>(Agtarap-San 2007)</w:t>
      </w:r>
      <w:r w:rsidRPr="00AE2B7A">
        <w:rPr>
          <w:rFonts w:ascii="Times New Roman" w:hAnsi="Times New Roman" w:cs="Times New Roman"/>
          <w:bCs/>
          <w:sz w:val="24"/>
          <w:szCs w:val="24"/>
          <w:lang w:val="en-GB"/>
        </w:rPr>
        <w:t>.</w:t>
      </w:r>
    </w:p>
    <w:p w14:paraId="084F3AC3" w14:textId="77777777" w:rsidR="00AE2B7A" w:rsidRDefault="00AE2B7A" w:rsidP="00AE2B7A">
      <w:pPr>
        <w:rPr>
          <w:rFonts w:ascii="Times New Roman" w:hAnsi="Times New Roman" w:cs="Times New Roman"/>
          <w:bCs/>
          <w:sz w:val="24"/>
          <w:szCs w:val="24"/>
          <w:lang w:val="en-GB"/>
        </w:rPr>
      </w:pPr>
      <w:r w:rsidRPr="00AE2B7A">
        <w:rPr>
          <w:rFonts w:ascii="Times New Roman" w:hAnsi="Times New Roman" w:cs="Times New Roman"/>
          <w:bCs/>
          <w:sz w:val="24"/>
          <w:szCs w:val="24"/>
          <w:lang w:val="en-GB"/>
        </w:rPr>
        <w:t>The current ratio, also known as the "working capital" ratio, provides investors with additional information on a company's potential to offset short-term debt with current assets.</w:t>
      </w:r>
    </w:p>
    <w:p w14:paraId="6BA8F0B8" w14:textId="3C32EA31" w:rsidR="00206B5A" w:rsidRDefault="000B3697" w:rsidP="00AE2B7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 xml:space="preserve">Current Ratio </w:t>
      </w:r>
      <w:r w:rsidR="006E7433" w:rsidRPr="00206B5A">
        <w:rPr>
          <w:rFonts w:ascii="Times New Roman" w:hAnsi="Times New Roman" w:cs="Times New Roman"/>
          <w:b/>
          <w:bCs/>
          <w:sz w:val="24"/>
          <w:szCs w:val="24"/>
          <w:lang w:val="en-GB"/>
        </w:rPr>
        <w:t>= Current</w:t>
      </w:r>
      <w:r w:rsidRPr="00206B5A">
        <w:rPr>
          <w:rFonts w:ascii="Times New Roman" w:hAnsi="Times New Roman" w:cs="Times New Roman"/>
          <w:b/>
          <w:bCs/>
          <w:sz w:val="24"/>
          <w:szCs w:val="24"/>
          <w:lang w:val="en-GB"/>
        </w:rPr>
        <w:t xml:space="preserve"> assets / Current liabilities</w:t>
      </w:r>
    </w:p>
    <w:p w14:paraId="3372D8EC" w14:textId="77777777" w:rsid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Cs/>
          <w:sz w:val="24"/>
          <w:szCs w:val="24"/>
          <w:lang w:val="en-GB"/>
        </w:rPr>
        <w:t>2018: = 2355 / 3046 = 0.77</w:t>
      </w:r>
    </w:p>
    <w:p w14:paraId="11DE6114" w14:textId="56486C62" w:rsidR="000B3697" w:rsidRP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Cs/>
          <w:sz w:val="24"/>
          <w:szCs w:val="24"/>
          <w:lang w:val="en-GB"/>
        </w:rPr>
        <w:t>2019: = 2303 / 2511 = 0.92</w:t>
      </w:r>
    </w:p>
    <w:p w14:paraId="167E06EC" w14:textId="60E9F9DF" w:rsidR="00C467E8" w:rsidRDefault="00C467E8" w:rsidP="00206B5A">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 xml:space="preserve">In 2019, the current ratio is already less than one. It improves marginally in 2019 compared to 2018. The company's ability to meet short-term commitments maturing within a year remains limited. A current ratio of one or more indicates that current assets exceed current </w:t>
      </w:r>
      <w:r w:rsidR="007A7CE2" w:rsidRPr="00C467E8">
        <w:rPr>
          <w:rFonts w:ascii="Times New Roman" w:hAnsi="Times New Roman" w:cs="Times New Roman"/>
          <w:bCs/>
          <w:sz w:val="24"/>
          <w:szCs w:val="24"/>
          <w:lang w:val="en-GB"/>
        </w:rPr>
        <w:t>liabilities,</w:t>
      </w:r>
      <w:r w:rsidRPr="00C467E8">
        <w:rPr>
          <w:rFonts w:ascii="Times New Roman" w:hAnsi="Times New Roman" w:cs="Times New Roman"/>
          <w:bCs/>
          <w:sz w:val="24"/>
          <w:szCs w:val="24"/>
          <w:lang w:val="en-GB"/>
        </w:rPr>
        <w:t xml:space="preserve"> and the business should have no debt problems.</w:t>
      </w:r>
    </w:p>
    <w:p w14:paraId="5F2DD7DC" w14:textId="4FFF76D1" w:rsidR="000B3697" w:rsidRP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
          <w:bCs/>
          <w:sz w:val="24"/>
          <w:szCs w:val="24"/>
          <w:lang w:val="en-GB"/>
        </w:rPr>
        <w:t>Quick asset ratio</w:t>
      </w:r>
    </w:p>
    <w:p w14:paraId="0BC28D4E" w14:textId="012E7E90"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fast ratio is a measure of a company's short-term liquidity, indicating its capacity to fulfil short-term commitments using only the most liquid assets. It is also known as the acid test ratio because it shows a company's willingness to immediately use near-cash assets (assets that can be turned to cash) to pay off existing liabilities. Acid tests are simple tests that yield immediate results – hence the term</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lang w:val="en-GB"/>
        </w:rPr>
        <w:t>(Wild 2015)</w:t>
      </w:r>
      <w:r w:rsidRPr="00C467E8">
        <w:rPr>
          <w:rFonts w:ascii="Times New Roman" w:hAnsi="Times New Roman" w:cs="Times New Roman"/>
          <w:bCs/>
          <w:sz w:val="24"/>
          <w:szCs w:val="24"/>
          <w:lang w:val="en-GB"/>
        </w:rPr>
        <w:t>.</w:t>
      </w:r>
    </w:p>
    <w:p w14:paraId="41B3A79A" w14:textId="7777777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lastRenderedPageBreak/>
        <w:t>The fast ratio reflects a business's ability to meet its existing obligations without selling inventory or obtaining extra funding.</w:t>
      </w:r>
    </w:p>
    <w:p w14:paraId="2431969D" w14:textId="7777777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fast ratio is a more optimistic metric than the current ratio, which incorporates all current assets in the calculation of coverage for current liabilities.</w:t>
      </w:r>
    </w:p>
    <w:p w14:paraId="1D6BCC72" w14:textId="7777777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higher the ratio, the more liquid and financially sound the business; the lower the ratio, the more likely the business would fail to cover its debts.</w:t>
      </w:r>
    </w:p>
    <w:p w14:paraId="4B8EE8DC" w14:textId="69C76F66"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quick ratio compares a company's net assets to its existing liabilities in GBP. Liquid assets are those that can be easily exchanged to cash with no effect on the price earned on the open market, while existing liabilities are loans or commitments owed to creditors within one year</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rPr>
        <w:t>(Wild 2015)</w:t>
      </w:r>
      <w:r w:rsidRPr="00C467E8">
        <w:rPr>
          <w:rFonts w:ascii="Times New Roman" w:hAnsi="Times New Roman" w:cs="Times New Roman"/>
          <w:bCs/>
          <w:sz w:val="24"/>
          <w:szCs w:val="24"/>
          <w:lang w:val="en-GB"/>
        </w:rPr>
        <w:t>.</w:t>
      </w:r>
    </w:p>
    <w:p w14:paraId="448829A5" w14:textId="7777777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standard short ratio is equal to one. It means that the business is properly loaded with precisely enough funds to pay off its existing obligations in a moment. A business with a quick ratio less than one will be unable to completely pay off its current liabilities in the short term, while a company with a quick ratio greater than one may completely pay off its current liabilities in the short term.</w:t>
      </w:r>
    </w:p>
    <w:p w14:paraId="1BE17F66" w14:textId="77777777" w:rsid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Although such numerical ratios give visibility into a business's viability and some facets, they do not provide a full image of the business's overall wellbeing. It is critical to consider additional related steps in order to obtain a complete image.</w:t>
      </w:r>
    </w:p>
    <w:p w14:paraId="6D99CD7C" w14:textId="79826ECC" w:rsidR="000B3697" w:rsidRPr="00206B5A" w:rsidRDefault="000B3697" w:rsidP="00C467E8">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Quick Asset Ratio = (Current Asset – Inventory) / Current Liabilities</w:t>
      </w:r>
    </w:p>
    <w:p w14:paraId="1F140B9E" w14:textId="77777777" w:rsid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2018: = (2355-659) / 3046 = 0.56</w:t>
      </w:r>
    </w:p>
    <w:p w14:paraId="31D2278C" w14:textId="0CFE9E85" w:rsidR="000B3697" w:rsidRP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2019: = (2303-708) / 2511 = 0.64</w:t>
      </w:r>
    </w:p>
    <w:p w14:paraId="56DB288C" w14:textId="11DB5F08" w:rsidR="000B3697" w:rsidRPr="00206B5A"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quick asset ratio was poor in 2018 (0,56) and increased marginally in 2019 but remained below 1, indicating that the firm has insufficient quick liquidity and would face difficulty if required to satisfy current obligations due within a year. Such debtors account for more than 70% of total existing liabilities. We would need additional detail about other debtors in order to allow a final understanding of this ratio</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lang w:val="en-GB"/>
        </w:rPr>
        <w:t>(Wild 2015)</w:t>
      </w:r>
      <w:r w:rsidRPr="00C467E8">
        <w:rPr>
          <w:rFonts w:ascii="Times New Roman" w:hAnsi="Times New Roman" w:cs="Times New Roman"/>
          <w:bCs/>
          <w:sz w:val="24"/>
          <w:szCs w:val="24"/>
          <w:lang w:val="en-GB"/>
        </w:rPr>
        <w:t>.</w:t>
      </w:r>
    </w:p>
    <w:p w14:paraId="5EACBCAA" w14:textId="77777777" w:rsidR="00206B5A" w:rsidRDefault="000B3697" w:rsidP="00206B5A">
      <w:pPr>
        <w:rPr>
          <w:rFonts w:ascii="Times New Roman" w:hAnsi="Times New Roman" w:cs="Times New Roman"/>
          <w:b/>
          <w:bCs/>
          <w:sz w:val="24"/>
          <w:szCs w:val="24"/>
          <w:lang w:val="en-GB"/>
        </w:rPr>
      </w:pPr>
      <w:r w:rsidRPr="006E7433">
        <w:rPr>
          <w:rFonts w:ascii="Times New Roman" w:hAnsi="Times New Roman" w:cs="Times New Roman"/>
          <w:b/>
          <w:bCs/>
          <w:sz w:val="24"/>
          <w:szCs w:val="24"/>
          <w:lang w:val="en-GB"/>
        </w:rPr>
        <w:t>FINANCING RATIOS</w:t>
      </w:r>
    </w:p>
    <w:p w14:paraId="7E03651B" w14:textId="4687B161" w:rsidR="000B3697" w:rsidRP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Gearing ratio</w:t>
      </w:r>
    </w:p>
    <w:p w14:paraId="16862FBE" w14:textId="2B6F1383"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 xml:space="preserve">The gearing ratio is a financial ratio that measures any measure of the owner's equity (or capital) to the company's </w:t>
      </w:r>
      <w:r w:rsidR="007408CB" w:rsidRPr="00C467E8">
        <w:rPr>
          <w:rFonts w:ascii="Times New Roman" w:hAnsi="Times New Roman" w:cs="Times New Roman"/>
          <w:bCs/>
          <w:sz w:val="24"/>
          <w:szCs w:val="24"/>
          <w:lang w:val="en-GB"/>
        </w:rPr>
        <w:t>debt or</w:t>
      </w:r>
      <w:r w:rsidRPr="00C467E8">
        <w:rPr>
          <w:rFonts w:ascii="Times New Roman" w:hAnsi="Times New Roman" w:cs="Times New Roman"/>
          <w:bCs/>
          <w:sz w:val="24"/>
          <w:szCs w:val="24"/>
          <w:lang w:val="en-GB"/>
        </w:rPr>
        <w:t xml:space="preserve"> borrowed funds. Gearing is a financial debt ratio that indicates how much of a firm's operation is financed by shareholder capital and borrower funds</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lang w:val="en-GB"/>
        </w:rPr>
        <w:t>(Wild 2015)</w:t>
      </w:r>
      <w:r w:rsidRPr="00C467E8">
        <w:rPr>
          <w:rFonts w:ascii="Times New Roman" w:hAnsi="Times New Roman" w:cs="Times New Roman"/>
          <w:bCs/>
          <w:sz w:val="24"/>
          <w:szCs w:val="24"/>
          <w:lang w:val="en-GB"/>
        </w:rPr>
        <w:t>.</w:t>
      </w:r>
    </w:p>
    <w:p w14:paraId="34E2560E" w14:textId="681C057E"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gearing ratio is a financial leverage ratio that indicates how much of a business's activities are financed by equity funding as opposed to debt funding</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rPr>
        <w:t>(Wild 2015)</w:t>
      </w:r>
      <w:r w:rsidRPr="00C467E8">
        <w:rPr>
          <w:rFonts w:ascii="Times New Roman" w:hAnsi="Times New Roman" w:cs="Times New Roman"/>
          <w:bCs/>
          <w:sz w:val="24"/>
          <w:szCs w:val="24"/>
          <w:lang w:val="en-GB"/>
        </w:rPr>
        <w:t>.</w:t>
      </w:r>
    </w:p>
    <w:p w14:paraId="6A0C1C3E" w14:textId="7777777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Gearing ratios are a set of financial indices that equate shareholders' equity to company debt in a variety of ways in order to determine the degree of leverage and financial flexibility of a business.</w:t>
      </w:r>
    </w:p>
    <w:p w14:paraId="6DA46976" w14:textId="79B6FB7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lastRenderedPageBreak/>
        <w:t>Gearing is a percentage that indicates how much of a business's expenses are financed by debt and how much is funded by equity</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lang w:val="en-GB"/>
        </w:rPr>
        <w:t>(Ballada 2019)</w:t>
      </w:r>
      <w:r w:rsidRPr="00C467E8">
        <w:rPr>
          <w:rFonts w:ascii="Times New Roman" w:hAnsi="Times New Roman" w:cs="Times New Roman"/>
          <w:bCs/>
          <w:sz w:val="24"/>
          <w:szCs w:val="24"/>
          <w:lang w:val="en-GB"/>
        </w:rPr>
        <w:t>.</w:t>
      </w:r>
    </w:p>
    <w:p w14:paraId="576EC622" w14:textId="7777777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As opposed to the gearing ratios of other firms in the same industry, gearing ratios take on greater significance.</w:t>
      </w:r>
    </w:p>
    <w:p w14:paraId="4CAF9421" w14:textId="38D730C8" w:rsid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A high gearing ratio usually implies a high degree of debt, but this does not necessarily mean that a business is in financial distress. Other than that, a high gearing ratio indicates a riskier lending arrangement than a low gearing ratio indicates</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lang w:val="en-GB"/>
        </w:rPr>
        <w:t>(Ballada 2019)</w:t>
      </w:r>
      <w:r w:rsidRPr="00C467E8">
        <w:rPr>
          <w:rFonts w:ascii="Times New Roman" w:hAnsi="Times New Roman" w:cs="Times New Roman"/>
          <w:bCs/>
          <w:sz w:val="24"/>
          <w:szCs w:val="24"/>
          <w:lang w:val="en-GB"/>
        </w:rPr>
        <w:t>.</w:t>
      </w:r>
    </w:p>
    <w:p w14:paraId="38EAE61D" w14:textId="42B24937" w:rsidR="000B3697" w:rsidRPr="00206B5A" w:rsidRDefault="000B3697" w:rsidP="00C467E8">
      <w:pPr>
        <w:rPr>
          <w:rFonts w:ascii="Times New Roman" w:hAnsi="Times New Roman" w:cs="Times New Roman"/>
          <w:bCs/>
          <w:sz w:val="24"/>
          <w:szCs w:val="24"/>
          <w:lang w:val="en-GB"/>
        </w:rPr>
      </w:pPr>
      <w:r w:rsidRPr="00206B5A">
        <w:rPr>
          <w:rFonts w:ascii="Times New Roman" w:hAnsi="Times New Roman" w:cs="Times New Roman"/>
          <w:b/>
          <w:bCs/>
          <w:sz w:val="24"/>
          <w:szCs w:val="24"/>
          <w:lang w:val="en-GB"/>
        </w:rPr>
        <w:t>Gearing Ratio = Debt / Total equity</w:t>
      </w:r>
      <w:r w:rsidRPr="00206B5A">
        <w:rPr>
          <w:rFonts w:ascii="Times New Roman" w:hAnsi="Times New Roman" w:cs="Times New Roman"/>
          <w:bCs/>
          <w:sz w:val="24"/>
          <w:szCs w:val="24"/>
          <w:lang w:val="en-GB"/>
        </w:rPr>
        <w:t>,</w:t>
      </w:r>
    </w:p>
    <w:p w14:paraId="358CC2D5" w14:textId="008728C7" w:rsidR="000B3697" w:rsidRP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Where Total equity = Debt + shareholders’ equity</w:t>
      </w:r>
    </w:p>
    <w:p w14:paraId="741B2344" w14:textId="77777777" w:rsidR="000B3697" w:rsidRPr="000B3697"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2018: = 4129 / (4129 + 2912) * 100 = 59%</w:t>
      </w:r>
    </w:p>
    <w:p w14:paraId="33153EB4" w14:textId="1DE1A667" w:rsidR="000B3697" w:rsidRPr="00AC4AF2" w:rsidRDefault="000B3697" w:rsidP="00AC4AF2">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2019: = 4137 / (4137+3088) * 100 = 57%</w:t>
      </w:r>
    </w:p>
    <w:p w14:paraId="69EF10AB" w14:textId="33884B68" w:rsidR="000B3697" w:rsidRPr="00206B5A" w:rsidRDefault="000B3697" w:rsidP="00206B5A">
      <w:pPr>
        <w:rPr>
          <w:rFonts w:ascii="Times New Roman" w:hAnsi="Times New Roman" w:cs="Times New Roman"/>
          <w:bCs/>
          <w:sz w:val="24"/>
          <w:szCs w:val="24"/>
          <w:lang w:val="en-GB"/>
        </w:rPr>
      </w:pPr>
      <w:r w:rsidRPr="00206B5A">
        <w:rPr>
          <w:rFonts w:ascii="Times New Roman" w:hAnsi="Times New Roman" w:cs="Times New Roman"/>
          <w:bCs/>
          <w:sz w:val="24"/>
          <w:szCs w:val="24"/>
          <w:lang w:val="en-GB"/>
        </w:rPr>
        <w:t>The threshold for the leverage of the company in both 2018 and 2019 is nearly 60%. This is slightly than the normal acceptable threshold. More than 50% of the funds of the company are from external sources (such as banks)</w:t>
      </w:r>
    </w:p>
    <w:p w14:paraId="135F6FF4" w14:textId="77777777" w:rsidR="000B3697" w:rsidRPr="00206B5A" w:rsidRDefault="000B3697" w:rsidP="00206B5A">
      <w:pPr>
        <w:rPr>
          <w:rFonts w:ascii="Times New Roman" w:hAnsi="Times New Roman" w:cs="Times New Roman"/>
          <w:b/>
          <w:bCs/>
          <w:sz w:val="24"/>
          <w:szCs w:val="24"/>
          <w:lang w:val="en-GB"/>
        </w:rPr>
      </w:pPr>
      <w:r w:rsidRPr="00206B5A">
        <w:rPr>
          <w:rFonts w:ascii="Times New Roman" w:hAnsi="Times New Roman" w:cs="Times New Roman"/>
          <w:b/>
          <w:bCs/>
          <w:sz w:val="24"/>
          <w:szCs w:val="24"/>
          <w:lang w:val="en-GB"/>
        </w:rPr>
        <w:t>Interest cover</w:t>
      </w:r>
    </w:p>
    <w:p w14:paraId="3E62A130" w14:textId="2B9CD201"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interest coverage ratio is a debt-to-profitability ratio that is used to calculate a company's ability to service its outstanding debt. The interest coverage ratio is determined by dividing a company's earnings before interest and taxes by its interest cost for a given term by the interest payments owed for the same period</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lang w:val="en-GB"/>
        </w:rPr>
        <w:t>(Wild 2015)</w:t>
      </w:r>
      <w:r w:rsidRPr="00C467E8">
        <w:rPr>
          <w:rFonts w:ascii="Times New Roman" w:hAnsi="Times New Roman" w:cs="Times New Roman"/>
          <w:bCs/>
          <w:sz w:val="24"/>
          <w:szCs w:val="24"/>
          <w:lang w:val="en-GB"/>
        </w:rPr>
        <w:t>.</w:t>
      </w:r>
    </w:p>
    <w:p w14:paraId="68CE8C2C" w14:textId="00DA46C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interest coverage ratio is often referred to as interest paid times interest earned</w:t>
      </w:r>
      <w:r w:rsidR="007408CB">
        <w:rPr>
          <w:rFonts w:ascii="Times New Roman" w:hAnsi="Times New Roman" w:cs="Times New Roman"/>
          <w:bCs/>
          <w:sz w:val="24"/>
          <w:szCs w:val="24"/>
          <w:lang w:val="en-GB"/>
        </w:rPr>
        <w:t>.</w:t>
      </w:r>
      <w:r w:rsidRPr="00C467E8">
        <w:rPr>
          <w:rFonts w:ascii="Times New Roman" w:hAnsi="Times New Roman" w:cs="Times New Roman"/>
          <w:bCs/>
          <w:sz w:val="24"/>
          <w:szCs w:val="24"/>
          <w:lang w:val="en-GB"/>
        </w:rPr>
        <w:t xml:space="preserve"> Lenders, borrowers, and creditors also use this calculation to assess a business's riskiness in relation to its existing debt or potential future borrowing. The interest coverage ratio is used to determine a company's ability to pay interest on its outstanding debt</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lang w:val="en-GB"/>
        </w:rPr>
        <w:t>(Wild 2015)</w:t>
      </w:r>
      <w:r w:rsidRPr="00C467E8">
        <w:rPr>
          <w:rFonts w:ascii="Times New Roman" w:hAnsi="Times New Roman" w:cs="Times New Roman"/>
          <w:bCs/>
          <w:sz w:val="24"/>
          <w:szCs w:val="24"/>
          <w:lang w:val="en-GB"/>
        </w:rPr>
        <w:t>.</w:t>
      </w:r>
    </w:p>
    <w:p w14:paraId="56E456BD" w14:textId="77777777" w:rsidR="00C467E8" w:rsidRP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This ratio, also known as the times-interest-earned ratio, is used by borrowers and prospective lenders to determine the risk associated with lending capital to a company. A greater coverage ratio is preferable, but the optimal ratio varies by sector.</w:t>
      </w:r>
    </w:p>
    <w:p w14:paraId="76D1E0D9" w14:textId="67EC704A" w:rsidR="00C467E8" w:rsidRDefault="00C467E8" w:rsidP="00C467E8">
      <w:pPr>
        <w:rPr>
          <w:rFonts w:ascii="Times New Roman" w:hAnsi="Times New Roman" w:cs="Times New Roman"/>
          <w:bCs/>
          <w:sz w:val="24"/>
          <w:szCs w:val="24"/>
          <w:lang w:val="en-GB"/>
        </w:rPr>
      </w:pPr>
      <w:r w:rsidRPr="00C467E8">
        <w:rPr>
          <w:rFonts w:ascii="Times New Roman" w:hAnsi="Times New Roman" w:cs="Times New Roman"/>
          <w:bCs/>
          <w:sz w:val="24"/>
          <w:szCs w:val="24"/>
          <w:lang w:val="en-GB"/>
        </w:rPr>
        <w:t>The interest coverage ratio indicates how many times a business's existing interest payments should be covered by its remaining earnings. In other terms, it quantifies a company's ability to pay interest on its obligations over a specified time. The interest coverage ratio is used to calculate the ease at which a business will service its accrued debt</w:t>
      </w:r>
      <w:r w:rsidR="007408CB">
        <w:rPr>
          <w:rFonts w:ascii="Times New Roman" w:hAnsi="Times New Roman" w:cs="Times New Roman"/>
          <w:bCs/>
          <w:sz w:val="24"/>
          <w:szCs w:val="24"/>
          <w:lang w:val="en-GB"/>
        </w:rPr>
        <w:t xml:space="preserve"> </w:t>
      </w:r>
      <w:r w:rsidR="007408CB" w:rsidRPr="007408CB">
        <w:rPr>
          <w:rFonts w:ascii="Times New Roman" w:hAnsi="Times New Roman" w:cs="Times New Roman"/>
          <w:bCs/>
          <w:sz w:val="24"/>
          <w:szCs w:val="24"/>
          <w:lang w:val="en-GB"/>
        </w:rPr>
        <w:t>(Wild 2015)</w:t>
      </w:r>
      <w:r w:rsidRPr="00C467E8">
        <w:rPr>
          <w:rFonts w:ascii="Times New Roman" w:hAnsi="Times New Roman" w:cs="Times New Roman"/>
          <w:bCs/>
          <w:sz w:val="24"/>
          <w:szCs w:val="24"/>
          <w:lang w:val="en-GB"/>
        </w:rPr>
        <w:t>.</w:t>
      </w:r>
    </w:p>
    <w:p w14:paraId="2F0A1DBD" w14:textId="0EB2A789" w:rsidR="000B3697" w:rsidRPr="00206B5A" w:rsidRDefault="000B3697" w:rsidP="00C467E8">
      <w:pPr>
        <w:rPr>
          <w:rFonts w:ascii="Times New Roman" w:hAnsi="Times New Roman" w:cs="Times New Roman"/>
          <w:bCs/>
          <w:sz w:val="24"/>
          <w:szCs w:val="24"/>
          <w:lang w:val="en-GB"/>
        </w:rPr>
      </w:pPr>
      <w:r w:rsidRPr="006E7433">
        <w:rPr>
          <w:rFonts w:ascii="Times New Roman" w:hAnsi="Times New Roman" w:cs="Times New Roman"/>
          <w:b/>
          <w:bCs/>
          <w:sz w:val="24"/>
          <w:szCs w:val="24"/>
          <w:lang w:val="en-GB"/>
        </w:rPr>
        <w:t>Interest Coverage Ratio = EBIT / Interest Expense</w:t>
      </w:r>
      <w:r w:rsidR="00206B5A">
        <w:rPr>
          <w:rFonts w:ascii="Times New Roman" w:hAnsi="Times New Roman" w:cs="Times New Roman"/>
          <w:bCs/>
          <w:sz w:val="24"/>
          <w:szCs w:val="24"/>
          <w:lang w:val="en-GB"/>
        </w:rPr>
        <w:br/>
      </w:r>
      <w:r w:rsidRPr="00206B5A">
        <w:rPr>
          <w:rFonts w:ascii="Times New Roman" w:hAnsi="Times New Roman" w:cs="Times New Roman"/>
          <w:bCs/>
          <w:sz w:val="24"/>
          <w:szCs w:val="24"/>
          <w:lang w:val="en-GB"/>
        </w:rPr>
        <w:t>where: EBIT = Earnings before interest and taxes</w:t>
      </w:r>
      <w:r w:rsidR="00206B5A">
        <w:rPr>
          <w:rFonts w:ascii="Times New Roman" w:hAnsi="Times New Roman" w:cs="Times New Roman"/>
          <w:bCs/>
          <w:sz w:val="24"/>
          <w:szCs w:val="24"/>
          <w:lang w:val="en-GB"/>
        </w:rPr>
        <w:br/>
      </w:r>
      <w:r w:rsidRPr="00206B5A">
        <w:rPr>
          <w:rFonts w:ascii="Times New Roman" w:hAnsi="Times New Roman" w:cs="Times New Roman"/>
          <w:bCs/>
          <w:sz w:val="24"/>
          <w:szCs w:val="24"/>
          <w:lang w:val="en-GB"/>
        </w:rPr>
        <w:t>2018: = 699 / 181 = 3.9</w:t>
      </w:r>
      <w:r w:rsidR="00206B5A">
        <w:rPr>
          <w:rFonts w:ascii="Times New Roman" w:hAnsi="Times New Roman" w:cs="Times New Roman"/>
          <w:bCs/>
          <w:sz w:val="24"/>
          <w:szCs w:val="24"/>
          <w:lang w:val="en-GB"/>
        </w:rPr>
        <w:br/>
      </w:r>
      <w:r w:rsidRPr="00206B5A">
        <w:rPr>
          <w:rFonts w:ascii="Times New Roman" w:hAnsi="Times New Roman" w:cs="Times New Roman"/>
          <w:bCs/>
          <w:sz w:val="24"/>
          <w:szCs w:val="24"/>
          <w:lang w:val="en-GB"/>
        </w:rPr>
        <w:t>2019: = 805 / 226 = 3.6</w:t>
      </w:r>
    </w:p>
    <w:p w14:paraId="7CB9493B" w14:textId="77777777" w:rsidR="006E7433" w:rsidRDefault="000B3697" w:rsidP="006E7433">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 xml:space="preserve">Interest cover Ratio is nearly 4 for both 2018 and 2019. </w:t>
      </w:r>
    </w:p>
    <w:p w14:paraId="70435EAC" w14:textId="77777777" w:rsidR="007408CB" w:rsidRDefault="000B3697" w:rsidP="007408CB">
      <w:pPr>
        <w:pStyle w:val="ListParagraph"/>
        <w:ind w:left="567" w:hanging="425"/>
        <w:rPr>
          <w:rFonts w:ascii="Times New Roman" w:hAnsi="Times New Roman" w:cs="Times New Roman"/>
          <w:bCs/>
          <w:sz w:val="24"/>
          <w:szCs w:val="24"/>
          <w:lang w:val="en-GB"/>
        </w:rPr>
      </w:pPr>
      <w:r w:rsidRPr="000B3697">
        <w:rPr>
          <w:rFonts w:ascii="Times New Roman" w:hAnsi="Times New Roman" w:cs="Times New Roman"/>
          <w:bCs/>
          <w:sz w:val="24"/>
          <w:szCs w:val="24"/>
          <w:lang w:val="en-GB"/>
        </w:rPr>
        <w:t xml:space="preserve">The company </w:t>
      </w:r>
      <w:r w:rsidR="00113F04" w:rsidRPr="000B3697">
        <w:rPr>
          <w:rFonts w:ascii="Times New Roman" w:hAnsi="Times New Roman" w:cs="Times New Roman"/>
          <w:bCs/>
          <w:sz w:val="24"/>
          <w:szCs w:val="24"/>
          <w:lang w:val="en-GB"/>
        </w:rPr>
        <w:t>can</w:t>
      </w:r>
      <w:r w:rsidRPr="000B3697">
        <w:rPr>
          <w:rFonts w:ascii="Times New Roman" w:hAnsi="Times New Roman" w:cs="Times New Roman"/>
          <w:bCs/>
          <w:sz w:val="24"/>
          <w:szCs w:val="24"/>
          <w:lang w:val="en-GB"/>
        </w:rPr>
        <w:t xml:space="preserve"> meet its current </w:t>
      </w:r>
      <w:r w:rsidR="006E7433">
        <w:rPr>
          <w:rFonts w:ascii="Times New Roman" w:hAnsi="Times New Roman" w:cs="Times New Roman"/>
          <w:bCs/>
          <w:sz w:val="24"/>
          <w:szCs w:val="24"/>
          <w:lang w:val="en-GB"/>
        </w:rPr>
        <w:t>i</w:t>
      </w:r>
      <w:r w:rsidR="006E7433" w:rsidRPr="000B3697">
        <w:rPr>
          <w:rFonts w:ascii="Times New Roman" w:hAnsi="Times New Roman" w:cs="Times New Roman"/>
          <w:bCs/>
          <w:sz w:val="24"/>
          <w:szCs w:val="24"/>
          <w:lang w:val="en-GB"/>
        </w:rPr>
        <w:t>nterest</w:t>
      </w:r>
      <w:r w:rsidR="006E7433">
        <w:rPr>
          <w:rFonts w:ascii="Times New Roman" w:hAnsi="Times New Roman" w:cs="Times New Roman"/>
          <w:bCs/>
          <w:sz w:val="24"/>
          <w:szCs w:val="24"/>
          <w:lang w:val="en-GB"/>
        </w:rPr>
        <w:t xml:space="preserve"> </w:t>
      </w:r>
      <w:r w:rsidRPr="006E7433">
        <w:rPr>
          <w:rFonts w:ascii="Times New Roman" w:hAnsi="Times New Roman" w:cs="Times New Roman"/>
          <w:bCs/>
          <w:sz w:val="24"/>
          <w:szCs w:val="24"/>
          <w:lang w:val="en-GB"/>
        </w:rPr>
        <w:t>payment.</w:t>
      </w:r>
    </w:p>
    <w:p w14:paraId="7DF895FB" w14:textId="3BF63B07" w:rsidR="00734C76" w:rsidRPr="007408CB" w:rsidRDefault="006E7433" w:rsidP="007408CB">
      <w:pPr>
        <w:rPr>
          <w:rFonts w:ascii="Times New Roman" w:hAnsi="Times New Roman" w:cs="Times New Roman"/>
          <w:bCs/>
          <w:sz w:val="24"/>
          <w:szCs w:val="24"/>
          <w:lang w:val="en-GB"/>
        </w:rPr>
      </w:pPr>
      <w:r w:rsidRPr="007408CB">
        <w:rPr>
          <w:rFonts w:ascii="Times New Roman" w:hAnsi="Times New Roman" w:cs="Times New Roman"/>
          <w:b/>
          <w:bCs/>
          <w:sz w:val="24"/>
          <w:szCs w:val="24"/>
          <w:lang w:val="en-GB"/>
        </w:rPr>
        <w:lastRenderedPageBreak/>
        <w:t>References</w:t>
      </w:r>
    </w:p>
    <w:p w14:paraId="44E2A58D" w14:textId="354ABE11" w:rsidR="000A04AA" w:rsidRPr="000A04AA" w:rsidRDefault="000A04AA" w:rsidP="000A04AA">
      <w:pPr>
        <w:spacing w:after="0" w:line="240" w:lineRule="auto"/>
        <w:rPr>
          <w:rFonts w:ascii="Montserrat" w:eastAsia="Times New Roman" w:hAnsi="Montserrat" w:cs="Times New Roman"/>
          <w:color w:val="333333"/>
          <w:sz w:val="21"/>
          <w:szCs w:val="21"/>
          <w:shd w:val="clear" w:color="auto" w:fill="FFFFFF"/>
          <w:lang w:val="en-GB" w:eastAsia="en-GB"/>
        </w:rPr>
      </w:pPr>
      <w:r w:rsidRPr="000A04AA">
        <w:rPr>
          <w:rFonts w:ascii="Montserrat" w:eastAsia="Times New Roman" w:hAnsi="Montserrat" w:cs="Times New Roman"/>
          <w:color w:val="333333"/>
          <w:sz w:val="21"/>
          <w:szCs w:val="21"/>
          <w:shd w:val="clear" w:color="auto" w:fill="FFFFFF"/>
          <w:lang w:val="en-GB" w:eastAsia="en-GB"/>
        </w:rPr>
        <w:t>Agtarap-San, D. (2007). </w:t>
      </w:r>
      <w:r w:rsidRPr="000A04AA">
        <w:rPr>
          <w:rFonts w:ascii="Montserrat" w:eastAsia="Times New Roman" w:hAnsi="Montserrat" w:cs="Times New Roman"/>
          <w:i/>
          <w:iCs/>
          <w:color w:val="333333"/>
          <w:sz w:val="21"/>
          <w:szCs w:val="21"/>
          <w:shd w:val="clear" w:color="auto" w:fill="FFFFFF"/>
          <w:lang w:val="en-GB" w:eastAsia="en-GB"/>
        </w:rPr>
        <w:t>Fundamentals of Accounting</w:t>
      </w:r>
      <w:r w:rsidRPr="000A04AA">
        <w:rPr>
          <w:rFonts w:ascii="Montserrat" w:eastAsia="Times New Roman" w:hAnsi="Montserrat" w:cs="Times New Roman"/>
          <w:color w:val="333333"/>
          <w:sz w:val="21"/>
          <w:szCs w:val="21"/>
          <w:shd w:val="clear" w:color="auto" w:fill="FFFFFF"/>
          <w:lang w:val="en-GB" w:eastAsia="en-GB"/>
        </w:rPr>
        <w:t>. Author</w:t>
      </w:r>
      <w:r>
        <w:rPr>
          <w:rFonts w:ascii="Montserrat" w:eastAsia="Times New Roman" w:hAnsi="Montserrat" w:cs="Times New Roman"/>
          <w:color w:val="333333"/>
          <w:sz w:val="21"/>
          <w:szCs w:val="21"/>
          <w:shd w:val="clear" w:color="auto" w:fill="FFFFFF"/>
          <w:lang w:val="en-GB" w:eastAsia="en-GB"/>
        </w:rPr>
        <w:t xml:space="preserve"> </w:t>
      </w:r>
      <w:r w:rsidRPr="000A04AA">
        <w:rPr>
          <w:rFonts w:ascii="Montserrat" w:eastAsia="Times New Roman" w:hAnsi="Montserrat" w:cs="Times New Roman"/>
          <w:color w:val="333333"/>
          <w:sz w:val="21"/>
          <w:szCs w:val="21"/>
          <w:shd w:val="clear" w:color="auto" w:fill="FFFFFF"/>
          <w:lang w:val="en-GB" w:eastAsia="en-GB"/>
        </w:rPr>
        <w:t>House.</w:t>
      </w:r>
    </w:p>
    <w:p w14:paraId="40E85258" w14:textId="77777777" w:rsidR="000A04AA" w:rsidRPr="000A04AA" w:rsidRDefault="000A04AA" w:rsidP="000A04AA">
      <w:pPr>
        <w:spacing w:after="0" w:line="240" w:lineRule="auto"/>
        <w:rPr>
          <w:rFonts w:ascii="Montserrat" w:eastAsia="Times New Roman" w:hAnsi="Montserrat" w:cs="Times New Roman"/>
          <w:color w:val="333333"/>
          <w:sz w:val="21"/>
          <w:szCs w:val="21"/>
          <w:shd w:val="clear" w:color="auto" w:fill="FFFFFF"/>
          <w:lang w:val="en-GB" w:eastAsia="en-GB"/>
        </w:rPr>
      </w:pPr>
      <w:r w:rsidRPr="000A04AA">
        <w:rPr>
          <w:rFonts w:ascii="Montserrat" w:eastAsia="Times New Roman" w:hAnsi="Montserrat" w:cs="Times New Roman"/>
          <w:color w:val="333333"/>
          <w:sz w:val="21"/>
          <w:szCs w:val="21"/>
          <w:shd w:val="clear" w:color="auto" w:fill="FFFFFF"/>
          <w:lang w:val="en-GB" w:eastAsia="en-GB"/>
        </w:rPr>
        <w:t>Ballada, W. (2019). </w:t>
      </w:r>
      <w:r w:rsidRPr="000A04AA">
        <w:rPr>
          <w:rFonts w:ascii="Montserrat" w:eastAsia="Times New Roman" w:hAnsi="Montserrat" w:cs="Times New Roman"/>
          <w:i/>
          <w:iCs/>
          <w:color w:val="333333"/>
          <w:sz w:val="21"/>
          <w:szCs w:val="21"/>
          <w:shd w:val="clear" w:color="auto" w:fill="FFFFFF"/>
          <w:lang w:val="en-GB" w:eastAsia="en-GB"/>
        </w:rPr>
        <w:t>Accounting Fundamentals</w:t>
      </w:r>
      <w:r w:rsidRPr="000A04AA">
        <w:rPr>
          <w:rFonts w:ascii="Montserrat" w:eastAsia="Times New Roman" w:hAnsi="Montserrat" w:cs="Times New Roman"/>
          <w:color w:val="333333"/>
          <w:sz w:val="21"/>
          <w:szCs w:val="21"/>
          <w:shd w:val="clear" w:color="auto" w:fill="FFFFFF"/>
          <w:lang w:val="en-GB" w:eastAsia="en-GB"/>
        </w:rPr>
        <w:t>.</w:t>
      </w:r>
    </w:p>
    <w:p w14:paraId="343C9399" w14:textId="77777777" w:rsidR="000A04AA" w:rsidRPr="000A04AA" w:rsidRDefault="000A04AA" w:rsidP="000A04AA">
      <w:pPr>
        <w:spacing w:after="0" w:line="240" w:lineRule="auto"/>
        <w:rPr>
          <w:rFonts w:ascii="Montserrat" w:eastAsia="Times New Roman" w:hAnsi="Montserrat" w:cs="Times New Roman"/>
          <w:color w:val="333333"/>
          <w:sz w:val="21"/>
          <w:szCs w:val="21"/>
          <w:shd w:val="clear" w:color="auto" w:fill="FFFFFF"/>
          <w:lang w:val="en-GB" w:eastAsia="en-GB"/>
        </w:rPr>
      </w:pPr>
      <w:r w:rsidRPr="000A04AA">
        <w:rPr>
          <w:rFonts w:ascii="Montserrat" w:eastAsia="Times New Roman" w:hAnsi="Montserrat" w:cs="Times New Roman"/>
          <w:color w:val="333333"/>
          <w:sz w:val="21"/>
          <w:szCs w:val="21"/>
          <w:shd w:val="clear" w:color="auto" w:fill="FFFFFF"/>
          <w:lang w:val="en-GB" w:eastAsia="en-GB"/>
        </w:rPr>
        <w:t>Wild, J. (2015). </w:t>
      </w:r>
      <w:r w:rsidRPr="000A04AA">
        <w:rPr>
          <w:rFonts w:ascii="Montserrat" w:eastAsia="Times New Roman" w:hAnsi="Montserrat" w:cs="Times New Roman"/>
          <w:i/>
          <w:iCs/>
          <w:color w:val="333333"/>
          <w:sz w:val="21"/>
          <w:szCs w:val="21"/>
          <w:shd w:val="clear" w:color="auto" w:fill="FFFFFF"/>
          <w:lang w:val="en-GB" w:eastAsia="en-GB"/>
        </w:rPr>
        <w:t>Financial Accounting Fundamentals</w:t>
      </w:r>
      <w:r w:rsidRPr="000A04AA">
        <w:rPr>
          <w:rFonts w:ascii="Montserrat" w:eastAsia="Times New Roman" w:hAnsi="Montserrat" w:cs="Times New Roman"/>
          <w:color w:val="333333"/>
          <w:sz w:val="21"/>
          <w:szCs w:val="21"/>
          <w:shd w:val="clear" w:color="auto" w:fill="FFFFFF"/>
          <w:lang w:val="en-GB" w:eastAsia="en-GB"/>
        </w:rPr>
        <w:t>. McGraw-Hill Education.</w:t>
      </w:r>
    </w:p>
    <w:p w14:paraId="06F672E0" w14:textId="77777777" w:rsidR="000A04AA" w:rsidRPr="000A04AA" w:rsidRDefault="000A04AA" w:rsidP="000A04AA">
      <w:pPr>
        <w:rPr>
          <w:rFonts w:ascii="Times New Roman" w:hAnsi="Times New Roman" w:cs="Times New Roman"/>
          <w:bCs/>
          <w:sz w:val="24"/>
          <w:szCs w:val="24"/>
          <w:lang w:val="en-GB"/>
        </w:rPr>
      </w:pPr>
    </w:p>
    <w:sectPr w:rsidR="000A04AA" w:rsidRPr="000A04AA" w:rsidSect="00F323B2">
      <w:footerReference w:type="default" r:id="rId8"/>
      <w:pgSz w:w="11906" w:h="16838"/>
      <w:pgMar w:top="1417" w:right="849" w:bottom="1417"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514DD" w14:textId="77777777" w:rsidR="007675B2" w:rsidRDefault="007675B2" w:rsidP="00BD02C3">
      <w:pPr>
        <w:spacing w:after="0" w:line="240" w:lineRule="auto"/>
      </w:pPr>
      <w:r>
        <w:separator/>
      </w:r>
    </w:p>
  </w:endnote>
  <w:endnote w:type="continuationSeparator" w:id="0">
    <w:p w14:paraId="674E76A2" w14:textId="77777777" w:rsidR="007675B2" w:rsidRDefault="007675B2" w:rsidP="00BD0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4408452"/>
      <w:docPartObj>
        <w:docPartGallery w:val="Page Numbers (Bottom of Page)"/>
        <w:docPartUnique/>
      </w:docPartObj>
    </w:sdtPr>
    <w:sdtEndPr>
      <w:rPr>
        <w:noProof/>
      </w:rPr>
    </w:sdtEndPr>
    <w:sdtContent>
      <w:p w14:paraId="244F7918" w14:textId="51EEA23B" w:rsidR="00BD02C3" w:rsidRDefault="00BD02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EEA5E7" w14:textId="77777777" w:rsidR="00DD7D6C" w:rsidRDefault="00767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B9874" w14:textId="77777777" w:rsidR="007675B2" w:rsidRDefault="007675B2" w:rsidP="00BD02C3">
      <w:pPr>
        <w:spacing w:after="0" w:line="240" w:lineRule="auto"/>
      </w:pPr>
      <w:r>
        <w:separator/>
      </w:r>
    </w:p>
  </w:footnote>
  <w:footnote w:type="continuationSeparator" w:id="0">
    <w:p w14:paraId="1E062984" w14:textId="77777777" w:rsidR="007675B2" w:rsidRDefault="007675B2" w:rsidP="00BD02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07E42"/>
    <w:multiLevelType w:val="hybridMultilevel"/>
    <w:tmpl w:val="EA56AB3E"/>
    <w:lvl w:ilvl="0" w:tplc="882ECBD2">
      <w:start w:val="1"/>
      <w:numFmt w:val="decimal"/>
      <w:lvlText w:val="%1."/>
      <w:lvlJc w:val="left"/>
      <w:pPr>
        <w:ind w:left="1440" w:hanging="360"/>
      </w:pPr>
      <w:rPr>
        <w:rFonts w:eastAsia="Times New Roman" w:cs="Calibri" w:hint="default"/>
        <w:b/>
        <w:color w:val="000000"/>
      </w:r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1" w15:restartNumberingAfterBreak="0">
    <w:nsid w:val="1F95608C"/>
    <w:multiLevelType w:val="hybridMultilevel"/>
    <w:tmpl w:val="5090F85E"/>
    <w:lvl w:ilvl="0" w:tplc="BC34BE54">
      <w:start w:val="1"/>
      <w:numFmt w:val="decimal"/>
      <w:lvlText w:val="%1."/>
      <w:lvlJc w:val="left"/>
      <w:pPr>
        <w:ind w:left="1440" w:hanging="360"/>
      </w:pPr>
      <w:rPr>
        <w:rFonts w:eastAsia="Times New Roman" w:cs="Calibri" w:hint="default"/>
        <w:b/>
        <w:color w:val="000000"/>
      </w:r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2" w15:restartNumberingAfterBreak="0">
    <w:nsid w:val="2C7712A3"/>
    <w:multiLevelType w:val="hybridMultilevel"/>
    <w:tmpl w:val="83609FF6"/>
    <w:lvl w:ilvl="0" w:tplc="21B0BC4E">
      <w:start w:val="1"/>
      <w:numFmt w:val="decimal"/>
      <w:lvlText w:val="%1."/>
      <w:lvlJc w:val="left"/>
      <w:pPr>
        <w:ind w:left="1440" w:hanging="360"/>
      </w:pPr>
      <w:rPr>
        <w:rFonts w:hint="default"/>
      </w:r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3" w15:restartNumberingAfterBreak="0">
    <w:nsid w:val="329E0EFC"/>
    <w:multiLevelType w:val="hybridMultilevel"/>
    <w:tmpl w:val="521ECD96"/>
    <w:lvl w:ilvl="0" w:tplc="E6002316">
      <w:start w:val="1"/>
      <w:numFmt w:val="upperRoman"/>
      <w:lvlText w:val="%1."/>
      <w:lvlJc w:val="left"/>
      <w:pPr>
        <w:ind w:left="1080" w:hanging="720"/>
      </w:pPr>
      <w:rPr>
        <w:rFonts w:eastAsia="Times New Roman" w:cs="Calibri" w:hint="default"/>
        <w:b/>
        <w:color w:val="000000"/>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600268A2"/>
    <w:multiLevelType w:val="hybridMultilevel"/>
    <w:tmpl w:val="E20EEE30"/>
    <w:lvl w:ilvl="0" w:tplc="66F67BDA">
      <w:start w:val="1"/>
      <w:numFmt w:val="decimal"/>
      <w:lvlText w:val="%1."/>
      <w:lvlJc w:val="left"/>
      <w:pPr>
        <w:ind w:left="1440" w:hanging="360"/>
      </w:pPr>
      <w:rPr>
        <w:rFonts w:eastAsia="Times New Roman" w:cs="Calibri" w:hint="default"/>
        <w:b/>
        <w:color w:val="000000"/>
      </w:r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5" w15:restartNumberingAfterBreak="0">
    <w:nsid w:val="7C8F469E"/>
    <w:multiLevelType w:val="hybridMultilevel"/>
    <w:tmpl w:val="D63A0C0C"/>
    <w:lvl w:ilvl="0" w:tplc="1414A162">
      <w:start w:val="1"/>
      <w:numFmt w:val="decimal"/>
      <w:lvlText w:val="%1."/>
      <w:lvlJc w:val="left"/>
      <w:pPr>
        <w:ind w:left="1440" w:hanging="360"/>
      </w:pPr>
      <w:rPr>
        <w:rFonts w:eastAsia="Times New Roman" w:cs="Calibri" w:hint="default"/>
        <w:b/>
        <w:color w:val="000000"/>
      </w:r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num w:numId="1">
    <w:abstractNumId w:val="3"/>
  </w:num>
  <w:num w:numId="2">
    <w:abstractNumId w:val="4"/>
  </w:num>
  <w:num w:numId="3">
    <w:abstractNumId w:val="0"/>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697"/>
    <w:rsid w:val="000A04AA"/>
    <w:rsid w:val="000B3697"/>
    <w:rsid w:val="00113F04"/>
    <w:rsid w:val="00200EC3"/>
    <w:rsid w:val="00206B5A"/>
    <w:rsid w:val="00220F2E"/>
    <w:rsid w:val="0045774F"/>
    <w:rsid w:val="006E7433"/>
    <w:rsid w:val="006F4882"/>
    <w:rsid w:val="00734C76"/>
    <w:rsid w:val="007408CB"/>
    <w:rsid w:val="007675B2"/>
    <w:rsid w:val="007A7CE2"/>
    <w:rsid w:val="008E3869"/>
    <w:rsid w:val="00A236FC"/>
    <w:rsid w:val="00AC4AF2"/>
    <w:rsid w:val="00AE2B7A"/>
    <w:rsid w:val="00BD02C3"/>
    <w:rsid w:val="00C467E8"/>
    <w:rsid w:val="00D75D05"/>
    <w:rsid w:val="00E04046"/>
    <w:rsid w:val="00EE1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5CBD9"/>
  <w15:chartTrackingRefBased/>
  <w15:docId w15:val="{B1F07BFF-47AF-4194-8AF1-E10F93193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697"/>
    <w:pPr>
      <w:spacing w:after="200" w:line="276" w:lineRule="auto"/>
    </w:pPr>
    <w:rPr>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B3697"/>
    <w:pPr>
      <w:autoSpaceDE w:val="0"/>
      <w:autoSpaceDN w:val="0"/>
      <w:adjustRightInd w:val="0"/>
      <w:spacing w:after="0" w:line="240" w:lineRule="auto"/>
    </w:pPr>
    <w:rPr>
      <w:rFonts w:ascii="Arial" w:hAnsi="Arial" w:cs="Arial"/>
      <w:color w:val="000000"/>
      <w:sz w:val="24"/>
      <w:szCs w:val="24"/>
      <w:lang w:val="bg-BG"/>
    </w:rPr>
  </w:style>
  <w:style w:type="paragraph" w:customStyle="1" w:styleId="comp">
    <w:name w:val="comp"/>
    <w:basedOn w:val="Normal"/>
    <w:rsid w:val="000B3697"/>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0B3697"/>
    <w:rPr>
      <w:b/>
      <w:bCs/>
    </w:rPr>
  </w:style>
  <w:style w:type="paragraph" w:styleId="Footer">
    <w:name w:val="footer"/>
    <w:basedOn w:val="Normal"/>
    <w:link w:val="FooterChar"/>
    <w:uiPriority w:val="99"/>
    <w:unhideWhenUsed/>
    <w:rsid w:val="000B3697"/>
    <w:pPr>
      <w:tabs>
        <w:tab w:val="center" w:pos="4536"/>
        <w:tab w:val="right" w:pos="9072"/>
      </w:tabs>
      <w:spacing w:after="0" w:line="240" w:lineRule="auto"/>
    </w:pPr>
  </w:style>
  <w:style w:type="character" w:customStyle="1" w:styleId="FooterChar">
    <w:name w:val="Footer Char"/>
    <w:basedOn w:val="DefaultParagraphFont"/>
    <w:link w:val="Footer"/>
    <w:uiPriority w:val="99"/>
    <w:rsid w:val="000B3697"/>
    <w:rPr>
      <w:lang w:val="bg-BG"/>
    </w:rPr>
  </w:style>
  <w:style w:type="paragraph" w:styleId="ListParagraph">
    <w:name w:val="List Paragraph"/>
    <w:basedOn w:val="Normal"/>
    <w:uiPriority w:val="34"/>
    <w:qFormat/>
    <w:rsid w:val="000B3697"/>
    <w:pPr>
      <w:ind w:left="720"/>
      <w:contextualSpacing/>
    </w:pPr>
  </w:style>
  <w:style w:type="paragraph" w:styleId="Header">
    <w:name w:val="header"/>
    <w:basedOn w:val="Normal"/>
    <w:link w:val="HeaderChar"/>
    <w:uiPriority w:val="99"/>
    <w:unhideWhenUsed/>
    <w:rsid w:val="00BD0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2C3"/>
    <w:rPr>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355240">
      <w:bodyDiv w:val="1"/>
      <w:marLeft w:val="0"/>
      <w:marRight w:val="0"/>
      <w:marTop w:val="0"/>
      <w:marBottom w:val="0"/>
      <w:divBdr>
        <w:top w:val="none" w:sz="0" w:space="0" w:color="auto"/>
        <w:left w:val="none" w:sz="0" w:space="0" w:color="auto"/>
        <w:bottom w:val="none" w:sz="0" w:space="0" w:color="auto"/>
        <w:right w:val="none" w:sz="0" w:space="0" w:color="auto"/>
      </w:divBdr>
      <w:divsChild>
        <w:div w:id="323748361">
          <w:marLeft w:val="0"/>
          <w:marRight w:val="0"/>
          <w:marTop w:val="0"/>
          <w:marBottom w:val="0"/>
          <w:divBdr>
            <w:top w:val="none" w:sz="0" w:space="0" w:color="auto"/>
            <w:left w:val="none" w:sz="0" w:space="0" w:color="auto"/>
            <w:bottom w:val="none" w:sz="0" w:space="0" w:color="auto"/>
            <w:right w:val="none" w:sz="0" w:space="0" w:color="auto"/>
          </w:divBdr>
          <w:divsChild>
            <w:div w:id="170420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670419">
      <w:bodyDiv w:val="1"/>
      <w:marLeft w:val="0"/>
      <w:marRight w:val="0"/>
      <w:marTop w:val="0"/>
      <w:marBottom w:val="0"/>
      <w:divBdr>
        <w:top w:val="none" w:sz="0" w:space="0" w:color="auto"/>
        <w:left w:val="none" w:sz="0" w:space="0" w:color="auto"/>
        <w:bottom w:val="none" w:sz="0" w:space="0" w:color="auto"/>
        <w:right w:val="none" w:sz="0" w:space="0" w:color="auto"/>
      </w:divBdr>
      <w:divsChild>
        <w:div w:id="379524933">
          <w:marLeft w:val="0"/>
          <w:marRight w:val="0"/>
          <w:marTop w:val="0"/>
          <w:marBottom w:val="0"/>
          <w:divBdr>
            <w:top w:val="none" w:sz="0" w:space="0" w:color="auto"/>
            <w:left w:val="none" w:sz="0" w:space="0" w:color="auto"/>
            <w:bottom w:val="none" w:sz="0" w:space="0" w:color="auto"/>
            <w:right w:val="none" w:sz="0" w:space="0" w:color="auto"/>
          </w:divBdr>
          <w:divsChild>
            <w:div w:id="187245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710334">
      <w:bodyDiv w:val="1"/>
      <w:marLeft w:val="0"/>
      <w:marRight w:val="0"/>
      <w:marTop w:val="0"/>
      <w:marBottom w:val="0"/>
      <w:divBdr>
        <w:top w:val="none" w:sz="0" w:space="0" w:color="auto"/>
        <w:left w:val="none" w:sz="0" w:space="0" w:color="auto"/>
        <w:bottom w:val="none" w:sz="0" w:space="0" w:color="auto"/>
        <w:right w:val="none" w:sz="0" w:space="0" w:color="auto"/>
      </w:divBdr>
      <w:divsChild>
        <w:div w:id="1247879279">
          <w:marLeft w:val="0"/>
          <w:marRight w:val="0"/>
          <w:marTop w:val="0"/>
          <w:marBottom w:val="0"/>
          <w:divBdr>
            <w:top w:val="none" w:sz="0" w:space="0" w:color="auto"/>
            <w:left w:val="none" w:sz="0" w:space="0" w:color="auto"/>
            <w:bottom w:val="none" w:sz="0" w:space="0" w:color="auto"/>
            <w:right w:val="none" w:sz="0" w:space="0" w:color="auto"/>
          </w:divBdr>
          <w:divsChild>
            <w:div w:id="24334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920612">
      <w:bodyDiv w:val="1"/>
      <w:marLeft w:val="0"/>
      <w:marRight w:val="0"/>
      <w:marTop w:val="0"/>
      <w:marBottom w:val="0"/>
      <w:divBdr>
        <w:top w:val="none" w:sz="0" w:space="0" w:color="auto"/>
        <w:left w:val="none" w:sz="0" w:space="0" w:color="auto"/>
        <w:bottom w:val="none" w:sz="0" w:space="0" w:color="auto"/>
        <w:right w:val="none" w:sz="0" w:space="0" w:color="auto"/>
      </w:divBdr>
      <w:divsChild>
        <w:div w:id="1310671182">
          <w:marLeft w:val="0"/>
          <w:marRight w:val="0"/>
          <w:marTop w:val="0"/>
          <w:marBottom w:val="0"/>
          <w:divBdr>
            <w:top w:val="none" w:sz="0" w:space="0" w:color="auto"/>
            <w:left w:val="none" w:sz="0" w:space="0" w:color="auto"/>
            <w:bottom w:val="none" w:sz="0" w:space="0" w:color="auto"/>
            <w:right w:val="none" w:sz="0" w:space="0" w:color="auto"/>
          </w:divBdr>
          <w:divsChild>
            <w:div w:id="179216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8B88C-A5F4-4755-8F88-4DF729F45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13</Pages>
  <Words>4125</Words>
  <Characters>23514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 Emilova Todorova</cp:lastModifiedBy>
  <cp:revision>14</cp:revision>
  <dcterms:created xsi:type="dcterms:W3CDTF">2021-05-07T20:24:00Z</dcterms:created>
  <dcterms:modified xsi:type="dcterms:W3CDTF">2021-05-07T21:46:00Z</dcterms:modified>
</cp:coreProperties>
</file>