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A3C22D5" w14:textId="5A008860" w:rsidR="0041608C" w:rsidRDefault="0041608C" w:rsidP="0041608C">
      <w:pPr>
        <w:pStyle w:val="NormalWeb"/>
        <w:jc w:val="center"/>
      </w:pPr>
      <w:proofErr w:type="spellStart"/>
      <w:proofErr w:type="gramStart"/>
      <w:r>
        <w:t>Nurshen</w:t>
      </w:r>
      <w:proofErr w:type="spellEnd"/>
      <w:r>
        <w:t xml:space="preserve">  </w:t>
      </w:r>
      <w:proofErr w:type="spellStart"/>
      <w:r>
        <w:t>Ackapinar</w:t>
      </w:r>
      <w:proofErr w:type="spellEnd"/>
      <w:proofErr w:type="gramEnd"/>
    </w:p>
    <w:p w14:paraId="0554D754" w14:textId="6A834BCE" w:rsidR="0041608C" w:rsidRDefault="0041608C" w:rsidP="0041608C">
      <w:pPr>
        <w:pStyle w:val="NormalWeb"/>
        <w:jc w:val="center"/>
      </w:pPr>
      <w:r>
        <w:t xml:space="preserve">Academic Skills (HPHY </w:t>
      </w:r>
      <w:proofErr w:type="gramStart"/>
      <w:r>
        <w:t>3010 )</w:t>
      </w:r>
      <w:proofErr w:type="gramEnd"/>
    </w:p>
    <w:p w14:paraId="01E6534D" w14:textId="526485F1" w:rsidR="0041608C" w:rsidRDefault="0041608C" w:rsidP="0041608C">
      <w:pPr>
        <w:pStyle w:val="NormalWeb"/>
        <w:jc w:val="center"/>
      </w:pPr>
      <w:proofErr w:type="gramStart"/>
      <w:r>
        <w:t>Literature  review</w:t>
      </w:r>
      <w:proofErr w:type="gramEnd"/>
      <w:r>
        <w:t xml:space="preserve"> </w:t>
      </w:r>
    </w:p>
    <w:p w14:paraId="6EA590F9" w14:textId="77777777" w:rsidR="0041608C" w:rsidRDefault="0041608C" w:rsidP="0041608C">
      <w:pPr>
        <w:pStyle w:val="NormalWeb"/>
        <w:jc w:val="center"/>
      </w:pPr>
    </w:p>
    <w:p w14:paraId="3BBC5AF5" w14:textId="77777777" w:rsidR="0041608C" w:rsidRDefault="0041608C" w:rsidP="0041608C">
      <w:pPr>
        <w:pStyle w:val="NormalWeb"/>
      </w:pPr>
    </w:p>
    <w:p w14:paraId="7095E4A6" w14:textId="77777777" w:rsidR="0041608C" w:rsidRDefault="0041608C" w:rsidP="0041608C">
      <w:pPr>
        <w:pStyle w:val="NormalWeb"/>
      </w:pPr>
    </w:p>
    <w:p w14:paraId="42351041" w14:textId="77777777" w:rsidR="0041608C" w:rsidRDefault="0041608C" w:rsidP="0041608C">
      <w:pPr>
        <w:pStyle w:val="NormalWeb"/>
      </w:pPr>
    </w:p>
    <w:p w14:paraId="620EE327" w14:textId="77777777" w:rsidR="0041608C" w:rsidRDefault="0041608C" w:rsidP="0041608C">
      <w:pPr>
        <w:pStyle w:val="NormalWeb"/>
      </w:pPr>
    </w:p>
    <w:p w14:paraId="108AD7E4" w14:textId="77777777" w:rsidR="0041608C" w:rsidRDefault="0041608C" w:rsidP="0041608C">
      <w:pPr>
        <w:pStyle w:val="NormalWeb"/>
      </w:pPr>
    </w:p>
    <w:p w14:paraId="59495A8E" w14:textId="77777777" w:rsidR="0041608C" w:rsidRDefault="0041608C" w:rsidP="0041608C">
      <w:pPr>
        <w:pStyle w:val="NormalWeb"/>
      </w:pPr>
    </w:p>
    <w:p w14:paraId="075EF4E8" w14:textId="398909CA" w:rsidR="0041608C" w:rsidRDefault="0041608C" w:rsidP="0041608C">
      <w:pPr>
        <w:pStyle w:val="NormalWeb"/>
      </w:pPr>
      <w:r>
        <w:t>Introduction: Women in the Bible and Early Christian Literature</w:t>
      </w:r>
    </w:p>
    <w:p w14:paraId="60E627AB" w14:textId="77777777" w:rsidR="0041608C" w:rsidRDefault="0041608C" w:rsidP="0041608C">
      <w:pPr>
        <w:pStyle w:val="NormalWeb"/>
      </w:pPr>
      <w:r>
        <w:t>The Women in the Early Church by Elizabeth A. Clark (1990)</w:t>
      </w:r>
    </w:p>
    <w:p w14:paraId="788CBE95" w14:textId="77777777" w:rsidR="0041608C" w:rsidRDefault="0041608C" w:rsidP="0041608C">
      <w:pPr>
        <w:pStyle w:val="NormalWeb"/>
      </w:pPr>
      <w:r>
        <w:t>Women in the Early Church by Elizabeth A. Clark presents a detailed historical overview of women’s positions within early Christianity, presenting the thesis that while women occupied significant positions early on, this began to change as church life became more formalized and women were largely excluded from church service. Clark, an eminent scholar in religious studies, approaches the reconstruction of ancient sources from a historical and theological standpoint with the aim of shedding light on communities in early Christianity. The authors rooted their arguments in wider societal stances within the Greco-Roman world, where women were often limited by social pressure, but they also found opportunities to practice religion.</w:t>
      </w:r>
    </w:p>
    <w:p w14:paraId="4A7856CF" w14:textId="77777777" w:rsidR="0041608C" w:rsidRDefault="0041608C" w:rsidP="0041608C">
      <w:pPr>
        <w:pStyle w:val="NormalWeb"/>
      </w:pPr>
      <w:r>
        <w:t>Clark draws upon early correspondence between church fathers, theological treatises, and church records to elucidate what women did in the early Christian sphere—working as deacons, prophets, and martyrs. They also introduce her to the work of such fully male and patriarchal thinkers as Tertullian and Augustine, who nonetheless document levels of agency and contribution by women in the church.</w:t>
      </w:r>
    </w:p>
    <w:p w14:paraId="05A726A2" w14:textId="77777777" w:rsidR="0041608C" w:rsidRDefault="0041608C" w:rsidP="0041608C">
      <w:pPr>
        <w:pStyle w:val="NormalWeb"/>
      </w:pPr>
      <w:r>
        <w:t>Clark’s work is exceptionally well-thought-out and strongly researched, with an impressive use of primary sources, allowing the reader to gain a comprehensive view of early Christian gender politics. However, one limitation of this study is that Clark may not have been reflecting a wider range of women’s experiences in various Christian communities. Her focus on mainstream church authorities did not meet some critics who believed that central women had been in more marginal or heretical groups of Christ followers. This text is essential for understanding the roots of gender roles in Christian teaching and provides a historical context to any work on women and religion.</w:t>
      </w:r>
    </w:p>
    <w:p w14:paraId="7881C9BF" w14:textId="77777777" w:rsidR="0041608C" w:rsidRDefault="0041608C" w:rsidP="0041608C">
      <w:pPr>
        <w:pStyle w:val="NormalWeb"/>
      </w:pPr>
      <w:proofErr w:type="spellStart"/>
      <w:r>
        <w:lastRenderedPageBreak/>
        <w:t>Torjesen</w:t>
      </w:r>
      <w:proofErr w:type="spellEnd"/>
      <w:r>
        <w:t xml:space="preserve">, Revival of the New Testament: From When Women Were Priests: Women’s Leadership in the Early Church and the Scandal of Their Subordination </w:t>
      </w:r>
      <w:proofErr w:type="gramStart"/>
      <w:r>
        <w:t>( 1993</w:t>
      </w:r>
      <w:proofErr w:type="gramEnd"/>
      <w:r>
        <w:t xml:space="preserve"> )</w:t>
      </w:r>
    </w:p>
    <w:p w14:paraId="2625ADBB" w14:textId="31E7ED80" w:rsidR="0041608C" w:rsidRDefault="0041608C" w:rsidP="0041608C">
      <w:pPr>
        <w:pStyle w:val="NormalWeb"/>
      </w:pPr>
      <w:r>
        <w:t xml:space="preserve">In Karen Jo </w:t>
      </w:r>
      <w:proofErr w:type="spellStart"/>
      <w:r>
        <w:t>Torjesen’s</w:t>
      </w:r>
      <w:proofErr w:type="spellEnd"/>
      <w:r>
        <w:t xml:space="preserve"> When Women Were Priests, the author examines how women played key leadership roles in Christianity at first and then their positions fell as the church became more hierarchical. </w:t>
      </w:r>
      <w:proofErr w:type="spellStart"/>
      <w:r>
        <w:t>Torjesen</w:t>
      </w:r>
      <w:proofErr w:type="spellEnd"/>
      <w:r>
        <w:t xml:space="preserve">, a professor of religious studies with a focus on early Christianity and its history from `a critical historical and feminist perspective,” suggests that traditional narratives about women’s roles are faulty because “women once exercised authority in the church' but those roles were later erased. She cites references to female priests and deacons and concludes that men in hierarchical groups that aimed for domination had to find a way of keeping women in their place if they wanted to retain control over the </w:t>
      </w:r>
      <w:r>
        <w:t>church</w:t>
      </w:r>
      <w:r>
        <w:t>.</w:t>
      </w:r>
    </w:p>
    <w:p w14:paraId="0E86B6D4" w14:textId="77777777" w:rsidR="0041608C" w:rsidRDefault="0041608C" w:rsidP="0041608C">
      <w:pPr>
        <w:pStyle w:val="NormalWeb"/>
      </w:pPr>
      <w:proofErr w:type="spellStart"/>
      <w:r>
        <w:t>Archeological</w:t>
      </w:r>
      <w:proofErr w:type="spellEnd"/>
      <w:r>
        <w:t xml:space="preserve"> evidence supports </w:t>
      </w:r>
      <w:proofErr w:type="spellStart"/>
      <w:r>
        <w:t>Torjesen’s</w:t>
      </w:r>
      <w:proofErr w:type="spellEnd"/>
      <w:r>
        <w:t xml:space="preserve"> analysis, which also draws on scriptural passages and inscriptions from the early Christian era. This study examined both sacred and secular images of women to highlight their roles as community leaders and ritual practitioners. She also read early Christian texts as documents attesting to the real religious authority of women, indeed, in circles where institutional orthodoxy met its greatest opposition.</w:t>
      </w:r>
    </w:p>
    <w:p w14:paraId="612098F6" w14:textId="5D7B79B3" w:rsidR="0041608C" w:rsidRDefault="0041608C" w:rsidP="0041608C">
      <w:pPr>
        <w:pStyle w:val="NormalWeb"/>
      </w:pPr>
      <w:r>
        <w:t xml:space="preserve">The main merit of </w:t>
      </w:r>
      <w:proofErr w:type="spellStart"/>
      <w:r>
        <w:t>Torjesen’s</w:t>
      </w:r>
      <w:proofErr w:type="spellEnd"/>
      <w:r>
        <w:t xml:space="preserve"> work is the challenge it offers to traditional interpretations of early Christian history, although it does tend toward a sort of reverse gender bias — that is, assigning men and women entirely different roles without recognition of bloodlines or cultural influences. However, one of her weaknesses is that her arguments sometimes fall into speculation level because there isn't much to go on here, evidence of female ordination in the area where you would wish at least some clear pointer was found. This speculative approach may have hurt her credibility among the more conservative scholars. Still, When Women Were Priests is an important tool for reminding scholars that revisit conventions and question the extent to which </w:t>
      </w:r>
      <w:proofErr w:type="spellStart"/>
      <w:r>
        <w:t>which</w:t>
      </w:r>
      <w:proofErr w:type="spellEnd"/>
      <w:r>
        <w:t xml:space="preserve"> </w:t>
      </w:r>
      <w:proofErr w:type="spellStart"/>
      <w:r>
        <w:t>socialal</w:t>
      </w:r>
      <w:proofErr w:type="spellEnd"/>
      <w:r>
        <w:t xml:space="preserve"> history may inform practice.</w:t>
      </w:r>
    </w:p>
    <w:p w14:paraId="3A990D2E" w14:textId="77777777" w:rsidR="0041608C" w:rsidRDefault="0041608C" w:rsidP="0041608C">
      <w:pPr>
        <w:pStyle w:val="NormalWeb"/>
      </w:pPr>
      <w:r>
        <w:t>Carolyn Osiek, “The Women at the Tomb: What Are They Doing There?” in Theology Today (2004)</w:t>
      </w:r>
    </w:p>
    <w:p w14:paraId="1C9B6233" w14:textId="77777777" w:rsidR="0041608C" w:rsidRDefault="0041608C" w:rsidP="0041608C">
      <w:pPr>
        <w:pStyle w:val="NormalWeb"/>
      </w:pPr>
      <w:r>
        <w:t>From her article The Women at the Tomb: What Are They Doing There? to Carolyn Osiek on the image of women as first witnesses to Jesus’ resurrection and how this story points both to their place in earliest Christianity. Noting that their inclusion is paralleled by little historical records of women in scripture, Osiek posited that this narrative could have been "consciously incorporated... to signify the importance of women".[9] In a 2004 piece, she suggests that early Christian authors may have realized that women were significant in spreading the Christian message.</w:t>
      </w:r>
    </w:p>
    <w:p w14:paraId="1012F2C1" w14:textId="1F47CC15" w:rsidR="0041608C" w:rsidRDefault="0041608C" w:rsidP="0041608C">
      <w:pPr>
        <w:pStyle w:val="NormalWeb"/>
      </w:pPr>
      <w:r>
        <w:t xml:space="preserve">Among those who inspire Osiek are texts from the New Testament, especially the Gospels, where women were the first to meet Jesus after his resurrection. She then compares these accounts with historical accounts and biblical interpretations, commenting on how different Gospel writers may have </w:t>
      </w:r>
      <w:r>
        <w:t>biennials</w:t>
      </w:r>
      <w:r>
        <w:t xml:space="preserve"> motivated to include women in such prominent positions. </w:t>
      </w:r>
      <w:r>
        <w:t>Since</w:t>
      </w:r>
      <w:r>
        <w:t xml:space="preserve"> these accounts all stress the certainty of these narratives, Osiek also suggests that the highlight of women in this way shows their importance as witnesses and asserts a radically subversive point by suggesting that women were seen as credible witnesses, something which could be questioned in Jewish and Roman legal settings.</w:t>
      </w:r>
    </w:p>
    <w:p w14:paraId="41F7A0BE" w14:textId="77777777" w:rsidR="0041608C" w:rsidRDefault="0041608C" w:rsidP="0041608C">
      <w:pPr>
        <w:pStyle w:val="NormalWeb"/>
      </w:pPr>
      <w:r>
        <w:t xml:space="preserve">A nuanced textual analysis is a major strength of Osiek’s work, as it examines the implications of resurrection narratives in the construction of women in Christianity. </w:t>
      </w:r>
      <w:r>
        <w:lastRenderedPageBreak/>
        <w:t>However, because this article is very short, it cannot delve into the larger history nor address what would have happened to these roles as Christianity expanded. However, Osiek’s approach is valuable in confronting the orthodox readings of biblical gender and offers a fruitful direction for early Christian gender studies.</w:t>
      </w:r>
    </w:p>
    <w:p w14:paraId="53DE6F91" w14:textId="77777777" w:rsidR="0041608C" w:rsidRDefault="0041608C" w:rsidP="0041608C">
      <w:pPr>
        <w:pStyle w:val="NormalWeb"/>
      </w:pPr>
      <w:r>
        <w:t>With a Feminist Theological Reconstruction of Christian Origins, in Memory of Elizabeth Schüssler Fiorenza (1994)</w:t>
      </w:r>
    </w:p>
    <w:p w14:paraId="176ADFA6" w14:textId="0D5BA5C0" w:rsidR="0041608C" w:rsidRDefault="0041608C" w:rsidP="0041608C">
      <w:pPr>
        <w:pStyle w:val="NormalWeb"/>
      </w:pPr>
      <w:r>
        <w:t xml:space="preserve">In her foundational book In Memory of Her, Elizabeth Schüssler Fiorenza provides a feminist reconstruction of the earliest history of Christianity and then concludes that women were key </w:t>
      </w:r>
      <w:r>
        <w:t>factors</w:t>
      </w:r>
      <w:r>
        <w:t xml:space="preserve"> in founding the Christian movement. Feminist theologian Schüssler Fiorenza wants to rescue the stories of biblical women whose achievements she believes have been downplayed or silenced by patriarchal hermeneutics. She critiques the patriarchal paradigm of biblical scholarship and calls for a ‘hermeneutics of remembrance’ that re-</w:t>
      </w:r>
      <w:r>
        <w:t>centres</w:t>
      </w:r>
      <w:r>
        <w:t xml:space="preserve"> women in stories about early Christianity, without — as she puts it — Man.'s</w:t>
      </w:r>
      <w:r>
        <w:t>/ ‘</w:t>
      </w:r>
      <w:r>
        <w:t>Dominant's sexuality onto the Christian past.</w:t>
      </w:r>
    </w:p>
    <w:p w14:paraId="7A12B233" w14:textId="77777777" w:rsidR="0041608C" w:rsidRDefault="0041608C" w:rsidP="0041608C">
      <w:pPr>
        <w:pStyle w:val="NormalWeb"/>
      </w:pPr>
      <w:r>
        <w:t>Schüssler Fiorenza supports her argument with a diverse set of sources, ranging from biblical texts to history to feminist theory. It reflects a careful reading of NT texts and how institutional churches (already from the second century) have intentionally forgotten women or provided distorted memories. Schüssler Fiorenza integrates theology with social critique, observing how she illustrates the impact of gender on religion and religious history with her cross-disciplinary approach.</w:t>
      </w:r>
    </w:p>
    <w:p w14:paraId="3A4B58FF" w14:textId="77777777" w:rsidR="0041608C" w:rsidRDefault="0041608C" w:rsidP="0041608C">
      <w:pPr>
        <w:pStyle w:val="NormalWeb"/>
      </w:pPr>
      <w:r>
        <w:t>This work is notable for its pioneering feminist perspective, and it has paved the way for countless studies on women in religion. The notion of biblical texts as patriarchal but simultaneously able to be turned on their heads in a more nuanced way is one that Schüssler Fiorenza puts forward that many feminist scholars would find compelling. However, this approach has been criticized as an inappropriate application of contemporary feminist values onto ancient sources in a way that subjects historical realities to distortion. However, In Memory of Her continues to serve as an essential resource by prompting its readers to question the role of gender in theological interpretation and providing a new lens through which to view women in early Christianity.</w:t>
      </w:r>
    </w:p>
    <w:p w14:paraId="60500595" w14:textId="77777777" w:rsidR="0041608C" w:rsidRPr="0041608C" w:rsidRDefault="0041608C" w:rsidP="0041608C">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41608C">
        <w:rPr>
          <w:rFonts w:ascii="Times New Roman" w:eastAsia="Times New Roman" w:hAnsi="Times New Roman" w:cs="Times New Roman"/>
          <w:b/>
          <w:bCs/>
          <w:kern w:val="0"/>
          <w:sz w:val="27"/>
          <w:szCs w:val="27"/>
          <w:lang w:eastAsia="en-GB"/>
          <w14:ligatures w14:val="none"/>
        </w:rPr>
        <w:t>Bibliography</w:t>
      </w:r>
    </w:p>
    <w:p w14:paraId="78F316B8" w14:textId="77777777" w:rsidR="0041608C" w:rsidRPr="0041608C" w:rsidRDefault="0041608C" w:rsidP="0041608C">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41608C">
        <w:rPr>
          <w:rFonts w:ascii="Times New Roman" w:eastAsia="Times New Roman" w:hAnsi="Times New Roman" w:cs="Times New Roman"/>
          <w:kern w:val="0"/>
          <w:lang w:eastAsia="en-GB"/>
          <w14:ligatures w14:val="none"/>
        </w:rPr>
        <w:t xml:space="preserve">Clark, Elizabeth A., </w:t>
      </w:r>
      <w:r w:rsidRPr="0041608C">
        <w:rPr>
          <w:rFonts w:ascii="Times New Roman" w:eastAsia="Times New Roman" w:hAnsi="Times New Roman" w:cs="Times New Roman"/>
          <w:i/>
          <w:iCs/>
          <w:kern w:val="0"/>
          <w:lang w:eastAsia="en-GB"/>
          <w14:ligatures w14:val="none"/>
        </w:rPr>
        <w:t>Women in the Early Church</w:t>
      </w:r>
      <w:r w:rsidRPr="0041608C">
        <w:rPr>
          <w:rFonts w:ascii="Times New Roman" w:eastAsia="Times New Roman" w:hAnsi="Times New Roman" w:cs="Times New Roman"/>
          <w:kern w:val="0"/>
          <w:lang w:eastAsia="en-GB"/>
          <w14:ligatures w14:val="none"/>
        </w:rPr>
        <w:t>. Collegeville, MN: Liturgical Press, 1990.</w:t>
      </w:r>
    </w:p>
    <w:p w14:paraId="20BB78C6" w14:textId="77777777" w:rsidR="0041608C" w:rsidRPr="0041608C" w:rsidRDefault="0041608C" w:rsidP="0041608C">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proofErr w:type="spellStart"/>
      <w:r w:rsidRPr="0041608C">
        <w:rPr>
          <w:rFonts w:ascii="Times New Roman" w:eastAsia="Times New Roman" w:hAnsi="Times New Roman" w:cs="Times New Roman"/>
          <w:kern w:val="0"/>
          <w:lang w:eastAsia="en-GB"/>
          <w14:ligatures w14:val="none"/>
        </w:rPr>
        <w:t>Torjesen</w:t>
      </w:r>
      <w:proofErr w:type="spellEnd"/>
      <w:r w:rsidRPr="0041608C">
        <w:rPr>
          <w:rFonts w:ascii="Times New Roman" w:eastAsia="Times New Roman" w:hAnsi="Times New Roman" w:cs="Times New Roman"/>
          <w:kern w:val="0"/>
          <w:lang w:eastAsia="en-GB"/>
          <w14:ligatures w14:val="none"/>
        </w:rPr>
        <w:t xml:space="preserve">, Karen Jo, </w:t>
      </w:r>
      <w:r w:rsidRPr="0041608C">
        <w:rPr>
          <w:rFonts w:ascii="Times New Roman" w:eastAsia="Times New Roman" w:hAnsi="Times New Roman" w:cs="Times New Roman"/>
          <w:i/>
          <w:iCs/>
          <w:kern w:val="0"/>
          <w:lang w:eastAsia="en-GB"/>
          <w14:ligatures w14:val="none"/>
        </w:rPr>
        <w:t>When Women Were Priests: Women’s Leadership in the Early Church and the Scandal of Their Subordination</w:t>
      </w:r>
      <w:r w:rsidRPr="0041608C">
        <w:rPr>
          <w:rFonts w:ascii="Times New Roman" w:eastAsia="Times New Roman" w:hAnsi="Times New Roman" w:cs="Times New Roman"/>
          <w:kern w:val="0"/>
          <w:lang w:eastAsia="en-GB"/>
          <w14:ligatures w14:val="none"/>
        </w:rPr>
        <w:t xml:space="preserve">. San Francisco: </w:t>
      </w:r>
      <w:proofErr w:type="spellStart"/>
      <w:r w:rsidRPr="0041608C">
        <w:rPr>
          <w:rFonts w:ascii="Times New Roman" w:eastAsia="Times New Roman" w:hAnsi="Times New Roman" w:cs="Times New Roman"/>
          <w:kern w:val="0"/>
          <w:lang w:eastAsia="en-GB"/>
          <w14:ligatures w14:val="none"/>
        </w:rPr>
        <w:t>HarperOne</w:t>
      </w:r>
      <w:proofErr w:type="spellEnd"/>
      <w:r w:rsidRPr="0041608C">
        <w:rPr>
          <w:rFonts w:ascii="Times New Roman" w:eastAsia="Times New Roman" w:hAnsi="Times New Roman" w:cs="Times New Roman"/>
          <w:kern w:val="0"/>
          <w:lang w:eastAsia="en-GB"/>
          <w14:ligatures w14:val="none"/>
        </w:rPr>
        <w:t>, 1993.</w:t>
      </w:r>
    </w:p>
    <w:p w14:paraId="5314F502" w14:textId="77777777" w:rsidR="0041608C" w:rsidRPr="0041608C" w:rsidRDefault="0041608C" w:rsidP="0041608C">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41608C">
        <w:rPr>
          <w:rFonts w:ascii="Times New Roman" w:eastAsia="Times New Roman" w:hAnsi="Times New Roman" w:cs="Times New Roman"/>
          <w:kern w:val="0"/>
          <w:lang w:eastAsia="en-GB"/>
          <w14:ligatures w14:val="none"/>
        </w:rPr>
        <w:t xml:space="preserve">Osiek, Carolyn, ‘The Women at the Tomb: What Are They Doing There?’ </w:t>
      </w:r>
      <w:r w:rsidRPr="0041608C">
        <w:rPr>
          <w:rFonts w:ascii="Times New Roman" w:eastAsia="Times New Roman" w:hAnsi="Times New Roman" w:cs="Times New Roman"/>
          <w:i/>
          <w:iCs/>
          <w:kern w:val="0"/>
          <w:lang w:eastAsia="en-GB"/>
          <w14:ligatures w14:val="none"/>
        </w:rPr>
        <w:t>Theology Today</w:t>
      </w:r>
      <w:r w:rsidRPr="0041608C">
        <w:rPr>
          <w:rFonts w:ascii="Times New Roman" w:eastAsia="Times New Roman" w:hAnsi="Times New Roman" w:cs="Times New Roman"/>
          <w:kern w:val="0"/>
          <w:lang w:eastAsia="en-GB"/>
          <w14:ligatures w14:val="none"/>
        </w:rPr>
        <w:t>, 60.4 (2004): 526-536.</w:t>
      </w:r>
    </w:p>
    <w:p w14:paraId="66082697" w14:textId="77777777" w:rsidR="0041608C" w:rsidRPr="0041608C" w:rsidRDefault="0041608C" w:rsidP="0041608C">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41608C">
        <w:rPr>
          <w:rFonts w:ascii="Times New Roman" w:eastAsia="Times New Roman" w:hAnsi="Times New Roman" w:cs="Times New Roman"/>
          <w:kern w:val="0"/>
          <w:lang w:eastAsia="en-GB"/>
          <w14:ligatures w14:val="none"/>
        </w:rPr>
        <w:t xml:space="preserve">Schüssler Fiorenza, Elizabeth, </w:t>
      </w:r>
      <w:r w:rsidRPr="0041608C">
        <w:rPr>
          <w:rFonts w:ascii="Times New Roman" w:eastAsia="Times New Roman" w:hAnsi="Times New Roman" w:cs="Times New Roman"/>
          <w:i/>
          <w:iCs/>
          <w:kern w:val="0"/>
          <w:lang w:eastAsia="en-GB"/>
          <w14:ligatures w14:val="none"/>
        </w:rPr>
        <w:t>In Memory of Her: A Feminist Theological Reconstruction of Christian Origins</w:t>
      </w:r>
      <w:r w:rsidRPr="0041608C">
        <w:rPr>
          <w:rFonts w:ascii="Times New Roman" w:eastAsia="Times New Roman" w:hAnsi="Times New Roman" w:cs="Times New Roman"/>
          <w:kern w:val="0"/>
          <w:lang w:eastAsia="en-GB"/>
          <w14:ligatures w14:val="none"/>
        </w:rPr>
        <w:t>. New York: Crossroad, 1994.</w:t>
      </w:r>
    </w:p>
    <w:p w14:paraId="13AA2B3A" w14:textId="77777777" w:rsidR="001507A9" w:rsidRDefault="001507A9"/>
    <w:sectPr w:rsidR="001507A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81A653B" w14:textId="77777777" w:rsidR="004C47CC" w:rsidRDefault="004C47CC" w:rsidP="004D7A19">
      <w:pPr>
        <w:spacing w:after="0" w:line="240" w:lineRule="auto"/>
      </w:pPr>
      <w:r>
        <w:separator/>
      </w:r>
    </w:p>
  </w:endnote>
  <w:endnote w:type="continuationSeparator" w:id="0">
    <w:p w14:paraId="3FED5911" w14:textId="77777777" w:rsidR="004C47CC" w:rsidRDefault="004C47CC" w:rsidP="004D7A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CBFD888" w14:textId="77777777" w:rsidR="004C47CC" w:rsidRDefault="004C47CC" w:rsidP="004D7A19">
      <w:pPr>
        <w:spacing w:after="0" w:line="240" w:lineRule="auto"/>
      </w:pPr>
      <w:r>
        <w:separator/>
      </w:r>
    </w:p>
  </w:footnote>
  <w:footnote w:type="continuationSeparator" w:id="0">
    <w:p w14:paraId="513452DF" w14:textId="77777777" w:rsidR="004C47CC" w:rsidRDefault="004C47CC" w:rsidP="004D7A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97924CF"/>
    <w:multiLevelType w:val="multilevel"/>
    <w:tmpl w:val="91A4A3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C455CFF"/>
    <w:multiLevelType w:val="multilevel"/>
    <w:tmpl w:val="D11A80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30644963">
    <w:abstractNumId w:val="1"/>
  </w:num>
  <w:num w:numId="2" w16cid:durableId="10797874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608C"/>
    <w:rsid w:val="001507A9"/>
    <w:rsid w:val="0041608C"/>
    <w:rsid w:val="004C47CC"/>
    <w:rsid w:val="004D7A19"/>
    <w:rsid w:val="00884E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FBEBF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608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1608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1608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1608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1608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1608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1608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1608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1608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608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1608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1608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1608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1608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160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160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160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1608C"/>
    <w:rPr>
      <w:rFonts w:eastAsiaTheme="majorEastAsia" w:cstheme="majorBidi"/>
      <w:color w:val="272727" w:themeColor="text1" w:themeTint="D8"/>
    </w:rPr>
  </w:style>
  <w:style w:type="paragraph" w:styleId="Title">
    <w:name w:val="Title"/>
    <w:basedOn w:val="Normal"/>
    <w:next w:val="Normal"/>
    <w:link w:val="TitleChar"/>
    <w:uiPriority w:val="10"/>
    <w:qFormat/>
    <w:rsid w:val="004160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60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1608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160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1608C"/>
    <w:pPr>
      <w:spacing w:before="160"/>
      <w:jc w:val="center"/>
    </w:pPr>
    <w:rPr>
      <w:i/>
      <w:iCs/>
      <w:color w:val="404040" w:themeColor="text1" w:themeTint="BF"/>
    </w:rPr>
  </w:style>
  <w:style w:type="character" w:customStyle="1" w:styleId="QuoteChar">
    <w:name w:val="Quote Char"/>
    <w:basedOn w:val="DefaultParagraphFont"/>
    <w:link w:val="Quote"/>
    <w:uiPriority w:val="29"/>
    <w:rsid w:val="0041608C"/>
    <w:rPr>
      <w:i/>
      <w:iCs/>
      <w:color w:val="404040" w:themeColor="text1" w:themeTint="BF"/>
    </w:rPr>
  </w:style>
  <w:style w:type="paragraph" w:styleId="ListParagraph">
    <w:name w:val="List Paragraph"/>
    <w:basedOn w:val="Normal"/>
    <w:uiPriority w:val="34"/>
    <w:qFormat/>
    <w:rsid w:val="0041608C"/>
    <w:pPr>
      <w:ind w:left="720"/>
      <w:contextualSpacing/>
    </w:pPr>
  </w:style>
  <w:style w:type="character" w:styleId="IntenseEmphasis">
    <w:name w:val="Intense Emphasis"/>
    <w:basedOn w:val="DefaultParagraphFont"/>
    <w:uiPriority w:val="21"/>
    <w:qFormat/>
    <w:rsid w:val="0041608C"/>
    <w:rPr>
      <w:i/>
      <w:iCs/>
      <w:color w:val="0F4761" w:themeColor="accent1" w:themeShade="BF"/>
    </w:rPr>
  </w:style>
  <w:style w:type="paragraph" w:styleId="IntenseQuote">
    <w:name w:val="Intense Quote"/>
    <w:basedOn w:val="Normal"/>
    <w:next w:val="Normal"/>
    <w:link w:val="IntenseQuoteChar"/>
    <w:uiPriority w:val="30"/>
    <w:qFormat/>
    <w:rsid w:val="004160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1608C"/>
    <w:rPr>
      <w:i/>
      <w:iCs/>
      <w:color w:val="0F4761" w:themeColor="accent1" w:themeShade="BF"/>
    </w:rPr>
  </w:style>
  <w:style w:type="character" w:styleId="IntenseReference">
    <w:name w:val="Intense Reference"/>
    <w:basedOn w:val="DefaultParagraphFont"/>
    <w:uiPriority w:val="32"/>
    <w:qFormat/>
    <w:rsid w:val="0041608C"/>
    <w:rPr>
      <w:b/>
      <w:bCs/>
      <w:smallCaps/>
      <w:color w:val="0F4761" w:themeColor="accent1" w:themeShade="BF"/>
      <w:spacing w:val="5"/>
    </w:rPr>
  </w:style>
  <w:style w:type="paragraph" w:styleId="NormalWeb">
    <w:name w:val="Normal (Web)"/>
    <w:basedOn w:val="Normal"/>
    <w:uiPriority w:val="99"/>
    <w:semiHidden/>
    <w:unhideWhenUsed/>
    <w:rsid w:val="0041608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4D7A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7A19"/>
  </w:style>
  <w:style w:type="paragraph" w:styleId="Footer">
    <w:name w:val="footer"/>
    <w:basedOn w:val="Normal"/>
    <w:link w:val="FooterChar"/>
    <w:uiPriority w:val="99"/>
    <w:unhideWhenUsed/>
    <w:rsid w:val="004D7A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7A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9144672">
      <w:bodyDiv w:val="1"/>
      <w:marLeft w:val="0"/>
      <w:marRight w:val="0"/>
      <w:marTop w:val="0"/>
      <w:marBottom w:val="0"/>
      <w:divBdr>
        <w:top w:val="none" w:sz="0" w:space="0" w:color="auto"/>
        <w:left w:val="none" w:sz="0" w:space="0" w:color="auto"/>
        <w:bottom w:val="none" w:sz="0" w:space="0" w:color="auto"/>
        <w:right w:val="none" w:sz="0" w:space="0" w:color="auto"/>
      </w:divBdr>
      <w:divsChild>
        <w:div w:id="1141267216">
          <w:marLeft w:val="0"/>
          <w:marRight w:val="0"/>
          <w:marTop w:val="0"/>
          <w:marBottom w:val="0"/>
          <w:divBdr>
            <w:top w:val="none" w:sz="0" w:space="0" w:color="auto"/>
            <w:left w:val="none" w:sz="0" w:space="0" w:color="auto"/>
            <w:bottom w:val="none" w:sz="0" w:space="0" w:color="auto"/>
            <w:right w:val="none" w:sz="0" w:space="0" w:color="auto"/>
          </w:divBdr>
          <w:divsChild>
            <w:div w:id="97911720">
              <w:marLeft w:val="0"/>
              <w:marRight w:val="0"/>
              <w:marTop w:val="0"/>
              <w:marBottom w:val="0"/>
              <w:divBdr>
                <w:top w:val="none" w:sz="0" w:space="0" w:color="auto"/>
                <w:left w:val="none" w:sz="0" w:space="0" w:color="auto"/>
                <w:bottom w:val="none" w:sz="0" w:space="0" w:color="auto"/>
                <w:right w:val="none" w:sz="0" w:space="0" w:color="auto"/>
              </w:divBdr>
              <w:divsChild>
                <w:div w:id="1064909718">
                  <w:marLeft w:val="0"/>
                  <w:marRight w:val="0"/>
                  <w:marTop w:val="0"/>
                  <w:marBottom w:val="0"/>
                  <w:divBdr>
                    <w:top w:val="none" w:sz="0" w:space="0" w:color="auto"/>
                    <w:left w:val="none" w:sz="0" w:space="0" w:color="auto"/>
                    <w:bottom w:val="none" w:sz="0" w:space="0" w:color="auto"/>
                    <w:right w:val="none" w:sz="0" w:space="0" w:color="auto"/>
                  </w:divBdr>
                  <w:divsChild>
                    <w:div w:id="326518887">
                      <w:marLeft w:val="0"/>
                      <w:marRight w:val="0"/>
                      <w:marTop w:val="0"/>
                      <w:marBottom w:val="0"/>
                      <w:divBdr>
                        <w:top w:val="none" w:sz="0" w:space="0" w:color="auto"/>
                        <w:left w:val="none" w:sz="0" w:space="0" w:color="auto"/>
                        <w:bottom w:val="none" w:sz="0" w:space="0" w:color="auto"/>
                        <w:right w:val="none" w:sz="0" w:space="0" w:color="auto"/>
                      </w:divBdr>
                      <w:divsChild>
                        <w:div w:id="2243949">
                          <w:marLeft w:val="0"/>
                          <w:marRight w:val="0"/>
                          <w:marTop w:val="0"/>
                          <w:marBottom w:val="0"/>
                          <w:divBdr>
                            <w:top w:val="none" w:sz="0" w:space="0" w:color="auto"/>
                            <w:left w:val="none" w:sz="0" w:space="0" w:color="auto"/>
                            <w:bottom w:val="none" w:sz="0" w:space="0" w:color="auto"/>
                            <w:right w:val="none" w:sz="0" w:space="0" w:color="auto"/>
                          </w:divBdr>
                          <w:divsChild>
                            <w:div w:id="1905985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85937065">
      <w:bodyDiv w:val="1"/>
      <w:marLeft w:val="0"/>
      <w:marRight w:val="0"/>
      <w:marTop w:val="0"/>
      <w:marBottom w:val="0"/>
      <w:divBdr>
        <w:top w:val="none" w:sz="0" w:space="0" w:color="auto"/>
        <w:left w:val="none" w:sz="0" w:space="0" w:color="auto"/>
        <w:bottom w:val="none" w:sz="0" w:space="0" w:color="auto"/>
        <w:right w:val="none" w:sz="0" w:space="0" w:color="auto"/>
      </w:divBdr>
    </w:div>
    <w:div w:id="443157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1273</Words>
  <Characters>7257</Characters>
  <Application>Microsoft Office Word</Application>
  <DocSecurity>0</DocSecurity>
  <Lines>60</Lines>
  <Paragraphs>17</Paragraphs>
  <ScaleCrop>false</ScaleCrop>
  <Company/>
  <LinksUpToDate>false</LinksUpToDate>
  <CharactersWithSpaces>8513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2024-11-09T14:53:00Z</dcterms:created>
  <dcterms:modified xsi:type="dcterms:W3CDTF">2024-11-09T14:53:00Z</dcterms:modified>
</cp:coreProperties>
</file>