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EEF" w:rsidRPr="00AD2455" w:rsidRDefault="00CF519D" w:rsidP="00613EEF">
      <w:pPr>
        <w:rPr>
          <w:rFonts w:ascii="Times New Roman" w:hAnsi="Times New Roman" w:cs="Times New Roman"/>
          <w:b/>
          <w:sz w:val="32"/>
          <w:szCs w:val="32"/>
        </w:rPr>
      </w:pPr>
      <w:bookmarkStart w:id="0" w:name="_GoBack"/>
      <w:bookmarkEnd w:id="0"/>
      <w:r>
        <w:rPr>
          <w:rFonts w:ascii="Times New Roman" w:hAnsi="Times New Roman" w:cs="Times New Roman"/>
          <w:b/>
          <w:sz w:val="32"/>
          <w:szCs w:val="32"/>
        </w:rPr>
        <w:t>HARMONISATION</w:t>
      </w:r>
      <w:r w:rsidR="00613EEF" w:rsidRPr="00613EEF">
        <w:rPr>
          <w:rFonts w:ascii="Times New Roman" w:hAnsi="Times New Roman" w:cs="Times New Roman"/>
          <w:b/>
          <w:sz w:val="32"/>
          <w:szCs w:val="32"/>
        </w:rPr>
        <w:t xml:space="preserve"> OF ACCOUNTING STANDARDS</w:t>
      </w:r>
    </w:p>
    <w:p w:rsidR="00424825" w:rsidRDefault="00424825" w:rsidP="00F22E98">
      <w:pPr>
        <w:rPr>
          <w:rFonts w:ascii="Times New Roman" w:hAnsi="Times New Roman" w:cs="Times New Roman"/>
          <w:sz w:val="24"/>
          <w:szCs w:val="24"/>
        </w:rPr>
      </w:pPr>
      <w:r w:rsidRPr="00F22E98">
        <w:rPr>
          <w:rFonts w:ascii="Times New Roman" w:hAnsi="Times New Roman" w:cs="Times New Roman"/>
          <w:sz w:val="24"/>
          <w:szCs w:val="24"/>
        </w:rPr>
        <w:t xml:space="preserve">The </w:t>
      </w:r>
      <w:r w:rsidR="00CF519D">
        <w:rPr>
          <w:rFonts w:ascii="Times New Roman" w:hAnsi="Times New Roman" w:cs="Times New Roman"/>
          <w:bCs/>
          <w:sz w:val="24"/>
          <w:szCs w:val="24"/>
        </w:rPr>
        <w:t>harmonisation</w:t>
      </w:r>
      <w:r w:rsidRPr="00F22E98">
        <w:rPr>
          <w:rFonts w:ascii="Times New Roman" w:hAnsi="Times New Roman" w:cs="Times New Roman"/>
          <w:bCs/>
          <w:sz w:val="24"/>
          <w:szCs w:val="24"/>
        </w:rPr>
        <w:t xml:space="preserve"> of accounting standards</w:t>
      </w:r>
      <w:r w:rsidRPr="00F22E98">
        <w:rPr>
          <w:rFonts w:ascii="Times New Roman" w:hAnsi="Times New Roman" w:cs="Times New Roman"/>
          <w:sz w:val="24"/>
          <w:szCs w:val="24"/>
        </w:rPr>
        <w:t xml:space="preserve"> refers to the goal of establishing a single set of </w:t>
      </w:r>
      <w:hyperlink r:id="rId6" w:tooltip="Accounting standard" w:history="1">
        <w:r w:rsidRPr="00F22E98">
          <w:rPr>
            <w:rStyle w:val="Hyperlink"/>
            <w:rFonts w:ascii="Times New Roman" w:hAnsi="Times New Roman" w:cs="Times New Roman"/>
            <w:color w:val="auto"/>
            <w:sz w:val="24"/>
            <w:szCs w:val="24"/>
            <w:u w:val="none"/>
          </w:rPr>
          <w:t>accounting standards</w:t>
        </w:r>
      </w:hyperlink>
      <w:r w:rsidRPr="00F22E98">
        <w:rPr>
          <w:rFonts w:ascii="Times New Roman" w:hAnsi="Times New Roman" w:cs="Times New Roman"/>
          <w:sz w:val="24"/>
          <w:szCs w:val="24"/>
        </w:rPr>
        <w:t xml:space="preserve"> that will be used internationally</w:t>
      </w:r>
      <w:r w:rsidR="00613EEF" w:rsidRPr="00F22E98">
        <w:rPr>
          <w:rFonts w:ascii="Times New Roman" w:hAnsi="Times New Roman" w:cs="Times New Roman"/>
          <w:sz w:val="24"/>
          <w:szCs w:val="24"/>
        </w:rPr>
        <w:t xml:space="preserve">. </w:t>
      </w:r>
      <w:r w:rsidRPr="00F22E98">
        <w:rPr>
          <w:rFonts w:ascii="Times New Roman" w:hAnsi="Times New Roman" w:cs="Times New Roman"/>
          <w:sz w:val="24"/>
          <w:szCs w:val="24"/>
        </w:rPr>
        <w:t xml:space="preserve"> Convergence in some form has been taking place for several decades and efforts today include projects that aim to reduce the differences between accounting standards</w:t>
      </w:r>
      <w:r w:rsidR="001C4DE4" w:rsidRPr="00F22E98">
        <w:rPr>
          <w:rFonts w:ascii="Times New Roman" w:hAnsi="Times New Roman" w:cs="Times New Roman"/>
          <w:sz w:val="24"/>
          <w:szCs w:val="24"/>
        </w:rPr>
        <w:t>.</w:t>
      </w:r>
    </w:p>
    <w:p w:rsidR="00AF6ED3" w:rsidRPr="00AF6ED3" w:rsidRDefault="00AF6ED3" w:rsidP="00AF6ED3">
      <w:pPr>
        <w:jc w:val="both"/>
        <w:rPr>
          <w:rFonts w:ascii="Times New Roman" w:hAnsi="Times New Roman" w:cs="Times New Roman"/>
          <w:sz w:val="24"/>
          <w:szCs w:val="24"/>
        </w:rPr>
      </w:pPr>
      <w:r w:rsidRPr="00655527">
        <w:rPr>
          <w:rFonts w:ascii="Times New Roman" w:hAnsi="Times New Roman" w:cs="Times New Roman"/>
          <w:sz w:val="24"/>
          <w:szCs w:val="24"/>
        </w:rPr>
        <w:t>The first official push for the unification of accounting standards was the creation of the International Accounting Standards Committee (IASC) in 1973.  The IASC was originally formed by a group of professional accountants, being sponsored by their professional bodie</w:t>
      </w:r>
      <w:r>
        <w:rPr>
          <w:rFonts w:ascii="Times New Roman" w:hAnsi="Times New Roman" w:cs="Times New Roman"/>
          <w:sz w:val="24"/>
          <w:szCs w:val="24"/>
        </w:rPr>
        <w:t>s.</w:t>
      </w:r>
      <w:r w:rsidRPr="00655527">
        <w:rPr>
          <w:rFonts w:ascii="Times New Roman" w:hAnsi="Times New Roman" w:cs="Times New Roman"/>
          <w:i/>
          <w:sz w:val="24"/>
          <w:szCs w:val="24"/>
        </w:rPr>
        <w:t xml:space="preserve">  </w:t>
      </w:r>
      <w:r w:rsidRPr="00655527">
        <w:rPr>
          <w:rFonts w:ascii="Times New Roman" w:hAnsi="Times New Roman" w:cs="Times New Roman"/>
          <w:sz w:val="24"/>
          <w:szCs w:val="24"/>
        </w:rPr>
        <w:t xml:space="preserve"> It was made up of the professional accounting bodies of Australia, Canada, France, Germany, Japan, Mexico, the Netherlands, the United Kingdom and Ireland, and the United States.  </w:t>
      </w:r>
      <w:r w:rsidRPr="00AF6ED3">
        <w:rPr>
          <w:rFonts w:ascii="Times New Roman" w:hAnsi="Times New Roman" w:cs="Times New Roman"/>
          <w:sz w:val="24"/>
          <w:szCs w:val="24"/>
        </w:rPr>
        <w:tab/>
      </w:r>
    </w:p>
    <w:p w:rsidR="00AF6ED3" w:rsidRPr="00F22E98" w:rsidRDefault="00AF6ED3" w:rsidP="00AF6ED3">
      <w:pPr>
        <w:rPr>
          <w:rFonts w:ascii="Times New Roman" w:hAnsi="Times New Roman" w:cs="Times New Roman"/>
          <w:sz w:val="24"/>
          <w:szCs w:val="24"/>
        </w:rPr>
      </w:pPr>
      <w:r w:rsidRPr="00655527">
        <w:rPr>
          <w:rFonts w:ascii="Times New Roman" w:hAnsi="Times New Roman" w:cs="Times New Roman"/>
          <w:sz w:val="24"/>
          <w:szCs w:val="24"/>
        </w:rPr>
        <w:t xml:space="preserve">The harmonisation of standards has more recently been replaced with the concept of convergence.  In early 2001, the International Accounting Standards Board (IASB) took over from the IASC as the standard setting body for </w:t>
      </w:r>
      <w:r>
        <w:rPr>
          <w:rFonts w:ascii="Times New Roman" w:hAnsi="Times New Roman" w:cs="Times New Roman"/>
          <w:sz w:val="24"/>
          <w:szCs w:val="24"/>
        </w:rPr>
        <w:t>IFRS</w:t>
      </w:r>
      <w:r w:rsidRPr="00655527">
        <w:rPr>
          <w:rFonts w:ascii="Times New Roman" w:hAnsi="Times New Roman" w:cs="Times New Roman"/>
          <w:sz w:val="24"/>
          <w:szCs w:val="24"/>
        </w:rPr>
        <w:t xml:space="preserve">’s.  Since then, they have been committed </w:t>
      </w:r>
      <w:r w:rsidRPr="00AF6ED3">
        <w:rPr>
          <w:rStyle w:val="Strong"/>
          <w:rFonts w:ascii="Times New Roman" w:hAnsi="Times New Roman" w:cs="Times New Roman"/>
          <w:b w:val="0"/>
          <w:sz w:val="24"/>
          <w:szCs w:val="24"/>
          <w:lang w:val="en-US"/>
        </w:rPr>
        <w:t>to develop “a single set of high quality, understandable, enforceable and globally accepted international financial reporting standards”</w:t>
      </w:r>
      <w:r>
        <w:rPr>
          <w:rStyle w:val="Strong"/>
          <w:rFonts w:ascii="Times New Roman" w:hAnsi="Times New Roman" w:cs="Times New Roman"/>
          <w:b w:val="0"/>
          <w:sz w:val="24"/>
          <w:szCs w:val="24"/>
          <w:lang w:val="en-US"/>
        </w:rPr>
        <w:t>. (IFRS Foundation)</w:t>
      </w:r>
    </w:p>
    <w:p w:rsidR="00424825" w:rsidRDefault="00424825" w:rsidP="00F22E98">
      <w:r w:rsidRPr="00F22E98">
        <w:rPr>
          <w:rFonts w:ascii="Times New Roman" w:hAnsi="Times New Roman" w:cs="Times New Roman"/>
          <w:sz w:val="24"/>
          <w:szCs w:val="24"/>
        </w:rPr>
        <w:t xml:space="preserve">Convergence is driven by several factors, including the belief that having a single set of accounting requirements would increase the comparability of different entities' accounting numbers, which will contribute to the flow of international </w:t>
      </w:r>
      <w:hyperlink r:id="rId7" w:tooltip="Investment" w:history="1">
        <w:r w:rsidRPr="00F22E98">
          <w:rPr>
            <w:rStyle w:val="Hyperlink"/>
            <w:rFonts w:ascii="Times New Roman" w:hAnsi="Times New Roman" w:cs="Times New Roman"/>
            <w:color w:val="auto"/>
            <w:sz w:val="24"/>
            <w:szCs w:val="24"/>
            <w:u w:val="none"/>
          </w:rPr>
          <w:t>investment</w:t>
        </w:r>
      </w:hyperlink>
      <w:r w:rsidRPr="00F22E98">
        <w:rPr>
          <w:rFonts w:ascii="Times New Roman" w:hAnsi="Times New Roman" w:cs="Times New Roman"/>
          <w:sz w:val="24"/>
          <w:szCs w:val="24"/>
        </w:rPr>
        <w:t xml:space="preserve"> and benefit a variety of </w:t>
      </w:r>
      <w:hyperlink r:id="rId8" w:tooltip="Stakeholder (corporate)" w:history="1">
        <w:r w:rsidRPr="00F22E98">
          <w:rPr>
            <w:rStyle w:val="Hyperlink"/>
            <w:rFonts w:ascii="Times New Roman" w:hAnsi="Times New Roman" w:cs="Times New Roman"/>
            <w:color w:val="auto"/>
            <w:sz w:val="24"/>
            <w:szCs w:val="24"/>
            <w:u w:val="none"/>
          </w:rPr>
          <w:t>stakeholders</w:t>
        </w:r>
      </w:hyperlink>
      <w:r w:rsidR="002D2228">
        <w:t>.</w:t>
      </w:r>
    </w:p>
    <w:p w:rsidR="00815C9A" w:rsidRDefault="00815C9A" w:rsidP="00F22E98"/>
    <w:p w:rsidR="002B5CF2" w:rsidRPr="00F22E98" w:rsidRDefault="002B5CF2" w:rsidP="002B5CF2">
      <w:pPr>
        <w:rPr>
          <w:rFonts w:ascii="Times New Roman" w:hAnsi="Times New Roman" w:cs="Times New Roman"/>
          <w:b/>
          <w:sz w:val="28"/>
          <w:szCs w:val="28"/>
        </w:rPr>
      </w:pPr>
      <w:r w:rsidRPr="00F22E98">
        <w:rPr>
          <w:rFonts w:ascii="Times New Roman" w:hAnsi="Times New Roman" w:cs="Times New Roman"/>
          <w:b/>
          <w:sz w:val="28"/>
          <w:szCs w:val="28"/>
        </w:rPr>
        <w:t>THE CASE FOR HARMONISATION</w:t>
      </w:r>
    </w:p>
    <w:p w:rsidR="002B5CF2" w:rsidRPr="00F22E98" w:rsidRDefault="002B5CF2" w:rsidP="002B5CF2">
      <w:pPr>
        <w:rPr>
          <w:rFonts w:ascii="Times New Roman" w:hAnsi="Times New Roman" w:cs="Times New Roman"/>
          <w:sz w:val="24"/>
          <w:szCs w:val="24"/>
        </w:rPr>
      </w:pPr>
      <w:r w:rsidRPr="00F22E98">
        <w:rPr>
          <w:rFonts w:ascii="Times New Roman" w:hAnsi="Times New Roman" w:cs="Times New Roman"/>
          <w:sz w:val="24"/>
          <w:szCs w:val="24"/>
        </w:rPr>
        <w:t>Consistency between UK standards and IFRS is important for the following reasons:</w:t>
      </w:r>
    </w:p>
    <w:p w:rsidR="002B5CF2" w:rsidRPr="00F22E98" w:rsidRDefault="002B5CF2" w:rsidP="002B5CF2">
      <w:pPr>
        <w:pStyle w:val="ListParagraph"/>
        <w:numPr>
          <w:ilvl w:val="0"/>
          <w:numId w:val="2"/>
        </w:numPr>
        <w:rPr>
          <w:rFonts w:ascii="Times New Roman" w:hAnsi="Times New Roman" w:cs="Times New Roman"/>
          <w:sz w:val="24"/>
          <w:szCs w:val="24"/>
        </w:rPr>
      </w:pPr>
      <w:proofErr w:type="gramStart"/>
      <w:r w:rsidRPr="00F22E98">
        <w:rPr>
          <w:rFonts w:ascii="Times New Roman" w:hAnsi="Times New Roman" w:cs="Times New Roman"/>
          <w:sz w:val="24"/>
          <w:szCs w:val="24"/>
        </w:rPr>
        <w:t>it</w:t>
      </w:r>
      <w:proofErr w:type="gramEnd"/>
      <w:r w:rsidRPr="00F22E98">
        <w:rPr>
          <w:rFonts w:ascii="Times New Roman" w:hAnsi="Times New Roman" w:cs="Times New Roman"/>
          <w:sz w:val="24"/>
          <w:szCs w:val="24"/>
        </w:rPr>
        <w:t xml:space="preserve"> enhances the credibility and clarity of financial reporting in the UK.</w:t>
      </w:r>
    </w:p>
    <w:p w:rsidR="002B5CF2" w:rsidRPr="00F22E98" w:rsidRDefault="002B5CF2" w:rsidP="002B5CF2">
      <w:pPr>
        <w:pStyle w:val="ListParagraph"/>
        <w:numPr>
          <w:ilvl w:val="0"/>
          <w:numId w:val="2"/>
        </w:numPr>
        <w:rPr>
          <w:rFonts w:ascii="Times New Roman" w:hAnsi="Times New Roman" w:cs="Times New Roman"/>
          <w:sz w:val="24"/>
          <w:szCs w:val="24"/>
        </w:rPr>
      </w:pPr>
      <w:proofErr w:type="gramStart"/>
      <w:r w:rsidRPr="00F22E98">
        <w:rPr>
          <w:rFonts w:ascii="Times New Roman" w:hAnsi="Times New Roman" w:cs="Times New Roman"/>
          <w:sz w:val="24"/>
          <w:szCs w:val="24"/>
        </w:rPr>
        <w:t>there</w:t>
      </w:r>
      <w:proofErr w:type="gramEnd"/>
      <w:r w:rsidRPr="00F22E98">
        <w:rPr>
          <w:rFonts w:ascii="Times New Roman" w:hAnsi="Times New Roman" w:cs="Times New Roman"/>
          <w:sz w:val="24"/>
          <w:szCs w:val="24"/>
        </w:rPr>
        <w:t xml:space="preserve"> are companies who continue to prepare financial statements under UK standards and wish to ensure that they are consistent with IFRS so as to avoid a two tier system of reporting.</w:t>
      </w:r>
    </w:p>
    <w:p w:rsidR="002B5CF2" w:rsidRPr="00F22E98" w:rsidRDefault="002B5CF2" w:rsidP="002B5CF2">
      <w:pPr>
        <w:pStyle w:val="ListParagraph"/>
        <w:numPr>
          <w:ilvl w:val="0"/>
          <w:numId w:val="2"/>
        </w:numPr>
        <w:rPr>
          <w:rFonts w:ascii="Times New Roman" w:hAnsi="Times New Roman" w:cs="Times New Roman"/>
          <w:sz w:val="24"/>
          <w:szCs w:val="24"/>
        </w:rPr>
      </w:pPr>
      <w:proofErr w:type="gramStart"/>
      <w:r w:rsidRPr="00F22E98">
        <w:rPr>
          <w:rFonts w:ascii="Times New Roman" w:hAnsi="Times New Roman" w:cs="Times New Roman"/>
          <w:sz w:val="24"/>
          <w:szCs w:val="24"/>
        </w:rPr>
        <w:t>it</w:t>
      </w:r>
      <w:proofErr w:type="gramEnd"/>
      <w:r w:rsidRPr="00F22E98">
        <w:rPr>
          <w:rFonts w:ascii="Times New Roman" w:hAnsi="Times New Roman" w:cs="Times New Roman"/>
          <w:sz w:val="24"/>
          <w:szCs w:val="24"/>
        </w:rPr>
        <w:t xml:space="preserve"> will facilitate the movement of accountants between organisations using either UK GAAP or IFRS and lower barriers to the free-movement of accountants in business across jurisdictions.</w:t>
      </w:r>
    </w:p>
    <w:p w:rsidR="002B5CF2" w:rsidRPr="00F22E98" w:rsidRDefault="002B5CF2" w:rsidP="002B5CF2">
      <w:pPr>
        <w:pStyle w:val="ListParagraph"/>
        <w:numPr>
          <w:ilvl w:val="0"/>
          <w:numId w:val="2"/>
        </w:numPr>
        <w:rPr>
          <w:rFonts w:ascii="Times New Roman" w:hAnsi="Times New Roman" w:cs="Times New Roman"/>
          <w:sz w:val="24"/>
          <w:szCs w:val="24"/>
        </w:rPr>
      </w:pPr>
      <w:proofErr w:type="gramStart"/>
      <w:r w:rsidRPr="00F22E98">
        <w:rPr>
          <w:rFonts w:ascii="Times New Roman" w:hAnsi="Times New Roman" w:cs="Times New Roman"/>
          <w:sz w:val="24"/>
          <w:szCs w:val="24"/>
        </w:rPr>
        <w:t>it</w:t>
      </w:r>
      <w:proofErr w:type="gramEnd"/>
      <w:r w:rsidRPr="00F22E98">
        <w:rPr>
          <w:rFonts w:ascii="Times New Roman" w:hAnsi="Times New Roman" w:cs="Times New Roman"/>
          <w:sz w:val="24"/>
          <w:szCs w:val="24"/>
        </w:rPr>
        <w:t xml:space="preserve"> helps to ensure the comparability of financial statements whatever the size of the company.</w:t>
      </w:r>
    </w:p>
    <w:p w:rsidR="002B5CF2" w:rsidRPr="00F22E98" w:rsidRDefault="002B5CF2" w:rsidP="002B5CF2">
      <w:pPr>
        <w:pStyle w:val="ListParagraph"/>
        <w:numPr>
          <w:ilvl w:val="0"/>
          <w:numId w:val="2"/>
        </w:numPr>
        <w:rPr>
          <w:rFonts w:ascii="Times New Roman" w:hAnsi="Times New Roman" w:cs="Times New Roman"/>
          <w:sz w:val="24"/>
          <w:szCs w:val="24"/>
        </w:rPr>
      </w:pPr>
      <w:proofErr w:type="gramStart"/>
      <w:r w:rsidRPr="00F22E98">
        <w:rPr>
          <w:rFonts w:ascii="Times New Roman" w:hAnsi="Times New Roman" w:cs="Times New Roman"/>
          <w:sz w:val="24"/>
          <w:szCs w:val="24"/>
        </w:rPr>
        <w:t>it</w:t>
      </w:r>
      <w:proofErr w:type="gramEnd"/>
      <w:r w:rsidRPr="00F22E98">
        <w:rPr>
          <w:rFonts w:ascii="Times New Roman" w:hAnsi="Times New Roman" w:cs="Times New Roman"/>
          <w:sz w:val="24"/>
          <w:szCs w:val="24"/>
        </w:rPr>
        <w:t xml:space="preserve"> allows companies to enjoy a lower cost of capital as a result of their financial statements being more readily understood.</w:t>
      </w:r>
    </w:p>
    <w:p w:rsidR="002B5CF2" w:rsidRPr="00F22E98" w:rsidRDefault="002B5CF2" w:rsidP="002B5CF2">
      <w:pPr>
        <w:rPr>
          <w:rFonts w:ascii="Times New Roman" w:hAnsi="Times New Roman" w:cs="Times New Roman"/>
          <w:sz w:val="24"/>
          <w:szCs w:val="24"/>
        </w:rPr>
      </w:pPr>
    </w:p>
    <w:p w:rsidR="002B5CF2" w:rsidRPr="00F22E98" w:rsidRDefault="002B5CF2" w:rsidP="002B5CF2">
      <w:pPr>
        <w:rPr>
          <w:rFonts w:ascii="Times New Roman" w:eastAsia="Times New Roman" w:hAnsi="Times New Roman" w:cs="Times New Roman"/>
          <w:color w:val="000000"/>
          <w:sz w:val="24"/>
          <w:szCs w:val="24"/>
          <w:lang w:eastAsia="en-GB"/>
        </w:rPr>
      </w:pPr>
      <w:r w:rsidRPr="00F22E98">
        <w:rPr>
          <w:rFonts w:ascii="Times New Roman" w:eastAsia="Times New Roman" w:hAnsi="Times New Roman" w:cs="Times New Roman"/>
          <w:color w:val="000000"/>
          <w:sz w:val="24"/>
          <w:szCs w:val="24"/>
          <w:lang w:eastAsia="en-GB"/>
        </w:rPr>
        <w:t xml:space="preserve">With the increasing globalisation of financial markets and of companies, the use of a single set of financial reporting standards across countries is viewed as having increased the comparability of financial statements across borders. It also reduces the cost of preparing the </w:t>
      </w:r>
      <w:r w:rsidRPr="00F22E98">
        <w:rPr>
          <w:rFonts w:ascii="Times New Roman" w:eastAsia="Times New Roman" w:hAnsi="Times New Roman" w:cs="Times New Roman"/>
          <w:color w:val="000000"/>
          <w:sz w:val="24"/>
          <w:szCs w:val="24"/>
          <w:lang w:eastAsia="en-GB"/>
        </w:rPr>
        <w:lastRenderedPageBreak/>
        <w:t xml:space="preserve">consolidated financial statements of groups made up of companies conducting business all around the world. </w:t>
      </w:r>
    </w:p>
    <w:p w:rsidR="002B5CF2" w:rsidRPr="00F22E98" w:rsidRDefault="002B5CF2" w:rsidP="002B5CF2">
      <w:pPr>
        <w:rPr>
          <w:rFonts w:ascii="Times New Roman" w:hAnsi="Times New Roman" w:cs="Times New Roman"/>
          <w:b/>
          <w:sz w:val="24"/>
          <w:szCs w:val="24"/>
        </w:rPr>
      </w:pPr>
    </w:p>
    <w:p w:rsidR="002B5CF2" w:rsidRPr="00815C9A" w:rsidRDefault="002B5CF2" w:rsidP="002B5CF2">
      <w:pPr>
        <w:rPr>
          <w:rFonts w:ascii="Times New Roman" w:hAnsi="Times New Roman" w:cs="Times New Roman"/>
          <w:b/>
          <w:sz w:val="24"/>
          <w:szCs w:val="24"/>
        </w:rPr>
      </w:pPr>
      <w:r w:rsidRPr="00F22E98">
        <w:rPr>
          <w:rFonts w:ascii="Times New Roman" w:hAnsi="Times New Roman" w:cs="Times New Roman"/>
          <w:b/>
          <w:sz w:val="24"/>
          <w:szCs w:val="24"/>
        </w:rPr>
        <w:t>IMPLEMENTATION CHALLENGES</w:t>
      </w:r>
    </w:p>
    <w:p w:rsidR="002B5CF2" w:rsidRPr="00F22E98" w:rsidRDefault="002B5CF2" w:rsidP="002B5CF2">
      <w:pPr>
        <w:rPr>
          <w:rFonts w:ascii="Times New Roman" w:eastAsia="Times New Roman" w:hAnsi="Times New Roman" w:cs="Times New Roman"/>
          <w:sz w:val="24"/>
          <w:szCs w:val="24"/>
          <w:lang w:eastAsia="en-GB"/>
        </w:rPr>
      </w:pPr>
      <w:r w:rsidRPr="00F22E98">
        <w:rPr>
          <w:rFonts w:ascii="Times New Roman" w:eastAsia="Times New Roman" w:hAnsi="Times New Roman" w:cs="Times New Roman"/>
          <w:sz w:val="24"/>
          <w:szCs w:val="24"/>
          <w:lang w:eastAsia="en-GB"/>
        </w:rPr>
        <w:t>There are a number of challenges being faced by countries adopting the new policies.  Not only are the issues regulatory based, but some are cultural and language issues that will affect the implementation of IFRS in all countries.  For example, at the time of the deadline for Russia to adopt IFRS’s, some of the standards had yet to be translated to Russian. A cultural example is that of the emerging markets warning that they fear the international standards are too influenced by the European Union and the United States, and may neglect t</w:t>
      </w:r>
      <w:r w:rsidR="00CF519D">
        <w:rPr>
          <w:rFonts w:ascii="Times New Roman" w:eastAsia="Times New Roman" w:hAnsi="Times New Roman" w:cs="Times New Roman"/>
          <w:sz w:val="24"/>
          <w:szCs w:val="24"/>
          <w:lang w:eastAsia="en-GB"/>
        </w:rPr>
        <w:t>he interests of their countries.</w:t>
      </w:r>
    </w:p>
    <w:p w:rsidR="002B5CF2" w:rsidRPr="00F22E98" w:rsidRDefault="002B5CF2" w:rsidP="002B5CF2">
      <w:pPr>
        <w:rPr>
          <w:rFonts w:ascii="Times New Roman" w:eastAsia="Times New Roman" w:hAnsi="Times New Roman" w:cs="Times New Roman"/>
          <w:sz w:val="24"/>
          <w:szCs w:val="24"/>
          <w:lang w:eastAsia="en-GB"/>
        </w:rPr>
      </w:pPr>
      <w:r w:rsidRPr="00F22E98">
        <w:rPr>
          <w:rFonts w:ascii="Times New Roman" w:eastAsia="Times New Roman" w:hAnsi="Times New Roman" w:cs="Times New Roman"/>
          <w:sz w:val="24"/>
          <w:szCs w:val="24"/>
          <w:lang w:eastAsia="en-GB"/>
        </w:rPr>
        <w:t>Another important barrier across the board is the time and cost of the training and equipment needed for accountants to become proficient in the new standards.  A survey of FTSE 350 companies (the 350 largest companies in the London Stock Exchange) revealed that many had to hire extra staff or subcontractors, along with having to update computer equipment at great expense in order to comply with the new regulations.</w:t>
      </w:r>
    </w:p>
    <w:p w:rsidR="002B5CF2" w:rsidRPr="00F22E98" w:rsidRDefault="002B5CF2" w:rsidP="002B5CF2">
      <w:pPr>
        <w:rPr>
          <w:rFonts w:ascii="Times New Roman" w:hAnsi="Times New Roman" w:cs="Times New Roman"/>
          <w:sz w:val="24"/>
          <w:szCs w:val="24"/>
        </w:rPr>
      </w:pPr>
      <w:r w:rsidRPr="00F22E98">
        <w:rPr>
          <w:rFonts w:ascii="Times New Roman" w:hAnsi="Times New Roman" w:cs="Times New Roman"/>
          <w:sz w:val="24"/>
          <w:szCs w:val="24"/>
        </w:rPr>
        <w:t xml:space="preserve">Variations in translation of IFRS could introduce inconsistency. In some countries the capacity for highly technical translation is low and there may be a conflict with existing national terminology and legislation. Additionally, time lags in the local “endorsement” process and in translating new IFRS could mean that financial reports may not be consistent with the latest body of standards. Additionally the successful implementation of IFRS will depend upon the robustness of the local regulatory framework. Effective corporate governance practices, high quality auditing standards and practices, and effective enforcement or oversight mechanisms will be required to underpin the IFRS. </w:t>
      </w:r>
    </w:p>
    <w:p w:rsidR="002B5CF2" w:rsidRPr="00F22E98" w:rsidRDefault="002B5CF2" w:rsidP="002B5CF2">
      <w:pPr>
        <w:rPr>
          <w:rFonts w:ascii="Times New Roman" w:hAnsi="Times New Roman" w:cs="Times New Roman"/>
          <w:sz w:val="24"/>
          <w:szCs w:val="24"/>
        </w:rPr>
      </w:pPr>
      <w:r w:rsidRPr="00F22E98">
        <w:rPr>
          <w:rFonts w:ascii="Times New Roman" w:hAnsi="Times New Roman" w:cs="Times New Roman"/>
          <w:sz w:val="24"/>
          <w:szCs w:val="24"/>
        </w:rPr>
        <w:t>The IFRS standards are deemed to be “principles based” and this may lead to inconsistencies of application, particularly in countries without a critical mass of experienced accountants. Conversely, the US GAAP standards are deemed to be “rules based” and this has been an additional factor in the slow progress of the convergence process in the USA.</w:t>
      </w:r>
    </w:p>
    <w:p w:rsidR="002B5CF2" w:rsidRPr="00F22E98" w:rsidRDefault="002B5CF2" w:rsidP="002B5CF2">
      <w:pPr>
        <w:rPr>
          <w:rFonts w:ascii="Times New Roman" w:hAnsi="Times New Roman" w:cs="Times New Roman"/>
          <w:sz w:val="24"/>
          <w:szCs w:val="24"/>
        </w:rPr>
      </w:pPr>
      <w:r>
        <w:rPr>
          <w:rFonts w:ascii="Times New Roman" w:hAnsi="Times New Roman" w:cs="Times New Roman"/>
          <w:sz w:val="24"/>
          <w:szCs w:val="24"/>
        </w:rPr>
        <w:t>An additional challenge is that th</w:t>
      </w:r>
      <w:r w:rsidRPr="00F22E98">
        <w:rPr>
          <w:rFonts w:ascii="Times New Roman" w:hAnsi="Times New Roman" w:cs="Times New Roman"/>
          <w:sz w:val="24"/>
          <w:szCs w:val="24"/>
        </w:rPr>
        <w:t>e concepts set out in IFRS may be new to some accounting professionals and may be difficult to grasp and require additional training and education at a significant cost to companies.</w:t>
      </w:r>
    </w:p>
    <w:p w:rsidR="002B5CF2" w:rsidRDefault="002B5CF2" w:rsidP="00F22E98"/>
    <w:p w:rsidR="002B5CF2" w:rsidRDefault="002B5CF2" w:rsidP="00F22E98"/>
    <w:p w:rsidR="002D2228" w:rsidRDefault="002D2228" w:rsidP="00F22E98"/>
    <w:p w:rsidR="002D2228" w:rsidRDefault="002D2228" w:rsidP="00F22E98">
      <w:pPr>
        <w:rPr>
          <w:rFonts w:ascii="Times New Roman" w:hAnsi="Times New Roman" w:cs="Times New Roman"/>
          <w:sz w:val="24"/>
          <w:szCs w:val="24"/>
        </w:rPr>
      </w:pPr>
    </w:p>
    <w:p w:rsidR="00CF519D" w:rsidRDefault="00CF519D" w:rsidP="00F22E98">
      <w:pPr>
        <w:rPr>
          <w:rFonts w:ascii="Times New Roman" w:hAnsi="Times New Roman" w:cs="Times New Roman"/>
          <w:sz w:val="24"/>
          <w:szCs w:val="24"/>
        </w:rPr>
      </w:pPr>
    </w:p>
    <w:p w:rsidR="002D2228" w:rsidRPr="004E1414" w:rsidRDefault="002D2228" w:rsidP="00F22E98">
      <w:pPr>
        <w:rPr>
          <w:rFonts w:ascii="Times New Roman" w:hAnsi="Times New Roman" w:cs="Times New Roman"/>
          <w:b/>
          <w:sz w:val="28"/>
          <w:szCs w:val="28"/>
        </w:rPr>
      </w:pPr>
      <w:r w:rsidRPr="004E1414">
        <w:rPr>
          <w:rFonts w:ascii="Times New Roman" w:hAnsi="Times New Roman" w:cs="Times New Roman"/>
          <w:b/>
          <w:sz w:val="28"/>
          <w:szCs w:val="28"/>
        </w:rPr>
        <w:lastRenderedPageBreak/>
        <w:t>CONVERGENCE IN THE UNITED KINGDOM</w:t>
      </w:r>
    </w:p>
    <w:p w:rsidR="00CF519D" w:rsidRDefault="00424825" w:rsidP="00F22E98">
      <w:pPr>
        <w:rPr>
          <w:rFonts w:ascii="Times New Roman" w:hAnsi="Times New Roman" w:cs="Times New Roman"/>
          <w:sz w:val="24"/>
          <w:szCs w:val="24"/>
        </w:rPr>
      </w:pPr>
      <w:r w:rsidRPr="00F22E98">
        <w:rPr>
          <w:rFonts w:ascii="Times New Roman" w:eastAsia="Times New Roman" w:hAnsi="Times New Roman" w:cs="Times New Roman"/>
          <w:sz w:val="24"/>
          <w:szCs w:val="24"/>
          <w:lang w:eastAsia="en-GB"/>
        </w:rPr>
        <w:t>All member states of the EU are required to use IFRS as adopted by the EU for listed companies since 2005. In implementing this in UK legislation the Government has not yet made the use of IFRS compulsory for any further categories of accounts, but the legislation permits all companies to use them for individual and consolidated accounts if the</w:t>
      </w:r>
      <w:r w:rsidR="00613EEF" w:rsidRPr="00F22E98">
        <w:rPr>
          <w:rFonts w:ascii="Times New Roman" w:eastAsia="Times New Roman" w:hAnsi="Times New Roman" w:cs="Times New Roman"/>
          <w:sz w:val="24"/>
          <w:szCs w:val="24"/>
          <w:lang w:eastAsia="en-GB"/>
        </w:rPr>
        <w:t xml:space="preserve">y wish </w:t>
      </w:r>
      <w:r w:rsidRPr="00F22E98">
        <w:rPr>
          <w:rFonts w:ascii="Times New Roman" w:hAnsi="Times New Roman" w:cs="Times New Roman"/>
          <w:sz w:val="24"/>
          <w:szCs w:val="24"/>
        </w:rPr>
        <w:t xml:space="preserve">but few companies have chosen to do this. These </w:t>
      </w:r>
      <w:r w:rsidR="00445D00" w:rsidRPr="00F22E98">
        <w:rPr>
          <w:rFonts w:ascii="Times New Roman" w:hAnsi="Times New Roman" w:cs="Times New Roman"/>
          <w:sz w:val="24"/>
          <w:szCs w:val="24"/>
        </w:rPr>
        <w:t xml:space="preserve">private </w:t>
      </w:r>
      <w:r w:rsidR="00613EEF" w:rsidRPr="00F22E98">
        <w:rPr>
          <w:rFonts w:ascii="Times New Roman" w:hAnsi="Times New Roman" w:cs="Times New Roman"/>
          <w:sz w:val="24"/>
          <w:szCs w:val="24"/>
        </w:rPr>
        <w:t>companies</w:t>
      </w:r>
      <w:r w:rsidRPr="00F22E98">
        <w:rPr>
          <w:rFonts w:ascii="Times New Roman" w:hAnsi="Times New Roman" w:cs="Times New Roman"/>
          <w:sz w:val="24"/>
          <w:szCs w:val="24"/>
        </w:rPr>
        <w:t xml:space="preserve"> </w:t>
      </w:r>
      <w:r w:rsidR="00613EEF" w:rsidRPr="00F22E98">
        <w:rPr>
          <w:rFonts w:ascii="Times New Roman" w:hAnsi="Times New Roman" w:cs="Times New Roman"/>
          <w:sz w:val="24"/>
          <w:szCs w:val="24"/>
        </w:rPr>
        <w:t xml:space="preserve">currently still </w:t>
      </w:r>
      <w:r w:rsidRPr="00F22E98">
        <w:rPr>
          <w:rFonts w:ascii="Times New Roman" w:hAnsi="Times New Roman" w:cs="Times New Roman"/>
          <w:sz w:val="24"/>
          <w:szCs w:val="24"/>
        </w:rPr>
        <w:t>use UK</w:t>
      </w:r>
      <w:r w:rsidR="00613EEF" w:rsidRPr="00F22E98">
        <w:rPr>
          <w:rFonts w:ascii="Times New Roman" w:eastAsia="Times New Roman" w:hAnsi="Times New Roman" w:cs="Times New Roman"/>
          <w:sz w:val="24"/>
          <w:szCs w:val="24"/>
          <w:lang w:eastAsia="en-GB"/>
        </w:rPr>
        <w:t xml:space="preserve"> </w:t>
      </w:r>
      <w:r w:rsidR="00CF519D" w:rsidRPr="00F22E98">
        <w:rPr>
          <w:rFonts w:ascii="Times New Roman" w:hAnsi="Times New Roman" w:cs="Times New Roman"/>
          <w:sz w:val="24"/>
          <w:szCs w:val="24"/>
        </w:rPr>
        <w:t>accounting.</w:t>
      </w:r>
    </w:p>
    <w:p w:rsidR="00424825" w:rsidRDefault="00CF519D" w:rsidP="00F22E9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UK initially</w:t>
      </w:r>
      <w:r w:rsidR="00424825" w:rsidRPr="00F22E98">
        <w:rPr>
          <w:rFonts w:ascii="Times New Roman" w:eastAsia="Times New Roman" w:hAnsi="Times New Roman" w:cs="Times New Roman"/>
          <w:sz w:val="24"/>
          <w:szCs w:val="24"/>
          <w:lang w:eastAsia="en-GB"/>
        </w:rPr>
        <w:t xml:space="preserve"> found it extremely difficult to move away from UK GAAP. In 2009 the International Accounting Standards</w:t>
      </w:r>
      <w:r w:rsidR="00613EEF" w:rsidRPr="00F22E98">
        <w:rPr>
          <w:rFonts w:ascii="Times New Roman" w:eastAsia="Times New Roman" w:hAnsi="Times New Roman" w:cs="Times New Roman"/>
          <w:sz w:val="24"/>
          <w:szCs w:val="24"/>
          <w:lang w:eastAsia="en-GB"/>
        </w:rPr>
        <w:t xml:space="preserve"> Board issued the IFRS for SMEs (small and medium sized entities). </w:t>
      </w:r>
      <w:r w:rsidR="00424825" w:rsidRPr="00F22E98">
        <w:rPr>
          <w:rFonts w:ascii="Times New Roman" w:eastAsia="Times New Roman" w:hAnsi="Times New Roman" w:cs="Times New Roman"/>
          <w:sz w:val="24"/>
          <w:szCs w:val="24"/>
          <w:lang w:eastAsia="en-GB"/>
        </w:rPr>
        <w:t xml:space="preserve"> The IASB has however, left it up to member states to implement this standard into national accounting practices.</w:t>
      </w:r>
    </w:p>
    <w:p w:rsidR="000E7647" w:rsidRPr="002D2228" w:rsidRDefault="000E7647" w:rsidP="00F22E98">
      <w:pPr>
        <w:rPr>
          <w:rFonts w:ascii="Times New Roman" w:eastAsia="Times New Roman" w:hAnsi="Times New Roman" w:cs="Times New Roman"/>
          <w:sz w:val="24"/>
          <w:szCs w:val="24"/>
          <w:lang w:eastAsia="en-GB"/>
        </w:rPr>
      </w:pPr>
      <w:r w:rsidRPr="002D2228">
        <w:rPr>
          <w:rFonts w:ascii="Times New Roman" w:hAnsi="Times New Roman" w:cs="Times New Roman"/>
          <w:sz w:val="24"/>
          <w:szCs w:val="24"/>
        </w:rPr>
        <w:t>Recently issued UK FRSs have, in any case replicated the wording of corresponding IFRSs, reducing the differences between the two sets of standards significantly.</w:t>
      </w:r>
    </w:p>
    <w:p w:rsidR="002D2228" w:rsidRPr="002D2228" w:rsidRDefault="002D2228" w:rsidP="002D2228">
      <w:pPr>
        <w:rPr>
          <w:rFonts w:ascii="Times New Roman" w:eastAsia="Times New Roman" w:hAnsi="Times New Roman" w:cs="Times New Roman"/>
          <w:sz w:val="24"/>
          <w:szCs w:val="24"/>
          <w:lang w:eastAsia="en-GB"/>
        </w:rPr>
      </w:pPr>
      <w:r w:rsidRPr="002D2228">
        <w:rPr>
          <w:rFonts w:ascii="Times New Roman" w:hAnsi="Times New Roman" w:cs="Times New Roman"/>
          <w:sz w:val="24"/>
          <w:szCs w:val="24"/>
        </w:rPr>
        <w:t>The ASB started their project on the Future of UK GAAP, basing their proposals on the IFRS for SMEs. However, this document needed amendment if it was to be applied in the UK as parts of it were incompatible with EU law. Thus came, first of all, proposals for a FRSME (Financial Reporting Standard for Small and Medium Sized Entities) and then proposals for “The FRS”, now FRS 102, the Financial Reporting Standard applicable in the UK and Ireland.</w:t>
      </w:r>
    </w:p>
    <w:p w:rsidR="000E7647" w:rsidRPr="002D2228" w:rsidRDefault="000E7647" w:rsidP="002D2228">
      <w:pPr>
        <w:rPr>
          <w:rFonts w:ascii="Times New Roman" w:hAnsi="Times New Roman" w:cs="Times New Roman"/>
          <w:color w:val="0000FF"/>
          <w:sz w:val="24"/>
          <w:szCs w:val="24"/>
          <w:u w:val="single"/>
          <w:vertAlign w:val="superscript"/>
        </w:rPr>
      </w:pPr>
      <w:r w:rsidRPr="002D2228">
        <w:rPr>
          <w:rFonts w:ascii="Times New Roman" w:hAnsi="Times New Roman" w:cs="Times New Roman"/>
          <w:sz w:val="24"/>
          <w:szCs w:val="24"/>
        </w:rPr>
        <w:t xml:space="preserve">In March 2013 the </w:t>
      </w:r>
      <w:r w:rsidR="002D2228" w:rsidRPr="002D2228">
        <w:rPr>
          <w:rFonts w:ascii="Times New Roman" w:hAnsi="Times New Roman" w:cs="Times New Roman"/>
          <w:sz w:val="24"/>
          <w:szCs w:val="24"/>
        </w:rPr>
        <w:t>Financial R</w:t>
      </w:r>
      <w:r w:rsidR="002D2228">
        <w:rPr>
          <w:rFonts w:ascii="Times New Roman" w:hAnsi="Times New Roman" w:cs="Times New Roman"/>
          <w:sz w:val="24"/>
          <w:szCs w:val="24"/>
        </w:rPr>
        <w:t xml:space="preserve">eporting </w:t>
      </w:r>
      <w:r w:rsidR="002D2228" w:rsidRPr="002D2228">
        <w:rPr>
          <w:rFonts w:ascii="Times New Roman" w:hAnsi="Times New Roman" w:cs="Times New Roman"/>
          <w:sz w:val="24"/>
          <w:szCs w:val="24"/>
        </w:rPr>
        <w:t>Council (</w:t>
      </w:r>
      <w:r w:rsidRPr="002D2228">
        <w:rPr>
          <w:rFonts w:ascii="Times New Roman" w:hAnsi="Times New Roman" w:cs="Times New Roman"/>
          <w:sz w:val="24"/>
          <w:szCs w:val="24"/>
        </w:rPr>
        <w:t xml:space="preserve">now responsible for issuing accounting standards in the UK) issued FRS 102, The Financial Reporting Standard Applicable in the UK and </w:t>
      </w:r>
      <w:hyperlink r:id="rId9" w:tooltip="Republic of Ireland" w:history="1">
        <w:r w:rsidRPr="002D2228">
          <w:rPr>
            <w:rStyle w:val="Hyperlink"/>
            <w:rFonts w:ascii="Times New Roman" w:hAnsi="Times New Roman" w:cs="Times New Roman"/>
            <w:color w:val="auto"/>
            <w:sz w:val="24"/>
            <w:szCs w:val="24"/>
            <w:u w:val="none"/>
          </w:rPr>
          <w:t>Republic of Ireland</w:t>
        </w:r>
      </w:hyperlink>
      <w:r w:rsidRPr="002D2228">
        <w:rPr>
          <w:rFonts w:ascii="Times New Roman" w:hAnsi="Times New Roman" w:cs="Times New Roman"/>
          <w:sz w:val="24"/>
          <w:szCs w:val="24"/>
        </w:rPr>
        <w:t>. This followed the issue of FRS 100 Application of Financial Rep</w:t>
      </w:r>
      <w:r w:rsidR="002D2228">
        <w:rPr>
          <w:rFonts w:ascii="Times New Roman" w:hAnsi="Times New Roman" w:cs="Times New Roman"/>
          <w:sz w:val="24"/>
          <w:szCs w:val="24"/>
        </w:rPr>
        <w:t xml:space="preserve">orting Requirements and FRS 101, </w:t>
      </w:r>
      <w:r w:rsidRPr="002D2228">
        <w:rPr>
          <w:rFonts w:ascii="Times New Roman" w:hAnsi="Times New Roman" w:cs="Times New Roman"/>
          <w:sz w:val="24"/>
          <w:szCs w:val="24"/>
        </w:rPr>
        <w:t>The Reduced Disclosure Framework in November 2012. Together these standards make up what is commonly being referred to by accountants as new UK GAAP, which takes mandatory effect for accounting periods comme</w:t>
      </w:r>
      <w:r w:rsidR="002D2228" w:rsidRPr="002D2228">
        <w:rPr>
          <w:rFonts w:ascii="Times New Roman" w:hAnsi="Times New Roman" w:cs="Times New Roman"/>
          <w:sz w:val="24"/>
          <w:szCs w:val="24"/>
        </w:rPr>
        <w:t>ncing on or after 1 January 2015.</w:t>
      </w:r>
    </w:p>
    <w:p w:rsidR="000E7647" w:rsidRPr="002D2228" w:rsidRDefault="000E7647" w:rsidP="002D2228">
      <w:pPr>
        <w:rPr>
          <w:rFonts w:ascii="Times New Roman" w:hAnsi="Times New Roman" w:cs="Times New Roman"/>
          <w:sz w:val="24"/>
          <w:szCs w:val="24"/>
        </w:rPr>
      </w:pPr>
      <w:r w:rsidRPr="002D2228">
        <w:rPr>
          <w:rFonts w:ascii="Times New Roman" w:hAnsi="Times New Roman" w:cs="Times New Roman"/>
          <w:sz w:val="24"/>
          <w:szCs w:val="24"/>
        </w:rPr>
        <w:t>FRS 102 replaces almost 3000 pages of current UK and Ireland GAAP with just over 300. The main purpose is to make reporting requirements proportionate to the size of the entity, and it also includes changes to disclosure, measurement, and recognition</w:t>
      </w:r>
    </w:p>
    <w:p w:rsidR="00424825" w:rsidRDefault="002D2228" w:rsidP="00F22E98">
      <w:pPr>
        <w:rPr>
          <w:rFonts w:ascii="Times New Roman" w:hAnsi="Times New Roman" w:cs="Times New Roman"/>
          <w:sz w:val="24"/>
          <w:szCs w:val="24"/>
        </w:rPr>
      </w:pPr>
      <w:r>
        <w:rPr>
          <w:rFonts w:ascii="Times New Roman" w:hAnsi="Times New Roman" w:cs="Times New Roman"/>
          <w:sz w:val="24"/>
          <w:szCs w:val="24"/>
        </w:rPr>
        <w:t xml:space="preserve">However, </w:t>
      </w:r>
      <w:r w:rsidR="000E7647" w:rsidRPr="002D2228">
        <w:rPr>
          <w:rFonts w:ascii="Times New Roman" w:hAnsi="Times New Roman" w:cs="Times New Roman"/>
          <w:sz w:val="24"/>
          <w:szCs w:val="24"/>
        </w:rPr>
        <w:t>it adopts an IFRS-based framework with proportionate disclosure requirements and improves the accounting and reporting for financial instruments. It is based on the IFRS for SMEs but with significant changes in orde</w:t>
      </w:r>
      <w:r>
        <w:rPr>
          <w:rFonts w:ascii="Times New Roman" w:hAnsi="Times New Roman" w:cs="Times New Roman"/>
          <w:sz w:val="24"/>
          <w:szCs w:val="24"/>
        </w:rPr>
        <w:t>r to address company law in the UK. Thus, although the new UK GAAP is still not identical to IFRS, and differences in accounting treatment still exist, much progress in the harmonisation process is being made. The FRC’s</w:t>
      </w:r>
      <w:r w:rsidR="000E7647" w:rsidRPr="002D2228">
        <w:rPr>
          <w:rFonts w:ascii="Times New Roman" w:hAnsi="Times New Roman" w:cs="Times New Roman"/>
          <w:sz w:val="24"/>
          <w:szCs w:val="24"/>
        </w:rPr>
        <w:t xml:space="preserve"> drive towards an IFRS framework is supported by the majority</w:t>
      </w:r>
      <w:r>
        <w:rPr>
          <w:rFonts w:ascii="Times New Roman" w:hAnsi="Times New Roman" w:cs="Times New Roman"/>
          <w:sz w:val="24"/>
          <w:szCs w:val="24"/>
        </w:rPr>
        <w:t xml:space="preserve"> of finance leaders as they</w:t>
      </w:r>
      <w:r w:rsidR="000E7647" w:rsidRPr="002D2228">
        <w:rPr>
          <w:rFonts w:ascii="Times New Roman" w:hAnsi="Times New Roman" w:cs="Times New Roman"/>
          <w:sz w:val="24"/>
          <w:szCs w:val="24"/>
        </w:rPr>
        <w:t xml:space="preserve"> see </w:t>
      </w:r>
      <w:r>
        <w:rPr>
          <w:rFonts w:ascii="Times New Roman" w:hAnsi="Times New Roman" w:cs="Times New Roman"/>
          <w:sz w:val="24"/>
          <w:szCs w:val="24"/>
        </w:rPr>
        <w:t xml:space="preserve">clear </w:t>
      </w:r>
      <w:r w:rsidR="000E7647" w:rsidRPr="002D2228">
        <w:rPr>
          <w:rFonts w:ascii="Times New Roman" w:hAnsi="Times New Roman" w:cs="Times New Roman"/>
          <w:sz w:val="24"/>
          <w:szCs w:val="24"/>
        </w:rPr>
        <w:t>benefits in global consistency of accounting and reporting</w:t>
      </w:r>
      <w:r>
        <w:rPr>
          <w:rFonts w:ascii="Times New Roman" w:hAnsi="Times New Roman" w:cs="Times New Roman"/>
          <w:sz w:val="24"/>
          <w:szCs w:val="24"/>
        </w:rPr>
        <w:t>.</w:t>
      </w:r>
    </w:p>
    <w:p w:rsidR="00CF519D" w:rsidRDefault="00CF519D" w:rsidP="00F22E98">
      <w:pPr>
        <w:rPr>
          <w:rFonts w:ascii="Times New Roman" w:hAnsi="Times New Roman" w:cs="Times New Roman"/>
          <w:sz w:val="24"/>
          <w:szCs w:val="24"/>
        </w:rPr>
      </w:pPr>
    </w:p>
    <w:p w:rsidR="00CF519D" w:rsidRPr="00C40966" w:rsidRDefault="00CF519D" w:rsidP="00F22E98">
      <w:pPr>
        <w:rPr>
          <w:rFonts w:ascii="Times New Roman" w:hAnsi="Times New Roman" w:cs="Times New Roman"/>
          <w:sz w:val="24"/>
          <w:szCs w:val="24"/>
        </w:rPr>
      </w:pPr>
    </w:p>
    <w:p w:rsidR="002B5CF2" w:rsidRPr="002D2228" w:rsidRDefault="002B5CF2" w:rsidP="002B5CF2">
      <w:pPr>
        <w:rPr>
          <w:rFonts w:ascii="Times New Roman" w:hAnsi="Times New Roman" w:cs="Times New Roman"/>
          <w:b/>
          <w:sz w:val="28"/>
          <w:szCs w:val="28"/>
        </w:rPr>
      </w:pPr>
      <w:r w:rsidRPr="002D2228">
        <w:rPr>
          <w:rFonts w:ascii="Times New Roman" w:hAnsi="Times New Roman" w:cs="Times New Roman"/>
          <w:b/>
          <w:sz w:val="28"/>
          <w:szCs w:val="28"/>
        </w:rPr>
        <w:lastRenderedPageBreak/>
        <w:t>CONVERGENCE IN THE U.S.A.</w:t>
      </w:r>
    </w:p>
    <w:p w:rsidR="002B5CF2" w:rsidRDefault="002B5CF2" w:rsidP="002B5CF2">
      <w:pPr>
        <w:rPr>
          <w:rFonts w:ascii="Times New Roman" w:hAnsi="Times New Roman" w:cs="Times New Roman"/>
          <w:sz w:val="24"/>
          <w:szCs w:val="24"/>
        </w:rPr>
      </w:pPr>
      <w:r w:rsidRPr="00F22E98">
        <w:rPr>
          <w:rFonts w:ascii="Times New Roman" w:hAnsi="Times New Roman" w:cs="Times New Roman"/>
          <w:sz w:val="24"/>
          <w:szCs w:val="24"/>
        </w:rPr>
        <w:t xml:space="preserve">In 2002, the FASB and the IASB met jointly and agreed to work together to improve and converge U.S. GAAP and IFRS. That partnership is described in The Norwalk Agreement. The IASB and FASB also signed a </w:t>
      </w:r>
      <w:hyperlink r:id="rId10" w:tooltip="Memorandum of understanding" w:history="1">
        <w:r w:rsidRPr="00F22E98">
          <w:rPr>
            <w:rStyle w:val="Hyperlink"/>
            <w:rFonts w:ascii="Times New Roman" w:hAnsi="Times New Roman" w:cs="Times New Roman"/>
            <w:color w:val="auto"/>
            <w:sz w:val="24"/>
            <w:szCs w:val="24"/>
            <w:u w:val="none"/>
          </w:rPr>
          <w:t>memorandum of understanding</w:t>
        </w:r>
      </w:hyperlink>
      <w:r w:rsidRPr="00F22E98">
        <w:rPr>
          <w:rFonts w:ascii="Times New Roman" w:hAnsi="Times New Roman" w:cs="Times New Roman"/>
          <w:sz w:val="24"/>
          <w:szCs w:val="24"/>
        </w:rPr>
        <w:t xml:space="preserve"> in 2006 which laid guidelines on their convergence projects. Work towards the goals were reviewed in 2008, and a progress report published that also set out subsequent steps for each convergence topic. The FASB and IASB met again in 2009 and agreed to "intensify their efforts" in working towards the goals of the memorandum of understanding, while laying down future plans and targets. </w:t>
      </w:r>
    </w:p>
    <w:p w:rsidR="00611A7C" w:rsidRPr="00611A7C" w:rsidRDefault="00611A7C" w:rsidP="00611A7C">
      <w:pPr>
        <w:rPr>
          <w:rFonts w:ascii="Times New Roman" w:hAnsi="Times New Roman" w:cs="Times New Roman"/>
          <w:sz w:val="24"/>
          <w:szCs w:val="24"/>
        </w:rPr>
      </w:pPr>
      <w:r w:rsidRPr="00611A7C">
        <w:rPr>
          <w:rFonts w:ascii="Times New Roman" w:hAnsi="Times New Roman" w:cs="Times New Roman"/>
          <w:sz w:val="24"/>
          <w:szCs w:val="24"/>
        </w:rPr>
        <w:t>Some reasons for the U.S. not embracing the standards convergence are: U.S. firms are already familiar with the existing standards; the inability or low ability to culturally relate to other countries' accounting systems; and a lack of good understanding of the international principles</w:t>
      </w:r>
      <w:r>
        <w:rPr>
          <w:rFonts w:ascii="Times New Roman" w:hAnsi="Times New Roman" w:cs="Times New Roman"/>
          <w:sz w:val="24"/>
          <w:szCs w:val="24"/>
        </w:rPr>
        <w:t>. Also US GAAP is based upon a rules based framework whilst IFRS is based upon a principles based conceptual framework.</w:t>
      </w:r>
    </w:p>
    <w:p w:rsidR="00815C9A" w:rsidRDefault="00815C9A" w:rsidP="002B5CF2">
      <w:pPr>
        <w:rPr>
          <w:rFonts w:ascii="Times New Roman" w:eastAsia="Times New Roman" w:hAnsi="Times New Roman" w:cs="Times New Roman"/>
          <w:color w:val="000000"/>
          <w:sz w:val="24"/>
          <w:szCs w:val="24"/>
          <w:lang w:eastAsia="en-GB"/>
        </w:rPr>
      </w:pPr>
      <w:r w:rsidRPr="00F22E98">
        <w:rPr>
          <w:rFonts w:ascii="Times New Roman" w:eastAsia="Times New Roman" w:hAnsi="Times New Roman" w:cs="Times New Roman"/>
          <w:color w:val="000000"/>
          <w:sz w:val="24"/>
          <w:szCs w:val="24"/>
          <w:lang w:eastAsia="en-GB"/>
        </w:rPr>
        <w:t>Financial reporting standards have been in the spotlight since the banking crisis, more specifically those requiring the measurement of financial assets and liabilities at fair value. In September 2009, G20 leaders in Pittsburgh asked the accounting standard setters IASB and, its US counterpart, the FASB</w:t>
      </w:r>
      <w:proofErr w:type="gramStart"/>
      <w:r w:rsidRPr="00F22E98">
        <w:rPr>
          <w:rFonts w:ascii="Times New Roman" w:eastAsia="Times New Roman" w:hAnsi="Times New Roman" w:cs="Times New Roman"/>
          <w:color w:val="000000"/>
          <w:sz w:val="24"/>
          <w:szCs w:val="24"/>
          <w:lang w:eastAsia="en-GB"/>
        </w:rPr>
        <w:t>  to</w:t>
      </w:r>
      <w:proofErr w:type="gramEnd"/>
      <w:r w:rsidRPr="00F22E98">
        <w:rPr>
          <w:rFonts w:ascii="Times New Roman" w:eastAsia="Times New Roman" w:hAnsi="Times New Roman" w:cs="Times New Roman"/>
          <w:color w:val="000000"/>
          <w:sz w:val="24"/>
          <w:szCs w:val="24"/>
          <w:lang w:eastAsia="en-GB"/>
        </w:rPr>
        <w:t xml:space="preserve"> work towards a single set of high quality global accounting standards by June 2011. Convergence, however, is proving challenging and the timeframe has now been pushed back.</w:t>
      </w:r>
    </w:p>
    <w:p w:rsidR="00611A7C" w:rsidRPr="00611A7C" w:rsidRDefault="00611A7C" w:rsidP="00611A7C">
      <w:pPr>
        <w:rPr>
          <w:rFonts w:ascii="Times New Roman" w:hAnsi="Times New Roman" w:cs="Times New Roman"/>
          <w:sz w:val="24"/>
          <w:szCs w:val="24"/>
        </w:rPr>
      </w:pPr>
      <w:r w:rsidRPr="00611A7C">
        <w:rPr>
          <w:rFonts w:ascii="Times New Roman" w:hAnsi="Times New Roman" w:cs="Times New Roman"/>
          <w:sz w:val="24"/>
          <w:szCs w:val="24"/>
        </w:rPr>
        <w:t xml:space="preserve">In July 2012, the SEC staff issued its </w:t>
      </w:r>
      <w:hyperlink r:id="rId11" w:history="1">
        <w:r w:rsidRPr="00611A7C">
          <w:rPr>
            <w:rFonts w:ascii="Times New Roman" w:hAnsi="Times New Roman" w:cs="Times New Roman"/>
            <w:sz w:val="24"/>
            <w:szCs w:val="24"/>
          </w:rPr>
          <w:t>final staff report</w:t>
        </w:r>
      </w:hyperlink>
      <w:r w:rsidRPr="00611A7C">
        <w:rPr>
          <w:rFonts w:ascii="Times New Roman" w:hAnsi="Times New Roman" w:cs="Times New Roman"/>
          <w:sz w:val="24"/>
          <w:szCs w:val="24"/>
        </w:rPr>
        <w:t xml:space="preserve"> on the “Work Plan for Consideration of Incorporating International Financial Reporting Standards into the Financial Reporting System for U.S. Issuers.”   The report was the final phase of a work plan, initiated in February 2010, to consider specific issues relevant to the Commission’s determination as to where, when and how the current financial reporting system for U.S. issuers should be transitioned to a system incorporating IFRS</w:t>
      </w:r>
      <w:r>
        <w:rPr>
          <w:rFonts w:ascii="Times New Roman" w:hAnsi="Times New Roman" w:cs="Times New Roman"/>
          <w:sz w:val="24"/>
          <w:szCs w:val="24"/>
        </w:rPr>
        <w:t>.</w:t>
      </w:r>
    </w:p>
    <w:p w:rsidR="002B5CF2" w:rsidRDefault="002B5CF2" w:rsidP="002B5CF2">
      <w:pPr>
        <w:rPr>
          <w:rFonts w:ascii="Times New Roman" w:hAnsi="Times New Roman" w:cs="Times New Roman"/>
          <w:sz w:val="24"/>
          <w:szCs w:val="24"/>
        </w:rPr>
      </w:pPr>
      <w:r w:rsidRPr="000E7647">
        <w:rPr>
          <w:rFonts w:ascii="Times New Roman" w:hAnsi="Times New Roman" w:cs="Times New Roman"/>
          <w:sz w:val="24"/>
          <w:szCs w:val="24"/>
        </w:rPr>
        <w:t xml:space="preserve">In 2013, fifteen of the largest banks in the United States, including </w:t>
      </w:r>
      <w:hyperlink r:id="rId12" w:tooltip="Bank of America Corporation" w:history="1">
        <w:r w:rsidRPr="000E7647">
          <w:rPr>
            <w:rStyle w:val="Hyperlink"/>
            <w:rFonts w:ascii="Times New Roman" w:hAnsi="Times New Roman" w:cs="Times New Roman"/>
            <w:color w:val="auto"/>
            <w:sz w:val="24"/>
            <w:szCs w:val="24"/>
            <w:u w:val="none"/>
          </w:rPr>
          <w:t>Bank of America Corporation</w:t>
        </w:r>
      </w:hyperlink>
      <w:r w:rsidRPr="000E7647">
        <w:rPr>
          <w:rFonts w:ascii="Times New Roman" w:hAnsi="Times New Roman" w:cs="Times New Roman"/>
          <w:sz w:val="24"/>
          <w:szCs w:val="24"/>
        </w:rPr>
        <w:t xml:space="preserve">, </w:t>
      </w:r>
      <w:hyperlink r:id="rId13" w:tooltip="Capital One Financial Corporation" w:history="1">
        <w:r w:rsidRPr="000E7647">
          <w:rPr>
            <w:rStyle w:val="Hyperlink"/>
            <w:rFonts w:ascii="Times New Roman" w:hAnsi="Times New Roman" w:cs="Times New Roman"/>
            <w:color w:val="auto"/>
            <w:sz w:val="24"/>
            <w:szCs w:val="24"/>
            <w:u w:val="none"/>
          </w:rPr>
          <w:t xml:space="preserve">Capital One </w:t>
        </w:r>
      </w:hyperlink>
      <w:r w:rsidRPr="000E7647">
        <w:rPr>
          <w:rFonts w:ascii="Times New Roman" w:hAnsi="Times New Roman" w:cs="Times New Roman"/>
          <w:sz w:val="24"/>
          <w:szCs w:val="24"/>
        </w:rPr>
        <w:t xml:space="preserve">, </w:t>
      </w:r>
      <w:hyperlink r:id="rId14" w:tooltip="JPMorgan Chase &amp; Co." w:history="1">
        <w:r w:rsidRPr="000E7647">
          <w:rPr>
            <w:rStyle w:val="Hyperlink"/>
            <w:rFonts w:ascii="Times New Roman" w:hAnsi="Times New Roman" w:cs="Times New Roman"/>
            <w:color w:val="auto"/>
            <w:sz w:val="24"/>
            <w:szCs w:val="24"/>
            <w:u w:val="none"/>
          </w:rPr>
          <w:t>JPMorgan Chase &amp; Co.</w:t>
        </w:r>
      </w:hyperlink>
      <w:r w:rsidRPr="000E7647">
        <w:rPr>
          <w:rFonts w:ascii="Times New Roman" w:hAnsi="Times New Roman" w:cs="Times New Roman"/>
          <w:sz w:val="24"/>
          <w:szCs w:val="24"/>
        </w:rPr>
        <w:t xml:space="preserve">, </w:t>
      </w:r>
      <w:hyperlink r:id="rId15" w:tooltip="Morgan Stanley" w:history="1">
        <w:r w:rsidRPr="000E7647">
          <w:rPr>
            <w:rStyle w:val="Hyperlink"/>
            <w:rFonts w:ascii="Times New Roman" w:hAnsi="Times New Roman" w:cs="Times New Roman"/>
            <w:color w:val="auto"/>
            <w:sz w:val="24"/>
            <w:szCs w:val="24"/>
            <w:u w:val="none"/>
          </w:rPr>
          <w:t>Morgan Stanley</w:t>
        </w:r>
      </w:hyperlink>
      <w:r w:rsidRPr="000E7647">
        <w:rPr>
          <w:rFonts w:ascii="Times New Roman" w:hAnsi="Times New Roman" w:cs="Times New Roman"/>
          <w:sz w:val="24"/>
          <w:szCs w:val="24"/>
        </w:rPr>
        <w:t xml:space="preserve"> and </w:t>
      </w:r>
      <w:hyperlink r:id="rId16" w:tooltip="Wells Fargo &amp; Company" w:history="1">
        <w:r w:rsidRPr="000E7647">
          <w:rPr>
            <w:rStyle w:val="Hyperlink"/>
            <w:rFonts w:ascii="Times New Roman" w:hAnsi="Times New Roman" w:cs="Times New Roman"/>
            <w:color w:val="auto"/>
            <w:sz w:val="24"/>
            <w:szCs w:val="24"/>
            <w:u w:val="none"/>
          </w:rPr>
          <w:t>Wells Fargo &amp; Company</w:t>
        </w:r>
      </w:hyperlink>
      <w:r w:rsidRPr="000E7647">
        <w:rPr>
          <w:rFonts w:ascii="Times New Roman" w:hAnsi="Times New Roman" w:cs="Times New Roman"/>
          <w:sz w:val="24"/>
          <w:szCs w:val="24"/>
        </w:rPr>
        <w:t xml:space="preserve">, wrote a letter to the chairmen of FASB and the IASB encouraging the boards to resolve their differences over the </w:t>
      </w:r>
      <w:r w:rsidR="00CF519D">
        <w:rPr>
          <w:rFonts w:ascii="Times New Roman" w:hAnsi="Times New Roman" w:cs="Times New Roman"/>
          <w:sz w:val="24"/>
          <w:szCs w:val="24"/>
        </w:rPr>
        <w:t xml:space="preserve">progress of the harmonisation of </w:t>
      </w:r>
      <w:r w:rsidRPr="000E7647">
        <w:rPr>
          <w:rFonts w:ascii="Times New Roman" w:hAnsi="Times New Roman" w:cs="Times New Roman"/>
          <w:sz w:val="24"/>
          <w:szCs w:val="24"/>
        </w:rPr>
        <w:t>accoun</w:t>
      </w:r>
      <w:r w:rsidR="00CF519D">
        <w:rPr>
          <w:rFonts w:ascii="Times New Roman" w:hAnsi="Times New Roman" w:cs="Times New Roman"/>
          <w:sz w:val="24"/>
          <w:szCs w:val="24"/>
        </w:rPr>
        <w:t>ting standards.</w:t>
      </w:r>
    </w:p>
    <w:p w:rsidR="005F3A39" w:rsidRDefault="00611A7C" w:rsidP="00611A7C">
      <w:pPr>
        <w:rPr>
          <w:rFonts w:ascii="Times New Roman" w:hAnsi="Times New Roman" w:cs="Times New Roman"/>
          <w:color w:val="3C3C3D"/>
          <w:sz w:val="24"/>
          <w:szCs w:val="24"/>
        </w:rPr>
      </w:pPr>
      <w:r w:rsidRPr="00611A7C">
        <w:rPr>
          <w:rFonts w:ascii="Times New Roman" w:hAnsi="Times New Roman" w:cs="Times New Roman"/>
          <w:sz w:val="24"/>
          <w:szCs w:val="24"/>
        </w:rPr>
        <w:t xml:space="preserve">Additionally, </w:t>
      </w:r>
      <w:r w:rsidR="005F3A39" w:rsidRPr="00611A7C">
        <w:rPr>
          <w:rFonts w:ascii="Times New Roman" w:hAnsi="Times New Roman" w:cs="Times New Roman"/>
          <w:sz w:val="24"/>
          <w:szCs w:val="24"/>
        </w:rPr>
        <w:t xml:space="preserve">In </w:t>
      </w:r>
      <w:hyperlink r:id="rId17" w:history="1">
        <w:r w:rsidR="005F3A39" w:rsidRPr="00611A7C">
          <w:rPr>
            <w:rFonts w:ascii="Times New Roman" w:hAnsi="Times New Roman" w:cs="Times New Roman"/>
            <w:sz w:val="24"/>
            <w:szCs w:val="24"/>
          </w:rPr>
          <w:t xml:space="preserve">February 2013 </w:t>
        </w:r>
      </w:hyperlink>
      <w:r w:rsidR="005F3A39" w:rsidRPr="00611A7C">
        <w:rPr>
          <w:rFonts w:ascii="Times New Roman" w:hAnsi="Times New Roman" w:cs="Times New Roman"/>
          <w:sz w:val="24"/>
          <w:szCs w:val="24"/>
        </w:rPr>
        <w:t>the IASB and FASB published a high-level update on the status and timeline of the remaining convergence projects</w:t>
      </w:r>
      <w:r w:rsidRPr="00611A7C">
        <w:rPr>
          <w:rFonts w:ascii="Times New Roman" w:hAnsi="Times New Roman" w:cs="Times New Roman"/>
          <w:sz w:val="24"/>
          <w:szCs w:val="24"/>
          <w:lang w:val="en-US"/>
        </w:rPr>
        <w:t xml:space="preserve"> and both t</w:t>
      </w:r>
      <w:r w:rsidR="005F3A39" w:rsidRPr="00611A7C">
        <w:rPr>
          <w:rFonts w:ascii="Times New Roman" w:hAnsi="Times New Roman" w:cs="Times New Roman"/>
          <w:color w:val="3C3C3D"/>
          <w:sz w:val="24"/>
          <w:szCs w:val="24"/>
        </w:rPr>
        <w:t>he FASB and IASB remain committed to improving US GAAP and IFRS and achieving their convergence.</w:t>
      </w:r>
    </w:p>
    <w:p w:rsidR="00E91338" w:rsidRPr="00E91338" w:rsidRDefault="00E91338" w:rsidP="00611A7C">
      <w:pPr>
        <w:rPr>
          <w:rFonts w:ascii="Times New Roman" w:hAnsi="Times New Roman" w:cs="Times New Roman"/>
          <w:color w:val="3C3C3D"/>
          <w:sz w:val="24"/>
          <w:szCs w:val="24"/>
        </w:rPr>
      </w:pPr>
      <w:r w:rsidRPr="00E91338">
        <w:rPr>
          <w:rFonts w:ascii="Times New Roman" w:hAnsi="Times New Roman" w:cs="Times New Roman"/>
          <w:sz w:val="24"/>
          <w:szCs w:val="24"/>
        </w:rPr>
        <w:t xml:space="preserve">Most recently, the SEC’s </w:t>
      </w:r>
      <w:r w:rsidRPr="00E91338">
        <w:rPr>
          <w:rStyle w:val="Emphasis"/>
          <w:rFonts w:ascii="Times New Roman" w:hAnsi="Times New Roman" w:cs="Times New Roman"/>
          <w:sz w:val="24"/>
          <w:szCs w:val="24"/>
        </w:rPr>
        <w:t>Strategic Plan for Fiscal Years 2014–2018</w:t>
      </w:r>
      <w:r w:rsidRPr="00E91338">
        <w:rPr>
          <w:rFonts w:ascii="Times New Roman" w:hAnsi="Times New Roman" w:cs="Times New Roman"/>
          <w:sz w:val="24"/>
          <w:szCs w:val="24"/>
        </w:rPr>
        <w:t xml:space="preserve"> stressed that “the SEC will continue to promote the establishment of high-quality accounting standards in order to meet the needs of investors. Due to the increasingly global nature of capital markets, the agency will work to promote higher quality financial reporting worldwide and will consider, among other things, whether a single set of high-quality global accounting standards is ach</w:t>
      </w:r>
      <w:r>
        <w:rPr>
          <w:rFonts w:ascii="Times New Roman" w:hAnsi="Times New Roman" w:cs="Times New Roman"/>
          <w:sz w:val="24"/>
          <w:szCs w:val="24"/>
        </w:rPr>
        <w:t xml:space="preserve">ievable.” But the reality today, </w:t>
      </w:r>
      <w:r w:rsidRPr="00E91338">
        <w:rPr>
          <w:rFonts w:ascii="Times New Roman" w:hAnsi="Times New Roman" w:cs="Times New Roman"/>
          <w:sz w:val="24"/>
          <w:szCs w:val="24"/>
        </w:rPr>
        <w:t xml:space="preserve">though all the joint IASB/US Financial Accounting </w:t>
      </w:r>
      <w:r w:rsidRPr="00E91338">
        <w:rPr>
          <w:rFonts w:ascii="Times New Roman" w:hAnsi="Times New Roman" w:cs="Times New Roman"/>
          <w:sz w:val="24"/>
          <w:szCs w:val="24"/>
        </w:rPr>
        <w:lastRenderedPageBreak/>
        <w:t>Standards Board (FASB) projects are compl</w:t>
      </w:r>
      <w:r>
        <w:rPr>
          <w:rFonts w:ascii="Times New Roman" w:hAnsi="Times New Roman" w:cs="Times New Roman"/>
          <w:sz w:val="24"/>
          <w:szCs w:val="24"/>
        </w:rPr>
        <w:t xml:space="preserve">ete or nearing their completion, </w:t>
      </w:r>
      <w:r w:rsidRPr="00E91338">
        <w:rPr>
          <w:rFonts w:ascii="Times New Roman" w:hAnsi="Times New Roman" w:cs="Times New Roman"/>
          <w:sz w:val="24"/>
          <w:szCs w:val="24"/>
        </w:rPr>
        <w:t xml:space="preserve">is that the convergence of IFRS and US GAAP has not been </w:t>
      </w:r>
      <w:r>
        <w:rPr>
          <w:rFonts w:ascii="Times New Roman" w:hAnsi="Times New Roman" w:cs="Times New Roman"/>
          <w:sz w:val="24"/>
          <w:szCs w:val="24"/>
        </w:rPr>
        <w:t xml:space="preserve">fully </w:t>
      </w:r>
      <w:r w:rsidRPr="00E91338">
        <w:rPr>
          <w:rFonts w:ascii="Times New Roman" w:hAnsi="Times New Roman" w:cs="Times New Roman"/>
          <w:sz w:val="24"/>
          <w:szCs w:val="24"/>
        </w:rPr>
        <w:t>achieved</w:t>
      </w:r>
      <w:r>
        <w:rPr>
          <w:rFonts w:ascii="Times New Roman" w:hAnsi="Times New Roman" w:cs="Times New Roman"/>
          <w:sz w:val="24"/>
          <w:szCs w:val="24"/>
        </w:rPr>
        <w:t>.</w:t>
      </w:r>
    </w:p>
    <w:p w:rsidR="00CF519D" w:rsidRPr="00CF519D" w:rsidRDefault="00CF519D" w:rsidP="00611A7C">
      <w:pPr>
        <w:rPr>
          <w:rFonts w:ascii="Times New Roman" w:hAnsi="Times New Roman" w:cs="Times New Roman"/>
          <w:b/>
          <w:sz w:val="24"/>
          <w:szCs w:val="24"/>
          <w:lang w:val="en-US"/>
        </w:rPr>
      </w:pPr>
    </w:p>
    <w:p w:rsidR="005F3A39" w:rsidRPr="00CF519D" w:rsidRDefault="00CF519D" w:rsidP="002B5CF2">
      <w:pPr>
        <w:rPr>
          <w:rFonts w:ascii="Times New Roman" w:hAnsi="Times New Roman" w:cs="Times New Roman"/>
          <w:b/>
          <w:sz w:val="28"/>
          <w:szCs w:val="28"/>
        </w:rPr>
      </w:pPr>
      <w:r w:rsidRPr="00CF519D">
        <w:rPr>
          <w:rFonts w:ascii="Times New Roman" w:hAnsi="Times New Roman" w:cs="Times New Roman"/>
          <w:b/>
          <w:sz w:val="28"/>
          <w:szCs w:val="28"/>
        </w:rPr>
        <w:t>OTHER COUNTRIES</w:t>
      </w:r>
    </w:p>
    <w:p w:rsidR="002B5CF2" w:rsidRDefault="002B5CF2" w:rsidP="002B5CF2">
      <w:pPr>
        <w:rPr>
          <w:rFonts w:ascii="Times New Roman" w:hAnsi="Times New Roman" w:cs="Times New Roman"/>
          <w:sz w:val="24"/>
          <w:szCs w:val="24"/>
        </w:rPr>
      </w:pPr>
      <w:r w:rsidRPr="00F22E98">
        <w:rPr>
          <w:rFonts w:ascii="Times New Roman" w:hAnsi="Times New Roman" w:cs="Times New Roman"/>
          <w:sz w:val="24"/>
          <w:szCs w:val="24"/>
        </w:rPr>
        <w:t xml:space="preserve">Convergence is also taking place in other countries, with "all major economies" planning to either adopt the IFRS or converge towards it, "in the near future". The IFRS Foundation has stated that "all major economies" have plans to either converge towards or adopt the IFRS "in the near future", and that the </w:t>
      </w:r>
      <w:hyperlink r:id="rId18" w:tooltip="G20" w:history="1">
        <w:r w:rsidRPr="00F22E98">
          <w:rPr>
            <w:rStyle w:val="Hyperlink"/>
            <w:rFonts w:ascii="Times New Roman" w:hAnsi="Times New Roman" w:cs="Times New Roman"/>
            <w:color w:val="auto"/>
            <w:sz w:val="24"/>
            <w:szCs w:val="24"/>
            <w:u w:val="none"/>
          </w:rPr>
          <w:t>Group of 20 Leaders (G20)</w:t>
        </w:r>
      </w:hyperlink>
      <w:r w:rsidRPr="00F22E98">
        <w:rPr>
          <w:rFonts w:ascii="Times New Roman" w:hAnsi="Times New Roman" w:cs="Times New Roman"/>
          <w:sz w:val="24"/>
          <w:szCs w:val="24"/>
        </w:rPr>
        <w:t xml:space="preserve"> have encouraged accounting bodies globally to increase efforts to achieve convergence. The </w:t>
      </w:r>
      <w:r w:rsidRPr="00F22E98">
        <w:rPr>
          <w:rFonts w:ascii="Times New Roman" w:hAnsi="Times New Roman" w:cs="Times New Roman"/>
          <w:bCs/>
          <w:sz w:val="24"/>
          <w:szCs w:val="24"/>
        </w:rPr>
        <w:t>Group of Twenty Finance Ministers and Central Bank Governors</w:t>
      </w:r>
      <w:r w:rsidRPr="00F22E98">
        <w:rPr>
          <w:rFonts w:ascii="Times New Roman" w:hAnsi="Times New Roman" w:cs="Times New Roman"/>
          <w:sz w:val="24"/>
          <w:szCs w:val="24"/>
        </w:rPr>
        <w:t xml:space="preserve"> (</w:t>
      </w:r>
      <w:r w:rsidRPr="00F22E98">
        <w:rPr>
          <w:rFonts w:ascii="Times New Roman" w:hAnsi="Times New Roman" w:cs="Times New Roman"/>
          <w:bCs/>
          <w:sz w:val="24"/>
          <w:szCs w:val="24"/>
        </w:rPr>
        <w:t>G20</w:t>
      </w:r>
      <w:r w:rsidRPr="00F22E98">
        <w:rPr>
          <w:rFonts w:ascii="Times New Roman" w:hAnsi="Times New Roman" w:cs="Times New Roman"/>
          <w:sz w:val="24"/>
          <w:szCs w:val="24"/>
        </w:rPr>
        <w:t xml:space="preserve">) is a group of </w:t>
      </w:r>
      <w:hyperlink r:id="rId19" w:tooltip="Finance minister" w:history="1">
        <w:r w:rsidRPr="00F22E98">
          <w:rPr>
            <w:rStyle w:val="Hyperlink"/>
            <w:rFonts w:ascii="Times New Roman" w:hAnsi="Times New Roman" w:cs="Times New Roman"/>
            <w:color w:val="auto"/>
            <w:sz w:val="24"/>
            <w:szCs w:val="24"/>
            <w:u w:val="none"/>
          </w:rPr>
          <w:t>finance ministers</w:t>
        </w:r>
      </w:hyperlink>
      <w:r w:rsidRPr="00F22E98">
        <w:rPr>
          <w:rFonts w:ascii="Times New Roman" w:hAnsi="Times New Roman" w:cs="Times New Roman"/>
          <w:sz w:val="24"/>
          <w:szCs w:val="24"/>
        </w:rPr>
        <w:t xml:space="preserve"> and </w:t>
      </w:r>
      <w:hyperlink r:id="rId20" w:tooltip="Central bank" w:history="1">
        <w:r w:rsidRPr="00F22E98">
          <w:rPr>
            <w:rStyle w:val="Hyperlink"/>
            <w:rFonts w:ascii="Times New Roman" w:hAnsi="Times New Roman" w:cs="Times New Roman"/>
            <w:color w:val="auto"/>
            <w:sz w:val="24"/>
            <w:szCs w:val="24"/>
            <w:u w:val="none"/>
          </w:rPr>
          <w:t>central bank</w:t>
        </w:r>
      </w:hyperlink>
      <w:r w:rsidRPr="00F22E98">
        <w:rPr>
          <w:rFonts w:ascii="Times New Roman" w:hAnsi="Times New Roman" w:cs="Times New Roman"/>
          <w:sz w:val="24"/>
          <w:szCs w:val="24"/>
        </w:rPr>
        <w:t xml:space="preserve"> governors from 20 major economies: 19 countries plus the </w:t>
      </w:r>
      <w:hyperlink r:id="rId21" w:tooltip="European Union" w:history="1">
        <w:r w:rsidRPr="00F22E98">
          <w:rPr>
            <w:rStyle w:val="Hyperlink"/>
            <w:rFonts w:ascii="Times New Roman" w:hAnsi="Times New Roman" w:cs="Times New Roman"/>
            <w:color w:val="auto"/>
            <w:sz w:val="24"/>
            <w:szCs w:val="24"/>
            <w:u w:val="none"/>
          </w:rPr>
          <w:t>European Union</w:t>
        </w:r>
      </w:hyperlink>
      <w:r w:rsidRPr="00F22E98">
        <w:rPr>
          <w:rFonts w:ascii="Times New Roman" w:hAnsi="Times New Roman" w:cs="Times New Roman"/>
          <w:sz w:val="24"/>
          <w:szCs w:val="24"/>
        </w:rPr>
        <w:t>.</w:t>
      </w:r>
    </w:p>
    <w:p w:rsidR="00B01C12" w:rsidRDefault="00B01C12" w:rsidP="00EA3A2B">
      <w:pPr>
        <w:autoSpaceDE w:val="0"/>
        <w:autoSpaceDN w:val="0"/>
        <w:adjustRightInd w:val="0"/>
        <w:spacing w:after="0" w:line="240" w:lineRule="auto"/>
        <w:rPr>
          <w:rFonts w:ascii="Times New Roman" w:hAnsi="Times New Roman" w:cs="Times New Roman"/>
          <w:sz w:val="24"/>
          <w:szCs w:val="24"/>
        </w:rPr>
      </w:pPr>
    </w:p>
    <w:p w:rsidR="00B01C12" w:rsidRPr="00EA3A2B" w:rsidRDefault="00B01C12" w:rsidP="00EA3A2B">
      <w:pPr>
        <w:autoSpaceDE w:val="0"/>
        <w:autoSpaceDN w:val="0"/>
        <w:adjustRightInd w:val="0"/>
        <w:spacing w:after="0" w:line="240" w:lineRule="auto"/>
        <w:rPr>
          <w:rFonts w:ascii="Times New Roman" w:hAnsi="Times New Roman" w:cs="Times New Roman"/>
          <w:sz w:val="24"/>
          <w:szCs w:val="24"/>
        </w:rPr>
      </w:pPr>
    </w:p>
    <w:sectPr w:rsidR="00B01C12" w:rsidRPr="00EA3A2B" w:rsidSect="00697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475E71"/>
    <w:multiLevelType w:val="hybridMultilevel"/>
    <w:tmpl w:val="B09A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BF596C"/>
    <w:multiLevelType w:val="hybridMultilevel"/>
    <w:tmpl w:val="0166FF74"/>
    <w:lvl w:ilvl="0" w:tplc="3E9C49A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920DD"/>
    <w:multiLevelType w:val="hybridMultilevel"/>
    <w:tmpl w:val="E262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A3A2B"/>
    <w:rsid w:val="000361AB"/>
    <w:rsid w:val="000E7647"/>
    <w:rsid w:val="001C25E8"/>
    <w:rsid w:val="001C4DE4"/>
    <w:rsid w:val="002B5CF2"/>
    <w:rsid w:val="002D2228"/>
    <w:rsid w:val="00340429"/>
    <w:rsid w:val="0039135E"/>
    <w:rsid w:val="00410B6F"/>
    <w:rsid w:val="00424825"/>
    <w:rsid w:val="00445D00"/>
    <w:rsid w:val="004543E9"/>
    <w:rsid w:val="004E1414"/>
    <w:rsid w:val="005F3A39"/>
    <w:rsid w:val="00611A7C"/>
    <w:rsid w:val="00613EEF"/>
    <w:rsid w:val="006904DC"/>
    <w:rsid w:val="00697EEE"/>
    <w:rsid w:val="006B2DFF"/>
    <w:rsid w:val="007D13E7"/>
    <w:rsid w:val="00815C9A"/>
    <w:rsid w:val="008D4586"/>
    <w:rsid w:val="00AD2455"/>
    <w:rsid w:val="00AF6ED3"/>
    <w:rsid w:val="00B01C12"/>
    <w:rsid w:val="00C40966"/>
    <w:rsid w:val="00CF519D"/>
    <w:rsid w:val="00DF5493"/>
    <w:rsid w:val="00E91338"/>
    <w:rsid w:val="00E934C3"/>
    <w:rsid w:val="00E94121"/>
    <w:rsid w:val="00EA3A2B"/>
    <w:rsid w:val="00F22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63049C-4DAA-432A-9E2B-E00BAE96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A2B"/>
    <w:pPr>
      <w:ind w:left="720"/>
      <w:contextualSpacing/>
    </w:pPr>
  </w:style>
  <w:style w:type="character" w:styleId="Hyperlink">
    <w:name w:val="Hyperlink"/>
    <w:basedOn w:val="DefaultParagraphFont"/>
    <w:uiPriority w:val="99"/>
    <w:semiHidden/>
    <w:unhideWhenUsed/>
    <w:rsid w:val="00424825"/>
    <w:rPr>
      <w:color w:val="0000FF"/>
      <w:u w:val="single"/>
    </w:rPr>
  </w:style>
  <w:style w:type="paragraph" w:styleId="NormalWeb">
    <w:name w:val="Normal (Web)"/>
    <w:basedOn w:val="Normal"/>
    <w:uiPriority w:val="99"/>
    <w:semiHidden/>
    <w:unhideWhenUsed/>
    <w:rsid w:val="00424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5D00"/>
    <w:rPr>
      <w:b/>
      <w:bCs/>
    </w:rPr>
  </w:style>
  <w:style w:type="paragraph" w:styleId="BalloonText">
    <w:name w:val="Balloon Text"/>
    <w:basedOn w:val="Normal"/>
    <w:link w:val="BalloonTextChar"/>
    <w:uiPriority w:val="99"/>
    <w:semiHidden/>
    <w:unhideWhenUsed/>
    <w:rsid w:val="00B01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C12"/>
    <w:rPr>
      <w:rFonts w:ascii="Tahoma" w:hAnsi="Tahoma" w:cs="Tahoma"/>
      <w:sz w:val="16"/>
      <w:szCs w:val="16"/>
    </w:rPr>
  </w:style>
  <w:style w:type="paragraph" w:styleId="NoSpacing">
    <w:name w:val="No Spacing"/>
    <w:uiPriority w:val="1"/>
    <w:qFormat/>
    <w:rsid w:val="00F22E98"/>
    <w:pPr>
      <w:spacing w:after="0" w:line="240" w:lineRule="auto"/>
    </w:pPr>
  </w:style>
  <w:style w:type="character" w:styleId="Emphasis">
    <w:name w:val="Emphasis"/>
    <w:basedOn w:val="DefaultParagraphFont"/>
    <w:uiPriority w:val="20"/>
    <w:qFormat/>
    <w:rsid w:val="00E913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03939">
      <w:bodyDiv w:val="1"/>
      <w:marLeft w:val="0"/>
      <w:marRight w:val="0"/>
      <w:marTop w:val="0"/>
      <w:marBottom w:val="0"/>
      <w:divBdr>
        <w:top w:val="none" w:sz="0" w:space="0" w:color="auto"/>
        <w:left w:val="none" w:sz="0" w:space="0" w:color="auto"/>
        <w:bottom w:val="none" w:sz="0" w:space="0" w:color="auto"/>
        <w:right w:val="none" w:sz="0" w:space="0" w:color="auto"/>
      </w:divBdr>
      <w:divsChild>
        <w:div w:id="2108501425">
          <w:marLeft w:val="0"/>
          <w:marRight w:val="0"/>
          <w:marTop w:val="0"/>
          <w:marBottom w:val="0"/>
          <w:divBdr>
            <w:top w:val="none" w:sz="0" w:space="0" w:color="auto"/>
            <w:left w:val="none" w:sz="0" w:space="0" w:color="auto"/>
            <w:bottom w:val="none" w:sz="0" w:space="0" w:color="auto"/>
            <w:right w:val="none" w:sz="0" w:space="0" w:color="auto"/>
          </w:divBdr>
          <w:divsChild>
            <w:div w:id="533617530">
              <w:marLeft w:val="0"/>
              <w:marRight w:val="0"/>
              <w:marTop w:val="0"/>
              <w:marBottom w:val="0"/>
              <w:divBdr>
                <w:top w:val="none" w:sz="0" w:space="0" w:color="auto"/>
                <w:left w:val="none" w:sz="0" w:space="0" w:color="auto"/>
                <w:bottom w:val="none" w:sz="0" w:space="0" w:color="auto"/>
                <w:right w:val="none" w:sz="0" w:space="0" w:color="auto"/>
              </w:divBdr>
              <w:divsChild>
                <w:div w:id="38044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77221">
      <w:bodyDiv w:val="1"/>
      <w:marLeft w:val="0"/>
      <w:marRight w:val="0"/>
      <w:marTop w:val="0"/>
      <w:marBottom w:val="0"/>
      <w:divBdr>
        <w:top w:val="none" w:sz="0" w:space="0" w:color="auto"/>
        <w:left w:val="none" w:sz="0" w:space="0" w:color="auto"/>
        <w:bottom w:val="none" w:sz="0" w:space="0" w:color="auto"/>
        <w:right w:val="none" w:sz="0" w:space="0" w:color="auto"/>
      </w:divBdr>
      <w:divsChild>
        <w:div w:id="606159089">
          <w:marLeft w:val="0"/>
          <w:marRight w:val="0"/>
          <w:marTop w:val="0"/>
          <w:marBottom w:val="0"/>
          <w:divBdr>
            <w:top w:val="none" w:sz="0" w:space="0" w:color="auto"/>
            <w:left w:val="none" w:sz="0" w:space="0" w:color="auto"/>
            <w:bottom w:val="none" w:sz="0" w:space="0" w:color="auto"/>
            <w:right w:val="none" w:sz="0" w:space="0" w:color="auto"/>
          </w:divBdr>
          <w:divsChild>
            <w:div w:id="1438670712">
              <w:marLeft w:val="0"/>
              <w:marRight w:val="0"/>
              <w:marTop w:val="0"/>
              <w:marBottom w:val="0"/>
              <w:divBdr>
                <w:top w:val="none" w:sz="0" w:space="0" w:color="auto"/>
                <w:left w:val="none" w:sz="0" w:space="0" w:color="auto"/>
                <w:bottom w:val="none" w:sz="0" w:space="0" w:color="auto"/>
                <w:right w:val="none" w:sz="0" w:space="0" w:color="auto"/>
              </w:divBdr>
              <w:divsChild>
                <w:div w:id="31734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914687">
      <w:bodyDiv w:val="1"/>
      <w:marLeft w:val="0"/>
      <w:marRight w:val="0"/>
      <w:marTop w:val="0"/>
      <w:marBottom w:val="0"/>
      <w:divBdr>
        <w:top w:val="none" w:sz="0" w:space="0" w:color="auto"/>
        <w:left w:val="none" w:sz="0" w:space="0" w:color="auto"/>
        <w:bottom w:val="none" w:sz="0" w:space="0" w:color="auto"/>
        <w:right w:val="none" w:sz="0" w:space="0" w:color="auto"/>
      </w:divBdr>
      <w:divsChild>
        <w:div w:id="384834649">
          <w:marLeft w:val="0"/>
          <w:marRight w:val="0"/>
          <w:marTop w:val="480"/>
          <w:marBottom w:val="0"/>
          <w:divBdr>
            <w:top w:val="none" w:sz="0" w:space="0" w:color="auto"/>
            <w:left w:val="none" w:sz="0" w:space="0" w:color="auto"/>
            <w:bottom w:val="none" w:sz="0" w:space="0" w:color="auto"/>
            <w:right w:val="none" w:sz="0" w:space="0" w:color="auto"/>
          </w:divBdr>
          <w:divsChild>
            <w:div w:id="706881025">
              <w:marLeft w:val="0"/>
              <w:marRight w:val="0"/>
              <w:marTop w:val="0"/>
              <w:marBottom w:val="0"/>
              <w:divBdr>
                <w:top w:val="none" w:sz="0" w:space="0" w:color="auto"/>
                <w:left w:val="none" w:sz="0" w:space="0" w:color="auto"/>
                <w:bottom w:val="none" w:sz="0" w:space="0" w:color="auto"/>
                <w:right w:val="none" w:sz="0" w:space="0" w:color="auto"/>
              </w:divBdr>
              <w:divsChild>
                <w:div w:id="2032683881">
                  <w:marLeft w:val="0"/>
                  <w:marRight w:val="0"/>
                  <w:marTop w:val="0"/>
                  <w:marBottom w:val="0"/>
                  <w:divBdr>
                    <w:top w:val="none" w:sz="0" w:space="0" w:color="auto"/>
                    <w:left w:val="none" w:sz="0" w:space="0" w:color="auto"/>
                    <w:bottom w:val="none" w:sz="0" w:space="0" w:color="auto"/>
                    <w:right w:val="single" w:sz="12" w:space="0" w:color="E9DECF"/>
                  </w:divBdr>
                  <w:divsChild>
                    <w:div w:id="839126400">
                      <w:marLeft w:val="384"/>
                      <w:marRight w:val="360"/>
                      <w:marTop w:val="0"/>
                      <w:marBottom w:val="0"/>
                      <w:divBdr>
                        <w:top w:val="none" w:sz="0" w:space="0" w:color="auto"/>
                        <w:left w:val="none" w:sz="0" w:space="0" w:color="auto"/>
                        <w:bottom w:val="none" w:sz="0" w:space="0" w:color="auto"/>
                        <w:right w:val="none" w:sz="0" w:space="0" w:color="auto"/>
                      </w:divBdr>
                      <w:divsChild>
                        <w:div w:id="907038069">
                          <w:marLeft w:val="0"/>
                          <w:marRight w:val="0"/>
                          <w:marTop w:val="0"/>
                          <w:marBottom w:val="0"/>
                          <w:divBdr>
                            <w:top w:val="none" w:sz="0" w:space="0" w:color="auto"/>
                            <w:left w:val="none" w:sz="0" w:space="0" w:color="auto"/>
                            <w:bottom w:val="none" w:sz="0" w:space="0" w:color="auto"/>
                            <w:right w:val="none" w:sz="0" w:space="0" w:color="auto"/>
                          </w:divBdr>
                          <w:divsChild>
                            <w:div w:id="1110274985">
                              <w:marLeft w:val="0"/>
                              <w:marRight w:val="0"/>
                              <w:marTop w:val="0"/>
                              <w:marBottom w:val="0"/>
                              <w:divBdr>
                                <w:top w:val="none" w:sz="0" w:space="0" w:color="auto"/>
                                <w:left w:val="none" w:sz="0" w:space="0" w:color="auto"/>
                                <w:bottom w:val="none" w:sz="0" w:space="0" w:color="auto"/>
                                <w:right w:val="none" w:sz="0" w:space="0" w:color="auto"/>
                              </w:divBdr>
                              <w:divsChild>
                                <w:div w:id="546378178">
                                  <w:marLeft w:val="0"/>
                                  <w:marRight w:val="0"/>
                                  <w:marTop w:val="0"/>
                                  <w:marBottom w:val="0"/>
                                  <w:divBdr>
                                    <w:top w:val="none" w:sz="0" w:space="0" w:color="auto"/>
                                    <w:left w:val="none" w:sz="0" w:space="0" w:color="auto"/>
                                    <w:bottom w:val="none" w:sz="0" w:space="0" w:color="auto"/>
                                    <w:right w:val="none" w:sz="0" w:space="0" w:color="auto"/>
                                  </w:divBdr>
                                  <w:divsChild>
                                    <w:div w:id="1990133581">
                                      <w:marLeft w:val="0"/>
                                      <w:marRight w:val="0"/>
                                      <w:marTop w:val="0"/>
                                      <w:marBottom w:val="0"/>
                                      <w:divBdr>
                                        <w:top w:val="none" w:sz="0" w:space="0" w:color="auto"/>
                                        <w:left w:val="none" w:sz="0" w:space="0" w:color="auto"/>
                                        <w:bottom w:val="none" w:sz="0" w:space="0" w:color="auto"/>
                                        <w:right w:val="none" w:sz="0" w:space="0" w:color="auto"/>
                                      </w:divBdr>
                                      <w:divsChild>
                                        <w:div w:id="4537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099767">
      <w:bodyDiv w:val="1"/>
      <w:marLeft w:val="0"/>
      <w:marRight w:val="0"/>
      <w:marTop w:val="0"/>
      <w:marBottom w:val="0"/>
      <w:divBdr>
        <w:top w:val="none" w:sz="0" w:space="0" w:color="auto"/>
        <w:left w:val="none" w:sz="0" w:space="0" w:color="auto"/>
        <w:bottom w:val="none" w:sz="0" w:space="0" w:color="auto"/>
        <w:right w:val="none" w:sz="0" w:space="0" w:color="auto"/>
      </w:divBdr>
      <w:divsChild>
        <w:div w:id="1978948018">
          <w:marLeft w:val="0"/>
          <w:marRight w:val="0"/>
          <w:marTop w:val="0"/>
          <w:marBottom w:val="0"/>
          <w:divBdr>
            <w:top w:val="none" w:sz="0" w:space="0" w:color="auto"/>
            <w:left w:val="none" w:sz="0" w:space="0" w:color="auto"/>
            <w:bottom w:val="none" w:sz="0" w:space="0" w:color="auto"/>
            <w:right w:val="none" w:sz="0" w:space="0" w:color="auto"/>
          </w:divBdr>
          <w:divsChild>
            <w:div w:id="593631687">
              <w:marLeft w:val="0"/>
              <w:marRight w:val="0"/>
              <w:marTop w:val="0"/>
              <w:marBottom w:val="0"/>
              <w:divBdr>
                <w:top w:val="none" w:sz="0" w:space="0" w:color="auto"/>
                <w:left w:val="none" w:sz="0" w:space="0" w:color="auto"/>
                <w:bottom w:val="none" w:sz="0" w:space="0" w:color="auto"/>
                <w:right w:val="none" w:sz="0" w:space="0" w:color="auto"/>
              </w:divBdr>
              <w:divsChild>
                <w:div w:id="9764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406641">
      <w:bodyDiv w:val="1"/>
      <w:marLeft w:val="0"/>
      <w:marRight w:val="0"/>
      <w:marTop w:val="0"/>
      <w:marBottom w:val="0"/>
      <w:divBdr>
        <w:top w:val="none" w:sz="0" w:space="0" w:color="auto"/>
        <w:left w:val="none" w:sz="0" w:space="0" w:color="auto"/>
        <w:bottom w:val="none" w:sz="0" w:space="0" w:color="auto"/>
        <w:right w:val="none" w:sz="0" w:space="0" w:color="auto"/>
      </w:divBdr>
      <w:divsChild>
        <w:div w:id="1558975176">
          <w:marLeft w:val="0"/>
          <w:marRight w:val="0"/>
          <w:marTop w:val="0"/>
          <w:marBottom w:val="0"/>
          <w:divBdr>
            <w:top w:val="none" w:sz="0" w:space="0" w:color="auto"/>
            <w:left w:val="none" w:sz="0" w:space="0" w:color="auto"/>
            <w:bottom w:val="none" w:sz="0" w:space="0" w:color="auto"/>
            <w:right w:val="none" w:sz="0" w:space="0" w:color="auto"/>
          </w:divBdr>
        </w:div>
      </w:divsChild>
    </w:div>
    <w:div w:id="1201825954">
      <w:bodyDiv w:val="1"/>
      <w:marLeft w:val="0"/>
      <w:marRight w:val="0"/>
      <w:marTop w:val="0"/>
      <w:marBottom w:val="0"/>
      <w:divBdr>
        <w:top w:val="none" w:sz="0" w:space="0" w:color="auto"/>
        <w:left w:val="none" w:sz="0" w:space="0" w:color="auto"/>
        <w:bottom w:val="none" w:sz="0" w:space="0" w:color="auto"/>
        <w:right w:val="none" w:sz="0" w:space="0" w:color="auto"/>
      </w:divBdr>
      <w:divsChild>
        <w:div w:id="1264457975">
          <w:marLeft w:val="0"/>
          <w:marRight w:val="0"/>
          <w:marTop w:val="480"/>
          <w:marBottom w:val="0"/>
          <w:divBdr>
            <w:top w:val="none" w:sz="0" w:space="0" w:color="auto"/>
            <w:left w:val="none" w:sz="0" w:space="0" w:color="auto"/>
            <w:bottom w:val="none" w:sz="0" w:space="0" w:color="auto"/>
            <w:right w:val="none" w:sz="0" w:space="0" w:color="auto"/>
          </w:divBdr>
          <w:divsChild>
            <w:div w:id="803501920">
              <w:marLeft w:val="0"/>
              <w:marRight w:val="0"/>
              <w:marTop w:val="0"/>
              <w:marBottom w:val="0"/>
              <w:divBdr>
                <w:top w:val="none" w:sz="0" w:space="0" w:color="auto"/>
                <w:left w:val="none" w:sz="0" w:space="0" w:color="auto"/>
                <w:bottom w:val="none" w:sz="0" w:space="0" w:color="auto"/>
                <w:right w:val="none" w:sz="0" w:space="0" w:color="auto"/>
              </w:divBdr>
              <w:divsChild>
                <w:div w:id="1974406583">
                  <w:marLeft w:val="0"/>
                  <w:marRight w:val="0"/>
                  <w:marTop w:val="0"/>
                  <w:marBottom w:val="0"/>
                  <w:divBdr>
                    <w:top w:val="none" w:sz="0" w:space="0" w:color="auto"/>
                    <w:left w:val="none" w:sz="0" w:space="0" w:color="auto"/>
                    <w:bottom w:val="none" w:sz="0" w:space="0" w:color="auto"/>
                    <w:right w:val="single" w:sz="12" w:space="0" w:color="E9DECF"/>
                  </w:divBdr>
                  <w:divsChild>
                    <w:div w:id="1831628137">
                      <w:marLeft w:val="384"/>
                      <w:marRight w:val="360"/>
                      <w:marTop w:val="0"/>
                      <w:marBottom w:val="0"/>
                      <w:divBdr>
                        <w:top w:val="none" w:sz="0" w:space="0" w:color="auto"/>
                        <w:left w:val="none" w:sz="0" w:space="0" w:color="auto"/>
                        <w:bottom w:val="none" w:sz="0" w:space="0" w:color="auto"/>
                        <w:right w:val="none" w:sz="0" w:space="0" w:color="auto"/>
                      </w:divBdr>
                      <w:divsChild>
                        <w:div w:id="1304193481">
                          <w:marLeft w:val="0"/>
                          <w:marRight w:val="0"/>
                          <w:marTop w:val="0"/>
                          <w:marBottom w:val="0"/>
                          <w:divBdr>
                            <w:top w:val="none" w:sz="0" w:space="0" w:color="auto"/>
                            <w:left w:val="none" w:sz="0" w:space="0" w:color="auto"/>
                            <w:bottom w:val="none" w:sz="0" w:space="0" w:color="auto"/>
                            <w:right w:val="none" w:sz="0" w:space="0" w:color="auto"/>
                          </w:divBdr>
                          <w:divsChild>
                            <w:div w:id="292249685">
                              <w:marLeft w:val="0"/>
                              <w:marRight w:val="0"/>
                              <w:marTop w:val="0"/>
                              <w:marBottom w:val="0"/>
                              <w:divBdr>
                                <w:top w:val="none" w:sz="0" w:space="0" w:color="auto"/>
                                <w:left w:val="none" w:sz="0" w:space="0" w:color="auto"/>
                                <w:bottom w:val="none" w:sz="0" w:space="0" w:color="auto"/>
                                <w:right w:val="none" w:sz="0" w:space="0" w:color="auto"/>
                              </w:divBdr>
                              <w:divsChild>
                                <w:div w:id="287443569">
                                  <w:marLeft w:val="0"/>
                                  <w:marRight w:val="0"/>
                                  <w:marTop w:val="0"/>
                                  <w:marBottom w:val="0"/>
                                  <w:divBdr>
                                    <w:top w:val="none" w:sz="0" w:space="0" w:color="auto"/>
                                    <w:left w:val="none" w:sz="0" w:space="0" w:color="auto"/>
                                    <w:bottom w:val="none" w:sz="0" w:space="0" w:color="auto"/>
                                    <w:right w:val="none" w:sz="0" w:space="0" w:color="auto"/>
                                  </w:divBdr>
                                  <w:divsChild>
                                    <w:div w:id="1381443947">
                                      <w:marLeft w:val="0"/>
                                      <w:marRight w:val="0"/>
                                      <w:marTop w:val="0"/>
                                      <w:marBottom w:val="0"/>
                                      <w:divBdr>
                                        <w:top w:val="none" w:sz="0" w:space="0" w:color="auto"/>
                                        <w:left w:val="none" w:sz="0" w:space="0" w:color="auto"/>
                                        <w:bottom w:val="none" w:sz="0" w:space="0" w:color="auto"/>
                                        <w:right w:val="none" w:sz="0" w:space="0" w:color="auto"/>
                                      </w:divBdr>
                                      <w:divsChild>
                                        <w:div w:id="62812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3946446">
      <w:bodyDiv w:val="1"/>
      <w:marLeft w:val="0"/>
      <w:marRight w:val="0"/>
      <w:marTop w:val="0"/>
      <w:marBottom w:val="0"/>
      <w:divBdr>
        <w:top w:val="none" w:sz="0" w:space="0" w:color="auto"/>
        <w:left w:val="none" w:sz="0" w:space="0" w:color="auto"/>
        <w:bottom w:val="none" w:sz="0" w:space="0" w:color="auto"/>
        <w:right w:val="none" w:sz="0" w:space="0" w:color="auto"/>
      </w:divBdr>
      <w:divsChild>
        <w:div w:id="515970610">
          <w:marLeft w:val="0"/>
          <w:marRight w:val="0"/>
          <w:marTop w:val="480"/>
          <w:marBottom w:val="0"/>
          <w:divBdr>
            <w:top w:val="none" w:sz="0" w:space="0" w:color="auto"/>
            <w:left w:val="none" w:sz="0" w:space="0" w:color="auto"/>
            <w:bottom w:val="none" w:sz="0" w:space="0" w:color="auto"/>
            <w:right w:val="none" w:sz="0" w:space="0" w:color="auto"/>
          </w:divBdr>
          <w:divsChild>
            <w:div w:id="95104251">
              <w:marLeft w:val="0"/>
              <w:marRight w:val="0"/>
              <w:marTop w:val="0"/>
              <w:marBottom w:val="0"/>
              <w:divBdr>
                <w:top w:val="none" w:sz="0" w:space="0" w:color="auto"/>
                <w:left w:val="none" w:sz="0" w:space="0" w:color="auto"/>
                <w:bottom w:val="none" w:sz="0" w:space="0" w:color="auto"/>
                <w:right w:val="none" w:sz="0" w:space="0" w:color="auto"/>
              </w:divBdr>
              <w:divsChild>
                <w:div w:id="723916284">
                  <w:marLeft w:val="0"/>
                  <w:marRight w:val="0"/>
                  <w:marTop w:val="0"/>
                  <w:marBottom w:val="0"/>
                  <w:divBdr>
                    <w:top w:val="none" w:sz="0" w:space="0" w:color="auto"/>
                    <w:left w:val="none" w:sz="0" w:space="0" w:color="auto"/>
                    <w:bottom w:val="none" w:sz="0" w:space="0" w:color="auto"/>
                    <w:right w:val="single" w:sz="12" w:space="0" w:color="E9DECF"/>
                  </w:divBdr>
                  <w:divsChild>
                    <w:div w:id="592977009">
                      <w:marLeft w:val="384"/>
                      <w:marRight w:val="360"/>
                      <w:marTop w:val="0"/>
                      <w:marBottom w:val="0"/>
                      <w:divBdr>
                        <w:top w:val="none" w:sz="0" w:space="0" w:color="auto"/>
                        <w:left w:val="none" w:sz="0" w:space="0" w:color="auto"/>
                        <w:bottom w:val="none" w:sz="0" w:space="0" w:color="auto"/>
                        <w:right w:val="none" w:sz="0" w:space="0" w:color="auto"/>
                      </w:divBdr>
                      <w:divsChild>
                        <w:div w:id="1942444810">
                          <w:marLeft w:val="0"/>
                          <w:marRight w:val="0"/>
                          <w:marTop w:val="0"/>
                          <w:marBottom w:val="0"/>
                          <w:divBdr>
                            <w:top w:val="none" w:sz="0" w:space="0" w:color="auto"/>
                            <w:left w:val="none" w:sz="0" w:space="0" w:color="auto"/>
                            <w:bottom w:val="none" w:sz="0" w:space="0" w:color="auto"/>
                            <w:right w:val="none" w:sz="0" w:space="0" w:color="auto"/>
                          </w:divBdr>
                          <w:divsChild>
                            <w:div w:id="1553151673">
                              <w:marLeft w:val="0"/>
                              <w:marRight w:val="0"/>
                              <w:marTop w:val="0"/>
                              <w:marBottom w:val="0"/>
                              <w:divBdr>
                                <w:top w:val="none" w:sz="0" w:space="0" w:color="auto"/>
                                <w:left w:val="none" w:sz="0" w:space="0" w:color="auto"/>
                                <w:bottom w:val="none" w:sz="0" w:space="0" w:color="auto"/>
                                <w:right w:val="none" w:sz="0" w:space="0" w:color="auto"/>
                              </w:divBdr>
                              <w:divsChild>
                                <w:div w:id="645209629">
                                  <w:marLeft w:val="0"/>
                                  <w:marRight w:val="0"/>
                                  <w:marTop w:val="0"/>
                                  <w:marBottom w:val="0"/>
                                  <w:divBdr>
                                    <w:top w:val="none" w:sz="0" w:space="0" w:color="auto"/>
                                    <w:left w:val="none" w:sz="0" w:space="0" w:color="auto"/>
                                    <w:bottom w:val="none" w:sz="0" w:space="0" w:color="auto"/>
                                    <w:right w:val="none" w:sz="0" w:space="0" w:color="auto"/>
                                  </w:divBdr>
                                  <w:divsChild>
                                    <w:div w:id="1799520192">
                                      <w:marLeft w:val="0"/>
                                      <w:marRight w:val="0"/>
                                      <w:marTop w:val="0"/>
                                      <w:marBottom w:val="0"/>
                                      <w:divBdr>
                                        <w:top w:val="none" w:sz="0" w:space="0" w:color="auto"/>
                                        <w:left w:val="none" w:sz="0" w:space="0" w:color="auto"/>
                                        <w:bottom w:val="none" w:sz="0" w:space="0" w:color="auto"/>
                                        <w:right w:val="none" w:sz="0" w:space="0" w:color="auto"/>
                                      </w:divBdr>
                                      <w:divsChild>
                                        <w:div w:id="136020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takeholder_(corporate)" TargetMode="External"/><Relationship Id="rId13" Type="http://schemas.openxmlformats.org/officeDocument/2006/relationships/hyperlink" Target="http://en.wikipedia.org/wiki/Capital_One_Financial_Corporation" TargetMode="External"/><Relationship Id="rId18" Type="http://schemas.openxmlformats.org/officeDocument/2006/relationships/hyperlink" Target="http://en.wikipedia.org/wiki/G20" TargetMode="External"/><Relationship Id="rId3" Type="http://schemas.openxmlformats.org/officeDocument/2006/relationships/styles" Target="styles.xml"/><Relationship Id="rId21" Type="http://schemas.openxmlformats.org/officeDocument/2006/relationships/hyperlink" Target="http://en.wikipedia.org/wiki/European_Union" TargetMode="External"/><Relationship Id="rId7" Type="http://schemas.openxmlformats.org/officeDocument/2006/relationships/hyperlink" Target="http://en.wikipedia.org/wiki/Investment" TargetMode="External"/><Relationship Id="rId12" Type="http://schemas.openxmlformats.org/officeDocument/2006/relationships/hyperlink" Target="http://en.wikipedia.org/wiki/Bank_of_America_Corporation" TargetMode="External"/><Relationship Id="rId17" Type="http://schemas.openxmlformats.org/officeDocument/2006/relationships/hyperlink" Target="http://www.ifrs.org/Use-around-the-world/Global-convergence/Convergence-with-US-GAAP/Documents/IASB-FASB-G20-Update-February-2013.pdf" TargetMode="External"/><Relationship Id="rId2" Type="http://schemas.openxmlformats.org/officeDocument/2006/relationships/numbering" Target="numbering.xml"/><Relationship Id="rId16" Type="http://schemas.openxmlformats.org/officeDocument/2006/relationships/hyperlink" Target="http://en.wikipedia.org/wiki/Wells_Fargo_%26_Company" TargetMode="External"/><Relationship Id="rId20" Type="http://schemas.openxmlformats.org/officeDocument/2006/relationships/hyperlink" Target="http://en.wikipedia.org/wiki/Central_bank" TargetMode="External"/><Relationship Id="rId1" Type="http://schemas.openxmlformats.org/officeDocument/2006/relationships/customXml" Target="../customXml/item1.xml"/><Relationship Id="rId6" Type="http://schemas.openxmlformats.org/officeDocument/2006/relationships/hyperlink" Target="http://en.wikipedia.org/wiki/Accounting_standard" TargetMode="External"/><Relationship Id="rId11" Type="http://schemas.openxmlformats.org/officeDocument/2006/relationships/hyperlink" Target="http://www.sec.gov/spotlight/globalaccountingstandards/ifrs-work-plan-final-report.pdf" TargetMode="External"/><Relationship Id="rId5" Type="http://schemas.openxmlformats.org/officeDocument/2006/relationships/webSettings" Target="webSettings.xml"/><Relationship Id="rId15" Type="http://schemas.openxmlformats.org/officeDocument/2006/relationships/hyperlink" Target="http://en.wikipedia.org/wiki/Morgan_Stanley" TargetMode="External"/><Relationship Id="rId23" Type="http://schemas.openxmlformats.org/officeDocument/2006/relationships/theme" Target="theme/theme1.xml"/><Relationship Id="rId10" Type="http://schemas.openxmlformats.org/officeDocument/2006/relationships/hyperlink" Target="http://en.wikipedia.org/wiki/Memorandum_of_understanding" TargetMode="External"/><Relationship Id="rId19" Type="http://schemas.openxmlformats.org/officeDocument/2006/relationships/hyperlink" Target="http://en.wikipedia.org/wiki/Finance_minister" TargetMode="External"/><Relationship Id="rId4" Type="http://schemas.openxmlformats.org/officeDocument/2006/relationships/settings" Target="settings.xml"/><Relationship Id="rId9" Type="http://schemas.openxmlformats.org/officeDocument/2006/relationships/hyperlink" Target="http://en.wikipedia.org/wiki/Republic_of_Ireland" TargetMode="External"/><Relationship Id="rId14" Type="http://schemas.openxmlformats.org/officeDocument/2006/relationships/hyperlink" Target="http://en.wikipedia.org/wiki/JPMorgan_Chase_%26_C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McG04</b:Tag>
    <b:SourceType>ConferenceProceedings</b:SourceType>
    <b:Guid>{7AC97CB3-A3DC-49F7-BED3-CE6B07DC57E3}</b:Guid>
    <b:Title>Problems of Implementing International Accounting Standards in a Transition Economy: A Case Study of Russia</b:Title>
    <b:Year>2004</b:Year>
    <b:City>Guadalajara</b:City>
    <b:Author>
      <b:Author>
        <b:NameList>
          <b:Person>
            <b:Last>McGee</b:Last>
            <b:Middle>W</b:Middle>
            <b:First>Robert</b:First>
          </b:Person>
          <b:Person>
            <b:Last>Preobragenskaya</b:Last>
            <b:Middle>G</b:Middle>
            <b:First>Galina</b:First>
          </b:Person>
        </b:NameList>
      </b:Author>
    </b:Author>
    <b:Pages>1</b:Pages>
    <b:ConferenceName>8th International Conference on Global Business and Economic Development</b:ConferenceName>
    <b:RefOrder>11</b:RefOrder>
  </b:Source>
  <b:Source>
    <b:Tag>Jon10</b:Tag>
    <b:SourceType>DocumentFromInternetSite</b:SourceType>
    <b:Guid>{FCD5F223-EF09-4D16-B6B0-785101213833}</b:Guid>
    <b:Title>Emerging markets sound warning to accounting body</b:Title>
    <b:Year>2010</b:Year>
    <b:InternetSiteTitle>Thomson Reuters website</b:InternetSiteTitle>
    <b:Month>April</b:Month>
    <b:YearAccessed>2012</b:YearAccessed>
    <b:MonthAccessed>November</b:MonthAccessed>
    <b:DayAccessed>27</b:DayAccessed>
    <b:URL>http://in.reuters.com/article/2010/04/01/idINIndia-47393120100401</b:URL>
    <b:Author>
      <b:Author>
        <b:NameList>
          <b:Person>
            <b:Last>Jones</b:Last>
            <b:First>Huw</b:First>
          </b:Person>
        </b:NameList>
      </b:Author>
    </b:Author>
    <b:RefOrder>12</b:RefOrder>
  </b:Source>
  <b:Source>
    <b:Tag>Dun08</b:Tag>
    <b:SourceType>Report</b:SourceType>
    <b:Guid>{3FB18D82-613B-41AC-AF74-75271CC010D3}</b:Guid>
    <b:Title>The Implementation of IFRS in the UK, Italy and Ireland</b:Title>
    <b:Year>2008</b:Year>
    <b:Publisher>The Chartered Institute of Accountants of Scotland</b:Publisher>
    <b:City>Edinburgh</b:City>
    <b:Author>
      <b:Author>
        <b:NameList>
          <b:Person>
            <b:Last>Dunne</b:Last>
            <b:First>Theresa</b:First>
          </b:Person>
          <b:Person>
            <b:Last>Fifield</b:Last>
            <b:First>Suzanne</b:First>
          </b:Person>
          <b:Person>
            <b:Last>Finnigan</b:Last>
            <b:First>Gary</b:First>
          </b:Person>
          <b:Person>
            <b:Last>Fox</b:Last>
            <b:First>Alison</b:First>
          </b:Person>
          <b:Person>
            <b:Last>Hannah</b:Last>
            <b:First>Gwen</b:First>
          </b:Person>
          <b:Person>
            <b:Last>Helliar</b:Last>
            <b:First>Christine</b:First>
          </b:Person>
          <b:Person>
            <b:Last>Power</b:Last>
            <b:First>David</b:First>
          </b:Person>
          <b:Person>
            <b:Last>Veneziani</b:Last>
            <b:First>Monica</b:First>
          </b:Person>
        </b:NameList>
      </b:Author>
    </b:Author>
    <b:Pages>19</b:Pages>
    <b:RefOrder>13</b:RefOrder>
  </b:Source>
  <b:Source>
    <b:Tag>Whi05</b:Tag>
    <b:SourceType>JournalArticle</b:SourceType>
    <b:Guid>{482C6D79-ACED-40A9-A00A-299A50C1EF7B}</b:Guid>
    <b:Title>The Adoption of International Accounting Standards in the European Union</b:Title>
    <b:Year>2005</b:Year>
    <b:JournalName>European Accounting Review</b:JournalName>
    <b:Pages>127-153</b:Pages>
    <b:Author>
      <b:Author>
        <b:NameList>
          <b:Person>
            <b:Last>Whittington</b:Last>
            <b:First>Geoffrey</b:First>
          </b:Person>
        </b:NameList>
      </b:Author>
    </b:Author>
    <b:Volume>14</b:Volume>
    <b:Issue>1</b:Issue>
    <b:YearAccessed>2012</b:YearAccessed>
    <b:MonthAccessed>November</b:MonthAccessed>
    <b:DayAccessed>25</b:DayAccessed>
    <b:RefOrder>1</b:RefOrder>
  </b:Source>
  <b:Source>
    <b:Tag>Nee11</b:Tag>
    <b:SourceType>Book</b:SourceType>
    <b:Guid>{CDE762A2-2AA7-4BAE-85B1-A7033B7CADFB}</b:Guid>
    <b:Title>International Financial Reporting Standards:  An Introduction</b:Title>
    <b:Year>2011</b:Year>
    <b:City>Mason</b:City>
    <b:Publisher>South Western Cengage Learning</b:Publisher>
    <b:Author>
      <b:Author>
        <b:NameList>
          <b:Person>
            <b:Last>Needles</b:Last>
            <b:Middle>E</b:Middle>
            <b:First>Belverd</b:First>
          </b:Person>
          <b:Person>
            <b:Last>Powers</b:Last>
            <b:First>Marian</b:First>
          </b:Person>
        </b:NameList>
      </b:Author>
    </b:Author>
    <b:StateProvince>Ohio</b:StateProvince>
    <b:Edition>2nd</b:Edition>
    <b:YearAccessed>2012</b:YearAccessed>
    <b:MonthAccessed>November</b:MonthAccessed>
    <b:DayAccessed>19</b:DayAccessed>
    <b:RefOrder>2</b:RefOrder>
  </b:Source>
  <b:Source>
    <b:Tag>IFR12</b:Tag>
    <b:SourceType>DocumentFromInternetSite</b:SourceType>
    <b:Guid>{CF1EE17B-DCF8-4412-9819-8604E2626871}</b:Guid>
    <b:Author>
      <b:Author>
        <b:NameList>
          <b:Person>
            <b:Last>IFRS Foundation</b:Last>
          </b:Person>
        </b:NameList>
      </b:Author>
    </b:Author>
    <b:Title>About the IFRS Foundation and the IASB</b:Title>
    <b:InternetSiteTitle>IFRS Foundation</b:InternetSiteTitle>
    <b:YearAccessed>2012</b:YearAccessed>
    <b:MonthAccessed>November</b:MonthAccessed>
    <b:DayAccessed>12</b:DayAccessed>
    <b:URL>to develop a single set of high quality, understandable, enforceable and globally accepted international financial reporting standards (IFRSs) through its standard-setting body, the IASB</b:URL>
    <b:RefOrder>3</b:RefOrder>
  </b:Source>
</b:Sources>
</file>

<file path=customXml/itemProps1.xml><?xml version="1.0" encoding="utf-8"?>
<ds:datastoreItem xmlns:ds="http://schemas.openxmlformats.org/officeDocument/2006/customXml" ds:itemID="{54E18684-CD38-41C4-9D5B-EB74C3E41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Richard Dunstan</cp:lastModifiedBy>
  <cp:revision>21</cp:revision>
  <cp:lastPrinted>2012-12-18T16:29:00Z</cp:lastPrinted>
  <dcterms:created xsi:type="dcterms:W3CDTF">2012-10-31T11:29:00Z</dcterms:created>
  <dcterms:modified xsi:type="dcterms:W3CDTF">2018-01-16T13:39:00Z</dcterms:modified>
</cp:coreProperties>
</file>