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CCC10" w14:textId="10DB3410" w:rsidR="006E5059" w:rsidRPr="00B11656" w:rsidRDefault="006E5059" w:rsidP="00B11656">
      <w:pPr>
        <w:jc w:val="center"/>
        <w:rPr>
          <w:rFonts w:cs="Times New Roman"/>
          <w:noProof/>
          <w:sz w:val="36"/>
          <w:szCs w:val="36"/>
          <w:lang w:val="en-GB"/>
        </w:rPr>
      </w:pPr>
      <w:r w:rsidRPr="00B11656">
        <w:rPr>
          <w:rFonts w:cs="Times New Roman"/>
          <w:noProof/>
          <w:sz w:val="36"/>
          <w:szCs w:val="36"/>
          <w:lang w:val="en-GB"/>
        </w:rPr>
        <w:t>BMPL 4001 Evidence Based Policing</w:t>
      </w:r>
    </w:p>
    <w:p w14:paraId="02B8C0EC" w14:textId="0E1387A6" w:rsidR="007436DA" w:rsidRPr="00B11656" w:rsidRDefault="00F5465C" w:rsidP="00B11656">
      <w:pPr>
        <w:jc w:val="center"/>
        <w:rPr>
          <w:rFonts w:cs="Times New Roman"/>
          <w:b/>
          <w:bCs/>
          <w:noProof/>
          <w:sz w:val="44"/>
          <w:szCs w:val="44"/>
          <w:lang w:val="en-GB"/>
        </w:rPr>
      </w:pPr>
      <w:r w:rsidRPr="00B11656">
        <w:rPr>
          <w:rFonts w:cs="Times New Roman"/>
          <w:b/>
          <w:bCs/>
          <w:noProof/>
          <w:sz w:val="44"/>
          <w:szCs w:val="44"/>
          <w:lang w:val="en-GB"/>
        </w:rPr>
        <w:t xml:space="preserve">Topic: </w:t>
      </w:r>
      <w:r w:rsidR="00EA0226" w:rsidRPr="00B11656">
        <w:rPr>
          <w:rFonts w:cs="Times New Roman"/>
          <w:b/>
          <w:bCs/>
          <w:noProof/>
          <w:sz w:val="44"/>
          <w:szCs w:val="44"/>
          <w:lang w:val="en-GB"/>
        </w:rPr>
        <w:t>Explore and evaluate the use of body-worn cameras in evidence-based policing</w:t>
      </w:r>
    </w:p>
    <w:p w14:paraId="123389F1" w14:textId="77777777" w:rsidR="00412F4E" w:rsidRPr="00B11656" w:rsidRDefault="00412F4E" w:rsidP="00B11656">
      <w:pPr>
        <w:rPr>
          <w:rFonts w:cs="Times New Roman"/>
          <w:b/>
          <w:noProof/>
          <w:color w:val="365F91"/>
          <w:sz w:val="44"/>
          <w:szCs w:val="44"/>
          <w:lang w:val="en-GB"/>
        </w:rPr>
      </w:pPr>
      <w:r w:rsidRPr="00B11656">
        <w:rPr>
          <w:rFonts w:cs="Times New Roman"/>
          <w:noProof/>
          <w:sz w:val="44"/>
          <w:szCs w:val="44"/>
          <w:lang w:val="en-GB"/>
        </w:rPr>
        <w:br w:type="page"/>
      </w:r>
    </w:p>
    <w:sdt>
      <w:sdtPr>
        <w:rPr>
          <w:rFonts w:ascii="Times New Roman" w:eastAsia="Calibri" w:hAnsi="Times New Roman" w:cs="Times New Roman"/>
          <w:noProof/>
          <w:color w:val="000000" w:themeColor="text1"/>
          <w:sz w:val="24"/>
          <w:szCs w:val="22"/>
          <w:lang w:val="en-GB"/>
        </w:rPr>
        <w:id w:val="408268781"/>
        <w:docPartObj>
          <w:docPartGallery w:val="Table of Contents"/>
          <w:docPartUnique/>
        </w:docPartObj>
      </w:sdtPr>
      <w:sdtEndPr>
        <w:rPr>
          <w:b/>
          <w:bCs/>
        </w:rPr>
      </w:sdtEndPr>
      <w:sdtContent>
        <w:p w14:paraId="3936195E" w14:textId="329B5577" w:rsidR="00412F4E" w:rsidRPr="00B11656" w:rsidRDefault="00412F4E" w:rsidP="00B11656">
          <w:pPr>
            <w:pStyle w:val="TOCHeading"/>
            <w:spacing w:line="360" w:lineRule="auto"/>
            <w:rPr>
              <w:rFonts w:ascii="Times New Roman" w:hAnsi="Times New Roman" w:cs="Times New Roman"/>
              <w:noProof/>
              <w:lang w:val="en-GB"/>
            </w:rPr>
          </w:pPr>
          <w:r w:rsidRPr="00B11656">
            <w:rPr>
              <w:rFonts w:ascii="Times New Roman" w:hAnsi="Times New Roman" w:cs="Times New Roman"/>
              <w:noProof/>
              <w:lang w:val="en-GB"/>
            </w:rPr>
            <w:t>Table of Contents</w:t>
          </w:r>
        </w:p>
        <w:p w14:paraId="70BC41B6" w14:textId="6FB7907C" w:rsidR="00F8420B" w:rsidRPr="00B11656" w:rsidRDefault="00412F4E" w:rsidP="00B11656">
          <w:pPr>
            <w:pStyle w:val="TOC1"/>
            <w:tabs>
              <w:tab w:val="right" w:leader="dot" w:pos="9016"/>
            </w:tabs>
            <w:rPr>
              <w:rFonts w:eastAsiaTheme="minorEastAsia" w:cs="Times New Roman"/>
              <w:noProof/>
              <w:color w:val="auto"/>
              <w:kern w:val="2"/>
              <w:sz w:val="22"/>
              <w:lang w:val="en-GB" w:eastAsia="en-GB"/>
              <w14:ligatures w14:val="standardContextual"/>
            </w:rPr>
          </w:pPr>
          <w:r w:rsidRPr="00B11656">
            <w:rPr>
              <w:rFonts w:cs="Times New Roman"/>
              <w:noProof/>
              <w:lang w:val="en-GB"/>
            </w:rPr>
            <w:fldChar w:fldCharType="begin"/>
          </w:r>
          <w:r w:rsidRPr="00B11656">
            <w:rPr>
              <w:rFonts w:cs="Times New Roman"/>
              <w:noProof/>
              <w:lang w:val="en-GB"/>
            </w:rPr>
            <w:instrText xml:space="preserve"> TOC \o "1-3" \h \z \u </w:instrText>
          </w:r>
          <w:r w:rsidRPr="00B11656">
            <w:rPr>
              <w:rFonts w:cs="Times New Roman"/>
              <w:noProof/>
              <w:lang w:val="en-GB"/>
            </w:rPr>
            <w:fldChar w:fldCharType="separate"/>
          </w:r>
          <w:hyperlink w:anchor="_Toc134217389" w:history="1">
            <w:r w:rsidR="00F8420B" w:rsidRPr="00B11656">
              <w:rPr>
                <w:rStyle w:val="Hyperlink"/>
                <w:rFonts w:cs="Times New Roman"/>
                <w:noProof/>
                <w:lang w:val="en-GB"/>
              </w:rPr>
              <w:t>Introduction</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_Toc134217389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3</w:t>
            </w:r>
            <w:r w:rsidR="00F8420B" w:rsidRPr="00B11656">
              <w:rPr>
                <w:rFonts w:cs="Times New Roman"/>
                <w:noProof/>
                <w:webHidden/>
                <w:lang w:val="en-GB"/>
              </w:rPr>
              <w:fldChar w:fldCharType="end"/>
            </w:r>
          </w:hyperlink>
        </w:p>
        <w:p w14:paraId="0131E259" w14:textId="1A449B00" w:rsidR="00F8420B" w:rsidRPr="00B11656" w:rsidRDefault="00000000" w:rsidP="00B11656">
          <w:pPr>
            <w:pStyle w:val="TOC2"/>
            <w:tabs>
              <w:tab w:val="right" w:leader="dot" w:pos="9016"/>
            </w:tabs>
            <w:rPr>
              <w:rFonts w:eastAsiaTheme="minorEastAsia" w:cs="Times New Roman"/>
              <w:noProof/>
              <w:color w:val="auto"/>
              <w:kern w:val="2"/>
              <w:sz w:val="22"/>
              <w:lang w:val="en-GB" w:eastAsia="en-GB"/>
              <w14:ligatures w14:val="standardContextual"/>
            </w:rPr>
          </w:pPr>
          <w:hyperlink w:anchor="_Toc134217390" w:history="1">
            <w:r w:rsidR="00F8420B" w:rsidRPr="00B11656">
              <w:rPr>
                <w:rStyle w:val="Hyperlink"/>
                <w:rFonts w:cs="Times New Roman"/>
                <w:noProof/>
                <w:lang w:val="en-GB"/>
              </w:rPr>
              <w:t>Core Ideas of Evidence-Based Policing</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_Toc134217390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4</w:t>
            </w:r>
            <w:r w:rsidR="00F8420B" w:rsidRPr="00B11656">
              <w:rPr>
                <w:rFonts w:cs="Times New Roman"/>
                <w:noProof/>
                <w:webHidden/>
                <w:lang w:val="en-GB"/>
              </w:rPr>
              <w:fldChar w:fldCharType="end"/>
            </w:r>
          </w:hyperlink>
        </w:p>
        <w:p w14:paraId="71C5344A" w14:textId="124E34AA" w:rsidR="00F8420B" w:rsidRPr="00B11656" w:rsidRDefault="00000000" w:rsidP="00B11656">
          <w:pPr>
            <w:pStyle w:val="TOC2"/>
            <w:tabs>
              <w:tab w:val="right" w:leader="dot" w:pos="9016"/>
            </w:tabs>
            <w:rPr>
              <w:rFonts w:eastAsiaTheme="minorEastAsia" w:cs="Times New Roman"/>
              <w:noProof/>
              <w:color w:val="auto"/>
              <w:kern w:val="2"/>
              <w:sz w:val="22"/>
              <w:lang w:val="en-GB" w:eastAsia="en-GB"/>
              <w14:ligatures w14:val="standardContextual"/>
            </w:rPr>
          </w:pPr>
          <w:hyperlink w:anchor="_Toc134217391" w:history="1">
            <w:r w:rsidR="00F8420B" w:rsidRPr="00B11656">
              <w:rPr>
                <w:rStyle w:val="Hyperlink"/>
                <w:rFonts w:cs="Times New Roman"/>
                <w:noProof/>
                <w:lang w:val="en-GB"/>
              </w:rPr>
              <w:t>Criminological Theories Underpinning Evidence-Based Policing</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_Toc134217391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4</w:t>
            </w:r>
            <w:r w:rsidR="00F8420B" w:rsidRPr="00B11656">
              <w:rPr>
                <w:rFonts w:cs="Times New Roman"/>
                <w:noProof/>
                <w:webHidden/>
                <w:lang w:val="en-GB"/>
              </w:rPr>
              <w:fldChar w:fldCharType="end"/>
            </w:r>
          </w:hyperlink>
        </w:p>
        <w:p w14:paraId="3573F16C" w14:textId="7CB61FDA" w:rsidR="00F8420B" w:rsidRPr="00B11656" w:rsidRDefault="00000000" w:rsidP="00B11656">
          <w:pPr>
            <w:pStyle w:val="TOC2"/>
            <w:tabs>
              <w:tab w:val="right" w:leader="dot" w:pos="9016"/>
            </w:tabs>
            <w:rPr>
              <w:rFonts w:eastAsiaTheme="minorEastAsia" w:cs="Times New Roman"/>
              <w:noProof/>
              <w:color w:val="auto"/>
              <w:kern w:val="2"/>
              <w:sz w:val="22"/>
              <w:lang w:val="en-GB" w:eastAsia="en-GB"/>
              <w14:ligatures w14:val="standardContextual"/>
            </w:rPr>
          </w:pPr>
          <w:hyperlink w:anchor="_Toc134217392" w:history="1">
            <w:r w:rsidR="00F8420B" w:rsidRPr="00B11656">
              <w:rPr>
                <w:rStyle w:val="Hyperlink"/>
                <w:rFonts w:cs="Times New Roman"/>
                <w:noProof/>
                <w:lang w:val="en-GB"/>
              </w:rPr>
              <w:t>Body-Worn Video Cameras and Their Purpose in Evidence-Based Policing</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_Toc134217392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5</w:t>
            </w:r>
            <w:r w:rsidR="00F8420B" w:rsidRPr="00B11656">
              <w:rPr>
                <w:rFonts w:cs="Times New Roman"/>
                <w:noProof/>
                <w:webHidden/>
                <w:lang w:val="en-GB"/>
              </w:rPr>
              <w:fldChar w:fldCharType="end"/>
            </w:r>
          </w:hyperlink>
        </w:p>
        <w:p w14:paraId="3C0188E3" w14:textId="65436E59" w:rsidR="00F8420B" w:rsidRPr="00B11656" w:rsidRDefault="00000000" w:rsidP="00B11656">
          <w:pPr>
            <w:pStyle w:val="TOC2"/>
            <w:tabs>
              <w:tab w:val="right" w:leader="dot" w:pos="9016"/>
            </w:tabs>
            <w:rPr>
              <w:rFonts w:eastAsiaTheme="minorEastAsia" w:cs="Times New Roman"/>
              <w:noProof/>
              <w:color w:val="auto"/>
              <w:kern w:val="2"/>
              <w:sz w:val="22"/>
              <w:lang w:val="en-GB" w:eastAsia="en-GB"/>
              <w14:ligatures w14:val="standardContextual"/>
            </w:rPr>
          </w:pPr>
          <w:hyperlink w:anchor="_Toc134217393" w:history="1">
            <w:r w:rsidR="00F8420B" w:rsidRPr="00B11656">
              <w:rPr>
                <w:rStyle w:val="Hyperlink"/>
                <w:rFonts w:cs="Times New Roman"/>
                <w:noProof/>
                <w:lang w:val="en-GB"/>
              </w:rPr>
              <w:t>Strengths, Weaknesses, and Ethical Limitations of Body Worn Cameras</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_Toc134217393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6</w:t>
            </w:r>
            <w:r w:rsidR="00F8420B" w:rsidRPr="00B11656">
              <w:rPr>
                <w:rFonts w:cs="Times New Roman"/>
                <w:noProof/>
                <w:webHidden/>
                <w:lang w:val="en-GB"/>
              </w:rPr>
              <w:fldChar w:fldCharType="end"/>
            </w:r>
          </w:hyperlink>
        </w:p>
        <w:p w14:paraId="21ED3F56" w14:textId="621576DB" w:rsidR="00F8420B" w:rsidRPr="00B11656" w:rsidRDefault="00000000" w:rsidP="00B11656">
          <w:pPr>
            <w:pStyle w:val="TOC2"/>
            <w:tabs>
              <w:tab w:val="right" w:leader="dot" w:pos="9016"/>
            </w:tabs>
            <w:rPr>
              <w:rFonts w:eastAsiaTheme="minorEastAsia" w:cs="Times New Roman"/>
              <w:noProof/>
              <w:color w:val="auto"/>
              <w:kern w:val="2"/>
              <w:sz w:val="22"/>
              <w:lang w:val="en-GB" w:eastAsia="en-GB"/>
              <w14:ligatures w14:val="standardContextual"/>
            </w:rPr>
          </w:pPr>
          <w:hyperlink w:anchor="_Toc134217394" w:history="1">
            <w:r w:rsidR="00F8420B" w:rsidRPr="00B11656">
              <w:rPr>
                <w:rStyle w:val="Hyperlink"/>
                <w:rFonts w:cs="Times New Roman"/>
                <w:noProof/>
                <w:lang w:val="en-GB"/>
              </w:rPr>
              <w:t>Evaluating the Use of Body-Worn Camera Evidence in Domestic Violence Cases</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_Toc134217394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7</w:t>
            </w:r>
            <w:r w:rsidR="00F8420B" w:rsidRPr="00B11656">
              <w:rPr>
                <w:rFonts w:cs="Times New Roman"/>
                <w:noProof/>
                <w:webHidden/>
                <w:lang w:val="en-GB"/>
              </w:rPr>
              <w:fldChar w:fldCharType="end"/>
            </w:r>
          </w:hyperlink>
        </w:p>
        <w:p w14:paraId="25A39C09" w14:textId="590B922D" w:rsidR="00F8420B" w:rsidRPr="00B11656" w:rsidRDefault="00000000" w:rsidP="00B11656">
          <w:pPr>
            <w:pStyle w:val="TOC1"/>
            <w:tabs>
              <w:tab w:val="right" w:leader="dot" w:pos="9016"/>
            </w:tabs>
            <w:rPr>
              <w:rFonts w:eastAsiaTheme="minorEastAsia" w:cs="Times New Roman"/>
              <w:noProof/>
              <w:color w:val="auto"/>
              <w:kern w:val="2"/>
              <w:sz w:val="22"/>
              <w:lang w:val="en-GB" w:eastAsia="en-GB"/>
              <w14:ligatures w14:val="standardContextual"/>
            </w:rPr>
          </w:pPr>
          <w:hyperlink w:anchor="_Toc134217395" w:history="1">
            <w:r w:rsidR="00F8420B" w:rsidRPr="00B11656">
              <w:rPr>
                <w:rStyle w:val="Hyperlink"/>
                <w:rFonts w:cs="Times New Roman"/>
                <w:noProof/>
                <w:lang w:val="en-GB"/>
              </w:rPr>
              <w:t>Conclusion</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_Toc134217395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9</w:t>
            </w:r>
            <w:r w:rsidR="00F8420B" w:rsidRPr="00B11656">
              <w:rPr>
                <w:rFonts w:cs="Times New Roman"/>
                <w:noProof/>
                <w:webHidden/>
                <w:lang w:val="en-GB"/>
              </w:rPr>
              <w:fldChar w:fldCharType="end"/>
            </w:r>
          </w:hyperlink>
        </w:p>
        <w:p w14:paraId="10A5DE4A" w14:textId="2FEA8D7F" w:rsidR="00F8420B" w:rsidRPr="00B11656" w:rsidRDefault="00000000" w:rsidP="00B11656">
          <w:pPr>
            <w:pStyle w:val="TOC1"/>
            <w:tabs>
              <w:tab w:val="right" w:leader="dot" w:pos="9016"/>
            </w:tabs>
            <w:rPr>
              <w:rFonts w:eastAsiaTheme="minorEastAsia" w:cs="Times New Roman"/>
              <w:noProof/>
              <w:color w:val="auto"/>
              <w:kern w:val="2"/>
              <w:sz w:val="22"/>
              <w:lang w:val="en-GB" w:eastAsia="en-GB"/>
              <w14:ligatures w14:val="standardContextual"/>
            </w:rPr>
          </w:pPr>
          <w:hyperlink w:anchor="_Toc134217396" w:history="1">
            <w:r w:rsidR="00F8420B" w:rsidRPr="00B11656">
              <w:rPr>
                <w:rStyle w:val="Hyperlink"/>
                <w:rFonts w:cs="Times New Roman"/>
                <w:noProof/>
                <w:lang w:val="en-GB"/>
              </w:rPr>
              <w:t>References</w:t>
            </w:r>
            <w:r w:rsidR="00F8420B" w:rsidRPr="00B11656">
              <w:rPr>
                <w:rFonts w:cs="Times New Roman"/>
                <w:noProof/>
                <w:webHidden/>
                <w:lang w:val="en-GB"/>
              </w:rPr>
              <w:tab/>
            </w:r>
            <w:r w:rsidR="00F8420B" w:rsidRPr="00B11656">
              <w:rPr>
                <w:rFonts w:cs="Times New Roman"/>
                <w:noProof/>
                <w:webHidden/>
                <w:lang w:val="en-GB"/>
              </w:rPr>
              <w:fldChar w:fldCharType="begin"/>
            </w:r>
            <w:r w:rsidR="00F8420B" w:rsidRPr="00B11656">
              <w:rPr>
                <w:rFonts w:cs="Times New Roman"/>
                <w:noProof/>
                <w:webHidden/>
                <w:lang w:val="en-GB"/>
              </w:rPr>
              <w:instrText xml:space="preserve"> PAGEREF _Toc134217396 \h </w:instrText>
            </w:r>
            <w:r w:rsidR="00F8420B" w:rsidRPr="00B11656">
              <w:rPr>
                <w:rFonts w:cs="Times New Roman"/>
                <w:noProof/>
                <w:webHidden/>
                <w:lang w:val="en-GB"/>
              </w:rPr>
            </w:r>
            <w:r w:rsidR="00F8420B" w:rsidRPr="00B11656">
              <w:rPr>
                <w:rFonts w:cs="Times New Roman"/>
                <w:noProof/>
                <w:webHidden/>
                <w:lang w:val="en-GB"/>
              </w:rPr>
              <w:fldChar w:fldCharType="separate"/>
            </w:r>
            <w:r w:rsidR="00F8420B" w:rsidRPr="00B11656">
              <w:rPr>
                <w:rFonts w:cs="Times New Roman"/>
                <w:noProof/>
                <w:webHidden/>
                <w:lang w:val="en-GB"/>
              </w:rPr>
              <w:t>10</w:t>
            </w:r>
            <w:r w:rsidR="00F8420B" w:rsidRPr="00B11656">
              <w:rPr>
                <w:rFonts w:cs="Times New Roman"/>
                <w:noProof/>
                <w:webHidden/>
                <w:lang w:val="en-GB"/>
              </w:rPr>
              <w:fldChar w:fldCharType="end"/>
            </w:r>
          </w:hyperlink>
        </w:p>
        <w:p w14:paraId="6B77F8C6" w14:textId="464D6844" w:rsidR="00412F4E" w:rsidRPr="00B11656" w:rsidRDefault="00412F4E" w:rsidP="00B11656">
          <w:pPr>
            <w:rPr>
              <w:rFonts w:cs="Times New Roman"/>
              <w:noProof/>
              <w:lang w:val="en-GB"/>
            </w:rPr>
          </w:pPr>
          <w:r w:rsidRPr="00B11656">
            <w:rPr>
              <w:rFonts w:cs="Times New Roman"/>
              <w:b/>
              <w:bCs/>
              <w:noProof/>
              <w:lang w:val="en-GB"/>
            </w:rPr>
            <w:fldChar w:fldCharType="end"/>
          </w:r>
        </w:p>
      </w:sdtContent>
    </w:sdt>
    <w:p w14:paraId="4C090993" w14:textId="77777777" w:rsidR="00412F4E" w:rsidRPr="00B11656" w:rsidRDefault="00412F4E" w:rsidP="00B11656">
      <w:pPr>
        <w:rPr>
          <w:rFonts w:cs="Times New Roman"/>
          <w:b/>
          <w:noProof/>
          <w:color w:val="365F91"/>
          <w:sz w:val="32"/>
          <w:lang w:val="en-GB"/>
        </w:rPr>
      </w:pPr>
      <w:r w:rsidRPr="00B11656">
        <w:rPr>
          <w:rFonts w:cs="Times New Roman"/>
          <w:noProof/>
          <w:lang w:val="en-GB"/>
        </w:rPr>
        <w:br w:type="page"/>
      </w:r>
    </w:p>
    <w:p w14:paraId="5F90E3B7" w14:textId="5E3FAE27" w:rsidR="001D39AA" w:rsidRPr="00B11656" w:rsidRDefault="001D39AA" w:rsidP="00B11656">
      <w:pPr>
        <w:pStyle w:val="Heading1"/>
        <w:spacing w:before="240"/>
        <w:rPr>
          <w:rFonts w:cs="Times New Roman"/>
          <w:noProof/>
          <w:lang w:val="en-GB"/>
        </w:rPr>
      </w:pPr>
      <w:bookmarkStart w:id="0" w:name="_Toc134217389"/>
      <w:r w:rsidRPr="00B11656">
        <w:rPr>
          <w:rFonts w:cs="Times New Roman"/>
          <w:noProof/>
          <w:lang w:val="en-GB"/>
        </w:rPr>
        <w:lastRenderedPageBreak/>
        <w:t>Introduction</w:t>
      </w:r>
      <w:bookmarkEnd w:id="0"/>
    </w:p>
    <w:p w14:paraId="70704BC1" w14:textId="00FA09C7" w:rsidR="00D26A30" w:rsidRPr="00B11656" w:rsidRDefault="00D26A30" w:rsidP="00B11656">
      <w:pPr>
        <w:rPr>
          <w:rFonts w:cs="Times New Roman"/>
          <w:noProof/>
          <w:lang w:val="en-GB"/>
        </w:rPr>
      </w:pPr>
      <w:r w:rsidRPr="00B11656">
        <w:rPr>
          <w:rFonts w:cs="Times New Roman"/>
          <w:noProof/>
          <w:lang w:val="en-GB"/>
        </w:rPr>
        <w:t xml:space="preserve">With the enhanced use of technology, the need for new policies and regulations has also increased in relation to maintaining law and order. EPB – Evidence-Based Policing is one similar approach in which law enforcement agencies undertakes a systematic approach to undertake policing operation based on empirical or evidence-based data. As reported by Ariel (2016), the number of police departments wearing body-worn cameras (BWC) in terms of recording the interaction between the public and police officers to ensure higher transparency and accountability is increasing day by day. This report has focused on highlighting a historical view of evidence-based policing, different criminological theories supporting EBP and the function of BWC in connection to this. Along with this, various benefits and demerits and ethical aspects of using BWC in terms of documenting domestic violence will also be addressed. </w:t>
      </w:r>
    </w:p>
    <w:p w14:paraId="3A624AF9" w14:textId="132009A4" w:rsidR="00E7504F" w:rsidRPr="00B11656" w:rsidRDefault="00E7504F" w:rsidP="00B11656">
      <w:pPr>
        <w:rPr>
          <w:rFonts w:cs="Times New Roman"/>
          <w:b/>
          <w:noProof/>
          <w:color w:val="4F81BD"/>
          <w:sz w:val="28"/>
          <w:lang w:val="en-GB"/>
        </w:rPr>
      </w:pPr>
      <w:r w:rsidRPr="00B11656">
        <w:rPr>
          <w:rFonts w:cs="Times New Roman"/>
          <w:noProof/>
          <w:lang w:val="en-GB"/>
        </w:rPr>
        <w:br w:type="page"/>
      </w:r>
    </w:p>
    <w:p w14:paraId="317077AA" w14:textId="157EBE96" w:rsidR="00A83173" w:rsidRPr="00B11656" w:rsidRDefault="00A83173" w:rsidP="00B11656">
      <w:pPr>
        <w:pStyle w:val="Heading2"/>
        <w:rPr>
          <w:rFonts w:cs="Times New Roman"/>
          <w:noProof/>
          <w:lang w:val="en-GB"/>
        </w:rPr>
      </w:pPr>
      <w:bookmarkStart w:id="1" w:name="_Toc134217390"/>
      <w:r w:rsidRPr="00B11656">
        <w:rPr>
          <w:rFonts w:cs="Times New Roman"/>
          <w:noProof/>
          <w:lang w:val="en-GB"/>
        </w:rPr>
        <w:lastRenderedPageBreak/>
        <w:t>Core Ideas of Evidence-Based Policing</w:t>
      </w:r>
      <w:bookmarkEnd w:id="1"/>
      <w:r w:rsidRPr="00B11656">
        <w:rPr>
          <w:rFonts w:cs="Times New Roman"/>
          <w:noProof/>
          <w:lang w:val="en-GB"/>
        </w:rPr>
        <w:t xml:space="preserve"> </w:t>
      </w:r>
    </w:p>
    <w:p w14:paraId="735FB743" w14:textId="4E0084D2" w:rsidR="00CF2403" w:rsidRPr="00B11656" w:rsidRDefault="00D26A30" w:rsidP="00B11656">
      <w:pPr>
        <w:spacing w:before="240"/>
        <w:rPr>
          <w:rFonts w:cs="Times New Roman"/>
          <w:noProof/>
          <w:lang w:val="en-GB"/>
        </w:rPr>
      </w:pPr>
      <w:r w:rsidRPr="00B11656">
        <w:rPr>
          <w:rFonts w:cs="Times New Roman"/>
          <w:noProof/>
          <w:lang w:val="en-GB"/>
        </w:rPr>
        <w:t xml:space="preserve">EBP or evidence-based policies is considerably a new concept in law enforcement in which empirical data is used by police to support policing techniques, strategies and judgement during their operation </w:t>
      </w:r>
      <w:r w:rsidRPr="00B11656">
        <w:rPr>
          <w:rFonts w:cs="Times New Roman"/>
          <w:noProof/>
          <w:lang w:val="en-GB"/>
        </w:rPr>
        <w:t>(Mitchell and Huey, 2018)</w:t>
      </w:r>
      <w:r w:rsidRPr="00B11656">
        <w:rPr>
          <w:rFonts w:cs="Times New Roman"/>
          <w:noProof/>
          <w:lang w:val="en-GB"/>
        </w:rPr>
        <w:t xml:space="preserve">. </w:t>
      </w:r>
      <w:r w:rsidR="00CF2403" w:rsidRPr="00B11656">
        <w:rPr>
          <w:rFonts w:cs="Times New Roman"/>
          <w:noProof/>
          <w:lang w:val="en-GB"/>
        </w:rPr>
        <w:t xml:space="preserve">An essential </w:t>
      </w:r>
      <w:r w:rsidRPr="00B11656">
        <w:rPr>
          <w:rFonts w:cs="Times New Roman"/>
          <w:noProof/>
          <w:lang w:val="en-GB"/>
        </w:rPr>
        <w:t>theory</w:t>
      </w:r>
      <w:r w:rsidR="00CF2403" w:rsidRPr="00B11656">
        <w:rPr>
          <w:rFonts w:cs="Times New Roman"/>
          <w:noProof/>
          <w:lang w:val="en-GB"/>
        </w:rPr>
        <w:t xml:space="preserve"> of EBP is the conviction that the police must always act in accordance with the best available evidence. Various sources, such as police records, surveys, and academic research, may be mined for this data (Mitchell and Huey, 2018). Data analysis may help law enforcement agencies better allocate resources and identify where new problems are arising. Data-driven </w:t>
      </w:r>
      <w:r w:rsidR="008F6E68" w:rsidRPr="00B11656">
        <w:rPr>
          <w:rFonts w:cs="Times New Roman"/>
          <w:noProof/>
          <w:lang w:val="en-GB"/>
        </w:rPr>
        <w:t>decision-making</w:t>
      </w:r>
      <w:r w:rsidR="00CF2403" w:rsidRPr="00B11656">
        <w:rPr>
          <w:rFonts w:cs="Times New Roman"/>
          <w:noProof/>
          <w:lang w:val="en-GB"/>
        </w:rPr>
        <w:t xml:space="preserve"> gives law enforcement agencies a chance to go beyond anecdotal evidence and intuition and create programs with a more targeted, fact-based, and measurable influence on society.</w:t>
      </w:r>
    </w:p>
    <w:p w14:paraId="3A068C23" w14:textId="57979DD2" w:rsidR="00CF2403" w:rsidRPr="00B11656" w:rsidRDefault="00CF2403" w:rsidP="00B11656">
      <w:pPr>
        <w:spacing w:before="240"/>
        <w:rPr>
          <w:rFonts w:cs="Times New Roman"/>
          <w:noProof/>
          <w:lang w:val="en-GB"/>
        </w:rPr>
      </w:pPr>
      <w:r w:rsidRPr="00B11656">
        <w:rPr>
          <w:rFonts w:cs="Times New Roman"/>
          <w:noProof/>
          <w:lang w:val="en-GB"/>
        </w:rPr>
        <w:t xml:space="preserve">The second basic idea of EBP is that police programs and processes should be evaluated systematically to see how effective they are. Methods such as experimental and quasi-experimental studies, as well as systematic reviews of existing research, may be used for this goal. By studying the outcomes of prior efforts, authorities may replicate the ones that have proven successful. </w:t>
      </w:r>
      <w:r w:rsidR="008F6E68" w:rsidRPr="00B11656">
        <w:rPr>
          <w:rFonts w:cs="Times New Roman"/>
          <w:noProof/>
          <w:lang w:val="en-GB"/>
        </w:rPr>
        <w:t>A thorough</w:t>
      </w:r>
      <w:r w:rsidRPr="00B11656">
        <w:rPr>
          <w:rFonts w:cs="Times New Roman"/>
          <w:noProof/>
          <w:lang w:val="en-GB"/>
        </w:rPr>
        <w:t xml:space="preserve"> assessment is necessary for law enforcement organi</w:t>
      </w:r>
      <w:r w:rsidR="004D7CAC" w:rsidRPr="00B11656">
        <w:rPr>
          <w:rFonts w:cs="Times New Roman"/>
          <w:noProof/>
          <w:lang w:val="en-GB"/>
        </w:rPr>
        <w:t>s</w:t>
      </w:r>
      <w:r w:rsidRPr="00B11656">
        <w:rPr>
          <w:rFonts w:cs="Times New Roman"/>
          <w:noProof/>
          <w:lang w:val="en-GB"/>
        </w:rPr>
        <w:t>ations to efficiently allocate resources and concentrate on treatments with the highest potential impact (Sherman, 2015). For the simple reason that it enables for the termination of inefficient projects or tactics while simultaneously aiding in the identification of best practices.</w:t>
      </w:r>
    </w:p>
    <w:p w14:paraId="5A7CCC92" w14:textId="5C3D9A76" w:rsidR="00A83173" w:rsidRPr="00B11656" w:rsidRDefault="00CF2403" w:rsidP="00B11656">
      <w:pPr>
        <w:spacing w:before="240"/>
        <w:rPr>
          <w:rFonts w:cs="Times New Roman"/>
          <w:noProof/>
          <w:lang w:val="en-GB"/>
        </w:rPr>
      </w:pPr>
      <w:r w:rsidRPr="00B11656">
        <w:rPr>
          <w:rFonts w:cs="Times New Roman"/>
          <w:noProof/>
          <w:lang w:val="en-GB"/>
        </w:rPr>
        <w:t>Finally, EBP stands out because of its commitment to lifelong learning. Depending on the findings of investigations and public complaints, law enforcement agencies are always learning and adjusting their practices. Police personnel must be dedicated to continuous learning and development if they are to remain successful and responsive to community demands (Mitchell and Huey, 2018). EBP encourages police departments to make decisions based on empirical data, making the police force more accountable to the public.</w:t>
      </w:r>
    </w:p>
    <w:p w14:paraId="00C0D276" w14:textId="1741D1A2" w:rsidR="00A83173" w:rsidRPr="00B11656" w:rsidRDefault="00A83173" w:rsidP="00B11656">
      <w:pPr>
        <w:pStyle w:val="Heading2"/>
        <w:rPr>
          <w:rFonts w:cs="Times New Roman"/>
          <w:noProof/>
          <w:lang w:val="en-GB"/>
        </w:rPr>
      </w:pPr>
      <w:bookmarkStart w:id="2" w:name="_Toc134217391"/>
      <w:r w:rsidRPr="00B11656">
        <w:rPr>
          <w:rFonts w:cs="Times New Roman"/>
          <w:noProof/>
          <w:lang w:val="en-GB"/>
        </w:rPr>
        <w:t>Criminological Theories Underpinning Evidence-Based Policing</w:t>
      </w:r>
      <w:bookmarkEnd w:id="2"/>
    </w:p>
    <w:p w14:paraId="5E98E871" w14:textId="5FB6AE25" w:rsidR="00962A3E" w:rsidRPr="00B11656" w:rsidRDefault="00962A3E" w:rsidP="00B11656">
      <w:pPr>
        <w:spacing w:before="240"/>
        <w:rPr>
          <w:rFonts w:cs="Times New Roman"/>
          <w:noProof/>
          <w:lang w:val="en-GB"/>
        </w:rPr>
      </w:pPr>
      <w:r w:rsidRPr="00B11656">
        <w:rPr>
          <w:rFonts w:cs="Times New Roman"/>
          <w:noProof/>
          <w:lang w:val="en-GB"/>
        </w:rPr>
        <w:t xml:space="preserve">Evidence-based policing (EBP) incorporates several criminological ideas </w:t>
      </w:r>
      <w:r w:rsidR="008F6E68" w:rsidRPr="00B11656">
        <w:rPr>
          <w:rFonts w:cs="Times New Roman"/>
          <w:noProof/>
          <w:lang w:val="en-GB"/>
        </w:rPr>
        <w:t>to</w:t>
      </w:r>
      <w:r w:rsidRPr="00B11656">
        <w:rPr>
          <w:rFonts w:cs="Times New Roman"/>
          <w:noProof/>
          <w:lang w:val="en-GB"/>
        </w:rPr>
        <w:t xml:space="preserve"> address the root causes of criminal </w:t>
      </w:r>
      <w:r w:rsidR="008F6E68" w:rsidRPr="00B11656">
        <w:rPr>
          <w:rFonts w:cs="Times New Roman"/>
          <w:noProof/>
          <w:lang w:val="en-GB"/>
        </w:rPr>
        <w:t>behaviour</w:t>
      </w:r>
      <w:r w:rsidRPr="00B11656">
        <w:rPr>
          <w:rFonts w:cs="Times New Roman"/>
          <w:noProof/>
          <w:lang w:val="en-GB"/>
        </w:rPr>
        <w:t>.</w:t>
      </w:r>
    </w:p>
    <w:p w14:paraId="2B1A1B6B" w14:textId="7E697A37" w:rsidR="00962A3E" w:rsidRPr="00B11656" w:rsidRDefault="00962A3E" w:rsidP="00B11656">
      <w:pPr>
        <w:spacing w:before="240"/>
        <w:rPr>
          <w:rFonts w:cs="Times New Roman"/>
          <w:noProof/>
          <w:lang w:val="en-GB"/>
        </w:rPr>
      </w:pPr>
      <w:r w:rsidRPr="00B11656">
        <w:rPr>
          <w:rFonts w:cs="Times New Roman"/>
          <w:noProof/>
          <w:lang w:val="en-GB"/>
        </w:rPr>
        <w:t>The rational choice theory</w:t>
      </w:r>
      <w:r w:rsidR="008F6E68" w:rsidRPr="00B11656">
        <w:rPr>
          <w:rFonts w:cs="Times New Roman"/>
          <w:noProof/>
          <w:lang w:val="en-GB"/>
        </w:rPr>
        <w:t xml:space="preserve"> </w:t>
      </w:r>
      <w:r w:rsidRPr="00B11656">
        <w:rPr>
          <w:rFonts w:cs="Times New Roman"/>
          <w:noProof/>
          <w:lang w:val="en-GB"/>
        </w:rPr>
        <w:t xml:space="preserve">states that before taking any action, even breaking the law, people consider the pros and cons (Paternoster and Pogarsky, 2019). This indicates that law enforcement may reduce criminal activity from an EBP standpoint by making </w:t>
      </w:r>
      <w:r w:rsidR="008F6E68" w:rsidRPr="00B11656">
        <w:rPr>
          <w:rFonts w:cs="Times New Roman"/>
          <w:noProof/>
          <w:lang w:val="en-GB"/>
        </w:rPr>
        <w:t xml:space="preserve">the </w:t>
      </w:r>
      <w:r w:rsidRPr="00B11656">
        <w:rPr>
          <w:rFonts w:cs="Times New Roman"/>
          <w:noProof/>
          <w:lang w:val="en-GB"/>
        </w:rPr>
        <w:t xml:space="preserve">illicit activity </w:t>
      </w:r>
      <w:r w:rsidRPr="00B11656">
        <w:rPr>
          <w:rFonts w:cs="Times New Roman"/>
          <w:noProof/>
          <w:lang w:val="en-GB"/>
        </w:rPr>
        <w:lastRenderedPageBreak/>
        <w:t>less appealing and more difficult to participate in. By increasing the likelihood of being caught, targeted patrols in high-crime areas may deter would-be criminals. EBP seeks to reduce crime by making the dangers associated with illegal action less alluring than the possible advantages by evaluating and influencing the decision-making process of would-be criminals.</w:t>
      </w:r>
    </w:p>
    <w:p w14:paraId="239AAA4B" w14:textId="65797259" w:rsidR="00962A3E" w:rsidRPr="00B11656" w:rsidRDefault="00962A3E" w:rsidP="00B11656">
      <w:pPr>
        <w:spacing w:before="240"/>
        <w:rPr>
          <w:rFonts w:cs="Times New Roman"/>
          <w:noProof/>
          <w:lang w:val="en-GB"/>
        </w:rPr>
      </w:pPr>
      <w:r w:rsidRPr="00B11656">
        <w:rPr>
          <w:rFonts w:cs="Times New Roman"/>
          <w:noProof/>
          <w:lang w:val="en-GB"/>
        </w:rPr>
        <w:t>Criminals will be less likely to commit crimes if they know there will be repercussions for their conduct, according to the principle of deterrence</w:t>
      </w:r>
      <w:r w:rsidR="00BE53BA" w:rsidRPr="00B11656">
        <w:rPr>
          <w:rFonts w:cs="Times New Roman"/>
          <w:noProof/>
          <w:lang w:val="en-GB"/>
        </w:rPr>
        <w:t xml:space="preserve"> (Tomlinson, 2016)</w:t>
      </w:r>
      <w:r w:rsidRPr="00B11656">
        <w:rPr>
          <w:rFonts w:cs="Times New Roman"/>
          <w:noProof/>
          <w:lang w:val="en-GB"/>
        </w:rPr>
        <w:t xml:space="preserve">. Evidence-based practice (EBP) implements this idea by giving priority to treatments that make punishments more regular, fast, and severe for specific </w:t>
      </w:r>
      <w:r w:rsidR="008F6E68" w:rsidRPr="00B11656">
        <w:rPr>
          <w:rFonts w:cs="Times New Roman"/>
          <w:noProof/>
          <w:lang w:val="en-GB"/>
        </w:rPr>
        <w:t>offences</w:t>
      </w:r>
      <w:r w:rsidRPr="00B11656">
        <w:rPr>
          <w:rFonts w:cs="Times New Roman"/>
          <w:noProof/>
          <w:lang w:val="en-GB"/>
        </w:rPr>
        <w:t xml:space="preserve">. To this end, "hot-spot policing," in which police pay special attention to regions with high crime rates, and "focused deterrence," in which officers engage in dialogue with community members and social service providers to address the root reasons </w:t>
      </w:r>
      <w:r w:rsidR="008F6E68" w:rsidRPr="00B11656">
        <w:rPr>
          <w:rFonts w:cs="Times New Roman"/>
          <w:noProof/>
          <w:lang w:val="en-GB"/>
        </w:rPr>
        <w:t>for</w:t>
      </w:r>
      <w:r w:rsidRPr="00B11656">
        <w:rPr>
          <w:rFonts w:cs="Times New Roman"/>
          <w:noProof/>
          <w:lang w:val="en-GB"/>
        </w:rPr>
        <w:t xml:space="preserve"> criminal </w:t>
      </w:r>
      <w:r w:rsidR="00393162" w:rsidRPr="00B11656">
        <w:rPr>
          <w:rFonts w:cs="Times New Roman"/>
          <w:noProof/>
          <w:lang w:val="en-GB"/>
        </w:rPr>
        <w:t>behaviour</w:t>
      </w:r>
      <w:r w:rsidRPr="00B11656">
        <w:rPr>
          <w:rFonts w:cs="Times New Roman"/>
          <w:noProof/>
          <w:lang w:val="en-GB"/>
        </w:rPr>
        <w:t>, may be useful. EBP aims to reduce criminal behaviour by boosting the probabilities of and harshness of punishments.</w:t>
      </w:r>
    </w:p>
    <w:p w14:paraId="337FC8A6" w14:textId="6C9272DA" w:rsidR="00A83173" w:rsidRPr="00B11656" w:rsidRDefault="00D31A98" w:rsidP="00B11656">
      <w:pPr>
        <w:spacing w:before="240"/>
        <w:rPr>
          <w:rFonts w:cs="Times New Roman"/>
          <w:noProof/>
          <w:lang w:val="en-GB"/>
        </w:rPr>
      </w:pPr>
      <w:r w:rsidRPr="00B11656">
        <w:rPr>
          <w:rFonts w:cs="Times New Roman"/>
          <w:noProof/>
          <w:lang w:val="en-GB"/>
        </w:rPr>
        <w:t>The purpose of problem-oriented policing is to investigate and treat the root problems that lead to an increase in criminal activity and social unrest. E</w:t>
      </w:r>
      <w:r w:rsidR="00962A3E" w:rsidRPr="00B11656">
        <w:rPr>
          <w:rFonts w:cs="Times New Roman"/>
          <w:noProof/>
          <w:lang w:val="en-GB"/>
        </w:rPr>
        <w:t>vidence-based practice (EBP) bolsters this hypothesis by using data-driven ways to identify issues and deliver individualized treatments</w:t>
      </w:r>
      <w:r w:rsidRPr="00B11656">
        <w:rPr>
          <w:rFonts w:cs="Times New Roman"/>
          <w:noProof/>
          <w:lang w:val="en-GB"/>
        </w:rPr>
        <w:t xml:space="preserve"> (Braga and Weisburd, 2016)</w:t>
      </w:r>
      <w:r w:rsidR="00962A3E" w:rsidRPr="00B11656">
        <w:rPr>
          <w:rFonts w:cs="Times New Roman"/>
          <w:noProof/>
          <w:lang w:val="en-GB"/>
        </w:rPr>
        <w:t xml:space="preserve">. </w:t>
      </w:r>
      <w:r w:rsidR="00393162" w:rsidRPr="00B11656">
        <w:rPr>
          <w:rFonts w:cs="Times New Roman"/>
          <w:noProof/>
          <w:lang w:val="en-GB"/>
        </w:rPr>
        <w:t>To</w:t>
      </w:r>
      <w:r w:rsidR="00962A3E" w:rsidRPr="00B11656">
        <w:rPr>
          <w:rFonts w:cs="Times New Roman"/>
          <w:noProof/>
          <w:lang w:val="en-GB"/>
        </w:rPr>
        <w:t xml:space="preserve"> combat drug abuse, mental illness, and extreme poverty, police departments may partner with community groups. Identifying and addressing the reasons </w:t>
      </w:r>
      <w:r w:rsidR="00393162" w:rsidRPr="00B11656">
        <w:rPr>
          <w:rFonts w:cs="Times New Roman"/>
          <w:noProof/>
          <w:lang w:val="en-GB"/>
        </w:rPr>
        <w:t>for</w:t>
      </w:r>
      <w:r w:rsidR="00962A3E" w:rsidRPr="00B11656">
        <w:rPr>
          <w:rFonts w:cs="Times New Roman"/>
          <w:noProof/>
          <w:lang w:val="en-GB"/>
        </w:rPr>
        <w:t xml:space="preserve"> criminal </w:t>
      </w:r>
      <w:r w:rsidR="00450B64" w:rsidRPr="00B11656">
        <w:rPr>
          <w:rFonts w:cs="Times New Roman"/>
          <w:noProof/>
          <w:lang w:val="en-GB"/>
        </w:rPr>
        <w:t>behaviour</w:t>
      </w:r>
      <w:r w:rsidR="00962A3E" w:rsidRPr="00B11656">
        <w:rPr>
          <w:rFonts w:cs="Times New Roman"/>
          <w:noProof/>
          <w:lang w:val="en-GB"/>
        </w:rPr>
        <w:t xml:space="preserve"> may help decrease crime and boost community safety.</w:t>
      </w:r>
    </w:p>
    <w:p w14:paraId="154FD4E1" w14:textId="666BC445" w:rsidR="00EB23A8" w:rsidRPr="00B11656" w:rsidRDefault="00393162" w:rsidP="00B11656">
      <w:pPr>
        <w:pStyle w:val="Heading2"/>
        <w:rPr>
          <w:rFonts w:cs="Times New Roman"/>
          <w:noProof/>
          <w:lang w:val="en-GB"/>
        </w:rPr>
      </w:pPr>
      <w:bookmarkStart w:id="3" w:name="_Toc134217392"/>
      <w:r w:rsidRPr="00B11656">
        <w:rPr>
          <w:rFonts w:cs="Times New Roman"/>
          <w:noProof/>
          <w:lang w:val="en-GB"/>
        </w:rPr>
        <w:t>Body-Worn</w:t>
      </w:r>
      <w:r w:rsidR="00EB23A8" w:rsidRPr="00B11656">
        <w:rPr>
          <w:rFonts w:cs="Times New Roman"/>
          <w:noProof/>
          <w:lang w:val="en-GB"/>
        </w:rPr>
        <w:t xml:space="preserve"> Video Cameras and Their Purpose in Evidence-Based Policing</w:t>
      </w:r>
      <w:bookmarkEnd w:id="3"/>
      <w:r w:rsidR="00EB23A8" w:rsidRPr="00B11656">
        <w:rPr>
          <w:rFonts w:cs="Times New Roman"/>
          <w:noProof/>
          <w:lang w:val="en-GB"/>
        </w:rPr>
        <w:t xml:space="preserve"> </w:t>
      </w:r>
    </w:p>
    <w:p w14:paraId="23ADBCFF" w14:textId="7F0A862B" w:rsidR="007709AB" w:rsidRPr="00B11656" w:rsidRDefault="007709AB" w:rsidP="00B11656">
      <w:pPr>
        <w:spacing w:before="240"/>
        <w:rPr>
          <w:rFonts w:cs="Times New Roman"/>
          <w:noProof/>
          <w:lang w:val="en-GB"/>
        </w:rPr>
      </w:pPr>
      <w:r w:rsidRPr="00B11656">
        <w:rPr>
          <w:rFonts w:cs="Times New Roman"/>
          <w:noProof/>
          <w:lang w:val="en-GB"/>
        </w:rPr>
        <w:t xml:space="preserve">Miniature video recorders that may be worn on the body, known as </w:t>
      </w:r>
      <w:r w:rsidR="00393162" w:rsidRPr="00B11656">
        <w:rPr>
          <w:rFonts w:cs="Times New Roman"/>
          <w:noProof/>
          <w:lang w:val="en-GB"/>
        </w:rPr>
        <w:t>body-worn</w:t>
      </w:r>
      <w:r w:rsidRPr="00B11656">
        <w:rPr>
          <w:rFonts w:cs="Times New Roman"/>
          <w:noProof/>
          <w:lang w:val="en-GB"/>
        </w:rPr>
        <w:t xml:space="preserve"> cameras (BWCs), have quickly become an indispensable accessory for today's police forces. If employed effectively, cameras with the capacity to capture both sound and video could give an objective account of encounters between police officers and members of the public (Sherman et al., 2023). </w:t>
      </w:r>
    </w:p>
    <w:p w14:paraId="5B383C55" w14:textId="77777777" w:rsidR="007709AB" w:rsidRPr="00B11656" w:rsidRDefault="007709AB" w:rsidP="00B11656">
      <w:pPr>
        <w:spacing w:before="240"/>
        <w:rPr>
          <w:rFonts w:cs="Times New Roman"/>
          <w:noProof/>
          <w:lang w:val="en-GB"/>
        </w:rPr>
      </w:pPr>
      <w:r w:rsidRPr="00B11656">
        <w:rPr>
          <w:rFonts w:cs="Times New Roman"/>
          <w:noProof/>
          <w:lang w:val="en-GB"/>
        </w:rPr>
        <w:t>Evidence-based policing makes use of body-worn cameras (BWCs) to increase officer transparency and responsibility. By providing a realistic image of police-citizen interactions and encouraging staff to adhere to established rules, BWCs increase public confidence in law enforcement, as stated by Nawaz and Tankebe (2018). BWCs may boost public trust in the legal system because they provide an impartial record of incidents for which both police and people may be held liable.</w:t>
      </w:r>
    </w:p>
    <w:p w14:paraId="176F5D7A" w14:textId="75DC50D4" w:rsidR="007709AB" w:rsidRPr="00B11656" w:rsidRDefault="007709AB" w:rsidP="00B11656">
      <w:pPr>
        <w:spacing w:before="240"/>
        <w:rPr>
          <w:rFonts w:cs="Times New Roman"/>
          <w:noProof/>
          <w:lang w:val="en-GB"/>
        </w:rPr>
      </w:pPr>
      <w:r w:rsidRPr="00B11656">
        <w:rPr>
          <w:rFonts w:cs="Times New Roman"/>
          <w:noProof/>
          <w:lang w:val="en-GB"/>
        </w:rPr>
        <w:lastRenderedPageBreak/>
        <w:t xml:space="preserve">BWCs have an important place in evidence-based practice (EBP) in addition to </w:t>
      </w:r>
      <w:r w:rsidR="00393162" w:rsidRPr="00B11656">
        <w:rPr>
          <w:rFonts w:cs="Times New Roman"/>
          <w:noProof/>
          <w:lang w:val="en-GB"/>
        </w:rPr>
        <w:t>their</w:t>
      </w:r>
      <w:r w:rsidRPr="00B11656">
        <w:rPr>
          <w:rFonts w:cs="Times New Roman"/>
          <w:noProof/>
          <w:lang w:val="en-GB"/>
        </w:rPr>
        <w:t xml:space="preserve"> application in criminal prosecutions and investigations. The devices' ability to record unbiased video increases the likelihood that this evidence will be admissible in court (Sherman et al., 202</w:t>
      </w:r>
      <w:r w:rsidR="005F206E" w:rsidRPr="00B11656">
        <w:rPr>
          <w:rFonts w:cs="Times New Roman"/>
          <w:noProof/>
          <w:lang w:val="en-GB"/>
        </w:rPr>
        <w:t>3</w:t>
      </w:r>
      <w:r w:rsidRPr="00B11656">
        <w:rPr>
          <w:rFonts w:cs="Times New Roman"/>
          <w:noProof/>
          <w:lang w:val="en-GB"/>
        </w:rPr>
        <w:t>). When witness evidence is unclear or contradictory, having access to BWC film may allow for a more objective assessment of what occurred. A more impartial criminal justice system may be possible with the help of trustworthy evidence supplied by BWCs.</w:t>
      </w:r>
    </w:p>
    <w:p w14:paraId="2661C792" w14:textId="77777777" w:rsidR="007709AB" w:rsidRPr="00B11656" w:rsidRDefault="007709AB" w:rsidP="00B11656">
      <w:pPr>
        <w:spacing w:before="240"/>
        <w:rPr>
          <w:rFonts w:cs="Times New Roman"/>
          <w:noProof/>
          <w:lang w:val="en-GB"/>
        </w:rPr>
      </w:pPr>
      <w:r w:rsidRPr="00B11656">
        <w:rPr>
          <w:rFonts w:cs="Times New Roman"/>
          <w:noProof/>
          <w:lang w:val="en-GB"/>
        </w:rPr>
        <w:t>When BWCs are present, confrontations between police and the public are less likely to escalate into violence. The public and the police may both be more self-aware and less likely to act improperly in the face of these cameras. As a consequence, police would be able to use less force and brutality, and more people would feel comfortable coming forward with complaints. People may be more respectful of one another and open to working together if they know their conversations are being recorded.</w:t>
      </w:r>
    </w:p>
    <w:p w14:paraId="5E7E3C18" w14:textId="432B6A4E" w:rsidR="00EB23A8" w:rsidRPr="00B11656" w:rsidRDefault="007709AB" w:rsidP="00B11656">
      <w:pPr>
        <w:spacing w:before="240"/>
        <w:rPr>
          <w:rFonts w:cs="Times New Roman"/>
          <w:noProof/>
          <w:lang w:val="en-GB"/>
        </w:rPr>
      </w:pPr>
      <w:r w:rsidRPr="00B11656">
        <w:rPr>
          <w:rFonts w:cs="Times New Roman"/>
          <w:noProof/>
          <w:lang w:val="en-GB"/>
        </w:rPr>
        <w:t xml:space="preserve">Finally, BWCs are a fantastic resource for training and assessing police performance in evidence-based policing. Police forces may use these recordings for training purposes and to spot problem areas. Opportunities for officers to put their training and knowledge to the test in realistic settings may increase their efficiency on the job. Police departments may benefit from continuous improvement and evidence-based </w:t>
      </w:r>
      <w:r w:rsidR="00393162" w:rsidRPr="00B11656">
        <w:rPr>
          <w:rFonts w:cs="Times New Roman"/>
          <w:noProof/>
          <w:lang w:val="en-GB"/>
        </w:rPr>
        <w:t>decision-making</w:t>
      </w:r>
      <w:r w:rsidRPr="00B11656">
        <w:rPr>
          <w:rFonts w:cs="Times New Roman"/>
          <w:noProof/>
          <w:lang w:val="en-GB"/>
        </w:rPr>
        <w:t xml:space="preserve"> when they utilize BWC </w:t>
      </w:r>
      <w:r w:rsidR="00450B64" w:rsidRPr="00B11656">
        <w:rPr>
          <w:rFonts w:cs="Times New Roman"/>
          <w:noProof/>
          <w:lang w:val="en-GB"/>
        </w:rPr>
        <w:t>films</w:t>
      </w:r>
      <w:r w:rsidRPr="00B11656">
        <w:rPr>
          <w:rFonts w:cs="Times New Roman"/>
          <w:noProof/>
          <w:lang w:val="en-GB"/>
        </w:rPr>
        <w:t xml:space="preserve"> to evaluate the efficacy of their methods and initiatives (Drover and Ariel, 2015).</w:t>
      </w:r>
    </w:p>
    <w:p w14:paraId="2BD43D23" w14:textId="53E66C4F" w:rsidR="00EB23A8" w:rsidRPr="00B11656" w:rsidRDefault="00EB23A8" w:rsidP="00B11656">
      <w:pPr>
        <w:pStyle w:val="Heading2"/>
        <w:rPr>
          <w:rFonts w:cs="Times New Roman"/>
          <w:noProof/>
          <w:lang w:val="en-GB"/>
        </w:rPr>
      </w:pPr>
      <w:bookmarkStart w:id="4" w:name="_Toc134217393"/>
      <w:r w:rsidRPr="00B11656">
        <w:rPr>
          <w:rFonts w:cs="Times New Roman"/>
          <w:noProof/>
          <w:lang w:val="en-GB"/>
        </w:rPr>
        <w:t>Strengths, Weaknesses, and Ethical Limitations of Body Worn Cameras</w:t>
      </w:r>
      <w:bookmarkEnd w:id="4"/>
      <w:r w:rsidRPr="00B11656">
        <w:rPr>
          <w:rFonts w:cs="Times New Roman"/>
          <w:noProof/>
          <w:lang w:val="en-GB"/>
        </w:rPr>
        <w:t xml:space="preserve"> </w:t>
      </w:r>
    </w:p>
    <w:p w14:paraId="62FDCCCA" w14:textId="15A889E1" w:rsidR="006D7D08" w:rsidRPr="00B11656" w:rsidRDefault="006D7D08" w:rsidP="00B11656">
      <w:pPr>
        <w:spacing w:before="240"/>
        <w:rPr>
          <w:rFonts w:cs="Times New Roman"/>
          <w:noProof/>
          <w:lang w:val="en-GB"/>
        </w:rPr>
      </w:pPr>
      <w:r w:rsidRPr="00B11656">
        <w:rPr>
          <w:rFonts w:cs="Times New Roman"/>
          <w:noProof/>
          <w:lang w:val="en-GB"/>
        </w:rPr>
        <w:t xml:space="preserve">Body-worn cameras (BWCs) have </w:t>
      </w:r>
      <w:r w:rsidR="00393162" w:rsidRPr="00B11656">
        <w:rPr>
          <w:rFonts w:cs="Times New Roman"/>
          <w:noProof/>
          <w:lang w:val="en-GB"/>
        </w:rPr>
        <w:t>become</w:t>
      </w:r>
      <w:r w:rsidRPr="00B11656">
        <w:rPr>
          <w:rFonts w:cs="Times New Roman"/>
          <w:noProof/>
          <w:lang w:val="en-GB"/>
        </w:rPr>
        <w:t xml:space="preserve"> increasingly popular among police enforcement agencies due to </w:t>
      </w:r>
      <w:r w:rsidR="00393162" w:rsidRPr="00B11656">
        <w:rPr>
          <w:rFonts w:cs="Times New Roman"/>
          <w:noProof/>
          <w:lang w:val="en-GB"/>
        </w:rPr>
        <w:t>their</w:t>
      </w:r>
      <w:r w:rsidRPr="00B11656">
        <w:rPr>
          <w:rFonts w:cs="Times New Roman"/>
          <w:noProof/>
          <w:lang w:val="en-GB"/>
        </w:rPr>
        <w:t xml:space="preserve"> accountability, transparency, and evidence-gathering benefits (Richardson, 2023). Due to </w:t>
      </w:r>
      <w:r w:rsidR="00E833A0" w:rsidRPr="00B11656">
        <w:rPr>
          <w:rFonts w:cs="Times New Roman"/>
          <w:noProof/>
          <w:lang w:val="en-GB"/>
        </w:rPr>
        <w:t>their</w:t>
      </w:r>
      <w:r w:rsidRPr="00B11656">
        <w:rPr>
          <w:rFonts w:cs="Times New Roman"/>
          <w:noProof/>
          <w:lang w:val="en-GB"/>
        </w:rPr>
        <w:t xml:space="preserve"> ethics and weaknesses, BWCs are difficult to execute. </w:t>
      </w:r>
    </w:p>
    <w:p w14:paraId="3DA65419" w14:textId="65581A82" w:rsidR="006D7D08" w:rsidRPr="00B11656" w:rsidRDefault="006D7D08" w:rsidP="00B11656">
      <w:pPr>
        <w:spacing w:before="240"/>
        <w:rPr>
          <w:rFonts w:cs="Times New Roman"/>
          <w:noProof/>
          <w:lang w:val="en-GB"/>
        </w:rPr>
      </w:pPr>
      <w:r w:rsidRPr="00B11656">
        <w:rPr>
          <w:rFonts w:cs="Times New Roman"/>
          <w:noProof/>
          <w:lang w:val="en-GB"/>
        </w:rPr>
        <w:t xml:space="preserve">BWCs boost police transparency and accountability. BWCs record police-citizen interactions objectively, boosting public trust in law enforcement and encouraging officers to follow </w:t>
      </w:r>
      <w:r w:rsidR="00E833A0" w:rsidRPr="00B11656">
        <w:rPr>
          <w:rFonts w:cs="Times New Roman"/>
          <w:noProof/>
          <w:lang w:val="en-GB"/>
        </w:rPr>
        <w:t>procedures</w:t>
      </w:r>
      <w:r w:rsidRPr="00B11656">
        <w:rPr>
          <w:rFonts w:cs="Times New Roman"/>
          <w:noProof/>
          <w:lang w:val="en-GB"/>
        </w:rPr>
        <w:t xml:space="preserve"> (Miranda, 2022). Police-community interactions may improve with increased transparency.</w:t>
      </w:r>
    </w:p>
    <w:p w14:paraId="30F52072" w14:textId="7A89AD6B" w:rsidR="006D7D08" w:rsidRPr="00B11656" w:rsidRDefault="006D7D08" w:rsidP="00B11656">
      <w:pPr>
        <w:spacing w:before="240"/>
        <w:rPr>
          <w:rFonts w:cs="Times New Roman"/>
          <w:noProof/>
          <w:lang w:val="en-GB"/>
        </w:rPr>
      </w:pPr>
      <w:r w:rsidRPr="00B11656">
        <w:rPr>
          <w:rFonts w:cs="Times New Roman"/>
          <w:noProof/>
          <w:lang w:val="en-GB"/>
        </w:rPr>
        <w:t xml:space="preserve">BWCs help improve evidence collection. These devices' objective audio and video </w:t>
      </w:r>
      <w:r w:rsidR="00E833A0" w:rsidRPr="00B11656">
        <w:rPr>
          <w:rFonts w:cs="Times New Roman"/>
          <w:noProof/>
          <w:lang w:val="en-GB"/>
        </w:rPr>
        <w:t>recordings</w:t>
      </w:r>
      <w:r w:rsidRPr="00B11656">
        <w:rPr>
          <w:rFonts w:cs="Times New Roman"/>
          <w:noProof/>
          <w:lang w:val="en-GB"/>
        </w:rPr>
        <w:t xml:space="preserve"> may strengthen legal evidence. Better evidence collection and prosecutions may help victims and their families </w:t>
      </w:r>
      <w:r w:rsidR="00E833A0" w:rsidRPr="00B11656">
        <w:rPr>
          <w:rFonts w:cs="Times New Roman"/>
          <w:noProof/>
          <w:lang w:val="en-GB"/>
        </w:rPr>
        <w:t>since</w:t>
      </w:r>
      <w:r w:rsidRPr="00B11656">
        <w:rPr>
          <w:rFonts w:cs="Times New Roman"/>
          <w:noProof/>
          <w:lang w:val="en-GB"/>
        </w:rPr>
        <w:t xml:space="preserve"> justice.</w:t>
      </w:r>
    </w:p>
    <w:p w14:paraId="46EA7554" w14:textId="4906CAEE" w:rsidR="006D7D08" w:rsidRPr="00B11656" w:rsidRDefault="006D7D08" w:rsidP="00B11656">
      <w:pPr>
        <w:spacing w:before="240"/>
        <w:rPr>
          <w:rFonts w:cs="Times New Roman"/>
          <w:noProof/>
          <w:lang w:val="en-GB"/>
        </w:rPr>
      </w:pPr>
      <w:r w:rsidRPr="00B11656">
        <w:rPr>
          <w:rFonts w:cs="Times New Roman"/>
          <w:noProof/>
          <w:lang w:val="en-GB"/>
        </w:rPr>
        <w:lastRenderedPageBreak/>
        <w:t xml:space="preserve">BWCs reduce tensions and deter violence. Police and bystanders may behave better with these cameras watching. This may reduce police brutality, citizen complaints, and </w:t>
      </w:r>
      <w:r w:rsidR="00E833A0" w:rsidRPr="00B11656">
        <w:rPr>
          <w:rFonts w:cs="Times New Roman"/>
          <w:noProof/>
          <w:lang w:val="en-GB"/>
        </w:rPr>
        <w:t xml:space="preserve">the </w:t>
      </w:r>
      <w:r w:rsidRPr="00B11656">
        <w:rPr>
          <w:rFonts w:cs="Times New Roman"/>
          <w:noProof/>
          <w:lang w:val="en-GB"/>
        </w:rPr>
        <w:t>use of force (Saulnier et al., 2022).</w:t>
      </w:r>
    </w:p>
    <w:p w14:paraId="2BA3EF09" w14:textId="77777777" w:rsidR="006D7D08" w:rsidRPr="00B11656" w:rsidRDefault="006D7D08" w:rsidP="00B11656">
      <w:pPr>
        <w:spacing w:before="240"/>
        <w:rPr>
          <w:rFonts w:cs="Times New Roman"/>
          <w:noProof/>
          <w:lang w:val="en-GB"/>
        </w:rPr>
      </w:pPr>
      <w:r w:rsidRPr="00B11656">
        <w:rPr>
          <w:rFonts w:cs="Times New Roman"/>
          <w:noProof/>
          <w:lang w:val="en-GB"/>
        </w:rPr>
        <w:t>Finally, BWCs aid training and assessment. Police may review footage to improve training. This might improve police operations and future contacts.</w:t>
      </w:r>
    </w:p>
    <w:p w14:paraId="4B15E5BD" w14:textId="05A24D65" w:rsidR="006D7D08" w:rsidRPr="00B11656" w:rsidRDefault="006D7D08" w:rsidP="00B11656">
      <w:pPr>
        <w:spacing w:before="240"/>
        <w:rPr>
          <w:rFonts w:cs="Times New Roman"/>
          <w:noProof/>
          <w:lang w:val="en-GB"/>
        </w:rPr>
      </w:pPr>
      <w:r w:rsidRPr="00B11656">
        <w:rPr>
          <w:rFonts w:cs="Times New Roman"/>
          <w:noProof/>
          <w:lang w:val="en-GB"/>
        </w:rPr>
        <w:t>BWCs have pros and cons. Technical difficulties like faulty devices or low batteries might compromise evidence collection. BWCs' video may also be prejudiced since it does</w:t>
      </w:r>
      <w:r w:rsidR="00AB55D9" w:rsidRPr="00B11656">
        <w:rPr>
          <w:rFonts w:cs="Times New Roman"/>
          <w:noProof/>
          <w:lang w:val="en-GB"/>
        </w:rPr>
        <w:t xml:space="preserve"> not</w:t>
      </w:r>
      <w:r w:rsidRPr="00B11656">
        <w:rPr>
          <w:rFonts w:cs="Times New Roman"/>
          <w:noProof/>
          <w:lang w:val="en-GB"/>
        </w:rPr>
        <w:t xml:space="preserve"> provide all important event facts or opinions.</w:t>
      </w:r>
    </w:p>
    <w:p w14:paraId="02DCAC5D" w14:textId="675626A1" w:rsidR="007D59AA" w:rsidRPr="00B11656" w:rsidRDefault="007D59AA" w:rsidP="00B11656">
      <w:pPr>
        <w:spacing w:before="240"/>
        <w:rPr>
          <w:rFonts w:cs="Times New Roman"/>
          <w:noProof/>
          <w:lang w:val="en-GB"/>
        </w:rPr>
      </w:pPr>
      <w:r w:rsidRPr="00B11656">
        <w:rPr>
          <w:rFonts w:cs="Times New Roman"/>
          <w:noProof/>
          <w:lang w:val="en-GB"/>
        </w:rPr>
        <w:t>The high initial and ongoing costs of BWCs provide a potential financial and resource challenge for law enforcement organi</w:t>
      </w:r>
      <w:r w:rsidR="004D7CAC" w:rsidRPr="00B11656">
        <w:rPr>
          <w:rFonts w:cs="Times New Roman"/>
          <w:noProof/>
          <w:lang w:val="en-GB"/>
        </w:rPr>
        <w:t>s</w:t>
      </w:r>
      <w:r w:rsidRPr="00B11656">
        <w:rPr>
          <w:rFonts w:cs="Times New Roman"/>
          <w:noProof/>
          <w:lang w:val="en-GB"/>
        </w:rPr>
        <w:t>ations. Due to their high cost, certain agencies may be unable to implement BWCs (Miranda, 2022).</w:t>
      </w:r>
    </w:p>
    <w:p w14:paraId="66CD2002" w14:textId="77777777" w:rsidR="007D59AA" w:rsidRPr="00B11656" w:rsidRDefault="007D59AA" w:rsidP="00B11656">
      <w:pPr>
        <w:spacing w:before="240"/>
        <w:rPr>
          <w:rFonts w:cs="Times New Roman"/>
          <w:noProof/>
          <w:lang w:val="en-GB"/>
        </w:rPr>
      </w:pPr>
      <w:r w:rsidRPr="00B11656">
        <w:rPr>
          <w:rFonts w:cs="Times New Roman"/>
          <w:noProof/>
          <w:lang w:val="en-GB"/>
        </w:rPr>
        <w:t>There are ethical concerns with BWCs. By obtaining private or sensitive information, BWCs may violate users' privacy (Saulnier et al., 2022). Privacy concerns must be taken into account when making police data public.</w:t>
      </w:r>
    </w:p>
    <w:p w14:paraId="4AADE28D" w14:textId="221F36BC" w:rsidR="006D7D08" w:rsidRPr="00B11656" w:rsidRDefault="006D7D08" w:rsidP="00B11656">
      <w:pPr>
        <w:spacing w:before="240"/>
        <w:rPr>
          <w:rFonts w:cs="Times New Roman"/>
          <w:noProof/>
          <w:lang w:val="en-GB"/>
        </w:rPr>
      </w:pPr>
      <w:r w:rsidRPr="00B11656">
        <w:rPr>
          <w:rFonts w:cs="Times New Roman"/>
          <w:noProof/>
          <w:lang w:val="en-GB"/>
        </w:rPr>
        <w:t>BWCs may impair officers' judgment, making them overly cautious or risk-averse. Police would be slower to react to risky situations, endangering the public</w:t>
      </w:r>
      <w:r w:rsidR="00DA77D7" w:rsidRPr="00B11656">
        <w:rPr>
          <w:rFonts w:cs="Times New Roman"/>
          <w:noProof/>
          <w:lang w:val="en-GB"/>
        </w:rPr>
        <w:t xml:space="preserve"> (Morrow et al., 2016)</w:t>
      </w:r>
      <w:r w:rsidRPr="00B11656">
        <w:rPr>
          <w:rFonts w:cs="Times New Roman"/>
          <w:noProof/>
          <w:lang w:val="en-GB"/>
        </w:rPr>
        <w:t>.</w:t>
      </w:r>
    </w:p>
    <w:p w14:paraId="58640065" w14:textId="77777777" w:rsidR="007436DA" w:rsidRPr="00B11656" w:rsidRDefault="007436DA" w:rsidP="00B11656">
      <w:pPr>
        <w:spacing w:before="240"/>
        <w:rPr>
          <w:rFonts w:cs="Times New Roman"/>
          <w:b/>
          <w:noProof/>
          <w:lang w:val="en-GB"/>
        </w:rPr>
      </w:pPr>
      <w:r w:rsidRPr="00B11656">
        <w:rPr>
          <w:rFonts w:cs="Times New Roman"/>
          <w:noProof/>
          <w:lang w:val="en-GB"/>
        </w:rPr>
        <w:t>Last but not least, it might be difficult to know which BWC videos should be released and why. Transparency vs privacy against film misuse is a tradeoff that law enforcement and politicians must weigh.</w:t>
      </w:r>
    </w:p>
    <w:p w14:paraId="5136EE6F" w14:textId="591010DE" w:rsidR="00EB23A8" w:rsidRPr="00B11656" w:rsidRDefault="00EB23A8" w:rsidP="00B11656">
      <w:pPr>
        <w:pStyle w:val="Heading2"/>
        <w:rPr>
          <w:rFonts w:cs="Times New Roman"/>
          <w:noProof/>
          <w:lang w:val="en-GB"/>
        </w:rPr>
      </w:pPr>
      <w:bookmarkStart w:id="5" w:name="_Toc134217394"/>
      <w:r w:rsidRPr="00B11656">
        <w:rPr>
          <w:rFonts w:cs="Times New Roman"/>
          <w:noProof/>
          <w:lang w:val="en-GB"/>
        </w:rPr>
        <w:t xml:space="preserve">Evaluating the Use of </w:t>
      </w:r>
      <w:r w:rsidR="00E833A0" w:rsidRPr="00B11656">
        <w:rPr>
          <w:rFonts w:cs="Times New Roman"/>
          <w:noProof/>
          <w:lang w:val="en-GB"/>
        </w:rPr>
        <w:t>Body-Worn</w:t>
      </w:r>
      <w:r w:rsidRPr="00B11656">
        <w:rPr>
          <w:rFonts w:cs="Times New Roman"/>
          <w:noProof/>
          <w:lang w:val="en-GB"/>
        </w:rPr>
        <w:t xml:space="preserve"> Camera Evidence in Domestic Violence Cases</w:t>
      </w:r>
      <w:bookmarkEnd w:id="5"/>
      <w:r w:rsidRPr="00B11656">
        <w:rPr>
          <w:rFonts w:cs="Times New Roman"/>
          <w:noProof/>
          <w:lang w:val="en-GB"/>
        </w:rPr>
        <w:t xml:space="preserve"> </w:t>
      </w:r>
    </w:p>
    <w:p w14:paraId="77D5104A" w14:textId="0D0F9374" w:rsidR="00A472BF" w:rsidRPr="00B11656" w:rsidRDefault="00A472BF" w:rsidP="00B11656">
      <w:pPr>
        <w:spacing w:before="240"/>
        <w:rPr>
          <w:rFonts w:cs="Times New Roman"/>
          <w:noProof/>
          <w:lang w:val="en-GB"/>
        </w:rPr>
      </w:pPr>
      <w:r w:rsidRPr="00B11656">
        <w:rPr>
          <w:rFonts w:cs="Times New Roman"/>
          <w:noProof/>
          <w:lang w:val="en-GB"/>
        </w:rPr>
        <w:t xml:space="preserve">Officers are increasingly turning to </w:t>
      </w:r>
      <w:r w:rsidR="00E833A0" w:rsidRPr="00B11656">
        <w:rPr>
          <w:rFonts w:cs="Times New Roman"/>
          <w:noProof/>
          <w:lang w:val="en-GB"/>
        </w:rPr>
        <w:t>body-worn</w:t>
      </w:r>
      <w:r w:rsidRPr="00B11656">
        <w:rPr>
          <w:rFonts w:cs="Times New Roman"/>
          <w:noProof/>
          <w:lang w:val="en-GB"/>
        </w:rPr>
        <w:t xml:space="preserve"> cameras (BWCs) to help them respond more effectively to situations like domestic violence. This technology may help with both the collection of evidence and the prosecution of criminals</w:t>
      </w:r>
      <w:r w:rsidR="0016765B" w:rsidRPr="00B11656">
        <w:rPr>
          <w:rFonts w:cs="Times New Roman"/>
          <w:noProof/>
          <w:lang w:val="en-GB"/>
        </w:rPr>
        <w:t xml:space="preserve"> (Ariel, 2016)</w:t>
      </w:r>
      <w:r w:rsidRPr="00B11656">
        <w:rPr>
          <w:rFonts w:cs="Times New Roman"/>
          <w:noProof/>
          <w:lang w:val="en-GB"/>
        </w:rPr>
        <w:t>. The advantages and drawbacks of employing BWCs in domestic violence cases will be weighed, taking into account the potential impact on victims, offenders, and the criminal justice system.</w:t>
      </w:r>
    </w:p>
    <w:p w14:paraId="43DEE06B" w14:textId="22FB6610" w:rsidR="00A472BF" w:rsidRPr="00B11656" w:rsidRDefault="00A472BF" w:rsidP="00B11656">
      <w:pPr>
        <w:spacing w:before="240"/>
        <w:rPr>
          <w:rFonts w:cs="Times New Roman"/>
          <w:noProof/>
          <w:lang w:val="en-GB"/>
        </w:rPr>
      </w:pPr>
      <w:r w:rsidRPr="00B11656">
        <w:rPr>
          <w:rFonts w:cs="Times New Roman"/>
          <w:noProof/>
          <w:lang w:val="en-GB"/>
        </w:rPr>
        <w:t>One of the greatest benefits of BWCs in cases of domestic violence is their ability to corroborate victim testimony. It may be difficult for victims of domestic violence to collect evidence of their abuse since physical injuries are</w:t>
      </w:r>
      <w:r w:rsidR="00AB55D9" w:rsidRPr="00B11656">
        <w:rPr>
          <w:rFonts w:cs="Times New Roman"/>
          <w:noProof/>
          <w:lang w:val="en-GB"/>
        </w:rPr>
        <w:t xml:space="preserve"> not</w:t>
      </w:r>
      <w:r w:rsidRPr="00B11656">
        <w:rPr>
          <w:rFonts w:cs="Times New Roman"/>
          <w:noProof/>
          <w:lang w:val="en-GB"/>
        </w:rPr>
        <w:t xml:space="preserve"> always there and witnesses might be hard </w:t>
      </w:r>
      <w:r w:rsidRPr="00B11656">
        <w:rPr>
          <w:rFonts w:cs="Times New Roman"/>
          <w:noProof/>
          <w:lang w:val="en-GB"/>
        </w:rPr>
        <w:lastRenderedPageBreak/>
        <w:t>to locate. By presenting objective evidence that verifies victim accounts, BWC footage may boost the likelihood of successful prosecutions</w:t>
      </w:r>
      <w:r w:rsidR="0016765B" w:rsidRPr="00B11656">
        <w:rPr>
          <w:rFonts w:cs="Times New Roman"/>
          <w:noProof/>
          <w:lang w:val="en-GB"/>
        </w:rPr>
        <w:t xml:space="preserve"> (Richardson, 2023). </w:t>
      </w:r>
      <w:r w:rsidRPr="00B11656">
        <w:rPr>
          <w:rFonts w:cs="Times New Roman"/>
          <w:noProof/>
          <w:lang w:val="en-GB"/>
        </w:rPr>
        <w:t>Having evidence to back up their claims might give victims the courage to come forward and report abuse.</w:t>
      </w:r>
    </w:p>
    <w:p w14:paraId="58543453" w14:textId="22A9A78F" w:rsidR="00A472BF" w:rsidRPr="00B11656" w:rsidRDefault="00A472BF" w:rsidP="00B11656">
      <w:pPr>
        <w:spacing w:before="240"/>
        <w:rPr>
          <w:rFonts w:cs="Times New Roman"/>
          <w:noProof/>
          <w:lang w:val="en-GB"/>
        </w:rPr>
      </w:pPr>
      <w:r w:rsidRPr="00B11656">
        <w:rPr>
          <w:rFonts w:cs="Times New Roman"/>
          <w:noProof/>
          <w:lang w:val="en-GB"/>
        </w:rPr>
        <w:t xml:space="preserve">BWCs may also be used to capture the emotions of domestic violence victims immediately after an incident has taken place. Morrow et al. (2016) </w:t>
      </w:r>
      <w:r w:rsidR="00E97F29" w:rsidRPr="00B11656">
        <w:rPr>
          <w:rFonts w:cs="Times New Roman"/>
          <w:noProof/>
          <w:lang w:val="en-GB"/>
        </w:rPr>
        <w:t>suggests</w:t>
      </w:r>
      <w:r w:rsidRPr="00B11656">
        <w:rPr>
          <w:rFonts w:cs="Times New Roman"/>
          <w:noProof/>
          <w:lang w:val="en-GB"/>
        </w:rPr>
        <w:t xml:space="preserve"> that audio and video recordings of victims' responses to traumatic situations may be useful evidence in court. </w:t>
      </w:r>
      <w:r w:rsidR="00E833A0" w:rsidRPr="00B11656">
        <w:rPr>
          <w:rFonts w:cs="Times New Roman"/>
          <w:noProof/>
          <w:lang w:val="en-GB"/>
        </w:rPr>
        <w:t>Judges</w:t>
      </w:r>
      <w:r w:rsidRPr="00B11656">
        <w:rPr>
          <w:rFonts w:cs="Times New Roman"/>
          <w:noProof/>
          <w:lang w:val="en-GB"/>
        </w:rPr>
        <w:t xml:space="preserve"> and legislators may come up with better punishments and intervention measures if they took into account the victim's perspective on the intensity and impact of the abuse.</w:t>
      </w:r>
    </w:p>
    <w:p w14:paraId="31682A9F" w14:textId="754B660C" w:rsidR="00A472BF" w:rsidRPr="00B11656" w:rsidRDefault="00A472BF" w:rsidP="00B11656">
      <w:pPr>
        <w:spacing w:before="240"/>
        <w:rPr>
          <w:rFonts w:cs="Times New Roman"/>
          <w:noProof/>
          <w:lang w:val="en-GB"/>
        </w:rPr>
      </w:pPr>
      <w:r w:rsidRPr="00B11656">
        <w:rPr>
          <w:rFonts w:cs="Times New Roman"/>
          <w:noProof/>
          <w:lang w:val="en-GB"/>
        </w:rPr>
        <w:t xml:space="preserve">In addition, BWCs could </w:t>
      </w:r>
      <w:r w:rsidR="00E833A0" w:rsidRPr="00B11656">
        <w:rPr>
          <w:rFonts w:cs="Times New Roman"/>
          <w:noProof/>
          <w:lang w:val="en-GB"/>
        </w:rPr>
        <w:t>help monitor</w:t>
      </w:r>
      <w:r w:rsidRPr="00B11656">
        <w:rPr>
          <w:rFonts w:cs="Times New Roman"/>
          <w:noProof/>
          <w:lang w:val="en-GB"/>
        </w:rPr>
        <w:t xml:space="preserve"> illegal activities. Restraining orders, obligatory treatment, and other court mandates may be enforced with the use of video proof, as can patterns of abusive </w:t>
      </w:r>
      <w:r w:rsidR="00450B64" w:rsidRPr="00B11656">
        <w:rPr>
          <w:rFonts w:cs="Times New Roman"/>
          <w:noProof/>
          <w:lang w:val="en-GB"/>
        </w:rPr>
        <w:t>behaviour</w:t>
      </w:r>
      <w:r w:rsidR="0016765B" w:rsidRPr="00B11656">
        <w:rPr>
          <w:rFonts w:cs="Times New Roman"/>
          <w:noProof/>
          <w:lang w:val="en-GB"/>
        </w:rPr>
        <w:t xml:space="preserve"> (</w:t>
      </w:r>
      <w:r w:rsidR="00BA636D" w:rsidRPr="00B11656">
        <w:rPr>
          <w:rFonts w:cs="Times New Roman"/>
          <w:noProof/>
          <w:lang w:val="en-GB"/>
        </w:rPr>
        <w:t xml:space="preserve">Nawaz and Tankebe, </w:t>
      </w:r>
      <w:r w:rsidR="0016765B" w:rsidRPr="00B11656">
        <w:rPr>
          <w:rFonts w:cs="Times New Roman"/>
          <w:noProof/>
          <w:lang w:val="en-GB"/>
        </w:rPr>
        <w:t>201</w:t>
      </w:r>
      <w:r w:rsidR="00BA636D" w:rsidRPr="00B11656">
        <w:rPr>
          <w:rFonts w:cs="Times New Roman"/>
          <w:noProof/>
          <w:lang w:val="en-GB"/>
        </w:rPr>
        <w:t>8</w:t>
      </w:r>
      <w:r w:rsidR="0016765B" w:rsidRPr="00B11656">
        <w:rPr>
          <w:rFonts w:cs="Times New Roman"/>
          <w:noProof/>
          <w:lang w:val="en-GB"/>
        </w:rPr>
        <w:t>).</w:t>
      </w:r>
      <w:r w:rsidRPr="00B11656">
        <w:rPr>
          <w:rFonts w:cs="Times New Roman"/>
          <w:noProof/>
          <w:lang w:val="en-GB"/>
        </w:rPr>
        <w:t xml:space="preserve"> Data like these may be crucial for offender management and rehabilitation programs to use in figuring out how to best protect victims and reduce the chance of recidivism.</w:t>
      </w:r>
    </w:p>
    <w:p w14:paraId="0437E0C5" w14:textId="7F249F43" w:rsidR="00A472BF" w:rsidRPr="00B11656" w:rsidRDefault="00A472BF" w:rsidP="00B11656">
      <w:pPr>
        <w:spacing w:before="240"/>
        <w:rPr>
          <w:rFonts w:cs="Times New Roman"/>
          <w:noProof/>
          <w:lang w:val="en-GB"/>
        </w:rPr>
      </w:pPr>
      <w:r w:rsidRPr="00B11656">
        <w:rPr>
          <w:rFonts w:cs="Times New Roman"/>
          <w:noProof/>
          <w:lang w:val="en-GB"/>
        </w:rPr>
        <w:t>Others, however, are concerned that BWCs are being misused in cases of domestic violence, despite their benefits. For instance, the victim's right to confidentiality might be invaded. Vakhitova et al. (2023) note</w:t>
      </w:r>
      <w:r w:rsidR="00BE53BA" w:rsidRPr="00B11656">
        <w:rPr>
          <w:rFonts w:cs="Times New Roman"/>
          <w:noProof/>
          <w:lang w:val="en-GB"/>
        </w:rPr>
        <w:t>s</w:t>
      </w:r>
      <w:r w:rsidRPr="00B11656">
        <w:rPr>
          <w:rFonts w:cs="Times New Roman"/>
          <w:noProof/>
          <w:lang w:val="en-GB"/>
        </w:rPr>
        <w:t xml:space="preserve"> that BWCs have the potential to record victims' private discussions at home, making victims feel uneasy and discouraging them from seeking help. Law enforcement agencies must grasp the difficult balancing act of protecting victims' privacy while still collecting evidence.</w:t>
      </w:r>
    </w:p>
    <w:p w14:paraId="22DBA8B4" w14:textId="097862A0" w:rsidR="004D6882" w:rsidRPr="00B11656" w:rsidRDefault="00A472BF" w:rsidP="00B11656">
      <w:pPr>
        <w:spacing w:before="240"/>
        <w:rPr>
          <w:rFonts w:cs="Times New Roman"/>
          <w:noProof/>
          <w:lang w:val="en-GB"/>
        </w:rPr>
      </w:pPr>
      <w:r w:rsidRPr="00B11656">
        <w:rPr>
          <w:rFonts w:cs="Times New Roman"/>
          <w:noProof/>
          <w:lang w:val="en-GB"/>
        </w:rPr>
        <w:t>The hesitancy of victims to use BWCs is another problem in cases of domestic violence. When victims know their communications with law enforcement will be recorded, they may be less likely to comply out of fear of retaliation from their abuser or the exposure of their private lives (Mazerolle et al., 2018). This reluctance may hinder investigations and prosecutions of domestic violence cases, placing victims at risk. Law enforcement may best address this issue by gaining the trust of victims by demonstrating the benefits of BWCs and addressing any concerns those individuals may have regarding their use.</w:t>
      </w:r>
    </w:p>
    <w:p w14:paraId="3F6ED7CE" w14:textId="77777777" w:rsidR="007436DA" w:rsidRPr="00B11656" w:rsidRDefault="007436DA" w:rsidP="00B11656">
      <w:pPr>
        <w:rPr>
          <w:rFonts w:cs="Times New Roman"/>
          <w:b/>
          <w:noProof/>
          <w:color w:val="365F91"/>
          <w:sz w:val="32"/>
          <w:lang w:val="en-GB"/>
        </w:rPr>
      </w:pPr>
      <w:r w:rsidRPr="00B11656">
        <w:rPr>
          <w:rFonts w:cs="Times New Roman"/>
          <w:noProof/>
          <w:lang w:val="en-GB"/>
        </w:rPr>
        <w:br w:type="page"/>
      </w:r>
    </w:p>
    <w:p w14:paraId="1846F132" w14:textId="0266DE67" w:rsidR="00EB23A8" w:rsidRPr="00B11656" w:rsidRDefault="00EB23A8" w:rsidP="00B11656">
      <w:pPr>
        <w:pStyle w:val="Heading1"/>
        <w:spacing w:before="240"/>
        <w:rPr>
          <w:rFonts w:cs="Times New Roman"/>
          <w:noProof/>
          <w:lang w:val="en-GB"/>
        </w:rPr>
      </w:pPr>
      <w:bookmarkStart w:id="6" w:name="_Toc134217395"/>
      <w:r w:rsidRPr="00B11656">
        <w:rPr>
          <w:rFonts w:cs="Times New Roman"/>
          <w:noProof/>
          <w:lang w:val="en-GB"/>
        </w:rPr>
        <w:lastRenderedPageBreak/>
        <w:t>Conclusion</w:t>
      </w:r>
      <w:bookmarkEnd w:id="6"/>
    </w:p>
    <w:p w14:paraId="4F723E40" w14:textId="3F7E4689" w:rsidR="007C1671" w:rsidRPr="00B11656" w:rsidRDefault="00775929" w:rsidP="00B11656">
      <w:pPr>
        <w:spacing w:before="240"/>
        <w:rPr>
          <w:rFonts w:cs="Times New Roman"/>
          <w:b/>
          <w:noProof/>
          <w:color w:val="365F91"/>
          <w:sz w:val="32"/>
          <w:lang w:val="en-GB"/>
        </w:rPr>
      </w:pPr>
      <w:r w:rsidRPr="00B11656">
        <w:rPr>
          <w:rFonts w:cs="Times New Roman"/>
          <w:noProof/>
          <w:lang w:val="en-GB"/>
        </w:rPr>
        <w:t xml:space="preserve">The use of body cameras has become widespread in evidence-based policing as a result of the numerous advantages associated with transparency, justice, and accountability. However, its application in delicate circumstances, such as those involving domestic violence, raises ethical and legal concerns that need to be addressed. The ongoing use of body-worn cameras by law enforcement agencies highlights the necessity of finding solutions to these problems while simultaneously maximizing the positive impact that this technology has on police operations and public safety. </w:t>
      </w:r>
      <w:r w:rsidR="00B71D69" w:rsidRPr="00B11656">
        <w:rPr>
          <w:rFonts w:cs="Times New Roman"/>
          <w:noProof/>
          <w:lang w:val="en-GB"/>
        </w:rPr>
        <w:t>A compromise between upholding the law and protecting its citizens' rights must be reached before BWCs can be a useful tool for evidence-based policing. Law enforcement agencies must make decisions based on data, carry out thorough assessments, and continue to be dedicated to lifelong learning if they are to maximize the use of BWCs.</w:t>
      </w:r>
      <w:r w:rsidR="007C1671" w:rsidRPr="00B11656">
        <w:rPr>
          <w:rFonts w:cs="Times New Roman"/>
          <w:noProof/>
          <w:lang w:val="en-GB"/>
        </w:rPr>
        <w:br w:type="page"/>
      </w:r>
    </w:p>
    <w:p w14:paraId="3201544F" w14:textId="67309FE0" w:rsidR="00C4526B" w:rsidRPr="00B11656" w:rsidRDefault="00535F61" w:rsidP="00B11656">
      <w:pPr>
        <w:pStyle w:val="Heading1"/>
        <w:spacing w:before="240"/>
        <w:rPr>
          <w:rFonts w:cs="Times New Roman"/>
          <w:noProof/>
          <w:lang w:val="en-GB"/>
        </w:rPr>
      </w:pPr>
      <w:bookmarkStart w:id="7" w:name="_Toc134217396"/>
      <w:r w:rsidRPr="00B11656">
        <w:rPr>
          <w:rFonts w:cs="Times New Roman"/>
          <w:noProof/>
          <w:lang w:val="en-GB"/>
        </w:rPr>
        <w:lastRenderedPageBreak/>
        <w:t>References</w:t>
      </w:r>
      <w:bookmarkEnd w:id="7"/>
    </w:p>
    <w:p w14:paraId="600DDDA8" w14:textId="77777777" w:rsidR="00F058EE" w:rsidRPr="00B11656" w:rsidRDefault="00F058EE" w:rsidP="00B11656">
      <w:pPr>
        <w:spacing w:before="240"/>
        <w:rPr>
          <w:rFonts w:cs="Times New Roman"/>
          <w:noProof/>
          <w:lang w:val="en-GB"/>
        </w:rPr>
      </w:pPr>
      <w:r w:rsidRPr="00B11656">
        <w:rPr>
          <w:rFonts w:cs="Times New Roman"/>
          <w:noProof/>
          <w:lang w:val="en-GB"/>
        </w:rPr>
        <w:t>Ariel, B., 2016. Increasing cooperation with the police using body worn cameras. </w:t>
      </w:r>
      <w:r w:rsidRPr="00B11656">
        <w:rPr>
          <w:rFonts w:cs="Times New Roman"/>
          <w:i/>
          <w:iCs/>
          <w:noProof/>
          <w:lang w:val="en-GB"/>
        </w:rPr>
        <w:t>Police quarterly</w:t>
      </w:r>
      <w:r w:rsidRPr="00B11656">
        <w:rPr>
          <w:rFonts w:cs="Times New Roman"/>
          <w:noProof/>
          <w:lang w:val="en-GB"/>
        </w:rPr>
        <w:t>, </w:t>
      </w:r>
      <w:r w:rsidRPr="00B11656">
        <w:rPr>
          <w:rFonts w:cs="Times New Roman"/>
          <w:i/>
          <w:iCs/>
          <w:noProof/>
          <w:lang w:val="en-GB"/>
        </w:rPr>
        <w:t>19</w:t>
      </w:r>
      <w:r w:rsidRPr="00B11656">
        <w:rPr>
          <w:rFonts w:cs="Times New Roman"/>
          <w:noProof/>
          <w:lang w:val="en-GB"/>
        </w:rPr>
        <w:t>(3), pp.326-362.</w:t>
      </w:r>
    </w:p>
    <w:p w14:paraId="0EFD5498" w14:textId="77777777" w:rsidR="00F058EE" w:rsidRPr="00B11656" w:rsidRDefault="00F058EE" w:rsidP="00B11656">
      <w:pPr>
        <w:spacing w:before="240"/>
        <w:rPr>
          <w:rFonts w:cs="Times New Roman"/>
          <w:noProof/>
          <w:lang w:val="en-GB"/>
        </w:rPr>
      </w:pPr>
      <w:r w:rsidRPr="00B11656">
        <w:rPr>
          <w:rFonts w:cs="Times New Roman"/>
          <w:noProof/>
          <w:lang w:val="en-GB"/>
        </w:rPr>
        <w:t>Braga, A.A. and Weisburd, D., 2016. Problem-oriented policing: The disconnect between principles and practice. </w:t>
      </w:r>
      <w:r w:rsidRPr="00B11656">
        <w:rPr>
          <w:rFonts w:cs="Times New Roman"/>
          <w:i/>
          <w:iCs/>
          <w:noProof/>
          <w:lang w:val="en-GB"/>
        </w:rPr>
        <w:t>Police innovation: Contrasting perspectives</w:t>
      </w:r>
      <w:r w:rsidRPr="00B11656">
        <w:rPr>
          <w:rFonts w:cs="Times New Roman"/>
          <w:noProof/>
          <w:lang w:val="en-GB"/>
        </w:rPr>
        <w:t>, pp.133-154.</w:t>
      </w:r>
    </w:p>
    <w:p w14:paraId="27A3078A" w14:textId="77777777" w:rsidR="00F058EE" w:rsidRPr="00B11656" w:rsidRDefault="00F058EE" w:rsidP="00B11656">
      <w:pPr>
        <w:spacing w:before="240"/>
        <w:rPr>
          <w:rFonts w:cs="Times New Roman"/>
          <w:noProof/>
          <w:lang w:val="en-GB"/>
        </w:rPr>
      </w:pPr>
      <w:r w:rsidRPr="00B11656">
        <w:rPr>
          <w:rFonts w:cs="Times New Roman"/>
          <w:noProof/>
          <w:lang w:val="en-GB"/>
        </w:rPr>
        <w:t>Drover, P. and Ariel, B., 2015. Leading an experiment in police body-worn video cameras. </w:t>
      </w:r>
      <w:r w:rsidRPr="00B11656">
        <w:rPr>
          <w:rFonts w:cs="Times New Roman"/>
          <w:i/>
          <w:iCs/>
          <w:noProof/>
          <w:lang w:val="en-GB"/>
        </w:rPr>
        <w:t>International criminal justice review</w:t>
      </w:r>
      <w:r w:rsidRPr="00B11656">
        <w:rPr>
          <w:rFonts w:cs="Times New Roman"/>
          <w:noProof/>
          <w:lang w:val="en-GB"/>
        </w:rPr>
        <w:t>, </w:t>
      </w:r>
      <w:r w:rsidRPr="00B11656">
        <w:rPr>
          <w:rFonts w:cs="Times New Roman"/>
          <w:i/>
          <w:iCs/>
          <w:noProof/>
          <w:lang w:val="en-GB"/>
        </w:rPr>
        <w:t>25</w:t>
      </w:r>
      <w:r w:rsidRPr="00B11656">
        <w:rPr>
          <w:rFonts w:cs="Times New Roman"/>
          <w:noProof/>
          <w:lang w:val="en-GB"/>
        </w:rPr>
        <w:t>(1), pp.80-97.</w:t>
      </w:r>
    </w:p>
    <w:p w14:paraId="3464F514" w14:textId="77777777" w:rsidR="00F058EE" w:rsidRPr="00B11656" w:rsidRDefault="00F058EE" w:rsidP="00B11656">
      <w:pPr>
        <w:spacing w:before="240"/>
        <w:rPr>
          <w:rFonts w:cs="Times New Roman"/>
          <w:noProof/>
          <w:lang w:val="en-GB"/>
        </w:rPr>
      </w:pPr>
      <w:r w:rsidRPr="00B11656">
        <w:rPr>
          <w:rFonts w:cs="Times New Roman"/>
          <w:noProof/>
          <w:lang w:val="en-GB"/>
        </w:rPr>
        <w:t>Mazerolle, L., Eggins, E., Sydes, M., Hine, L., McEwan, J., Norrie, G. and Somerville, A., 2018. Criminal justice responses to domestic and family violence: A rapid review of the literature.</w:t>
      </w:r>
    </w:p>
    <w:p w14:paraId="201ABFBB" w14:textId="77777777" w:rsidR="00F058EE" w:rsidRPr="00B11656" w:rsidRDefault="00F058EE" w:rsidP="00B11656">
      <w:pPr>
        <w:spacing w:before="240"/>
        <w:rPr>
          <w:rFonts w:cs="Times New Roman"/>
          <w:noProof/>
          <w:lang w:val="en-GB"/>
        </w:rPr>
      </w:pPr>
      <w:r w:rsidRPr="00B11656">
        <w:rPr>
          <w:rFonts w:cs="Times New Roman"/>
          <w:noProof/>
          <w:lang w:val="en-GB"/>
        </w:rPr>
        <w:t>Miranda, D., 2022. Book Review'Police Visibility'.</w:t>
      </w:r>
    </w:p>
    <w:p w14:paraId="3D3A3D01" w14:textId="77777777" w:rsidR="00F058EE" w:rsidRPr="00B11656" w:rsidRDefault="00F058EE" w:rsidP="00B11656">
      <w:pPr>
        <w:spacing w:before="240"/>
        <w:rPr>
          <w:rFonts w:cs="Times New Roman"/>
          <w:noProof/>
          <w:lang w:val="en-GB"/>
        </w:rPr>
      </w:pPr>
      <w:r w:rsidRPr="00B11656">
        <w:rPr>
          <w:rFonts w:cs="Times New Roman"/>
          <w:noProof/>
          <w:lang w:val="en-GB"/>
        </w:rPr>
        <w:t>Mitchell, R. and Huey, L. eds., 2018. </w:t>
      </w:r>
      <w:r w:rsidRPr="00B11656">
        <w:rPr>
          <w:rFonts w:cs="Times New Roman"/>
          <w:i/>
          <w:iCs/>
          <w:noProof/>
          <w:lang w:val="en-GB"/>
        </w:rPr>
        <w:t>Evidence based policing: An introduction</w:t>
      </w:r>
      <w:r w:rsidRPr="00B11656">
        <w:rPr>
          <w:rFonts w:cs="Times New Roman"/>
          <w:noProof/>
          <w:lang w:val="en-GB"/>
        </w:rPr>
        <w:t>. Policy Press.</w:t>
      </w:r>
    </w:p>
    <w:p w14:paraId="7E43218E" w14:textId="77777777" w:rsidR="00F058EE" w:rsidRPr="00B11656" w:rsidRDefault="00F058EE" w:rsidP="00B11656">
      <w:pPr>
        <w:spacing w:before="240"/>
        <w:rPr>
          <w:rFonts w:cs="Times New Roman"/>
          <w:noProof/>
          <w:lang w:val="en-GB"/>
        </w:rPr>
      </w:pPr>
      <w:r w:rsidRPr="00B11656">
        <w:rPr>
          <w:rFonts w:cs="Times New Roman"/>
          <w:noProof/>
          <w:lang w:val="en-GB"/>
        </w:rPr>
        <w:t>Morrow, W.J., Katz, C.M. and Choate, D.E., 2016. Assessing the impact of police body-worn cameras on arresting, prosecuting, and convicting suspects of intimate partner violence. </w:t>
      </w:r>
      <w:r w:rsidRPr="00B11656">
        <w:rPr>
          <w:rFonts w:cs="Times New Roman"/>
          <w:i/>
          <w:iCs/>
          <w:noProof/>
          <w:lang w:val="en-GB"/>
        </w:rPr>
        <w:t>Police quarterly</w:t>
      </w:r>
      <w:r w:rsidRPr="00B11656">
        <w:rPr>
          <w:rFonts w:cs="Times New Roman"/>
          <w:noProof/>
          <w:lang w:val="en-GB"/>
        </w:rPr>
        <w:t>, </w:t>
      </w:r>
      <w:r w:rsidRPr="00B11656">
        <w:rPr>
          <w:rFonts w:cs="Times New Roman"/>
          <w:i/>
          <w:iCs/>
          <w:noProof/>
          <w:lang w:val="en-GB"/>
        </w:rPr>
        <w:t>19</w:t>
      </w:r>
      <w:r w:rsidRPr="00B11656">
        <w:rPr>
          <w:rFonts w:cs="Times New Roman"/>
          <w:noProof/>
          <w:lang w:val="en-GB"/>
        </w:rPr>
        <w:t>(3), pp.303-325.</w:t>
      </w:r>
    </w:p>
    <w:p w14:paraId="706B4EC0" w14:textId="77777777" w:rsidR="00F058EE" w:rsidRPr="00B11656" w:rsidRDefault="00F058EE" w:rsidP="00B11656">
      <w:pPr>
        <w:spacing w:before="240"/>
        <w:rPr>
          <w:rFonts w:cs="Times New Roman"/>
          <w:noProof/>
          <w:lang w:val="en-GB"/>
        </w:rPr>
      </w:pPr>
      <w:r w:rsidRPr="00B11656">
        <w:rPr>
          <w:rFonts w:cs="Times New Roman"/>
          <w:noProof/>
          <w:lang w:val="en-GB"/>
        </w:rPr>
        <w:t>Nawaz, A. and Tankebe, J., 2018. Tracking procedural justice in stop and search encounters: Coding evidence from body-worn video cameras. </w:t>
      </w:r>
      <w:r w:rsidRPr="00B11656">
        <w:rPr>
          <w:rFonts w:cs="Times New Roman"/>
          <w:i/>
          <w:iCs/>
          <w:noProof/>
          <w:lang w:val="en-GB"/>
        </w:rPr>
        <w:t>Cambridge journal of evidence-based policing</w:t>
      </w:r>
      <w:r w:rsidRPr="00B11656">
        <w:rPr>
          <w:rFonts w:cs="Times New Roman"/>
          <w:noProof/>
          <w:lang w:val="en-GB"/>
        </w:rPr>
        <w:t>, </w:t>
      </w:r>
      <w:r w:rsidRPr="00B11656">
        <w:rPr>
          <w:rFonts w:cs="Times New Roman"/>
          <w:i/>
          <w:iCs/>
          <w:noProof/>
          <w:lang w:val="en-GB"/>
        </w:rPr>
        <w:t>2</w:t>
      </w:r>
      <w:r w:rsidRPr="00B11656">
        <w:rPr>
          <w:rFonts w:cs="Times New Roman"/>
          <w:noProof/>
          <w:lang w:val="en-GB"/>
        </w:rPr>
        <w:t>, pp.139-163.</w:t>
      </w:r>
    </w:p>
    <w:p w14:paraId="5FB919DA" w14:textId="77777777" w:rsidR="00F058EE" w:rsidRPr="00B11656" w:rsidRDefault="00F058EE" w:rsidP="00B11656">
      <w:pPr>
        <w:spacing w:before="240"/>
        <w:rPr>
          <w:rFonts w:cs="Times New Roman"/>
          <w:noProof/>
          <w:lang w:val="en-GB"/>
        </w:rPr>
      </w:pPr>
      <w:r w:rsidRPr="00B11656">
        <w:rPr>
          <w:rFonts w:cs="Times New Roman"/>
          <w:noProof/>
          <w:lang w:val="en-GB"/>
        </w:rPr>
        <w:t>Paternoster, R. and Pogarsky, G., 2019. Rational choice, agency and thoughtfully reflective decision making: The short and long-term consequences of making good choices. </w:t>
      </w:r>
      <w:r w:rsidRPr="00B11656">
        <w:rPr>
          <w:rFonts w:cs="Times New Roman"/>
          <w:i/>
          <w:iCs/>
          <w:noProof/>
          <w:lang w:val="en-GB"/>
        </w:rPr>
        <w:t>Journal of Quantitative Criminology</w:t>
      </w:r>
      <w:r w:rsidRPr="00B11656">
        <w:rPr>
          <w:rFonts w:cs="Times New Roman"/>
          <w:noProof/>
          <w:lang w:val="en-GB"/>
        </w:rPr>
        <w:t>, </w:t>
      </w:r>
      <w:r w:rsidRPr="00B11656">
        <w:rPr>
          <w:rFonts w:cs="Times New Roman"/>
          <w:i/>
          <w:iCs/>
          <w:noProof/>
          <w:lang w:val="en-GB"/>
        </w:rPr>
        <w:t>25</w:t>
      </w:r>
      <w:r w:rsidRPr="00B11656">
        <w:rPr>
          <w:rFonts w:cs="Times New Roman"/>
          <w:noProof/>
          <w:lang w:val="en-GB"/>
        </w:rPr>
        <w:t>, pp.103-127.</w:t>
      </w:r>
    </w:p>
    <w:p w14:paraId="5B21B502" w14:textId="77777777" w:rsidR="00F058EE" w:rsidRPr="00B11656" w:rsidRDefault="00F058EE" w:rsidP="00B11656">
      <w:pPr>
        <w:spacing w:before="240"/>
        <w:rPr>
          <w:rFonts w:cs="Times New Roman"/>
          <w:noProof/>
          <w:lang w:val="en-GB"/>
        </w:rPr>
      </w:pPr>
      <w:r w:rsidRPr="00B11656">
        <w:rPr>
          <w:rFonts w:cs="Times New Roman"/>
          <w:noProof/>
          <w:lang w:val="en-GB"/>
        </w:rPr>
        <w:t>Richardson, T., 2023. Body-worn cameras as a research tool in early years settings: Strengths and weaknesses. </w:t>
      </w:r>
      <w:r w:rsidRPr="00B11656">
        <w:rPr>
          <w:rFonts w:cs="Times New Roman"/>
          <w:i/>
          <w:iCs/>
          <w:noProof/>
          <w:lang w:val="en-GB"/>
        </w:rPr>
        <w:t>Journal of Early Childhood Research</w:t>
      </w:r>
      <w:r w:rsidRPr="00B11656">
        <w:rPr>
          <w:rFonts w:cs="Times New Roman"/>
          <w:noProof/>
          <w:lang w:val="en-GB"/>
        </w:rPr>
        <w:t>, </w:t>
      </w:r>
      <w:r w:rsidRPr="00B11656">
        <w:rPr>
          <w:rFonts w:cs="Times New Roman"/>
          <w:i/>
          <w:iCs/>
          <w:noProof/>
          <w:lang w:val="en-GB"/>
        </w:rPr>
        <w:t>21</w:t>
      </w:r>
      <w:r w:rsidRPr="00B11656">
        <w:rPr>
          <w:rFonts w:cs="Times New Roman"/>
          <w:noProof/>
          <w:lang w:val="en-GB"/>
        </w:rPr>
        <w:t>(1), pp.106-118.</w:t>
      </w:r>
    </w:p>
    <w:p w14:paraId="3729EE63" w14:textId="77777777" w:rsidR="00F058EE" w:rsidRPr="00B11656" w:rsidRDefault="00F058EE" w:rsidP="00B11656">
      <w:pPr>
        <w:spacing w:before="240"/>
        <w:rPr>
          <w:rFonts w:cs="Times New Roman"/>
          <w:noProof/>
          <w:lang w:val="en-GB"/>
        </w:rPr>
      </w:pPr>
      <w:r w:rsidRPr="00B11656">
        <w:rPr>
          <w:rFonts w:cs="Times New Roman"/>
          <w:noProof/>
          <w:lang w:val="en-GB"/>
        </w:rPr>
        <w:t>Saulnier, A., Couture‐Carron, A. and Scholte, D., 2022. Toward victim‐sensitive body‐worn camera policy: Initial insights. </w:t>
      </w:r>
      <w:r w:rsidRPr="00B11656">
        <w:rPr>
          <w:rFonts w:cs="Times New Roman"/>
          <w:i/>
          <w:iCs/>
          <w:noProof/>
          <w:lang w:val="en-GB"/>
        </w:rPr>
        <w:t>Criminology &amp; Public Policy</w:t>
      </w:r>
      <w:r w:rsidRPr="00B11656">
        <w:rPr>
          <w:rFonts w:cs="Times New Roman"/>
          <w:noProof/>
          <w:lang w:val="en-GB"/>
        </w:rPr>
        <w:t>, </w:t>
      </w:r>
      <w:r w:rsidRPr="00B11656">
        <w:rPr>
          <w:rFonts w:cs="Times New Roman"/>
          <w:i/>
          <w:iCs/>
          <w:noProof/>
          <w:lang w:val="en-GB"/>
        </w:rPr>
        <w:t>21</w:t>
      </w:r>
      <w:r w:rsidRPr="00B11656">
        <w:rPr>
          <w:rFonts w:cs="Times New Roman"/>
          <w:noProof/>
          <w:lang w:val="en-GB"/>
        </w:rPr>
        <w:t>(2), pp.303-327.</w:t>
      </w:r>
    </w:p>
    <w:p w14:paraId="5EAB0B94" w14:textId="77777777" w:rsidR="00F058EE" w:rsidRPr="00B11656" w:rsidRDefault="00F058EE" w:rsidP="00B11656">
      <w:pPr>
        <w:spacing w:before="240"/>
        <w:rPr>
          <w:rFonts w:cs="Times New Roman"/>
          <w:noProof/>
          <w:lang w:val="en-GB"/>
        </w:rPr>
      </w:pPr>
      <w:r w:rsidRPr="00B11656">
        <w:rPr>
          <w:rFonts w:cs="Times New Roman"/>
          <w:noProof/>
          <w:lang w:val="en-GB"/>
        </w:rPr>
        <w:lastRenderedPageBreak/>
        <w:t>Sherman, L.W., 2015. A tipping point for “totally evidenced policing” ten ideas for building an evidence-based police agency. </w:t>
      </w:r>
      <w:r w:rsidRPr="00B11656">
        <w:rPr>
          <w:rFonts w:cs="Times New Roman"/>
          <w:i/>
          <w:iCs/>
          <w:noProof/>
          <w:lang w:val="en-GB"/>
        </w:rPr>
        <w:t>International criminal justice review</w:t>
      </w:r>
      <w:r w:rsidRPr="00B11656">
        <w:rPr>
          <w:rFonts w:cs="Times New Roman"/>
          <w:noProof/>
          <w:lang w:val="en-GB"/>
        </w:rPr>
        <w:t>, </w:t>
      </w:r>
      <w:r w:rsidRPr="00B11656">
        <w:rPr>
          <w:rFonts w:cs="Times New Roman"/>
          <w:i/>
          <w:iCs/>
          <w:noProof/>
          <w:lang w:val="en-GB"/>
        </w:rPr>
        <w:t>25</w:t>
      </w:r>
      <w:r w:rsidRPr="00B11656">
        <w:rPr>
          <w:rFonts w:cs="Times New Roman"/>
          <w:noProof/>
          <w:lang w:val="en-GB"/>
        </w:rPr>
        <w:t>(1), pp.11-29.</w:t>
      </w:r>
    </w:p>
    <w:p w14:paraId="62E80EC5" w14:textId="77777777" w:rsidR="00F058EE" w:rsidRPr="00B11656" w:rsidRDefault="00F058EE" w:rsidP="00B11656">
      <w:pPr>
        <w:spacing w:before="240"/>
        <w:rPr>
          <w:rFonts w:cs="Times New Roman"/>
          <w:noProof/>
          <w:lang w:val="en-GB"/>
        </w:rPr>
      </w:pPr>
      <w:r w:rsidRPr="00B11656">
        <w:rPr>
          <w:rFonts w:cs="Times New Roman"/>
          <w:noProof/>
          <w:lang w:val="en-GB"/>
        </w:rPr>
        <w:t>Sherman, L.W., 2023. The rise of evidence-based policing: Targeting, testing, and tracking. </w:t>
      </w:r>
      <w:r w:rsidRPr="00B11656">
        <w:rPr>
          <w:rFonts w:cs="Times New Roman"/>
          <w:i/>
          <w:iCs/>
          <w:noProof/>
          <w:lang w:val="en-GB"/>
        </w:rPr>
        <w:t>Crime and justice</w:t>
      </w:r>
      <w:r w:rsidRPr="00B11656">
        <w:rPr>
          <w:rFonts w:cs="Times New Roman"/>
          <w:noProof/>
          <w:lang w:val="en-GB"/>
        </w:rPr>
        <w:t>, </w:t>
      </w:r>
      <w:r w:rsidRPr="00B11656">
        <w:rPr>
          <w:rFonts w:cs="Times New Roman"/>
          <w:i/>
          <w:iCs/>
          <w:noProof/>
          <w:lang w:val="en-GB"/>
        </w:rPr>
        <w:t>42</w:t>
      </w:r>
      <w:r w:rsidRPr="00B11656">
        <w:rPr>
          <w:rFonts w:cs="Times New Roman"/>
          <w:noProof/>
          <w:lang w:val="en-GB"/>
        </w:rPr>
        <w:t>(1), pp.377-451.</w:t>
      </w:r>
    </w:p>
    <w:p w14:paraId="7B8B8BE1" w14:textId="77777777" w:rsidR="00F058EE" w:rsidRPr="00B11656" w:rsidRDefault="00F058EE" w:rsidP="00B11656">
      <w:pPr>
        <w:spacing w:before="240"/>
        <w:rPr>
          <w:rFonts w:cs="Times New Roman"/>
          <w:noProof/>
          <w:lang w:val="en-GB"/>
        </w:rPr>
      </w:pPr>
      <w:r w:rsidRPr="00B11656">
        <w:rPr>
          <w:rFonts w:cs="Times New Roman"/>
          <w:noProof/>
          <w:lang w:val="en-GB"/>
        </w:rPr>
        <w:t>Tomlinson, K.D., 2016. An examination of deterrence theory: Where do we stand. </w:t>
      </w:r>
      <w:r w:rsidRPr="00B11656">
        <w:rPr>
          <w:rFonts w:cs="Times New Roman"/>
          <w:i/>
          <w:iCs/>
          <w:noProof/>
          <w:lang w:val="en-GB"/>
        </w:rPr>
        <w:t>Fed. Probation</w:t>
      </w:r>
      <w:r w:rsidRPr="00B11656">
        <w:rPr>
          <w:rFonts w:cs="Times New Roman"/>
          <w:noProof/>
          <w:lang w:val="en-GB"/>
        </w:rPr>
        <w:t>, </w:t>
      </w:r>
      <w:r w:rsidRPr="00B11656">
        <w:rPr>
          <w:rFonts w:cs="Times New Roman"/>
          <w:i/>
          <w:iCs/>
          <w:noProof/>
          <w:lang w:val="en-GB"/>
        </w:rPr>
        <w:t>80</w:t>
      </w:r>
      <w:r w:rsidRPr="00B11656">
        <w:rPr>
          <w:rFonts w:cs="Times New Roman"/>
          <w:noProof/>
          <w:lang w:val="en-GB"/>
        </w:rPr>
        <w:t>, p.33.</w:t>
      </w:r>
    </w:p>
    <w:p w14:paraId="338241A8" w14:textId="77777777" w:rsidR="00F058EE" w:rsidRPr="00B11656" w:rsidRDefault="00F058EE" w:rsidP="00B11656">
      <w:pPr>
        <w:spacing w:before="240"/>
        <w:rPr>
          <w:rFonts w:cs="Times New Roman"/>
          <w:noProof/>
          <w:lang w:val="en-GB"/>
        </w:rPr>
      </w:pPr>
      <w:r w:rsidRPr="00B11656">
        <w:rPr>
          <w:rFonts w:cs="Times New Roman"/>
          <w:noProof/>
          <w:lang w:val="en-GB"/>
        </w:rPr>
        <w:t>Vakhitova, Z., Iliadis, M., Harris, B., Tyson, D. and Flynn, A., 2023. The merits and risks of body-worn camera footage in domestic and family violence incidents and legal proceedings: a study of police perceptions and experiences. </w:t>
      </w:r>
      <w:r w:rsidRPr="00B11656">
        <w:rPr>
          <w:rFonts w:cs="Times New Roman"/>
          <w:i/>
          <w:iCs/>
          <w:noProof/>
          <w:lang w:val="en-GB"/>
        </w:rPr>
        <w:t>Policing and Society</w:t>
      </w:r>
      <w:r w:rsidRPr="00B11656">
        <w:rPr>
          <w:rFonts w:cs="Times New Roman"/>
          <w:noProof/>
          <w:lang w:val="en-GB"/>
        </w:rPr>
        <w:t>, </w:t>
      </w:r>
      <w:r w:rsidRPr="00B11656">
        <w:rPr>
          <w:rFonts w:cs="Times New Roman"/>
          <w:i/>
          <w:iCs/>
          <w:noProof/>
          <w:lang w:val="en-GB"/>
        </w:rPr>
        <w:t>33</w:t>
      </w:r>
      <w:r w:rsidRPr="00B11656">
        <w:rPr>
          <w:rFonts w:cs="Times New Roman"/>
          <w:noProof/>
          <w:lang w:val="en-GB"/>
        </w:rPr>
        <w:t>(2), pp.170-186.</w:t>
      </w:r>
    </w:p>
    <w:p w14:paraId="291CCF58" w14:textId="77777777" w:rsidR="00535F61" w:rsidRPr="00B11656" w:rsidRDefault="00535F61" w:rsidP="00B11656">
      <w:pPr>
        <w:spacing w:before="240"/>
        <w:rPr>
          <w:rFonts w:cs="Times New Roman"/>
          <w:noProof/>
          <w:lang w:val="en-GB"/>
        </w:rPr>
      </w:pPr>
    </w:p>
    <w:p w14:paraId="7A10BD8A" w14:textId="77777777" w:rsidR="00535F61" w:rsidRPr="00B11656" w:rsidRDefault="00535F61" w:rsidP="00B11656">
      <w:pPr>
        <w:spacing w:before="240"/>
        <w:rPr>
          <w:rFonts w:cs="Times New Roman"/>
          <w:noProof/>
          <w:lang w:val="en-GB"/>
        </w:rPr>
      </w:pPr>
    </w:p>
    <w:sectPr w:rsidR="00535F61" w:rsidRPr="00B11656" w:rsidSect="009102FC">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10599" w14:textId="77777777" w:rsidR="00997ABA" w:rsidRDefault="00997ABA" w:rsidP="00730C69">
      <w:pPr>
        <w:spacing w:line="240" w:lineRule="auto"/>
      </w:pPr>
      <w:r>
        <w:separator/>
      </w:r>
    </w:p>
  </w:endnote>
  <w:endnote w:type="continuationSeparator" w:id="0">
    <w:p w14:paraId="771EE4FD" w14:textId="77777777" w:rsidR="00997ABA" w:rsidRDefault="00997ABA" w:rsidP="00730C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C28F" w14:textId="77777777" w:rsidR="00B17A2C" w:rsidRDefault="00B17A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983506"/>
      <w:docPartObj>
        <w:docPartGallery w:val="Page Numbers (Bottom of Page)"/>
        <w:docPartUnique/>
      </w:docPartObj>
    </w:sdtPr>
    <w:sdtEndPr>
      <w:rPr>
        <w:noProof/>
      </w:rPr>
    </w:sdtEndPr>
    <w:sdtContent>
      <w:p w14:paraId="07B4D313" w14:textId="690D5598" w:rsidR="00B17A2C" w:rsidRDefault="00B17A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BF8B04" w14:textId="77777777" w:rsidR="00B17A2C" w:rsidRDefault="00B17A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A1EE" w14:textId="77777777" w:rsidR="00B17A2C" w:rsidRDefault="00B17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5F5C" w14:textId="77777777" w:rsidR="00997ABA" w:rsidRDefault="00997ABA" w:rsidP="00730C69">
      <w:pPr>
        <w:spacing w:line="240" w:lineRule="auto"/>
      </w:pPr>
      <w:r>
        <w:separator/>
      </w:r>
    </w:p>
  </w:footnote>
  <w:footnote w:type="continuationSeparator" w:id="0">
    <w:p w14:paraId="4E835B28" w14:textId="77777777" w:rsidR="00997ABA" w:rsidRDefault="00997ABA" w:rsidP="00730C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F949" w14:textId="77777777" w:rsidR="00B17A2C" w:rsidRDefault="00B17A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F9F24" w14:textId="77777777" w:rsidR="00B17A2C" w:rsidRDefault="00B17A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1AE5E" w14:textId="77777777" w:rsidR="00B17A2C" w:rsidRDefault="00B17A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C7118"/>
    <w:multiLevelType w:val="multilevel"/>
    <w:tmpl w:val="1004DD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62AA0"/>
    <w:multiLevelType w:val="multilevel"/>
    <w:tmpl w:val="13A606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A17213"/>
    <w:multiLevelType w:val="multilevel"/>
    <w:tmpl w:val="3B8835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192A70"/>
    <w:multiLevelType w:val="multilevel"/>
    <w:tmpl w:val="AFAA8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D7064C"/>
    <w:multiLevelType w:val="multilevel"/>
    <w:tmpl w:val="637047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5A4AF0"/>
    <w:multiLevelType w:val="multilevel"/>
    <w:tmpl w:val="283A9F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F6427D"/>
    <w:multiLevelType w:val="multilevel"/>
    <w:tmpl w:val="C938DF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7523BE"/>
    <w:multiLevelType w:val="multilevel"/>
    <w:tmpl w:val="EFE27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2452CF"/>
    <w:multiLevelType w:val="hybridMultilevel"/>
    <w:tmpl w:val="2D428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FF49A3"/>
    <w:multiLevelType w:val="multilevel"/>
    <w:tmpl w:val="73BA03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CD6840"/>
    <w:multiLevelType w:val="multilevel"/>
    <w:tmpl w:val="500AE1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0549430">
    <w:abstractNumId w:val="3"/>
  </w:num>
  <w:num w:numId="2" w16cid:durableId="2034458851">
    <w:abstractNumId w:val="2"/>
  </w:num>
  <w:num w:numId="3" w16cid:durableId="679820966">
    <w:abstractNumId w:val="5"/>
  </w:num>
  <w:num w:numId="4" w16cid:durableId="524096478">
    <w:abstractNumId w:val="7"/>
  </w:num>
  <w:num w:numId="5" w16cid:durableId="1252350644">
    <w:abstractNumId w:val="0"/>
  </w:num>
  <w:num w:numId="6" w16cid:durableId="1863744270">
    <w:abstractNumId w:val="10"/>
  </w:num>
  <w:num w:numId="7" w16cid:durableId="2008557320">
    <w:abstractNumId w:val="6"/>
  </w:num>
  <w:num w:numId="8" w16cid:durableId="736442584">
    <w:abstractNumId w:val="1"/>
  </w:num>
  <w:num w:numId="9" w16cid:durableId="576521333">
    <w:abstractNumId w:val="9"/>
  </w:num>
  <w:num w:numId="10" w16cid:durableId="2129228805">
    <w:abstractNumId w:val="4"/>
  </w:num>
  <w:num w:numId="11" w16cid:durableId="11826237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3NzExMjIytjAxNzBX0lEKTi0uzszPAykwqQUAqja5ziwAAAA="/>
  </w:docVars>
  <w:rsids>
    <w:rsidRoot w:val="000B075C"/>
    <w:rsid w:val="00025D66"/>
    <w:rsid w:val="00041DB6"/>
    <w:rsid w:val="000816B4"/>
    <w:rsid w:val="00085A7C"/>
    <w:rsid w:val="000B075C"/>
    <w:rsid w:val="00123E7A"/>
    <w:rsid w:val="0016045A"/>
    <w:rsid w:val="00165BF6"/>
    <w:rsid w:val="0016765B"/>
    <w:rsid w:val="00185FE5"/>
    <w:rsid w:val="001951F4"/>
    <w:rsid w:val="001A1C54"/>
    <w:rsid w:val="001D39AA"/>
    <w:rsid w:val="001F1111"/>
    <w:rsid w:val="002150F6"/>
    <w:rsid w:val="00217013"/>
    <w:rsid w:val="00271A59"/>
    <w:rsid w:val="00283BF5"/>
    <w:rsid w:val="002E5810"/>
    <w:rsid w:val="002F4F63"/>
    <w:rsid w:val="0034770A"/>
    <w:rsid w:val="00393162"/>
    <w:rsid w:val="003E491B"/>
    <w:rsid w:val="003E75C6"/>
    <w:rsid w:val="00400CF0"/>
    <w:rsid w:val="00410068"/>
    <w:rsid w:val="00412F4E"/>
    <w:rsid w:val="00450B64"/>
    <w:rsid w:val="0049192A"/>
    <w:rsid w:val="004B3755"/>
    <w:rsid w:val="004D6882"/>
    <w:rsid w:val="004D7CAC"/>
    <w:rsid w:val="00535F61"/>
    <w:rsid w:val="005758CA"/>
    <w:rsid w:val="005D7F2D"/>
    <w:rsid w:val="005F206E"/>
    <w:rsid w:val="00620DA1"/>
    <w:rsid w:val="00633339"/>
    <w:rsid w:val="00653121"/>
    <w:rsid w:val="00664BD5"/>
    <w:rsid w:val="006C7467"/>
    <w:rsid w:val="006D1B22"/>
    <w:rsid w:val="006D7D08"/>
    <w:rsid w:val="006E5059"/>
    <w:rsid w:val="006F03DE"/>
    <w:rsid w:val="006F663D"/>
    <w:rsid w:val="00726A3A"/>
    <w:rsid w:val="00730C69"/>
    <w:rsid w:val="007436DA"/>
    <w:rsid w:val="00757E28"/>
    <w:rsid w:val="007709AB"/>
    <w:rsid w:val="00775929"/>
    <w:rsid w:val="00797885"/>
    <w:rsid w:val="007A351A"/>
    <w:rsid w:val="007A5E3D"/>
    <w:rsid w:val="007C1671"/>
    <w:rsid w:val="007D40CF"/>
    <w:rsid w:val="007D59AA"/>
    <w:rsid w:val="0088727D"/>
    <w:rsid w:val="008F6E68"/>
    <w:rsid w:val="009102FC"/>
    <w:rsid w:val="00921CF2"/>
    <w:rsid w:val="00944B76"/>
    <w:rsid w:val="00962A3E"/>
    <w:rsid w:val="00985F64"/>
    <w:rsid w:val="00997ABA"/>
    <w:rsid w:val="00A301FB"/>
    <w:rsid w:val="00A472BF"/>
    <w:rsid w:val="00A55A45"/>
    <w:rsid w:val="00A811E2"/>
    <w:rsid w:val="00A83173"/>
    <w:rsid w:val="00AA696D"/>
    <w:rsid w:val="00AB55D9"/>
    <w:rsid w:val="00AF6B1E"/>
    <w:rsid w:val="00B11656"/>
    <w:rsid w:val="00B17A2C"/>
    <w:rsid w:val="00B651B2"/>
    <w:rsid w:val="00B71D69"/>
    <w:rsid w:val="00B87781"/>
    <w:rsid w:val="00BA636D"/>
    <w:rsid w:val="00BE53BA"/>
    <w:rsid w:val="00BF1142"/>
    <w:rsid w:val="00C4526B"/>
    <w:rsid w:val="00CD1777"/>
    <w:rsid w:val="00CD1E0F"/>
    <w:rsid w:val="00CE0D2C"/>
    <w:rsid w:val="00CF2403"/>
    <w:rsid w:val="00D26A30"/>
    <w:rsid w:val="00D31A98"/>
    <w:rsid w:val="00D40356"/>
    <w:rsid w:val="00D800CC"/>
    <w:rsid w:val="00DA77D7"/>
    <w:rsid w:val="00DF1879"/>
    <w:rsid w:val="00E14E72"/>
    <w:rsid w:val="00E219AD"/>
    <w:rsid w:val="00E44415"/>
    <w:rsid w:val="00E5116F"/>
    <w:rsid w:val="00E70F81"/>
    <w:rsid w:val="00E7504F"/>
    <w:rsid w:val="00E814E2"/>
    <w:rsid w:val="00E833A0"/>
    <w:rsid w:val="00E85B33"/>
    <w:rsid w:val="00E97F29"/>
    <w:rsid w:val="00EA0226"/>
    <w:rsid w:val="00EB23A8"/>
    <w:rsid w:val="00EC4D61"/>
    <w:rsid w:val="00EF0C8E"/>
    <w:rsid w:val="00F058EE"/>
    <w:rsid w:val="00F06DDC"/>
    <w:rsid w:val="00F5465C"/>
    <w:rsid w:val="00F560A8"/>
    <w:rsid w:val="00F67427"/>
    <w:rsid w:val="00F827DB"/>
    <w:rsid w:val="00F8420B"/>
    <w:rsid w:val="00FA0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72D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339"/>
    <w:rPr>
      <w:rFonts w:ascii="Times New Roman" w:hAnsi="Times New Roman" w:cs="Calibri"/>
      <w:color w:val="000000" w:themeColor="text1"/>
      <w:sz w:val="24"/>
    </w:rPr>
  </w:style>
  <w:style w:type="paragraph" w:styleId="Heading1">
    <w:name w:val="heading 1"/>
    <w:next w:val="Normal"/>
    <w:link w:val="Heading1Char"/>
    <w:autoRedefine/>
    <w:uiPriority w:val="9"/>
    <w:qFormat/>
    <w:rsid w:val="00085A7C"/>
    <w:pPr>
      <w:keepNext/>
      <w:keepLines/>
      <w:spacing w:after="294"/>
      <w:ind w:left="10" w:hanging="10"/>
      <w:outlineLvl w:val="0"/>
    </w:pPr>
    <w:rPr>
      <w:rFonts w:ascii="Times New Roman" w:hAnsi="Times New Roman" w:cs="Calibri"/>
      <w:b/>
      <w:color w:val="365F91"/>
      <w:sz w:val="32"/>
    </w:rPr>
  </w:style>
  <w:style w:type="paragraph" w:styleId="Heading2">
    <w:name w:val="heading 2"/>
    <w:next w:val="Normal"/>
    <w:link w:val="Heading2Char"/>
    <w:autoRedefine/>
    <w:uiPriority w:val="9"/>
    <w:unhideWhenUsed/>
    <w:qFormat/>
    <w:rsid w:val="00085A7C"/>
    <w:pPr>
      <w:keepNext/>
      <w:keepLines/>
      <w:spacing w:after="76"/>
      <w:ind w:left="10" w:hanging="10"/>
      <w:outlineLvl w:val="1"/>
    </w:pPr>
    <w:rPr>
      <w:rFonts w:ascii="Times New Roman" w:hAnsi="Times New Roman" w:cs="Calibri"/>
      <w:b/>
      <w:color w:val="4F81BD"/>
      <w:sz w:val="28"/>
    </w:rPr>
  </w:style>
  <w:style w:type="paragraph" w:styleId="Heading3">
    <w:name w:val="heading 3"/>
    <w:basedOn w:val="Normal"/>
    <w:next w:val="Normal"/>
    <w:link w:val="Heading3Char"/>
    <w:autoRedefine/>
    <w:uiPriority w:val="9"/>
    <w:unhideWhenUsed/>
    <w:qFormat/>
    <w:rsid w:val="00CD1777"/>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A7C"/>
    <w:rPr>
      <w:rFonts w:ascii="Times New Roman" w:hAnsi="Times New Roman" w:cs="Calibri"/>
      <w:b/>
      <w:color w:val="365F91"/>
      <w:sz w:val="32"/>
    </w:rPr>
  </w:style>
  <w:style w:type="character" w:customStyle="1" w:styleId="Heading2Char">
    <w:name w:val="Heading 2 Char"/>
    <w:basedOn w:val="DefaultParagraphFont"/>
    <w:link w:val="Heading2"/>
    <w:uiPriority w:val="9"/>
    <w:rsid w:val="00085A7C"/>
    <w:rPr>
      <w:rFonts w:ascii="Times New Roman" w:hAnsi="Times New Roman" w:cs="Calibri"/>
      <w:b/>
      <w:color w:val="4F81BD"/>
      <w:sz w:val="28"/>
    </w:rPr>
  </w:style>
  <w:style w:type="character" w:customStyle="1" w:styleId="Heading3Char">
    <w:name w:val="Heading 3 Char"/>
    <w:basedOn w:val="DefaultParagraphFont"/>
    <w:link w:val="Heading3"/>
    <w:uiPriority w:val="9"/>
    <w:rsid w:val="00CD1777"/>
    <w:rPr>
      <w:rFonts w:ascii="Times New Roman" w:eastAsiaTheme="majorEastAsia" w:hAnsi="Times New Roman" w:cstheme="majorBidi"/>
      <w:b/>
      <w:color w:val="000000" w:themeColor="text1"/>
      <w:sz w:val="24"/>
      <w:szCs w:val="24"/>
    </w:rPr>
  </w:style>
  <w:style w:type="paragraph" w:styleId="NormalWeb">
    <w:name w:val="Normal (Web)"/>
    <w:basedOn w:val="Normal"/>
    <w:uiPriority w:val="99"/>
    <w:semiHidden/>
    <w:unhideWhenUsed/>
    <w:rsid w:val="00EB23A8"/>
    <w:rPr>
      <w:rFonts w:cs="Times New Roman"/>
      <w:szCs w:val="24"/>
    </w:rPr>
  </w:style>
  <w:style w:type="paragraph" w:styleId="ListParagraph">
    <w:name w:val="List Paragraph"/>
    <w:basedOn w:val="Normal"/>
    <w:uiPriority w:val="34"/>
    <w:qFormat/>
    <w:rsid w:val="00410068"/>
    <w:pPr>
      <w:ind w:left="720"/>
      <w:contextualSpacing/>
    </w:pPr>
  </w:style>
  <w:style w:type="paragraph" w:styleId="TOCHeading">
    <w:name w:val="TOC Heading"/>
    <w:basedOn w:val="Heading1"/>
    <w:next w:val="Normal"/>
    <w:uiPriority w:val="39"/>
    <w:unhideWhenUsed/>
    <w:qFormat/>
    <w:rsid w:val="00412F4E"/>
    <w:pPr>
      <w:spacing w:before="240" w:after="0" w:line="259" w:lineRule="auto"/>
      <w:ind w:left="0" w:firstLine="0"/>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412F4E"/>
    <w:pPr>
      <w:spacing w:after="100"/>
    </w:pPr>
  </w:style>
  <w:style w:type="character" w:styleId="Hyperlink">
    <w:name w:val="Hyperlink"/>
    <w:basedOn w:val="DefaultParagraphFont"/>
    <w:uiPriority w:val="99"/>
    <w:unhideWhenUsed/>
    <w:rsid w:val="00412F4E"/>
    <w:rPr>
      <w:color w:val="0563C1" w:themeColor="hyperlink"/>
      <w:u w:val="single"/>
    </w:rPr>
  </w:style>
  <w:style w:type="paragraph" w:styleId="Header">
    <w:name w:val="header"/>
    <w:basedOn w:val="Normal"/>
    <w:link w:val="HeaderChar"/>
    <w:uiPriority w:val="99"/>
    <w:unhideWhenUsed/>
    <w:rsid w:val="00730C69"/>
    <w:pPr>
      <w:tabs>
        <w:tab w:val="center" w:pos="4680"/>
        <w:tab w:val="right" w:pos="9360"/>
      </w:tabs>
      <w:spacing w:line="240" w:lineRule="auto"/>
    </w:pPr>
  </w:style>
  <w:style w:type="character" w:customStyle="1" w:styleId="HeaderChar">
    <w:name w:val="Header Char"/>
    <w:basedOn w:val="DefaultParagraphFont"/>
    <w:link w:val="Header"/>
    <w:uiPriority w:val="99"/>
    <w:rsid w:val="00730C69"/>
    <w:rPr>
      <w:rFonts w:ascii="Times New Roman" w:hAnsi="Times New Roman" w:cs="Calibri"/>
      <w:color w:val="000000" w:themeColor="text1"/>
      <w:sz w:val="24"/>
    </w:rPr>
  </w:style>
  <w:style w:type="paragraph" w:styleId="Footer">
    <w:name w:val="footer"/>
    <w:basedOn w:val="Normal"/>
    <w:link w:val="FooterChar"/>
    <w:uiPriority w:val="99"/>
    <w:unhideWhenUsed/>
    <w:rsid w:val="00730C69"/>
    <w:pPr>
      <w:tabs>
        <w:tab w:val="center" w:pos="4680"/>
        <w:tab w:val="right" w:pos="9360"/>
      </w:tabs>
      <w:spacing w:line="240" w:lineRule="auto"/>
    </w:pPr>
  </w:style>
  <w:style w:type="character" w:customStyle="1" w:styleId="FooterChar">
    <w:name w:val="Footer Char"/>
    <w:basedOn w:val="DefaultParagraphFont"/>
    <w:link w:val="Footer"/>
    <w:uiPriority w:val="99"/>
    <w:rsid w:val="00730C69"/>
    <w:rPr>
      <w:rFonts w:ascii="Times New Roman" w:hAnsi="Times New Roman" w:cs="Calibri"/>
      <w:color w:val="000000" w:themeColor="text1"/>
      <w:sz w:val="24"/>
    </w:rPr>
  </w:style>
  <w:style w:type="paragraph" w:styleId="TOC2">
    <w:name w:val="toc 2"/>
    <w:basedOn w:val="Normal"/>
    <w:next w:val="Normal"/>
    <w:autoRedefine/>
    <w:uiPriority w:val="39"/>
    <w:unhideWhenUsed/>
    <w:rsid w:val="00DF18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4038">
      <w:bodyDiv w:val="1"/>
      <w:marLeft w:val="0"/>
      <w:marRight w:val="0"/>
      <w:marTop w:val="0"/>
      <w:marBottom w:val="0"/>
      <w:divBdr>
        <w:top w:val="none" w:sz="0" w:space="0" w:color="auto"/>
        <w:left w:val="none" w:sz="0" w:space="0" w:color="auto"/>
        <w:bottom w:val="none" w:sz="0" w:space="0" w:color="auto"/>
        <w:right w:val="none" w:sz="0" w:space="0" w:color="auto"/>
      </w:divBdr>
    </w:div>
    <w:div w:id="117379455">
      <w:bodyDiv w:val="1"/>
      <w:marLeft w:val="0"/>
      <w:marRight w:val="0"/>
      <w:marTop w:val="0"/>
      <w:marBottom w:val="0"/>
      <w:divBdr>
        <w:top w:val="none" w:sz="0" w:space="0" w:color="auto"/>
        <w:left w:val="none" w:sz="0" w:space="0" w:color="auto"/>
        <w:bottom w:val="none" w:sz="0" w:space="0" w:color="auto"/>
        <w:right w:val="none" w:sz="0" w:space="0" w:color="auto"/>
      </w:divBdr>
    </w:div>
    <w:div w:id="161240031">
      <w:bodyDiv w:val="1"/>
      <w:marLeft w:val="0"/>
      <w:marRight w:val="0"/>
      <w:marTop w:val="0"/>
      <w:marBottom w:val="0"/>
      <w:divBdr>
        <w:top w:val="none" w:sz="0" w:space="0" w:color="auto"/>
        <w:left w:val="none" w:sz="0" w:space="0" w:color="auto"/>
        <w:bottom w:val="none" w:sz="0" w:space="0" w:color="auto"/>
        <w:right w:val="none" w:sz="0" w:space="0" w:color="auto"/>
      </w:divBdr>
    </w:div>
    <w:div w:id="175703934">
      <w:bodyDiv w:val="1"/>
      <w:marLeft w:val="0"/>
      <w:marRight w:val="0"/>
      <w:marTop w:val="0"/>
      <w:marBottom w:val="0"/>
      <w:divBdr>
        <w:top w:val="none" w:sz="0" w:space="0" w:color="auto"/>
        <w:left w:val="none" w:sz="0" w:space="0" w:color="auto"/>
        <w:bottom w:val="none" w:sz="0" w:space="0" w:color="auto"/>
        <w:right w:val="none" w:sz="0" w:space="0" w:color="auto"/>
      </w:divBdr>
    </w:div>
    <w:div w:id="231351073">
      <w:bodyDiv w:val="1"/>
      <w:marLeft w:val="0"/>
      <w:marRight w:val="0"/>
      <w:marTop w:val="0"/>
      <w:marBottom w:val="0"/>
      <w:divBdr>
        <w:top w:val="none" w:sz="0" w:space="0" w:color="auto"/>
        <w:left w:val="none" w:sz="0" w:space="0" w:color="auto"/>
        <w:bottom w:val="none" w:sz="0" w:space="0" w:color="auto"/>
        <w:right w:val="none" w:sz="0" w:space="0" w:color="auto"/>
      </w:divBdr>
    </w:div>
    <w:div w:id="325478698">
      <w:bodyDiv w:val="1"/>
      <w:marLeft w:val="0"/>
      <w:marRight w:val="0"/>
      <w:marTop w:val="0"/>
      <w:marBottom w:val="0"/>
      <w:divBdr>
        <w:top w:val="none" w:sz="0" w:space="0" w:color="auto"/>
        <w:left w:val="none" w:sz="0" w:space="0" w:color="auto"/>
        <w:bottom w:val="none" w:sz="0" w:space="0" w:color="auto"/>
        <w:right w:val="none" w:sz="0" w:space="0" w:color="auto"/>
      </w:divBdr>
    </w:div>
    <w:div w:id="406920105">
      <w:bodyDiv w:val="1"/>
      <w:marLeft w:val="0"/>
      <w:marRight w:val="0"/>
      <w:marTop w:val="0"/>
      <w:marBottom w:val="0"/>
      <w:divBdr>
        <w:top w:val="none" w:sz="0" w:space="0" w:color="auto"/>
        <w:left w:val="none" w:sz="0" w:space="0" w:color="auto"/>
        <w:bottom w:val="none" w:sz="0" w:space="0" w:color="auto"/>
        <w:right w:val="none" w:sz="0" w:space="0" w:color="auto"/>
      </w:divBdr>
    </w:div>
    <w:div w:id="412626303">
      <w:bodyDiv w:val="1"/>
      <w:marLeft w:val="0"/>
      <w:marRight w:val="0"/>
      <w:marTop w:val="0"/>
      <w:marBottom w:val="0"/>
      <w:divBdr>
        <w:top w:val="none" w:sz="0" w:space="0" w:color="auto"/>
        <w:left w:val="none" w:sz="0" w:space="0" w:color="auto"/>
        <w:bottom w:val="none" w:sz="0" w:space="0" w:color="auto"/>
        <w:right w:val="none" w:sz="0" w:space="0" w:color="auto"/>
      </w:divBdr>
    </w:div>
    <w:div w:id="455805377">
      <w:bodyDiv w:val="1"/>
      <w:marLeft w:val="0"/>
      <w:marRight w:val="0"/>
      <w:marTop w:val="0"/>
      <w:marBottom w:val="0"/>
      <w:divBdr>
        <w:top w:val="none" w:sz="0" w:space="0" w:color="auto"/>
        <w:left w:val="none" w:sz="0" w:space="0" w:color="auto"/>
        <w:bottom w:val="none" w:sz="0" w:space="0" w:color="auto"/>
        <w:right w:val="none" w:sz="0" w:space="0" w:color="auto"/>
      </w:divBdr>
    </w:div>
    <w:div w:id="480343478">
      <w:bodyDiv w:val="1"/>
      <w:marLeft w:val="0"/>
      <w:marRight w:val="0"/>
      <w:marTop w:val="0"/>
      <w:marBottom w:val="0"/>
      <w:divBdr>
        <w:top w:val="none" w:sz="0" w:space="0" w:color="auto"/>
        <w:left w:val="none" w:sz="0" w:space="0" w:color="auto"/>
        <w:bottom w:val="none" w:sz="0" w:space="0" w:color="auto"/>
        <w:right w:val="none" w:sz="0" w:space="0" w:color="auto"/>
      </w:divBdr>
    </w:div>
    <w:div w:id="515581301">
      <w:bodyDiv w:val="1"/>
      <w:marLeft w:val="0"/>
      <w:marRight w:val="0"/>
      <w:marTop w:val="0"/>
      <w:marBottom w:val="0"/>
      <w:divBdr>
        <w:top w:val="none" w:sz="0" w:space="0" w:color="auto"/>
        <w:left w:val="none" w:sz="0" w:space="0" w:color="auto"/>
        <w:bottom w:val="none" w:sz="0" w:space="0" w:color="auto"/>
        <w:right w:val="none" w:sz="0" w:space="0" w:color="auto"/>
      </w:divBdr>
    </w:div>
    <w:div w:id="609237167">
      <w:bodyDiv w:val="1"/>
      <w:marLeft w:val="0"/>
      <w:marRight w:val="0"/>
      <w:marTop w:val="0"/>
      <w:marBottom w:val="0"/>
      <w:divBdr>
        <w:top w:val="none" w:sz="0" w:space="0" w:color="auto"/>
        <w:left w:val="none" w:sz="0" w:space="0" w:color="auto"/>
        <w:bottom w:val="none" w:sz="0" w:space="0" w:color="auto"/>
        <w:right w:val="none" w:sz="0" w:space="0" w:color="auto"/>
      </w:divBdr>
    </w:div>
    <w:div w:id="639573377">
      <w:bodyDiv w:val="1"/>
      <w:marLeft w:val="0"/>
      <w:marRight w:val="0"/>
      <w:marTop w:val="0"/>
      <w:marBottom w:val="0"/>
      <w:divBdr>
        <w:top w:val="none" w:sz="0" w:space="0" w:color="auto"/>
        <w:left w:val="none" w:sz="0" w:space="0" w:color="auto"/>
        <w:bottom w:val="none" w:sz="0" w:space="0" w:color="auto"/>
        <w:right w:val="none" w:sz="0" w:space="0" w:color="auto"/>
      </w:divBdr>
    </w:div>
    <w:div w:id="751394368">
      <w:bodyDiv w:val="1"/>
      <w:marLeft w:val="0"/>
      <w:marRight w:val="0"/>
      <w:marTop w:val="0"/>
      <w:marBottom w:val="0"/>
      <w:divBdr>
        <w:top w:val="none" w:sz="0" w:space="0" w:color="auto"/>
        <w:left w:val="none" w:sz="0" w:space="0" w:color="auto"/>
        <w:bottom w:val="none" w:sz="0" w:space="0" w:color="auto"/>
        <w:right w:val="none" w:sz="0" w:space="0" w:color="auto"/>
      </w:divBdr>
    </w:div>
    <w:div w:id="763456377">
      <w:bodyDiv w:val="1"/>
      <w:marLeft w:val="0"/>
      <w:marRight w:val="0"/>
      <w:marTop w:val="0"/>
      <w:marBottom w:val="0"/>
      <w:divBdr>
        <w:top w:val="none" w:sz="0" w:space="0" w:color="auto"/>
        <w:left w:val="none" w:sz="0" w:space="0" w:color="auto"/>
        <w:bottom w:val="none" w:sz="0" w:space="0" w:color="auto"/>
        <w:right w:val="none" w:sz="0" w:space="0" w:color="auto"/>
      </w:divBdr>
    </w:div>
    <w:div w:id="771975279">
      <w:bodyDiv w:val="1"/>
      <w:marLeft w:val="0"/>
      <w:marRight w:val="0"/>
      <w:marTop w:val="0"/>
      <w:marBottom w:val="0"/>
      <w:divBdr>
        <w:top w:val="none" w:sz="0" w:space="0" w:color="auto"/>
        <w:left w:val="none" w:sz="0" w:space="0" w:color="auto"/>
        <w:bottom w:val="none" w:sz="0" w:space="0" w:color="auto"/>
        <w:right w:val="none" w:sz="0" w:space="0" w:color="auto"/>
      </w:divBdr>
    </w:div>
    <w:div w:id="828909649">
      <w:bodyDiv w:val="1"/>
      <w:marLeft w:val="0"/>
      <w:marRight w:val="0"/>
      <w:marTop w:val="0"/>
      <w:marBottom w:val="0"/>
      <w:divBdr>
        <w:top w:val="none" w:sz="0" w:space="0" w:color="auto"/>
        <w:left w:val="none" w:sz="0" w:space="0" w:color="auto"/>
        <w:bottom w:val="none" w:sz="0" w:space="0" w:color="auto"/>
        <w:right w:val="none" w:sz="0" w:space="0" w:color="auto"/>
      </w:divBdr>
    </w:div>
    <w:div w:id="904878336">
      <w:bodyDiv w:val="1"/>
      <w:marLeft w:val="0"/>
      <w:marRight w:val="0"/>
      <w:marTop w:val="0"/>
      <w:marBottom w:val="0"/>
      <w:divBdr>
        <w:top w:val="none" w:sz="0" w:space="0" w:color="auto"/>
        <w:left w:val="none" w:sz="0" w:space="0" w:color="auto"/>
        <w:bottom w:val="none" w:sz="0" w:space="0" w:color="auto"/>
        <w:right w:val="none" w:sz="0" w:space="0" w:color="auto"/>
      </w:divBdr>
    </w:div>
    <w:div w:id="953025133">
      <w:bodyDiv w:val="1"/>
      <w:marLeft w:val="0"/>
      <w:marRight w:val="0"/>
      <w:marTop w:val="0"/>
      <w:marBottom w:val="0"/>
      <w:divBdr>
        <w:top w:val="none" w:sz="0" w:space="0" w:color="auto"/>
        <w:left w:val="none" w:sz="0" w:space="0" w:color="auto"/>
        <w:bottom w:val="none" w:sz="0" w:space="0" w:color="auto"/>
        <w:right w:val="none" w:sz="0" w:space="0" w:color="auto"/>
      </w:divBdr>
    </w:div>
    <w:div w:id="958604278">
      <w:bodyDiv w:val="1"/>
      <w:marLeft w:val="0"/>
      <w:marRight w:val="0"/>
      <w:marTop w:val="0"/>
      <w:marBottom w:val="0"/>
      <w:divBdr>
        <w:top w:val="none" w:sz="0" w:space="0" w:color="auto"/>
        <w:left w:val="none" w:sz="0" w:space="0" w:color="auto"/>
        <w:bottom w:val="none" w:sz="0" w:space="0" w:color="auto"/>
        <w:right w:val="none" w:sz="0" w:space="0" w:color="auto"/>
      </w:divBdr>
    </w:div>
    <w:div w:id="978920477">
      <w:bodyDiv w:val="1"/>
      <w:marLeft w:val="0"/>
      <w:marRight w:val="0"/>
      <w:marTop w:val="0"/>
      <w:marBottom w:val="0"/>
      <w:divBdr>
        <w:top w:val="none" w:sz="0" w:space="0" w:color="auto"/>
        <w:left w:val="none" w:sz="0" w:space="0" w:color="auto"/>
        <w:bottom w:val="none" w:sz="0" w:space="0" w:color="auto"/>
        <w:right w:val="none" w:sz="0" w:space="0" w:color="auto"/>
      </w:divBdr>
    </w:div>
    <w:div w:id="1027296375">
      <w:bodyDiv w:val="1"/>
      <w:marLeft w:val="0"/>
      <w:marRight w:val="0"/>
      <w:marTop w:val="0"/>
      <w:marBottom w:val="0"/>
      <w:divBdr>
        <w:top w:val="none" w:sz="0" w:space="0" w:color="auto"/>
        <w:left w:val="none" w:sz="0" w:space="0" w:color="auto"/>
        <w:bottom w:val="none" w:sz="0" w:space="0" w:color="auto"/>
        <w:right w:val="none" w:sz="0" w:space="0" w:color="auto"/>
      </w:divBdr>
    </w:div>
    <w:div w:id="1056124031">
      <w:bodyDiv w:val="1"/>
      <w:marLeft w:val="0"/>
      <w:marRight w:val="0"/>
      <w:marTop w:val="0"/>
      <w:marBottom w:val="0"/>
      <w:divBdr>
        <w:top w:val="none" w:sz="0" w:space="0" w:color="auto"/>
        <w:left w:val="none" w:sz="0" w:space="0" w:color="auto"/>
        <w:bottom w:val="none" w:sz="0" w:space="0" w:color="auto"/>
        <w:right w:val="none" w:sz="0" w:space="0" w:color="auto"/>
      </w:divBdr>
    </w:div>
    <w:div w:id="1280184880">
      <w:bodyDiv w:val="1"/>
      <w:marLeft w:val="0"/>
      <w:marRight w:val="0"/>
      <w:marTop w:val="0"/>
      <w:marBottom w:val="0"/>
      <w:divBdr>
        <w:top w:val="none" w:sz="0" w:space="0" w:color="auto"/>
        <w:left w:val="none" w:sz="0" w:space="0" w:color="auto"/>
        <w:bottom w:val="none" w:sz="0" w:space="0" w:color="auto"/>
        <w:right w:val="none" w:sz="0" w:space="0" w:color="auto"/>
      </w:divBdr>
    </w:div>
    <w:div w:id="1297638693">
      <w:bodyDiv w:val="1"/>
      <w:marLeft w:val="0"/>
      <w:marRight w:val="0"/>
      <w:marTop w:val="0"/>
      <w:marBottom w:val="0"/>
      <w:divBdr>
        <w:top w:val="none" w:sz="0" w:space="0" w:color="auto"/>
        <w:left w:val="none" w:sz="0" w:space="0" w:color="auto"/>
        <w:bottom w:val="none" w:sz="0" w:space="0" w:color="auto"/>
        <w:right w:val="none" w:sz="0" w:space="0" w:color="auto"/>
      </w:divBdr>
    </w:div>
    <w:div w:id="1298990142">
      <w:bodyDiv w:val="1"/>
      <w:marLeft w:val="0"/>
      <w:marRight w:val="0"/>
      <w:marTop w:val="0"/>
      <w:marBottom w:val="0"/>
      <w:divBdr>
        <w:top w:val="none" w:sz="0" w:space="0" w:color="auto"/>
        <w:left w:val="none" w:sz="0" w:space="0" w:color="auto"/>
        <w:bottom w:val="none" w:sz="0" w:space="0" w:color="auto"/>
        <w:right w:val="none" w:sz="0" w:space="0" w:color="auto"/>
      </w:divBdr>
    </w:div>
    <w:div w:id="1657025945">
      <w:bodyDiv w:val="1"/>
      <w:marLeft w:val="0"/>
      <w:marRight w:val="0"/>
      <w:marTop w:val="0"/>
      <w:marBottom w:val="0"/>
      <w:divBdr>
        <w:top w:val="none" w:sz="0" w:space="0" w:color="auto"/>
        <w:left w:val="none" w:sz="0" w:space="0" w:color="auto"/>
        <w:bottom w:val="none" w:sz="0" w:space="0" w:color="auto"/>
        <w:right w:val="none" w:sz="0" w:space="0" w:color="auto"/>
      </w:divBdr>
    </w:div>
    <w:div w:id="1678266949">
      <w:bodyDiv w:val="1"/>
      <w:marLeft w:val="0"/>
      <w:marRight w:val="0"/>
      <w:marTop w:val="0"/>
      <w:marBottom w:val="0"/>
      <w:divBdr>
        <w:top w:val="none" w:sz="0" w:space="0" w:color="auto"/>
        <w:left w:val="none" w:sz="0" w:space="0" w:color="auto"/>
        <w:bottom w:val="none" w:sz="0" w:space="0" w:color="auto"/>
        <w:right w:val="none" w:sz="0" w:space="0" w:color="auto"/>
      </w:divBdr>
    </w:div>
    <w:div w:id="1829248387">
      <w:bodyDiv w:val="1"/>
      <w:marLeft w:val="0"/>
      <w:marRight w:val="0"/>
      <w:marTop w:val="0"/>
      <w:marBottom w:val="0"/>
      <w:divBdr>
        <w:top w:val="none" w:sz="0" w:space="0" w:color="auto"/>
        <w:left w:val="none" w:sz="0" w:space="0" w:color="auto"/>
        <w:bottom w:val="none" w:sz="0" w:space="0" w:color="auto"/>
        <w:right w:val="none" w:sz="0" w:space="0" w:color="auto"/>
      </w:divBdr>
    </w:div>
    <w:div w:id="1869682041">
      <w:bodyDiv w:val="1"/>
      <w:marLeft w:val="0"/>
      <w:marRight w:val="0"/>
      <w:marTop w:val="0"/>
      <w:marBottom w:val="0"/>
      <w:divBdr>
        <w:top w:val="none" w:sz="0" w:space="0" w:color="auto"/>
        <w:left w:val="none" w:sz="0" w:space="0" w:color="auto"/>
        <w:bottom w:val="none" w:sz="0" w:space="0" w:color="auto"/>
        <w:right w:val="none" w:sz="0" w:space="0" w:color="auto"/>
      </w:divBdr>
    </w:div>
    <w:div w:id="1884514367">
      <w:bodyDiv w:val="1"/>
      <w:marLeft w:val="0"/>
      <w:marRight w:val="0"/>
      <w:marTop w:val="0"/>
      <w:marBottom w:val="0"/>
      <w:divBdr>
        <w:top w:val="none" w:sz="0" w:space="0" w:color="auto"/>
        <w:left w:val="none" w:sz="0" w:space="0" w:color="auto"/>
        <w:bottom w:val="none" w:sz="0" w:space="0" w:color="auto"/>
        <w:right w:val="none" w:sz="0" w:space="0" w:color="auto"/>
      </w:divBdr>
    </w:div>
    <w:div w:id="206833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A8AA0-DC4E-4D9B-8679-73F5CE563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2568</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2023-05-05T14:26:00Z</dcterms:created>
  <dcterms:modified xsi:type="dcterms:W3CDTF">2023-05-05T17:17:00Z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a4c9e17f6d7088485fefe2719ade65ddd4714f1884fdc2e574149682196f74fc</vt:lpwstr>
  </property>
</Properties>
</file>