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6CB13F8E" w14:textId="77777777" w:rsidR="00C046F0" w:rsidRDefault="00C046F0">
      <w:pPr>
        <w:jc w:val="center"/>
        <w:rPr>
          <w:rFonts w:ascii="Times New Roman" w:eastAsia="Times New Roman" w:hAnsi="Times New Roman" w:cs="Times New Roman"/>
          <w:sz w:val="24"/>
          <w:szCs w:val="24"/>
        </w:rPr>
      </w:pPr>
    </w:p>
    <w:p w14:paraId="3E77D458" w14:textId="77777777" w:rsidR="00C046F0" w:rsidRDefault="00C046F0">
      <w:pPr>
        <w:jc w:val="center"/>
        <w:rPr>
          <w:rFonts w:ascii="Times New Roman" w:eastAsia="Times New Roman" w:hAnsi="Times New Roman" w:cs="Times New Roman"/>
          <w:sz w:val="24"/>
          <w:szCs w:val="24"/>
        </w:rPr>
      </w:pPr>
    </w:p>
    <w:p w14:paraId="556C5C43" w14:textId="66E01AFA" w:rsidR="003B078D" w:rsidRDefault="00000000">
      <w:pPr>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EE4FBA0" wp14:editId="319615D9">
            <wp:extent cx="3381375" cy="13525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
                    <a:srcRect/>
                    <a:stretch>
                      <a:fillRect/>
                    </a:stretch>
                  </pic:blipFill>
                  <pic:spPr>
                    <a:xfrm>
                      <a:off x="0" y="0"/>
                      <a:ext cx="3381375" cy="1352550"/>
                    </a:xfrm>
                    <a:prstGeom prst="rect">
                      <a:avLst/>
                    </a:prstGeom>
                    <a:ln/>
                  </pic:spPr>
                </pic:pic>
              </a:graphicData>
            </a:graphic>
          </wp:inline>
        </w:drawing>
      </w:r>
    </w:p>
    <w:p w14:paraId="391C60BD" w14:textId="77777777" w:rsidR="003B078D" w:rsidRDefault="003B078D">
      <w:pPr>
        <w:jc w:val="center"/>
        <w:rPr>
          <w:rFonts w:ascii="Times New Roman" w:eastAsia="Times New Roman" w:hAnsi="Times New Roman" w:cs="Times New Roman"/>
          <w:sz w:val="24"/>
          <w:szCs w:val="24"/>
        </w:rPr>
      </w:pPr>
    </w:p>
    <w:p w14:paraId="10B809CE" w14:textId="77777777" w:rsidR="003B078D" w:rsidRDefault="003B078D">
      <w:pPr>
        <w:jc w:val="center"/>
        <w:rPr>
          <w:rFonts w:ascii="Times New Roman" w:eastAsia="Times New Roman" w:hAnsi="Times New Roman" w:cs="Times New Roman"/>
          <w:sz w:val="24"/>
          <w:szCs w:val="24"/>
        </w:rPr>
      </w:pPr>
    </w:p>
    <w:p w14:paraId="7F5CE0D3" w14:textId="77777777" w:rsidR="003B078D" w:rsidRDefault="003B078D">
      <w:pPr>
        <w:jc w:val="center"/>
        <w:rPr>
          <w:rFonts w:ascii="Times New Roman" w:eastAsia="Times New Roman" w:hAnsi="Times New Roman" w:cs="Times New Roman"/>
          <w:sz w:val="24"/>
          <w:szCs w:val="24"/>
        </w:rPr>
      </w:pPr>
    </w:p>
    <w:p w14:paraId="2929F950" w14:textId="77777777" w:rsidR="003B078D" w:rsidRDefault="003B078D">
      <w:pPr>
        <w:jc w:val="center"/>
        <w:rPr>
          <w:rFonts w:ascii="Times New Roman" w:eastAsia="Times New Roman" w:hAnsi="Times New Roman" w:cs="Times New Roman"/>
          <w:sz w:val="24"/>
          <w:szCs w:val="24"/>
        </w:rPr>
      </w:pPr>
    </w:p>
    <w:p w14:paraId="4A4E32E0" w14:textId="77777777" w:rsidR="003B078D" w:rsidRDefault="003B078D">
      <w:pPr>
        <w:jc w:val="center"/>
        <w:rPr>
          <w:rFonts w:ascii="Times New Roman" w:eastAsia="Times New Roman" w:hAnsi="Times New Roman" w:cs="Times New Roman"/>
          <w:sz w:val="24"/>
          <w:szCs w:val="24"/>
        </w:rPr>
      </w:pPr>
    </w:p>
    <w:p w14:paraId="350299C9" w14:textId="29397E5E"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Student Name: </w:t>
      </w:r>
      <w:proofErr w:type="spellStart"/>
      <w:r>
        <w:rPr>
          <w:rFonts w:ascii="Times New Roman" w:eastAsia="Times New Roman" w:hAnsi="Times New Roman" w:cs="Times New Roman"/>
          <w:b/>
          <w:bCs/>
          <w:sz w:val="24"/>
          <w:szCs w:val="24"/>
        </w:rPr>
        <w:t>Rohan</w:t>
      </w:r>
      <w:r w:rsidR="00AC1EDB">
        <w:rPr>
          <w:rFonts w:ascii="Times New Roman" w:eastAsia="Times New Roman" w:hAnsi="Times New Roman" w:cs="Times New Roman"/>
          <w:b/>
          <w:bCs/>
          <w:sz w:val="24"/>
          <w:szCs w:val="24"/>
        </w:rPr>
        <w:t>kumar</w:t>
      </w:r>
      <w:proofErr w:type="spellEnd"/>
      <w:r w:rsidR="00AC1EDB">
        <w:rPr>
          <w:rFonts w:ascii="Times New Roman" w:eastAsia="Times New Roman" w:hAnsi="Times New Roman" w:cs="Times New Roman"/>
          <w:b/>
          <w:bCs/>
          <w:sz w:val="24"/>
          <w:szCs w:val="24"/>
        </w:rPr>
        <w:t xml:space="preserve"> </w:t>
      </w:r>
      <w:proofErr w:type="spellStart"/>
      <w:r w:rsidR="00AC1EDB">
        <w:rPr>
          <w:rFonts w:ascii="Times New Roman" w:eastAsia="Times New Roman" w:hAnsi="Times New Roman" w:cs="Times New Roman"/>
          <w:b/>
          <w:bCs/>
          <w:sz w:val="24"/>
          <w:szCs w:val="24"/>
        </w:rPr>
        <w:t>Rajeshbhai</w:t>
      </w:r>
      <w:proofErr w:type="spellEnd"/>
      <w:r>
        <w:rPr>
          <w:rFonts w:ascii="Times New Roman" w:eastAsia="Times New Roman" w:hAnsi="Times New Roman" w:cs="Times New Roman"/>
          <w:b/>
          <w:bCs/>
          <w:sz w:val="24"/>
          <w:szCs w:val="24"/>
        </w:rPr>
        <w:t xml:space="preserve"> Patel </w:t>
      </w:r>
    </w:p>
    <w:p w14:paraId="3FD288C4"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0AD58B64"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Student ID: 2530043</w:t>
      </w:r>
    </w:p>
    <w:p w14:paraId="3D513A0B" w14:textId="77777777" w:rsidR="003B078D" w:rsidRDefault="003B078D">
      <w:pPr>
        <w:jc w:val="center"/>
        <w:rPr>
          <w:rFonts w:ascii="Times New Roman" w:eastAsia="Times New Roman" w:hAnsi="Times New Roman" w:cs="Times New Roman"/>
          <w:sz w:val="24"/>
          <w:szCs w:val="24"/>
        </w:rPr>
      </w:pPr>
    </w:p>
    <w:p w14:paraId="702C931B" w14:textId="77777777" w:rsidR="003B078D" w:rsidRDefault="003B078D">
      <w:pPr>
        <w:jc w:val="center"/>
        <w:rPr>
          <w:rFonts w:ascii="Times New Roman" w:eastAsia="Times New Roman" w:hAnsi="Times New Roman" w:cs="Times New Roman"/>
          <w:sz w:val="24"/>
          <w:szCs w:val="24"/>
        </w:rPr>
      </w:pPr>
    </w:p>
    <w:p w14:paraId="79146E36"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Module Name: Marketing Management </w:t>
      </w:r>
    </w:p>
    <w:p w14:paraId="1FD5141E" w14:textId="77777777" w:rsidR="003B078D" w:rsidRDefault="003B078D">
      <w:pPr>
        <w:jc w:val="center"/>
        <w:rPr>
          <w:rFonts w:ascii="Times New Roman" w:eastAsia="Times New Roman" w:hAnsi="Times New Roman" w:cs="Times New Roman"/>
          <w:b/>
          <w:bCs/>
          <w:sz w:val="24"/>
          <w:szCs w:val="24"/>
        </w:rPr>
      </w:pPr>
    </w:p>
    <w:p w14:paraId="4C71782C"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Module Code: LCMB7024</w:t>
      </w:r>
    </w:p>
    <w:p w14:paraId="381C0F72" w14:textId="77777777" w:rsidR="003B078D" w:rsidRDefault="003B078D">
      <w:pPr>
        <w:jc w:val="center"/>
        <w:rPr>
          <w:rFonts w:ascii="Times New Roman" w:eastAsia="Times New Roman" w:hAnsi="Times New Roman" w:cs="Times New Roman"/>
          <w:b/>
          <w:bCs/>
          <w:sz w:val="24"/>
          <w:szCs w:val="24"/>
        </w:rPr>
      </w:pPr>
    </w:p>
    <w:p w14:paraId="27894BA0" w14:textId="77777777" w:rsidR="003B078D" w:rsidRDefault="003B078D">
      <w:pPr>
        <w:jc w:val="center"/>
        <w:rPr>
          <w:rFonts w:ascii="Times New Roman" w:eastAsia="Times New Roman" w:hAnsi="Times New Roman" w:cs="Times New Roman"/>
          <w:b/>
          <w:bCs/>
          <w:sz w:val="24"/>
          <w:szCs w:val="24"/>
        </w:rPr>
      </w:pPr>
    </w:p>
    <w:p w14:paraId="59271057" w14:textId="77777777" w:rsidR="003B078D" w:rsidRDefault="003B078D">
      <w:pPr>
        <w:jc w:val="center"/>
        <w:rPr>
          <w:rFonts w:ascii="Times New Roman" w:eastAsia="Times New Roman" w:hAnsi="Times New Roman" w:cs="Times New Roman"/>
          <w:b/>
          <w:bCs/>
          <w:sz w:val="24"/>
          <w:szCs w:val="24"/>
        </w:rPr>
      </w:pPr>
    </w:p>
    <w:p w14:paraId="4AAAC3EE" w14:textId="77777777" w:rsidR="003B078D" w:rsidRDefault="003B078D">
      <w:pPr>
        <w:jc w:val="center"/>
        <w:rPr>
          <w:rFonts w:ascii="Times New Roman" w:eastAsia="Times New Roman" w:hAnsi="Times New Roman" w:cs="Times New Roman"/>
          <w:b/>
          <w:bCs/>
          <w:sz w:val="24"/>
          <w:szCs w:val="24"/>
        </w:rPr>
      </w:pPr>
    </w:p>
    <w:p w14:paraId="142B51A3" w14:textId="6BEE92E1"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Lecturer’s Name:</w:t>
      </w:r>
      <w:r w:rsidR="00AC1EDB">
        <w:rPr>
          <w:rFonts w:ascii="Times New Roman" w:eastAsia="Times New Roman" w:hAnsi="Times New Roman" w:cs="Times New Roman"/>
          <w:b/>
          <w:bCs/>
          <w:sz w:val="24"/>
          <w:szCs w:val="24"/>
        </w:rPr>
        <w:t xml:space="preserve"> Dr Laila </w:t>
      </w:r>
      <w:proofErr w:type="spellStart"/>
      <w:r w:rsidR="00AC1EDB">
        <w:rPr>
          <w:rFonts w:ascii="Times New Roman" w:eastAsia="Times New Roman" w:hAnsi="Times New Roman" w:cs="Times New Roman"/>
          <w:b/>
          <w:bCs/>
          <w:sz w:val="24"/>
          <w:szCs w:val="24"/>
        </w:rPr>
        <w:t>Maazous</w:t>
      </w:r>
      <w:proofErr w:type="spellEnd"/>
    </w:p>
    <w:p w14:paraId="5CE79B53" w14:textId="77777777" w:rsidR="003B078D" w:rsidRDefault="003B078D">
      <w:pPr>
        <w:jc w:val="center"/>
        <w:rPr>
          <w:rFonts w:ascii="Times New Roman" w:eastAsia="Times New Roman" w:hAnsi="Times New Roman" w:cs="Times New Roman"/>
          <w:b/>
          <w:bCs/>
          <w:sz w:val="24"/>
          <w:szCs w:val="24"/>
        </w:rPr>
      </w:pPr>
    </w:p>
    <w:p w14:paraId="3C3EB970" w14:textId="77777777" w:rsidR="003B078D" w:rsidRDefault="003B078D">
      <w:pPr>
        <w:jc w:val="center"/>
        <w:rPr>
          <w:rFonts w:ascii="Times New Roman" w:eastAsia="Times New Roman" w:hAnsi="Times New Roman" w:cs="Times New Roman"/>
          <w:b/>
          <w:bCs/>
          <w:sz w:val="24"/>
          <w:szCs w:val="24"/>
        </w:rPr>
      </w:pPr>
    </w:p>
    <w:p w14:paraId="4D5CC1F2" w14:textId="77777777" w:rsidR="003B078D" w:rsidRDefault="003B078D">
      <w:pPr>
        <w:rPr>
          <w:rFonts w:ascii="Times New Roman" w:eastAsia="Times New Roman" w:hAnsi="Times New Roman" w:cs="Times New Roman"/>
          <w:b/>
          <w:bCs/>
          <w:sz w:val="24"/>
          <w:szCs w:val="24"/>
        </w:rPr>
      </w:pPr>
    </w:p>
    <w:p w14:paraId="7A894CF5"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Work Count: 2573</w:t>
      </w:r>
    </w:p>
    <w:p w14:paraId="005A505D" w14:textId="77777777" w:rsidR="003B078D" w:rsidRDefault="003B078D">
      <w:pPr>
        <w:jc w:val="center"/>
        <w:rPr>
          <w:rFonts w:ascii="Times New Roman" w:eastAsia="Times New Roman" w:hAnsi="Times New Roman" w:cs="Times New Roman"/>
          <w:b/>
          <w:bCs/>
          <w:sz w:val="24"/>
          <w:szCs w:val="24"/>
        </w:rPr>
      </w:pPr>
    </w:p>
    <w:p w14:paraId="23C9AEEB" w14:textId="77777777" w:rsidR="003B078D" w:rsidRDefault="003B078D">
      <w:pPr>
        <w:jc w:val="center"/>
        <w:rPr>
          <w:rFonts w:ascii="Times New Roman" w:eastAsia="Times New Roman" w:hAnsi="Times New Roman" w:cs="Times New Roman"/>
          <w:b/>
          <w:bCs/>
          <w:sz w:val="24"/>
          <w:szCs w:val="24"/>
        </w:rPr>
      </w:pPr>
    </w:p>
    <w:p w14:paraId="0B482A85" w14:textId="77777777" w:rsidR="003B078D" w:rsidRDefault="003B078D">
      <w:pPr>
        <w:jc w:val="center"/>
        <w:rPr>
          <w:rFonts w:ascii="Times New Roman" w:eastAsia="Times New Roman" w:hAnsi="Times New Roman" w:cs="Times New Roman"/>
          <w:b/>
          <w:bCs/>
          <w:sz w:val="24"/>
          <w:szCs w:val="24"/>
        </w:rPr>
      </w:pPr>
    </w:p>
    <w:p w14:paraId="6A93D434" w14:textId="77777777" w:rsidR="003B078D" w:rsidRDefault="003B078D">
      <w:pPr>
        <w:jc w:val="center"/>
        <w:rPr>
          <w:rFonts w:ascii="Times New Roman" w:eastAsia="Times New Roman" w:hAnsi="Times New Roman" w:cs="Times New Roman"/>
          <w:b/>
          <w:bCs/>
          <w:sz w:val="24"/>
          <w:szCs w:val="24"/>
        </w:rPr>
      </w:pPr>
    </w:p>
    <w:p w14:paraId="4440CF51" w14:textId="77777777" w:rsidR="003B078D" w:rsidRDefault="003B078D">
      <w:pPr>
        <w:jc w:val="center"/>
        <w:rPr>
          <w:rFonts w:ascii="Times New Roman" w:eastAsia="Times New Roman" w:hAnsi="Times New Roman" w:cs="Times New Roman"/>
          <w:b/>
          <w:bCs/>
          <w:sz w:val="24"/>
          <w:szCs w:val="24"/>
        </w:rPr>
      </w:pPr>
    </w:p>
    <w:p w14:paraId="055E3D02" w14:textId="77777777" w:rsidR="003B078D" w:rsidRDefault="00000000">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Term 1</w:t>
      </w:r>
    </w:p>
    <w:p w14:paraId="0B571C65" w14:textId="77777777" w:rsidR="003B078D" w:rsidRDefault="003B078D">
      <w:pPr>
        <w:spacing w:before="280"/>
        <w:rPr>
          <w:rFonts w:ascii="Times New Roman" w:eastAsia="Times New Roman" w:hAnsi="Times New Roman" w:cs="Times New Roman"/>
          <w:b/>
          <w:bCs/>
          <w:sz w:val="24"/>
          <w:szCs w:val="24"/>
        </w:rPr>
      </w:pPr>
    </w:p>
    <w:p w14:paraId="27E8F7AE" w14:textId="77777777" w:rsidR="003B078D" w:rsidRDefault="003B078D">
      <w:pPr>
        <w:spacing w:before="280"/>
        <w:rPr>
          <w:rFonts w:ascii="Times New Roman" w:eastAsia="Times New Roman" w:hAnsi="Times New Roman" w:cs="Times New Roman"/>
          <w:b/>
          <w:bCs/>
          <w:sz w:val="24"/>
          <w:szCs w:val="24"/>
        </w:rPr>
      </w:pPr>
    </w:p>
    <w:p w14:paraId="2F728F66" w14:textId="77777777" w:rsidR="003B078D" w:rsidRDefault="003B078D">
      <w:pPr>
        <w:spacing w:after="80"/>
        <w:rPr>
          <w:rFonts w:ascii="Times New Roman" w:eastAsia="Times New Roman" w:hAnsi="Times New Roman" w:cs="Times New Roman"/>
          <w:b/>
          <w:bCs/>
          <w:sz w:val="24"/>
          <w:szCs w:val="24"/>
        </w:rPr>
      </w:pPr>
    </w:p>
    <w:p w14:paraId="58F416F1" w14:textId="77777777" w:rsidR="003B078D" w:rsidRDefault="003B078D">
      <w:pPr>
        <w:spacing w:after="80"/>
        <w:rPr>
          <w:rFonts w:ascii="Times New Roman" w:eastAsia="Times New Roman" w:hAnsi="Times New Roman" w:cs="Times New Roman"/>
          <w:b/>
          <w:bCs/>
          <w:sz w:val="24"/>
          <w:szCs w:val="24"/>
        </w:rPr>
      </w:pPr>
    </w:p>
    <w:p w14:paraId="2721020E" w14:textId="77777777" w:rsidR="003B078D" w:rsidRDefault="00000000">
      <w:pPr>
        <w:spacing w:after="80"/>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of Contents: </w:t>
      </w:r>
    </w:p>
    <w:p w14:paraId="38589925" w14:textId="77777777" w:rsidR="003B078D" w:rsidRDefault="003B078D">
      <w:pPr>
        <w:spacing w:after="80"/>
        <w:rPr>
          <w:rFonts w:ascii="Times New Roman" w:eastAsia="Times New Roman" w:hAnsi="Times New Roman" w:cs="Times New Roman"/>
          <w:b/>
          <w:bCs/>
          <w:sz w:val="24"/>
          <w:szCs w:val="24"/>
        </w:rPr>
      </w:pPr>
    </w:p>
    <w:sdt>
      <w:sdtPr>
        <w:id w:val="-1433445227"/>
        <w:docPartObj>
          <w:docPartGallery w:val="Table of Contents"/>
          <w:docPartUnique/>
        </w:docPartObj>
      </w:sdtPr>
      <w:sdtContent>
        <w:p w14:paraId="39F7F3EA" w14:textId="77777777" w:rsidR="003B078D" w:rsidRDefault="00000000">
          <w:pPr>
            <w:widowControl w:val="0"/>
            <w:tabs>
              <w:tab w:val="right" w:leader="dot" w:pos="9417"/>
            </w:tabs>
            <w:spacing w:before="60"/>
            <w:rPr>
              <w:rFonts w:ascii="Times New Roman" w:eastAsia="Times New Roman" w:hAnsi="Times New Roman" w:cs="Times New Roman"/>
              <w:b/>
              <w:bCs/>
              <w:color w:val="000000"/>
              <w:sz w:val="24"/>
              <w:szCs w:val="24"/>
            </w:rPr>
          </w:pPr>
          <w:r>
            <w:fldChar w:fldCharType="begin"/>
          </w:r>
          <w:r>
            <w:instrText xml:space="preserve"> TOC \h \u \z \t "Heading 1,1,Heading 2,2,Heading 3,3,Heading 4,4,Heading 5,5,Heading 6,6,"</w:instrText>
          </w:r>
          <w:r>
            <w:fldChar w:fldCharType="separate"/>
          </w:r>
          <w:hyperlink w:anchor="_acys2j6ubwk0">
            <w:r w:rsidR="003B078D">
              <w:rPr>
                <w:rFonts w:ascii="Times New Roman" w:eastAsia="Times New Roman" w:hAnsi="Times New Roman" w:cs="Times New Roman"/>
                <w:b/>
                <w:bCs/>
                <w:color w:val="000000"/>
                <w:sz w:val="24"/>
                <w:szCs w:val="24"/>
              </w:rPr>
              <w:t>1. Task 1: Marketing Environment Analysis</w:t>
            </w:r>
            <w:r w:rsidR="003B078D">
              <w:rPr>
                <w:rFonts w:ascii="Times New Roman" w:eastAsia="Times New Roman" w:hAnsi="Times New Roman" w:cs="Times New Roman"/>
                <w:b/>
                <w:bCs/>
                <w:color w:val="000000"/>
                <w:sz w:val="24"/>
                <w:szCs w:val="24"/>
              </w:rPr>
              <w:tab/>
            </w:r>
          </w:hyperlink>
          <w:r>
            <w:fldChar w:fldCharType="begin"/>
          </w:r>
          <w:r>
            <w:instrText xml:space="preserve"> PAGEREF _acys2j6ubwk0 \h </w:instrText>
          </w:r>
          <w:r>
            <w:fldChar w:fldCharType="separate"/>
          </w:r>
          <w:r>
            <w:rPr>
              <w:rFonts w:ascii="Times New Roman" w:eastAsia="Times New Roman" w:hAnsi="Times New Roman" w:cs="Times New Roman"/>
              <w:b/>
              <w:bCs/>
              <w:sz w:val="24"/>
              <w:szCs w:val="24"/>
            </w:rPr>
            <w:t>1</w:t>
          </w:r>
          <w:r>
            <w:fldChar w:fldCharType="end"/>
          </w:r>
        </w:p>
        <w:p w14:paraId="785518D1" w14:textId="77777777" w:rsidR="003B078D" w:rsidRDefault="003B078D">
          <w:pPr>
            <w:widowControl w:val="0"/>
            <w:tabs>
              <w:tab w:val="right" w:leader="dot" w:pos="9417"/>
            </w:tabs>
            <w:spacing w:before="60"/>
            <w:ind w:left="360"/>
            <w:rPr>
              <w:rFonts w:ascii="Times New Roman" w:eastAsia="Times New Roman" w:hAnsi="Times New Roman" w:cs="Times New Roman"/>
              <w:color w:val="000000"/>
              <w:sz w:val="24"/>
              <w:szCs w:val="24"/>
            </w:rPr>
          </w:pPr>
          <w:hyperlink w:anchor="_govoqgf048au">
            <w:r>
              <w:rPr>
                <w:rFonts w:ascii="Times New Roman" w:eastAsia="Times New Roman" w:hAnsi="Times New Roman" w:cs="Times New Roman"/>
                <w:color w:val="000000"/>
                <w:sz w:val="24"/>
                <w:szCs w:val="24"/>
              </w:rPr>
              <w:t>1.1 Company Selection and Context: Codelco</w:t>
            </w:r>
            <w:r>
              <w:rPr>
                <w:rFonts w:ascii="Times New Roman" w:eastAsia="Times New Roman" w:hAnsi="Times New Roman" w:cs="Times New Roman"/>
                <w:color w:val="000000"/>
                <w:sz w:val="24"/>
                <w:szCs w:val="24"/>
              </w:rPr>
              <w:tab/>
            </w:r>
          </w:hyperlink>
          <w:r w:rsidR="00000000">
            <w:fldChar w:fldCharType="begin"/>
          </w:r>
          <w:r w:rsidR="00000000">
            <w:instrText xml:space="preserve"> PAGEREF _govoqgf048au \h </w:instrText>
          </w:r>
          <w:r w:rsidR="00000000">
            <w:fldChar w:fldCharType="separate"/>
          </w:r>
          <w:r w:rsidR="00000000">
            <w:rPr>
              <w:rFonts w:ascii="Times New Roman" w:eastAsia="Times New Roman" w:hAnsi="Times New Roman" w:cs="Times New Roman"/>
              <w:sz w:val="24"/>
              <w:szCs w:val="24"/>
            </w:rPr>
            <w:t>1</w:t>
          </w:r>
          <w:r w:rsidR="00000000">
            <w:fldChar w:fldCharType="end"/>
          </w:r>
        </w:p>
        <w:p w14:paraId="73A60EB2" w14:textId="77777777" w:rsidR="003B078D" w:rsidRDefault="003B078D">
          <w:pPr>
            <w:widowControl w:val="0"/>
            <w:tabs>
              <w:tab w:val="right" w:leader="dot" w:pos="9417"/>
            </w:tabs>
            <w:spacing w:before="60"/>
            <w:ind w:left="360"/>
            <w:rPr>
              <w:rFonts w:ascii="Times New Roman" w:eastAsia="Times New Roman" w:hAnsi="Times New Roman" w:cs="Times New Roman"/>
              <w:color w:val="000000"/>
              <w:sz w:val="24"/>
              <w:szCs w:val="24"/>
            </w:rPr>
          </w:pPr>
          <w:hyperlink w:anchor="_cq4e1be4zkom">
            <w:r>
              <w:rPr>
                <w:rFonts w:ascii="Times New Roman" w:eastAsia="Times New Roman" w:hAnsi="Times New Roman" w:cs="Times New Roman"/>
                <w:color w:val="000000"/>
                <w:sz w:val="24"/>
                <w:szCs w:val="24"/>
              </w:rPr>
              <w:t>1.2 External Marketing Environment Actor 1: Natural Environment</w:t>
            </w:r>
            <w:r>
              <w:rPr>
                <w:rFonts w:ascii="Times New Roman" w:eastAsia="Times New Roman" w:hAnsi="Times New Roman" w:cs="Times New Roman"/>
                <w:color w:val="000000"/>
                <w:sz w:val="24"/>
                <w:szCs w:val="24"/>
              </w:rPr>
              <w:tab/>
            </w:r>
          </w:hyperlink>
          <w:r w:rsidR="00000000">
            <w:fldChar w:fldCharType="begin"/>
          </w:r>
          <w:r w:rsidR="00000000">
            <w:instrText xml:space="preserve"> PAGEREF _cq4e1be4zkom \h </w:instrText>
          </w:r>
          <w:r w:rsidR="00000000">
            <w:fldChar w:fldCharType="separate"/>
          </w:r>
          <w:r w:rsidR="00000000">
            <w:rPr>
              <w:rFonts w:ascii="Times New Roman" w:eastAsia="Times New Roman" w:hAnsi="Times New Roman" w:cs="Times New Roman"/>
              <w:sz w:val="24"/>
              <w:szCs w:val="24"/>
            </w:rPr>
            <w:t>1</w:t>
          </w:r>
          <w:r w:rsidR="00000000">
            <w:fldChar w:fldCharType="end"/>
          </w:r>
        </w:p>
        <w:p w14:paraId="448EBDC5" w14:textId="77777777" w:rsidR="003B078D" w:rsidRDefault="003B078D">
          <w:pPr>
            <w:widowControl w:val="0"/>
            <w:tabs>
              <w:tab w:val="right" w:leader="dot" w:pos="9417"/>
            </w:tabs>
            <w:spacing w:before="60"/>
            <w:ind w:left="360"/>
            <w:rPr>
              <w:rFonts w:ascii="Times New Roman" w:eastAsia="Times New Roman" w:hAnsi="Times New Roman" w:cs="Times New Roman"/>
              <w:color w:val="000000"/>
              <w:sz w:val="24"/>
              <w:szCs w:val="24"/>
            </w:rPr>
          </w:pPr>
          <w:hyperlink w:anchor="_ak1whyrbjnny">
            <w:r>
              <w:rPr>
                <w:rFonts w:ascii="Times New Roman" w:eastAsia="Times New Roman" w:hAnsi="Times New Roman" w:cs="Times New Roman"/>
                <w:color w:val="000000"/>
                <w:sz w:val="24"/>
                <w:szCs w:val="24"/>
              </w:rPr>
              <w:t>1.3 External Marketing Environment Actor 2: Political and Regulatory Environment</w:t>
            </w:r>
            <w:r>
              <w:rPr>
                <w:rFonts w:ascii="Times New Roman" w:eastAsia="Times New Roman" w:hAnsi="Times New Roman" w:cs="Times New Roman"/>
                <w:color w:val="000000"/>
                <w:sz w:val="24"/>
                <w:szCs w:val="24"/>
              </w:rPr>
              <w:tab/>
            </w:r>
          </w:hyperlink>
          <w:r w:rsidR="00000000">
            <w:fldChar w:fldCharType="begin"/>
          </w:r>
          <w:r w:rsidR="00000000">
            <w:instrText xml:space="preserve"> PAGEREF _ak1whyrbjnny \h </w:instrText>
          </w:r>
          <w:r w:rsidR="00000000">
            <w:fldChar w:fldCharType="separate"/>
          </w:r>
          <w:r w:rsidR="00000000">
            <w:rPr>
              <w:rFonts w:ascii="Times New Roman" w:eastAsia="Times New Roman" w:hAnsi="Times New Roman" w:cs="Times New Roman"/>
              <w:sz w:val="24"/>
              <w:szCs w:val="24"/>
            </w:rPr>
            <w:t>4</w:t>
          </w:r>
          <w:r w:rsidR="00000000">
            <w:fldChar w:fldCharType="end"/>
          </w:r>
        </w:p>
        <w:p w14:paraId="33131931" w14:textId="77777777" w:rsidR="003B078D" w:rsidRDefault="003B078D">
          <w:pPr>
            <w:widowControl w:val="0"/>
            <w:tabs>
              <w:tab w:val="right" w:leader="dot" w:pos="9417"/>
            </w:tabs>
            <w:spacing w:before="60"/>
            <w:rPr>
              <w:rFonts w:ascii="Times New Roman" w:eastAsia="Times New Roman" w:hAnsi="Times New Roman" w:cs="Times New Roman"/>
              <w:b/>
              <w:bCs/>
              <w:color w:val="000000"/>
              <w:sz w:val="24"/>
              <w:szCs w:val="24"/>
            </w:rPr>
          </w:pPr>
          <w:hyperlink w:anchor="_blsyxietzgc5">
            <w:r>
              <w:rPr>
                <w:rFonts w:ascii="Times New Roman" w:eastAsia="Times New Roman" w:hAnsi="Times New Roman" w:cs="Times New Roman"/>
                <w:b/>
                <w:bCs/>
                <w:color w:val="000000"/>
                <w:sz w:val="24"/>
                <w:szCs w:val="24"/>
              </w:rPr>
              <w:t>2. Task 2: Strategic Growth and Competitive Positioning</w:t>
            </w:r>
            <w:r>
              <w:rPr>
                <w:rFonts w:ascii="Times New Roman" w:eastAsia="Times New Roman" w:hAnsi="Times New Roman" w:cs="Times New Roman"/>
                <w:b/>
                <w:bCs/>
                <w:color w:val="000000"/>
                <w:sz w:val="24"/>
                <w:szCs w:val="24"/>
              </w:rPr>
              <w:tab/>
            </w:r>
          </w:hyperlink>
          <w:r w:rsidR="00000000">
            <w:fldChar w:fldCharType="begin"/>
          </w:r>
          <w:r w:rsidR="00000000">
            <w:instrText xml:space="preserve"> PAGEREF _blsyxietzgc5 \h </w:instrText>
          </w:r>
          <w:r w:rsidR="00000000">
            <w:fldChar w:fldCharType="separate"/>
          </w:r>
          <w:r w:rsidR="00000000">
            <w:rPr>
              <w:rFonts w:ascii="Times New Roman" w:eastAsia="Times New Roman" w:hAnsi="Times New Roman" w:cs="Times New Roman"/>
              <w:b/>
              <w:bCs/>
              <w:sz w:val="24"/>
              <w:szCs w:val="24"/>
            </w:rPr>
            <w:t>4</w:t>
          </w:r>
          <w:r w:rsidR="00000000">
            <w:fldChar w:fldCharType="end"/>
          </w:r>
        </w:p>
        <w:p w14:paraId="7EBA327B" w14:textId="77777777" w:rsidR="003B078D" w:rsidRDefault="003B078D">
          <w:pPr>
            <w:widowControl w:val="0"/>
            <w:tabs>
              <w:tab w:val="right" w:leader="dot" w:pos="9417"/>
            </w:tabs>
            <w:spacing w:before="60"/>
            <w:ind w:left="360"/>
            <w:rPr>
              <w:rFonts w:ascii="Times New Roman" w:eastAsia="Times New Roman" w:hAnsi="Times New Roman" w:cs="Times New Roman"/>
              <w:color w:val="000000"/>
              <w:sz w:val="24"/>
              <w:szCs w:val="24"/>
            </w:rPr>
          </w:pPr>
          <w:hyperlink w:anchor="_ml2y2akw9enr">
            <w:r>
              <w:rPr>
                <w:rFonts w:ascii="Times New Roman" w:eastAsia="Times New Roman" w:hAnsi="Times New Roman" w:cs="Times New Roman"/>
                <w:color w:val="000000"/>
                <w:sz w:val="24"/>
                <w:szCs w:val="24"/>
              </w:rPr>
              <w:t>2.1 Strategic Growth Recommendation Using the Ansoff Matrix</w:t>
            </w:r>
            <w:r>
              <w:rPr>
                <w:rFonts w:ascii="Times New Roman" w:eastAsia="Times New Roman" w:hAnsi="Times New Roman" w:cs="Times New Roman"/>
                <w:color w:val="000000"/>
                <w:sz w:val="24"/>
                <w:szCs w:val="24"/>
              </w:rPr>
              <w:tab/>
            </w:r>
          </w:hyperlink>
          <w:r w:rsidR="00000000">
            <w:fldChar w:fldCharType="begin"/>
          </w:r>
          <w:r w:rsidR="00000000">
            <w:instrText xml:space="preserve"> PAGEREF _ml2y2akw9enr \h </w:instrText>
          </w:r>
          <w:r w:rsidR="00000000">
            <w:fldChar w:fldCharType="separate"/>
          </w:r>
          <w:r w:rsidR="00000000">
            <w:rPr>
              <w:rFonts w:ascii="Times New Roman" w:eastAsia="Times New Roman" w:hAnsi="Times New Roman" w:cs="Times New Roman"/>
              <w:sz w:val="24"/>
              <w:szCs w:val="24"/>
            </w:rPr>
            <w:t>4</w:t>
          </w:r>
          <w:r w:rsidR="00000000">
            <w:fldChar w:fldCharType="end"/>
          </w:r>
        </w:p>
        <w:p w14:paraId="482F960A" w14:textId="77777777" w:rsidR="003B078D" w:rsidRDefault="003B078D">
          <w:pPr>
            <w:widowControl w:val="0"/>
            <w:tabs>
              <w:tab w:val="right" w:leader="dot" w:pos="9417"/>
            </w:tabs>
            <w:spacing w:before="60"/>
            <w:ind w:left="360"/>
            <w:rPr>
              <w:rFonts w:ascii="Times New Roman" w:eastAsia="Times New Roman" w:hAnsi="Times New Roman" w:cs="Times New Roman"/>
              <w:color w:val="000000"/>
              <w:sz w:val="24"/>
              <w:szCs w:val="24"/>
            </w:rPr>
          </w:pPr>
          <w:hyperlink w:anchor="_66st3p9pzg8w">
            <w:r>
              <w:rPr>
                <w:rFonts w:ascii="Times New Roman" w:eastAsia="Times New Roman" w:hAnsi="Times New Roman" w:cs="Times New Roman"/>
                <w:color w:val="000000"/>
                <w:sz w:val="24"/>
                <w:szCs w:val="24"/>
              </w:rPr>
              <w:t>2.2 Competitive Advantage Through a Lower-Carbon Business Model</w:t>
            </w:r>
            <w:r>
              <w:rPr>
                <w:rFonts w:ascii="Times New Roman" w:eastAsia="Times New Roman" w:hAnsi="Times New Roman" w:cs="Times New Roman"/>
                <w:color w:val="000000"/>
                <w:sz w:val="24"/>
                <w:szCs w:val="24"/>
              </w:rPr>
              <w:tab/>
            </w:r>
          </w:hyperlink>
          <w:r w:rsidR="00000000">
            <w:fldChar w:fldCharType="begin"/>
          </w:r>
          <w:r w:rsidR="00000000">
            <w:instrText xml:space="preserve"> PAGEREF _66st3p9pzg8w \h </w:instrText>
          </w:r>
          <w:r w:rsidR="00000000">
            <w:fldChar w:fldCharType="separate"/>
          </w:r>
          <w:r w:rsidR="00000000">
            <w:rPr>
              <w:rFonts w:ascii="Times New Roman" w:eastAsia="Times New Roman" w:hAnsi="Times New Roman" w:cs="Times New Roman"/>
              <w:sz w:val="24"/>
              <w:szCs w:val="24"/>
            </w:rPr>
            <w:t>6</w:t>
          </w:r>
          <w:r w:rsidR="00000000">
            <w:fldChar w:fldCharType="end"/>
          </w:r>
        </w:p>
        <w:p w14:paraId="649BD320" w14:textId="77777777" w:rsidR="003B078D" w:rsidRDefault="003B078D">
          <w:pPr>
            <w:widowControl w:val="0"/>
            <w:tabs>
              <w:tab w:val="right" w:leader="dot" w:pos="9417"/>
            </w:tabs>
            <w:spacing w:before="60"/>
            <w:ind w:left="360"/>
            <w:rPr>
              <w:rFonts w:ascii="Times New Roman" w:eastAsia="Times New Roman" w:hAnsi="Times New Roman" w:cs="Times New Roman"/>
              <w:color w:val="000000"/>
              <w:sz w:val="24"/>
              <w:szCs w:val="24"/>
            </w:rPr>
          </w:pPr>
          <w:hyperlink w:anchor="_za6eanfl7ocb">
            <w:r>
              <w:rPr>
                <w:rFonts w:ascii="Times New Roman" w:eastAsia="Times New Roman" w:hAnsi="Times New Roman" w:cs="Times New Roman"/>
                <w:color w:val="000000"/>
                <w:sz w:val="24"/>
                <w:szCs w:val="24"/>
              </w:rPr>
              <w:t>2.3 Summary of Strategic Recommendation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_za6eanfl7ocb \h </w:instrText>
          </w:r>
          <w:r w:rsidR="00000000">
            <w:fldChar w:fldCharType="separate"/>
          </w:r>
          <w:r w:rsidR="00000000">
            <w:rPr>
              <w:rFonts w:ascii="Times New Roman" w:eastAsia="Times New Roman" w:hAnsi="Times New Roman" w:cs="Times New Roman"/>
              <w:sz w:val="24"/>
              <w:szCs w:val="24"/>
            </w:rPr>
            <w:t>7</w:t>
          </w:r>
          <w:r w:rsidR="00000000">
            <w:fldChar w:fldCharType="end"/>
          </w:r>
        </w:p>
        <w:p w14:paraId="48FF5621" w14:textId="77777777" w:rsidR="003B078D" w:rsidRDefault="003B078D">
          <w:pPr>
            <w:widowControl w:val="0"/>
            <w:tabs>
              <w:tab w:val="right" w:leader="dot" w:pos="9417"/>
            </w:tabs>
            <w:spacing w:before="60"/>
            <w:rPr>
              <w:rFonts w:ascii="Times New Roman" w:eastAsia="Times New Roman" w:hAnsi="Times New Roman" w:cs="Times New Roman"/>
              <w:b/>
              <w:bCs/>
              <w:color w:val="000000"/>
              <w:sz w:val="24"/>
              <w:szCs w:val="24"/>
            </w:rPr>
          </w:pPr>
          <w:hyperlink w:anchor="_9d95b05g1v1r">
            <w:r>
              <w:rPr>
                <w:rFonts w:ascii="Times New Roman" w:eastAsia="Times New Roman" w:hAnsi="Times New Roman" w:cs="Times New Roman"/>
                <w:b/>
                <w:bCs/>
                <w:color w:val="000000"/>
                <w:sz w:val="24"/>
                <w:szCs w:val="24"/>
              </w:rPr>
              <w:t>3. Task 3: Critical Reflection on AI Usage</w:t>
            </w:r>
            <w:r>
              <w:rPr>
                <w:rFonts w:ascii="Times New Roman" w:eastAsia="Times New Roman" w:hAnsi="Times New Roman" w:cs="Times New Roman"/>
                <w:b/>
                <w:bCs/>
                <w:color w:val="000000"/>
                <w:sz w:val="24"/>
                <w:szCs w:val="24"/>
              </w:rPr>
              <w:tab/>
            </w:r>
          </w:hyperlink>
          <w:r w:rsidR="00000000">
            <w:fldChar w:fldCharType="begin"/>
          </w:r>
          <w:r w:rsidR="00000000">
            <w:instrText xml:space="preserve"> PAGEREF _9d95b05g1v1r \h </w:instrText>
          </w:r>
          <w:r w:rsidR="00000000">
            <w:fldChar w:fldCharType="separate"/>
          </w:r>
          <w:r w:rsidR="00000000">
            <w:rPr>
              <w:rFonts w:ascii="Times New Roman" w:eastAsia="Times New Roman" w:hAnsi="Times New Roman" w:cs="Times New Roman"/>
              <w:b/>
              <w:bCs/>
              <w:sz w:val="24"/>
              <w:szCs w:val="24"/>
            </w:rPr>
            <w:t>8</w:t>
          </w:r>
          <w:r w:rsidR="00000000">
            <w:fldChar w:fldCharType="end"/>
          </w:r>
        </w:p>
        <w:p w14:paraId="06981239" w14:textId="77777777" w:rsidR="003B078D" w:rsidRDefault="003B078D">
          <w:pPr>
            <w:widowControl w:val="0"/>
            <w:tabs>
              <w:tab w:val="right" w:leader="dot" w:pos="9417"/>
            </w:tabs>
            <w:spacing w:before="60"/>
            <w:ind w:left="360"/>
            <w:rPr>
              <w:rFonts w:ascii="Times New Roman" w:eastAsia="Times New Roman" w:hAnsi="Times New Roman" w:cs="Times New Roman"/>
              <w:color w:val="000000"/>
              <w:sz w:val="24"/>
              <w:szCs w:val="24"/>
            </w:rPr>
          </w:pPr>
          <w:hyperlink w:anchor="_uwhzet3xkz54">
            <w:r>
              <w:rPr>
                <w:rFonts w:ascii="Times New Roman" w:eastAsia="Times New Roman" w:hAnsi="Times New Roman" w:cs="Times New Roman"/>
                <w:color w:val="000000"/>
                <w:sz w:val="24"/>
                <w:szCs w:val="24"/>
              </w:rPr>
              <w:t>3.1 Tool Disclosure</w:t>
            </w:r>
            <w:r>
              <w:rPr>
                <w:rFonts w:ascii="Times New Roman" w:eastAsia="Times New Roman" w:hAnsi="Times New Roman" w:cs="Times New Roman"/>
                <w:color w:val="000000"/>
                <w:sz w:val="24"/>
                <w:szCs w:val="24"/>
              </w:rPr>
              <w:tab/>
            </w:r>
          </w:hyperlink>
          <w:r w:rsidR="00000000">
            <w:fldChar w:fldCharType="begin"/>
          </w:r>
          <w:r w:rsidR="00000000">
            <w:instrText xml:space="preserve"> PAGEREF _uwhzet3xkz54 \h </w:instrText>
          </w:r>
          <w:r w:rsidR="00000000">
            <w:fldChar w:fldCharType="separate"/>
          </w:r>
          <w:r w:rsidR="00000000">
            <w:rPr>
              <w:rFonts w:ascii="Times New Roman" w:eastAsia="Times New Roman" w:hAnsi="Times New Roman" w:cs="Times New Roman"/>
              <w:sz w:val="24"/>
              <w:szCs w:val="24"/>
            </w:rPr>
            <w:t>8</w:t>
          </w:r>
          <w:r w:rsidR="00000000">
            <w:fldChar w:fldCharType="end"/>
          </w:r>
        </w:p>
        <w:p w14:paraId="12FFCD35" w14:textId="77777777" w:rsidR="003B078D" w:rsidRDefault="003B078D">
          <w:pPr>
            <w:widowControl w:val="0"/>
            <w:tabs>
              <w:tab w:val="right" w:leader="dot" w:pos="9417"/>
            </w:tabs>
            <w:spacing w:before="60"/>
            <w:ind w:left="360"/>
            <w:rPr>
              <w:rFonts w:ascii="Times New Roman" w:eastAsia="Times New Roman" w:hAnsi="Times New Roman" w:cs="Times New Roman"/>
              <w:color w:val="000000"/>
              <w:sz w:val="24"/>
              <w:szCs w:val="24"/>
            </w:rPr>
          </w:pPr>
          <w:hyperlink w:anchor="_wwn49k1sxzli">
            <w:r>
              <w:rPr>
                <w:rFonts w:ascii="Times New Roman" w:eastAsia="Times New Roman" w:hAnsi="Times New Roman" w:cs="Times New Roman"/>
                <w:color w:val="000000"/>
                <w:sz w:val="24"/>
                <w:szCs w:val="24"/>
              </w:rPr>
              <w:t>3.2 Critical Evaluation of AI Output</w:t>
            </w:r>
            <w:r>
              <w:rPr>
                <w:rFonts w:ascii="Times New Roman" w:eastAsia="Times New Roman" w:hAnsi="Times New Roman" w:cs="Times New Roman"/>
                <w:color w:val="000000"/>
                <w:sz w:val="24"/>
                <w:szCs w:val="24"/>
              </w:rPr>
              <w:tab/>
            </w:r>
          </w:hyperlink>
          <w:r w:rsidR="00000000">
            <w:fldChar w:fldCharType="begin"/>
          </w:r>
          <w:r w:rsidR="00000000">
            <w:instrText xml:space="preserve"> PAGEREF _wwn49k1sxzli \h </w:instrText>
          </w:r>
          <w:r w:rsidR="00000000">
            <w:fldChar w:fldCharType="separate"/>
          </w:r>
          <w:r w:rsidR="00000000">
            <w:rPr>
              <w:rFonts w:ascii="Times New Roman" w:eastAsia="Times New Roman" w:hAnsi="Times New Roman" w:cs="Times New Roman"/>
              <w:sz w:val="24"/>
              <w:szCs w:val="24"/>
            </w:rPr>
            <w:t>8</w:t>
          </w:r>
          <w:r w:rsidR="00000000">
            <w:fldChar w:fldCharType="end"/>
          </w:r>
        </w:p>
        <w:p w14:paraId="7A701C14" w14:textId="77777777" w:rsidR="003B078D" w:rsidRDefault="003B078D">
          <w:pPr>
            <w:widowControl w:val="0"/>
            <w:tabs>
              <w:tab w:val="right" w:leader="dot" w:pos="9417"/>
            </w:tabs>
            <w:spacing w:before="60"/>
            <w:ind w:left="360"/>
            <w:rPr>
              <w:rFonts w:ascii="Times New Roman" w:eastAsia="Times New Roman" w:hAnsi="Times New Roman" w:cs="Times New Roman"/>
              <w:color w:val="000000"/>
              <w:sz w:val="24"/>
              <w:szCs w:val="24"/>
            </w:rPr>
          </w:pPr>
          <w:hyperlink w:anchor="_p7owrkocxb2x">
            <w:r>
              <w:rPr>
                <w:rFonts w:ascii="Times New Roman" w:eastAsia="Times New Roman" w:hAnsi="Times New Roman" w:cs="Times New Roman"/>
                <w:color w:val="000000"/>
                <w:sz w:val="24"/>
                <w:szCs w:val="24"/>
              </w:rPr>
              <w:t>3.3 Contribution Analysis</w:t>
            </w:r>
            <w:r>
              <w:rPr>
                <w:rFonts w:ascii="Times New Roman" w:eastAsia="Times New Roman" w:hAnsi="Times New Roman" w:cs="Times New Roman"/>
                <w:color w:val="000000"/>
                <w:sz w:val="24"/>
                <w:szCs w:val="24"/>
              </w:rPr>
              <w:tab/>
            </w:r>
          </w:hyperlink>
          <w:r w:rsidR="00000000">
            <w:fldChar w:fldCharType="begin"/>
          </w:r>
          <w:r w:rsidR="00000000">
            <w:instrText xml:space="preserve"> PAGEREF _p7owrkocxb2x \h </w:instrText>
          </w:r>
          <w:r w:rsidR="00000000">
            <w:fldChar w:fldCharType="separate"/>
          </w:r>
          <w:r w:rsidR="00000000">
            <w:rPr>
              <w:rFonts w:ascii="Times New Roman" w:eastAsia="Times New Roman" w:hAnsi="Times New Roman" w:cs="Times New Roman"/>
              <w:sz w:val="24"/>
              <w:szCs w:val="24"/>
            </w:rPr>
            <w:t>9</w:t>
          </w:r>
          <w:r w:rsidR="00000000">
            <w:fldChar w:fldCharType="end"/>
          </w:r>
        </w:p>
        <w:p w14:paraId="39F22374" w14:textId="77777777" w:rsidR="003B078D" w:rsidRDefault="003B078D">
          <w:pPr>
            <w:widowControl w:val="0"/>
            <w:tabs>
              <w:tab w:val="right" w:leader="dot" w:pos="9417"/>
            </w:tabs>
            <w:spacing w:before="60"/>
            <w:ind w:left="360"/>
            <w:rPr>
              <w:rFonts w:ascii="Times New Roman" w:eastAsia="Times New Roman" w:hAnsi="Times New Roman" w:cs="Times New Roman"/>
              <w:color w:val="000000"/>
              <w:sz w:val="24"/>
              <w:szCs w:val="24"/>
            </w:rPr>
          </w:pPr>
          <w:hyperlink w:anchor="_hhrht75ir9jc">
            <w:r>
              <w:rPr>
                <w:rFonts w:ascii="Times New Roman" w:eastAsia="Times New Roman" w:hAnsi="Times New Roman" w:cs="Times New Roman"/>
                <w:color w:val="000000"/>
                <w:sz w:val="24"/>
                <w:szCs w:val="24"/>
              </w:rPr>
              <w:t>3.4 Ethical and Professional Reflection</w:t>
            </w:r>
            <w:r>
              <w:rPr>
                <w:rFonts w:ascii="Times New Roman" w:eastAsia="Times New Roman" w:hAnsi="Times New Roman" w:cs="Times New Roman"/>
                <w:color w:val="000000"/>
                <w:sz w:val="24"/>
                <w:szCs w:val="24"/>
              </w:rPr>
              <w:tab/>
            </w:r>
          </w:hyperlink>
          <w:r w:rsidR="00000000">
            <w:fldChar w:fldCharType="begin"/>
          </w:r>
          <w:r w:rsidR="00000000">
            <w:instrText xml:space="preserve"> PAGEREF _hhrht75ir9jc \h </w:instrText>
          </w:r>
          <w:r w:rsidR="00000000">
            <w:fldChar w:fldCharType="separate"/>
          </w:r>
          <w:r w:rsidR="00000000">
            <w:rPr>
              <w:rFonts w:ascii="Times New Roman" w:eastAsia="Times New Roman" w:hAnsi="Times New Roman" w:cs="Times New Roman"/>
              <w:sz w:val="24"/>
              <w:szCs w:val="24"/>
            </w:rPr>
            <w:t>9</w:t>
          </w:r>
          <w:r w:rsidR="00000000">
            <w:fldChar w:fldCharType="end"/>
          </w:r>
        </w:p>
        <w:p w14:paraId="1946DA1B" w14:textId="77777777" w:rsidR="003B078D" w:rsidRDefault="003B078D">
          <w:pPr>
            <w:widowControl w:val="0"/>
            <w:tabs>
              <w:tab w:val="right" w:leader="dot" w:pos="9417"/>
            </w:tabs>
            <w:spacing w:before="60"/>
            <w:rPr>
              <w:rFonts w:ascii="Times New Roman" w:eastAsia="Times New Roman" w:hAnsi="Times New Roman" w:cs="Times New Roman"/>
              <w:b/>
              <w:bCs/>
              <w:color w:val="000000"/>
              <w:sz w:val="24"/>
              <w:szCs w:val="24"/>
            </w:rPr>
          </w:pPr>
          <w:hyperlink w:anchor="_t5qwjrha4gll">
            <w:r>
              <w:rPr>
                <w:rFonts w:ascii="Times New Roman" w:eastAsia="Times New Roman" w:hAnsi="Times New Roman" w:cs="Times New Roman"/>
                <w:b/>
                <w:bCs/>
                <w:color w:val="000000"/>
                <w:sz w:val="24"/>
                <w:szCs w:val="24"/>
              </w:rPr>
              <w:t>References</w:t>
            </w:r>
            <w:r>
              <w:rPr>
                <w:rFonts w:ascii="Times New Roman" w:eastAsia="Times New Roman" w:hAnsi="Times New Roman" w:cs="Times New Roman"/>
                <w:b/>
                <w:bCs/>
                <w:color w:val="000000"/>
                <w:sz w:val="24"/>
                <w:szCs w:val="24"/>
              </w:rPr>
              <w:tab/>
            </w:r>
          </w:hyperlink>
          <w:r w:rsidR="00000000">
            <w:fldChar w:fldCharType="begin"/>
          </w:r>
          <w:r w:rsidR="00000000">
            <w:instrText xml:space="preserve"> PAGEREF _t5qwjrha4gll \h </w:instrText>
          </w:r>
          <w:r w:rsidR="00000000">
            <w:fldChar w:fldCharType="separate"/>
          </w:r>
          <w:r w:rsidR="00000000">
            <w:rPr>
              <w:rFonts w:ascii="Times New Roman" w:eastAsia="Times New Roman" w:hAnsi="Times New Roman" w:cs="Times New Roman"/>
              <w:b/>
              <w:bCs/>
              <w:sz w:val="24"/>
              <w:szCs w:val="24"/>
            </w:rPr>
            <w:t>9</w:t>
          </w:r>
          <w:r w:rsidR="00000000">
            <w:fldChar w:fldCharType="end"/>
          </w:r>
          <w:r w:rsidR="00000000">
            <w:fldChar w:fldCharType="end"/>
          </w:r>
        </w:p>
      </w:sdtContent>
    </w:sdt>
    <w:p w14:paraId="4E2A03CB" w14:textId="77777777" w:rsidR="003B078D" w:rsidRDefault="003B078D">
      <w:pPr>
        <w:spacing w:after="80"/>
        <w:rPr>
          <w:rFonts w:ascii="Times New Roman" w:eastAsia="Times New Roman" w:hAnsi="Times New Roman" w:cs="Times New Roman"/>
          <w:sz w:val="24"/>
          <w:szCs w:val="24"/>
        </w:rPr>
      </w:pPr>
    </w:p>
    <w:p w14:paraId="3CE04F40" w14:textId="77777777" w:rsidR="003B078D" w:rsidRDefault="003B078D">
      <w:pPr>
        <w:spacing w:after="80"/>
        <w:rPr>
          <w:rFonts w:ascii="Times New Roman" w:eastAsia="Times New Roman" w:hAnsi="Times New Roman" w:cs="Times New Roman"/>
          <w:sz w:val="24"/>
          <w:szCs w:val="24"/>
        </w:rPr>
      </w:pPr>
    </w:p>
    <w:p w14:paraId="044D0F30" w14:textId="77777777" w:rsidR="003B078D" w:rsidRDefault="003B078D">
      <w:pPr>
        <w:spacing w:after="80"/>
        <w:rPr>
          <w:rFonts w:ascii="Times New Roman" w:eastAsia="Times New Roman" w:hAnsi="Times New Roman" w:cs="Times New Roman"/>
          <w:sz w:val="24"/>
          <w:szCs w:val="24"/>
        </w:rPr>
      </w:pPr>
    </w:p>
    <w:p w14:paraId="1B4C5C1D" w14:textId="77777777" w:rsidR="003B078D" w:rsidRDefault="003B078D">
      <w:pPr>
        <w:spacing w:after="80"/>
        <w:rPr>
          <w:rFonts w:ascii="Times New Roman" w:eastAsia="Times New Roman" w:hAnsi="Times New Roman" w:cs="Times New Roman"/>
          <w:sz w:val="24"/>
          <w:szCs w:val="24"/>
        </w:rPr>
      </w:pPr>
    </w:p>
    <w:p w14:paraId="5B767670" w14:textId="77777777" w:rsidR="003B078D" w:rsidRDefault="003B078D">
      <w:pPr>
        <w:spacing w:after="80"/>
        <w:rPr>
          <w:rFonts w:ascii="Times New Roman" w:eastAsia="Times New Roman" w:hAnsi="Times New Roman" w:cs="Times New Roman"/>
          <w:sz w:val="24"/>
          <w:szCs w:val="24"/>
        </w:rPr>
      </w:pPr>
    </w:p>
    <w:p w14:paraId="6AAA7F7A" w14:textId="77777777" w:rsidR="003B078D" w:rsidRDefault="003B078D">
      <w:pPr>
        <w:spacing w:after="80"/>
        <w:rPr>
          <w:rFonts w:ascii="Times New Roman" w:eastAsia="Times New Roman" w:hAnsi="Times New Roman" w:cs="Times New Roman"/>
          <w:sz w:val="24"/>
          <w:szCs w:val="24"/>
        </w:rPr>
      </w:pPr>
    </w:p>
    <w:p w14:paraId="29E94E87" w14:textId="77777777" w:rsidR="003B078D" w:rsidRDefault="003B078D">
      <w:pPr>
        <w:spacing w:after="80"/>
        <w:rPr>
          <w:rFonts w:ascii="Times New Roman" w:eastAsia="Times New Roman" w:hAnsi="Times New Roman" w:cs="Times New Roman"/>
          <w:sz w:val="24"/>
          <w:szCs w:val="24"/>
        </w:rPr>
      </w:pPr>
    </w:p>
    <w:p w14:paraId="76765766" w14:textId="77777777" w:rsidR="003B078D" w:rsidRDefault="003B078D">
      <w:pPr>
        <w:spacing w:after="80"/>
        <w:rPr>
          <w:rFonts w:ascii="Times New Roman" w:eastAsia="Times New Roman" w:hAnsi="Times New Roman" w:cs="Times New Roman"/>
          <w:sz w:val="24"/>
          <w:szCs w:val="24"/>
        </w:rPr>
      </w:pPr>
    </w:p>
    <w:p w14:paraId="3503D366" w14:textId="77777777" w:rsidR="003B078D" w:rsidRDefault="003B078D">
      <w:pPr>
        <w:spacing w:after="80"/>
        <w:rPr>
          <w:rFonts w:ascii="Times New Roman" w:eastAsia="Times New Roman" w:hAnsi="Times New Roman" w:cs="Times New Roman"/>
          <w:sz w:val="24"/>
          <w:szCs w:val="24"/>
        </w:rPr>
      </w:pPr>
    </w:p>
    <w:p w14:paraId="6ED1C6E5" w14:textId="77777777" w:rsidR="003B078D" w:rsidRDefault="003B078D">
      <w:pPr>
        <w:spacing w:after="80"/>
        <w:rPr>
          <w:rFonts w:ascii="Times New Roman" w:eastAsia="Times New Roman" w:hAnsi="Times New Roman" w:cs="Times New Roman"/>
          <w:sz w:val="24"/>
          <w:szCs w:val="24"/>
        </w:rPr>
      </w:pPr>
    </w:p>
    <w:p w14:paraId="00C82D0A" w14:textId="77777777" w:rsidR="003B078D" w:rsidRDefault="003B078D">
      <w:pPr>
        <w:spacing w:after="80"/>
        <w:rPr>
          <w:rFonts w:ascii="Times New Roman" w:eastAsia="Times New Roman" w:hAnsi="Times New Roman" w:cs="Times New Roman"/>
          <w:sz w:val="24"/>
          <w:szCs w:val="24"/>
        </w:rPr>
      </w:pPr>
    </w:p>
    <w:p w14:paraId="1A749733" w14:textId="77777777" w:rsidR="003B078D" w:rsidRDefault="003B078D">
      <w:pPr>
        <w:spacing w:after="80"/>
        <w:rPr>
          <w:rFonts w:ascii="Times New Roman" w:eastAsia="Times New Roman" w:hAnsi="Times New Roman" w:cs="Times New Roman"/>
          <w:sz w:val="24"/>
          <w:szCs w:val="24"/>
        </w:rPr>
      </w:pPr>
    </w:p>
    <w:p w14:paraId="05D94CB5" w14:textId="77777777" w:rsidR="003B078D" w:rsidRDefault="003B078D">
      <w:pPr>
        <w:spacing w:after="80"/>
        <w:rPr>
          <w:rFonts w:ascii="Times New Roman" w:eastAsia="Times New Roman" w:hAnsi="Times New Roman" w:cs="Times New Roman"/>
          <w:sz w:val="24"/>
          <w:szCs w:val="24"/>
        </w:rPr>
      </w:pPr>
    </w:p>
    <w:p w14:paraId="7C607E2D" w14:textId="77777777" w:rsidR="003B078D" w:rsidRDefault="003B078D">
      <w:pPr>
        <w:spacing w:after="80"/>
        <w:rPr>
          <w:rFonts w:ascii="Times New Roman" w:eastAsia="Times New Roman" w:hAnsi="Times New Roman" w:cs="Times New Roman"/>
          <w:sz w:val="24"/>
          <w:szCs w:val="24"/>
        </w:rPr>
      </w:pPr>
    </w:p>
    <w:p w14:paraId="1CD5724F" w14:textId="77777777" w:rsidR="003B078D" w:rsidRDefault="003B078D">
      <w:pPr>
        <w:spacing w:after="80"/>
        <w:rPr>
          <w:rFonts w:ascii="Times New Roman" w:eastAsia="Times New Roman" w:hAnsi="Times New Roman" w:cs="Times New Roman"/>
          <w:sz w:val="24"/>
          <w:szCs w:val="24"/>
        </w:rPr>
      </w:pPr>
    </w:p>
    <w:p w14:paraId="438EF66C" w14:textId="77777777" w:rsidR="003B078D" w:rsidRDefault="003B078D">
      <w:pPr>
        <w:spacing w:after="80"/>
        <w:rPr>
          <w:rFonts w:ascii="Times New Roman" w:eastAsia="Times New Roman" w:hAnsi="Times New Roman" w:cs="Times New Roman"/>
          <w:sz w:val="24"/>
          <w:szCs w:val="24"/>
        </w:rPr>
      </w:pPr>
    </w:p>
    <w:p w14:paraId="5E907023" w14:textId="77777777" w:rsidR="003B078D" w:rsidRDefault="003B078D">
      <w:pPr>
        <w:spacing w:after="80"/>
        <w:rPr>
          <w:rFonts w:ascii="Times New Roman" w:eastAsia="Times New Roman" w:hAnsi="Times New Roman" w:cs="Times New Roman"/>
          <w:sz w:val="24"/>
          <w:szCs w:val="24"/>
        </w:rPr>
      </w:pPr>
    </w:p>
    <w:p w14:paraId="662AE5EC" w14:textId="77777777" w:rsidR="003B078D" w:rsidRDefault="00000000">
      <w:pPr>
        <w:pStyle w:val="Heading2"/>
        <w:keepNext w:val="0"/>
        <w:keepLines w:val="0"/>
        <w:spacing w:after="80"/>
        <w:rPr>
          <w:rFonts w:ascii="Times New Roman" w:eastAsia="Times New Roman" w:hAnsi="Times New Roman" w:cs="Times New Roman"/>
          <w:b/>
          <w:bCs/>
          <w:sz w:val="24"/>
          <w:szCs w:val="24"/>
        </w:rPr>
      </w:pPr>
      <w:bookmarkStart w:id="0" w:name="_acys2j6ubwk0" w:colFirst="0" w:colLast="0"/>
      <w:bookmarkEnd w:id="0"/>
      <w:r>
        <w:rPr>
          <w:rFonts w:ascii="Times New Roman" w:eastAsia="Times New Roman" w:hAnsi="Times New Roman" w:cs="Times New Roman"/>
          <w:b/>
          <w:bCs/>
          <w:sz w:val="24"/>
          <w:szCs w:val="24"/>
        </w:rPr>
        <w:t xml:space="preserve">1. Task 1: Marketing Environment Analysis </w:t>
      </w:r>
    </w:p>
    <w:p w14:paraId="16C38E91"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1" w:name="_govoqgf048au" w:colFirst="0" w:colLast="0"/>
      <w:bookmarkEnd w:id="1"/>
      <w:r>
        <w:rPr>
          <w:rFonts w:ascii="Times New Roman" w:eastAsia="Times New Roman" w:hAnsi="Times New Roman" w:cs="Times New Roman"/>
          <w:b/>
          <w:bCs/>
          <w:color w:val="000000"/>
          <w:sz w:val="24"/>
          <w:szCs w:val="24"/>
        </w:rPr>
        <w:t xml:space="preserve">1.1 Company Selection and Context: Codelco </w:t>
      </w:r>
    </w:p>
    <w:p w14:paraId="6740FF81"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Corporación Nacional del Cobre de Chile, is a Chilean state-owned mining company and one of the strategically most important copper producers of the global metals and mining industry. Codelco's own copper production for 2024 was 1.328 million </w:t>
      </w:r>
      <w:proofErr w:type="spellStart"/>
      <w:r>
        <w:rPr>
          <w:rFonts w:ascii="Times New Roman" w:eastAsia="Times New Roman" w:hAnsi="Times New Roman" w:cs="Times New Roman"/>
          <w:sz w:val="24"/>
          <w:szCs w:val="24"/>
        </w:rPr>
        <w:t>tonnes</w:t>
      </w:r>
      <w:proofErr w:type="spellEnd"/>
      <w:r>
        <w:rPr>
          <w:rFonts w:ascii="Times New Roman" w:eastAsia="Times New Roman" w:hAnsi="Times New Roman" w:cs="Times New Roman"/>
          <w:sz w:val="24"/>
          <w:szCs w:val="24"/>
        </w:rPr>
        <w:t xml:space="preserve">. Consolidated copper production for 2024 reached 1.442 million </w:t>
      </w:r>
      <w:proofErr w:type="spellStart"/>
      <w:r>
        <w:rPr>
          <w:rFonts w:ascii="Times New Roman" w:eastAsia="Times New Roman" w:hAnsi="Times New Roman" w:cs="Times New Roman"/>
          <w:sz w:val="24"/>
          <w:szCs w:val="24"/>
        </w:rPr>
        <w:t>tonnes</w:t>
      </w:r>
      <w:proofErr w:type="spellEnd"/>
      <w:r>
        <w:rPr>
          <w:rFonts w:ascii="Times New Roman" w:eastAsia="Times New Roman" w:hAnsi="Times New Roman" w:cs="Times New Roman"/>
          <w:sz w:val="24"/>
          <w:szCs w:val="24"/>
        </w:rPr>
        <w:t xml:space="preserve"> (Codelco, 2025a). Codelco maintains its relevance in the global supply of copper. The International Energy Agency estimates that the clean-technology demand for copper will increase from 7,737 kt in 2024 to 10,910 kt in 2030. This significant increase in demand will positively impact Codelco, one of the largest copper producers (IEA, 2025). Codelco's marketing environment is influenced by water and environmental resources, carbon and other regulatory pressures, and most significantly, stakeholder expectations. The two most important external actors are the natural environment and the political or regulatory environment.</w:t>
      </w:r>
    </w:p>
    <w:p w14:paraId="4396E5DC"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2" w:name="_cq4e1be4zkom" w:colFirst="0" w:colLast="0"/>
      <w:bookmarkEnd w:id="2"/>
      <w:r>
        <w:rPr>
          <w:rFonts w:ascii="Times New Roman" w:eastAsia="Times New Roman" w:hAnsi="Times New Roman" w:cs="Times New Roman"/>
          <w:b/>
          <w:bCs/>
          <w:color w:val="000000"/>
          <w:sz w:val="24"/>
          <w:szCs w:val="24"/>
        </w:rPr>
        <w:t xml:space="preserve">1.2 External Marketing Environment Actor 1: Natural Environment </w:t>
      </w:r>
    </w:p>
    <w:p w14:paraId="0EFCF547"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Codelco is mainly influenced by the natural environment as it is the most notable external marketing environment actor and an obstacle toward producing lower-carbon products. Mining presents both decarbonization opportunities and challenges. Codelco faces a strategic challenge. On the one hand, copper is essential to decarbonization efforts and Climate change initiatives. On the other, copper extraction is a water and energy intensive process.</w:t>
      </w:r>
    </w:p>
    <w:p w14:paraId="195A5BCB"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Mining companies are responsible for actively decarbonizing to offset the effects of climate change. This adds pressure to Codelco, as the Chilean copper mines are highly carbon intensive. Reports estimate that copper extraction represents about 7% of the greenhouse gasses emitted from Chile (IKI, 2021). Codelco faces a market threat in the electric vehicle and green energy markets and copper with a high carbon footprint is becoming less and less acceptable. Codelco also stands to gain from the threat as the production of lower carbon copper allows them to strengthen their market as a responsible supplier.</w:t>
      </w:r>
    </w:p>
    <w:p w14:paraId="3A803AA9"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has undergone substantial improvements to mitigate environmental impact. Codelco set a 27% reduction goal in Scope 1 and 2 emissions by 2024, compared to 2019 levels. Codelco set a goal of carbon neutrality by 2050. Codelco also set a goal of a 25% reduction in Scope 3 emissions by 2030. Codelco seeks to completely electrify personnel transport by 2040. Codelco signed contracts to achieve 100% renewable energy sources in its energy mix by 2030 (Codelco, 2025b). Codelco is working toward a stronger marketing position. All of the aforementioned </w:t>
      </w:r>
      <w:r>
        <w:rPr>
          <w:rFonts w:ascii="Times New Roman" w:eastAsia="Times New Roman" w:hAnsi="Times New Roman" w:cs="Times New Roman"/>
          <w:sz w:val="24"/>
          <w:szCs w:val="24"/>
        </w:rPr>
        <w:lastRenderedPageBreak/>
        <w:t>improvements show a commitment to sustainable development. The sustainable development of Codelco has also provided an opportunity for the marketing of low-carbon electricity, electric transport, and cleaner production technologies. The transition is also expensive with an uncertain outcome and complex operations. Mining technologies focused on green solutions pose the opportunity to capture a market, but require a significant investment, and a regulatory framework, and are high risk (Onifade et al., 2024).</w:t>
      </w:r>
    </w:p>
    <w:p w14:paraId="64573CE9"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Water scarcity is also a concern in the natural environment. Mining copper is water intensive. The IEA states that copper and lithium are especially vulnerable to water scarcity due to the high water-stress areas concentrated in their essential production (IEA, 2021). Codelco also has a particular interest in this due to the positioning of many of the Chilean mines in arid to semi-arid regions. Codelco has set a goal to decrease the use of freshwater in mining operations by 60% in water stressed areas by 2030 and to use less than 10% freshwater in highly water stressed areas by 2035 (Codelco, 2025b). In water-stressed basins, Codelco (2025c) indicated that, in 2024, there was a 12% improvement from the previous year, with a reduction of 310 liters per second in the consumption of water from these basins due to recirculation projects and the use of treated wastewater. There is a potential market upside, as the reclamation of wastewater and the recirculation of water improve responsible water use and build relationships with communities, regulatory agents, and industrial customers. However, water scarcity threatens operations since it may increase the cost of doing business, limit production, postpone projects, and negatively impact the corporate image.</w:t>
      </w:r>
    </w:p>
    <w:p w14:paraId="01C8967B"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Codelco’s marketing environment would also be affected by the disturbance of land and impact on biodiversity. Since Codelco is integrating a circular economy, in 2024, he achieved a recycling rate of 49.4% for non-hazardous waste and 5,835 tons of end-of-life tires (Codelco, 2025c). Particularly in 2024, the Copper Mark responsible production certificate was achieved in all production units of Codelco. While enhancing the image of responsible production, sustainability reporting and certificates must be backed by actual performance to prevent the accusation of greenwashing.</w:t>
      </w:r>
    </w:p>
    <w:p w14:paraId="0741AC60" w14:textId="77777777" w:rsidR="003B078D"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5D0EEE3" wp14:editId="1B695821">
            <wp:extent cx="5981700" cy="2655392"/>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t="2612"/>
                    <a:stretch>
                      <a:fillRect/>
                    </a:stretch>
                  </pic:blipFill>
                  <pic:spPr>
                    <a:xfrm>
                      <a:off x="0" y="0"/>
                      <a:ext cx="5981700" cy="2655392"/>
                    </a:xfrm>
                    <a:prstGeom prst="rect">
                      <a:avLst/>
                    </a:prstGeom>
                    <a:ln/>
                  </pic:spPr>
                </pic:pic>
              </a:graphicData>
            </a:graphic>
          </wp:inline>
        </w:drawing>
      </w:r>
    </w:p>
    <w:p w14:paraId="7D7EA17C" w14:textId="77777777" w:rsidR="003B078D"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1.1: Natural Environment Opportunities and Threats for Codelco</w:t>
      </w:r>
    </w:p>
    <w:p w14:paraId="7E06153C"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Demand for production of copper that is traceable, lower in carbon, and produced with consideration for social responsibilities, is growing among customers. Therefore, the capacity of Codelco to lower its emissions, functionally and manage its water supply and actively report on its Environmental improvements will impact its long-term competitiveness.</w:t>
      </w:r>
    </w:p>
    <w:p w14:paraId="4A6991D0"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3" w:name="_ak1whyrbjnny" w:colFirst="0" w:colLast="0"/>
      <w:bookmarkEnd w:id="3"/>
      <w:r>
        <w:rPr>
          <w:rFonts w:ascii="Times New Roman" w:eastAsia="Times New Roman" w:hAnsi="Times New Roman" w:cs="Times New Roman"/>
          <w:b/>
          <w:bCs/>
          <w:color w:val="000000"/>
          <w:sz w:val="24"/>
          <w:szCs w:val="24"/>
        </w:rPr>
        <w:t xml:space="preserve">1.3 External Marketing Environment Actor 2: Political and Regulatory Environment </w:t>
      </w:r>
    </w:p>
    <w:p w14:paraId="4F0BAB82"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and Regulatory environment is the second most important external actor in Codelco's case, because Codelco operates in an industry which is highly influenced by state control, Environmental law, mining taxation, and global sustainability concerns. This is especially significant because of the state ownership of Codelco, which means that it has to fulfill both its commercial obligation and its public-policy obligation. </w:t>
      </w:r>
    </w:p>
    <w:p w14:paraId="0DBF76FE"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Chile’s Climate Change Framework Law establishes, in a legally binding manner, the objective of Chile's carbon neutrality and climate resilience by 2050 (ICAP, 2022). This creates an obligation for climate-intensive industries, such as mining, to better manage emissions and climate-related (</w:t>
      </w:r>
      <w:proofErr w:type="spellStart"/>
      <w:r>
        <w:rPr>
          <w:rFonts w:ascii="Times New Roman" w:eastAsia="Times New Roman" w:hAnsi="Times New Roman" w:cs="Times New Roman"/>
          <w:sz w:val="24"/>
          <w:szCs w:val="24"/>
        </w:rPr>
        <w:t>ir</w:t>
      </w:r>
      <w:proofErr w:type="spellEnd"/>
      <w:r>
        <w:rPr>
          <w:rFonts w:ascii="Times New Roman" w:eastAsia="Times New Roman" w:hAnsi="Times New Roman" w:cs="Times New Roman"/>
          <w:sz w:val="24"/>
          <w:szCs w:val="24"/>
        </w:rPr>
        <w:t>)reversibility. Thus, for Codelco, regulation becomes a driver for the low-carbon economy. It is important to note that, in the case of Codelco, the use of climate reporting in the TCFD, the signing of contracts for the supply of renewable energy, and establishing goals for the reduction of emissions is a way of demonstrating Chile's policy approach. However, it can increase costs for compliance and impact the speed of necessary investments in the technology required for monitoring and reporting.</w:t>
      </w:r>
    </w:p>
    <w:p w14:paraId="05449CCF"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Taxation on mining affects the marketing environment. Chile’s 2023 Mining Royalty Act increased the taxes of some large copper producers who derive bulk of their copper sales from large-scale copper production (over 50,000 </w:t>
      </w:r>
      <w:proofErr w:type="spellStart"/>
      <w:r>
        <w:rPr>
          <w:rFonts w:ascii="Times New Roman" w:eastAsia="Times New Roman" w:hAnsi="Times New Roman" w:cs="Times New Roman"/>
          <w:sz w:val="24"/>
          <w:szCs w:val="24"/>
        </w:rPr>
        <w:t>tonnes</w:t>
      </w:r>
      <w:proofErr w:type="spellEnd"/>
      <w:r>
        <w:rPr>
          <w:rFonts w:ascii="Times New Roman" w:eastAsia="Times New Roman" w:hAnsi="Times New Roman" w:cs="Times New Roman"/>
          <w:sz w:val="24"/>
          <w:szCs w:val="24"/>
        </w:rPr>
        <w:t xml:space="preserve"> of fully refined copper) (UNCTAD, 2023). As </w:t>
      </w:r>
      <w:r>
        <w:rPr>
          <w:rFonts w:ascii="Times New Roman" w:eastAsia="Times New Roman" w:hAnsi="Times New Roman" w:cs="Times New Roman"/>
          <w:sz w:val="24"/>
          <w:szCs w:val="24"/>
        </w:rPr>
        <w:lastRenderedPageBreak/>
        <w:t>a state-owned enterprise, Codelco is bound to higher fiscal and regulatory control because the company must balance its profits and the company’s public obligations and sustainability spending. Codelco’s financial disclosures indicate that it operates within a legal framework of environmental regulations at the national, regional, and local levels for protection of water, air, noise, hazardous waste, and natural resources (Codelco, 2024).</w:t>
      </w:r>
    </w:p>
    <w:p w14:paraId="34405CF5"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If Codelco can use strong compliance and documentation to build and leverage its trust with customers, communities, and investors, this can be a competitive marketing advantage. The company must go beyond meeting the bare minimum, and demonstrate environmental proactivity along with reliable and quantified initiatives and progressive innovation. The political and regulatory environments, in this sense, reinforce the natural environment frameworks and assist Codelco in adopting an environmentally responsible and lower-carbon intensive model.</w:t>
      </w:r>
    </w:p>
    <w:p w14:paraId="243AFFD8" w14:textId="77777777" w:rsidR="003B078D" w:rsidRDefault="003B078D">
      <w:pPr>
        <w:spacing w:before="240" w:after="240"/>
        <w:rPr>
          <w:rFonts w:ascii="Times New Roman" w:eastAsia="Times New Roman" w:hAnsi="Times New Roman" w:cs="Times New Roman"/>
          <w:sz w:val="24"/>
          <w:szCs w:val="24"/>
        </w:rPr>
      </w:pPr>
    </w:p>
    <w:p w14:paraId="0675B6F9" w14:textId="77777777" w:rsidR="003B078D" w:rsidRDefault="003B078D">
      <w:pPr>
        <w:spacing w:before="240" w:after="240"/>
        <w:rPr>
          <w:rFonts w:ascii="Times New Roman" w:eastAsia="Times New Roman" w:hAnsi="Times New Roman" w:cs="Times New Roman"/>
          <w:sz w:val="24"/>
          <w:szCs w:val="24"/>
        </w:rPr>
      </w:pPr>
    </w:p>
    <w:p w14:paraId="6CF91617" w14:textId="77777777" w:rsidR="003B078D" w:rsidRDefault="00000000">
      <w:pPr>
        <w:pStyle w:val="Heading2"/>
        <w:keepNext w:val="0"/>
        <w:keepLines w:val="0"/>
        <w:spacing w:after="80"/>
        <w:rPr>
          <w:rFonts w:ascii="Times New Roman" w:eastAsia="Times New Roman" w:hAnsi="Times New Roman" w:cs="Times New Roman"/>
          <w:b/>
          <w:bCs/>
          <w:sz w:val="24"/>
          <w:szCs w:val="24"/>
        </w:rPr>
      </w:pPr>
      <w:bookmarkStart w:id="4" w:name="_blsyxietzgc5" w:colFirst="0" w:colLast="0"/>
      <w:bookmarkEnd w:id="4"/>
      <w:r>
        <w:rPr>
          <w:rFonts w:ascii="Times New Roman" w:eastAsia="Times New Roman" w:hAnsi="Times New Roman" w:cs="Times New Roman"/>
          <w:b/>
          <w:bCs/>
          <w:sz w:val="24"/>
          <w:szCs w:val="24"/>
        </w:rPr>
        <w:t xml:space="preserve">2. Task 2: Strategic Growth and Competitive Positioning </w:t>
      </w:r>
    </w:p>
    <w:p w14:paraId="2AD173EE"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5" w:name="_ml2y2akw9enr" w:colFirst="0" w:colLast="0"/>
      <w:bookmarkEnd w:id="5"/>
      <w:r>
        <w:rPr>
          <w:rFonts w:ascii="Times New Roman" w:eastAsia="Times New Roman" w:hAnsi="Times New Roman" w:cs="Times New Roman"/>
          <w:b/>
          <w:bCs/>
          <w:color w:val="000000"/>
          <w:sz w:val="24"/>
          <w:szCs w:val="24"/>
        </w:rPr>
        <w:t xml:space="preserve">2.1 Strategic Growth Recommendation Using the Ansoff Matrix </w:t>
      </w:r>
    </w:p>
    <w:p w14:paraId="405949CD"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environmental analysis, product development in the Ansoff Matrix Z in particular, is the most suitable strategic growth approach for Codelco. According to the Ansoff Matrix, the four growth options are market penetration, market development, product development, and diversification (Ansoff, 1957). Codelco operates in the global copper markets which have already been established. Therefore, product development in this case is most applicable because the organization needs to work towards enhancing the environmental value of their copper and the copper production processes. Therefore, this means Codelco must develop and sell copper that is lower in carbon, traceable, and produced and handled in a responsible manner and sell this copper to their clients in the realms of renewable energy, electric vehicles, the copper power grid and the copper digital grid infrastructures.</w:t>
      </w:r>
    </w:p>
    <w:p w14:paraId="3C711D3B"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This strategy is aligned with the fact that the energy transition is associated with increasing demand for copper. The International Energy Agency forecasts the demand for clean technologies that use copper will climb from 7,737 kt in 2024 to 10,910 kt by 2030. In the same period, total demand for copper will rise from 26,717 kt to 31,348 kt (IEA, 2025</w:t>
      </w:r>
      <w:proofErr w:type="gramStart"/>
      <w:r>
        <w:rPr>
          <w:rFonts w:ascii="Times New Roman" w:eastAsia="Times New Roman" w:hAnsi="Times New Roman" w:cs="Times New Roman"/>
          <w:sz w:val="24"/>
          <w:szCs w:val="24"/>
        </w:rPr>
        <w:t>).However</w:t>
      </w:r>
      <w:proofErr w:type="gramEnd"/>
      <w:r>
        <w:rPr>
          <w:rFonts w:ascii="Times New Roman" w:eastAsia="Times New Roman" w:hAnsi="Times New Roman" w:cs="Times New Roman"/>
          <w:sz w:val="24"/>
          <w:szCs w:val="24"/>
        </w:rPr>
        <w:t>, in these sectors, a growing concern for customers is not just copper availability, but responsible sourcing copper and the carbon footprint associated with it. This development should be aimed at enhancing the appeal of copper to buyers with a sustainability focus.</w:t>
      </w:r>
    </w:p>
    <w:p w14:paraId="5A7B3F84"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2024, the company plans a 27% reduction in Scope 1 and Scope 2 emissions and has made a commitment to carbon neutrality by 2050. The company has also committed to a 25% reduction </w:t>
      </w:r>
      <w:r>
        <w:rPr>
          <w:rFonts w:ascii="Times New Roman" w:eastAsia="Times New Roman" w:hAnsi="Times New Roman" w:cs="Times New Roman"/>
          <w:sz w:val="24"/>
          <w:szCs w:val="24"/>
        </w:rPr>
        <w:lastRenderedPageBreak/>
        <w:t>of Scope 3 emissions by 2030 and the electrification of personnel transport vehicles by 2040. (Codelco, 2025a). Moreover, Codelco has signed contracts that guarantee that 100% of its energy mix will be made of renewable energy by 2030 (Codelco, 2025b). These commitments help Codelco to support product development by marketing its copper as lower carbon and more suitable to customers that have made corporate social responsibility commitments.</w:t>
      </w:r>
    </w:p>
    <w:p w14:paraId="4540980C" w14:textId="77777777" w:rsidR="003B078D"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3669F6A" wp14:editId="02FE6C8B">
            <wp:extent cx="5980176" cy="2679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80176" cy="2679700"/>
                    </a:xfrm>
                    <a:prstGeom prst="rect">
                      <a:avLst/>
                    </a:prstGeom>
                    <a:ln/>
                  </pic:spPr>
                </pic:pic>
              </a:graphicData>
            </a:graphic>
          </wp:inline>
        </w:drawing>
      </w:r>
    </w:p>
    <w:p w14:paraId="5A15F02E" w14:textId="77777777" w:rsidR="003B078D"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2.1: Application of the Ansoff Matrix to Codelco</w:t>
      </w:r>
    </w:p>
    <w:p w14:paraId="16ABFD2A"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Product development claims an advantage over diversification because Codelco's principal competence lies in copper mining and processing. Diversifying into completely new sectors carries financial and operational risks for Codelco, who have great investment challenges already in decarbonization, water and operations management. Codelco, therefore, is in a position to advance a clearer, low-carbon copper value offer, bolstered by renewable electricity and water, along with stewards of carbon, circular economy and independent, responsible production standards.</w:t>
      </w:r>
    </w:p>
    <w:p w14:paraId="5F1BEFAD"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6" w:name="_66st3p9pzg8w" w:colFirst="0" w:colLast="0"/>
      <w:bookmarkEnd w:id="6"/>
      <w:r>
        <w:rPr>
          <w:rFonts w:ascii="Times New Roman" w:eastAsia="Times New Roman" w:hAnsi="Times New Roman" w:cs="Times New Roman"/>
          <w:b/>
          <w:bCs/>
          <w:color w:val="000000"/>
          <w:sz w:val="24"/>
          <w:szCs w:val="24"/>
        </w:rPr>
        <w:t xml:space="preserve">2.2 Competitive Advantage Through a Lower-Carbon Business Model </w:t>
      </w:r>
    </w:p>
    <w:p w14:paraId="4DC69B42"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Porter's Generic Strategies, Codelco can gain competitive advantage via a differentiation strategy. Within Porter's model (1985), companies can compete through cost leadership, differentiation or focus. Codelco is in a situation, where true cost leadership is a challenge, as low-carbon mining entails considerable investments in renewable energies, electric fleets, desalination and water recycling, emissions measuring and clean technologies. As a result, the most feasible competitive strategy for Codelco is differentiation: the company should be prepared to distinctly offer lower-carbon, responsibly produced copper.</w:t>
      </w:r>
    </w:p>
    <w:p w14:paraId="573F23E4"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Credible sustainability proof can build this differentiation. For example, Codelco achieved The Copper Mark's responsible production seal for all its divisions in 2024, improving its ability to </w:t>
      </w:r>
      <w:r>
        <w:rPr>
          <w:rFonts w:ascii="Times New Roman" w:eastAsia="Times New Roman" w:hAnsi="Times New Roman" w:cs="Times New Roman"/>
          <w:sz w:val="24"/>
          <w:szCs w:val="24"/>
        </w:rPr>
        <w:lastRenderedPageBreak/>
        <w:t xml:space="preserve">advocate for responsible mining to international customers (Codelco, 2025b). Its 2024 Sustainability Report highlights steps made in climate action agenda, circular economy, environmental governance, and social management, and the launch of an ESG Databook in order to facilitate clearer access to the environmental, social and governance indicators (Codelco, 2025b). </w:t>
      </w:r>
    </w:p>
    <w:p w14:paraId="2C50D7C4"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reduced carbon business model will further strengthen Codelco’s customer value proposition. Buyers of electric vehicles, renewable energy and other types of copper to be used in electronics and infrastructure may prefer copper with a smaller supply chain carbon footprint. As large customers begin to seek lower carbon solutions to help with their own Scope 3 reporting, Codelco’s lower carbon copper will become a strategic input to their business, rather than a commodity. </w:t>
      </w:r>
    </w:p>
    <w:p w14:paraId="3472504C"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will need to address the risks and concerns of greenwashing. Differentiation will only be strengthened if measurable carbon reductions, transparent reporting, and </w:t>
      </w:r>
      <w:proofErr w:type="gramStart"/>
      <w:r>
        <w:rPr>
          <w:rFonts w:ascii="Times New Roman" w:eastAsia="Times New Roman" w:hAnsi="Times New Roman" w:cs="Times New Roman"/>
          <w:sz w:val="24"/>
          <w:szCs w:val="24"/>
        </w:rPr>
        <w:t>third party</w:t>
      </w:r>
      <w:proofErr w:type="gramEnd"/>
      <w:r>
        <w:rPr>
          <w:rFonts w:ascii="Times New Roman" w:eastAsia="Times New Roman" w:hAnsi="Times New Roman" w:cs="Times New Roman"/>
          <w:sz w:val="24"/>
          <w:szCs w:val="24"/>
        </w:rPr>
        <w:t xml:space="preserve"> assurances are provided. The company's climate report mentions that mitigation, adaptation, governance, and risk management are all part of the company's climate roadmap. This is a positive step, but the company needs to continuously improve, as mining is still an environmentally damaging activity. For Codelco, sustainability is a key competitive advantage, along with trust and verifiable performance.</w:t>
      </w:r>
    </w:p>
    <w:p w14:paraId="207F4223"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7" w:name="_za6eanfl7ocb" w:colFirst="0" w:colLast="0"/>
      <w:bookmarkEnd w:id="7"/>
      <w:r>
        <w:rPr>
          <w:rFonts w:ascii="Times New Roman" w:eastAsia="Times New Roman" w:hAnsi="Times New Roman" w:cs="Times New Roman"/>
          <w:b/>
          <w:bCs/>
          <w:color w:val="000000"/>
          <w:sz w:val="24"/>
          <w:szCs w:val="24"/>
        </w:rPr>
        <w:t xml:space="preserve">2.3 Summary of Strategic Recommendation </w:t>
      </w:r>
    </w:p>
    <w:p w14:paraId="4D18F9FA"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recommendation is to implement product development as the primary Ansoff Matrix growth strategy for Codelco. This would involve the manufacture of lower-carbon, traceable, and responsibly produced copper for the clean energy markets. This is in line with the increasing need for copper in the process of electrification as well as the growing environmental and regulatory concerns. The competitive strategy recommended is differentiation, and is based on the provision of renewable energy, the reduction of emissions, responsible water management, circular economy practices, and improved ESG transparency. This would enable Codelco to escape the commodity-based competition and provide a sustainable copper offer. </w:t>
      </w:r>
    </w:p>
    <w:p w14:paraId="523ACDAD" w14:textId="77777777" w:rsidR="003B078D" w:rsidRDefault="00000000">
      <w:pPr>
        <w:pStyle w:val="Heading2"/>
        <w:keepNext w:val="0"/>
        <w:keepLines w:val="0"/>
        <w:spacing w:after="80"/>
        <w:rPr>
          <w:rFonts w:ascii="Times New Roman" w:eastAsia="Times New Roman" w:hAnsi="Times New Roman" w:cs="Times New Roman"/>
          <w:b/>
          <w:bCs/>
          <w:sz w:val="24"/>
          <w:szCs w:val="24"/>
        </w:rPr>
      </w:pPr>
      <w:bookmarkStart w:id="8" w:name="_9d95b05g1v1r" w:colFirst="0" w:colLast="0"/>
      <w:bookmarkEnd w:id="8"/>
      <w:r>
        <w:rPr>
          <w:rFonts w:ascii="Times New Roman" w:eastAsia="Times New Roman" w:hAnsi="Times New Roman" w:cs="Times New Roman"/>
          <w:b/>
          <w:bCs/>
          <w:sz w:val="24"/>
          <w:szCs w:val="24"/>
        </w:rPr>
        <w:t xml:space="preserve">3. Task 3: Critical Reflection on AI Usage </w:t>
      </w:r>
    </w:p>
    <w:p w14:paraId="34F1483B"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9" w:name="_uwhzet3xkz54" w:colFirst="0" w:colLast="0"/>
      <w:bookmarkEnd w:id="9"/>
      <w:r>
        <w:rPr>
          <w:rFonts w:ascii="Times New Roman" w:eastAsia="Times New Roman" w:hAnsi="Times New Roman" w:cs="Times New Roman"/>
          <w:b/>
          <w:bCs/>
          <w:color w:val="000000"/>
          <w:sz w:val="24"/>
          <w:szCs w:val="24"/>
        </w:rPr>
        <w:t xml:space="preserve">3.1 Tool Disclosure </w:t>
      </w:r>
    </w:p>
    <w:p w14:paraId="276CC5DE"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evaluates Codelco’s transition to lower-carbon products. Generative AI served as a research and proofreading tool supplement for this report. The primary AI tool used during development was ChatGPT. It was a useful tool for identifying themes, including environmental pressures, regulations, the demand for low-carbon copper, and growth strategies. AI also helped in the summarization of complex sources and proofreading by evaluating grammar and the overall academic tone and clarity of the context. The use of AI was in accordance with the </w:t>
      </w:r>
      <w:r>
        <w:rPr>
          <w:rFonts w:ascii="Times New Roman" w:eastAsia="Times New Roman" w:hAnsi="Times New Roman" w:cs="Times New Roman"/>
          <w:sz w:val="24"/>
          <w:szCs w:val="24"/>
        </w:rPr>
        <w:lastRenderedPageBreak/>
        <w:t>assessment guidance, as research and proofreading are allowed, while the AI's aid in the writing of the final verbatim and structuring of the document is prohibited (UWTSD, 2026).</w:t>
      </w:r>
    </w:p>
    <w:p w14:paraId="12EFA59A" w14:textId="77777777" w:rsidR="003B078D" w:rsidRDefault="003B078D">
      <w:pPr>
        <w:spacing w:before="240" w:after="240"/>
        <w:rPr>
          <w:rFonts w:ascii="Times New Roman" w:eastAsia="Times New Roman" w:hAnsi="Times New Roman" w:cs="Times New Roman"/>
          <w:sz w:val="24"/>
          <w:szCs w:val="24"/>
        </w:rPr>
      </w:pPr>
    </w:p>
    <w:p w14:paraId="0EB0B128" w14:textId="77777777" w:rsidR="003B078D" w:rsidRDefault="003B078D">
      <w:pPr>
        <w:spacing w:before="240" w:after="240"/>
        <w:rPr>
          <w:rFonts w:ascii="Times New Roman" w:eastAsia="Times New Roman" w:hAnsi="Times New Roman" w:cs="Times New Roman"/>
          <w:sz w:val="24"/>
          <w:szCs w:val="24"/>
        </w:rPr>
      </w:pPr>
    </w:p>
    <w:p w14:paraId="2B890574"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10" w:name="_wwn49k1sxzli" w:colFirst="0" w:colLast="0"/>
      <w:bookmarkEnd w:id="10"/>
      <w:r>
        <w:rPr>
          <w:rFonts w:ascii="Times New Roman" w:eastAsia="Times New Roman" w:hAnsi="Times New Roman" w:cs="Times New Roman"/>
          <w:b/>
          <w:bCs/>
          <w:color w:val="000000"/>
          <w:sz w:val="24"/>
          <w:szCs w:val="24"/>
        </w:rPr>
        <w:t xml:space="preserve">3.2 Critical Evaluation of AI Output </w:t>
      </w:r>
    </w:p>
    <w:p w14:paraId="42A2F647"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Generative AI was used to help </w:t>
      </w:r>
      <w:proofErr w:type="spellStart"/>
      <w:r>
        <w:rPr>
          <w:rFonts w:ascii="Times New Roman" w:eastAsia="Times New Roman" w:hAnsi="Times New Roman" w:cs="Times New Roman"/>
          <w:sz w:val="24"/>
          <w:szCs w:val="24"/>
        </w:rPr>
        <w:t>creat</w:t>
      </w:r>
      <w:proofErr w:type="spellEnd"/>
      <w:r>
        <w:rPr>
          <w:rFonts w:ascii="Times New Roman" w:eastAsia="Times New Roman" w:hAnsi="Times New Roman" w:cs="Times New Roman"/>
          <w:sz w:val="24"/>
          <w:szCs w:val="24"/>
        </w:rPr>
        <w:t xml:space="preserve"> text, cite sources, and create a reference list. It was important to me to make sure the text was not strictly based on the AI output. The most important sources used for cross referencing were the Codelco reports, publications from the International Energy Agency, and academic research and relevant regulatory sources. More care was given to time frames, figures, and sustainability goals as the accuracy of these is especially important. UNESCO (2023) identifies the right type of human oversight as a requirement for using generative AI for research and education. The OECD (2024) describes that for AI to be trustworthy, it must be transparent, robust, and accountable.</w:t>
      </w:r>
    </w:p>
    <w:p w14:paraId="00CED20C" w14:textId="77777777" w:rsidR="003B078D" w:rsidRDefault="00000000">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596CB76" wp14:editId="35086C33">
            <wp:extent cx="5980176" cy="28702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80176" cy="2870200"/>
                    </a:xfrm>
                    <a:prstGeom prst="rect">
                      <a:avLst/>
                    </a:prstGeom>
                    <a:ln/>
                  </pic:spPr>
                </pic:pic>
              </a:graphicData>
            </a:graphic>
          </wp:inline>
        </w:drawing>
      </w:r>
    </w:p>
    <w:p w14:paraId="195CB814" w14:textId="77777777" w:rsidR="003B078D" w:rsidRDefault="00000000">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3.1: Verification of AI-Supported Content</w:t>
      </w:r>
    </w:p>
    <w:p w14:paraId="150EA712"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11" w:name="_p7owrkocxb2x" w:colFirst="0" w:colLast="0"/>
      <w:bookmarkEnd w:id="11"/>
      <w:r>
        <w:rPr>
          <w:rFonts w:ascii="Times New Roman" w:eastAsia="Times New Roman" w:hAnsi="Times New Roman" w:cs="Times New Roman"/>
          <w:b/>
          <w:bCs/>
          <w:color w:val="000000"/>
          <w:sz w:val="24"/>
          <w:szCs w:val="24"/>
        </w:rPr>
        <w:t xml:space="preserve">3.3 Contribution Analysis </w:t>
      </w:r>
    </w:p>
    <w:p w14:paraId="6E2C074F"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 mainly assisted with generating ideas, discovering sources, summarizing, and proofreading. The rest was completed without AI assistance. My analytical thought process led me to choose Codelco as the case company and the natural and political and regulatory environments as the two external actors. My thought process also led me to suggest product development and green differentiation as the strategic options for Codelco. Therefore, I assessed the options Codelco had </w:t>
      </w:r>
      <w:r>
        <w:rPr>
          <w:rFonts w:ascii="Times New Roman" w:eastAsia="Times New Roman" w:hAnsi="Times New Roman" w:cs="Times New Roman"/>
          <w:sz w:val="24"/>
          <w:szCs w:val="24"/>
        </w:rPr>
        <w:lastRenderedPageBreak/>
        <w:t>and the threats the company faced to determine how Codelco could implement a low-carbon business model. AI offered assistance but did not fill the gaps of analytical thought process.</w:t>
      </w:r>
    </w:p>
    <w:p w14:paraId="2A2158E0" w14:textId="77777777" w:rsidR="003B078D" w:rsidRDefault="003B078D">
      <w:pPr>
        <w:pStyle w:val="Heading3"/>
        <w:keepNext w:val="0"/>
        <w:keepLines w:val="0"/>
        <w:spacing w:before="280"/>
        <w:rPr>
          <w:rFonts w:ascii="Times New Roman" w:eastAsia="Times New Roman" w:hAnsi="Times New Roman" w:cs="Times New Roman"/>
          <w:b/>
          <w:bCs/>
          <w:color w:val="000000"/>
          <w:sz w:val="24"/>
          <w:szCs w:val="24"/>
        </w:rPr>
      </w:pPr>
      <w:bookmarkStart w:id="12" w:name="_2uf2bwszm2qt" w:colFirst="0" w:colLast="0"/>
      <w:bookmarkEnd w:id="12"/>
    </w:p>
    <w:p w14:paraId="5C5B4C49" w14:textId="77777777" w:rsidR="003B078D" w:rsidRDefault="003B078D">
      <w:pPr>
        <w:pStyle w:val="Heading3"/>
        <w:keepNext w:val="0"/>
        <w:keepLines w:val="0"/>
        <w:spacing w:before="280"/>
        <w:rPr>
          <w:rFonts w:ascii="Times New Roman" w:eastAsia="Times New Roman" w:hAnsi="Times New Roman" w:cs="Times New Roman"/>
          <w:b/>
          <w:bCs/>
          <w:color w:val="000000"/>
          <w:sz w:val="24"/>
          <w:szCs w:val="24"/>
        </w:rPr>
      </w:pPr>
      <w:bookmarkStart w:id="13" w:name="_hudf3en12717" w:colFirst="0" w:colLast="0"/>
      <w:bookmarkEnd w:id="13"/>
    </w:p>
    <w:p w14:paraId="358A6E3A" w14:textId="77777777" w:rsidR="003B078D" w:rsidRDefault="00000000">
      <w:pPr>
        <w:pStyle w:val="Heading3"/>
        <w:keepNext w:val="0"/>
        <w:keepLines w:val="0"/>
        <w:spacing w:before="280"/>
        <w:rPr>
          <w:rFonts w:ascii="Times New Roman" w:eastAsia="Times New Roman" w:hAnsi="Times New Roman" w:cs="Times New Roman"/>
          <w:b/>
          <w:bCs/>
          <w:color w:val="000000"/>
          <w:sz w:val="24"/>
          <w:szCs w:val="24"/>
        </w:rPr>
      </w:pPr>
      <w:bookmarkStart w:id="14" w:name="_hhrht75ir9jc" w:colFirst="0" w:colLast="0"/>
      <w:bookmarkEnd w:id="14"/>
      <w:r>
        <w:rPr>
          <w:rFonts w:ascii="Times New Roman" w:eastAsia="Times New Roman" w:hAnsi="Times New Roman" w:cs="Times New Roman"/>
          <w:b/>
          <w:bCs/>
          <w:color w:val="000000"/>
          <w:sz w:val="24"/>
          <w:szCs w:val="24"/>
        </w:rPr>
        <w:t xml:space="preserve">3.4 Ethical and Professional Reflection </w:t>
      </w:r>
    </w:p>
    <w:p w14:paraId="1AB37B84"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Benefits for both sides and ethical issues arise from the use of AI in market analysis. Using AI can help researchers become more efficient and precise when analyzing; however, it can also lead to overdependence, poor quality analysis, and fallacies. This is much worse in a report focused on sustainability, as it can lead to environmental claims that are inaccurate and contribute to greenwashing. QAA (2024) says that the use of generative AI within the bounds of higher education offers a unique opportunity in a developing field, but there are developing strict implications for transparency of AI use in analysis.</w:t>
      </w:r>
    </w:p>
    <w:p w14:paraId="729645A0" w14:textId="77777777" w:rsidR="003B078D" w:rsidRDefault="00000000">
      <w:pPr>
        <w:spacing w:before="240"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Professional marketing analysis using AI forces the author to be accountable for the analysis. Ethical use of AI meant disclosing that I had used AI, substantiating all claims with credible evidence, not citing evidence that was not real, and ensuring that all my conclusions were based on my own knowledge.</w:t>
      </w:r>
    </w:p>
    <w:p w14:paraId="09FA00B1" w14:textId="77777777" w:rsidR="003B078D" w:rsidRDefault="003B078D">
      <w:pPr>
        <w:spacing w:before="240" w:after="240"/>
        <w:rPr>
          <w:rFonts w:ascii="Times New Roman" w:eastAsia="Times New Roman" w:hAnsi="Times New Roman" w:cs="Times New Roman"/>
          <w:sz w:val="24"/>
          <w:szCs w:val="24"/>
        </w:rPr>
      </w:pPr>
    </w:p>
    <w:p w14:paraId="56F939A0" w14:textId="77777777" w:rsidR="003B078D" w:rsidRDefault="003B078D">
      <w:pPr>
        <w:spacing w:before="240" w:after="240"/>
        <w:rPr>
          <w:rFonts w:ascii="Times New Roman" w:eastAsia="Times New Roman" w:hAnsi="Times New Roman" w:cs="Times New Roman"/>
          <w:sz w:val="24"/>
          <w:szCs w:val="24"/>
        </w:rPr>
      </w:pPr>
    </w:p>
    <w:p w14:paraId="3224993A" w14:textId="77777777" w:rsidR="003B078D" w:rsidRDefault="003B078D">
      <w:pPr>
        <w:spacing w:before="240" w:after="240"/>
        <w:rPr>
          <w:rFonts w:ascii="Times New Roman" w:eastAsia="Times New Roman" w:hAnsi="Times New Roman" w:cs="Times New Roman"/>
          <w:sz w:val="24"/>
          <w:szCs w:val="24"/>
        </w:rPr>
      </w:pPr>
    </w:p>
    <w:p w14:paraId="41170157" w14:textId="77777777" w:rsidR="003B078D" w:rsidRDefault="003B078D">
      <w:pPr>
        <w:spacing w:before="240" w:after="240"/>
        <w:rPr>
          <w:rFonts w:ascii="Times New Roman" w:eastAsia="Times New Roman" w:hAnsi="Times New Roman" w:cs="Times New Roman"/>
          <w:sz w:val="24"/>
          <w:szCs w:val="24"/>
        </w:rPr>
      </w:pPr>
    </w:p>
    <w:p w14:paraId="2A9B3415" w14:textId="77777777" w:rsidR="003B078D" w:rsidRDefault="003B078D">
      <w:pPr>
        <w:spacing w:before="240" w:after="240"/>
        <w:rPr>
          <w:rFonts w:ascii="Times New Roman" w:eastAsia="Times New Roman" w:hAnsi="Times New Roman" w:cs="Times New Roman"/>
          <w:sz w:val="24"/>
          <w:szCs w:val="24"/>
        </w:rPr>
      </w:pPr>
    </w:p>
    <w:p w14:paraId="1F29DC6D" w14:textId="77777777" w:rsidR="003B078D" w:rsidRDefault="003B078D">
      <w:pPr>
        <w:spacing w:before="240" w:after="240"/>
        <w:rPr>
          <w:rFonts w:ascii="Times New Roman" w:eastAsia="Times New Roman" w:hAnsi="Times New Roman" w:cs="Times New Roman"/>
          <w:sz w:val="24"/>
          <w:szCs w:val="24"/>
        </w:rPr>
      </w:pPr>
    </w:p>
    <w:p w14:paraId="23FA106D" w14:textId="77777777" w:rsidR="003B078D" w:rsidRDefault="003B078D">
      <w:pPr>
        <w:spacing w:before="240" w:after="240"/>
        <w:rPr>
          <w:rFonts w:ascii="Times New Roman" w:eastAsia="Times New Roman" w:hAnsi="Times New Roman" w:cs="Times New Roman"/>
          <w:sz w:val="24"/>
          <w:szCs w:val="24"/>
        </w:rPr>
      </w:pPr>
    </w:p>
    <w:p w14:paraId="4B54DC5F" w14:textId="77777777" w:rsidR="003B078D" w:rsidRDefault="003B078D">
      <w:pPr>
        <w:spacing w:before="240" w:after="240"/>
        <w:rPr>
          <w:rFonts w:ascii="Times New Roman" w:eastAsia="Times New Roman" w:hAnsi="Times New Roman" w:cs="Times New Roman"/>
          <w:sz w:val="24"/>
          <w:szCs w:val="24"/>
        </w:rPr>
      </w:pPr>
    </w:p>
    <w:p w14:paraId="1196F9E3" w14:textId="77777777" w:rsidR="003B078D" w:rsidRDefault="003B078D">
      <w:pPr>
        <w:spacing w:before="240" w:after="240"/>
        <w:rPr>
          <w:rFonts w:ascii="Times New Roman" w:eastAsia="Times New Roman" w:hAnsi="Times New Roman" w:cs="Times New Roman"/>
          <w:sz w:val="24"/>
          <w:szCs w:val="24"/>
        </w:rPr>
      </w:pPr>
    </w:p>
    <w:p w14:paraId="67FD36FB" w14:textId="77777777" w:rsidR="003B078D" w:rsidRDefault="003B078D">
      <w:pPr>
        <w:spacing w:before="240" w:after="240"/>
        <w:rPr>
          <w:rFonts w:ascii="Times New Roman" w:eastAsia="Times New Roman" w:hAnsi="Times New Roman" w:cs="Times New Roman"/>
          <w:sz w:val="24"/>
          <w:szCs w:val="24"/>
        </w:rPr>
      </w:pPr>
    </w:p>
    <w:p w14:paraId="783319E4" w14:textId="77777777" w:rsidR="003B078D" w:rsidRDefault="003B078D">
      <w:pPr>
        <w:spacing w:before="240" w:after="240"/>
        <w:rPr>
          <w:rFonts w:ascii="Times New Roman" w:eastAsia="Times New Roman" w:hAnsi="Times New Roman" w:cs="Times New Roman"/>
          <w:sz w:val="24"/>
          <w:szCs w:val="24"/>
        </w:rPr>
      </w:pPr>
    </w:p>
    <w:p w14:paraId="5B753072" w14:textId="77777777" w:rsidR="003B078D" w:rsidRDefault="003B078D">
      <w:pPr>
        <w:spacing w:before="240" w:after="240"/>
        <w:rPr>
          <w:rFonts w:ascii="Times New Roman" w:eastAsia="Times New Roman" w:hAnsi="Times New Roman" w:cs="Times New Roman"/>
          <w:sz w:val="24"/>
          <w:szCs w:val="24"/>
        </w:rPr>
      </w:pPr>
    </w:p>
    <w:p w14:paraId="39D05F8E" w14:textId="77777777" w:rsidR="003B078D" w:rsidRDefault="003B078D">
      <w:pPr>
        <w:spacing w:before="240" w:after="240"/>
        <w:rPr>
          <w:rFonts w:ascii="Times New Roman" w:eastAsia="Times New Roman" w:hAnsi="Times New Roman" w:cs="Times New Roman"/>
          <w:sz w:val="24"/>
          <w:szCs w:val="24"/>
        </w:rPr>
      </w:pPr>
    </w:p>
    <w:p w14:paraId="09EE91C5" w14:textId="77777777" w:rsidR="003B078D" w:rsidRDefault="003B078D">
      <w:pPr>
        <w:spacing w:before="240" w:after="240"/>
        <w:rPr>
          <w:rFonts w:ascii="Times New Roman" w:eastAsia="Times New Roman" w:hAnsi="Times New Roman" w:cs="Times New Roman"/>
          <w:sz w:val="24"/>
          <w:szCs w:val="24"/>
        </w:rPr>
      </w:pPr>
    </w:p>
    <w:p w14:paraId="205AFB79" w14:textId="77777777" w:rsidR="003B078D" w:rsidRDefault="003B078D">
      <w:pPr>
        <w:spacing w:before="240" w:after="240"/>
        <w:rPr>
          <w:rFonts w:ascii="Times New Roman" w:eastAsia="Times New Roman" w:hAnsi="Times New Roman" w:cs="Times New Roman"/>
          <w:sz w:val="24"/>
          <w:szCs w:val="24"/>
        </w:rPr>
      </w:pPr>
    </w:p>
    <w:p w14:paraId="5D6E20AE" w14:textId="77777777" w:rsidR="003B078D" w:rsidRDefault="00000000">
      <w:pPr>
        <w:pStyle w:val="Heading2"/>
        <w:keepNext w:val="0"/>
        <w:keepLines w:val="0"/>
        <w:spacing w:after="80"/>
        <w:rPr>
          <w:rFonts w:ascii="Times New Roman" w:eastAsia="Times New Roman" w:hAnsi="Times New Roman" w:cs="Times New Roman"/>
          <w:b/>
          <w:bCs/>
          <w:sz w:val="24"/>
          <w:szCs w:val="24"/>
        </w:rPr>
      </w:pPr>
      <w:bookmarkStart w:id="15" w:name="_t5qwjrha4gll" w:colFirst="0" w:colLast="0"/>
      <w:bookmarkEnd w:id="15"/>
      <w:r>
        <w:rPr>
          <w:rFonts w:ascii="Times New Roman" w:eastAsia="Times New Roman" w:hAnsi="Times New Roman" w:cs="Times New Roman"/>
          <w:b/>
          <w:bCs/>
          <w:sz w:val="24"/>
          <w:szCs w:val="24"/>
        </w:rPr>
        <w:t>References</w:t>
      </w:r>
    </w:p>
    <w:p w14:paraId="64E8973D" w14:textId="77777777" w:rsidR="003B078D" w:rsidRDefault="00000000">
      <w:pPr>
        <w:numPr>
          <w:ilvl w:val="0"/>
          <w:numId w:val="1"/>
        </w:numPr>
        <w:spacing w:before="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Ansoff, H.I. (1957) ‘Strategies for diversification’, </w:t>
      </w:r>
      <w:r>
        <w:rPr>
          <w:rFonts w:ascii="Times New Roman" w:eastAsia="Times New Roman" w:hAnsi="Times New Roman" w:cs="Times New Roman"/>
          <w:i/>
          <w:iCs/>
          <w:sz w:val="24"/>
          <w:szCs w:val="24"/>
        </w:rPr>
        <w:t>Harvard Business Review</w:t>
      </w:r>
      <w:r>
        <w:rPr>
          <w:rFonts w:ascii="Times New Roman" w:eastAsia="Times New Roman" w:hAnsi="Times New Roman" w:cs="Times New Roman"/>
          <w:sz w:val="24"/>
          <w:szCs w:val="24"/>
        </w:rPr>
        <w:t>, 35(5), pp. 113–124.</w:t>
      </w:r>
    </w:p>
    <w:p w14:paraId="49FEEBCE"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(2024) </w:t>
      </w:r>
      <w:r>
        <w:rPr>
          <w:rFonts w:ascii="Times New Roman" w:eastAsia="Times New Roman" w:hAnsi="Times New Roman" w:cs="Times New Roman"/>
          <w:i/>
          <w:iCs/>
          <w:sz w:val="24"/>
          <w:szCs w:val="24"/>
        </w:rPr>
        <w:t>Financial statements: Corporación Nacional del Cobre de Chile</w:t>
      </w:r>
      <w:r>
        <w:rPr>
          <w:rFonts w:ascii="Times New Roman" w:eastAsia="Times New Roman" w:hAnsi="Times New Roman" w:cs="Times New Roman"/>
          <w:sz w:val="24"/>
          <w:szCs w:val="24"/>
        </w:rPr>
        <w:t>. Santiago: Codelco.</w:t>
      </w:r>
    </w:p>
    <w:p w14:paraId="53A92636"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(2025a) </w:t>
      </w:r>
      <w:r>
        <w:rPr>
          <w:rFonts w:ascii="Times New Roman" w:eastAsia="Times New Roman" w:hAnsi="Times New Roman" w:cs="Times New Roman"/>
          <w:i/>
          <w:iCs/>
          <w:sz w:val="24"/>
          <w:szCs w:val="24"/>
        </w:rPr>
        <w:t>Codelco operational and financial results December 31, 2024</w:t>
      </w:r>
      <w:r>
        <w:rPr>
          <w:rFonts w:ascii="Times New Roman" w:eastAsia="Times New Roman" w:hAnsi="Times New Roman" w:cs="Times New Roman"/>
          <w:sz w:val="24"/>
          <w:szCs w:val="24"/>
        </w:rPr>
        <w:t>. Santiago: Codelco.</w:t>
      </w:r>
    </w:p>
    <w:p w14:paraId="1B2BC06F"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(2025b) </w:t>
      </w:r>
      <w:r>
        <w:rPr>
          <w:rFonts w:ascii="Times New Roman" w:eastAsia="Times New Roman" w:hAnsi="Times New Roman" w:cs="Times New Roman"/>
          <w:i/>
          <w:iCs/>
          <w:sz w:val="24"/>
          <w:szCs w:val="24"/>
        </w:rPr>
        <w:t>Codelco launches its first Climate Change Report and consolidates its strategy toward more resilient and low-emission mining</w:t>
      </w:r>
      <w:r>
        <w:rPr>
          <w:rFonts w:ascii="Times New Roman" w:eastAsia="Times New Roman" w:hAnsi="Times New Roman" w:cs="Times New Roman"/>
          <w:sz w:val="24"/>
          <w:szCs w:val="24"/>
        </w:rPr>
        <w:t>. Santiago: Codelco.</w:t>
      </w:r>
    </w:p>
    <w:p w14:paraId="78821B7E"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Codelco (2025c) </w:t>
      </w:r>
      <w:r>
        <w:rPr>
          <w:rFonts w:ascii="Times New Roman" w:eastAsia="Times New Roman" w:hAnsi="Times New Roman" w:cs="Times New Roman"/>
          <w:i/>
          <w:iCs/>
          <w:sz w:val="24"/>
          <w:szCs w:val="24"/>
        </w:rPr>
        <w:t>Codelco launches its 2024 Sustainability Report and reinforces its commitment to transparency and sustainable development</w:t>
      </w:r>
      <w:r>
        <w:rPr>
          <w:rFonts w:ascii="Times New Roman" w:eastAsia="Times New Roman" w:hAnsi="Times New Roman" w:cs="Times New Roman"/>
          <w:sz w:val="24"/>
          <w:szCs w:val="24"/>
        </w:rPr>
        <w:t>. Santiago: Codelco.</w:t>
      </w:r>
    </w:p>
    <w:p w14:paraId="3265A151"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European Commission (2024) </w:t>
      </w:r>
      <w:r>
        <w:rPr>
          <w:rFonts w:ascii="Times New Roman" w:eastAsia="Times New Roman" w:hAnsi="Times New Roman" w:cs="Times New Roman"/>
          <w:i/>
          <w:iCs/>
          <w:sz w:val="24"/>
          <w:szCs w:val="24"/>
        </w:rPr>
        <w:t>AI Act: regulatory framework for artificial intelligence</w:t>
      </w:r>
      <w:r>
        <w:rPr>
          <w:rFonts w:ascii="Times New Roman" w:eastAsia="Times New Roman" w:hAnsi="Times New Roman" w:cs="Times New Roman"/>
          <w:sz w:val="24"/>
          <w:szCs w:val="24"/>
        </w:rPr>
        <w:t>. Brussels: European Commission.</w:t>
      </w:r>
    </w:p>
    <w:p w14:paraId="7FEA73AB"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Fitzsimons, E. and Warren, P. (2024) ‘Desalination investment for copper mining: barriers and opportunities in Chile’, </w:t>
      </w:r>
      <w:r>
        <w:rPr>
          <w:rFonts w:ascii="Times New Roman" w:eastAsia="Times New Roman" w:hAnsi="Times New Roman" w:cs="Times New Roman"/>
          <w:i/>
          <w:iCs/>
          <w:sz w:val="24"/>
          <w:szCs w:val="24"/>
        </w:rPr>
        <w:t>The Extractive Industries and Society</w:t>
      </w:r>
      <w:r>
        <w:rPr>
          <w:rFonts w:ascii="Times New Roman" w:eastAsia="Times New Roman" w:hAnsi="Times New Roman" w:cs="Times New Roman"/>
          <w:sz w:val="24"/>
          <w:szCs w:val="24"/>
        </w:rPr>
        <w:t>, 17, article 101449.</w:t>
      </w:r>
    </w:p>
    <w:p w14:paraId="60645FC1"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ICAP (2022) </w:t>
      </w:r>
      <w:r>
        <w:rPr>
          <w:rFonts w:ascii="Times New Roman" w:eastAsia="Times New Roman" w:hAnsi="Times New Roman" w:cs="Times New Roman"/>
          <w:i/>
          <w:iCs/>
          <w:sz w:val="24"/>
          <w:szCs w:val="24"/>
        </w:rPr>
        <w:t>Chile publishes Climate Change Framework Law, paving way for market-based policy</w:t>
      </w:r>
      <w:r>
        <w:rPr>
          <w:rFonts w:ascii="Times New Roman" w:eastAsia="Times New Roman" w:hAnsi="Times New Roman" w:cs="Times New Roman"/>
          <w:sz w:val="24"/>
          <w:szCs w:val="24"/>
        </w:rPr>
        <w:t>. International Carbon Action Partnership.</w:t>
      </w:r>
    </w:p>
    <w:p w14:paraId="05BA5A0A"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IEA (2021) </w:t>
      </w:r>
      <w:r>
        <w:rPr>
          <w:rFonts w:ascii="Times New Roman" w:eastAsia="Times New Roman" w:hAnsi="Times New Roman" w:cs="Times New Roman"/>
          <w:i/>
          <w:iCs/>
          <w:sz w:val="24"/>
          <w:szCs w:val="24"/>
        </w:rPr>
        <w:t>The Role of Critical Minerals in Clean Energy Transitions</w:t>
      </w:r>
      <w:r>
        <w:rPr>
          <w:rFonts w:ascii="Times New Roman" w:eastAsia="Times New Roman" w:hAnsi="Times New Roman" w:cs="Times New Roman"/>
          <w:sz w:val="24"/>
          <w:szCs w:val="24"/>
        </w:rPr>
        <w:t>. Paris: International Energy Agency.</w:t>
      </w:r>
    </w:p>
    <w:p w14:paraId="591CECD3"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IEA (2025) </w:t>
      </w:r>
      <w:r>
        <w:rPr>
          <w:rFonts w:ascii="Times New Roman" w:eastAsia="Times New Roman" w:hAnsi="Times New Roman" w:cs="Times New Roman"/>
          <w:i/>
          <w:iCs/>
          <w:sz w:val="24"/>
          <w:szCs w:val="24"/>
        </w:rPr>
        <w:t>Copper: Outlook for key energy transition minerals</w:t>
      </w:r>
      <w:r>
        <w:rPr>
          <w:rFonts w:ascii="Times New Roman" w:eastAsia="Times New Roman" w:hAnsi="Times New Roman" w:cs="Times New Roman"/>
          <w:sz w:val="24"/>
          <w:szCs w:val="24"/>
        </w:rPr>
        <w:t>. Paris: International Energy Agency.</w:t>
      </w:r>
    </w:p>
    <w:p w14:paraId="45B64786"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IKI (2021) </w:t>
      </w:r>
      <w:r>
        <w:rPr>
          <w:rFonts w:ascii="Times New Roman" w:eastAsia="Times New Roman" w:hAnsi="Times New Roman" w:cs="Times New Roman"/>
          <w:i/>
          <w:iCs/>
          <w:sz w:val="24"/>
          <w:szCs w:val="24"/>
        </w:rPr>
        <w:t>Sustainable Mining in Chile</w:t>
      </w:r>
      <w:r>
        <w:rPr>
          <w:rFonts w:ascii="Times New Roman" w:eastAsia="Times New Roman" w:hAnsi="Times New Roman" w:cs="Times New Roman"/>
          <w:sz w:val="24"/>
          <w:szCs w:val="24"/>
        </w:rPr>
        <w:t>. International Climate Initiative.</w:t>
      </w:r>
    </w:p>
    <w:p w14:paraId="7CE2B698"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OECD (2024) </w:t>
      </w:r>
      <w:r>
        <w:rPr>
          <w:rFonts w:ascii="Times New Roman" w:eastAsia="Times New Roman" w:hAnsi="Times New Roman" w:cs="Times New Roman"/>
          <w:i/>
          <w:iCs/>
          <w:sz w:val="24"/>
          <w:szCs w:val="24"/>
        </w:rPr>
        <w:t>AI principles</w:t>
      </w:r>
      <w:r>
        <w:rPr>
          <w:rFonts w:ascii="Times New Roman" w:eastAsia="Times New Roman" w:hAnsi="Times New Roman" w:cs="Times New Roman"/>
          <w:sz w:val="24"/>
          <w:szCs w:val="24"/>
        </w:rPr>
        <w:t xml:space="preserve">. Paris: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 Economic Co-operation and Development.</w:t>
      </w:r>
    </w:p>
    <w:p w14:paraId="2083DA09"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Onifade, M. et al. (2024) ‘Advancing toward sustainability: the emergence of green mining technologies and practices’, </w:t>
      </w:r>
      <w:r>
        <w:rPr>
          <w:rFonts w:ascii="Times New Roman" w:eastAsia="Times New Roman" w:hAnsi="Times New Roman" w:cs="Times New Roman"/>
          <w:i/>
          <w:iCs/>
          <w:sz w:val="24"/>
          <w:szCs w:val="24"/>
        </w:rPr>
        <w:t>Green and Smart Mining Engineering</w:t>
      </w:r>
      <w:r>
        <w:rPr>
          <w:rFonts w:ascii="Times New Roman" w:eastAsia="Times New Roman" w:hAnsi="Times New Roman" w:cs="Times New Roman"/>
          <w:sz w:val="24"/>
          <w:szCs w:val="24"/>
        </w:rPr>
        <w:t>, 1(2), pp. 157–174.</w:t>
      </w:r>
    </w:p>
    <w:p w14:paraId="7D5045A3"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Porter, M.E. (1985) </w:t>
      </w:r>
      <w:r>
        <w:rPr>
          <w:rFonts w:ascii="Times New Roman" w:eastAsia="Times New Roman" w:hAnsi="Times New Roman" w:cs="Times New Roman"/>
          <w:i/>
          <w:iCs/>
          <w:sz w:val="24"/>
          <w:szCs w:val="24"/>
        </w:rPr>
        <w:t>Competitive Advantage: Creating and Sustaining Superior Performance</w:t>
      </w:r>
      <w:r>
        <w:rPr>
          <w:rFonts w:ascii="Times New Roman" w:eastAsia="Times New Roman" w:hAnsi="Times New Roman" w:cs="Times New Roman"/>
          <w:sz w:val="24"/>
          <w:szCs w:val="24"/>
        </w:rPr>
        <w:t>. New York: Free Press.</w:t>
      </w:r>
    </w:p>
    <w:p w14:paraId="0B8C6B2A"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QAA (2024) </w:t>
      </w:r>
      <w:r>
        <w:rPr>
          <w:rFonts w:ascii="Times New Roman" w:eastAsia="Times New Roman" w:hAnsi="Times New Roman" w:cs="Times New Roman"/>
          <w:i/>
          <w:iCs/>
          <w:sz w:val="24"/>
          <w:szCs w:val="24"/>
        </w:rPr>
        <w:t>Quality Compass: Navigating the complexities of the artificial intelligence era in higher education</w:t>
      </w:r>
      <w:r>
        <w:rPr>
          <w:rFonts w:ascii="Times New Roman" w:eastAsia="Times New Roman" w:hAnsi="Times New Roman" w:cs="Times New Roman"/>
          <w:sz w:val="24"/>
          <w:szCs w:val="24"/>
        </w:rPr>
        <w:t>. Gloucester: The Quality Assurance Agency for Higher Education.</w:t>
      </w:r>
    </w:p>
    <w:p w14:paraId="24F7E1EE"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UNCTAD (2023) </w:t>
      </w:r>
      <w:r>
        <w:rPr>
          <w:rFonts w:ascii="Times New Roman" w:eastAsia="Times New Roman" w:hAnsi="Times New Roman" w:cs="Times New Roman"/>
          <w:i/>
          <w:iCs/>
          <w:sz w:val="24"/>
          <w:szCs w:val="24"/>
        </w:rPr>
        <w:t>Chile adopts new Mining Royalty Act increasing taxation for large copper mining companies</w:t>
      </w:r>
      <w:r>
        <w:rPr>
          <w:rFonts w:ascii="Times New Roman" w:eastAsia="Times New Roman" w:hAnsi="Times New Roman" w:cs="Times New Roman"/>
          <w:sz w:val="24"/>
          <w:szCs w:val="24"/>
        </w:rPr>
        <w:t>. UNCTAD Investment Policy Hub.</w:t>
      </w:r>
    </w:p>
    <w:p w14:paraId="54A33FBA" w14:textId="77777777" w:rsidR="003B078D" w:rsidRDefault="00000000">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UNESCO (2023) </w:t>
      </w:r>
      <w:r>
        <w:rPr>
          <w:rFonts w:ascii="Times New Roman" w:eastAsia="Times New Roman" w:hAnsi="Times New Roman" w:cs="Times New Roman"/>
          <w:i/>
          <w:iCs/>
          <w:sz w:val="24"/>
          <w:szCs w:val="24"/>
        </w:rPr>
        <w:t>Guidance for generative AI in education and research</w:t>
      </w:r>
      <w:r>
        <w:rPr>
          <w:rFonts w:ascii="Times New Roman" w:eastAsia="Times New Roman" w:hAnsi="Times New Roman" w:cs="Times New Roman"/>
          <w:sz w:val="24"/>
          <w:szCs w:val="24"/>
        </w:rPr>
        <w:t>. Paris: UNESCO.</w:t>
      </w:r>
    </w:p>
    <w:p w14:paraId="15D09B5D" w14:textId="77777777" w:rsidR="003B078D" w:rsidRDefault="00000000">
      <w:pPr>
        <w:numPr>
          <w:ilvl w:val="0"/>
          <w:numId w:val="1"/>
        </w:numPr>
        <w:spacing w:after="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UWTSD (2026) </w:t>
      </w:r>
      <w:r>
        <w:rPr>
          <w:rFonts w:ascii="Times New Roman" w:eastAsia="Times New Roman" w:hAnsi="Times New Roman" w:cs="Times New Roman"/>
          <w:i/>
          <w:iCs/>
          <w:sz w:val="24"/>
          <w:szCs w:val="24"/>
        </w:rPr>
        <w:t>LCMB7024 Marketing Management Assessment Specification: Marketing Environment Analysis</w:t>
      </w:r>
      <w:r>
        <w:rPr>
          <w:rFonts w:ascii="Times New Roman" w:eastAsia="Times New Roman" w:hAnsi="Times New Roman" w:cs="Times New Roman"/>
          <w:sz w:val="24"/>
          <w:szCs w:val="24"/>
        </w:rPr>
        <w:t>. University of Wales Trinity Saint David.</w:t>
      </w:r>
    </w:p>
    <w:sectPr w:rsidR="003B078D">
      <w:pgSz w:w="12240" w:h="15840"/>
      <w:pgMar w:top="1411" w:right="1411" w:bottom="1411" w:left="1411"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4C2D91F-6A80-49F5-A574-561008151437}"/>
  </w:font>
  <w:font w:name="Cambria">
    <w:panose1 w:val="02040503050406030204"/>
    <w:charset w:val="00"/>
    <w:family w:val="roman"/>
    <w:pitch w:val="variable"/>
    <w:sig w:usb0="E00006FF" w:usb1="420024FF" w:usb2="02000000" w:usb3="00000000" w:csb0="0000019F" w:csb1="00000000"/>
    <w:embedRegular r:id="rId2" w:fontKey="{DD8CDCAB-4F7D-4D04-B576-5FEF46680C9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7F15EB"/>
    <w:multiLevelType w:val="multilevel"/>
    <w:tmpl w:val="BCE66F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42201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displayBackgroundShape/>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078D"/>
    <w:rsid w:val="001444A3"/>
    <w:rsid w:val="003B078D"/>
    <w:rsid w:val="00683D77"/>
    <w:rsid w:val="00AC1EDB"/>
    <w:rsid w:val="00C046F0"/>
    <w:rsid w:val="00FE76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80F60"/>
  <w15:docId w15:val="{B8520BE5-B590-44C6-8086-118B7B3523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690</TotalTime>
  <Pages>12</Pages>
  <Words>3210</Words>
  <Characters>18299</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Rohankumar Patel</dc:creator>
  <cp:lastModifiedBy>Jeel Patel</cp:lastModifiedBy>
  <cp:revision>4</cp:revision>
  <dcterms:created xsi:type="dcterms:W3CDTF">2026-07-11T06:28:00Z</dcterms:created>
  <dcterms:modified xsi:type="dcterms:W3CDTF">2026-07-21T21:59:00Z</dcterms:modified>
</cp:coreProperties>
</file>