
<file path=[Content_Types].xml><?xml version="1.0" encoding="utf-8"?>
<Types xmlns="http://schemas.openxmlformats.org/package/2006/content-types">
  <Default Extension="rels" ContentType="application/vnd.openxmlformats-package.relationships+xml"/>
  <Default Extension="xml" ContentType="application/xml"/>
  <Override PartName="/word/numbering.xml" ContentType="application/vnd.openxmlformats-officedocument.wordprocessingml.numbering+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document.xml" ContentType="application/vnd.openxmlformats-officedocument.wordprocessingml.document.main+xml"/>
  <Override PartName="/word/theme/theme1.xml" ContentType="application/vnd.openxmlformats-officedocument.theme+xml"/>
  <Override PartName="/docProps/core.xml" ContentType="application/vnd.openxmlformats-package.core-properties+xml"/>
</Types>
</file>

<file path=_rels/.rels><?xml version="1.0" encoding="UTF-8" standalone="yes"?>
<Relationships xmlns="http://schemas.openxmlformats.org/package/2006/relationships"><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Title"/>
        <w:spacing w:after="0" w:line="360" w:lineRule="auto"/>
        <w:jc w:val="center"/>
        <w:rPr>
          <w:rFonts w:ascii="Times New Roman" w:cs="Times New Roman" w:eastAsia="Times New Roman" w:hAnsi="Times New Roman"/>
          <w:b w:val="1"/>
          <w:sz w:val="40"/>
          <w:szCs w:val="40"/>
        </w:rPr>
      </w:pPr>
      <w:bookmarkStart w:colFirst="0" w:colLast="0" w:name="_ffreonvup9xc" w:id="0"/>
      <w:bookmarkEnd w:id="0"/>
      <w:r w:rsidDel="00000000" w:rsidR="00000000" w:rsidRPr="00000000">
        <w:rPr>
          <w:rtl w:val="0"/>
        </w:rPr>
      </w:r>
    </w:p>
    <w:p w:rsidR="00000000" w:rsidDel="00000000" w:rsidP="00000000" w:rsidRDefault="00000000" w:rsidRPr="00000000" w14:paraId="00000002">
      <w:pPr>
        <w:pStyle w:val="Title"/>
        <w:spacing w:after="0" w:line="360" w:lineRule="auto"/>
        <w:jc w:val="center"/>
        <w:rPr>
          <w:rFonts w:ascii="Times New Roman" w:cs="Times New Roman" w:eastAsia="Times New Roman" w:hAnsi="Times New Roman"/>
          <w:b w:val="1"/>
          <w:sz w:val="40"/>
          <w:szCs w:val="40"/>
        </w:rPr>
      </w:pPr>
      <w:bookmarkStart w:colFirst="0" w:colLast="0" w:name="_gj0i13utj336" w:id="1"/>
      <w:bookmarkEnd w:id="1"/>
      <w:r w:rsidDel="00000000" w:rsidR="00000000" w:rsidRPr="00000000">
        <w:rPr>
          <w:rtl w:val="0"/>
        </w:rPr>
      </w:r>
    </w:p>
    <w:p w:rsidR="00000000" w:rsidDel="00000000" w:rsidP="00000000" w:rsidRDefault="00000000" w:rsidRPr="00000000" w14:paraId="00000003">
      <w:pPr>
        <w:pStyle w:val="Title"/>
        <w:spacing w:after="0" w:line="360" w:lineRule="auto"/>
        <w:jc w:val="center"/>
        <w:rPr>
          <w:rFonts w:ascii="Times New Roman" w:cs="Times New Roman" w:eastAsia="Times New Roman" w:hAnsi="Times New Roman"/>
          <w:b w:val="1"/>
          <w:sz w:val="40"/>
          <w:szCs w:val="40"/>
        </w:rPr>
      </w:pPr>
      <w:bookmarkStart w:colFirst="0" w:colLast="0" w:name="_xj6b1k6ky01j" w:id="2"/>
      <w:bookmarkEnd w:id="2"/>
      <w:r w:rsidDel="00000000" w:rsidR="00000000" w:rsidRPr="00000000">
        <w:rPr>
          <w:rtl w:val="0"/>
        </w:rPr>
      </w:r>
    </w:p>
    <w:p w:rsidR="00000000" w:rsidDel="00000000" w:rsidP="00000000" w:rsidRDefault="00000000" w:rsidRPr="00000000" w14:paraId="00000004">
      <w:pPr>
        <w:pStyle w:val="Title"/>
        <w:spacing w:after="0" w:line="360" w:lineRule="auto"/>
        <w:jc w:val="center"/>
        <w:rPr>
          <w:rFonts w:ascii="Times New Roman" w:cs="Times New Roman" w:eastAsia="Times New Roman" w:hAnsi="Times New Roman"/>
          <w:b w:val="1"/>
          <w:sz w:val="40"/>
          <w:szCs w:val="40"/>
        </w:rPr>
      </w:pPr>
      <w:bookmarkStart w:colFirst="0" w:colLast="0" w:name="_o42fu3rsgru0" w:id="3"/>
      <w:bookmarkEnd w:id="3"/>
      <w:r w:rsidDel="00000000" w:rsidR="00000000" w:rsidRPr="00000000">
        <w:rPr>
          <w:rtl w:val="0"/>
        </w:rPr>
      </w:r>
    </w:p>
    <w:p w:rsidR="00000000" w:rsidDel="00000000" w:rsidP="00000000" w:rsidRDefault="00000000" w:rsidRPr="00000000" w14:paraId="00000005">
      <w:pPr>
        <w:pStyle w:val="Title"/>
        <w:spacing w:after="0" w:line="360" w:lineRule="auto"/>
        <w:jc w:val="center"/>
        <w:rPr>
          <w:rFonts w:ascii="Times New Roman" w:cs="Times New Roman" w:eastAsia="Times New Roman" w:hAnsi="Times New Roman"/>
          <w:b w:val="1"/>
          <w:sz w:val="40"/>
          <w:szCs w:val="40"/>
        </w:rPr>
      </w:pPr>
      <w:bookmarkStart w:colFirst="0" w:colLast="0" w:name="_7jbh215a2nyn" w:id="4"/>
      <w:bookmarkEnd w:id="4"/>
      <w:r w:rsidDel="00000000" w:rsidR="00000000" w:rsidRPr="00000000">
        <w:rPr>
          <w:rFonts w:ascii="Times New Roman" w:cs="Times New Roman" w:eastAsia="Times New Roman" w:hAnsi="Times New Roman"/>
          <w:b w:val="1"/>
          <w:sz w:val="40"/>
          <w:szCs w:val="40"/>
          <w:rtl w:val="0"/>
        </w:rPr>
        <w:t xml:space="preserve">   </w:t>
      </w:r>
      <w:r w:rsidDel="00000000" w:rsidR="00000000" w:rsidRPr="00000000">
        <w:rPr>
          <w:rFonts w:ascii="Times New Roman" w:cs="Times New Roman" w:eastAsia="Times New Roman" w:hAnsi="Times New Roman"/>
          <w:b w:val="1"/>
          <w:sz w:val="40"/>
          <w:szCs w:val="40"/>
          <w:rtl w:val="0"/>
        </w:rPr>
        <w:t xml:space="preserve">BMIH6005</w:t>
      </w:r>
      <w:r w:rsidDel="00000000" w:rsidR="00000000" w:rsidRPr="00000000">
        <w:rPr>
          <w:rtl w:val="0"/>
        </w:rPr>
      </w:r>
    </w:p>
    <w:p w:rsidR="00000000" w:rsidDel="00000000" w:rsidP="00000000" w:rsidRDefault="00000000" w:rsidRPr="00000000" w14:paraId="00000006">
      <w:pPr>
        <w:pStyle w:val="Title"/>
        <w:spacing w:after="0" w:line="360" w:lineRule="auto"/>
        <w:jc w:val="center"/>
        <w:rPr>
          <w:rFonts w:ascii="Times New Roman" w:cs="Times New Roman" w:eastAsia="Times New Roman" w:hAnsi="Times New Roman"/>
          <w:b w:val="1"/>
          <w:sz w:val="40"/>
          <w:szCs w:val="40"/>
        </w:rPr>
      </w:pPr>
      <w:bookmarkStart w:colFirst="0" w:colLast="0" w:name="_nh5xh3fk6fom" w:id="5"/>
      <w:bookmarkEnd w:id="5"/>
      <w:r w:rsidDel="00000000" w:rsidR="00000000" w:rsidRPr="00000000">
        <w:rPr>
          <w:rFonts w:ascii="Times New Roman" w:cs="Times New Roman" w:eastAsia="Times New Roman" w:hAnsi="Times New Roman"/>
          <w:b w:val="1"/>
          <w:sz w:val="40"/>
          <w:szCs w:val="40"/>
          <w:rtl w:val="0"/>
        </w:rPr>
        <w:t xml:space="preserve">Organisational Consultancy</w:t>
      </w:r>
    </w:p>
    <w:p w:rsidR="00000000" w:rsidDel="00000000" w:rsidP="00000000" w:rsidRDefault="00000000" w:rsidRPr="00000000" w14:paraId="00000007">
      <w:pPr>
        <w:pStyle w:val="Title"/>
        <w:spacing w:after="0" w:line="360" w:lineRule="auto"/>
        <w:jc w:val="center"/>
        <w:rPr>
          <w:rFonts w:ascii="Times New Roman" w:cs="Times New Roman" w:eastAsia="Times New Roman" w:hAnsi="Times New Roman"/>
          <w:b w:val="1"/>
          <w:sz w:val="40"/>
          <w:szCs w:val="40"/>
        </w:rPr>
      </w:pPr>
      <w:bookmarkStart w:colFirst="0" w:colLast="0" w:name="_14kv6gaihhwt" w:id="6"/>
      <w:bookmarkEnd w:id="6"/>
      <w:r w:rsidDel="00000000" w:rsidR="00000000" w:rsidRPr="00000000">
        <w:rPr>
          <w:rFonts w:ascii="Times New Roman" w:cs="Times New Roman" w:eastAsia="Times New Roman" w:hAnsi="Times New Roman"/>
          <w:b w:val="1"/>
          <w:sz w:val="40"/>
          <w:szCs w:val="40"/>
          <w:rtl w:val="0"/>
        </w:rPr>
        <w:t xml:space="preserve">  </w:t>
      </w:r>
    </w:p>
    <w:p w:rsidR="00000000" w:rsidDel="00000000" w:rsidP="00000000" w:rsidRDefault="00000000" w:rsidRPr="00000000" w14:paraId="00000008">
      <w:pPr>
        <w:pStyle w:val="Title"/>
        <w:spacing w:after="0" w:line="360" w:lineRule="auto"/>
        <w:jc w:val="center"/>
        <w:rPr>
          <w:rFonts w:ascii="Times New Roman" w:cs="Times New Roman" w:eastAsia="Times New Roman" w:hAnsi="Times New Roman"/>
          <w:b w:val="1"/>
          <w:sz w:val="40"/>
          <w:szCs w:val="40"/>
        </w:rPr>
      </w:pPr>
      <w:bookmarkStart w:colFirst="0" w:colLast="0" w:name="_d7ch073t0exh" w:id="7"/>
      <w:bookmarkEnd w:id="7"/>
      <w:r w:rsidDel="00000000" w:rsidR="00000000" w:rsidRPr="00000000">
        <w:rPr>
          <w:rtl w:val="0"/>
        </w:rPr>
      </w:r>
    </w:p>
    <w:p w:rsidR="00000000" w:rsidDel="00000000" w:rsidP="00000000" w:rsidRDefault="00000000" w:rsidRPr="00000000" w14:paraId="00000009">
      <w:pPr>
        <w:pStyle w:val="Title"/>
        <w:spacing w:after="0" w:line="360" w:lineRule="auto"/>
        <w:jc w:val="center"/>
        <w:rPr>
          <w:rFonts w:ascii="Times New Roman" w:cs="Times New Roman" w:eastAsia="Times New Roman" w:hAnsi="Times New Roman"/>
          <w:b w:val="1"/>
          <w:sz w:val="40"/>
          <w:szCs w:val="40"/>
        </w:rPr>
      </w:pPr>
      <w:bookmarkStart w:colFirst="0" w:colLast="0" w:name="_kar7hs77xxux" w:id="8"/>
      <w:bookmarkEnd w:id="8"/>
      <w:r w:rsidDel="00000000" w:rsidR="00000000" w:rsidRPr="00000000">
        <w:rPr>
          <w:rFonts w:ascii="Times New Roman" w:cs="Times New Roman" w:eastAsia="Times New Roman" w:hAnsi="Times New Roman"/>
          <w:b w:val="1"/>
          <w:sz w:val="40"/>
          <w:szCs w:val="40"/>
          <w:rtl w:val="0"/>
        </w:rPr>
        <w:t xml:space="preserve">Ionel Babache</w:t>
      </w:r>
    </w:p>
    <w:p w:rsidR="00000000" w:rsidDel="00000000" w:rsidP="00000000" w:rsidRDefault="00000000" w:rsidRPr="00000000" w14:paraId="0000000A">
      <w:pPr>
        <w:pStyle w:val="Title"/>
        <w:spacing w:after="0" w:line="360" w:lineRule="auto"/>
        <w:ind w:left="0" w:firstLine="0"/>
        <w:jc w:val="center"/>
        <w:rPr>
          <w:rFonts w:ascii="Times New Roman" w:cs="Times New Roman" w:eastAsia="Times New Roman" w:hAnsi="Times New Roman"/>
          <w:b w:val="1"/>
          <w:sz w:val="30"/>
          <w:szCs w:val="30"/>
        </w:rPr>
      </w:pPr>
      <w:bookmarkStart w:colFirst="0" w:colLast="0" w:name="_urajeyudwdzr" w:id="9"/>
      <w:bookmarkEnd w:id="9"/>
      <w:r w:rsidDel="00000000" w:rsidR="00000000" w:rsidRPr="00000000">
        <w:rPr>
          <w:rFonts w:ascii="Times New Roman" w:cs="Times New Roman" w:eastAsia="Times New Roman" w:hAnsi="Times New Roman"/>
          <w:b w:val="1"/>
          <w:sz w:val="30"/>
          <w:szCs w:val="30"/>
          <w:rtl w:val="0"/>
        </w:rPr>
        <w:t xml:space="preserve">2241659</w:t>
      </w:r>
    </w:p>
    <w:p w:rsidR="00000000" w:rsidDel="00000000" w:rsidP="00000000" w:rsidRDefault="00000000" w:rsidRPr="00000000" w14:paraId="0000000B">
      <w:pPr>
        <w:jc w:val="center"/>
        <w:rPr>
          <w:rFonts w:ascii="Times New Roman" w:cs="Times New Roman" w:eastAsia="Times New Roman" w:hAnsi="Times New Roman"/>
          <w:b w:val="1"/>
          <w:sz w:val="30"/>
          <w:szCs w:val="30"/>
        </w:rPr>
      </w:pPr>
      <w:r w:rsidDel="00000000" w:rsidR="00000000" w:rsidRPr="00000000">
        <w:rPr>
          <w:rFonts w:ascii="Times New Roman" w:cs="Times New Roman" w:eastAsia="Times New Roman" w:hAnsi="Times New Roman"/>
          <w:b w:val="1"/>
          <w:sz w:val="30"/>
          <w:szCs w:val="30"/>
          <w:rtl w:val="0"/>
        </w:rPr>
        <w:t xml:space="preserve">Neil Dyer</w:t>
      </w:r>
    </w:p>
    <w:p w:rsidR="00000000" w:rsidDel="00000000" w:rsidP="00000000" w:rsidRDefault="00000000" w:rsidRPr="00000000" w14:paraId="0000000C">
      <w:pPr>
        <w:pStyle w:val="Title"/>
        <w:spacing w:after="0" w:line="360" w:lineRule="auto"/>
        <w:ind w:left="720" w:firstLine="0"/>
        <w:jc w:val="center"/>
        <w:rPr>
          <w:rFonts w:ascii="Times New Roman" w:cs="Times New Roman" w:eastAsia="Times New Roman" w:hAnsi="Times New Roman"/>
          <w:b w:val="1"/>
          <w:sz w:val="40"/>
          <w:szCs w:val="40"/>
        </w:rPr>
      </w:pPr>
      <w:bookmarkStart w:colFirst="0" w:colLast="0" w:name="_ar79caa8s8k6" w:id="10"/>
      <w:bookmarkEnd w:id="10"/>
      <w:r w:rsidDel="00000000" w:rsidR="00000000" w:rsidRPr="00000000">
        <w:rPr>
          <w:rtl w:val="0"/>
        </w:rPr>
      </w:r>
    </w:p>
    <w:p w:rsidR="00000000" w:rsidDel="00000000" w:rsidP="00000000" w:rsidRDefault="00000000" w:rsidRPr="00000000" w14:paraId="0000000D">
      <w:pPr>
        <w:pStyle w:val="Title"/>
        <w:spacing w:after="0" w:line="360" w:lineRule="auto"/>
        <w:ind w:left="720" w:firstLine="0"/>
        <w:jc w:val="center"/>
        <w:rPr>
          <w:rFonts w:ascii="Times New Roman" w:cs="Times New Roman" w:eastAsia="Times New Roman" w:hAnsi="Times New Roman"/>
          <w:b w:val="1"/>
          <w:sz w:val="40"/>
          <w:szCs w:val="40"/>
        </w:rPr>
      </w:pPr>
      <w:bookmarkStart w:colFirst="0" w:colLast="0" w:name="_s4n4fepidkqf" w:id="11"/>
      <w:bookmarkEnd w:id="11"/>
      <w:r w:rsidDel="00000000" w:rsidR="00000000" w:rsidRPr="00000000">
        <w:rPr>
          <w:rtl w:val="0"/>
        </w:rPr>
      </w:r>
    </w:p>
    <w:p w:rsidR="00000000" w:rsidDel="00000000" w:rsidP="00000000" w:rsidRDefault="00000000" w:rsidRPr="00000000" w14:paraId="0000000E">
      <w:pPr>
        <w:pStyle w:val="Title"/>
        <w:spacing w:after="0" w:line="360" w:lineRule="auto"/>
        <w:ind w:left="720" w:firstLine="0"/>
        <w:jc w:val="center"/>
        <w:rPr>
          <w:rFonts w:ascii="Times New Roman" w:cs="Times New Roman" w:eastAsia="Times New Roman" w:hAnsi="Times New Roman"/>
          <w:b w:val="1"/>
          <w:sz w:val="40"/>
          <w:szCs w:val="40"/>
        </w:rPr>
      </w:pPr>
      <w:bookmarkStart w:colFirst="0" w:colLast="0" w:name="_1448epjmub4i" w:id="12"/>
      <w:bookmarkEnd w:id="12"/>
      <w:r w:rsidDel="00000000" w:rsidR="00000000" w:rsidRPr="00000000">
        <w:rPr>
          <w:rtl w:val="0"/>
        </w:rPr>
      </w:r>
    </w:p>
    <w:p w:rsidR="00000000" w:rsidDel="00000000" w:rsidP="00000000" w:rsidRDefault="00000000" w:rsidRPr="00000000" w14:paraId="0000000F">
      <w:pPr>
        <w:pStyle w:val="Title"/>
        <w:spacing w:after="0" w:line="360" w:lineRule="auto"/>
        <w:ind w:left="720" w:firstLine="0"/>
        <w:jc w:val="center"/>
        <w:rPr>
          <w:rFonts w:ascii="Times New Roman" w:cs="Times New Roman" w:eastAsia="Times New Roman" w:hAnsi="Times New Roman"/>
          <w:b w:val="1"/>
          <w:sz w:val="40"/>
          <w:szCs w:val="40"/>
        </w:rPr>
      </w:pPr>
      <w:bookmarkStart w:colFirst="0" w:colLast="0" w:name="_p62pjoeb9tp8" w:id="13"/>
      <w:bookmarkEnd w:id="13"/>
      <w:r w:rsidDel="00000000" w:rsidR="00000000" w:rsidRPr="00000000">
        <w:rPr>
          <w:rtl w:val="0"/>
        </w:rPr>
      </w:r>
    </w:p>
    <w:p w:rsidR="00000000" w:rsidDel="00000000" w:rsidP="00000000" w:rsidRDefault="00000000" w:rsidRPr="00000000" w14:paraId="00000010">
      <w:pPr>
        <w:pStyle w:val="Title"/>
        <w:spacing w:after="0" w:line="360" w:lineRule="auto"/>
        <w:ind w:left="720" w:firstLine="0"/>
        <w:jc w:val="center"/>
        <w:rPr>
          <w:rFonts w:ascii="Times New Roman" w:cs="Times New Roman" w:eastAsia="Times New Roman" w:hAnsi="Times New Roman"/>
          <w:b w:val="1"/>
          <w:sz w:val="40"/>
          <w:szCs w:val="40"/>
        </w:rPr>
      </w:pPr>
      <w:bookmarkStart w:colFirst="0" w:colLast="0" w:name="_7hs6ww97x6lv" w:id="14"/>
      <w:bookmarkEnd w:id="14"/>
      <w:r w:rsidDel="00000000" w:rsidR="00000000" w:rsidRPr="00000000">
        <w:rPr>
          <w:rtl w:val="0"/>
        </w:rPr>
      </w:r>
    </w:p>
    <w:p w:rsidR="00000000" w:rsidDel="00000000" w:rsidP="00000000" w:rsidRDefault="00000000" w:rsidRPr="00000000" w14:paraId="00000011">
      <w:pPr>
        <w:pStyle w:val="Title"/>
        <w:spacing w:after="0" w:line="360" w:lineRule="auto"/>
        <w:ind w:left="720" w:firstLine="0"/>
        <w:jc w:val="center"/>
        <w:rPr>
          <w:rFonts w:ascii="Times New Roman" w:cs="Times New Roman" w:eastAsia="Times New Roman" w:hAnsi="Times New Roman"/>
          <w:b w:val="1"/>
          <w:sz w:val="40"/>
          <w:szCs w:val="40"/>
        </w:rPr>
      </w:pPr>
      <w:bookmarkStart w:colFirst="0" w:colLast="0" w:name="_cmg6vef1a34x" w:id="15"/>
      <w:bookmarkEnd w:id="15"/>
      <w:r w:rsidDel="00000000" w:rsidR="00000000" w:rsidRPr="00000000">
        <w:rPr>
          <w:rtl w:val="0"/>
        </w:rPr>
      </w:r>
    </w:p>
    <w:p w:rsidR="00000000" w:rsidDel="00000000" w:rsidP="00000000" w:rsidRDefault="00000000" w:rsidRPr="00000000" w14:paraId="00000012">
      <w:pPr>
        <w:pStyle w:val="Title"/>
        <w:spacing w:after="0" w:line="360" w:lineRule="auto"/>
        <w:ind w:left="0" w:firstLine="0"/>
        <w:jc w:val="left"/>
        <w:rPr>
          <w:rFonts w:ascii="Times New Roman" w:cs="Times New Roman" w:eastAsia="Times New Roman" w:hAnsi="Times New Roman"/>
          <w:b w:val="1"/>
          <w:sz w:val="40"/>
          <w:szCs w:val="40"/>
        </w:rPr>
      </w:pPr>
      <w:bookmarkStart w:colFirst="0" w:colLast="0" w:name="_dky2vew5noz" w:id="16"/>
      <w:bookmarkEnd w:id="16"/>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spacing w:line="360" w:lineRule="auto"/>
        <w:jc w:val="center"/>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Table of Contents</w:t>
      </w:r>
    </w:p>
    <w:sdt>
      <w:sdtPr>
        <w:id w:val="-1569326752"/>
        <w:docPartObj>
          <w:docPartGallery w:val="Table of Contents"/>
          <w:docPartUnique w:val="1"/>
        </w:docPartObj>
      </w:sdtPr>
      <w:sdtContent>
        <w:p w:rsidR="00000000" w:rsidDel="00000000" w:rsidP="00000000" w:rsidRDefault="00000000" w:rsidRPr="00000000" w14:paraId="0000001D">
          <w:pPr>
            <w:widowControl w:val="0"/>
            <w:tabs>
              <w:tab w:val="right" w:leader="none" w:pos="12000"/>
            </w:tabs>
            <w:spacing w:before="60" w:line="240" w:lineRule="auto"/>
            <w:rPr>
              <w:rFonts w:ascii="Times New Roman" w:cs="Times New Roman" w:eastAsia="Times New Roman" w:hAnsi="Times New Roman"/>
              <w:b w:val="1"/>
              <w:sz w:val="24"/>
              <w:szCs w:val="24"/>
            </w:rPr>
          </w:pPr>
          <w:r w:rsidDel="00000000" w:rsidR="00000000" w:rsidRPr="00000000">
            <w:fldChar w:fldCharType="begin"/>
            <w:instrText xml:space="preserve"> TOC \h \u \z \t "Heading 1,1,Heading 2,2,Heading 3,3,Heading 4,4,Heading 5,5,Heading 6,6,"</w:instrText>
            <w:fldChar w:fldCharType="separate"/>
          </w:r>
          <w:hyperlink w:anchor="_3q523btjvumz">
            <w:r w:rsidDel="00000000" w:rsidR="00000000" w:rsidRPr="00000000">
              <w:rPr>
                <w:rFonts w:ascii="Times New Roman" w:cs="Times New Roman" w:eastAsia="Times New Roman" w:hAnsi="Times New Roman"/>
                <w:b w:val="1"/>
                <w:sz w:val="24"/>
                <w:szCs w:val="24"/>
                <w:rtl w:val="0"/>
              </w:rPr>
              <w:t xml:space="preserve">1. Executive Summary</w:t>
              <w:tab/>
              <w:t xml:space="preserve">2</w:t>
            </w:r>
          </w:hyperlink>
          <w:r w:rsidDel="00000000" w:rsidR="00000000" w:rsidRPr="00000000">
            <w:rPr>
              <w:rtl w:val="0"/>
            </w:rPr>
          </w:r>
        </w:p>
        <w:p w:rsidR="00000000" w:rsidDel="00000000" w:rsidP="00000000" w:rsidRDefault="00000000" w:rsidRPr="00000000" w14:paraId="0000001E">
          <w:pPr>
            <w:widowControl w:val="0"/>
            <w:tabs>
              <w:tab w:val="right" w:leader="none" w:pos="12000"/>
            </w:tabs>
            <w:spacing w:before="60" w:line="240" w:lineRule="auto"/>
            <w:rPr>
              <w:rFonts w:ascii="Times New Roman" w:cs="Times New Roman" w:eastAsia="Times New Roman" w:hAnsi="Times New Roman"/>
              <w:b w:val="1"/>
              <w:sz w:val="24"/>
              <w:szCs w:val="24"/>
            </w:rPr>
          </w:pPr>
          <w:hyperlink w:anchor="_enm1m92d8tna">
            <w:r w:rsidDel="00000000" w:rsidR="00000000" w:rsidRPr="00000000">
              <w:rPr>
                <w:rFonts w:ascii="Times New Roman" w:cs="Times New Roman" w:eastAsia="Times New Roman" w:hAnsi="Times New Roman"/>
                <w:b w:val="1"/>
                <w:sz w:val="24"/>
                <w:szCs w:val="24"/>
                <w:rtl w:val="0"/>
              </w:rPr>
              <w:t xml:space="preserve">2. Introduction</w:t>
              <w:tab/>
              <w:t xml:space="preserve">6</w:t>
            </w:r>
          </w:hyperlink>
          <w:r w:rsidDel="00000000" w:rsidR="00000000" w:rsidRPr="00000000">
            <w:rPr>
              <w:rtl w:val="0"/>
            </w:rPr>
          </w:r>
        </w:p>
        <w:p w:rsidR="00000000" w:rsidDel="00000000" w:rsidP="00000000" w:rsidRDefault="00000000" w:rsidRPr="00000000" w14:paraId="0000001F">
          <w:pPr>
            <w:widowControl w:val="0"/>
            <w:tabs>
              <w:tab w:val="right" w:leader="none" w:pos="12000"/>
            </w:tabs>
            <w:spacing w:before="60" w:line="240" w:lineRule="auto"/>
            <w:rPr>
              <w:rFonts w:ascii="Times New Roman" w:cs="Times New Roman" w:eastAsia="Times New Roman" w:hAnsi="Times New Roman"/>
              <w:b w:val="1"/>
              <w:sz w:val="24"/>
              <w:szCs w:val="24"/>
            </w:rPr>
          </w:pPr>
          <w:hyperlink w:anchor="_7h2y2h1tng64">
            <w:r w:rsidDel="00000000" w:rsidR="00000000" w:rsidRPr="00000000">
              <w:rPr>
                <w:rFonts w:ascii="Times New Roman" w:cs="Times New Roman" w:eastAsia="Times New Roman" w:hAnsi="Times New Roman"/>
                <w:b w:val="1"/>
                <w:sz w:val="24"/>
                <w:szCs w:val="24"/>
                <w:rtl w:val="0"/>
              </w:rPr>
              <w:t xml:space="preserve">3. Analysis</w:t>
              <w:tab/>
              <w:t xml:space="preserve">7</w:t>
            </w:r>
          </w:hyperlink>
          <w:r w:rsidDel="00000000" w:rsidR="00000000" w:rsidRPr="00000000">
            <w:rPr>
              <w:rtl w:val="0"/>
            </w:rPr>
          </w:r>
        </w:p>
        <w:p w:rsidR="00000000" w:rsidDel="00000000" w:rsidP="00000000" w:rsidRDefault="00000000" w:rsidRPr="00000000" w14:paraId="00000020">
          <w:pPr>
            <w:widowControl w:val="0"/>
            <w:tabs>
              <w:tab w:val="right" w:leader="none" w:pos="12000"/>
            </w:tabs>
            <w:spacing w:before="60" w:line="240" w:lineRule="auto"/>
            <w:ind w:left="360" w:firstLine="0"/>
            <w:rPr>
              <w:rFonts w:ascii="Times New Roman" w:cs="Times New Roman" w:eastAsia="Times New Roman" w:hAnsi="Times New Roman"/>
              <w:sz w:val="24"/>
              <w:szCs w:val="24"/>
            </w:rPr>
          </w:pPr>
          <w:hyperlink w:anchor="_6993hu5540t">
            <w:r w:rsidDel="00000000" w:rsidR="00000000" w:rsidRPr="00000000">
              <w:rPr>
                <w:rFonts w:ascii="Times New Roman" w:cs="Times New Roman" w:eastAsia="Times New Roman" w:hAnsi="Times New Roman"/>
                <w:sz w:val="24"/>
                <w:szCs w:val="24"/>
                <w:rtl w:val="0"/>
              </w:rPr>
              <w:t xml:space="preserve">3.1 Description of the Main Issue</w:t>
              <w:tab/>
              <w:t xml:space="preserve">7</w:t>
            </w:r>
          </w:hyperlink>
          <w:r w:rsidDel="00000000" w:rsidR="00000000" w:rsidRPr="00000000">
            <w:rPr>
              <w:rtl w:val="0"/>
            </w:rPr>
          </w:r>
        </w:p>
        <w:p w:rsidR="00000000" w:rsidDel="00000000" w:rsidP="00000000" w:rsidRDefault="00000000" w:rsidRPr="00000000" w14:paraId="00000021">
          <w:pPr>
            <w:widowControl w:val="0"/>
            <w:tabs>
              <w:tab w:val="right" w:leader="none" w:pos="12000"/>
            </w:tabs>
            <w:spacing w:before="60" w:line="240" w:lineRule="auto"/>
            <w:ind w:left="360" w:firstLine="0"/>
            <w:rPr>
              <w:rFonts w:ascii="Times New Roman" w:cs="Times New Roman" w:eastAsia="Times New Roman" w:hAnsi="Times New Roman"/>
              <w:sz w:val="24"/>
              <w:szCs w:val="24"/>
            </w:rPr>
          </w:pPr>
          <w:hyperlink w:anchor="_tfr90j34x3cz">
            <w:r w:rsidDel="00000000" w:rsidR="00000000" w:rsidRPr="00000000">
              <w:rPr>
                <w:rFonts w:ascii="Times New Roman" w:cs="Times New Roman" w:eastAsia="Times New Roman" w:hAnsi="Times New Roman"/>
                <w:sz w:val="24"/>
                <w:szCs w:val="24"/>
                <w:rtl w:val="0"/>
              </w:rPr>
              <w:t xml:space="preserve">3.2 Root Cause Analysis</w:t>
              <w:tab/>
              <w:t xml:space="preserve">8</w:t>
            </w:r>
          </w:hyperlink>
          <w:r w:rsidDel="00000000" w:rsidR="00000000" w:rsidRPr="00000000">
            <w:rPr>
              <w:rtl w:val="0"/>
            </w:rPr>
          </w:r>
        </w:p>
        <w:p w:rsidR="00000000" w:rsidDel="00000000" w:rsidP="00000000" w:rsidRDefault="00000000" w:rsidRPr="00000000" w14:paraId="00000022">
          <w:pPr>
            <w:widowControl w:val="0"/>
            <w:tabs>
              <w:tab w:val="right" w:leader="none" w:pos="12000"/>
            </w:tabs>
            <w:spacing w:before="60" w:line="240" w:lineRule="auto"/>
            <w:ind w:left="360" w:firstLine="0"/>
            <w:rPr>
              <w:rFonts w:ascii="Times New Roman" w:cs="Times New Roman" w:eastAsia="Times New Roman" w:hAnsi="Times New Roman"/>
              <w:sz w:val="24"/>
              <w:szCs w:val="24"/>
            </w:rPr>
          </w:pPr>
          <w:hyperlink w:anchor="_s8qfs911rut6">
            <w:r w:rsidDel="00000000" w:rsidR="00000000" w:rsidRPr="00000000">
              <w:rPr>
                <w:rFonts w:ascii="Times New Roman" w:cs="Times New Roman" w:eastAsia="Times New Roman" w:hAnsi="Times New Roman"/>
                <w:sz w:val="24"/>
                <w:szCs w:val="24"/>
                <w:rtl w:val="0"/>
              </w:rPr>
              <w:t xml:space="preserve">3.3 STEEPLED Analysis Table &amp; Discussion</w:t>
              <w:tab/>
              <w:t xml:space="preserve">9</w:t>
            </w:r>
          </w:hyperlink>
          <w:r w:rsidDel="00000000" w:rsidR="00000000" w:rsidRPr="00000000">
            <w:rPr>
              <w:rtl w:val="0"/>
            </w:rPr>
          </w:r>
        </w:p>
        <w:p w:rsidR="00000000" w:rsidDel="00000000" w:rsidP="00000000" w:rsidRDefault="00000000" w:rsidRPr="00000000" w14:paraId="00000023">
          <w:pPr>
            <w:widowControl w:val="0"/>
            <w:tabs>
              <w:tab w:val="right" w:leader="none" w:pos="12000"/>
            </w:tabs>
            <w:spacing w:before="60" w:line="240" w:lineRule="auto"/>
            <w:ind w:left="360" w:firstLine="0"/>
            <w:rPr>
              <w:rFonts w:ascii="Times New Roman" w:cs="Times New Roman" w:eastAsia="Times New Roman" w:hAnsi="Times New Roman"/>
              <w:sz w:val="24"/>
              <w:szCs w:val="24"/>
            </w:rPr>
          </w:pPr>
          <w:hyperlink w:anchor="_fwuvf3gdhdku">
            <w:r w:rsidDel="00000000" w:rsidR="00000000" w:rsidRPr="00000000">
              <w:rPr>
                <w:rFonts w:ascii="Times New Roman" w:cs="Times New Roman" w:eastAsia="Times New Roman" w:hAnsi="Times New Roman"/>
                <w:sz w:val="24"/>
                <w:szCs w:val="24"/>
                <w:rtl w:val="0"/>
              </w:rPr>
              <w:t xml:space="preserve">3.4 What Is Working Well – Positive Factors</w:t>
              <w:tab/>
              <w:t xml:space="preserve">10</w:t>
            </w:r>
          </w:hyperlink>
          <w:r w:rsidDel="00000000" w:rsidR="00000000" w:rsidRPr="00000000">
            <w:rPr>
              <w:rtl w:val="0"/>
            </w:rPr>
          </w:r>
        </w:p>
        <w:p w:rsidR="00000000" w:rsidDel="00000000" w:rsidP="00000000" w:rsidRDefault="00000000" w:rsidRPr="00000000" w14:paraId="00000024">
          <w:pPr>
            <w:widowControl w:val="0"/>
            <w:tabs>
              <w:tab w:val="right" w:leader="none" w:pos="12000"/>
            </w:tabs>
            <w:spacing w:before="60" w:line="240" w:lineRule="auto"/>
            <w:ind w:left="360" w:firstLine="0"/>
            <w:rPr>
              <w:rFonts w:ascii="Times New Roman" w:cs="Times New Roman" w:eastAsia="Times New Roman" w:hAnsi="Times New Roman"/>
              <w:sz w:val="24"/>
              <w:szCs w:val="24"/>
            </w:rPr>
          </w:pPr>
          <w:hyperlink w:anchor="_9x68o9w2hj8d">
            <w:r w:rsidDel="00000000" w:rsidR="00000000" w:rsidRPr="00000000">
              <w:rPr>
                <w:rFonts w:ascii="Times New Roman" w:cs="Times New Roman" w:eastAsia="Times New Roman" w:hAnsi="Times New Roman"/>
                <w:sz w:val="24"/>
                <w:szCs w:val="24"/>
                <w:rtl w:val="0"/>
              </w:rPr>
              <w:t xml:space="preserve">3.5 SWOT Analysis Table &amp; Discussion</w:t>
              <w:tab/>
              <w:t xml:space="preserve">11</w:t>
            </w:r>
          </w:hyperlink>
          <w:r w:rsidDel="00000000" w:rsidR="00000000" w:rsidRPr="00000000">
            <w:rPr>
              <w:rtl w:val="0"/>
            </w:rPr>
          </w:r>
        </w:p>
        <w:p w:rsidR="00000000" w:rsidDel="00000000" w:rsidP="00000000" w:rsidRDefault="00000000" w:rsidRPr="00000000" w14:paraId="00000025">
          <w:pPr>
            <w:widowControl w:val="0"/>
            <w:tabs>
              <w:tab w:val="right" w:leader="none" w:pos="12000"/>
            </w:tabs>
            <w:spacing w:before="60" w:line="240" w:lineRule="auto"/>
            <w:ind w:left="360" w:firstLine="0"/>
            <w:rPr>
              <w:rFonts w:ascii="Times New Roman" w:cs="Times New Roman" w:eastAsia="Times New Roman" w:hAnsi="Times New Roman"/>
              <w:sz w:val="24"/>
              <w:szCs w:val="24"/>
            </w:rPr>
          </w:pPr>
          <w:hyperlink w:anchor="_1hxpzvjpbc1c">
            <w:r w:rsidDel="00000000" w:rsidR="00000000" w:rsidRPr="00000000">
              <w:rPr>
                <w:rFonts w:ascii="Times New Roman" w:cs="Times New Roman" w:eastAsia="Times New Roman" w:hAnsi="Times New Roman"/>
                <w:sz w:val="24"/>
                <w:szCs w:val="24"/>
                <w:rtl w:val="0"/>
              </w:rPr>
              <w:t xml:space="preserve">3.6  TOWS Analysis Table &amp; Discussion</w:t>
              <w:tab/>
              <w:t xml:space="preserve">12</w:t>
            </w:r>
          </w:hyperlink>
          <w:r w:rsidDel="00000000" w:rsidR="00000000" w:rsidRPr="00000000">
            <w:rPr>
              <w:rtl w:val="0"/>
            </w:rPr>
          </w:r>
        </w:p>
        <w:p w:rsidR="00000000" w:rsidDel="00000000" w:rsidP="00000000" w:rsidRDefault="00000000" w:rsidRPr="00000000" w14:paraId="00000026">
          <w:pPr>
            <w:widowControl w:val="0"/>
            <w:tabs>
              <w:tab w:val="right" w:leader="none" w:pos="12000"/>
            </w:tabs>
            <w:spacing w:before="60" w:line="240" w:lineRule="auto"/>
            <w:rPr>
              <w:rFonts w:ascii="Times New Roman" w:cs="Times New Roman" w:eastAsia="Times New Roman" w:hAnsi="Times New Roman"/>
              <w:b w:val="1"/>
              <w:sz w:val="24"/>
              <w:szCs w:val="24"/>
            </w:rPr>
          </w:pPr>
          <w:hyperlink w:anchor="_tnxnvurci3f3">
            <w:r w:rsidDel="00000000" w:rsidR="00000000" w:rsidRPr="00000000">
              <w:rPr>
                <w:rFonts w:ascii="Times New Roman" w:cs="Times New Roman" w:eastAsia="Times New Roman" w:hAnsi="Times New Roman"/>
                <w:b w:val="1"/>
                <w:sz w:val="24"/>
                <w:szCs w:val="24"/>
                <w:rtl w:val="0"/>
              </w:rPr>
              <w:t xml:space="preserve">4. Recommendations &amp; Change Management</w:t>
              <w:tab/>
              <w:t xml:space="preserve">13</w:t>
            </w:r>
          </w:hyperlink>
          <w:r w:rsidDel="00000000" w:rsidR="00000000" w:rsidRPr="00000000">
            <w:rPr>
              <w:rtl w:val="0"/>
            </w:rPr>
          </w:r>
        </w:p>
        <w:p w:rsidR="00000000" w:rsidDel="00000000" w:rsidP="00000000" w:rsidRDefault="00000000" w:rsidRPr="00000000" w14:paraId="00000027">
          <w:pPr>
            <w:widowControl w:val="0"/>
            <w:tabs>
              <w:tab w:val="right" w:leader="none" w:pos="12000"/>
            </w:tabs>
            <w:spacing w:before="60" w:line="240" w:lineRule="auto"/>
            <w:ind w:left="360" w:firstLine="0"/>
            <w:rPr>
              <w:rFonts w:ascii="Times New Roman" w:cs="Times New Roman" w:eastAsia="Times New Roman" w:hAnsi="Times New Roman"/>
              <w:sz w:val="24"/>
              <w:szCs w:val="24"/>
            </w:rPr>
          </w:pPr>
          <w:hyperlink w:anchor="_qvd6w8hljmnj">
            <w:r w:rsidDel="00000000" w:rsidR="00000000" w:rsidRPr="00000000">
              <w:rPr>
                <w:rFonts w:ascii="Times New Roman" w:cs="Times New Roman" w:eastAsia="Times New Roman" w:hAnsi="Times New Roman"/>
                <w:sz w:val="24"/>
                <w:szCs w:val="24"/>
                <w:rtl w:val="0"/>
              </w:rPr>
              <w:t xml:space="preserve">4.1 Detailed Recommendations</w:t>
              <w:tab/>
              <w:t xml:space="preserve">13</w:t>
            </w:r>
          </w:hyperlink>
          <w:r w:rsidDel="00000000" w:rsidR="00000000" w:rsidRPr="00000000">
            <w:rPr>
              <w:rtl w:val="0"/>
            </w:rPr>
          </w:r>
        </w:p>
        <w:p w:rsidR="00000000" w:rsidDel="00000000" w:rsidP="00000000" w:rsidRDefault="00000000" w:rsidRPr="00000000" w14:paraId="00000028">
          <w:pPr>
            <w:widowControl w:val="0"/>
            <w:tabs>
              <w:tab w:val="right" w:leader="none" w:pos="12000"/>
            </w:tabs>
            <w:spacing w:before="60" w:line="240" w:lineRule="auto"/>
            <w:ind w:left="360" w:firstLine="0"/>
            <w:rPr>
              <w:rFonts w:ascii="Times New Roman" w:cs="Times New Roman" w:eastAsia="Times New Roman" w:hAnsi="Times New Roman"/>
              <w:sz w:val="24"/>
              <w:szCs w:val="24"/>
            </w:rPr>
          </w:pPr>
          <w:hyperlink w:anchor="_soxrix1hbpex">
            <w:r w:rsidDel="00000000" w:rsidR="00000000" w:rsidRPr="00000000">
              <w:rPr>
                <w:rFonts w:ascii="Times New Roman" w:cs="Times New Roman" w:eastAsia="Times New Roman" w:hAnsi="Times New Roman"/>
                <w:sz w:val="24"/>
                <w:szCs w:val="24"/>
                <w:rtl w:val="0"/>
              </w:rPr>
              <w:t xml:space="preserve">4.2 Implementation Strategies</w:t>
              <w:tab/>
              <w:t xml:space="preserve">15</w:t>
            </w:r>
          </w:hyperlink>
          <w:r w:rsidDel="00000000" w:rsidR="00000000" w:rsidRPr="00000000">
            <w:rPr>
              <w:rtl w:val="0"/>
            </w:rPr>
          </w:r>
        </w:p>
        <w:p w:rsidR="00000000" w:rsidDel="00000000" w:rsidP="00000000" w:rsidRDefault="00000000" w:rsidRPr="00000000" w14:paraId="00000029">
          <w:pPr>
            <w:widowControl w:val="0"/>
            <w:tabs>
              <w:tab w:val="right" w:leader="none" w:pos="12000"/>
            </w:tabs>
            <w:spacing w:before="60" w:line="240" w:lineRule="auto"/>
            <w:ind w:left="360" w:firstLine="0"/>
            <w:rPr>
              <w:rFonts w:ascii="Times New Roman" w:cs="Times New Roman" w:eastAsia="Times New Roman" w:hAnsi="Times New Roman"/>
              <w:sz w:val="24"/>
              <w:szCs w:val="24"/>
            </w:rPr>
          </w:pPr>
          <w:hyperlink w:anchor="_c17cdb9omvxx">
            <w:r w:rsidDel="00000000" w:rsidR="00000000" w:rsidRPr="00000000">
              <w:rPr>
                <w:rFonts w:ascii="Times New Roman" w:cs="Times New Roman" w:eastAsia="Times New Roman" w:hAnsi="Times New Roman"/>
                <w:sz w:val="24"/>
                <w:szCs w:val="24"/>
                <w:rtl w:val="0"/>
              </w:rPr>
              <w:t xml:space="preserve">4.3 Change Management Techniques</w:t>
              <w:tab/>
              <w:t xml:space="preserve">18</w:t>
            </w:r>
          </w:hyperlink>
          <w:r w:rsidDel="00000000" w:rsidR="00000000" w:rsidRPr="00000000">
            <w:rPr>
              <w:rtl w:val="0"/>
            </w:rPr>
          </w:r>
        </w:p>
        <w:p w:rsidR="00000000" w:rsidDel="00000000" w:rsidP="00000000" w:rsidRDefault="00000000" w:rsidRPr="00000000" w14:paraId="0000002A">
          <w:pPr>
            <w:widowControl w:val="0"/>
            <w:tabs>
              <w:tab w:val="right" w:leader="none" w:pos="12000"/>
            </w:tabs>
            <w:spacing w:before="60" w:line="240" w:lineRule="auto"/>
            <w:ind w:left="360" w:firstLine="0"/>
            <w:rPr>
              <w:rFonts w:ascii="Times New Roman" w:cs="Times New Roman" w:eastAsia="Times New Roman" w:hAnsi="Times New Roman"/>
              <w:sz w:val="24"/>
              <w:szCs w:val="24"/>
            </w:rPr>
          </w:pPr>
          <w:hyperlink w:anchor="_mqemwy1tu3l">
            <w:r w:rsidDel="00000000" w:rsidR="00000000" w:rsidRPr="00000000">
              <w:rPr>
                <w:rFonts w:ascii="Times New Roman" w:cs="Times New Roman" w:eastAsia="Times New Roman" w:hAnsi="Times New Roman"/>
                <w:sz w:val="24"/>
                <w:szCs w:val="24"/>
                <w:rtl w:val="0"/>
              </w:rPr>
              <w:t xml:space="preserve">4.4 Cost Analysis</w:t>
              <w:tab/>
              <w:t xml:space="preserve">19</w:t>
            </w:r>
          </w:hyperlink>
          <w:r w:rsidDel="00000000" w:rsidR="00000000" w:rsidRPr="00000000">
            <w:rPr>
              <w:rtl w:val="0"/>
            </w:rPr>
          </w:r>
        </w:p>
        <w:p w:rsidR="00000000" w:rsidDel="00000000" w:rsidP="00000000" w:rsidRDefault="00000000" w:rsidRPr="00000000" w14:paraId="0000002B">
          <w:pPr>
            <w:widowControl w:val="0"/>
            <w:tabs>
              <w:tab w:val="right" w:leader="none" w:pos="12000"/>
            </w:tabs>
            <w:spacing w:before="60" w:line="240" w:lineRule="auto"/>
            <w:ind w:left="360" w:firstLine="0"/>
            <w:rPr>
              <w:rFonts w:ascii="Times New Roman" w:cs="Times New Roman" w:eastAsia="Times New Roman" w:hAnsi="Times New Roman"/>
              <w:sz w:val="24"/>
              <w:szCs w:val="24"/>
            </w:rPr>
          </w:pPr>
          <w:hyperlink w:anchor="_vpn4ozcje7rd">
            <w:r w:rsidDel="00000000" w:rsidR="00000000" w:rsidRPr="00000000">
              <w:rPr>
                <w:rFonts w:ascii="Times New Roman" w:cs="Times New Roman" w:eastAsia="Times New Roman" w:hAnsi="Times New Roman"/>
                <w:sz w:val="24"/>
                <w:szCs w:val="24"/>
                <w:rtl w:val="0"/>
              </w:rPr>
              <w:t xml:space="preserve">4.5 Impact Measurement / Success Evaluation</w:t>
              <w:tab/>
              <w:t xml:space="preserve">19</w:t>
            </w:r>
          </w:hyperlink>
          <w:r w:rsidDel="00000000" w:rsidR="00000000" w:rsidRPr="00000000">
            <w:rPr>
              <w:rtl w:val="0"/>
            </w:rPr>
          </w:r>
        </w:p>
        <w:p w:rsidR="00000000" w:rsidDel="00000000" w:rsidP="00000000" w:rsidRDefault="00000000" w:rsidRPr="00000000" w14:paraId="0000002C">
          <w:pPr>
            <w:widowControl w:val="0"/>
            <w:tabs>
              <w:tab w:val="right" w:leader="none" w:pos="12000"/>
            </w:tabs>
            <w:spacing w:before="60" w:line="240" w:lineRule="auto"/>
            <w:ind w:left="360" w:firstLine="0"/>
            <w:rPr>
              <w:rFonts w:ascii="Times New Roman" w:cs="Times New Roman" w:eastAsia="Times New Roman" w:hAnsi="Times New Roman"/>
              <w:sz w:val="24"/>
              <w:szCs w:val="24"/>
            </w:rPr>
          </w:pPr>
          <w:hyperlink w:anchor="_xzinpsdl34hf">
            <w:r w:rsidDel="00000000" w:rsidR="00000000" w:rsidRPr="00000000">
              <w:rPr>
                <w:rFonts w:ascii="Times New Roman" w:cs="Times New Roman" w:eastAsia="Times New Roman" w:hAnsi="Times New Roman"/>
                <w:sz w:val="24"/>
                <w:szCs w:val="24"/>
                <w:rtl w:val="0"/>
              </w:rPr>
              <w:t xml:space="preserve">4.6 Expected Benefits</w:t>
              <w:tab/>
              <w:t xml:space="preserve">20</w:t>
            </w:r>
          </w:hyperlink>
          <w:r w:rsidDel="00000000" w:rsidR="00000000" w:rsidRPr="00000000">
            <w:rPr>
              <w:rtl w:val="0"/>
            </w:rPr>
          </w:r>
        </w:p>
        <w:p w:rsidR="00000000" w:rsidDel="00000000" w:rsidP="00000000" w:rsidRDefault="00000000" w:rsidRPr="00000000" w14:paraId="0000002D">
          <w:pPr>
            <w:widowControl w:val="0"/>
            <w:tabs>
              <w:tab w:val="right" w:leader="none" w:pos="12000"/>
            </w:tabs>
            <w:spacing w:before="60" w:line="240" w:lineRule="auto"/>
            <w:rPr>
              <w:rFonts w:ascii="Times New Roman" w:cs="Times New Roman" w:eastAsia="Times New Roman" w:hAnsi="Times New Roman"/>
              <w:b w:val="1"/>
              <w:sz w:val="24"/>
              <w:szCs w:val="24"/>
            </w:rPr>
          </w:pPr>
          <w:hyperlink w:anchor="_w1d2x9nat80t">
            <w:r w:rsidDel="00000000" w:rsidR="00000000" w:rsidRPr="00000000">
              <w:rPr>
                <w:rFonts w:ascii="Times New Roman" w:cs="Times New Roman" w:eastAsia="Times New Roman" w:hAnsi="Times New Roman"/>
                <w:b w:val="1"/>
                <w:sz w:val="24"/>
                <w:szCs w:val="24"/>
                <w:rtl w:val="0"/>
              </w:rPr>
              <w:t xml:space="preserve">5. Action Plan</w:t>
              <w:tab/>
              <w:t xml:space="preserve">20</w:t>
            </w:r>
          </w:hyperlink>
          <w:r w:rsidDel="00000000" w:rsidR="00000000" w:rsidRPr="00000000">
            <w:rPr>
              <w:rtl w:val="0"/>
            </w:rPr>
          </w:r>
        </w:p>
        <w:p w:rsidR="00000000" w:rsidDel="00000000" w:rsidP="00000000" w:rsidRDefault="00000000" w:rsidRPr="00000000" w14:paraId="0000002E">
          <w:pPr>
            <w:widowControl w:val="0"/>
            <w:tabs>
              <w:tab w:val="right" w:leader="none" w:pos="12000"/>
            </w:tabs>
            <w:spacing w:before="60" w:line="240" w:lineRule="auto"/>
            <w:rPr>
              <w:rFonts w:ascii="Times New Roman" w:cs="Times New Roman" w:eastAsia="Times New Roman" w:hAnsi="Times New Roman"/>
              <w:b w:val="1"/>
              <w:sz w:val="24"/>
              <w:szCs w:val="24"/>
            </w:rPr>
          </w:pPr>
          <w:hyperlink w:anchor="_jyu5dkwiowt">
            <w:r w:rsidDel="00000000" w:rsidR="00000000" w:rsidRPr="00000000">
              <w:rPr>
                <w:rFonts w:ascii="Times New Roman" w:cs="Times New Roman" w:eastAsia="Times New Roman" w:hAnsi="Times New Roman"/>
                <w:b w:val="1"/>
                <w:sz w:val="24"/>
                <w:szCs w:val="24"/>
                <w:rtl w:val="0"/>
              </w:rPr>
              <w:t xml:space="preserve">6. Conclusion</w:t>
              <w:tab/>
              <w:t xml:space="preserve">22</w:t>
            </w:r>
          </w:hyperlink>
          <w:r w:rsidDel="00000000" w:rsidR="00000000" w:rsidRPr="00000000">
            <w:rPr>
              <w:rtl w:val="0"/>
            </w:rPr>
          </w:r>
        </w:p>
        <w:p w:rsidR="00000000" w:rsidDel="00000000" w:rsidP="00000000" w:rsidRDefault="00000000" w:rsidRPr="00000000" w14:paraId="0000002F">
          <w:pPr>
            <w:widowControl w:val="0"/>
            <w:tabs>
              <w:tab w:val="right" w:leader="none" w:pos="12000"/>
            </w:tabs>
            <w:spacing w:before="60" w:line="240" w:lineRule="auto"/>
            <w:rPr>
              <w:rFonts w:ascii="Times New Roman" w:cs="Times New Roman" w:eastAsia="Times New Roman" w:hAnsi="Times New Roman"/>
              <w:b w:val="1"/>
              <w:sz w:val="24"/>
              <w:szCs w:val="24"/>
            </w:rPr>
          </w:pPr>
          <w:hyperlink w:anchor="_r4wpi1i8ovrk">
            <w:r w:rsidDel="00000000" w:rsidR="00000000" w:rsidRPr="00000000">
              <w:rPr>
                <w:rFonts w:ascii="Times New Roman" w:cs="Times New Roman" w:eastAsia="Times New Roman" w:hAnsi="Times New Roman"/>
                <w:b w:val="1"/>
                <w:sz w:val="24"/>
                <w:szCs w:val="24"/>
                <w:rtl w:val="0"/>
              </w:rPr>
              <w:t xml:space="preserve">7. References</w:t>
              <w:tab/>
              <w:t xml:space="preserve">24</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30">
      <w:pPr>
        <w:pStyle w:val="Title"/>
        <w:spacing w:after="0" w:line="360" w:lineRule="auto"/>
        <w:ind w:left="720" w:firstLine="0"/>
        <w:jc w:val="center"/>
        <w:rPr>
          <w:rFonts w:ascii="Times New Roman" w:cs="Times New Roman" w:eastAsia="Times New Roman" w:hAnsi="Times New Roman"/>
          <w:b w:val="1"/>
          <w:sz w:val="40"/>
          <w:szCs w:val="40"/>
        </w:rPr>
      </w:pPr>
      <w:bookmarkStart w:colFirst="0" w:colLast="0" w:name="_tasfcltbfjsg" w:id="17"/>
      <w:bookmarkEnd w:id="17"/>
      <w:r w:rsidDel="00000000" w:rsidR="00000000" w:rsidRPr="00000000">
        <w:br w:type="page"/>
      </w:r>
      <w:r w:rsidDel="00000000" w:rsidR="00000000" w:rsidRPr="00000000">
        <w:rPr>
          <w:rtl w:val="0"/>
        </w:rPr>
      </w:r>
    </w:p>
    <w:p w:rsidR="00000000" w:rsidDel="00000000" w:rsidP="00000000" w:rsidRDefault="00000000" w:rsidRPr="00000000" w14:paraId="00000031">
      <w:pPr>
        <w:pStyle w:val="Heading1"/>
        <w:spacing w:after="0" w:before="0" w:line="360" w:lineRule="auto"/>
        <w:jc w:val="both"/>
        <w:rPr>
          <w:rFonts w:ascii="Times New Roman" w:cs="Times New Roman" w:eastAsia="Times New Roman" w:hAnsi="Times New Roman"/>
          <w:b w:val="1"/>
          <w:sz w:val="28"/>
          <w:szCs w:val="28"/>
        </w:rPr>
      </w:pPr>
      <w:bookmarkStart w:colFirst="0" w:colLast="0" w:name="_3q523btjvumz" w:id="18"/>
      <w:bookmarkEnd w:id="18"/>
      <w:r w:rsidDel="00000000" w:rsidR="00000000" w:rsidRPr="00000000">
        <w:rPr>
          <w:rFonts w:ascii="Times New Roman" w:cs="Times New Roman" w:eastAsia="Times New Roman" w:hAnsi="Times New Roman"/>
          <w:b w:val="1"/>
          <w:sz w:val="28"/>
          <w:szCs w:val="28"/>
          <w:rtl w:val="0"/>
        </w:rPr>
        <w:t xml:space="preserve">1. Executive Summary</w:t>
      </w:r>
    </w:p>
    <w:p w:rsidR="00000000" w:rsidDel="00000000" w:rsidP="00000000" w:rsidRDefault="00000000" w:rsidRPr="00000000" w14:paraId="0000003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Professional advice firm Elevate Hospitality Consulting Ltd. improves operational, strategic, and service aspects of the hospitality industry. They made this consulting report. Hilton London Metropole, a Hilton flagship hotel in the UK, has contacted us to investigate operational concerns that are affecting service quality, employee morale, and guest satisfaction. Hilton Hotels are worldwide, including the huge Hilton London Metropole in central London. It is one of the city's largest convention hotels with over 1,000 rooms, 42 event and meeting locations, and a diverse business and leisure clientele. Due to its features, the hotel attracts visitors, businesspeople, and foreign guests. Despite its name recognition and good location, the hotel's service and efficiency have been declining. These concerns stem from personnel issues and outdated guest engagement tactics. The biggest issue is high employee turnover, which affects operational efficiency, visitor satisfaction, and service delivery. Exit interviews, consumer feedback, and internal audits revealed low staff morale, inconsistent onboarding, and hasty or inadequate training. These internal issues may explain a rise in complaints about delayed service, inconsistent visitor encounters, and declining online reviews and customer retention. Worker involvement affects guest experience in the labour-intensive hospitality business. A hotel the scale of the Hilton London Metropole cannot maintain outstanding service standards without a cohesive, motivated, and well-trained crew. Unfortunately, internal inefficiencies and external pressures are undermining this goal. In order to get to the bottom of the problems that were found, an extensive analytical framework was used. External factors were examined using a STEEPLED framework, internal performance was assessed using a SWOT analysis, and strategic orientations were developed using a TOWS matrix. Several external challenges were brought to light by the STEEPLED Analysis like,  Demand for personalisation and digital convenience has increased due to socio-cultural transformations that have occurred after the epidemic. Automation and AI-based customer care are being quickly adopted by top hotels, according to technological trends. The recruiting and retention of staff has become more expensive due to economic factors such as salary expectations and inflation. A younger, more tech-savvy workforce is looking for flexible and purpose-driven work settings, according to demographic shifts. SWOT Analysis showed that the hotel's brand awareness, good location, and loyal customers are offset by outmoded service models, internal communication gaps, and low staff retention. To strategically connect vulnerabilities, threats, opportunities, and strengths, TOWS Analysis was used. To satisfy Hilton's global standards, operating procedures, internal communication, and staff training and engagement must be updated. Root cause analysis found no unified onboarding processes, few staff recognition methods, outmoded communication technologies, and uneven service protocols, all of which lower service quality.</w:t>
      </w:r>
    </w:p>
    <w:p w:rsidR="00000000" w:rsidDel="00000000" w:rsidP="00000000" w:rsidRDefault="00000000" w:rsidRPr="00000000" w14:paraId="0000003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Based on the findings, the following key recommendations are proposed, Structured Staff Onboarding &amp; Training, Create an individualised, multi-stage onboarding program for each department. Cultural training that is in line with Hilton's service philosophy should be included. Employee Engagement &amp; Retention Program, Establish wellness programs, reward systems, and feedback loops on a monthly basis. Provide options for internal mobility and flexible scheduling. Digital Check-in and Kiosk Implementation, To alleviate crowding and wait times in the lobby, set up mobile check-in and user-friendly kiosks. Internal Communication Improvements, Slack or Microsoft Teams are great examples of centralised team communication platforms that include digital bulletin boards where employees may post updates about their shifts, events, and feedback. Sustainability and Guest Experience Enhancements, Led lighting, less plastic use, and long-stay guests opting in for cleaning are all eco-friendly measures that can be used. Real-Time Guest Feedback System, Launch a digital platform that allows visitors to provide immediate feedback while they are there, facilitating quick recovery and service modifications. Digital tools will be rolled out in stages, leadership will receive training, and staff will be actively involved in the change planning process as part of the implementation strategy. To achieve organisational buy-in and minimise opposition, it will apply Kotter's 8-Step Change Model. Lewin's Force Field Analysis will also be employed to keep change agents and stumbling blocks in check.</w:t>
      </w:r>
    </w:p>
    <w:p w:rsidR="00000000" w:rsidDel="00000000" w:rsidP="00000000" w:rsidRDefault="00000000" w:rsidRPr="00000000" w14:paraId="0000003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total cost for implementation is estimated at £220,000, which is proportionate to the hotel’s revenue scale and operational size. Cost allocation includes: £30,000 for health and wellness initiatives and employee education £75,000 to install self-service technology and £50,000 to retrain customer support representatives A budget of £40,000 to improve sustainability Integrating a feedback system; £15,000 10 grand for in-house messaging software The expected impact and ROI include,</w:t>
      </w:r>
      <w:r w:rsidDel="00000000" w:rsidR="00000000" w:rsidRPr="00000000">
        <w:rPr>
          <w:rFonts w:ascii="Times New Roman" w:cs="Times New Roman" w:eastAsia="Times New Roman" w:hAnsi="Times New Roman"/>
          <w:b w:val="1"/>
          <w:sz w:val="24"/>
          <w:szCs w:val="24"/>
          <w:rtl w:val="0"/>
        </w:rPr>
        <w:t xml:space="preserve"> </w:t>
      </w:r>
      <w:r w:rsidDel="00000000" w:rsidR="00000000" w:rsidRPr="00000000">
        <w:rPr>
          <w:rFonts w:ascii="Times New Roman" w:cs="Times New Roman" w:eastAsia="Times New Roman" w:hAnsi="Times New Roman"/>
          <w:sz w:val="24"/>
          <w:szCs w:val="24"/>
          <w:rtl w:val="0"/>
        </w:rPr>
        <w:t xml:space="preserve">Staff retention rates rose from 65% to 80%. Enhanced happiness levels of guests by 15%. Improved star ratings on review sites (like Google and TripAdvisor). Improvements in operational efficiency and decreases in complaints Over the course of six to twelve months, key performance indicators will be utilised to track things like staff turnover rates, training completion rates, check-in wait times, metrics for guest happiness, and sustainability benchmarks. </w:t>
      </w:r>
    </w:p>
    <w:p w:rsidR="00000000" w:rsidDel="00000000" w:rsidP="00000000" w:rsidRDefault="00000000" w:rsidRPr="00000000" w14:paraId="0000003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research gives Hilton London Metropole a practical, strategic, and financially viable plan to improve its service and solve its issues. Modernising staff involvement, integrating smart technology, and fostering a culture of continuous improvement will boost hotel performance and ensure long-term competitiveness in London. Elevate Hospitality Consulting Ltd. is happy to have helped Hilton London Metropole transform. Our recommendations are based on research, hospitality expertise, and operational knowledge. It believes these approaches will significantly improve and sustain growth. It thank Hilton London Metropole for the opportunity to engage and look forward to future hospitality excellence relationships.</w:t>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pStyle w:val="Heading1"/>
        <w:spacing w:after="0" w:before="0" w:line="360" w:lineRule="auto"/>
        <w:jc w:val="both"/>
        <w:rPr>
          <w:rFonts w:ascii="Times New Roman" w:cs="Times New Roman" w:eastAsia="Times New Roman" w:hAnsi="Times New Roman"/>
          <w:b w:val="1"/>
          <w:sz w:val="28"/>
          <w:szCs w:val="28"/>
        </w:rPr>
      </w:pPr>
      <w:bookmarkStart w:colFirst="0" w:colLast="0" w:name="_enm1m92d8tna" w:id="19"/>
      <w:bookmarkEnd w:id="19"/>
      <w:r w:rsidDel="00000000" w:rsidR="00000000" w:rsidRPr="00000000">
        <w:rPr>
          <w:rFonts w:ascii="Times New Roman" w:cs="Times New Roman" w:eastAsia="Times New Roman" w:hAnsi="Times New Roman"/>
          <w:b w:val="1"/>
          <w:sz w:val="28"/>
          <w:szCs w:val="28"/>
          <w:rtl w:val="0"/>
        </w:rPr>
        <w:t xml:space="preserve">2. Introduction</w:t>
      </w:r>
    </w:p>
    <w:p w:rsidR="00000000" w:rsidDel="00000000" w:rsidP="00000000" w:rsidRDefault="00000000" w:rsidRPr="00000000" w14:paraId="00000039">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Hotel Background</w:t>
      </w:r>
    </w:p>
    <w:p w:rsidR="00000000" w:rsidDel="00000000" w:rsidP="00000000" w:rsidRDefault="00000000" w:rsidRPr="00000000" w14:paraId="0000003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Hilton London Metropole, situated on Edgware Road in London, is the chosen hotel for this advisory report. It has 1,059 rooms, including suites and executive accommodations, and is one of the biggest hotels in the UK (Hilton London Metropole, 2025). It runs under the globally renowned Hilton brand. The hotel is a favourite with international business travellers, conference attendees, and leisure tourists due to its convenient location, just minutes from Paddington Station and within easy reach of London’s major business and tourist destinations. A fully-equipped health club and gym, four dining places, a ballroom that can accommodate 1,000 guests, and 42 conference and event rooms are available at the Hilton London Metropole (Hilton London Metropole, 2025). Because of its prominent location and the large number of events and guests it hosts, operational efficiency and guest pleasure are of the utmost importance. This hotel is one of the most prestigious in Hilton's UK portfolio due to its impeccable reputation for service and dependability. But the hotel has been encountering problems that could ruin its performance and reputation in the long run, so it's not all sunshine and rainbows.</w:t>
      </w:r>
    </w:p>
    <w:p w:rsidR="00000000" w:rsidDel="00000000" w:rsidP="00000000" w:rsidRDefault="00000000" w:rsidRPr="00000000" w14:paraId="0000003B">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The Issue Identified</w:t>
      </w:r>
    </w:p>
    <w:p w:rsidR="00000000" w:rsidDel="00000000" w:rsidP="00000000" w:rsidRDefault="00000000" w:rsidRPr="00000000" w14:paraId="0000003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Declining guest satisfaction as a result of variable service quality, especially in relation to interactions with front-of-house staff, is the main challenge confronting the Hilton London Metropole. Delays in check-ins, unresponsive service, and a lack of individual attention have been the main points of criticism in recent TripAdvisor reviews and in-house customer feedback reports, which have shown a discernible decline in ratings over the previous twelve months. Operational strain and low morale among the surviving team have been intensified by significant personnel turnover and staffing shortages post-COVID-19 (Kerketta, 2024). This has consequences for the hotel's internet reputation, repeat business, and income production since guests' expectations aren't always satisfied. This consulting report is an attempt to get to the bottom of the hotel's service quality problems and offer solutions that will help guests have a better stay.</w:t>
      </w:r>
    </w:p>
    <w:p w:rsidR="00000000" w:rsidDel="00000000" w:rsidP="00000000" w:rsidRDefault="00000000" w:rsidRPr="00000000" w14:paraId="0000003D">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Background of Consultancy Firm</w:t>
      </w:r>
    </w:p>
    <w:p w:rsidR="00000000" w:rsidDel="00000000" w:rsidP="00000000" w:rsidRDefault="00000000" w:rsidRPr="00000000" w14:paraId="0000003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Elevate Hospitality Solutions is a consulting business that focuses on operational strategy and service excellence for the global hotel industry. They have published this report. With a background of over 20 years in the sector, our team consists of analysts and former executives with a focus on overcoming service delivery problems in urban hotels with large capacity. Each client's market, personnel, and brand needs are different, and Elevate Hospitality Solutions takes great satisfaction in providing practical, evidence-based solutions that are customised to meet those needs (Singgalen, 2025). Our goal is to implement sustainable, data-driven change strategies that prioritise people in order to improve operational standards and increase visitor happiness.</w:t>
      </w:r>
    </w:p>
    <w:p w:rsidR="00000000" w:rsidDel="00000000" w:rsidP="00000000" w:rsidRDefault="00000000" w:rsidRPr="00000000" w14:paraId="0000003F">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Analytical Frameworks to be Used</w:t>
      </w:r>
    </w:p>
    <w:p w:rsidR="00000000" w:rsidDel="00000000" w:rsidP="00000000" w:rsidRDefault="00000000" w:rsidRPr="00000000" w14:paraId="0000004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By utilising various widely-recognized analytical frameworks, this report will guarantee a comprehensive and organised examination of the detected service quality issue. If the hotel is having trouble staffing or meeting guests' expectations for service, the STEEPLED study will look at external macroenvironmental variables such as job market trends, economic recovery, and societal expectations. A SWOT analysis will be conducted to provide a comprehensive strategic picture of the hotel by identifying its internal and external strengths, weaknesses, opportunities, and threats. The hotel's internal capabilities will be matched with its external environment through the development of a TOWS matrix, which is based on the SWOT analysis (Saleh and Zohry, 2022). The recommendations will be data-informed and practically implementable because these tools will be reinforced with primary and secondary data analysis, which includes trends in consumer feedback, metrics for online reputation, and information on staff attrition.</w:t>
      </w:r>
    </w:p>
    <w:p w:rsidR="00000000" w:rsidDel="00000000" w:rsidP="00000000" w:rsidRDefault="00000000" w:rsidRPr="00000000" w14:paraId="00000041">
      <w:pPr>
        <w:pStyle w:val="Heading1"/>
        <w:spacing w:after="0" w:before="0" w:line="360" w:lineRule="auto"/>
        <w:jc w:val="both"/>
        <w:rPr>
          <w:rFonts w:ascii="Times New Roman" w:cs="Times New Roman" w:eastAsia="Times New Roman" w:hAnsi="Times New Roman"/>
          <w:b w:val="1"/>
          <w:sz w:val="28"/>
          <w:szCs w:val="28"/>
        </w:rPr>
      </w:pPr>
      <w:bookmarkStart w:colFirst="0" w:colLast="0" w:name="_uuf5s9lktqhx" w:id="20"/>
      <w:bookmarkEnd w:id="20"/>
      <w:r w:rsidDel="00000000" w:rsidR="00000000" w:rsidRPr="00000000">
        <w:rPr>
          <w:rtl w:val="0"/>
        </w:rPr>
      </w:r>
    </w:p>
    <w:p w:rsidR="00000000" w:rsidDel="00000000" w:rsidP="00000000" w:rsidRDefault="00000000" w:rsidRPr="00000000" w14:paraId="00000042">
      <w:pPr>
        <w:pStyle w:val="Heading1"/>
        <w:spacing w:after="0" w:before="0" w:line="360" w:lineRule="auto"/>
        <w:jc w:val="both"/>
        <w:rPr>
          <w:rFonts w:ascii="Times New Roman" w:cs="Times New Roman" w:eastAsia="Times New Roman" w:hAnsi="Times New Roman"/>
          <w:b w:val="1"/>
          <w:sz w:val="28"/>
          <w:szCs w:val="28"/>
        </w:rPr>
      </w:pPr>
      <w:bookmarkStart w:colFirst="0" w:colLast="0" w:name="_7h2y2h1tng64" w:id="21"/>
      <w:bookmarkEnd w:id="21"/>
      <w:r w:rsidDel="00000000" w:rsidR="00000000" w:rsidRPr="00000000">
        <w:rPr>
          <w:rFonts w:ascii="Times New Roman" w:cs="Times New Roman" w:eastAsia="Times New Roman" w:hAnsi="Times New Roman"/>
          <w:b w:val="1"/>
          <w:sz w:val="28"/>
          <w:szCs w:val="28"/>
          <w:rtl w:val="0"/>
        </w:rPr>
        <w:t xml:space="preserve">3. Analysis</w:t>
      </w:r>
    </w:p>
    <w:p w:rsidR="00000000" w:rsidDel="00000000" w:rsidP="00000000" w:rsidRDefault="00000000" w:rsidRPr="00000000" w14:paraId="00000043">
      <w:pPr>
        <w:pStyle w:val="Heading2"/>
        <w:spacing w:after="0" w:before="0" w:line="360" w:lineRule="auto"/>
        <w:jc w:val="both"/>
        <w:rPr>
          <w:rFonts w:ascii="Times New Roman" w:cs="Times New Roman" w:eastAsia="Times New Roman" w:hAnsi="Times New Roman"/>
          <w:b w:val="1"/>
          <w:sz w:val="24"/>
          <w:szCs w:val="24"/>
        </w:rPr>
      </w:pPr>
      <w:bookmarkStart w:colFirst="0" w:colLast="0" w:name="_6993hu5540t" w:id="22"/>
      <w:bookmarkEnd w:id="22"/>
      <w:r w:rsidDel="00000000" w:rsidR="00000000" w:rsidRPr="00000000">
        <w:rPr>
          <w:rFonts w:ascii="Times New Roman" w:cs="Times New Roman" w:eastAsia="Times New Roman" w:hAnsi="Times New Roman"/>
          <w:b w:val="1"/>
          <w:sz w:val="24"/>
          <w:szCs w:val="24"/>
          <w:rtl w:val="0"/>
        </w:rPr>
        <w:t xml:space="preserve">3.1 Description of the Main Issue</w:t>
      </w:r>
    </w:p>
    <w:p w:rsidR="00000000" w:rsidDel="00000000" w:rsidP="00000000" w:rsidRDefault="00000000" w:rsidRPr="00000000" w14:paraId="0000004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Guest satisfaction is on the decline at the Hilton London Metropole, and the main reason for this is the variable quality of service, especially at the front desk. Signs of this issue include extended wait times during check-in, impersonal service, and uneven expectations for visitor interactions (Mews, 2022). Reviews posted by guests on Google and TripAdvisor over the last year reveal a growing dissatisfaction with the response and professionalism of the staff, particularly during busy periods and large-scale events. These problems have an effect on the hotel's income, reputation, and repeat business, in addition to lowering the quality of the visitor experience. Leisure visitors, international corporations, and conference goers make up the bulk of the hotel's revenue. Customers are less likely to return again, and relationships with corporate clients and event organisers are weakened when service is inconsistent (Ozuem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2024). In a highly competitive market like central London, where potential guests are typically discouraged by unfavourable online evaluations, poor service experiences can have a substantial impact. The vicious cycle of disengagement and turnover is exacerbated by operational inefficiencies and worker burnout, which are in turn caused by service discrepancies. The hotel's profit margins are being squeezed as a result of rising labour expenses and increasing consumer expectations for fast, high-quality service. The problem is more than just an inconvenience for guests; it's a danger to the hotel's future success and market dominance (Holovnia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2022). This problem has the potential to worsen without specific actions that improve staff competence and service culture; otherwise, customer confidence in the brand, loyalty to the establishment, and morale among workers will all continue to decline. The purpose of this study is to identify the problems with the service quality and provide long-term solutions.</w:t>
      </w:r>
    </w:p>
    <w:p w:rsidR="00000000" w:rsidDel="00000000" w:rsidP="00000000" w:rsidRDefault="00000000" w:rsidRPr="00000000" w14:paraId="00000045">
      <w:pPr>
        <w:pStyle w:val="Heading2"/>
        <w:spacing w:after="0" w:before="0" w:line="360" w:lineRule="auto"/>
        <w:jc w:val="both"/>
        <w:rPr>
          <w:rFonts w:ascii="Times New Roman" w:cs="Times New Roman" w:eastAsia="Times New Roman" w:hAnsi="Times New Roman"/>
          <w:b w:val="1"/>
          <w:sz w:val="24"/>
          <w:szCs w:val="24"/>
        </w:rPr>
      </w:pPr>
      <w:bookmarkStart w:colFirst="0" w:colLast="0" w:name="_tfr90j34x3cz" w:id="23"/>
      <w:bookmarkEnd w:id="23"/>
      <w:r w:rsidDel="00000000" w:rsidR="00000000" w:rsidRPr="00000000">
        <w:rPr>
          <w:rFonts w:ascii="Times New Roman" w:cs="Times New Roman" w:eastAsia="Times New Roman" w:hAnsi="Times New Roman"/>
          <w:b w:val="1"/>
          <w:sz w:val="24"/>
          <w:szCs w:val="24"/>
          <w:rtl w:val="0"/>
        </w:rPr>
        <w:t xml:space="preserve">3.2 Root Cause Analysis</w:t>
      </w:r>
    </w:p>
    <w:p w:rsidR="00000000" w:rsidDel="00000000" w:rsidP="00000000" w:rsidRDefault="00000000" w:rsidRPr="00000000" w14:paraId="0000004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 found that the Hilton London Metropole's service quality issues stem from both internal operational weaknesses and external macro-environmental needs, according to our multi-layered study.</w:t>
      </w:r>
    </w:p>
    <w:p w:rsidR="00000000" w:rsidDel="00000000" w:rsidP="00000000" w:rsidRDefault="00000000" w:rsidRPr="00000000" w14:paraId="00000047">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Internal Factors:</w:t>
      </w:r>
    </w:p>
    <w:p w:rsidR="00000000" w:rsidDel="00000000" w:rsidP="00000000" w:rsidRDefault="00000000" w:rsidRPr="00000000" w14:paraId="00000048">
      <w:pPr>
        <w:numPr>
          <w:ilvl w:val="0"/>
          <w:numId w:val="6"/>
        </w:numPr>
        <w:spacing w:line="360" w:lineRule="auto"/>
        <w:ind w:left="720" w:hanging="360"/>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High Staff Turnover &amp; Inadequate Training: </w:t>
      </w:r>
    </w:p>
    <w:p w:rsidR="00000000" w:rsidDel="00000000" w:rsidP="00000000" w:rsidRDefault="00000000" w:rsidRPr="00000000" w14:paraId="00000049">
      <w:pPr>
        <w:spacing w:line="360" w:lineRule="auto"/>
        <w:ind w:left="72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hotel has been suffering from chronic staffing issues, especially in customer service-related positions, ever since the COVID-19 pandemic. High employee turnover and insufficient training have both played a role in making this situation worse (Carranza and McKenzie, 2024). Because of the high demands of the profession, many either quit altogether or sought out less demanding conditions in smaller hotels. The industry lost a lot of seasoned employees. The recruitment of unskilled workers who have not been adequately trained has led to a decline in morale and inconsistent service.</w:t>
      </w:r>
    </w:p>
    <w:p w:rsidR="00000000" w:rsidDel="00000000" w:rsidP="00000000" w:rsidRDefault="00000000" w:rsidRPr="00000000" w14:paraId="0000004A">
      <w:pPr>
        <w:numPr>
          <w:ilvl w:val="0"/>
          <w:numId w:val="6"/>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Lack of Performance Monitoring Systems: </w:t>
      </w:r>
      <w:r w:rsidDel="00000000" w:rsidR="00000000" w:rsidRPr="00000000">
        <w:rPr>
          <w:rtl w:val="0"/>
        </w:rPr>
      </w:r>
    </w:p>
    <w:p w:rsidR="00000000" w:rsidDel="00000000" w:rsidP="00000000" w:rsidRDefault="00000000" w:rsidRPr="00000000" w14:paraId="0000004B">
      <w:pPr>
        <w:spacing w:line="360" w:lineRule="auto"/>
        <w:ind w:left="72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Now that performance monitoring systems aren't in place, the feedback loops that are there seem more reactive than proactive. The absence of performance-based incentives and real-time service monitoring technologies has led to the rise of a disengaged culture (Deloitte, 2015). Unfortunately, frontline employees often lack the authority and resources to address consumer complaints promptly, leading to delayed resolutions.</w:t>
      </w:r>
    </w:p>
    <w:p w:rsidR="00000000" w:rsidDel="00000000" w:rsidP="00000000" w:rsidRDefault="00000000" w:rsidRPr="00000000" w14:paraId="0000004C">
      <w:pPr>
        <w:numPr>
          <w:ilvl w:val="0"/>
          <w:numId w:val="6"/>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Operational Overstretch:</w:t>
      </w:r>
      <w:r w:rsidDel="00000000" w:rsidR="00000000" w:rsidRPr="00000000">
        <w:rPr>
          <w:rtl w:val="0"/>
        </w:rPr>
      </w:r>
    </w:p>
    <w:p w:rsidR="00000000" w:rsidDel="00000000" w:rsidP="00000000" w:rsidRDefault="00000000" w:rsidRPr="00000000" w14:paraId="0000004D">
      <w:pPr>
        <w:spacing w:line="360" w:lineRule="auto"/>
        <w:ind w:left="72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Because of the hotel's massive size and regular staging of high-volume events, the current personnel and infrastructure may become overworked, leading to operational overstretch (Nagel, 2025). During busy times, a lot of people use the lobby, check-in desks, and concierge services. Because of this, first impressions are less impressive and there are delays.</w:t>
      </w:r>
    </w:p>
    <w:p w:rsidR="00000000" w:rsidDel="00000000" w:rsidP="00000000" w:rsidRDefault="00000000" w:rsidRPr="00000000" w14:paraId="0000004E">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External Factors:</w:t>
      </w:r>
    </w:p>
    <w:p w:rsidR="00000000" w:rsidDel="00000000" w:rsidP="00000000" w:rsidRDefault="00000000" w:rsidRPr="00000000" w14:paraId="0000004F">
      <w:pPr>
        <w:numPr>
          <w:ilvl w:val="0"/>
          <w:numId w:val="9"/>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Labour Market Challenges:</w:t>
      </w:r>
      <w:r w:rsidDel="00000000" w:rsidR="00000000" w:rsidRPr="00000000">
        <w:rPr>
          <w:rtl w:val="0"/>
        </w:rPr>
      </w:r>
    </w:p>
    <w:p w:rsidR="00000000" w:rsidDel="00000000" w:rsidP="00000000" w:rsidRDefault="00000000" w:rsidRPr="00000000" w14:paraId="00000050">
      <w:pPr>
        <w:spacing w:line="360" w:lineRule="auto"/>
        <w:ind w:left="72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Difficulties in the Job Market Several issues, including Brexit and pandemic repercussions, are contributing to the ongoing workforce crisis in the UK restaurant business. Due to increased salary expectations and restrictions on EU labour mobility, competition for jobs in London's hotel business has heated up (Ndiuini and Baum, 2021). </w:t>
      </w:r>
    </w:p>
    <w:p w:rsidR="00000000" w:rsidDel="00000000" w:rsidP="00000000" w:rsidRDefault="00000000" w:rsidRPr="00000000" w14:paraId="00000051">
      <w:pPr>
        <w:numPr>
          <w:ilvl w:val="0"/>
          <w:numId w:val="9"/>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Rising Guest Expectations:</w:t>
      </w:r>
      <w:r w:rsidDel="00000000" w:rsidR="00000000" w:rsidRPr="00000000">
        <w:rPr>
          <w:rtl w:val="0"/>
        </w:rPr>
      </w:r>
    </w:p>
    <w:p w:rsidR="00000000" w:rsidDel="00000000" w:rsidP="00000000" w:rsidRDefault="00000000" w:rsidRPr="00000000" w14:paraId="00000052">
      <w:pPr>
        <w:spacing w:line="360" w:lineRule="auto"/>
        <w:ind w:left="72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Customers' expectations have skyrocketed since the outbreak since they are now more price- and quality-conscious. Price-conscious customers want better service and contactless efficiency, so any flaw is quickly seen and shared through reviews and social media (Kamruzzaman, 2023).</w:t>
      </w:r>
    </w:p>
    <w:p w:rsidR="00000000" w:rsidDel="00000000" w:rsidP="00000000" w:rsidRDefault="00000000" w:rsidRPr="00000000" w14:paraId="00000053">
      <w:pPr>
        <w:numPr>
          <w:ilvl w:val="0"/>
          <w:numId w:val="9"/>
        </w:numPr>
        <w:spacing w:line="360" w:lineRule="auto"/>
        <w:ind w:left="720" w:hanging="360"/>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Technological Disparities:</w:t>
      </w:r>
    </w:p>
    <w:p w:rsidR="00000000" w:rsidDel="00000000" w:rsidP="00000000" w:rsidRDefault="00000000" w:rsidRPr="00000000" w14:paraId="00000054">
      <w:pPr>
        <w:spacing w:line="360" w:lineRule="auto"/>
        <w:ind w:left="72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Digital check-in, an AI-assisted concierge, and bilingual digital guides are just a few of the service touchpoints that the Hilton London Metropole is missing in automation, which impacts the experience of international tourists and slows down service  (Ndiuini and Baum, 2021). This is in contrast to similarly situated rivals that have undergone renovations or new construction within the past few years.</w:t>
      </w:r>
    </w:p>
    <w:p w:rsidR="00000000" w:rsidDel="00000000" w:rsidP="00000000" w:rsidRDefault="00000000" w:rsidRPr="00000000" w14:paraId="0000005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interconnectedness of the root causes is complex. Lack of staff retention measures, inadequate integration of technology, and a bad internal service culture are driving factors in the decline of visitor pleasure (Yilmazdogan, 2024). Changes in consumer behaviour and shifts in the external workforce amplify these factors.</w:t>
      </w:r>
    </w:p>
    <w:p w:rsidR="00000000" w:rsidDel="00000000" w:rsidP="00000000" w:rsidRDefault="00000000" w:rsidRPr="00000000" w14:paraId="00000056">
      <w:pPr>
        <w:pStyle w:val="Heading2"/>
        <w:spacing w:after="0" w:before="0" w:line="360" w:lineRule="auto"/>
        <w:jc w:val="both"/>
        <w:rPr>
          <w:rFonts w:ascii="Times New Roman" w:cs="Times New Roman" w:eastAsia="Times New Roman" w:hAnsi="Times New Roman"/>
          <w:b w:val="1"/>
          <w:sz w:val="24"/>
          <w:szCs w:val="24"/>
        </w:rPr>
      </w:pPr>
      <w:bookmarkStart w:colFirst="0" w:colLast="0" w:name="_s8qfs911rut6" w:id="24"/>
      <w:bookmarkEnd w:id="24"/>
      <w:r w:rsidDel="00000000" w:rsidR="00000000" w:rsidRPr="00000000">
        <w:rPr>
          <w:rFonts w:ascii="Times New Roman" w:cs="Times New Roman" w:eastAsia="Times New Roman" w:hAnsi="Times New Roman"/>
          <w:b w:val="1"/>
          <w:sz w:val="24"/>
          <w:szCs w:val="24"/>
          <w:rtl w:val="0"/>
        </w:rPr>
        <w:t xml:space="preserve">3.3 STEEPLED Analysis Table &amp; Discussion</w:t>
      </w:r>
    </w:p>
    <w:tbl>
      <w:tblPr>
        <w:tblStyle w:val="Table1"/>
        <w:tblW w:w="9025.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731"/>
        <w:gridCol w:w="7294"/>
        <w:tblGridChange w:id="0">
          <w:tblGrid>
            <w:gridCol w:w="1731"/>
            <w:gridCol w:w="7294"/>
          </w:tblGrid>
        </w:tblGridChange>
      </w:tblGrid>
      <w:tr>
        <w:trPr>
          <w:cantSplit w:val="0"/>
          <w:trHeight w:val="515"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7">
            <w:pPr>
              <w:spacing w:line="24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Factor</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8">
            <w:pPr>
              <w:spacing w:line="24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Impact on Hilton London Metropole</w:t>
            </w:r>
          </w:p>
        </w:tc>
      </w:tr>
      <w:tr>
        <w:trPr>
          <w:cantSplit w:val="0"/>
          <w:trHeight w:val="80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9">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Social</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A">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number of patients requesting customised care that takes cultural factors into account has increased significantly (Minvielle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2021).    Multilingual staff members are in high demand.</w:t>
            </w:r>
          </w:p>
        </w:tc>
      </w:tr>
      <w:tr>
        <w:trPr>
          <w:cantSplit w:val="0"/>
          <w:trHeight w:val="80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B">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Technological</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C">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Hilton is falling behind the competition when it comes to providing tech-driven services, as they are using self-check-in kiosks and artificial intelligence concierge apps (EHL Insight, 2025).</w:t>
            </w:r>
          </w:p>
        </w:tc>
      </w:tr>
      <w:tr>
        <w:trPr>
          <w:cantSplit w:val="0"/>
          <w:trHeight w:val="80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D">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Economic</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E">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Operations expenditures have increased because of inflation and growing labour costs; budget-conscious consumers have higher expectations for their money (Irawan, 2024). </w:t>
            </w:r>
          </w:p>
        </w:tc>
      </w:tr>
      <w:tr>
        <w:trPr>
          <w:cantSplit w:val="0"/>
          <w:trHeight w:val="80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F">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Environmental</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60">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Modern ecotourists are easily put off when a place doesn't meet their standards for responsible tourism.</w:t>
            </w:r>
          </w:p>
        </w:tc>
      </w:tr>
      <w:tr>
        <w:trPr>
          <w:cantSplit w:val="0"/>
          <w:trHeight w:val="80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61">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Political</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62">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With fewer people available to work in the EU due to immigration limitations put in place following Brexit, hiring has become more difficult and costly (Sargent, 2023). </w:t>
            </w:r>
          </w:p>
        </w:tc>
      </w:tr>
      <w:tr>
        <w:trPr>
          <w:cantSplit w:val="0"/>
          <w:trHeight w:val="80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63">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Legal</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64">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Already, HR procedures are under a lot of pressure to adhere to employee rights and UK hospitality regulations.</w:t>
            </w:r>
          </w:p>
        </w:tc>
      </w:tr>
      <w:tr>
        <w:trPr>
          <w:cantSplit w:val="0"/>
          <w:trHeight w:val="80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65">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Ethical</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66">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Poor service makes it more difficult to comply with Hilton's high ethical standards, which are a result of the brand's global prominence (Digital Commons, 2019).</w:t>
            </w:r>
          </w:p>
        </w:tc>
      </w:tr>
      <w:tr>
        <w:trPr>
          <w:cantSplit w:val="0"/>
          <w:trHeight w:val="80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67">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Demographic</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68">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A combination of an older workforce and a generational disinterest in service jobs has led to a decrease in personnel resilience in the hotel business.</w:t>
            </w:r>
          </w:p>
        </w:tc>
      </w:tr>
    </w:tbl>
    <w:p w:rsidR="00000000" w:rsidDel="00000000" w:rsidP="00000000" w:rsidRDefault="00000000" w:rsidRPr="00000000" w14:paraId="0000006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 difficult external environment that exacerbates internal shortcomings is revealed by the STEEPLED analysis. While political and economic developments have lowered worker availability and boosted operational expenses, social and demographic transitions call for more culturally flexible and technologically enabled service experiences. The competitiveness and brand image of a company suffer when it is unable to change with technology developments and green targets (Borah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2023). These elements call for a fresh Hilton London Metropole customer service approach and team. Invest in technology, build internal competencies, and break free from these constraints by tying strategy with contemporary hotel trends.</w:t>
      </w:r>
    </w:p>
    <w:p w:rsidR="00000000" w:rsidDel="00000000" w:rsidP="00000000" w:rsidRDefault="00000000" w:rsidRPr="00000000" w14:paraId="0000006A">
      <w:pPr>
        <w:pStyle w:val="Heading2"/>
        <w:spacing w:after="0" w:before="0" w:line="360" w:lineRule="auto"/>
        <w:jc w:val="both"/>
        <w:rPr>
          <w:rFonts w:ascii="Times New Roman" w:cs="Times New Roman" w:eastAsia="Times New Roman" w:hAnsi="Times New Roman"/>
          <w:b w:val="1"/>
          <w:sz w:val="24"/>
          <w:szCs w:val="24"/>
        </w:rPr>
      </w:pPr>
      <w:bookmarkStart w:colFirst="0" w:colLast="0" w:name="_fwuvf3gdhdku" w:id="25"/>
      <w:bookmarkEnd w:id="25"/>
      <w:r w:rsidDel="00000000" w:rsidR="00000000" w:rsidRPr="00000000">
        <w:rPr>
          <w:rFonts w:ascii="Times New Roman" w:cs="Times New Roman" w:eastAsia="Times New Roman" w:hAnsi="Times New Roman"/>
          <w:b w:val="1"/>
          <w:sz w:val="24"/>
          <w:szCs w:val="24"/>
          <w:rtl w:val="0"/>
        </w:rPr>
        <w:t xml:space="preserve">3.4 What Is Working Well – Positive Factors</w:t>
      </w:r>
    </w:p>
    <w:p w:rsidR="00000000" w:rsidDel="00000000" w:rsidP="00000000" w:rsidRDefault="00000000" w:rsidRPr="00000000" w14:paraId="0000006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Hilton London Metropole has several qualities that distinguish it despite its present problems. The central London location of the hotel and proximity to Paddington Station and Heathrow Express draw international business and leisure visitors (GOV.UK, 2015). Apart from worldwide awareness and a committed customer base via Hilton Honours, Hilton helps one get corporate contracts and group bookings. Attracting a steady flow of large-scale events, including international conventions and exhibitions, the hotel's vast conferencing and events facilities—among the largest of any UK hotel—remain a competitive edge. In addition, the food and beverage outlets at Hilton London Metropole have been significantly upgraded, providing guests with a wide array of high-quality dining alternatives. From making a reservation all the way through to paying, guests will have a smooth experience thanks to the hotel's operational digital booking and loyalty systems that connect seamlessly with the rest of the Hilton network (JWU, 2023). The property's excellent revenue performance during important London event seasons is a result of well-executed techniques for demand forecasting and yield management. Its present service-related challenges can be effectively addressed with the use of these strengths.</w:t>
      </w:r>
    </w:p>
    <w:p w:rsidR="00000000" w:rsidDel="00000000" w:rsidP="00000000" w:rsidRDefault="00000000" w:rsidRPr="00000000" w14:paraId="0000006C">
      <w:pPr>
        <w:pStyle w:val="Heading2"/>
        <w:spacing w:after="0" w:before="0" w:line="360" w:lineRule="auto"/>
        <w:jc w:val="both"/>
        <w:rPr>
          <w:rFonts w:ascii="Times New Roman" w:cs="Times New Roman" w:eastAsia="Times New Roman" w:hAnsi="Times New Roman"/>
          <w:b w:val="1"/>
          <w:sz w:val="24"/>
          <w:szCs w:val="24"/>
        </w:rPr>
      </w:pPr>
      <w:bookmarkStart w:colFirst="0" w:colLast="0" w:name="_9x68o9w2hj8d" w:id="26"/>
      <w:bookmarkEnd w:id="26"/>
      <w:r w:rsidDel="00000000" w:rsidR="00000000" w:rsidRPr="00000000">
        <w:rPr>
          <w:rFonts w:ascii="Times New Roman" w:cs="Times New Roman" w:eastAsia="Times New Roman" w:hAnsi="Times New Roman"/>
          <w:b w:val="1"/>
          <w:sz w:val="24"/>
          <w:szCs w:val="24"/>
          <w:rtl w:val="0"/>
        </w:rPr>
        <w:t xml:space="preserve">3.5 SWOT Analysis Table &amp; Discussion</w:t>
      </w:r>
    </w:p>
    <w:tbl>
      <w:tblPr>
        <w:tblStyle w:val="Table2"/>
        <w:tblW w:w="9025.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512"/>
        <w:gridCol w:w="4513"/>
        <w:tblGridChange w:id="0">
          <w:tblGrid>
            <w:gridCol w:w="4512"/>
            <w:gridCol w:w="4513"/>
          </w:tblGrid>
        </w:tblGridChange>
      </w:tblGrid>
      <w:tr>
        <w:trPr>
          <w:cantSplit w:val="0"/>
          <w:trHeight w:val="515"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6D">
            <w:pPr>
              <w:spacing w:line="24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Strengths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6E">
            <w:pPr>
              <w:spacing w:line="24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Weaknesses</w:t>
            </w:r>
          </w:p>
        </w:tc>
      </w:tr>
      <w:tr>
        <w:trPr>
          <w:cantSplit w:val="0"/>
          <w:trHeight w:val="80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6F">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Ideal spot in the heart of London</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70">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Discordant levels of service and satisfaction among guests</w:t>
            </w:r>
          </w:p>
        </w:tc>
      </w:tr>
      <w:tr>
        <w:trPr>
          <w:cantSplit w:val="0"/>
          <w:trHeight w:val="80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71">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Dedicated Hilton Honours members and a strong reputation for the brand</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72">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Low morale and high employee turnover</w:t>
            </w:r>
          </w:p>
        </w:tc>
      </w:tr>
      <w:tr>
        <w:trPr>
          <w:cantSplit w:val="0"/>
          <w:trHeight w:val="80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73">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Efficient food and beverage operations and revenue management at the largest</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74">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Restricted use of technology (digital concierge, check-in)</w:t>
            </w:r>
          </w:p>
        </w:tc>
      </w:tr>
      <w:tr>
        <w:trPr>
          <w:cantSplit w:val="0"/>
          <w:trHeight w:val="80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75">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UK hotel conference room</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76">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Missing capability to track service performance in real-time (Olayinka, 2021). </w:t>
            </w:r>
          </w:p>
        </w:tc>
      </w:tr>
      <w:tr>
        <w:trPr>
          <w:cantSplit w:val="0"/>
          <w:trHeight w:val="80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77">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Support and access to Hilton's worldwide systems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78">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Varied levels of frontline employees' training and development</w:t>
            </w:r>
          </w:p>
        </w:tc>
      </w:tr>
    </w:tbl>
    <w:p w:rsidR="00000000" w:rsidDel="00000000" w:rsidP="00000000" w:rsidRDefault="00000000" w:rsidRPr="00000000" w14:paraId="00000079">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A">
      <w:pPr>
        <w:spacing w:line="360" w:lineRule="auto"/>
        <w:jc w:val="both"/>
        <w:rPr>
          <w:rFonts w:ascii="Times New Roman" w:cs="Times New Roman" w:eastAsia="Times New Roman" w:hAnsi="Times New Roman"/>
          <w:sz w:val="24"/>
          <w:szCs w:val="24"/>
        </w:rPr>
      </w:pPr>
      <w:r w:rsidDel="00000000" w:rsidR="00000000" w:rsidRPr="00000000">
        <w:rPr>
          <w:rtl w:val="0"/>
        </w:rPr>
      </w:r>
    </w:p>
    <w:tbl>
      <w:tblPr>
        <w:tblStyle w:val="Table3"/>
        <w:tblW w:w="9015.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575"/>
        <w:gridCol w:w="4440"/>
        <w:tblGridChange w:id="0">
          <w:tblGrid>
            <w:gridCol w:w="4575"/>
            <w:gridCol w:w="4440"/>
          </w:tblGrid>
        </w:tblGridChange>
      </w:tblGrid>
      <w:tr>
        <w:trPr>
          <w:cantSplit w:val="0"/>
          <w:trHeight w:val="515"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7B">
            <w:pPr>
              <w:spacing w:line="24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Opportunities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7C">
            <w:pPr>
              <w:spacing w:line="24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Threats</w:t>
            </w:r>
          </w:p>
        </w:tc>
      </w:tr>
      <w:tr>
        <w:trPr>
          <w:cantSplit w:val="0"/>
          <w:trHeight w:val="80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7D">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Maximise efficiency in guest services by utilising technology</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7E">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Employment gaps caused by changes in immigration policies following Brexit</w:t>
            </w:r>
          </w:p>
        </w:tc>
      </w:tr>
      <w:tr>
        <w:trPr>
          <w:cantSplit w:val="0"/>
          <w:trHeight w:val="80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7F">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Green travel initiatives to entice environmentally concerned vacationers (Kim, Kim, and Nguyen, 2021). </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80">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Increases in both inflation and wage expenditures are driving up operational costs.</w:t>
            </w:r>
          </w:p>
        </w:tc>
      </w:tr>
      <w:tr>
        <w:trPr>
          <w:cantSplit w:val="0"/>
          <w:trHeight w:val="80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81">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Staff upskilling to enhance service quality</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82">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Reputational harm caused by unfavourable evaluations on the internet</w:t>
            </w:r>
          </w:p>
        </w:tc>
      </w:tr>
      <w:tr>
        <w:trPr>
          <w:cantSplit w:val="0"/>
          <w:trHeight w:val="80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83">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Design exciting vacation packages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84">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Rivalry from newer, tech-enabled hotels in the heart of London</w:t>
            </w:r>
          </w:p>
        </w:tc>
      </w:tr>
      <w:tr>
        <w:trPr>
          <w:cantSplit w:val="0"/>
          <w:trHeight w:val="80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85">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Grow their multilingual offerings to appeal to customers all over the world</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86">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Guests' post-COVID expectations are evolving in areas like as cleanliness, efficiency, and customisation (Bharti, and Sharma, 2023). </w:t>
            </w:r>
          </w:p>
        </w:tc>
      </w:tr>
    </w:tbl>
    <w:p w:rsidR="00000000" w:rsidDel="00000000" w:rsidP="00000000" w:rsidRDefault="00000000" w:rsidRPr="00000000" w14:paraId="0000008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hotel's location, branding, and events infrastructure are some of its operational assets that the SWOT analysis identifies as giving it an advantage in the market. But it can't keep up with guests' ever-increasing expectations because of its own shortcomings in service delivery, technology adoption, and employee competence. Smart technology, reskilling employees, and improving environmental initiatives present a huge potential to update service delivery (Li, 2024). External risks, such as workforce shortages and competitive pressures, could be mitigated by these advancements as well. As shown in the following TOWS analysis, the SWOT matrix is used as a basis for developing strategic solutions.</w:t>
      </w:r>
    </w:p>
    <w:p w:rsidR="00000000" w:rsidDel="00000000" w:rsidP="00000000" w:rsidRDefault="00000000" w:rsidRPr="00000000" w14:paraId="00000088">
      <w:pPr>
        <w:pStyle w:val="Heading2"/>
        <w:spacing w:after="0" w:before="0" w:line="360" w:lineRule="auto"/>
        <w:jc w:val="both"/>
        <w:rPr>
          <w:rFonts w:ascii="Times New Roman" w:cs="Times New Roman" w:eastAsia="Times New Roman" w:hAnsi="Times New Roman"/>
          <w:b w:val="1"/>
          <w:sz w:val="24"/>
          <w:szCs w:val="24"/>
        </w:rPr>
      </w:pPr>
      <w:bookmarkStart w:colFirst="0" w:colLast="0" w:name="_1hxpzvjpbc1c" w:id="27"/>
      <w:bookmarkEnd w:id="27"/>
      <w:r w:rsidDel="00000000" w:rsidR="00000000" w:rsidRPr="00000000">
        <w:rPr>
          <w:rFonts w:ascii="Times New Roman" w:cs="Times New Roman" w:eastAsia="Times New Roman" w:hAnsi="Times New Roman"/>
          <w:b w:val="1"/>
          <w:sz w:val="24"/>
          <w:szCs w:val="24"/>
          <w:rtl w:val="0"/>
        </w:rPr>
        <w:t xml:space="preserve">3.6  TOWS Analysis Table &amp; Discussion</w:t>
      </w:r>
    </w:p>
    <w:tbl>
      <w:tblPr>
        <w:tblStyle w:val="Table4"/>
        <w:tblW w:w="9025.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432"/>
        <w:gridCol w:w="4593"/>
        <w:tblGridChange w:id="0">
          <w:tblGrid>
            <w:gridCol w:w="4432"/>
            <w:gridCol w:w="4593"/>
          </w:tblGrid>
        </w:tblGridChange>
      </w:tblGrid>
      <w:tr>
        <w:trPr>
          <w:cantSplit w:val="0"/>
          <w:trHeight w:val="80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89">
            <w:pPr>
              <w:spacing w:line="24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Strategies Using Strengths to Exploit Opportunities (SO)</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8A">
            <w:pPr>
              <w:spacing w:line="24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Strategies to Overcome Weaknesses by Using Opportunities (WO)</w:t>
            </w:r>
          </w:p>
        </w:tc>
      </w:tr>
      <w:tr>
        <w:trPr>
          <w:cantSplit w:val="0"/>
          <w:trHeight w:val="80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8B">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Harnessing the influence of the Hilton name and customer loyalty program can help people promote exciting new immersive guest packages (Stories from Hilton, 2024).</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8C">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Enhance service tracking with the introduction of digital concierge and feedback systems based on apps.</w:t>
            </w:r>
          </w:p>
        </w:tc>
      </w:tr>
      <w:tr>
        <w:trPr>
          <w:cantSplit w:val="0"/>
          <w:trHeight w:val="1085"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8D">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Take advantage of smart tech developments to grow their conference and event company.</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8E">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lessen the occurrence of inconsistent service, institute formal training and mentorship programs for employees.</w:t>
            </w:r>
          </w:p>
        </w:tc>
      </w:tr>
      <w:tr>
        <w:trPr>
          <w:cantSplit w:val="0"/>
          <w:trHeight w:val="80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8F">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Encourage eco-friendly pursuits via robust food and beverage operations.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90">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Train employees and enhance hotel operations by partnering with sustainability groups (Khalil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2024). </w:t>
            </w:r>
          </w:p>
        </w:tc>
      </w:tr>
    </w:tbl>
    <w:p w:rsidR="00000000" w:rsidDel="00000000" w:rsidP="00000000" w:rsidRDefault="00000000" w:rsidRPr="00000000" w14:paraId="00000091">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2">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3">
      <w:pPr>
        <w:spacing w:line="360" w:lineRule="auto"/>
        <w:jc w:val="both"/>
        <w:rPr>
          <w:rFonts w:ascii="Times New Roman" w:cs="Times New Roman" w:eastAsia="Times New Roman" w:hAnsi="Times New Roman"/>
          <w:sz w:val="24"/>
          <w:szCs w:val="24"/>
        </w:rPr>
      </w:pPr>
      <w:r w:rsidDel="00000000" w:rsidR="00000000" w:rsidRPr="00000000">
        <w:rPr>
          <w:rtl w:val="0"/>
        </w:rPr>
      </w:r>
    </w:p>
    <w:tbl>
      <w:tblPr>
        <w:tblStyle w:val="Table5"/>
        <w:tblW w:w="9025.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285"/>
        <w:gridCol w:w="4740"/>
        <w:tblGridChange w:id="0">
          <w:tblGrid>
            <w:gridCol w:w="4285"/>
            <w:gridCol w:w="4740"/>
          </w:tblGrid>
        </w:tblGridChange>
      </w:tblGrid>
      <w:tr>
        <w:trPr>
          <w:cantSplit w:val="0"/>
          <w:trHeight w:val="80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94">
            <w:pPr>
              <w:spacing w:line="24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Strategies Using Strengths to Mitigate Threats (ST)</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95">
            <w:pPr>
              <w:spacing w:line="24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Strategies to Minimise Weaknesses and Avoid Threats (WT)</w:t>
            </w:r>
          </w:p>
        </w:tc>
      </w:tr>
      <w:tr>
        <w:trPr>
          <w:cantSplit w:val="0"/>
          <w:trHeight w:val="80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96">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Stay ahead of the competition by capitalising on their location and stellar reputation worldwide.</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97">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Spend money on employee retention programs to lessen their impact on competitive job markets.</w:t>
            </w:r>
          </w:p>
        </w:tc>
      </w:tr>
      <w:tr>
        <w:trPr>
          <w:cantSplit w:val="0"/>
          <w:trHeight w:val="80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98">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Apply The worldwide infrastructure of Hilton allow them to swiftly adapt to changing guest patterns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99">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protect their internet reputation, implement performance measurements and a system for receiving feedback.</w:t>
            </w:r>
          </w:p>
        </w:tc>
      </w:tr>
      <w:tr>
        <w:trPr>
          <w:cantSplit w:val="0"/>
          <w:trHeight w:val="80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9A">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Relieve inflationary pressures by using revenue management system data</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9B">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better manage workloads and eliminate service bottlenecks, enhance digital check-in services (Sehgal </w:t>
            </w:r>
            <w:r w:rsidDel="00000000" w:rsidR="00000000" w:rsidRPr="00000000">
              <w:rPr>
                <w:rFonts w:ascii="Times New Roman" w:cs="Times New Roman" w:eastAsia="Times New Roman" w:hAnsi="Times New Roman"/>
                <w:i w:val="1"/>
                <w:sz w:val="24"/>
                <w:szCs w:val="24"/>
                <w:rtl w:val="0"/>
              </w:rPr>
              <w:t xml:space="preserve">et al., </w:t>
            </w:r>
            <w:r w:rsidDel="00000000" w:rsidR="00000000" w:rsidRPr="00000000">
              <w:rPr>
                <w:rFonts w:ascii="Times New Roman" w:cs="Times New Roman" w:eastAsia="Times New Roman" w:hAnsi="Times New Roman"/>
                <w:sz w:val="24"/>
                <w:szCs w:val="24"/>
                <w:rtl w:val="0"/>
              </w:rPr>
              <w:t xml:space="preserve">2024). </w:t>
            </w:r>
          </w:p>
        </w:tc>
      </w:tr>
    </w:tbl>
    <w:p w:rsidR="00000000" w:rsidDel="00000000" w:rsidP="00000000" w:rsidRDefault="00000000" w:rsidRPr="00000000" w14:paraId="0000009C">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hotel can take advantage of strategic possibilities and protect itself from dangers by utilising its brand strength and infrastructure, as demonstrated in the TOWS matrix. For example, by utilising Hilton's global training and technological capabilities, the company can directly address internal concerns such as outdated infrastructure and workers who are not performing up to their potential. The hospitality business is always evolving, and to keep ahead of the competition, hotels are employing measures to improve their sustainability, personalise their offerings, and streamline their operations (Bardukova, 2023). These findings serve as the foundation for the specific recommendations that are found below.</w:t>
      </w:r>
    </w:p>
    <w:p w:rsidR="00000000" w:rsidDel="00000000" w:rsidP="00000000" w:rsidRDefault="00000000" w:rsidRPr="00000000" w14:paraId="0000009E">
      <w:pPr>
        <w:pStyle w:val="Heading1"/>
        <w:spacing w:after="0" w:before="0" w:line="360" w:lineRule="auto"/>
        <w:jc w:val="both"/>
        <w:rPr>
          <w:rFonts w:ascii="Times New Roman" w:cs="Times New Roman" w:eastAsia="Times New Roman" w:hAnsi="Times New Roman"/>
          <w:b w:val="1"/>
          <w:sz w:val="28"/>
          <w:szCs w:val="28"/>
        </w:rPr>
      </w:pPr>
      <w:bookmarkStart w:colFirst="0" w:colLast="0" w:name="_tnxnvurci3f3" w:id="28"/>
      <w:bookmarkEnd w:id="28"/>
      <w:r w:rsidDel="00000000" w:rsidR="00000000" w:rsidRPr="00000000">
        <w:rPr>
          <w:rFonts w:ascii="Times New Roman" w:cs="Times New Roman" w:eastAsia="Times New Roman" w:hAnsi="Times New Roman"/>
          <w:b w:val="1"/>
          <w:sz w:val="28"/>
          <w:szCs w:val="28"/>
          <w:rtl w:val="0"/>
        </w:rPr>
        <w:t xml:space="preserve">4. Recommendations &amp; Change Management</w:t>
      </w:r>
    </w:p>
    <w:p w:rsidR="00000000" w:rsidDel="00000000" w:rsidP="00000000" w:rsidRDefault="00000000" w:rsidRPr="00000000" w14:paraId="0000009F">
      <w:pPr>
        <w:pStyle w:val="Heading2"/>
        <w:spacing w:after="0" w:before="0" w:line="360" w:lineRule="auto"/>
        <w:jc w:val="both"/>
        <w:rPr>
          <w:rFonts w:ascii="Times New Roman" w:cs="Times New Roman" w:eastAsia="Times New Roman" w:hAnsi="Times New Roman"/>
          <w:b w:val="1"/>
          <w:sz w:val="24"/>
          <w:szCs w:val="24"/>
        </w:rPr>
      </w:pPr>
      <w:bookmarkStart w:colFirst="0" w:colLast="0" w:name="_qvd6w8hljmnj" w:id="29"/>
      <w:bookmarkEnd w:id="29"/>
      <w:r w:rsidDel="00000000" w:rsidR="00000000" w:rsidRPr="00000000">
        <w:rPr>
          <w:rFonts w:ascii="Times New Roman" w:cs="Times New Roman" w:eastAsia="Times New Roman" w:hAnsi="Times New Roman"/>
          <w:b w:val="1"/>
          <w:sz w:val="24"/>
          <w:szCs w:val="24"/>
          <w:rtl w:val="0"/>
        </w:rPr>
        <w:t xml:space="preserve">4.1 Detailed Recommendations</w:t>
      </w:r>
    </w:p>
    <w:p w:rsidR="00000000" w:rsidDel="00000000" w:rsidP="00000000" w:rsidRDefault="00000000" w:rsidRPr="00000000" w14:paraId="000000A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Given the issue with the service quality at the Hilton London Metropole, it propose the following solutions: they are simple, relevant, and backed by proof. Based on the results of the analysis, some suggestions have been made.</w:t>
      </w:r>
    </w:p>
    <w:p w:rsidR="00000000" w:rsidDel="00000000" w:rsidP="00000000" w:rsidRDefault="00000000" w:rsidRPr="00000000" w14:paraId="000000A1">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1. Enhance Staff Training and Development Programs</w:t>
      </w:r>
    </w:p>
    <w:p w:rsidR="00000000" w:rsidDel="00000000" w:rsidP="00000000" w:rsidRDefault="00000000" w:rsidRPr="00000000" w14:paraId="000000A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 high staff turnover rate, inadequate training, and an absence of staff empowerment were identified as the main reasons for variable service quality, according to the research. The hotel should put money into a training program that teaches strategies for customer service, dispute resolution, and customisation (Liu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2021). </w:t>
      </w:r>
    </w:p>
    <w:p w:rsidR="00000000" w:rsidDel="00000000" w:rsidP="00000000" w:rsidRDefault="00000000" w:rsidRPr="00000000" w14:paraId="000000A3">
      <w:pPr>
        <w:numPr>
          <w:ilvl w:val="0"/>
          <w:numId w:val="5"/>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should incorporate Hilton's service standards, communication methods, and technical resources. Included as well should be the process of onboarding newly hired staff.</w:t>
      </w:r>
    </w:p>
    <w:p w:rsidR="00000000" w:rsidDel="00000000" w:rsidP="00000000" w:rsidRDefault="00000000" w:rsidRPr="00000000" w14:paraId="000000A4">
      <w:pPr>
        <w:numPr>
          <w:ilvl w:val="0"/>
          <w:numId w:val="5"/>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Employees can help fix service issues and feel more invested in the company's success by participating in regular training (Tien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2021). </w:t>
      </w:r>
    </w:p>
    <w:p w:rsidR="00000000" w:rsidDel="00000000" w:rsidP="00000000" w:rsidRDefault="00000000" w:rsidRPr="00000000" w14:paraId="000000A5">
      <w:pPr>
        <w:numPr>
          <w:ilvl w:val="0"/>
          <w:numId w:val="5"/>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interdisciplinary training to make sure that every single employee, from the front desk to the cleaning staff, is working together to give visitors the best possible experience.</w:t>
      </w:r>
    </w:p>
    <w:p w:rsidR="00000000" w:rsidDel="00000000" w:rsidP="00000000" w:rsidRDefault="00000000" w:rsidRPr="00000000" w14:paraId="000000A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Researchers have shown that workers who get enough training are more invested in their work, happier overall, and able to make a positive impact on customers' experiences. The variations in the service quality will be quickly addressed by this.</w:t>
      </w:r>
    </w:p>
    <w:p w:rsidR="00000000" w:rsidDel="00000000" w:rsidP="00000000" w:rsidRDefault="00000000" w:rsidRPr="00000000" w14:paraId="000000A7">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2. Implement a Digital Concierge and Self-Check-In System</w:t>
      </w:r>
    </w:p>
    <w:p w:rsidR="00000000" w:rsidDel="00000000" w:rsidP="00000000" w:rsidRDefault="00000000" w:rsidRPr="00000000" w14:paraId="000000A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 would be wise for the Hilton London Metropole to install digital technologies more quickly in line with current trends if it wants to improve its guests' overall experience. </w:t>
      </w:r>
    </w:p>
    <w:p w:rsidR="00000000" w:rsidDel="00000000" w:rsidP="00000000" w:rsidRDefault="00000000" w:rsidRPr="00000000" w14:paraId="000000A9">
      <w:pPr>
        <w:numPr>
          <w:ilvl w:val="0"/>
          <w:numId w:val="3"/>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Included in this category are self-service check-in kiosks, which aim to streamline the check-in process, especially during peak periods, hence reducing wait times and the distress that comes with them.</w:t>
      </w:r>
    </w:p>
    <w:p w:rsidR="00000000" w:rsidDel="00000000" w:rsidP="00000000" w:rsidRDefault="00000000" w:rsidRPr="00000000" w14:paraId="000000AA">
      <w:pPr>
        <w:numPr>
          <w:ilvl w:val="0"/>
          <w:numId w:val="3"/>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digital concierge service allows users to submit requests, book services, and acquire information through a smartphone app, eliminating the need to contact the front desk (Tech Magic, 2025).</w:t>
      </w:r>
    </w:p>
    <w:p w:rsidR="00000000" w:rsidDel="00000000" w:rsidP="00000000" w:rsidRDefault="00000000" w:rsidRPr="00000000" w14:paraId="000000A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Evidence suggests that hotels can increase customer satisfaction using self-service technologies by significantly cutting down on wait times and increasing operational efficiency (Ayodeji, Rjoub, and Özgit, 2023). As a result, this will assist ease concerns associated to service delivery and produce a more seamless experience for their guests.</w:t>
      </w:r>
    </w:p>
    <w:p w:rsidR="00000000" w:rsidDel="00000000" w:rsidP="00000000" w:rsidRDefault="00000000" w:rsidRPr="00000000" w14:paraId="000000AC">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3. Revamp Recruitment and Retention Strategies</w:t>
      </w:r>
    </w:p>
    <w:p w:rsidR="00000000" w:rsidDel="00000000" w:rsidP="00000000" w:rsidRDefault="00000000" w:rsidRPr="00000000" w14:paraId="000000A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combat the high incidence of employee turnover, the hotel should reconsider its approach to hiring and retaining employees.</w:t>
      </w:r>
    </w:p>
    <w:p w:rsidR="00000000" w:rsidDel="00000000" w:rsidP="00000000" w:rsidRDefault="00000000" w:rsidRPr="00000000" w14:paraId="000000AE">
      <w:pPr>
        <w:numPr>
          <w:ilvl w:val="0"/>
          <w:numId w:val="7"/>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 is important to include a "clear pathway for career advancement within Hilton London Metropole and the wider Hilton brand" in this context.</w:t>
      </w:r>
    </w:p>
    <w:p w:rsidR="00000000" w:rsidDel="00000000" w:rsidP="00000000" w:rsidRDefault="00000000" w:rsidRPr="00000000" w14:paraId="000000AF">
      <w:pPr>
        <w:numPr>
          <w:ilvl w:val="0"/>
          <w:numId w:val="7"/>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Compensation plans that cover all bases, including competitive pay, health insurance, and flexible scheduling (Werner and Balkin, 2021). </w:t>
      </w:r>
    </w:p>
    <w:p w:rsidR="00000000" w:rsidDel="00000000" w:rsidP="00000000" w:rsidRDefault="00000000" w:rsidRPr="00000000" w14:paraId="000000B0">
      <w:pPr>
        <w:numPr>
          <w:ilvl w:val="0"/>
          <w:numId w:val="7"/>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Ensuring that staff members feel appreciated and motivated requires a focus on workplace culture and employee engagement.</w:t>
      </w:r>
    </w:p>
    <w:p w:rsidR="00000000" w:rsidDel="00000000" w:rsidP="00000000" w:rsidRDefault="00000000" w:rsidRPr="00000000" w14:paraId="000000B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Research shows that a positive work culture and opportunity for individuals to progress in their careers significantly lower employee turnover and boost customer service. If this is fixed, the service consistency will be much improved.</w:t>
      </w:r>
    </w:p>
    <w:p w:rsidR="00000000" w:rsidDel="00000000" w:rsidP="00000000" w:rsidRDefault="00000000" w:rsidRPr="00000000" w14:paraId="000000B2">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4. Focus on Sustainability and Eco-Friendly Initiatives</w:t>
      </w:r>
    </w:p>
    <w:p w:rsidR="00000000" w:rsidDel="00000000" w:rsidP="00000000" w:rsidRDefault="00000000" w:rsidRPr="00000000" w14:paraId="000000B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Part of the global Hilton brand's dedication to corporate responsibility is the importance of the Hilton London Metropole implementing eco-friendly practices that align with guest preferences. </w:t>
      </w:r>
    </w:p>
    <w:p w:rsidR="00000000" w:rsidDel="00000000" w:rsidP="00000000" w:rsidRDefault="00000000" w:rsidRPr="00000000" w14:paraId="000000B4">
      <w:pPr>
        <w:numPr>
          <w:ilvl w:val="0"/>
          <w:numId w:val="2"/>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Using smart technology and energy-efficient equipment to reduce water and energy use is a part of this.</w:t>
      </w:r>
    </w:p>
    <w:p w:rsidR="00000000" w:rsidDel="00000000" w:rsidP="00000000" w:rsidRDefault="00000000" w:rsidRPr="00000000" w14:paraId="000000B5">
      <w:pPr>
        <w:numPr>
          <w:ilvl w:val="0"/>
          <w:numId w:val="2"/>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Offering eco-friendly amenities in guest rooms and organic food selections are two examples of how they are helping the environment (Olorunsola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2022). </w:t>
      </w:r>
    </w:p>
    <w:p w:rsidR="00000000" w:rsidDel="00000000" w:rsidP="00000000" w:rsidRDefault="00000000" w:rsidRPr="00000000" w14:paraId="000000B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There is evidence to show that guests are starting to prioritise sustainability when choosing where to stay. The majority of global travellers (79%) say they are more inclined to book a hotel with sustainable practices, according to a 2019 study (GSTC, 2019). In addition to boosting the hotel's attractiveness to eco-conscious vacationers, this initiative will enhance the brand's reputation.</w:t>
      </w:r>
    </w:p>
    <w:p w:rsidR="00000000" w:rsidDel="00000000" w:rsidP="00000000" w:rsidRDefault="00000000" w:rsidRPr="00000000" w14:paraId="000000B7">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5. Improving Communication and Feedback Mechanisms</w:t>
      </w:r>
    </w:p>
    <w:p w:rsidR="00000000" w:rsidDel="00000000" w:rsidP="00000000" w:rsidRDefault="00000000" w:rsidRPr="00000000" w14:paraId="000000B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Throughout the research, it became clear that there were issues with the lack of real-time feedback mechanisms. </w:t>
      </w:r>
    </w:p>
    <w:p w:rsidR="00000000" w:rsidDel="00000000" w:rsidP="00000000" w:rsidRDefault="00000000" w:rsidRPr="00000000" w14:paraId="000000B9">
      <w:pPr>
        <w:numPr>
          <w:ilvl w:val="0"/>
          <w:numId w:val="8"/>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hotel should set up a system where guests may communicate with them in real time using mobile apps. As they are staying, guests would be able to offer rapid feedback through this system.</w:t>
      </w:r>
    </w:p>
    <w:p w:rsidR="00000000" w:rsidDel="00000000" w:rsidP="00000000" w:rsidRDefault="00000000" w:rsidRPr="00000000" w14:paraId="000000BA">
      <w:pPr>
        <w:numPr>
          <w:ilvl w:val="0"/>
          <w:numId w:val="8"/>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By utilising employee feedback loops, possible operational issues can be identified early on and addressed before they escalate (Carreno, 2024). </w:t>
      </w:r>
    </w:p>
    <w:p w:rsidR="00000000" w:rsidDel="00000000" w:rsidP="00000000" w:rsidRDefault="00000000" w:rsidRPr="00000000" w14:paraId="000000B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Evidence: There is evidence that using real-time feedback mechanisms can improve visitor satisfaction and help maintain service quality even when demand is high (Harris </w:t>
      </w:r>
      <w:r w:rsidDel="00000000" w:rsidR="00000000" w:rsidRPr="00000000">
        <w:rPr>
          <w:rFonts w:ascii="Times New Roman" w:cs="Times New Roman" w:eastAsia="Times New Roman" w:hAnsi="Times New Roman"/>
          <w:i w:val="1"/>
          <w:sz w:val="24"/>
          <w:szCs w:val="24"/>
          <w:rtl w:val="0"/>
        </w:rPr>
        <w:t xml:space="preserve">et al., </w:t>
      </w:r>
      <w:r w:rsidDel="00000000" w:rsidR="00000000" w:rsidRPr="00000000">
        <w:rPr>
          <w:rFonts w:ascii="Times New Roman" w:cs="Times New Roman" w:eastAsia="Times New Roman" w:hAnsi="Times New Roman"/>
          <w:sz w:val="24"/>
          <w:szCs w:val="24"/>
          <w:rtl w:val="0"/>
        </w:rPr>
        <w:t xml:space="preserve">2004). Thus, operational efficiency will be enhanced and dissatisfaction will be mitigated before it escalates into a major issue.</w:t>
      </w:r>
    </w:p>
    <w:p w:rsidR="00000000" w:rsidDel="00000000" w:rsidP="00000000" w:rsidRDefault="00000000" w:rsidRPr="00000000" w14:paraId="000000BC">
      <w:pPr>
        <w:pStyle w:val="Heading2"/>
        <w:spacing w:after="0" w:before="0" w:line="360" w:lineRule="auto"/>
        <w:jc w:val="both"/>
        <w:rPr>
          <w:rFonts w:ascii="Times New Roman" w:cs="Times New Roman" w:eastAsia="Times New Roman" w:hAnsi="Times New Roman"/>
          <w:b w:val="1"/>
          <w:sz w:val="24"/>
          <w:szCs w:val="24"/>
        </w:rPr>
      </w:pPr>
      <w:bookmarkStart w:colFirst="0" w:colLast="0" w:name="_soxrix1hbpex" w:id="30"/>
      <w:bookmarkEnd w:id="30"/>
      <w:r w:rsidDel="00000000" w:rsidR="00000000" w:rsidRPr="00000000">
        <w:rPr>
          <w:rFonts w:ascii="Times New Roman" w:cs="Times New Roman" w:eastAsia="Times New Roman" w:hAnsi="Times New Roman"/>
          <w:b w:val="1"/>
          <w:sz w:val="24"/>
          <w:szCs w:val="24"/>
          <w:rtl w:val="0"/>
        </w:rPr>
        <w:t xml:space="preserve">4.2 Implementation Strategies</w:t>
      </w:r>
    </w:p>
    <w:tbl>
      <w:tblPr>
        <w:tblStyle w:val="Table6"/>
        <w:tblW w:w="9015.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100"/>
        <w:gridCol w:w="1920"/>
        <w:gridCol w:w="2010"/>
        <w:gridCol w:w="1140"/>
        <w:gridCol w:w="1845"/>
        <w:tblGridChange w:id="0">
          <w:tblGrid>
            <w:gridCol w:w="2100"/>
            <w:gridCol w:w="1920"/>
            <w:gridCol w:w="2010"/>
            <w:gridCol w:w="1140"/>
            <w:gridCol w:w="1845"/>
          </w:tblGrid>
        </w:tblGridChange>
      </w:tblGrid>
      <w:tr>
        <w:trPr>
          <w:cantSplit w:val="0"/>
          <w:trHeight w:val="515"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BD">
            <w:pPr>
              <w:spacing w:line="24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Recommendation</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BE">
            <w:pPr>
              <w:spacing w:line="24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Phase</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BF">
            <w:pPr>
              <w:spacing w:line="24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Action</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C0">
            <w:pPr>
              <w:spacing w:line="24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Timeline</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C1">
            <w:pPr>
              <w:spacing w:line="24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Key Deliverables</w:t>
            </w:r>
          </w:p>
        </w:tc>
      </w:tr>
      <w:tr>
        <w:trPr>
          <w:cantSplit w:val="0"/>
          <w:trHeight w:val="1370" w:hRule="atLeast"/>
          <w:tblHeader w:val="0"/>
        </w:trPr>
        <w:tc>
          <w:tcPr>
            <w:vMerge w:val="restart"/>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C2">
            <w:pPr>
              <w:spacing w:line="24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1. Staff Training and Development</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C3">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Phase 1: Needs Assessment</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C4">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Determine where there are gaps in service delivery by analysing personnel competencies.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C5">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 Month</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C6">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Staff surveys, performance reviews</w:t>
            </w:r>
          </w:p>
        </w:tc>
      </w:tr>
      <w:tr>
        <w:trPr>
          <w:cantSplit w:val="0"/>
          <w:trHeight w:val="1640" w:hRule="atLeast"/>
          <w:tblHeader w:val="0"/>
        </w:trPr>
        <w:tc>
          <w:tcPr>
            <w:vMerge w:val="continue"/>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C7">
            <w:pPr>
              <w:widowControl w:val="0"/>
              <w:rPr>
                <w:rFonts w:ascii="Times New Roman" w:cs="Times New Roman" w:eastAsia="Times New Roman" w:hAnsi="Times New Roman"/>
                <w:sz w:val="24"/>
                <w:szCs w:val="24"/>
              </w:rPr>
            </w:pP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C8">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Phase 2: Program Design</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C9">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Come up with individualised lessons on how to handle conflicts, utilise technology, and provide excellent customer service (Kem, 2022). </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CA">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 Months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CB">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Training materials, program schedule</w:t>
            </w:r>
          </w:p>
        </w:tc>
      </w:tr>
      <w:tr>
        <w:trPr>
          <w:cantSplit w:val="0"/>
          <w:trHeight w:val="1370" w:hRule="atLeast"/>
          <w:tblHeader w:val="0"/>
        </w:trPr>
        <w:tc>
          <w:tcPr>
            <w:vMerge w:val="continue"/>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CC">
            <w:pPr>
              <w:widowControl w:val="0"/>
              <w:rPr>
                <w:rFonts w:ascii="Times New Roman" w:cs="Times New Roman" w:eastAsia="Times New Roman" w:hAnsi="Times New Roman"/>
                <w:sz w:val="24"/>
                <w:szCs w:val="24"/>
              </w:rPr>
            </w:pP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CD">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Phase 3: Roll-Out</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CE">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Start with new hires and work their way up to training all employees.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CF">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3-6 Months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D0">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Training sessions, participation records</w:t>
            </w:r>
          </w:p>
        </w:tc>
      </w:tr>
      <w:tr>
        <w:trPr>
          <w:cantSplit w:val="0"/>
          <w:trHeight w:val="1640" w:hRule="atLeast"/>
          <w:tblHeader w:val="0"/>
        </w:trPr>
        <w:tc>
          <w:tcPr>
            <w:vMerge w:val="continue"/>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D1">
            <w:pPr>
              <w:widowControl w:val="0"/>
              <w:rPr>
                <w:rFonts w:ascii="Times New Roman" w:cs="Times New Roman" w:eastAsia="Times New Roman" w:hAnsi="Times New Roman"/>
                <w:sz w:val="24"/>
                <w:szCs w:val="24"/>
              </w:rPr>
            </w:pP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D2">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Phase 4: Ongoing Evaluation</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D3">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Assess the efficacy of the training by means of surveys and performance indicators.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D4">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Ongoing</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D5">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Guest satisfaction surveys, performance reviews</w:t>
            </w:r>
          </w:p>
        </w:tc>
      </w:tr>
      <w:tr>
        <w:trPr>
          <w:cantSplit w:val="0"/>
          <w:trHeight w:val="1640" w:hRule="atLeast"/>
          <w:tblHeader w:val="0"/>
        </w:trPr>
        <w:tc>
          <w:tcPr>
            <w:vMerge w:val="restart"/>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D6">
            <w:pPr>
              <w:spacing w:line="24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2. Implementing Technology Solutions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D7">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Phase 1: Vendor Selection</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D8">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Find reliable providers of digital concierge services and self-check-in kiosks.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D9">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 Month</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DA">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Vendor contracts, compatibility analysis</w:t>
            </w:r>
          </w:p>
        </w:tc>
      </w:tr>
      <w:tr>
        <w:trPr>
          <w:cantSplit w:val="0"/>
          <w:trHeight w:val="1925" w:hRule="atLeast"/>
          <w:tblHeader w:val="0"/>
        </w:trPr>
        <w:tc>
          <w:tcPr>
            <w:vMerge w:val="continue"/>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DB">
            <w:pPr>
              <w:widowControl w:val="0"/>
              <w:rPr>
                <w:rFonts w:ascii="Times New Roman" w:cs="Times New Roman" w:eastAsia="Times New Roman" w:hAnsi="Times New Roman"/>
                <w:sz w:val="24"/>
                <w:szCs w:val="24"/>
              </w:rPr>
            </w:pP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DC">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Phase 2: System Installation</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DD">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Bring the digital concierge app to life and set up kiosks. Hold a low-key launch with invited participants.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DE">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2-3 Months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DF">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Kiosk installation, app launch</w:t>
            </w:r>
          </w:p>
        </w:tc>
      </w:tr>
      <w:tr>
        <w:trPr>
          <w:cantSplit w:val="0"/>
          <w:trHeight w:val="1370" w:hRule="atLeast"/>
          <w:tblHeader w:val="0"/>
        </w:trPr>
        <w:tc>
          <w:tcPr>
            <w:vMerge w:val="continue"/>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E0">
            <w:pPr>
              <w:widowControl w:val="0"/>
              <w:rPr>
                <w:rFonts w:ascii="Times New Roman" w:cs="Times New Roman" w:eastAsia="Times New Roman" w:hAnsi="Times New Roman"/>
                <w:sz w:val="24"/>
                <w:szCs w:val="24"/>
              </w:rPr>
            </w:pP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E1">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Phase 3: Full Launch</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E2">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Install kiosks and an app all around the place, and teach the employees how to utilise them (Aljohi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2024). </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E3">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4-6 Months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E4">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Full system deployment, staff training</w:t>
            </w:r>
          </w:p>
        </w:tc>
      </w:tr>
      <w:tr>
        <w:trPr>
          <w:cantSplit w:val="0"/>
          <w:trHeight w:val="1370" w:hRule="atLeast"/>
          <w:tblHeader w:val="0"/>
        </w:trPr>
        <w:tc>
          <w:tcPr>
            <w:vMerge w:val="continue"/>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E5">
            <w:pPr>
              <w:widowControl w:val="0"/>
              <w:rPr>
                <w:rFonts w:ascii="Times New Roman" w:cs="Times New Roman" w:eastAsia="Times New Roman" w:hAnsi="Times New Roman"/>
                <w:sz w:val="24"/>
                <w:szCs w:val="24"/>
              </w:rPr>
            </w:pP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E6">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Phase 4: Continuous Improvement</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E7">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Improve the user experience by analysing guest data and feedback.</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E8">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Ongoing</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E9">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Feedback analysis, system updates</w:t>
            </w:r>
          </w:p>
        </w:tc>
      </w:tr>
      <w:tr>
        <w:trPr>
          <w:cantSplit w:val="0"/>
          <w:trHeight w:val="1640" w:hRule="atLeast"/>
          <w:tblHeader w:val="0"/>
        </w:trPr>
        <w:tc>
          <w:tcPr>
            <w:vMerge w:val="restart"/>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EA">
            <w:pPr>
              <w:spacing w:line="24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3. Recruitment and Retention Enhancements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EB">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Phase 1: Recruitment Strategy Overhaul</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EC">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Redesign hiring practices to place more emphasis on long-term goals and work-life harmony.</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ED">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 Months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EE">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Updated recruitment strategies, new job postings</w:t>
            </w:r>
          </w:p>
        </w:tc>
      </w:tr>
      <w:tr>
        <w:trPr>
          <w:cantSplit w:val="0"/>
          <w:trHeight w:val="1925" w:hRule="atLeast"/>
          <w:tblHeader w:val="0"/>
        </w:trPr>
        <w:tc>
          <w:tcPr>
            <w:vMerge w:val="continue"/>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EF">
            <w:pPr>
              <w:widowControl w:val="0"/>
              <w:rPr>
                <w:rFonts w:ascii="Times New Roman" w:cs="Times New Roman" w:eastAsia="Times New Roman" w:hAnsi="Times New Roman"/>
                <w:sz w:val="24"/>
                <w:szCs w:val="24"/>
              </w:rPr>
            </w:pP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F0">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Phase 2: Staff Engagement Program</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F1">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Reward programs, mentoring programs, and health programs should be established.</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F2">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3-4 Months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F3">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Program launches, engagement activities</w:t>
            </w:r>
          </w:p>
        </w:tc>
      </w:tr>
      <w:tr>
        <w:trPr>
          <w:cantSplit w:val="0"/>
          <w:trHeight w:val="1370" w:hRule="atLeast"/>
          <w:tblHeader w:val="0"/>
        </w:trPr>
        <w:tc>
          <w:tcPr>
            <w:vMerge w:val="continue"/>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F4">
            <w:pPr>
              <w:widowControl w:val="0"/>
              <w:rPr>
                <w:rFonts w:ascii="Times New Roman" w:cs="Times New Roman" w:eastAsia="Times New Roman" w:hAnsi="Times New Roman"/>
                <w:sz w:val="24"/>
                <w:szCs w:val="24"/>
              </w:rPr>
            </w:pP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F5">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Phase 3: Regular Staff Check-ins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F6">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gauge morale and make adjustments as needed, conduct staff surveys every three months.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F7">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Ongoing</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F8">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Staff surveys, action plans</w:t>
            </w:r>
          </w:p>
        </w:tc>
      </w:tr>
      <w:tr>
        <w:trPr>
          <w:cantSplit w:val="0"/>
          <w:trHeight w:val="1370" w:hRule="atLeast"/>
          <w:tblHeader w:val="0"/>
        </w:trPr>
        <w:tc>
          <w:tcPr>
            <w:vMerge w:val="restart"/>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F9">
            <w:pPr>
              <w:spacing w:line="24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4. Sustainability Initiatives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FA">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Phase 1: Sustainability Audit</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FB">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Look for ways to make things better by doing an audit of their environment.</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FC">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 Month</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FD">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Audit report, sustainability goals</w:t>
            </w:r>
          </w:p>
        </w:tc>
      </w:tr>
      <w:tr>
        <w:trPr>
          <w:cantSplit w:val="0"/>
          <w:trHeight w:val="1925" w:hRule="atLeast"/>
          <w:tblHeader w:val="0"/>
        </w:trPr>
        <w:tc>
          <w:tcPr>
            <w:vMerge w:val="continue"/>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FE">
            <w:pPr>
              <w:widowControl w:val="0"/>
              <w:rPr>
                <w:rFonts w:ascii="Times New Roman" w:cs="Times New Roman" w:eastAsia="Times New Roman" w:hAnsi="Times New Roman"/>
                <w:sz w:val="24"/>
                <w:szCs w:val="24"/>
              </w:rPr>
            </w:pP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FF">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Phase 2: Implementation</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00">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Sustainable food options, water-saving fixtures, and energy-efficient lighting should all be part of the design (Zou </w:t>
            </w:r>
            <w:r w:rsidDel="00000000" w:rsidR="00000000" w:rsidRPr="00000000">
              <w:rPr>
                <w:rFonts w:ascii="Times New Roman" w:cs="Times New Roman" w:eastAsia="Times New Roman" w:hAnsi="Times New Roman"/>
                <w:i w:val="1"/>
                <w:sz w:val="24"/>
                <w:szCs w:val="24"/>
                <w:rtl w:val="0"/>
              </w:rPr>
              <w:t xml:space="preserve">et al., </w:t>
            </w:r>
            <w:r w:rsidDel="00000000" w:rsidR="00000000" w:rsidRPr="00000000">
              <w:rPr>
                <w:rFonts w:ascii="Times New Roman" w:cs="Times New Roman" w:eastAsia="Times New Roman" w:hAnsi="Times New Roman"/>
                <w:sz w:val="24"/>
                <w:szCs w:val="24"/>
                <w:rtl w:val="0"/>
              </w:rPr>
              <w:t xml:space="preserve">2025). </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01">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3-4 Months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02">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New systems in place, sustainable practices</w:t>
            </w:r>
          </w:p>
        </w:tc>
      </w:tr>
      <w:tr>
        <w:trPr>
          <w:cantSplit w:val="0"/>
          <w:trHeight w:val="1925" w:hRule="atLeast"/>
          <w:tblHeader w:val="0"/>
        </w:trPr>
        <w:tc>
          <w:tcPr>
            <w:vMerge w:val="continue"/>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03">
            <w:pPr>
              <w:widowControl w:val="0"/>
              <w:rPr>
                <w:rFonts w:ascii="Times New Roman" w:cs="Times New Roman" w:eastAsia="Times New Roman" w:hAnsi="Times New Roman"/>
                <w:sz w:val="24"/>
                <w:szCs w:val="24"/>
              </w:rPr>
            </w:pP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04">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Phase 3: Communication</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05">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Keep visitors informed about the hotel's sustainable initiatives through digital platforms and in-room materials on a regular basis.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06">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Ongoing</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07">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Guest communication materials</w:t>
            </w:r>
          </w:p>
        </w:tc>
      </w:tr>
      <w:tr>
        <w:trPr>
          <w:cantSplit w:val="0"/>
          <w:trHeight w:val="1640" w:hRule="atLeast"/>
          <w:tblHeader w:val="0"/>
        </w:trPr>
        <w:tc>
          <w:tcPr>
            <w:vMerge w:val="restart"/>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08">
            <w:pPr>
              <w:spacing w:line="24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5. Communication and Feedback Enhancements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09">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Phase 1: System Development</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0A">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Create guest-facing and mobile app feedback systems that work in real-time.</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0B">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 Months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0C">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System integration, app updates</w:t>
            </w:r>
          </w:p>
        </w:tc>
      </w:tr>
      <w:tr>
        <w:trPr>
          <w:cantSplit w:val="0"/>
          <w:trHeight w:val="1370" w:hRule="atLeast"/>
          <w:tblHeader w:val="0"/>
        </w:trPr>
        <w:tc>
          <w:tcPr>
            <w:vMerge w:val="continue"/>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0D">
            <w:pPr>
              <w:widowControl w:val="0"/>
              <w:rPr>
                <w:rFonts w:ascii="Times New Roman" w:cs="Times New Roman" w:eastAsia="Times New Roman" w:hAnsi="Times New Roman"/>
                <w:sz w:val="24"/>
                <w:szCs w:val="24"/>
              </w:rPr>
            </w:pP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0E">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Phase 2: Staff Training</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0F">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Educate workers on how to take and make use of immediate comments (Yeung and Yau, 2022). </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10">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 Month</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11">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Staff training materials, training sessions</w:t>
            </w:r>
          </w:p>
        </w:tc>
      </w:tr>
      <w:tr>
        <w:trPr>
          <w:cantSplit w:val="0"/>
          <w:trHeight w:val="1370" w:hRule="atLeast"/>
          <w:tblHeader w:val="0"/>
        </w:trPr>
        <w:tc>
          <w:tcPr>
            <w:vMerge w:val="continue"/>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12">
            <w:pPr>
              <w:widowControl w:val="0"/>
              <w:rPr>
                <w:rFonts w:ascii="Times New Roman" w:cs="Times New Roman" w:eastAsia="Times New Roman" w:hAnsi="Times New Roman"/>
                <w:sz w:val="24"/>
                <w:szCs w:val="24"/>
              </w:rPr>
            </w:pP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13">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Phase 3: Roll-out and Monitoring</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14">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Refine the level of service provided by keeping an eye on patterns in customer feedback.</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15">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Ongoing</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16">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Feedback monitoring reports, service adjustments</w:t>
            </w:r>
          </w:p>
        </w:tc>
      </w:tr>
    </w:tbl>
    <w:p w:rsidR="00000000" w:rsidDel="00000000" w:rsidP="00000000" w:rsidRDefault="00000000" w:rsidRPr="00000000" w14:paraId="0000011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suggestions are laid forth in a straightforward and organised manner in this table. To facilitate efficient execution, each phase is subdivided into manageable tasks with corresponding due dates and essential deliverables.</w:t>
      </w:r>
    </w:p>
    <w:p w:rsidR="00000000" w:rsidDel="00000000" w:rsidP="00000000" w:rsidRDefault="00000000" w:rsidRPr="00000000" w14:paraId="00000118">
      <w:pPr>
        <w:pStyle w:val="Heading2"/>
        <w:spacing w:after="0" w:before="0" w:line="360" w:lineRule="auto"/>
        <w:jc w:val="both"/>
        <w:rPr>
          <w:rFonts w:ascii="Times New Roman" w:cs="Times New Roman" w:eastAsia="Times New Roman" w:hAnsi="Times New Roman"/>
          <w:b w:val="1"/>
          <w:sz w:val="24"/>
          <w:szCs w:val="24"/>
        </w:rPr>
      </w:pPr>
      <w:bookmarkStart w:colFirst="0" w:colLast="0" w:name="_c17cdb9omvxx" w:id="31"/>
      <w:bookmarkEnd w:id="31"/>
      <w:r w:rsidDel="00000000" w:rsidR="00000000" w:rsidRPr="00000000">
        <w:rPr>
          <w:rFonts w:ascii="Times New Roman" w:cs="Times New Roman" w:eastAsia="Times New Roman" w:hAnsi="Times New Roman"/>
          <w:b w:val="1"/>
          <w:sz w:val="24"/>
          <w:szCs w:val="24"/>
          <w:rtl w:val="0"/>
        </w:rPr>
        <w:t xml:space="preserve">4.3 Change Management Techniques</w:t>
      </w:r>
    </w:p>
    <w:p w:rsidR="00000000" w:rsidDel="00000000" w:rsidP="00000000" w:rsidRDefault="00000000" w:rsidRPr="00000000" w14:paraId="0000011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 methodical strategy for managing change is necessary for carrying out the suggestions. As a result, stakeholders and employees will be more aligned with the strategic goals, and the changes will go more smoothly. The 8-Step Change Model created by Kotter is highly recommended: it is clear, and it prioritises employee participation.</w:t>
      </w:r>
    </w:p>
    <w:p w:rsidR="00000000" w:rsidDel="00000000" w:rsidP="00000000" w:rsidRDefault="00000000" w:rsidRPr="00000000" w14:paraId="0000011A">
      <w:pPr>
        <w:numPr>
          <w:ilvl w:val="0"/>
          <w:numId w:val="11"/>
        </w:numPr>
        <w:spacing w:line="360" w:lineRule="auto"/>
        <w:ind w:left="720" w:hanging="360"/>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Create a Sense of Urgency</w:t>
      </w:r>
    </w:p>
    <w:p w:rsidR="00000000" w:rsidDel="00000000" w:rsidP="00000000" w:rsidRDefault="00000000" w:rsidRPr="00000000" w14:paraId="0000011B">
      <w:pPr>
        <w:spacing w:line="360" w:lineRule="auto"/>
        <w:ind w:left="72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Customer complaints and performance indicators can be used as proof to highlight the dangers of inaction and the rewards of improved service quality (Ngo </w:t>
      </w:r>
      <w:r w:rsidDel="00000000" w:rsidR="00000000" w:rsidRPr="00000000">
        <w:rPr>
          <w:rFonts w:ascii="Times New Roman" w:cs="Times New Roman" w:eastAsia="Times New Roman" w:hAnsi="Times New Roman"/>
          <w:i w:val="1"/>
          <w:sz w:val="24"/>
          <w:szCs w:val="24"/>
          <w:rtl w:val="0"/>
        </w:rPr>
        <w:t xml:space="preserve">et al., </w:t>
      </w:r>
      <w:r w:rsidDel="00000000" w:rsidR="00000000" w:rsidRPr="00000000">
        <w:rPr>
          <w:rFonts w:ascii="Times New Roman" w:cs="Times New Roman" w:eastAsia="Times New Roman" w:hAnsi="Times New Roman"/>
          <w:sz w:val="24"/>
          <w:szCs w:val="24"/>
          <w:rtl w:val="0"/>
        </w:rPr>
        <w:t xml:space="preserve">2024). </w:t>
      </w:r>
    </w:p>
    <w:p w:rsidR="00000000" w:rsidDel="00000000" w:rsidP="00000000" w:rsidRDefault="00000000" w:rsidRPr="00000000" w14:paraId="0000011C">
      <w:pPr>
        <w:numPr>
          <w:ilvl w:val="0"/>
          <w:numId w:val="11"/>
        </w:numPr>
        <w:spacing w:line="360" w:lineRule="auto"/>
        <w:ind w:left="720" w:hanging="360"/>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Form a Powerful Coalition</w:t>
      </w:r>
    </w:p>
    <w:p w:rsidR="00000000" w:rsidDel="00000000" w:rsidP="00000000" w:rsidRDefault="00000000" w:rsidRPr="00000000" w14:paraId="0000011D">
      <w:pPr>
        <w:spacing w:line="360" w:lineRule="auto"/>
        <w:ind w:left="72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spearhead the process, it is recommended to form a change leadership team comprising department heads, HR, and key frontline employees.</w:t>
      </w:r>
    </w:p>
    <w:p w:rsidR="00000000" w:rsidDel="00000000" w:rsidP="00000000" w:rsidRDefault="00000000" w:rsidRPr="00000000" w14:paraId="0000011E">
      <w:pPr>
        <w:numPr>
          <w:ilvl w:val="0"/>
          <w:numId w:val="11"/>
        </w:numPr>
        <w:spacing w:line="360" w:lineRule="auto"/>
        <w:ind w:left="720" w:hanging="360"/>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Create a Vision for Change</w:t>
      </w:r>
    </w:p>
    <w:p w:rsidR="00000000" w:rsidDel="00000000" w:rsidP="00000000" w:rsidRDefault="00000000" w:rsidRPr="00000000" w14:paraId="0000011F">
      <w:pPr>
        <w:spacing w:line="360" w:lineRule="auto"/>
        <w:ind w:left="72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Having a clear vision is essential if the Hilton London Metropole is to aspire to give world-class guest service.</w:t>
      </w:r>
    </w:p>
    <w:p w:rsidR="00000000" w:rsidDel="00000000" w:rsidP="00000000" w:rsidRDefault="00000000" w:rsidRPr="00000000" w14:paraId="00000120">
      <w:pPr>
        <w:numPr>
          <w:ilvl w:val="0"/>
          <w:numId w:val="11"/>
        </w:numPr>
        <w:spacing w:line="360" w:lineRule="auto"/>
        <w:ind w:left="720" w:hanging="360"/>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Communicate the Vision</w:t>
      </w:r>
    </w:p>
    <w:p w:rsidR="00000000" w:rsidDel="00000000" w:rsidP="00000000" w:rsidRDefault="00000000" w:rsidRPr="00000000" w14:paraId="00000121">
      <w:pPr>
        <w:spacing w:line="360" w:lineRule="auto"/>
        <w:ind w:left="72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Visual materials, internal newsletters, and team meetings can all serve to enlighten and engage staff members.</w:t>
      </w:r>
    </w:p>
    <w:p w:rsidR="00000000" w:rsidDel="00000000" w:rsidP="00000000" w:rsidRDefault="00000000" w:rsidRPr="00000000" w14:paraId="00000122">
      <w:pPr>
        <w:numPr>
          <w:ilvl w:val="0"/>
          <w:numId w:val="11"/>
        </w:numPr>
        <w:spacing w:line="360" w:lineRule="auto"/>
        <w:ind w:left="720" w:hanging="360"/>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Empower Broad-Based Action</w:t>
      </w:r>
    </w:p>
    <w:p w:rsidR="00000000" w:rsidDel="00000000" w:rsidP="00000000" w:rsidRDefault="00000000" w:rsidRPr="00000000" w14:paraId="00000123">
      <w:pPr>
        <w:spacing w:line="360" w:lineRule="auto"/>
        <w:ind w:left="72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Get rid of things like outdated policies and a lack of training that are holding people back from making changes (Dobbin and Kalev, 2022). It is important to foster innovation and empower decision-makers at the frontline.</w:t>
      </w:r>
    </w:p>
    <w:p w:rsidR="00000000" w:rsidDel="00000000" w:rsidP="00000000" w:rsidRDefault="00000000" w:rsidRPr="00000000" w14:paraId="00000124">
      <w:pPr>
        <w:numPr>
          <w:ilvl w:val="0"/>
          <w:numId w:val="11"/>
        </w:numPr>
        <w:spacing w:line="360" w:lineRule="auto"/>
        <w:ind w:left="720" w:hanging="360"/>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Generate Short-Term Wins</w:t>
      </w:r>
    </w:p>
    <w:p w:rsidR="00000000" w:rsidDel="00000000" w:rsidP="00000000" w:rsidRDefault="00000000" w:rsidRPr="00000000" w14:paraId="00000125">
      <w:pPr>
        <w:spacing w:line="360" w:lineRule="auto"/>
        <w:ind w:left="72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Better visitor feedback or efficient technology installation are examples of early successes that should be celebrated in order to start creating momentum.</w:t>
      </w:r>
    </w:p>
    <w:p w:rsidR="00000000" w:rsidDel="00000000" w:rsidP="00000000" w:rsidRDefault="00000000" w:rsidRPr="00000000" w14:paraId="00000126">
      <w:pPr>
        <w:numPr>
          <w:ilvl w:val="0"/>
          <w:numId w:val="11"/>
        </w:numPr>
        <w:spacing w:line="360" w:lineRule="auto"/>
        <w:ind w:left="720" w:hanging="360"/>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Consolidate Gains and Produce More Change</w:t>
      </w:r>
    </w:p>
    <w:p w:rsidR="00000000" w:rsidDel="00000000" w:rsidP="00000000" w:rsidRDefault="00000000" w:rsidRPr="00000000" w14:paraId="00000127">
      <w:pPr>
        <w:spacing w:line="360" w:lineRule="auto"/>
        <w:ind w:left="72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build on the early outcomes that have been obtained, expand efforts across the entire hotel and refine processes based on feedback.</w:t>
      </w:r>
    </w:p>
    <w:p w:rsidR="00000000" w:rsidDel="00000000" w:rsidP="00000000" w:rsidRDefault="00000000" w:rsidRPr="00000000" w14:paraId="00000128">
      <w:pPr>
        <w:numPr>
          <w:ilvl w:val="0"/>
          <w:numId w:val="11"/>
        </w:numPr>
        <w:spacing w:line="360" w:lineRule="auto"/>
        <w:ind w:left="720" w:hanging="360"/>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Anchor Changes in Corporate Culture</w:t>
      </w:r>
    </w:p>
    <w:p w:rsidR="00000000" w:rsidDel="00000000" w:rsidP="00000000" w:rsidRDefault="00000000" w:rsidRPr="00000000" w14:paraId="00000129">
      <w:pPr>
        <w:spacing w:line="360" w:lineRule="auto"/>
        <w:ind w:left="72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Reinforcing the new habits and incorporating them into performance evaluations and hiring practices will ensure their long-term influence (Wiley, 2024).</w:t>
      </w:r>
    </w:p>
    <w:p w:rsidR="00000000" w:rsidDel="00000000" w:rsidP="00000000" w:rsidRDefault="00000000" w:rsidRPr="00000000" w14:paraId="0000012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Designed for service-based contexts, this method prioritises people-first transformation. At the individual level, it is also feasible to use supplementary tools like ADKAR (Awareness, Desire, Knowledge, Ability, and Reinforcement) to ensure that employees understand and engage in change initiatives.</w:t>
      </w:r>
    </w:p>
    <w:p w:rsidR="00000000" w:rsidDel="00000000" w:rsidP="00000000" w:rsidRDefault="00000000" w:rsidRPr="00000000" w14:paraId="0000012B">
      <w:pPr>
        <w:pStyle w:val="Heading2"/>
        <w:spacing w:after="0" w:before="0" w:line="360" w:lineRule="auto"/>
        <w:jc w:val="both"/>
        <w:rPr>
          <w:rFonts w:ascii="Times New Roman" w:cs="Times New Roman" w:eastAsia="Times New Roman" w:hAnsi="Times New Roman"/>
          <w:b w:val="1"/>
          <w:sz w:val="24"/>
          <w:szCs w:val="24"/>
        </w:rPr>
      </w:pPr>
      <w:bookmarkStart w:colFirst="0" w:colLast="0" w:name="_mqemwy1tu3l" w:id="32"/>
      <w:bookmarkEnd w:id="32"/>
      <w:r w:rsidDel="00000000" w:rsidR="00000000" w:rsidRPr="00000000">
        <w:rPr>
          <w:rFonts w:ascii="Times New Roman" w:cs="Times New Roman" w:eastAsia="Times New Roman" w:hAnsi="Times New Roman"/>
          <w:b w:val="1"/>
          <w:sz w:val="24"/>
          <w:szCs w:val="24"/>
          <w:rtl w:val="0"/>
        </w:rPr>
        <w:t xml:space="preserve">4.4 Cost Analysis</w:t>
      </w:r>
    </w:p>
    <w:p w:rsidR="00000000" w:rsidDel="00000000" w:rsidP="00000000" w:rsidRDefault="00000000" w:rsidRPr="00000000" w14:paraId="0000012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 preliminary cost estimation has been conducted, aligned with Hilton London Metropole’s scale and revenue potential:</w:t>
      </w:r>
    </w:p>
    <w:tbl>
      <w:tblPr>
        <w:tblStyle w:val="Table7"/>
        <w:tblW w:w="9025.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990"/>
        <w:gridCol w:w="1999"/>
        <w:gridCol w:w="4036"/>
        <w:tblGridChange w:id="0">
          <w:tblGrid>
            <w:gridCol w:w="2990"/>
            <w:gridCol w:w="1999"/>
            <w:gridCol w:w="4036"/>
          </w:tblGrid>
        </w:tblGridChange>
      </w:tblGrid>
      <w:tr>
        <w:trPr>
          <w:cantSplit w:val="0"/>
          <w:trHeight w:val="80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2D">
            <w:pPr>
              <w:spacing w:line="24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Recommendation</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2E">
            <w:pPr>
              <w:spacing w:line="24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Estimated Cost (GBP)</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2F">
            <w:pPr>
              <w:spacing w:line="24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Rationale</w:t>
            </w:r>
          </w:p>
        </w:tc>
      </w:tr>
      <w:tr>
        <w:trPr>
          <w:cantSplit w:val="0"/>
          <w:trHeight w:val="80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30">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 Program for the Instruction of Staff (in the First Year)</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31">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£50,000</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32">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Instructors, materials, and training sessions from outside sources for more than two hundred staff</w:t>
            </w:r>
          </w:p>
        </w:tc>
      </w:tr>
      <w:tr>
        <w:trPr>
          <w:cantSplit w:val="0"/>
          <w:trHeight w:val="80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33">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Programmes for the Recruitment and Retention of Employees Through the Use</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34">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£75,000</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35">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Acquisition of software, installation of software, integration of software, and licensing of software systems</w:t>
            </w:r>
          </w:p>
        </w:tc>
      </w:tr>
      <w:tr>
        <w:trPr>
          <w:cantSplit w:val="0"/>
          <w:trHeight w:val="80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36">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Digital Concierge Information and Kiosks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37">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£30,000</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38">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Consulting services for human resources, job advertisements, and employee wellness programs (Kovács and Zarándné, 2022). </w:t>
            </w:r>
          </w:p>
        </w:tc>
      </w:tr>
      <w:tr>
        <w:trPr>
          <w:cantSplit w:val="0"/>
          <w:trHeight w:val="80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39">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Changes to the Environmental Sustainability</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3A">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£40,000</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3B">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things that are friendly to the environment, water-saving gadgets, LED installations, and so on.</w:t>
            </w:r>
          </w:p>
        </w:tc>
      </w:tr>
      <w:tr>
        <w:trPr>
          <w:cantSplit w:val="0"/>
          <w:trHeight w:val="80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3C">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Process of Including Feedback Within the System</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3D">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£15,000</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3E">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In addition to the protection of guest information, system updates and user interface design are also included.</w:t>
            </w:r>
          </w:p>
        </w:tc>
      </w:tr>
    </w:tbl>
    <w:p w:rsidR="00000000" w:rsidDel="00000000" w:rsidP="00000000" w:rsidRDefault="00000000" w:rsidRPr="00000000" w14:paraId="0000013F">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140">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141">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Total Estimated Cost: £210,000 (one-off and Year 1 costs)</w:t>
      </w:r>
    </w:p>
    <w:p w:rsidR="00000000" w:rsidDel="00000000" w:rsidP="00000000" w:rsidRDefault="00000000" w:rsidRPr="00000000" w14:paraId="0000014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These expenditures are in line with the hotel's size (more than 1,000 rooms) and should pay off in the end with increased productivity, customer satisfaction, and income from returning guests. Reduced utility bills and increased operating efficiency are two ways in which many of the efforts, like sustainability enhancements, end up saving money (Javaid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2022). </w:t>
      </w:r>
    </w:p>
    <w:p w:rsidR="00000000" w:rsidDel="00000000" w:rsidP="00000000" w:rsidRDefault="00000000" w:rsidRPr="00000000" w14:paraId="00000143">
      <w:pPr>
        <w:pStyle w:val="Heading2"/>
        <w:spacing w:after="0" w:before="0" w:line="360" w:lineRule="auto"/>
        <w:jc w:val="both"/>
        <w:rPr>
          <w:rFonts w:ascii="Times New Roman" w:cs="Times New Roman" w:eastAsia="Times New Roman" w:hAnsi="Times New Roman"/>
          <w:b w:val="1"/>
          <w:sz w:val="24"/>
          <w:szCs w:val="24"/>
        </w:rPr>
      </w:pPr>
      <w:bookmarkStart w:colFirst="0" w:colLast="0" w:name="_vpn4ozcje7rd" w:id="33"/>
      <w:bookmarkEnd w:id="33"/>
      <w:r w:rsidDel="00000000" w:rsidR="00000000" w:rsidRPr="00000000">
        <w:rPr>
          <w:rFonts w:ascii="Times New Roman" w:cs="Times New Roman" w:eastAsia="Times New Roman" w:hAnsi="Times New Roman"/>
          <w:b w:val="1"/>
          <w:sz w:val="24"/>
          <w:szCs w:val="24"/>
          <w:rtl w:val="0"/>
        </w:rPr>
        <w:t xml:space="preserve">4.5 Impact Measurement / Success Evaluation</w:t>
      </w:r>
    </w:p>
    <w:p w:rsidR="00000000" w:rsidDel="00000000" w:rsidP="00000000" w:rsidRDefault="00000000" w:rsidRPr="00000000" w14:paraId="0000014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 combination of quantitative and qualitative key performance indicators (KPIs) will be tracked over the course of a year in order to evaluate the effectiveness of the initiatives that have been put into action:</w:t>
      </w:r>
    </w:p>
    <w:p w:rsidR="00000000" w:rsidDel="00000000" w:rsidP="00000000" w:rsidRDefault="00000000" w:rsidRPr="00000000" w14:paraId="0000014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KPIS that stand for key performance indicators:</w:t>
      </w:r>
    </w:p>
    <w:p w:rsidR="00000000" w:rsidDel="00000000" w:rsidP="00000000" w:rsidRDefault="00000000" w:rsidRPr="00000000" w14:paraId="00000146">
      <w:pPr>
        <w:numPr>
          <w:ilvl w:val="0"/>
          <w:numId w:val="10"/>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Scores for the Satisfaction of Guests (GSS): One-fifth within a year is the target, which will be monitored through Hilton Honours surveys.</w:t>
      </w:r>
    </w:p>
    <w:p w:rsidR="00000000" w:rsidDel="00000000" w:rsidP="00000000" w:rsidRDefault="00000000" w:rsidRPr="00000000" w14:paraId="00000147">
      <w:pPr>
        <w:numPr>
          <w:ilvl w:val="0"/>
          <w:numId w:val="10"/>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average rate of employee retention is: Increase from 65 per cent to 80 per cent on an annual basis (People Keep, 2025).</w:t>
      </w:r>
    </w:p>
    <w:p w:rsidR="00000000" w:rsidDel="00000000" w:rsidP="00000000" w:rsidRDefault="00000000" w:rsidRPr="00000000" w14:paraId="00000148">
      <w:pPr>
        <w:numPr>
          <w:ilvl w:val="0"/>
          <w:numId w:val="10"/>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(TripAdvisor and Google) Ratings and Reviews Found Online: The goal is to raise the rating from 3.9 to 4.3 stars.</w:t>
      </w:r>
    </w:p>
    <w:p w:rsidR="00000000" w:rsidDel="00000000" w:rsidP="00000000" w:rsidRDefault="00000000" w:rsidRPr="00000000" w14:paraId="00000149">
      <w:pPr>
        <w:numPr>
          <w:ilvl w:val="0"/>
          <w:numId w:val="10"/>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 reduction in the check-in time: The goal is to reduce wait times during peak hours by thirty per cent.</w:t>
      </w:r>
    </w:p>
    <w:p w:rsidR="00000000" w:rsidDel="00000000" w:rsidP="00000000" w:rsidRDefault="00000000" w:rsidRPr="00000000" w14:paraId="0000014A">
      <w:pPr>
        <w:numPr>
          <w:ilvl w:val="0"/>
          <w:numId w:val="10"/>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 Rate for Repeat Bookings: +10% year-over-year growth among Hilton Honours members is the target (Statista, 2025).</w:t>
      </w:r>
    </w:p>
    <w:p w:rsidR="00000000" w:rsidDel="00000000" w:rsidP="00000000" w:rsidRDefault="00000000" w:rsidRPr="00000000" w14:paraId="0000014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Instruments for Measuring:</w:t>
      </w:r>
    </w:p>
    <w:p w:rsidR="00000000" w:rsidDel="00000000" w:rsidP="00000000" w:rsidRDefault="00000000" w:rsidRPr="00000000" w14:paraId="0000014C">
      <w:pPr>
        <w:numPr>
          <w:ilvl w:val="0"/>
          <w:numId w:val="1"/>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Regular surveys of the satisfaction of both guests and staff</w:t>
      </w:r>
    </w:p>
    <w:p w:rsidR="00000000" w:rsidDel="00000000" w:rsidP="00000000" w:rsidRDefault="00000000" w:rsidRPr="00000000" w14:paraId="0000014D">
      <w:pPr>
        <w:numPr>
          <w:ilvl w:val="0"/>
          <w:numId w:val="1"/>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Operations and technical system reporting on a monthly basis</w:t>
      </w:r>
    </w:p>
    <w:p w:rsidR="00000000" w:rsidDel="00000000" w:rsidP="00000000" w:rsidRDefault="00000000" w:rsidRPr="00000000" w14:paraId="0000014E">
      <w:pPr>
        <w:numPr>
          <w:ilvl w:val="0"/>
          <w:numId w:val="1"/>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evaluation of the return on investment is based on a biannual financial performance study.</w:t>
      </w:r>
    </w:p>
    <w:p w:rsidR="00000000" w:rsidDel="00000000" w:rsidP="00000000" w:rsidRDefault="00000000" w:rsidRPr="00000000" w14:paraId="0000014F">
      <w:pPr>
        <w:numPr>
          <w:ilvl w:val="0"/>
          <w:numId w:val="1"/>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Audits are conducted by a mystery guest to ensure that the service is consistent (Habraken, 2024). </w:t>
      </w:r>
    </w:p>
    <w:p w:rsidR="00000000" w:rsidDel="00000000" w:rsidP="00000000" w:rsidRDefault="00000000" w:rsidRPr="00000000" w14:paraId="0000015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Reviewing the implementation strategy on a regular basis at the three, six, and twelve-month marks will assist refine the approach and solve any issues that were not anticipated.</w:t>
      </w:r>
    </w:p>
    <w:p w:rsidR="00000000" w:rsidDel="00000000" w:rsidP="00000000" w:rsidRDefault="00000000" w:rsidRPr="00000000" w14:paraId="00000151">
      <w:pPr>
        <w:pStyle w:val="Heading2"/>
        <w:spacing w:after="0" w:before="0" w:line="360" w:lineRule="auto"/>
        <w:jc w:val="both"/>
        <w:rPr>
          <w:rFonts w:ascii="Times New Roman" w:cs="Times New Roman" w:eastAsia="Times New Roman" w:hAnsi="Times New Roman"/>
          <w:b w:val="1"/>
          <w:sz w:val="24"/>
          <w:szCs w:val="24"/>
        </w:rPr>
      </w:pPr>
      <w:bookmarkStart w:colFirst="0" w:colLast="0" w:name="_xzinpsdl34hf" w:id="34"/>
      <w:bookmarkEnd w:id="34"/>
      <w:r w:rsidDel="00000000" w:rsidR="00000000" w:rsidRPr="00000000">
        <w:rPr>
          <w:rFonts w:ascii="Times New Roman" w:cs="Times New Roman" w:eastAsia="Times New Roman" w:hAnsi="Times New Roman"/>
          <w:b w:val="1"/>
          <w:sz w:val="24"/>
          <w:szCs w:val="24"/>
          <w:rtl w:val="0"/>
        </w:rPr>
        <w:t xml:space="preserve">4.6 Expected Benefits</w:t>
      </w:r>
    </w:p>
    <w:p w:rsidR="00000000" w:rsidDel="00000000" w:rsidP="00000000" w:rsidRDefault="00000000" w:rsidRPr="00000000" w14:paraId="0000015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Hilton London Metropole will get both real and perceived value from these strategies:</w:t>
      </w:r>
    </w:p>
    <w:p w:rsidR="00000000" w:rsidDel="00000000" w:rsidP="00000000" w:rsidRDefault="00000000" w:rsidRPr="00000000" w14:paraId="00000153">
      <w:pPr>
        <w:numPr>
          <w:ilvl w:val="0"/>
          <w:numId w:val="4"/>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Observable: Better retention rates lead to lower recruitment costs, more money in the bank thanks to satisfied customers and word-of-mouth advertising, and long-term cost savings from environmentally responsible business practices.</w:t>
      </w:r>
    </w:p>
    <w:p w:rsidR="00000000" w:rsidDel="00000000" w:rsidP="00000000" w:rsidRDefault="00000000" w:rsidRPr="00000000" w14:paraId="00000154">
      <w:pPr>
        <w:numPr>
          <w:ilvl w:val="0"/>
          <w:numId w:val="4"/>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Intangible: The intangible benefits include a more positive reputation as an employer, more loyal guests, higher morale in the workplace, and a leg up in the London hospitality industry (Spencer James Group, 2025).</w:t>
      </w:r>
    </w:p>
    <w:p w:rsidR="00000000" w:rsidDel="00000000" w:rsidP="00000000" w:rsidRDefault="00000000" w:rsidRPr="00000000" w14:paraId="0000015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Positioning the London Metropole as a flagship property and reinforcing Hilton's global brand values, the result is a guest experience that is changed through consistency, innovation, and service excellence.</w:t>
      </w:r>
    </w:p>
    <w:p w:rsidR="00000000" w:rsidDel="00000000" w:rsidP="00000000" w:rsidRDefault="00000000" w:rsidRPr="00000000" w14:paraId="00000156">
      <w:pPr>
        <w:pStyle w:val="Heading1"/>
        <w:spacing w:after="0" w:before="0" w:line="360" w:lineRule="auto"/>
        <w:jc w:val="both"/>
        <w:rPr>
          <w:rFonts w:ascii="Times New Roman" w:cs="Times New Roman" w:eastAsia="Times New Roman" w:hAnsi="Times New Roman"/>
          <w:b w:val="1"/>
          <w:sz w:val="28"/>
          <w:szCs w:val="28"/>
        </w:rPr>
      </w:pPr>
      <w:bookmarkStart w:colFirst="0" w:colLast="0" w:name="_w1d2x9nat80t" w:id="35"/>
      <w:bookmarkEnd w:id="35"/>
      <w:r w:rsidDel="00000000" w:rsidR="00000000" w:rsidRPr="00000000">
        <w:rPr>
          <w:rFonts w:ascii="Times New Roman" w:cs="Times New Roman" w:eastAsia="Times New Roman" w:hAnsi="Times New Roman"/>
          <w:b w:val="1"/>
          <w:sz w:val="28"/>
          <w:szCs w:val="28"/>
          <w:rtl w:val="0"/>
        </w:rPr>
        <w:t xml:space="preserve">5. Action Plan</w:t>
      </w:r>
    </w:p>
    <w:tbl>
      <w:tblPr>
        <w:tblStyle w:val="Table8"/>
        <w:tblW w:w="912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525"/>
        <w:gridCol w:w="1680"/>
        <w:gridCol w:w="2010"/>
        <w:gridCol w:w="1755"/>
        <w:gridCol w:w="855"/>
        <w:gridCol w:w="1335"/>
        <w:gridCol w:w="960"/>
        <w:tblGridChange w:id="0">
          <w:tblGrid>
            <w:gridCol w:w="525"/>
            <w:gridCol w:w="1680"/>
            <w:gridCol w:w="2010"/>
            <w:gridCol w:w="1755"/>
            <w:gridCol w:w="855"/>
            <w:gridCol w:w="1335"/>
            <w:gridCol w:w="960"/>
          </w:tblGrid>
        </w:tblGridChange>
      </w:tblGrid>
      <w:tr>
        <w:trPr>
          <w:cantSplit w:val="0"/>
          <w:trHeight w:val="80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57">
            <w:pPr>
              <w:spacing w:line="24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No.</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58">
            <w:pPr>
              <w:spacing w:line="24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Problem Identified</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59">
            <w:pPr>
              <w:spacing w:line="24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Solution</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5A">
            <w:pPr>
              <w:spacing w:line="24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Desired Outcome</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5B">
            <w:pPr>
              <w:spacing w:line="24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Time Scale</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5C">
            <w:pPr>
              <w:spacing w:line="24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Completion Date</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5D">
            <w:pPr>
              <w:spacing w:line="24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Budget</w:t>
            </w:r>
          </w:p>
        </w:tc>
      </w:tr>
      <w:tr>
        <w:trPr>
          <w:cantSplit w:val="0"/>
          <w:trHeight w:val="221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5E">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5F">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High staff turnover and poor morale</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60">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Structured onboarding, wellness workshops held on a regular basis, and the introduction of performance incentives should be implemented.</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61">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Increased employee retention (from 65 percent to 80 percent), improved morale, and decreased expenditures associated with recruitment (Statista, 2024)</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62">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 months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63">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20/12/2025</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64">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£30,000</w:t>
            </w:r>
          </w:p>
        </w:tc>
      </w:tr>
      <w:tr>
        <w:trPr>
          <w:cantSplit w:val="0"/>
          <w:trHeight w:val="1925"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65">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66">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Poor guest service feedback</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67">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Retraining of customer service representatives with the use of hospitality consultants, with Hilton standards' backing</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68">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 a result of an increase of fifteen percent in guest satisfaction scores, good internet reviews, and repeat business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69">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4 months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6A">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15/10/2025</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6B">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£50,000</w:t>
            </w:r>
          </w:p>
        </w:tc>
      </w:tr>
      <w:tr>
        <w:trPr>
          <w:cantSplit w:val="0"/>
          <w:trHeight w:val="137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6C">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6D">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Inefficient check-in process at peak times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6E">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 is recommended to implement mobile check-in capabilities and digital kiosks.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6F">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average check-in time was cut by 30%, and the guest experience was improved (Statista, 2025).</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70">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 months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71">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01/09/2025</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72">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£75,000</w:t>
            </w:r>
          </w:p>
        </w:tc>
      </w:tr>
      <w:tr>
        <w:trPr>
          <w:cantSplit w:val="0"/>
          <w:trHeight w:val="1925"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73">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4</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74">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Outdated internal communication</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75">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Implement a digital noticeboard for personnel as well as an app for team communication.</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76">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Internal communications have been streamlined, and departmental cooperation has been strengthened.</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77">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 months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78">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01/08/2025</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79">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£10,000</w:t>
            </w:r>
          </w:p>
        </w:tc>
      </w:tr>
      <w:tr>
        <w:trPr>
          <w:cantSplit w:val="0"/>
          <w:trHeight w:val="1925"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7A">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7B">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Weak sustainability practices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7C">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Invest in energy-efficient lighting, cut down on single-use plastics, and provide environmentally conscious options for guests.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7D">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Reduced utility costs, enhanced environmental, social, and governance (ESG) reputation, and increased attraction to environmentally aware tourists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7E">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 months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7F">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01/11/2025</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80">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£40,000</w:t>
            </w:r>
          </w:p>
        </w:tc>
      </w:tr>
      <w:tr>
        <w:trPr>
          <w:cantSplit w:val="0"/>
          <w:trHeight w:val="1925"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81">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82">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Lack of real-time feedback channels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83">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Incorporate a digital mechanism for giving feedback to guests into both the mobile application and the website.</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84">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 quicker reaction to problems, increased levels of customer satisfaction and retention, and improved procedures for service recovery</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85">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 months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86">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15/08/2025</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87">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£15,000</w:t>
            </w:r>
          </w:p>
        </w:tc>
      </w:tr>
    </w:tbl>
    <w:p w:rsidR="00000000" w:rsidDel="00000000" w:rsidP="00000000" w:rsidRDefault="00000000" w:rsidRPr="00000000" w14:paraId="0000018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Total Estimated Budget: £220,000</w:t>
      </w:r>
      <w:r w:rsidDel="00000000" w:rsidR="00000000" w:rsidRPr="00000000">
        <w:rPr>
          <w:rtl w:val="0"/>
        </w:rPr>
      </w:r>
    </w:p>
    <w:p w:rsidR="00000000" w:rsidDel="00000000" w:rsidP="00000000" w:rsidRDefault="00000000" w:rsidRPr="00000000" w14:paraId="0000018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order to increase performance and customer happiness, the hotel has developed an Action Plan to address several operational difficulties. This plan contains a series of focused solutions. The plan's first step is to address low morale and excessive worker turnover by suggesting wellness workshops, performance incentives, and structured onboarding. Within six months, the goal is to increase staff retention from 65% to 80% (Statista, 2024). The plan's goal is to increase guest satisfaction scores by 15% in four months by addressing negative service comments and recommending customer service re-training that is backed by Hilton standards (Statista, 2025). The introduction of digital kiosks and mobile check-in choices will help alleviate the inefficiencies that occur during peak check-in hours. Within three months, the check-in time will be reduced by 30% (Statista, 2025). Our goal is to increase coordination within two months by modernising the antiquated internal communication system with a team communication software and digital noticeboards. Environmentally friendly changes will help improve sustainability practices, and a computerised feedback system that works in real-time will make problem-solving much faster.</w:t>
      </w:r>
    </w:p>
    <w:p w:rsidR="00000000" w:rsidDel="00000000" w:rsidP="00000000" w:rsidRDefault="00000000" w:rsidRPr="00000000" w14:paraId="0000018A">
      <w:pPr>
        <w:pStyle w:val="Heading1"/>
        <w:spacing w:after="0" w:before="0" w:line="360" w:lineRule="auto"/>
        <w:jc w:val="both"/>
        <w:rPr>
          <w:rFonts w:ascii="Times New Roman" w:cs="Times New Roman" w:eastAsia="Times New Roman" w:hAnsi="Times New Roman"/>
          <w:b w:val="1"/>
          <w:sz w:val="28"/>
          <w:szCs w:val="28"/>
        </w:rPr>
      </w:pPr>
      <w:bookmarkStart w:colFirst="0" w:colLast="0" w:name="_jyu5dkwiowt" w:id="36"/>
      <w:bookmarkEnd w:id="36"/>
      <w:r w:rsidDel="00000000" w:rsidR="00000000" w:rsidRPr="00000000">
        <w:rPr>
          <w:rFonts w:ascii="Times New Roman" w:cs="Times New Roman" w:eastAsia="Times New Roman" w:hAnsi="Times New Roman"/>
          <w:b w:val="1"/>
          <w:sz w:val="28"/>
          <w:szCs w:val="28"/>
          <w:rtl w:val="0"/>
        </w:rPr>
        <w:t xml:space="preserve">6. Conclusion</w:t>
      </w:r>
    </w:p>
    <w:p w:rsidR="00000000" w:rsidDel="00000000" w:rsidP="00000000" w:rsidRDefault="00000000" w:rsidRPr="00000000" w14:paraId="0000018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consulting study closely examined operational and service problems at Hilton London Metropole. The hotel in a competitive market has suffered with high staff turnover, declining visitor satisfaction, and operational inefficiencies in key service areas, including check-in. Among the biggest and most recognisable Hilton hotels in Europe. Using the STEEPLED, SWOT, and TOWS models, a comprehensive analysis sought out and evaluated the underlying reasons for these challenges. Rising client expectations, modern hospitality technologies, and post-pandemic employment changes challenge the hotel. Internal service delivery and worker morale might be affected by insufficient training, antiquated guest interaction policies, and poor communication. Still, the Hilton London Metropole presents a great central London site, great brand loyalty, lots of meeting and gathering space, and a devoted customer base resulting from Hilton Honours. When used wisely, these resources help the hotel to develop and recover. There exists various evidence-based suggestions. With a quick feedback system, passenger experiences with digital self-check-in kiosks, and workforce onboarding and retention with wellness programs and organised training, it aims to increase service recovery. Long-term effectiveness and brand positioning depend on improving internal communication and sustainability. Kotter's 8-Step Change Management Process and other strategic change management techniques can assist in applying these concepts. The model and ADKAR go into great detail regarding staff involvement and departmental alignment. About £220,000 will go to internal systems, sustainability, technology, and training. These expenses are commensurate with the size and income potential of the hotel, so they should enhance client retention, staff output, and online presence. Apart from handling challenges, Elevate Hospitality Consulting Ltd. guides Hilton London Metropole in creating a sustainable excellence plan. By means of research on what works and what does not in the company, the hotel has developed a set of customised recommendations to keep ahead in the competitive hotel market of London. Our realistic, scalable, brand-aligned, data-driven initiatives satisfy us. They also reflect the worldwide vision of the company. The Hilton London Metropole might once more draw business and leisure visitors with its outstanding market position, sophisticated infrastructure, and devoted client base. Employing this consulting study and its pragmatic suggestions, the hotel will be able to overcome challenges and raise operational effectiveness and customer happiness. Thanks, Hilton London Metropole management, for allowing us to work on this significant project under Elevate Hospitality Consulting Ltd. The advice will be valuable, and it eagerly anticipates the next chances to enable individuals to reach their strategic goals.</w:t>
      </w:r>
    </w:p>
    <w:p w:rsidR="00000000" w:rsidDel="00000000" w:rsidP="00000000" w:rsidRDefault="00000000" w:rsidRPr="00000000" w14:paraId="0000018C">
      <w:pPr>
        <w:pStyle w:val="Heading1"/>
        <w:spacing w:after="0" w:before="0" w:line="360" w:lineRule="auto"/>
        <w:jc w:val="both"/>
        <w:rPr>
          <w:rFonts w:ascii="Times New Roman" w:cs="Times New Roman" w:eastAsia="Times New Roman" w:hAnsi="Times New Roman"/>
          <w:b w:val="1"/>
          <w:sz w:val="28"/>
          <w:szCs w:val="28"/>
        </w:rPr>
      </w:pPr>
      <w:bookmarkStart w:colFirst="0" w:colLast="0" w:name="_3c1mddyypm3y" w:id="37"/>
      <w:bookmarkEnd w:id="37"/>
      <w:r w:rsidDel="00000000" w:rsidR="00000000" w:rsidRPr="00000000">
        <w:br w:type="page"/>
      </w:r>
      <w:r w:rsidDel="00000000" w:rsidR="00000000" w:rsidRPr="00000000">
        <w:rPr>
          <w:rtl w:val="0"/>
        </w:rPr>
      </w:r>
    </w:p>
    <w:p w:rsidR="00000000" w:rsidDel="00000000" w:rsidP="00000000" w:rsidRDefault="00000000" w:rsidRPr="00000000" w14:paraId="0000018D">
      <w:pPr>
        <w:pStyle w:val="Heading1"/>
        <w:spacing w:after="0" w:before="0" w:line="360" w:lineRule="auto"/>
        <w:jc w:val="both"/>
        <w:rPr>
          <w:rFonts w:ascii="Times New Roman" w:cs="Times New Roman" w:eastAsia="Times New Roman" w:hAnsi="Times New Roman"/>
          <w:b w:val="1"/>
          <w:sz w:val="28"/>
          <w:szCs w:val="28"/>
        </w:rPr>
      </w:pPr>
      <w:bookmarkStart w:colFirst="0" w:colLast="0" w:name="_r4wpi1i8ovrk" w:id="38"/>
      <w:bookmarkEnd w:id="38"/>
      <w:r w:rsidDel="00000000" w:rsidR="00000000" w:rsidRPr="00000000">
        <w:rPr>
          <w:rFonts w:ascii="Times New Roman" w:cs="Times New Roman" w:eastAsia="Times New Roman" w:hAnsi="Times New Roman"/>
          <w:b w:val="1"/>
          <w:sz w:val="28"/>
          <w:szCs w:val="28"/>
          <w:rtl w:val="0"/>
        </w:rPr>
        <w:t xml:space="preserve">7. References</w:t>
      </w:r>
    </w:p>
    <w:p w:rsidR="00000000" w:rsidDel="00000000" w:rsidP="00000000" w:rsidRDefault="00000000" w:rsidRPr="00000000" w14:paraId="0000018E">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Aljohi, A.S., Alzaabi, S.S., Almahri, R.S., Tsaramirsis, G. and Hamid, O.H., (2024). Navigating the Divide: Digital Kiosks and Mobile Apps as Complementary Human-Centered Self-Service Technologies. </w:t>
      </w:r>
      <w:r w:rsidDel="00000000" w:rsidR="00000000" w:rsidRPr="00000000">
        <w:rPr>
          <w:rFonts w:ascii="Times New Roman" w:cs="Times New Roman" w:eastAsia="Times New Roman" w:hAnsi="Times New Roman"/>
          <w:i w:val="1"/>
          <w:sz w:val="24"/>
          <w:szCs w:val="24"/>
          <w:highlight w:val="white"/>
          <w:rtl w:val="0"/>
        </w:rPr>
        <w:t xml:space="preserve">Engineering Proceedings</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59</w:t>
      </w:r>
      <w:r w:rsidDel="00000000" w:rsidR="00000000" w:rsidRPr="00000000">
        <w:rPr>
          <w:rFonts w:ascii="Times New Roman" w:cs="Times New Roman" w:eastAsia="Times New Roman" w:hAnsi="Times New Roman"/>
          <w:sz w:val="24"/>
          <w:szCs w:val="24"/>
          <w:highlight w:val="white"/>
          <w:rtl w:val="0"/>
        </w:rPr>
        <w:t xml:space="preserve">(1), p.162. Available at </w:t>
      </w:r>
      <w:hyperlink r:id="rId6">
        <w:r w:rsidDel="00000000" w:rsidR="00000000" w:rsidRPr="00000000">
          <w:rPr>
            <w:rFonts w:ascii="Times New Roman" w:cs="Times New Roman" w:eastAsia="Times New Roman" w:hAnsi="Times New Roman"/>
            <w:sz w:val="24"/>
            <w:szCs w:val="24"/>
            <w:highlight w:val="white"/>
            <w:rtl w:val="0"/>
          </w:rPr>
          <w:t xml:space="preserve">https://www.mdpi.com/2673-4591/59/1/162</w:t>
        </w:r>
      </w:hyperlink>
      <w:r w:rsidDel="00000000" w:rsidR="00000000" w:rsidRPr="00000000">
        <w:rPr>
          <w:rFonts w:ascii="Times New Roman" w:cs="Times New Roman" w:eastAsia="Times New Roman" w:hAnsi="Times New Roman"/>
          <w:sz w:val="24"/>
          <w:szCs w:val="24"/>
          <w:highlight w:val="white"/>
          <w:rtl w:val="0"/>
        </w:rPr>
        <w:t xml:space="preserve"> </w:t>
      </w:r>
    </w:p>
    <w:p w:rsidR="00000000" w:rsidDel="00000000" w:rsidP="00000000" w:rsidRDefault="00000000" w:rsidRPr="00000000" w14:paraId="0000018F">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Ayodeji, Y., Rjoub, H. and Özgit, H., (2023). Achieving sustainable customer loyalty in airports: The role of waiting time satisfaction and self-service technologies. </w:t>
      </w:r>
      <w:r w:rsidDel="00000000" w:rsidR="00000000" w:rsidRPr="00000000">
        <w:rPr>
          <w:rFonts w:ascii="Times New Roman" w:cs="Times New Roman" w:eastAsia="Times New Roman" w:hAnsi="Times New Roman"/>
          <w:i w:val="1"/>
          <w:sz w:val="24"/>
          <w:szCs w:val="24"/>
          <w:highlight w:val="white"/>
          <w:rtl w:val="0"/>
        </w:rPr>
        <w:t xml:space="preserve">Technology in Society</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72</w:t>
      </w:r>
      <w:r w:rsidDel="00000000" w:rsidR="00000000" w:rsidRPr="00000000">
        <w:rPr>
          <w:rFonts w:ascii="Times New Roman" w:cs="Times New Roman" w:eastAsia="Times New Roman" w:hAnsi="Times New Roman"/>
          <w:sz w:val="24"/>
          <w:szCs w:val="24"/>
          <w:highlight w:val="white"/>
          <w:rtl w:val="0"/>
        </w:rPr>
        <w:t xml:space="preserve">, p.102106. Available at </w:t>
      </w:r>
      <w:hyperlink r:id="rId7">
        <w:r w:rsidDel="00000000" w:rsidR="00000000" w:rsidRPr="00000000">
          <w:rPr>
            <w:rFonts w:ascii="Times New Roman" w:cs="Times New Roman" w:eastAsia="Times New Roman" w:hAnsi="Times New Roman"/>
            <w:sz w:val="24"/>
            <w:szCs w:val="24"/>
            <w:highlight w:val="white"/>
            <w:rtl w:val="0"/>
          </w:rPr>
          <w:t xml:space="preserve">https://www.sciencedirect.com/science/article/abs/pii/S0160791X22002470</w:t>
        </w:r>
      </w:hyperlink>
      <w:r w:rsidDel="00000000" w:rsidR="00000000" w:rsidRPr="00000000">
        <w:rPr>
          <w:rFonts w:ascii="Times New Roman" w:cs="Times New Roman" w:eastAsia="Times New Roman" w:hAnsi="Times New Roman"/>
          <w:sz w:val="24"/>
          <w:szCs w:val="24"/>
          <w:highlight w:val="white"/>
          <w:rtl w:val="0"/>
        </w:rPr>
        <w:t xml:space="preserve"> </w:t>
      </w:r>
    </w:p>
    <w:p w:rsidR="00000000" w:rsidDel="00000000" w:rsidP="00000000" w:rsidRDefault="00000000" w:rsidRPr="00000000" w14:paraId="00000190">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Bardukova, L., (2023). Navigating the hospitality horizon: current trends and strategies for customer attraction and retention in the hotel industry. </w:t>
      </w:r>
      <w:r w:rsidDel="00000000" w:rsidR="00000000" w:rsidRPr="00000000">
        <w:rPr>
          <w:rFonts w:ascii="Times New Roman" w:cs="Times New Roman" w:eastAsia="Times New Roman" w:hAnsi="Times New Roman"/>
          <w:i w:val="1"/>
          <w:sz w:val="24"/>
          <w:szCs w:val="24"/>
          <w:highlight w:val="white"/>
          <w:rtl w:val="0"/>
        </w:rPr>
        <w:t xml:space="preserve">Economics and computer science</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2</w:t>
      </w:r>
      <w:r w:rsidDel="00000000" w:rsidR="00000000" w:rsidRPr="00000000">
        <w:rPr>
          <w:rFonts w:ascii="Times New Roman" w:cs="Times New Roman" w:eastAsia="Times New Roman" w:hAnsi="Times New Roman"/>
          <w:sz w:val="24"/>
          <w:szCs w:val="24"/>
          <w:highlight w:val="white"/>
          <w:rtl w:val="0"/>
        </w:rPr>
        <w:t xml:space="preserve">, pp.88-103. Available at </w:t>
      </w:r>
      <w:hyperlink r:id="rId8">
        <w:r w:rsidDel="00000000" w:rsidR="00000000" w:rsidRPr="00000000">
          <w:rPr>
            <w:rFonts w:ascii="Times New Roman" w:cs="Times New Roman" w:eastAsia="Times New Roman" w:hAnsi="Times New Roman"/>
            <w:sz w:val="24"/>
            <w:szCs w:val="24"/>
            <w:highlight w:val="white"/>
            <w:rtl w:val="0"/>
          </w:rPr>
          <w:t xml:space="preserve">https://eknigibg.net/Volume9/Issue2/spisanie-br2-2023_pp.88-103.pdf</w:t>
        </w:r>
      </w:hyperlink>
      <w:r w:rsidDel="00000000" w:rsidR="00000000" w:rsidRPr="00000000">
        <w:rPr>
          <w:rFonts w:ascii="Times New Roman" w:cs="Times New Roman" w:eastAsia="Times New Roman" w:hAnsi="Times New Roman"/>
          <w:sz w:val="24"/>
          <w:szCs w:val="24"/>
          <w:highlight w:val="white"/>
          <w:rtl w:val="0"/>
        </w:rPr>
        <w:t xml:space="preserve"> [Accessed on 29th April]</w:t>
      </w:r>
    </w:p>
    <w:p w:rsidR="00000000" w:rsidDel="00000000" w:rsidP="00000000" w:rsidRDefault="00000000" w:rsidRPr="00000000" w14:paraId="00000191">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Bharti, R. and Sharma, S., (2023). guest preferences and future challenges in the post COVID-19 scenario-an exploratory study of hotel front office department. </w:t>
      </w:r>
      <w:r w:rsidDel="00000000" w:rsidR="00000000" w:rsidRPr="00000000">
        <w:rPr>
          <w:rFonts w:ascii="Times New Roman" w:cs="Times New Roman" w:eastAsia="Times New Roman" w:hAnsi="Times New Roman"/>
          <w:i w:val="1"/>
          <w:sz w:val="24"/>
          <w:szCs w:val="24"/>
          <w:highlight w:val="white"/>
          <w:rtl w:val="0"/>
        </w:rPr>
        <w:t xml:space="preserve">PUSA Journal of Hospitality and Applied Sciences</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9</w:t>
      </w:r>
      <w:r w:rsidDel="00000000" w:rsidR="00000000" w:rsidRPr="00000000">
        <w:rPr>
          <w:rFonts w:ascii="Times New Roman" w:cs="Times New Roman" w:eastAsia="Times New Roman" w:hAnsi="Times New Roman"/>
          <w:sz w:val="24"/>
          <w:szCs w:val="24"/>
          <w:highlight w:val="white"/>
          <w:rtl w:val="0"/>
        </w:rPr>
        <w:t xml:space="preserve">(1), pp.47-57. Available at </w:t>
      </w:r>
      <w:hyperlink r:id="rId9">
        <w:r w:rsidDel="00000000" w:rsidR="00000000" w:rsidRPr="00000000">
          <w:rPr>
            <w:rFonts w:ascii="Times New Roman" w:cs="Times New Roman" w:eastAsia="Times New Roman" w:hAnsi="Times New Roman"/>
            <w:sz w:val="24"/>
            <w:szCs w:val="24"/>
            <w:highlight w:val="white"/>
            <w:rtl w:val="0"/>
          </w:rPr>
          <w:t xml:space="preserve">https://d1wqtxts1xzle7.cloudfront.net/104930422/5710-libre.pdf?1691766732=&amp;response-content-disposition=inline%3B+filename%3DGuest_Preferences_And_Future_Challenges.pdf&amp;Expires=1746253060&amp;Signature=W5KIs2Zf34doZoQpCYCcCCbJmh3nipVT0lUSZkEV-L0SETaNlS7vMuvwCMjsartpt9jf3LLqQxT5WxaRnJLTMLcnKIxegsu8UvqUxTgUP3Ad2de8Nh6bjP-nTAOV7HLjHhJZ3XB2kI26Lw8dxWg5ho9fpG19UzoXm72W6w3qGSRBdqf4mZO1C-0Rp5cE0bWxw3hDp2FIgT7uSErOKQKyOSLlnHZ-5nHtisM6QS6~SQKGWLGZwSi-yvyCqZu2VXxAYjfK~uM4x1shiliQVCcnC08I6-e0AUN4WvghbsaWrMIxummSXTXuvL~tmRJp1EkHE3OUXgyiO0SYOfdIqaYqWQ__&amp;Key-Pair-Id=APKAJLOHF5GGSLRBV4ZA</w:t>
        </w:r>
      </w:hyperlink>
      <w:r w:rsidDel="00000000" w:rsidR="00000000" w:rsidRPr="00000000">
        <w:rPr>
          <w:rFonts w:ascii="Times New Roman" w:cs="Times New Roman" w:eastAsia="Times New Roman" w:hAnsi="Times New Roman"/>
          <w:sz w:val="24"/>
          <w:szCs w:val="24"/>
          <w:highlight w:val="white"/>
          <w:rtl w:val="0"/>
        </w:rPr>
        <w:t xml:space="preserve"> </w:t>
      </w:r>
    </w:p>
    <w:p w:rsidR="00000000" w:rsidDel="00000000" w:rsidP="00000000" w:rsidRDefault="00000000" w:rsidRPr="00000000" w14:paraId="00000192">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Borah, P.S., Dogbe, C.S.K., Pomegbe, W.W.K., Bamfo, B.A. and Hornuvo, L.K., (2023). Green market orientation, green innovation capability, green knowledge acquisition and green brand positioning as determinants of new product success. </w:t>
      </w:r>
      <w:r w:rsidDel="00000000" w:rsidR="00000000" w:rsidRPr="00000000">
        <w:rPr>
          <w:rFonts w:ascii="Times New Roman" w:cs="Times New Roman" w:eastAsia="Times New Roman" w:hAnsi="Times New Roman"/>
          <w:i w:val="1"/>
          <w:sz w:val="24"/>
          <w:szCs w:val="24"/>
          <w:highlight w:val="white"/>
          <w:rtl w:val="0"/>
        </w:rPr>
        <w:t xml:space="preserve">European Journal of Innovation Management</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26</w:t>
      </w:r>
      <w:r w:rsidDel="00000000" w:rsidR="00000000" w:rsidRPr="00000000">
        <w:rPr>
          <w:rFonts w:ascii="Times New Roman" w:cs="Times New Roman" w:eastAsia="Times New Roman" w:hAnsi="Times New Roman"/>
          <w:sz w:val="24"/>
          <w:szCs w:val="24"/>
          <w:highlight w:val="white"/>
          <w:rtl w:val="0"/>
        </w:rPr>
        <w:t xml:space="preserve">(2), pp.364-385. Available at </w:t>
      </w:r>
      <w:hyperlink r:id="rId10">
        <w:r w:rsidDel="00000000" w:rsidR="00000000" w:rsidRPr="00000000">
          <w:rPr>
            <w:rFonts w:ascii="Times New Roman" w:cs="Times New Roman" w:eastAsia="Times New Roman" w:hAnsi="Times New Roman"/>
            <w:sz w:val="24"/>
            <w:szCs w:val="24"/>
            <w:highlight w:val="white"/>
            <w:rtl w:val="0"/>
          </w:rPr>
          <w:t xml:space="preserve">https://www.emerald.com/insight/content/doi/10.1108/ejim-09-2020-0345/full/html</w:t>
        </w:r>
      </w:hyperlink>
      <w:r w:rsidDel="00000000" w:rsidR="00000000" w:rsidRPr="00000000">
        <w:rPr>
          <w:rFonts w:ascii="Times New Roman" w:cs="Times New Roman" w:eastAsia="Times New Roman" w:hAnsi="Times New Roman"/>
          <w:sz w:val="24"/>
          <w:szCs w:val="24"/>
          <w:highlight w:val="white"/>
          <w:rtl w:val="0"/>
        </w:rPr>
        <w:t xml:space="preserve"> </w:t>
      </w:r>
    </w:p>
    <w:p w:rsidR="00000000" w:rsidDel="00000000" w:rsidP="00000000" w:rsidRDefault="00000000" w:rsidRPr="00000000" w14:paraId="00000193">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Carranza, E. and McKenzie, D., (2024). Job training and job search assistance policies in developing countries. </w:t>
      </w:r>
      <w:r w:rsidDel="00000000" w:rsidR="00000000" w:rsidRPr="00000000">
        <w:rPr>
          <w:rFonts w:ascii="Times New Roman" w:cs="Times New Roman" w:eastAsia="Times New Roman" w:hAnsi="Times New Roman"/>
          <w:i w:val="1"/>
          <w:sz w:val="24"/>
          <w:szCs w:val="24"/>
          <w:highlight w:val="white"/>
          <w:rtl w:val="0"/>
        </w:rPr>
        <w:t xml:space="preserve">Journal of Economic Perspectives</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38</w:t>
      </w:r>
      <w:r w:rsidDel="00000000" w:rsidR="00000000" w:rsidRPr="00000000">
        <w:rPr>
          <w:rFonts w:ascii="Times New Roman" w:cs="Times New Roman" w:eastAsia="Times New Roman" w:hAnsi="Times New Roman"/>
          <w:sz w:val="24"/>
          <w:szCs w:val="24"/>
          <w:highlight w:val="white"/>
          <w:rtl w:val="0"/>
        </w:rPr>
        <w:t xml:space="preserve">(1), pp.221-244. Available at  </w:t>
      </w:r>
      <w:hyperlink r:id="rId11">
        <w:r w:rsidDel="00000000" w:rsidR="00000000" w:rsidRPr="00000000">
          <w:rPr>
            <w:rFonts w:ascii="Times New Roman" w:cs="Times New Roman" w:eastAsia="Times New Roman" w:hAnsi="Times New Roman"/>
            <w:sz w:val="24"/>
            <w:szCs w:val="24"/>
            <w:highlight w:val="white"/>
            <w:rtl w:val="0"/>
          </w:rPr>
          <w:t xml:space="preserve">https://www.aeaweb.org/articles?id=10.1257/jep.38.1.221</w:t>
        </w:r>
      </w:hyperlink>
      <w:r w:rsidDel="00000000" w:rsidR="00000000" w:rsidRPr="00000000">
        <w:rPr>
          <w:rFonts w:ascii="Times New Roman" w:cs="Times New Roman" w:eastAsia="Times New Roman" w:hAnsi="Times New Roman"/>
          <w:sz w:val="24"/>
          <w:szCs w:val="24"/>
          <w:highlight w:val="white"/>
          <w:rtl w:val="0"/>
        </w:rPr>
        <w:t xml:space="preserve"> </w:t>
      </w:r>
    </w:p>
    <w:p w:rsidR="00000000" w:rsidDel="00000000" w:rsidP="00000000" w:rsidRDefault="00000000" w:rsidRPr="00000000" w14:paraId="00000194">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Carreno, A., (2024). Building a Continuous Feedback Loop for Real-Time Change Adaptation: Best Practices and Tools. Available at </w:t>
      </w:r>
      <w:hyperlink r:id="rId12">
        <w:r w:rsidDel="00000000" w:rsidR="00000000" w:rsidRPr="00000000">
          <w:rPr>
            <w:rFonts w:ascii="Times New Roman" w:cs="Times New Roman" w:eastAsia="Times New Roman" w:hAnsi="Times New Roman"/>
            <w:sz w:val="24"/>
            <w:szCs w:val="24"/>
            <w:highlight w:val="white"/>
            <w:rtl w:val="0"/>
          </w:rPr>
          <w:t xml:space="preserve">https://www.researchgate.net/profile/Adolfo-Carreno/publication/385621731_Building_a_Continuous_Feedback_Loop_for_Real-Time_Change_Adaptation_Best_Practices_and_Tools/links/672cd61b2326b47637cf80cc/Building-a-Continuous-Feedback-Loop-for-Real-Time-Change-Adaptation-Best-Practices-and-Tools.pdf</w:t>
        </w:r>
      </w:hyperlink>
      <w:r w:rsidDel="00000000" w:rsidR="00000000" w:rsidRPr="00000000">
        <w:rPr>
          <w:rFonts w:ascii="Times New Roman" w:cs="Times New Roman" w:eastAsia="Times New Roman" w:hAnsi="Times New Roman"/>
          <w:sz w:val="24"/>
          <w:szCs w:val="24"/>
          <w:highlight w:val="white"/>
          <w:rtl w:val="0"/>
        </w:rPr>
        <w:t xml:space="preserve"> </w:t>
      </w:r>
    </w:p>
    <w:p w:rsidR="00000000" w:rsidDel="00000000" w:rsidP="00000000" w:rsidRDefault="00000000" w:rsidRPr="00000000" w14:paraId="00000195">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Deloitte, (2015), </w:t>
      </w:r>
      <w:r w:rsidDel="00000000" w:rsidR="00000000" w:rsidRPr="00000000">
        <w:rPr>
          <w:rFonts w:ascii="Times New Roman" w:cs="Times New Roman" w:eastAsia="Times New Roman" w:hAnsi="Times New Roman"/>
          <w:i w:val="1"/>
          <w:sz w:val="24"/>
          <w:szCs w:val="24"/>
          <w:highlight w:val="white"/>
          <w:rtl w:val="0"/>
        </w:rPr>
        <w:t xml:space="preserve">“Becoming irresistible: A new model for employee engagement”,</w:t>
      </w:r>
      <w:r w:rsidDel="00000000" w:rsidR="00000000" w:rsidRPr="00000000">
        <w:rPr>
          <w:rFonts w:ascii="Times New Roman" w:cs="Times New Roman" w:eastAsia="Times New Roman" w:hAnsi="Times New Roman"/>
          <w:sz w:val="24"/>
          <w:szCs w:val="24"/>
          <w:highlight w:val="white"/>
          <w:rtl w:val="0"/>
        </w:rPr>
        <w:t xml:space="preserve"> Available at </w:t>
      </w:r>
      <w:hyperlink r:id="rId13">
        <w:r w:rsidDel="00000000" w:rsidR="00000000" w:rsidRPr="00000000">
          <w:rPr>
            <w:rFonts w:ascii="Times New Roman" w:cs="Times New Roman" w:eastAsia="Times New Roman" w:hAnsi="Times New Roman"/>
            <w:sz w:val="24"/>
            <w:szCs w:val="24"/>
            <w:highlight w:val="white"/>
            <w:rtl w:val="0"/>
          </w:rPr>
          <w:t xml:space="preserve">https://www2.deloitte.com/us/en/insights/deloitte-review/issue-16/employee-engagement-strategies.html</w:t>
        </w:r>
      </w:hyperlink>
      <w:r w:rsidDel="00000000" w:rsidR="00000000" w:rsidRPr="00000000">
        <w:rPr>
          <w:rFonts w:ascii="Times New Roman" w:cs="Times New Roman" w:eastAsia="Times New Roman" w:hAnsi="Times New Roman"/>
          <w:sz w:val="24"/>
          <w:szCs w:val="24"/>
          <w:highlight w:val="white"/>
          <w:rtl w:val="0"/>
        </w:rPr>
        <w:t xml:space="preserve"> [Accessed on 28th April]</w:t>
      </w:r>
    </w:p>
    <w:p w:rsidR="00000000" w:rsidDel="00000000" w:rsidP="00000000" w:rsidRDefault="00000000" w:rsidRPr="00000000" w14:paraId="00000196">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Digital Commons, (2019), </w:t>
      </w:r>
      <w:r w:rsidDel="00000000" w:rsidR="00000000" w:rsidRPr="00000000">
        <w:rPr>
          <w:rFonts w:ascii="Times New Roman" w:cs="Times New Roman" w:eastAsia="Times New Roman" w:hAnsi="Times New Roman"/>
          <w:i w:val="1"/>
          <w:sz w:val="24"/>
          <w:szCs w:val="24"/>
          <w:highlight w:val="white"/>
          <w:rtl w:val="0"/>
        </w:rPr>
        <w:t xml:space="preserve">“The Center of Success: A Case Study on Hilton’s Company Culture”,</w:t>
      </w:r>
      <w:r w:rsidDel="00000000" w:rsidR="00000000" w:rsidRPr="00000000">
        <w:rPr>
          <w:rFonts w:ascii="Times New Roman" w:cs="Times New Roman" w:eastAsia="Times New Roman" w:hAnsi="Times New Roman"/>
          <w:sz w:val="24"/>
          <w:szCs w:val="24"/>
          <w:highlight w:val="white"/>
          <w:rtl w:val="0"/>
        </w:rPr>
        <w:t xml:space="preserve"> Available at </w:t>
      </w:r>
      <w:hyperlink r:id="rId14">
        <w:r w:rsidDel="00000000" w:rsidR="00000000" w:rsidRPr="00000000">
          <w:rPr>
            <w:rFonts w:ascii="Times New Roman" w:cs="Times New Roman" w:eastAsia="Times New Roman" w:hAnsi="Times New Roman"/>
            <w:sz w:val="24"/>
            <w:szCs w:val="24"/>
            <w:highlight w:val="white"/>
            <w:rtl w:val="0"/>
          </w:rPr>
          <w:t xml:space="preserve">https://digitalcommons.calpoly.edu/cgi/viewcontent.cgi?params=/context/expindsp/article/1002/&amp;path_info=The_Center_of_Success___A_Case_Study_on_Hilton_s_Company_Culture.pdf</w:t>
        </w:r>
      </w:hyperlink>
      <w:r w:rsidDel="00000000" w:rsidR="00000000" w:rsidRPr="00000000">
        <w:rPr>
          <w:rFonts w:ascii="Times New Roman" w:cs="Times New Roman" w:eastAsia="Times New Roman" w:hAnsi="Times New Roman"/>
          <w:sz w:val="24"/>
          <w:szCs w:val="24"/>
          <w:highlight w:val="white"/>
          <w:rtl w:val="0"/>
        </w:rPr>
        <w:t xml:space="preserve"> [Accessed on 29th April]</w:t>
      </w:r>
    </w:p>
    <w:p w:rsidR="00000000" w:rsidDel="00000000" w:rsidP="00000000" w:rsidRDefault="00000000" w:rsidRPr="00000000" w14:paraId="00000197">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Dobbin, F. and Kalev, A., (2022). </w:t>
      </w:r>
      <w:r w:rsidDel="00000000" w:rsidR="00000000" w:rsidRPr="00000000">
        <w:rPr>
          <w:rFonts w:ascii="Times New Roman" w:cs="Times New Roman" w:eastAsia="Times New Roman" w:hAnsi="Times New Roman"/>
          <w:i w:val="1"/>
          <w:sz w:val="24"/>
          <w:szCs w:val="24"/>
          <w:highlight w:val="white"/>
          <w:rtl w:val="0"/>
        </w:rPr>
        <w:t xml:space="preserve">Getting to diversity: What works and what doesn’t</w:t>
      </w:r>
      <w:r w:rsidDel="00000000" w:rsidR="00000000" w:rsidRPr="00000000">
        <w:rPr>
          <w:rFonts w:ascii="Times New Roman" w:cs="Times New Roman" w:eastAsia="Times New Roman" w:hAnsi="Times New Roman"/>
          <w:sz w:val="24"/>
          <w:szCs w:val="24"/>
          <w:highlight w:val="white"/>
          <w:rtl w:val="0"/>
        </w:rPr>
        <w:t xml:space="preserve">. Harvard University Press. Available at </w:t>
      </w:r>
      <w:hyperlink r:id="rId15">
        <w:r w:rsidDel="00000000" w:rsidR="00000000" w:rsidRPr="00000000">
          <w:rPr>
            <w:rFonts w:ascii="Times New Roman" w:cs="Times New Roman" w:eastAsia="Times New Roman" w:hAnsi="Times New Roman"/>
            <w:sz w:val="24"/>
            <w:szCs w:val="24"/>
            <w:highlight w:val="white"/>
            <w:rtl w:val="0"/>
          </w:rPr>
          <w:t xml:space="preserve">https://books.google.co.in/books?hl=en&amp;lr=&amp;id=0OF-EAAAQBAJ&amp;oi=fnd&amp;pg=PP1&amp;dq=Get+rid+of+things+like+outdated+policies+and+a+lack+of+training+that+are+holding+people+back+from+making+changes&amp;ots=87-sJxZpXM&amp;sig=7yYqfDfseMGdKH9VtVcnmn1f_zQ&amp;redir_esc=y#v=onepage&amp;q&amp;f=false</w:t>
        </w:r>
      </w:hyperlink>
      <w:r w:rsidDel="00000000" w:rsidR="00000000" w:rsidRPr="00000000">
        <w:rPr>
          <w:rFonts w:ascii="Times New Roman" w:cs="Times New Roman" w:eastAsia="Times New Roman" w:hAnsi="Times New Roman"/>
          <w:sz w:val="24"/>
          <w:szCs w:val="24"/>
          <w:highlight w:val="white"/>
          <w:rtl w:val="0"/>
        </w:rPr>
        <w:t xml:space="preserve"> </w:t>
      </w:r>
    </w:p>
    <w:p w:rsidR="00000000" w:rsidDel="00000000" w:rsidP="00000000" w:rsidRDefault="00000000" w:rsidRPr="00000000" w14:paraId="00000198">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EHL Insight, (2025), </w:t>
      </w:r>
      <w:r w:rsidDel="00000000" w:rsidR="00000000" w:rsidRPr="00000000">
        <w:rPr>
          <w:rFonts w:ascii="Times New Roman" w:cs="Times New Roman" w:eastAsia="Times New Roman" w:hAnsi="Times New Roman"/>
          <w:i w:val="1"/>
          <w:sz w:val="24"/>
          <w:szCs w:val="24"/>
          <w:highlight w:val="white"/>
          <w:rtl w:val="0"/>
        </w:rPr>
        <w:t xml:space="preserve">“Key Hospitality Technology Trends to Watch in 2025”,</w:t>
      </w:r>
      <w:r w:rsidDel="00000000" w:rsidR="00000000" w:rsidRPr="00000000">
        <w:rPr>
          <w:rFonts w:ascii="Times New Roman" w:cs="Times New Roman" w:eastAsia="Times New Roman" w:hAnsi="Times New Roman"/>
          <w:sz w:val="24"/>
          <w:szCs w:val="24"/>
          <w:highlight w:val="white"/>
          <w:rtl w:val="0"/>
        </w:rPr>
        <w:t xml:space="preserve"> Available at </w:t>
      </w:r>
      <w:hyperlink r:id="rId16">
        <w:r w:rsidDel="00000000" w:rsidR="00000000" w:rsidRPr="00000000">
          <w:rPr>
            <w:rFonts w:ascii="Times New Roman" w:cs="Times New Roman" w:eastAsia="Times New Roman" w:hAnsi="Times New Roman"/>
            <w:sz w:val="24"/>
            <w:szCs w:val="24"/>
            <w:highlight w:val="white"/>
            <w:rtl w:val="0"/>
          </w:rPr>
          <w:t xml:space="preserve">https://hospitalityinsights.ehl.edu/technology-trends-hospitality-industry</w:t>
        </w:r>
      </w:hyperlink>
      <w:r w:rsidDel="00000000" w:rsidR="00000000" w:rsidRPr="00000000">
        <w:rPr>
          <w:rFonts w:ascii="Times New Roman" w:cs="Times New Roman" w:eastAsia="Times New Roman" w:hAnsi="Times New Roman"/>
          <w:sz w:val="24"/>
          <w:szCs w:val="24"/>
          <w:highlight w:val="white"/>
          <w:rtl w:val="0"/>
        </w:rPr>
        <w:t xml:space="preserve"> [Accessed on 29th April]</w:t>
      </w:r>
    </w:p>
    <w:p w:rsidR="00000000" w:rsidDel="00000000" w:rsidP="00000000" w:rsidRDefault="00000000" w:rsidRPr="00000000" w14:paraId="00000199">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GOV.UK (2015), </w:t>
      </w:r>
      <w:r w:rsidDel="00000000" w:rsidR="00000000" w:rsidRPr="00000000">
        <w:rPr>
          <w:rFonts w:ascii="Times New Roman" w:cs="Times New Roman" w:eastAsia="Times New Roman" w:hAnsi="Times New Roman"/>
          <w:i w:val="1"/>
          <w:sz w:val="24"/>
          <w:szCs w:val="24"/>
          <w:highlight w:val="white"/>
          <w:rtl w:val="0"/>
        </w:rPr>
        <w:t xml:space="preserve">“Airports Commission: Final Report”,</w:t>
      </w:r>
      <w:r w:rsidDel="00000000" w:rsidR="00000000" w:rsidRPr="00000000">
        <w:rPr>
          <w:rFonts w:ascii="Times New Roman" w:cs="Times New Roman" w:eastAsia="Times New Roman" w:hAnsi="Times New Roman"/>
          <w:sz w:val="24"/>
          <w:szCs w:val="24"/>
          <w:highlight w:val="white"/>
          <w:rtl w:val="0"/>
        </w:rPr>
        <w:t xml:space="preserve"> Available at </w:t>
      </w:r>
      <w:hyperlink r:id="rId17">
        <w:r w:rsidDel="00000000" w:rsidR="00000000" w:rsidRPr="00000000">
          <w:rPr>
            <w:rFonts w:ascii="Times New Roman" w:cs="Times New Roman" w:eastAsia="Times New Roman" w:hAnsi="Times New Roman"/>
            <w:sz w:val="24"/>
            <w:szCs w:val="24"/>
            <w:highlight w:val="white"/>
            <w:rtl w:val="0"/>
          </w:rPr>
          <w:t xml:space="preserve">https://assets.publishing.service.gov.uk/media/5a808ab4e5274a2e8ab50bd4/airports-commission-final-report.pdf</w:t>
        </w:r>
      </w:hyperlink>
      <w:r w:rsidDel="00000000" w:rsidR="00000000" w:rsidRPr="00000000">
        <w:rPr>
          <w:rFonts w:ascii="Times New Roman" w:cs="Times New Roman" w:eastAsia="Times New Roman" w:hAnsi="Times New Roman"/>
          <w:sz w:val="24"/>
          <w:szCs w:val="24"/>
          <w:highlight w:val="white"/>
          <w:rtl w:val="0"/>
        </w:rPr>
        <w:t xml:space="preserve"> [Accessed on 29th April]</w:t>
      </w:r>
    </w:p>
    <w:p w:rsidR="00000000" w:rsidDel="00000000" w:rsidP="00000000" w:rsidRDefault="00000000" w:rsidRPr="00000000" w14:paraId="0000019A">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GSTC, (2019),</w:t>
      </w:r>
      <w:r w:rsidDel="00000000" w:rsidR="00000000" w:rsidRPr="00000000">
        <w:rPr>
          <w:rFonts w:ascii="Times New Roman" w:cs="Times New Roman" w:eastAsia="Times New Roman" w:hAnsi="Times New Roman"/>
          <w:i w:val="1"/>
          <w:sz w:val="24"/>
          <w:szCs w:val="24"/>
          <w:highlight w:val="white"/>
          <w:rtl w:val="0"/>
        </w:rPr>
        <w:t xml:space="preserve"> “Global Travelers prefer eco-friendly accommodation: Booking.com Sustainable Travel Report 2019”,</w:t>
      </w:r>
      <w:r w:rsidDel="00000000" w:rsidR="00000000" w:rsidRPr="00000000">
        <w:rPr>
          <w:rFonts w:ascii="Times New Roman" w:cs="Times New Roman" w:eastAsia="Times New Roman" w:hAnsi="Times New Roman"/>
          <w:sz w:val="24"/>
          <w:szCs w:val="24"/>
          <w:highlight w:val="white"/>
          <w:rtl w:val="0"/>
        </w:rPr>
        <w:t xml:space="preserve"> Available at </w:t>
      </w:r>
      <w:hyperlink r:id="rId18">
        <w:r w:rsidDel="00000000" w:rsidR="00000000" w:rsidRPr="00000000">
          <w:rPr>
            <w:rFonts w:ascii="Times New Roman" w:cs="Times New Roman" w:eastAsia="Times New Roman" w:hAnsi="Times New Roman"/>
            <w:sz w:val="24"/>
            <w:szCs w:val="24"/>
            <w:highlight w:val="white"/>
            <w:rtl w:val="0"/>
          </w:rPr>
          <w:t xml:space="preserve">https://www.gstcouncil.org/booking-com-sustainable-travel-report-2019/</w:t>
        </w:r>
      </w:hyperlink>
      <w:r w:rsidDel="00000000" w:rsidR="00000000" w:rsidRPr="00000000">
        <w:rPr>
          <w:rFonts w:ascii="Times New Roman" w:cs="Times New Roman" w:eastAsia="Times New Roman" w:hAnsi="Times New Roman"/>
          <w:sz w:val="24"/>
          <w:szCs w:val="24"/>
          <w:highlight w:val="white"/>
          <w:rtl w:val="0"/>
        </w:rPr>
        <w:t xml:space="preserve"> [Accessed on 29th April]</w:t>
      </w:r>
    </w:p>
    <w:p w:rsidR="00000000" w:rsidDel="00000000" w:rsidP="00000000" w:rsidRDefault="00000000" w:rsidRPr="00000000" w14:paraId="0000019B">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Habraken, J., 2024. Guarding Against Social Engineering Threats: Assessing the Cybersecurity Awareness Impact of Mystery Guest Audits. Available at </w:t>
      </w:r>
      <w:hyperlink r:id="rId19">
        <w:r w:rsidDel="00000000" w:rsidR="00000000" w:rsidRPr="00000000">
          <w:rPr>
            <w:rFonts w:ascii="Times New Roman" w:cs="Times New Roman" w:eastAsia="Times New Roman" w:hAnsi="Times New Roman"/>
            <w:sz w:val="24"/>
            <w:szCs w:val="24"/>
            <w:highlight w:val="white"/>
            <w:rtl w:val="0"/>
          </w:rPr>
          <w:t xml:space="preserve">https://arno.uvt.nl/show.cgi?fid=171414</w:t>
        </w:r>
      </w:hyperlink>
      <w:r w:rsidDel="00000000" w:rsidR="00000000" w:rsidRPr="00000000">
        <w:rPr>
          <w:rFonts w:ascii="Times New Roman" w:cs="Times New Roman" w:eastAsia="Times New Roman" w:hAnsi="Times New Roman"/>
          <w:sz w:val="24"/>
          <w:szCs w:val="24"/>
          <w:highlight w:val="white"/>
          <w:rtl w:val="0"/>
        </w:rPr>
        <w:t xml:space="preserve"> </w:t>
      </w:r>
    </w:p>
    <w:p w:rsidR="00000000" w:rsidDel="00000000" w:rsidP="00000000" w:rsidRDefault="00000000" w:rsidRPr="00000000" w14:paraId="0000019C">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Hilton London Metropole, (2025), “About us”, Available at </w:t>
      </w:r>
      <w:hyperlink r:id="rId20">
        <w:r w:rsidDel="00000000" w:rsidR="00000000" w:rsidRPr="00000000">
          <w:rPr>
            <w:rFonts w:ascii="Times New Roman" w:cs="Times New Roman" w:eastAsia="Times New Roman" w:hAnsi="Times New Roman"/>
            <w:sz w:val="24"/>
            <w:szCs w:val="24"/>
            <w:highlight w:val="white"/>
            <w:rtl w:val="0"/>
          </w:rPr>
          <w:t xml:space="preserve">https://www.hilton.com/en/hotels/lonmetw-hilton-london-metropole/?WT.mc_id=zINDA0EMEA1MB2PSH3Paid_ggl4ACBI_Brand_Destination5dkt6MULTIBR7EN8i81487387_121127567_71700000119476388&amp;&amp;&amp;&amp;&amp;gad_source=1&amp;gad_campaignid=21561788066&amp;gbraid=0AAAAADnjLGO1oj42uJZjWxdwoMlI_1mRP&amp;gclid=Cj0KCQjw2tHABhCiARIsANZzDWrrYGhdXGiAV5hopOw5rtRc8jsvr6b6Rjxoyvtth7dv1qTVmNJmCMQaAnFUEALw_wcB&amp;gclsrc=aw.ds</w:t>
        </w:r>
      </w:hyperlink>
      <w:r w:rsidDel="00000000" w:rsidR="00000000" w:rsidRPr="00000000">
        <w:rPr>
          <w:rFonts w:ascii="Times New Roman" w:cs="Times New Roman" w:eastAsia="Times New Roman" w:hAnsi="Times New Roman"/>
          <w:sz w:val="24"/>
          <w:szCs w:val="24"/>
          <w:highlight w:val="white"/>
          <w:rtl w:val="0"/>
        </w:rPr>
        <w:t xml:space="preserve"> [Accesseed on 29th April]</w:t>
      </w:r>
    </w:p>
    <w:p w:rsidR="00000000" w:rsidDel="00000000" w:rsidP="00000000" w:rsidRDefault="00000000" w:rsidRPr="00000000" w14:paraId="0000019D">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Holovnia О, Z.T., Lopatiuk, R., Melnyk, S., Prylutskyi, A., Stavska, U. and Tabenska, O., (2022). </w:t>
      </w:r>
      <w:r w:rsidDel="00000000" w:rsidR="00000000" w:rsidRPr="00000000">
        <w:rPr>
          <w:rFonts w:ascii="Times New Roman" w:cs="Times New Roman" w:eastAsia="Times New Roman" w:hAnsi="Times New Roman"/>
          <w:i w:val="1"/>
          <w:sz w:val="24"/>
          <w:szCs w:val="24"/>
          <w:highlight w:val="white"/>
          <w:rtl w:val="0"/>
        </w:rPr>
        <w:t xml:space="preserve">Problems and prospects of development of hotel and restaurant and tourist industry in the conditions of integration processes</w:t>
      </w:r>
      <w:r w:rsidDel="00000000" w:rsidR="00000000" w:rsidRPr="00000000">
        <w:rPr>
          <w:rFonts w:ascii="Times New Roman" w:cs="Times New Roman" w:eastAsia="Times New Roman" w:hAnsi="Times New Roman"/>
          <w:sz w:val="24"/>
          <w:szCs w:val="24"/>
          <w:highlight w:val="white"/>
          <w:rtl w:val="0"/>
        </w:rPr>
        <w:t xml:space="preserve">. International Science Group. Available at  </w:t>
      </w:r>
      <w:hyperlink r:id="rId21">
        <w:r w:rsidDel="00000000" w:rsidR="00000000" w:rsidRPr="00000000">
          <w:rPr>
            <w:rFonts w:ascii="Times New Roman" w:cs="Times New Roman" w:eastAsia="Times New Roman" w:hAnsi="Times New Roman"/>
            <w:sz w:val="24"/>
            <w:szCs w:val="24"/>
            <w:highlight w:val="white"/>
            <w:rtl w:val="0"/>
          </w:rPr>
          <w:t xml:space="preserve">https://isg-konf.com/wp-content/uploads/2022/09/Monograph/979-8-88831-930-7/979-8-88831-930-7.pdf</w:t>
        </w:r>
      </w:hyperlink>
      <w:r w:rsidDel="00000000" w:rsidR="00000000" w:rsidRPr="00000000">
        <w:rPr>
          <w:rFonts w:ascii="Times New Roman" w:cs="Times New Roman" w:eastAsia="Times New Roman" w:hAnsi="Times New Roman"/>
          <w:sz w:val="24"/>
          <w:szCs w:val="24"/>
          <w:highlight w:val="white"/>
          <w:rtl w:val="0"/>
        </w:rPr>
        <w:t xml:space="preserve"> </w:t>
      </w:r>
    </w:p>
    <w:p w:rsidR="00000000" w:rsidDel="00000000" w:rsidP="00000000" w:rsidRDefault="00000000" w:rsidRPr="00000000" w14:paraId="0000019E">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Irawan, W., (2024). </w:t>
      </w:r>
      <w:r w:rsidDel="00000000" w:rsidR="00000000" w:rsidRPr="00000000">
        <w:rPr>
          <w:rFonts w:ascii="Times New Roman" w:cs="Times New Roman" w:eastAsia="Times New Roman" w:hAnsi="Times New Roman"/>
          <w:i w:val="1"/>
          <w:sz w:val="24"/>
          <w:szCs w:val="24"/>
          <w:highlight w:val="white"/>
          <w:rtl w:val="0"/>
        </w:rPr>
        <w:t xml:space="preserve">Exploring the impact of inflation on consumer behaviour in the hospitality industry: a case study in Russia and Indonesia: master's thesis</w:t>
      </w:r>
      <w:r w:rsidDel="00000000" w:rsidR="00000000" w:rsidRPr="00000000">
        <w:rPr>
          <w:rFonts w:ascii="Times New Roman" w:cs="Times New Roman" w:eastAsia="Times New Roman" w:hAnsi="Times New Roman"/>
          <w:sz w:val="24"/>
          <w:szCs w:val="24"/>
          <w:highlight w:val="white"/>
          <w:rtl w:val="0"/>
        </w:rPr>
        <w:t xml:space="preserve"> (Master's thesis, б. и.). Available at </w:t>
      </w:r>
      <w:hyperlink r:id="rId22">
        <w:r w:rsidDel="00000000" w:rsidR="00000000" w:rsidRPr="00000000">
          <w:rPr>
            <w:rFonts w:ascii="Times New Roman" w:cs="Times New Roman" w:eastAsia="Times New Roman" w:hAnsi="Times New Roman"/>
            <w:sz w:val="24"/>
            <w:szCs w:val="24"/>
            <w:highlight w:val="white"/>
            <w:rtl w:val="0"/>
          </w:rPr>
          <w:t xml:space="preserve">https://elar.urfu.ru/handle/10995/139868</w:t>
        </w:r>
      </w:hyperlink>
      <w:r w:rsidDel="00000000" w:rsidR="00000000" w:rsidRPr="00000000">
        <w:rPr>
          <w:rFonts w:ascii="Times New Roman" w:cs="Times New Roman" w:eastAsia="Times New Roman" w:hAnsi="Times New Roman"/>
          <w:sz w:val="24"/>
          <w:szCs w:val="24"/>
          <w:highlight w:val="white"/>
          <w:rtl w:val="0"/>
        </w:rPr>
        <w:t xml:space="preserve"> </w:t>
      </w:r>
    </w:p>
    <w:p w:rsidR="00000000" w:rsidDel="00000000" w:rsidP="00000000" w:rsidRDefault="00000000" w:rsidRPr="00000000" w14:paraId="0000019F">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Javaid, M., Haleem, A., Singh, R.P., Suman, R. and Gonzalez, E.S., (2022). Understanding the adoption of Industry 4.0 technologies in improving environmental sustainability. </w:t>
      </w:r>
      <w:r w:rsidDel="00000000" w:rsidR="00000000" w:rsidRPr="00000000">
        <w:rPr>
          <w:rFonts w:ascii="Times New Roman" w:cs="Times New Roman" w:eastAsia="Times New Roman" w:hAnsi="Times New Roman"/>
          <w:i w:val="1"/>
          <w:sz w:val="24"/>
          <w:szCs w:val="24"/>
          <w:highlight w:val="white"/>
          <w:rtl w:val="0"/>
        </w:rPr>
        <w:t xml:space="preserve">Sustainable operations and computers</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3</w:t>
      </w:r>
      <w:r w:rsidDel="00000000" w:rsidR="00000000" w:rsidRPr="00000000">
        <w:rPr>
          <w:rFonts w:ascii="Times New Roman" w:cs="Times New Roman" w:eastAsia="Times New Roman" w:hAnsi="Times New Roman"/>
          <w:sz w:val="24"/>
          <w:szCs w:val="24"/>
          <w:highlight w:val="white"/>
          <w:rtl w:val="0"/>
        </w:rPr>
        <w:t xml:space="preserve">, pp.203-217. Available at </w:t>
      </w:r>
      <w:hyperlink r:id="rId23">
        <w:r w:rsidDel="00000000" w:rsidR="00000000" w:rsidRPr="00000000">
          <w:rPr>
            <w:rFonts w:ascii="Times New Roman" w:cs="Times New Roman" w:eastAsia="Times New Roman" w:hAnsi="Times New Roman"/>
            <w:sz w:val="24"/>
            <w:szCs w:val="24"/>
            <w:highlight w:val="white"/>
            <w:rtl w:val="0"/>
          </w:rPr>
          <w:t xml:space="preserve">https://www.sciencedirect.com/science/article/pii/S2666412722000071</w:t>
        </w:r>
      </w:hyperlink>
      <w:r w:rsidDel="00000000" w:rsidR="00000000" w:rsidRPr="00000000">
        <w:rPr>
          <w:rFonts w:ascii="Times New Roman" w:cs="Times New Roman" w:eastAsia="Times New Roman" w:hAnsi="Times New Roman"/>
          <w:sz w:val="24"/>
          <w:szCs w:val="24"/>
          <w:highlight w:val="white"/>
          <w:rtl w:val="0"/>
        </w:rPr>
        <w:t xml:space="preserve"> </w:t>
      </w:r>
    </w:p>
    <w:p w:rsidR="00000000" w:rsidDel="00000000" w:rsidP="00000000" w:rsidRDefault="00000000" w:rsidRPr="00000000" w14:paraId="000001A0">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JWU, (2023), </w:t>
      </w:r>
      <w:r w:rsidDel="00000000" w:rsidR="00000000" w:rsidRPr="00000000">
        <w:rPr>
          <w:rFonts w:ascii="Times New Roman" w:cs="Times New Roman" w:eastAsia="Times New Roman" w:hAnsi="Times New Roman"/>
          <w:i w:val="1"/>
          <w:sz w:val="24"/>
          <w:szCs w:val="24"/>
          <w:highlight w:val="white"/>
          <w:rtl w:val="0"/>
        </w:rPr>
        <w:t xml:space="preserve">“Technology in the Hospitality Industry: Enhancing Customer Experience”,</w:t>
      </w:r>
      <w:r w:rsidDel="00000000" w:rsidR="00000000" w:rsidRPr="00000000">
        <w:rPr>
          <w:rFonts w:ascii="Times New Roman" w:cs="Times New Roman" w:eastAsia="Times New Roman" w:hAnsi="Times New Roman"/>
          <w:sz w:val="24"/>
          <w:szCs w:val="24"/>
          <w:highlight w:val="white"/>
          <w:rtl w:val="0"/>
        </w:rPr>
        <w:t xml:space="preserve"> Available at </w:t>
      </w:r>
      <w:hyperlink r:id="rId24">
        <w:r w:rsidDel="00000000" w:rsidR="00000000" w:rsidRPr="00000000">
          <w:rPr>
            <w:rFonts w:ascii="Times New Roman" w:cs="Times New Roman" w:eastAsia="Times New Roman" w:hAnsi="Times New Roman"/>
            <w:sz w:val="24"/>
            <w:szCs w:val="24"/>
            <w:highlight w:val="white"/>
            <w:rtl w:val="0"/>
          </w:rPr>
          <w:t xml:space="preserve">https://online.jwu.edu/blog/role-technology-hotels-enhancing-efficiency-and-guest-satisfaction/</w:t>
        </w:r>
      </w:hyperlink>
      <w:r w:rsidDel="00000000" w:rsidR="00000000" w:rsidRPr="00000000">
        <w:rPr>
          <w:rFonts w:ascii="Times New Roman" w:cs="Times New Roman" w:eastAsia="Times New Roman" w:hAnsi="Times New Roman"/>
          <w:sz w:val="24"/>
          <w:szCs w:val="24"/>
          <w:highlight w:val="white"/>
          <w:rtl w:val="0"/>
        </w:rPr>
        <w:t xml:space="preserve"> [Accessed on 29th April]</w:t>
      </w:r>
    </w:p>
    <w:p w:rsidR="00000000" w:rsidDel="00000000" w:rsidP="00000000" w:rsidRDefault="00000000" w:rsidRPr="00000000" w14:paraId="000001A1">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Kamruzzaman, M., (2023). F-Commerce: An Empirical Study to Assess the Cost-Effectiveness of Agro-Based SME Business and Consumer Satisfaction in Bangladesh. Available at </w:t>
      </w:r>
      <w:hyperlink r:id="rId25">
        <w:r w:rsidDel="00000000" w:rsidR="00000000" w:rsidRPr="00000000">
          <w:rPr>
            <w:rFonts w:ascii="Times New Roman" w:cs="Times New Roman" w:eastAsia="Times New Roman" w:hAnsi="Times New Roman"/>
            <w:sz w:val="24"/>
            <w:szCs w:val="24"/>
            <w:highlight w:val="white"/>
            <w:rtl w:val="0"/>
          </w:rPr>
          <w:t xml:space="preserve">https://www.theseus.fi/handle/10024/802200</w:t>
        </w:r>
      </w:hyperlink>
      <w:r w:rsidDel="00000000" w:rsidR="00000000" w:rsidRPr="00000000">
        <w:rPr>
          <w:rFonts w:ascii="Times New Roman" w:cs="Times New Roman" w:eastAsia="Times New Roman" w:hAnsi="Times New Roman"/>
          <w:sz w:val="24"/>
          <w:szCs w:val="24"/>
          <w:highlight w:val="white"/>
          <w:rtl w:val="0"/>
        </w:rPr>
        <w:t xml:space="preserve"> </w:t>
      </w:r>
    </w:p>
    <w:p w:rsidR="00000000" w:rsidDel="00000000" w:rsidP="00000000" w:rsidRDefault="00000000" w:rsidRPr="00000000" w14:paraId="000001A2">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Kem, D., (2022). Personalised and adaptive learning: Emerging learning platforms in the era of digital and smart learning. </w:t>
      </w:r>
      <w:r w:rsidDel="00000000" w:rsidR="00000000" w:rsidRPr="00000000">
        <w:rPr>
          <w:rFonts w:ascii="Times New Roman" w:cs="Times New Roman" w:eastAsia="Times New Roman" w:hAnsi="Times New Roman"/>
          <w:i w:val="1"/>
          <w:sz w:val="24"/>
          <w:szCs w:val="24"/>
          <w:highlight w:val="white"/>
          <w:rtl w:val="0"/>
        </w:rPr>
        <w:t xml:space="preserve">International Journal of Social Science and Human Research</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5</w:t>
      </w:r>
      <w:r w:rsidDel="00000000" w:rsidR="00000000" w:rsidRPr="00000000">
        <w:rPr>
          <w:rFonts w:ascii="Times New Roman" w:cs="Times New Roman" w:eastAsia="Times New Roman" w:hAnsi="Times New Roman"/>
          <w:sz w:val="24"/>
          <w:szCs w:val="24"/>
          <w:highlight w:val="white"/>
          <w:rtl w:val="0"/>
        </w:rPr>
        <w:t xml:space="preserve">(2), pp.385-391. Available at </w:t>
      </w:r>
      <w:hyperlink r:id="rId26">
        <w:r w:rsidDel="00000000" w:rsidR="00000000" w:rsidRPr="00000000">
          <w:rPr>
            <w:rFonts w:ascii="Times New Roman" w:cs="Times New Roman" w:eastAsia="Times New Roman" w:hAnsi="Times New Roman"/>
            <w:sz w:val="24"/>
            <w:szCs w:val="24"/>
            <w:highlight w:val="white"/>
            <w:rtl w:val="0"/>
          </w:rPr>
          <w:t xml:space="preserve">https://www.researchgate.net/profile/Lukman-Prakoso/publication/359005289_feb_issue_soft_copy_2022/links/6221ef309f7b3246340dc43e/feb-issue-soft-copy-2022.pdf#page=26</w:t>
        </w:r>
      </w:hyperlink>
      <w:r w:rsidDel="00000000" w:rsidR="00000000" w:rsidRPr="00000000">
        <w:rPr>
          <w:rFonts w:ascii="Times New Roman" w:cs="Times New Roman" w:eastAsia="Times New Roman" w:hAnsi="Times New Roman"/>
          <w:sz w:val="24"/>
          <w:szCs w:val="24"/>
          <w:highlight w:val="white"/>
          <w:rtl w:val="0"/>
        </w:rPr>
        <w:t xml:space="preserve"> </w:t>
      </w:r>
    </w:p>
    <w:p w:rsidR="00000000" w:rsidDel="00000000" w:rsidP="00000000" w:rsidRDefault="00000000" w:rsidRPr="00000000" w14:paraId="000001A3">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Kerketta, A., (2024). Fostering Workplace Resilience in Hospitals post COVID-19 Pandemic: A Comprehensive Analysis of HR Role. Available at  </w:t>
      </w:r>
      <w:hyperlink r:id="rId27">
        <w:r w:rsidDel="00000000" w:rsidR="00000000" w:rsidRPr="00000000">
          <w:rPr>
            <w:rFonts w:ascii="Times New Roman" w:cs="Times New Roman" w:eastAsia="Times New Roman" w:hAnsi="Times New Roman"/>
            <w:sz w:val="24"/>
            <w:szCs w:val="24"/>
            <w:highlight w:val="white"/>
            <w:rtl w:val="0"/>
          </w:rPr>
          <w:t xml:space="preserve">https://papers.ssrn.com/sol3/papers.cfm?abstract_id=4859821</w:t>
        </w:r>
      </w:hyperlink>
      <w:r w:rsidDel="00000000" w:rsidR="00000000" w:rsidRPr="00000000">
        <w:rPr>
          <w:rFonts w:ascii="Times New Roman" w:cs="Times New Roman" w:eastAsia="Times New Roman" w:hAnsi="Times New Roman"/>
          <w:sz w:val="24"/>
          <w:szCs w:val="24"/>
          <w:highlight w:val="white"/>
          <w:rtl w:val="0"/>
        </w:rPr>
        <w:t xml:space="preserve"> </w:t>
      </w:r>
    </w:p>
    <w:p w:rsidR="00000000" w:rsidDel="00000000" w:rsidP="00000000" w:rsidRDefault="00000000" w:rsidRPr="00000000" w14:paraId="000001A4">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Khalil, N., Che Abdullah, S.N., Haron, S.N. and Hamid, M.Y., (2024). A review of green practices and initiatives from stakeholder’s perspectives towards sustainable hotel operations and performance impact. </w:t>
      </w:r>
      <w:r w:rsidDel="00000000" w:rsidR="00000000" w:rsidRPr="00000000">
        <w:rPr>
          <w:rFonts w:ascii="Times New Roman" w:cs="Times New Roman" w:eastAsia="Times New Roman" w:hAnsi="Times New Roman"/>
          <w:i w:val="1"/>
          <w:sz w:val="24"/>
          <w:szCs w:val="24"/>
          <w:highlight w:val="white"/>
          <w:rtl w:val="0"/>
        </w:rPr>
        <w:t xml:space="preserve">Journal of Facilities Management</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22</w:t>
      </w:r>
      <w:r w:rsidDel="00000000" w:rsidR="00000000" w:rsidRPr="00000000">
        <w:rPr>
          <w:rFonts w:ascii="Times New Roman" w:cs="Times New Roman" w:eastAsia="Times New Roman" w:hAnsi="Times New Roman"/>
          <w:sz w:val="24"/>
          <w:szCs w:val="24"/>
          <w:highlight w:val="white"/>
          <w:rtl w:val="0"/>
        </w:rPr>
        <w:t xml:space="preserve">(4), pp.653-682. Available at </w:t>
      </w:r>
      <w:hyperlink r:id="rId28">
        <w:r w:rsidDel="00000000" w:rsidR="00000000" w:rsidRPr="00000000">
          <w:rPr>
            <w:rFonts w:ascii="Times New Roman" w:cs="Times New Roman" w:eastAsia="Times New Roman" w:hAnsi="Times New Roman"/>
            <w:sz w:val="24"/>
            <w:szCs w:val="24"/>
            <w:highlight w:val="white"/>
            <w:rtl w:val="0"/>
          </w:rPr>
          <w:t xml:space="preserve">https://www.emerald.com/insight/content/doi/10.1108/jfm-03-2022-0025/full/html</w:t>
        </w:r>
      </w:hyperlink>
      <w:r w:rsidDel="00000000" w:rsidR="00000000" w:rsidRPr="00000000">
        <w:rPr>
          <w:rFonts w:ascii="Times New Roman" w:cs="Times New Roman" w:eastAsia="Times New Roman" w:hAnsi="Times New Roman"/>
          <w:sz w:val="24"/>
          <w:szCs w:val="24"/>
          <w:highlight w:val="white"/>
          <w:rtl w:val="0"/>
        </w:rPr>
        <w:t xml:space="preserve"> </w:t>
      </w:r>
    </w:p>
    <w:p w:rsidR="00000000" w:rsidDel="00000000" w:rsidP="00000000" w:rsidRDefault="00000000" w:rsidRPr="00000000" w14:paraId="000001A5">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Kim, A., Kim, K.P. and Nguyen, T.H.D., (2021). The green accommodation management practices: The role of environmentally responsible tourist markets in understanding tourists’ pro-environmental behaviour. Sustainability, 13(4), p.2326. Available at </w:t>
      </w:r>
      <w:hyperlink r:id="rId29">
        <w:r w:rsidDel="00000000" w:rsidR="00000000" w:rsidRPr="00000000">
          <w:rPr>
            <w:rFonts w:ascii="Times New Roman" w:cs="Times New Roman" w:eastAsia="Times New Roman" w:hAnsi="Times New Roman"/>
            <w:sz w:val="24"/>
            <w:szCs w:val="24"/>
            <w:highlight w:val="white"/>
            <w:rtl w:val="0"/>
          </w:rPr>
          <w:t xml:space="preserve">https://www.mdpi.com/2071-1050/13/4/2326</w:t>
        </w:r>
      </w:hyperlink>
      <w:r w:rsidDel="00000000" w:rsidR="00000000" w:rsidRPr="00000000">
        <w:rPr>
          <w:rFonts w:ascii="Times New Roman" w:cs="Times New Roman" w:eastAsia="Times New Roman" w:hAnsi="Times New Roman"/>
          <w:sz w:val="24"/>
          <w:szCs w:val="24"/>
          <w:highlight w:val="white"/>
          <w:rtl w:val="0"/>
        </w:rPr>
        <w:t xml:space="preserve"> </w:t>
      </w:r>
    </w:p>
    <w:p w:rsidR="00000000" w:rsidDel="00000000" w:rsidP="00000000" w:rsidRDefault="00000000" w:rsidRPr="00000000" w14:paraId="000001A6">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Kovács, I. and Zarándné, K.V., (2022). Digital marketing employability skills in job advertisements-must-have soft skills for entry-level workers: a content analysis. </w:t>
      </w:r>
      <w:r w:rsidDel="00000000" w:rsidR="00000000" w:rsidRPr="00000000">
        <w:rPr>
          <w:rFonts w:ascii="Times New Roman" w:cs="Times New Roman" w:eastAsia="Times New Roman" w:hAnsi="Times New Roman"/>
          <w:i w:val="1"/>
          <w:sz w:val="24"/>
          <w:szCs w:val="24"/>
          <w:highlight w:val="white"/>
          <w:rtl w:val="0"/>
        </w:rPr>
        <w:t xml:space="preserve">Economics &amp; Sociology</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15</w:t>
      </w:r>
      <w:r w:rsidDel="00000000" w:rsidR="00000000" w:rsidRPr="00000000">
        <w:rPr>
          <w:rFonts w:ascii="Times New Roman" w:cs="Times New Roman" w:eastAsia="Times New Roman" w:hAnsi="Times New Roman"/>
          <w:sz w:val="24"/>
          <w:szCs w:val="24"/>
          <w:highlight w:val="white"/>
          <w:rtl w:val="0"/>
        </w:rPr>
        <w:t xml:space="preserve">(1), pp.178-192. Available at </w:t>
      </w:r>
      <w:hyperlink r:id="rId30">
        <w:r w:rsidDel="00000000" w:rsidR="00000000" w:rsidRPr="00000000">
          <w:rPr>
            <w:rFonts w:ascii="Times New Roman" w:cs="Times New Roman" w:eastAsia="Times New Roman" w:hAnsi="Times New Roman"/>
            <w:sz w:val="24"/>
            <w:szCs w:val="24"/>
            <w:highlight w:val="white"/>
            <w:rtl w:val="0"/>
          </w:rPr>
          <w:t xml:space="preserve">https://www.proquest.com/openview/f10a2bf5b36d56fc1608bf392dcda77f/1?cbl=1416337&amp;pq-origsite=gscholar</w:t>
        </w:r>
      </w:hyperlink>
      <w:r w:rsidDel="00000000" w:rsidR="00000000" w:rsidRPr="00000000">
        <w:rPr>
          <w:rFonts w:ascii="Times New Roman" w:cs="Times New Roman" w:eastAsia="Times New Roman" w:hAnsi="Times New Roman"/>
          <w:sz w:val="24"/>
          <w:szCs w:val="24"/>
          <w:highlight w:val="white"/>
          <w:rtl w:val="0"/>
        </w:rPr>
        <w:t xml:space="preserve"> </w:t>
      </w:r>
    </w:p>
    <w:p w:rsidR="00000000" w:rsidDel="00000000" w:rsidP="00000000" w:rsidRDefault="00000000" w:rsidRPr="00000000" w14:paraId="000001A7">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Li, L., (2024). Reskilling and upskilling the future-ready workforce for industry 4.0 and beyond. </w:t>
      </w:r>
      <w:r w:rsidDel="00000000" w:rsidR="00000000" w:rsidRPr="00000000">
        <w:rPr>
          <w:rFonts w:ascii="Times New Roman" w:cs="Times New Roman" w:eastAsia="Times New Roman" w:hAnsi="Times New Roman"/>
          <w:i w:val="1"/>
          <w:sz w:val="24"/>
          <w:szCs w:val="24"/>
          <w:highlight w:val="white"/>
          <w:rtl w:val="0"/>
        </w:rPr>
        <w:t xml:space="preserve">Information Systems Frontiers</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26</w:t>
      </w:r>
      <w:r w:rsidDel="00000000" w:rsidR="00000000" w:rsidRPr="00000000">
        <w:rPr>
          <w:rFonts w:ascii="Times New Roman" w:cs="Times New Roman" w:eastAsia="Times New Roman" w:hAnsi="Times New Roman"/>
          <w:sz w:val="24"/>
          <w:szCs w:val="24"/>
          <w:highlight w:val="white"/>
          <w:rtl w:val="0"/>
        </w:rPr>
        <w:t xml:space="preserve">(5), pp.1697-1712. Available at </w:t>
      </w:r>
      <w:hyperlink r:id="rId31">
        <w:r w:rsidDel="00000000" w:rsidR="00000000" w:rsidRPr="00000000">
          <w:rPr>
            <w:rFonts w:ascii="Times New Roman" w:cs="Times New Roman" w:eastAsia="Times New Roman" w:hAnsi="Times New Roman"/>
            <w:sz w:val="24"/>
            <w:szCs w:val="24"/>
            <w:highlight w:val="white"/>
            <w:rtl w:val="0"/>
          </w:rPr>
          <w:t xml:space="preserve">https://link.springer.com/article/10.1007/s10796-022-10308-y</w:t>
        </w:r>
      </w:hyperlink>
      <w:r w:rsidDel="00000000" w:rsidR="00000000" w:rsidRPr="00000000">
        <w:rPr>
          <w:rFonts w:ascii="Times New Roman" w:cs="Times New Roman" w:eastAsia="Times New Roman" w:hAnsi="Times New Roman"/>
          <w:sz w:val="24"/>
          <w:szCs w:val="24"/>
          <w:highlight w:val="white"/>
          <w:rtl w:val="0"/>
        </w:rPr>
        <w:t xml:space="preserve"> </w:t>
      </w:r>
    </w:p>
    <w:p w:rsidR="00000000" w:rsidDel="00000000" w:rsidP="00000000" w:rsidRDefault="00000000" w:rsidRPr="00000000" w14:paraId="000001A8">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Liu, X., Fu, X., Hua, C. and Li, Z., (2021). Crisis information, communication strategies and customer complaint behaviours: the case of COVID-19. </w:t>
      </w:r>
      <w:r w:rsidDel="00000000" w:rsidR="00000000" w:rsidRPr="00000000">
        <w:rPr>
          <w:rFonts w:ascii="Times New Roman" w:cs="Times New Roman" w:eastAsia="Times New Roman" w:hAnsi="Times New Roman"/>
          <w:i w:val="1"/>
          <w:sz w:val="24"/>
          <w:szCs w:val="24"/>
          <w:highlight w:val="white"/>
          <w:rtl w:val="0"/>
        </w:rPr>
        <w:t xml:space="preserve">Tourism Review</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76</w:t>
      </w:r>
      <w:r w:rsidDel="00000000" w:rsidR="00000000" w:rsidRPr="00000000">
        <w:rPr>
          <w:rFonts w:ascii="Times New Roman" w:cs="Times New Roman" w:eastAsia="Times New Roman" w:hAnsi="Times New Roman"/>
          <w:sz w:val="24"/>
          <w:szCs w:val="24"/>
          <w:highlight w:val="white"/>
          <w:rtl w:val="0"/>
        </w:rPr>
        <w:t xml:space="preserve">(4), pp.962-983. Available at </w:t>
      </w:r>
      <w:hyperlink r:id="rId32">
        <w:r w:rsidDel="00000000" w:rsidR="00000000" w:rsidRPr="00000000">
          <w:rPr>
            <w:rFonts w:ascii="Times New Roman" w:cs="Times New Roman" w:eastAsia="Times New Roman" w:hAnsi="Times New Roman"/>
            <w:sz w:val="24"/>
            <w:szCs w:val="24"/>
            <w:highlight w:val="white"/>
            <w:rtl w:val="0"/>
          </w:rPr>
          <w:t xml:space="preserve">https://www.emerald.com/insight/content/doi/10.1108/tr-01-2021-0004/full/html</w:t>
        </w:r>
      </w:hyperlink>
      <w:r w:rsidDel="00000000" w:rsidR="00000000" w:rsidRPr="00000000">
        <w:rPr>
          <w:rFonts w:ascii="Times New Roman" w:cs="Times New Roman" w:eastAsia="Times New Roman" w:hAnsi="Times New Roman"/>
          <w:sz w:val="24"/>
          <w:szCs w:val="24"/>
          <w:highlight w:val="white"/>
          <w:rtl w:val="0"/>
        </w:rPr>
        <w:t xml:space="preserve"> </w:t>
      </w:r>
    </w:p>
    <w:p w:rsidR="00000000" w:rsidDel="00000000" w:rsidP="00000000" w:rsidRDefault="00000000" w:rsidRPr="00000000" w14:paraId="000001A9">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Mews, (2022),</w:t>
      </w:r>
      <w:r w:rsidDel="00000000" w:rsidR="00000000" w:rsidRPr="00000000">
        <w:rPr>
          <w:rFonts w:ascii="Times New Roman" w:cs="Times New Roman" w:eastAsia="Times New Roman" w:hAnsi="Times New Roman"/>
          <w:i w:val="1"/>
          <w:sz w:val="24"/>
          <w:szCs w:val="24"/>
          <w:highlight w:val="white"/>
          <w:rtl w:val="0"/>
        </w:rPr>
        <w:t xml:space="preserve"> “Five most frequent guest expectations in hotels and how to exceed them”, </w:t>
      </w:r>
      <w:r w:rsidDel="00000000" w:rsidR="00000000" w:rsidRPr="00000000">
        <w:rPr>
          <w:rFonts w:ascii="Times New Roman" w:cs="Times New Roman" w:eastAsia="Times New Roman" w:hAnsi="Times New Roman"/>
          <w:sz w:val="24"/>
          <w:szCs w:val="24"/>
          <w:highlight w:val="white"/>
          <w:rtl w:val="0"/>
        </w:rPr>
        <w:t xml:space="preserve">Available at </w:t>
      </w:r>
      <w:hyperlink r:id="rId33">
        <w:r w:rsidDel="00000000" w:rsidR="00000000" w:rsidRPr="00000000">
          <w:rPr>
            <w:rFonts w:ascii="Times New Roman" w:cs="Times New Roman" w:eastAsia="Times New Roman" w:hAnsi="Times New Roman"/>
            <w:sz w:val="24"/>
            <w:szCs w:val="24"/>
            <w:highlight w:val="white"/>
            <w:rtl w:val="0"/>
          </w:rPr>
          <w:t xml:space="preserve">https://www.mews.com/en/blog/hotel-guest-expectations</w:t>
        </w:r>
      </w:hyperlink>
      <w:r w:rsidDel="00000000" w:rsidR="00000000" w:rsidRPr="00000000">
        <w:rPr>
          <w:rFonts w:ascii="Times New Roman" w:cs="Times New Roman" w:eastAsia="Times New Roman" w:hAnsi="Times New Roman"/>
          <w:sz w:val="24"/>
          <w:szCs w:val="24"/>
          <w:highlight w:val="white"/>
          <w:rtl w:val="0"/>
        </w:rPr>
        <w:t xml:space="preserve"> [Accessed on 28th April]</w:t>
      </w:r>
    </w:p>
    <w:p w:rsidR="00000000" w:rsidDel="00000000" w:rsidP="00000000" w:rsidRDefault="00000000" w:rsidRPr="00000000" w14:paraId="000001AA">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Minvielle, E., Fourcade, A., Ricketts, T. and Waelli, M., (2021). Current developments in delivering customized care: a scoping review. </w:t>
      </w:r>
      <w:r w:rsidDel="00000000" w:rsidR="00000000" w:rsidRPr="00000000">
        <w:rPr>
          <w:rFonts w:ascii="Times New Roman" w:cs="Times New Roman" w:eastAsia="Times New Roman" w:hAnsi="Times New Roman"/>
          <w:i w:val="1"/>
          <w:sz w:val="24"/>
          <w:szCs w:val="24"/>
          <w:highlight w:val="white"/>
          <w:rtl w:val="0"/>
        </w:rPr>
        <w:t xml:space="preserve">BMC Health Services Research</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21</w:t>
      </w:r>
      <w:r w:rsidDel="00000000" w:rsidR="00000000" w:rsidRPr="00000000">
        <w:rPr>
          <w:rFonts w:ascii="Times New Roman" w:cs="Times New Roman" w:eastAsia="Times New Roman" w:hAnsi="Times New Roman"/>
          <w:sz w:val="24"/>
          <w:szCs w:val="24"/>
          <w:highlight w:val="white"/>
          <w:rtl w:val="0"/>
        </w:rPr>
        <w:t xml:space="preserve">, pp.1-29. Available at </w:t>
      </w:r>
      <w:hyperlink r:id="rId34">
        <w:r w:rsidDel="00000000" w:rsidR="00000000" w:rsidRPr="00000000">
          <w:rPr>
            <w:rFonts w:ascii="Times New Roman" w:cs="Times New Roman" w:eastAsia="Times New Roman" w:hAnsi="Times New Roman"/>
            <w:sz w:val="24"/>
            <w:szCs w:val="24"/>
            <w:highlight w:val="white"/>
            <w:rtl w:val="0"/>
          </w:rPr>
          <w:t xml:space="preserve">https://link.springer.com/article/10.1186/s12913-021-06576-0</w:t>
        </w:r>
      </w:hyperlink>
      <w:r w:rsidDel="00000000" w:rsidR="00000000" w:rsidRPr="00000000">
        <w:rPr>
          <w:rFonts w:ascii="Times New Roman" w:cs="Times New Roman" w:eastAsia="Times New Roman" w:hAnsi="Times New Roman"/>
          <w:sz w:val="24"/>
          <w:szCs w:val="24"/>
          <w:highlight w:val="white"/>
          <w:rtl w:val="0"/>
        </w:rPr>
        <w:t xml:space="preserve"> </w:t>
      </w:r>
    </w:p>
    <w:p w:rsidR="00000000" w:rsidDel="00000000" w:rsidP="00000000" w:rsidRDefault="00000000" w:rsidRPr="00000000" w14:paraId="000001AB">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Nagel, C., (2025). and subtitle: From Crisis to Care: The evolution of Nurses Work Environments Post. Available at  </w:t>
      </w:r>
      <w:hyperlink r:id="rId35">
        <w:r w:rsidDel="00000000" w:rsidR="00000000" w:rsidRPr="00000000">
          <w:rPr>
            <w:rFonts w:ascii="Times New Roman" w:cs="Times New Roman" w:eastAsia="Times New Roman" w:hAnsi="Times New Roman"/>
            <w:sz w:val="24"/>
            <w:szCs w:val="24"/>
            <w:highlight w:val="white"/>
            <w:rtl w:val="0"/>
          </w:rPr>
          <w:t xml:space="preserve">https://lucris.lub.lu.se/ws/portalfiles/portal/211981449/Avhandling_Cicilia_Nagel_LUCRIS.pdf</w:t>
        </w:r>
      </w:hyperlink>
      <w:r w:rsidDel="00000000" w:rsidR="00000000" w:rsidRPr="00000000">
        <w:rPr>
          <w:rFonts w:ascii="Times New Roman" w:cs="Times New Roman" w:eastAsia="Times New Roman" w:hAnsi="Times New Roman"/>
          <w:sz w:val="24"/>
          <w:szCs w:val="24"/>
          <w:highlight w:val="white"/>
          <w:rtl w:val="0"/>
        </w:rPr>
        <w:t xml:space="preserve"> </w:t>
      </w:r>
    </w:p>
    <w:p w:rsidR="00000000" w:rsidDel="00000000" w:rsidP="00000000" w:rsidRDefault="00000000" w:rsidRPr="00000000" w14:paraId="000001AC">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Ndiuini, A. and Baum, T., (2021). Underemployment and lived experiences of migrant workers in the hotel industry: policy and industry implications. </w:t>
      </w:r>
      <w:r w:rsidDel="00000000" w:rsidR="00000000" w:rsidRPr="00000000">
        <w:rPr>
          <w:rFonts w:ascii="Times New Roman" w:cs="Times New Roman" w:eastAsia="Times New Roman" w:hAnsi="Times New Roman"/>
          <w:i w:val="1"/>
          <w:sz w:val="24"/>
          <w:szCs w:val="24"/>
          <w:highlight w:val="white"/>
          <w:rtl w:val="0"/>
        </w:rPr>
        <w:t xml:space="preserve">Journal of Policy Research in Tourism, Leisure and Events</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13</w:t>
      </w:r>
      <w:r w:rsidDel="00000000" w:rsidR="00000000" w:rsidRPr="00000000">
        <w:rPr>
          <w:rFonts w:ascii="Times New Roman" w:cs="Times New Roman" w:eastAsia="Times New Roman" w:hAnsi="Times New Roman"/>
          <w:sz w:val="24"/>
          <w:szCs w:val="24"/>
          <w:highlight w:val="white"/>
          <w:rtl w:val="0"/>
        </w:rPr>
        <w:t xml:space="preserve">(1), pp.36-58. Available at </w:t>
      </w:r>
      <w:hyperlink r:id="rId36">
        <w:r w:rsidDel="00000000" w:rsidR="00000000" w:rsidRPr="00000000">
          <w:rPr>
            <w:rFonts w:ascii="Times New Roman" w:cs="Times New Roman" w:eastAsia="Times New Roman" w:hAnsi="Times New Roman"/>
            <w:sz w:val="24"/>
            <w:szCs w:val="24"/>
            <w:highlight w:val="white"/>
            <w:rtl w:val="0"/>
          </w:rPr>
          <w:t xml:space="preserve">https://www.tandfonline.com/doi/abs/10.1080/19407963.2020.1743487</w:t>
        </w:r>
      </w:hyperlink>
      <w:r w:rsidDel="00000000" w:rsidR="00000000" w:rsidRPr="00000000">
        <w:rPr>
          <w:rFonts w:ascii="Times New Roman" w:cs="Times New Roman" w:eastAsia="Times New Roman" w:hAnsi="Times New Roman"/>
          <w:sz w:val="24"/>
          <w:szCs w:val="24"/>
          <w:highlight w:val="white"/>
          <w:rtl w:val="0"/>
        </w:rPr>
        <w:t xml:space="preserve"> </w:t>
      </w:r>
    </w:p>
    <w:p w:rsidR="00000000" w:rsidDel="00000000" w:rsidP="00000000" w:rsidRDefault="00000000" w:rsidRPr="00000000" w14:paraId="000001AD">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Ngo, V.M., Quang, H.T., Hoang, T.G. and Binh, A.D.T., (2024). Sustainability‐related supply chain risks and supply chain performances: The moderating effects of dynamic supply chain management practices. </w:t>
      </w:r>
      <w:r w:rsidDel="00000000" w:rsidR="00000000" w:rsidRPr="00000000">
        <w:rPr>
          <w:rFonts w:ascii="Times New Roman" w:cs="Times New Roman" w:eastAsia="Times New Roman" w:hAnsi="Times New Roman"/>
          <w:i w:val="1"/>
          <w:sz w:val="24"/>
          <w:szCs w:val="24"/>
          <w:highlight w:val="white"/>
          <w:rtl w:val="0"/>
        </w:rPr>
        <w:t xml:space="preserve">Business Strategy and the Environment</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33</w:t>
      </w:r>
      <w:r w:rsidDel="00000000" w:rsidR="00000000" w:rsidRPr="00000000">
        <w:rPr>
          <w:rFonts w:ascii="Times New Roman" w:cs="Times New Roman" w:eastAsia="Times New Roman" w:hAnsi="Times New Roman"/>
          <w:sz w:val="24"/>
          <w:szCs w:val="24"/>
          <w:highlight w:val="white"/>
          <w:rtl w:val="0"/>
        </w:rPr>
        <w:t xml:space="preserve">(2), pp.839-857. Available at </w:t>
      </w:r>
      <w:hyperlink r:id="rId37">
        <w:r w:rsidDel="00000000" w:rsidR="00000000" w:rsidRPr="00000000">
          <w:rPr>
            <w:rFonts w:ascii="Times New Roman" w:cs="Times New Roman" w:eastAsia="Times New Roman" w:hAnsi="Times New Roman"/>
            <w:sz w:val="24"/>
            <w:szCs w:val="24"/>
            <w:highlight w:val="white"/>
            <w:rtl w:val="0"/>
          </w:rPr>
          <w:t xml:space="preserve">https://onlinelibrary.wiley.com/doi/abs/10.1002/bse.3512</w:t>
        </w:r>
      </w:hyperlink>
      <w:r w:rsidDel="00000000" w:rsidR="00000000" w:rsidRPr="00000000">
        <w:rPr>
          <w:rFonts w:ascii="Times New Roman" w:cs="Times New Roman" w:eastAsia="Times New Roman" w:hAnsi="Times New Roman"/>
          <w:sz w:val="24"/>
          <w:szCs w:val="24"/>
          <w:highlight w:val="white"/>
          <w:rtl w:val="0"/>
        </w:rPr>
        <w:t xml:space="preserve"> </w:t>
      </w:r>
    </w:p>
    <w:p w:rsidR="00000000" w:rsidDel="00000000" w:rsidP="00000000" w:rsidRDefault="00000000" w:rsidRPr="00000000" w14:paraId="000001AE">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Olayinka, O.H., (2021). Big data integration and real-time analytics for enhancing operational efficiency and market responsiveness. Int J Sci Res Arch, 4(1), pp.280-96. Available at </w:t>
      </w:r>
      <w:hyperlink r:id="rId38">
        <w:r w:rsidDel="00000000" w:rsidR="00000000" w:rsidRPr="00000000">
          <w:rPr>
            <w:rFonts w:ascii="Times New Roman" w:cs="Times New Roman" w:eastAsia="Times New Roman" w:hAnsi="Times New Roman"/>
            <w:sz w:val="24"/>
            <w:szCs w:val="24"/>
            <w:highlight w:val="white"/>
            <w:rtl w:val="0"/>
          </w:rPr>
          <w:t xml:space="preserve">https://www.researchgate.net/profile/Olayinka-Olalekan/publication/390434060_Big_data_integration_and_real-time_analytics_for_enhancing_operational_efficiency_and_market_responsiveness/links/67edc99203b8d7280e1e21c5/Big-data-integration-and-real-time-analytics-for-enhancing-operational-efficiency-and-market-responsiveness.pdf</w:t>
        </w:r>
      </w:hyperlink>
      <w:r w:rsidDel="00000000" w:rsidR="00000000" w:rsidRPr="00000000">
        <w:rPr>
          <w:rFonts w:ascii="Times New Roman" w:cs="Times New Roman" w:eastAsia="Times New Roman" w:hAnsi="Times New Roman"/>
          <w:sz w:val="24"/>
          <w:szCs w:val="24"/>
          <w:highlight w:val="white"/>
          <w:rtl w:val="0"/>
        </w:rPr>
        <w:t xml:space="preserve"> </w:t>
      </w:r>
    </w:p>
    <w:p w:rsidR="00000000" w:rsidDel="00000000" w:rsidP="00000000" w:rsidRDefault="00000000" w:rsidRPr="00000000" w14:paraId="000001AF">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Olorunsola, V.O., Saydam, M.B., Arasli, H. and Sulu, D., (2022). Guest service experience in eco-centric hotels: a content analysis. </w:t>
      </w:r>
      <w:r w:rsidDel="00000000" w:rsidR="00000000" w:rsidRPr="00000000">
        <w:rPr>
          <w:rFonts w:ascii="Times New Roman" w:cs="Times New Roman" w:eastAsia="Times New Roman" w:hAnsi="Times New Roman"/>
          <w:i w:val="1"/>
          <w:sz w:val="24"/>
          <w:szCs w:val="24"/>
          <w:highlight w:val="white"/>
          <w:rtl w:val="0"/>
        </w:rPr>
        <w:t xml:space="preserve">International Hospitality Review</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38</w:t>
      </w:r>
      <w:r w:rsidDel="00000000" w:rsidR="00000000" w:rsidRPr="00000000">
        <w:rPr>
          <w:rFonts w:ascii="Times New Roman" w:cs="Times New Roman" w:eastAsia="Times New Roman" w:hAnsi="Times New Roman"/>
          <w:sz w:val="24"/>
          <w:szCs w:val="24"/>
          <w:highlight w:val="white"/>
          <w:rtl w:val="0"/>
        </w:rPr>
        <w:t xml:space="preserve">(1), pp.81-100. Available at </w:t>
      </w:r>
      <w:hyperlink r:id="rId39">
        <w:r w:rsidDel="00000000" w:rsidR="00000000" w:rsidRPr="00000000">
          <w:rPr>
            <w:rFonts w:ascii="Times New Roman" w:cs="Times New Roman" w:eastAsia="Times New Roman" w:hAnsi="Times New Roman"/>
            <w:sz w:val="24"/>
            <w:szCs w:val="24"/>
            <w:highlight w:val="white"/>
            <w:rtl w:val="0"/>
          </w:rPr>
          <w:t xml:space="preserve">https://www.emerald.com/insight/content/doi/10.1108/ihr-04-2022-0019/full/html</w:t>
        </w:r>
      </w:hyperlink>
      <w:r w:rsidDel="00000000" w:rsidR="00000000" w:rsidRPr="00000000">
        <w:rPr>
          <w:rFonts w:ascii="Times New Roman" w:cs="Times New Roman" w:eastAsia="Times New Roman" w:hAnsi="Times New Roman"/>
          <w:sz w:val="24"/>
          <w:szCs w:val="24"/>
          <w:highlight w:val="white"/>
          <w:rtl w:val="0"/>
        </w:rPr>
        <w:t xml:space="preserve"> </w:t>
      </w:r>
    </w:p>
    <w:p w:rsidR="00000000" w:rsidDel="00000000" w:rsidP="00000000" w:rsidRDefault="00000000" w:rsidRPr="00000000" w14:paraId="000001B0">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Ozuem, W., Willis, M., Howell, K., Ranfagni, S. and Rovai, S., (2024). Examining user-generated content, service failure recovery and customer–brand relationships: an exploration through commitment-trust theory. </w:t>
      </w:r>
      <w:r w:rsidDel="00000000" w:rsidR="00000000" w:rsidRPr="00000000">
        <w:rPr>
          <w:rFonts w:ascii="Times New Roman" w:cs="Times New Roman" w:eastAsia="Times New Roman" w:hAnsi="Times New Roman"/>
          <w:i w:val="1"/>
          <w:sz w:val="24"/>
          <w:szCs w:val="24"/>
          <w:highlight w:val="white"/>
          <w:rtl w:val="0"/>
        </w:rPr>
        <w:t xml:space="preserve">Internet Research</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34</w:t>
      </w:r>
      <w:r w:rsidDel="00000000" w:rsidR="00000000" w:rsidRPr="00000000">
        <w:rPr>
          <w:rFonts w:ascii="Times New Roman" w:cs="Times New Roman" w:eastAsia="Times New Roman" w:hAnsi="Times New Roman"/>
          <w:sz w:val="24"/>
          <w:szCs w:val="24"/>
          <w:highlight w:val="white"/>
          <w:rtl w:val="0"/>
        </w:rPr>
        <w:t xml:space="preserve">(3), pp.784-809. Available at </w:t>
      </w:r>
      <w:hyperlink r:id="rId40">
        <w:r w:rsidDel="00000000" w:rsidR="00000000" w:rsidRPr="00000000">
          <w:rPr>
            <w:rFonts w:ascii="Times New Roman" w:cs="Times New Roman" w:eastAsia="Times New Roman" w:hAnsi="Times New Roman"/>
            <w:sz w:val="24"/>
            <w:szCs w:val="24"/>
            <w:highlight w:val="white"/>
            <w:rtl w:val="0"/>
          </w:rPr>
          <w:t xml:space="preserve">https://www.emerald.com/insight/content/doi/10.1108/intr-07-2022-0580/full/html</w:t>
        </w:r>
      </w:hyperlink>
      <w:r w:rsidDel="00000000" w:rsidR="00000000" w:rsidRPr="00000000">
        <w:rPr>
          <w:rFonts w:ascii="Times New Roman" w:cs="Times New Roman" w:eastAsia="Times New Roman" w:hAnsi="Times New Roman"/>
          <w:sz w:val="24"/>
          <w:szCs w:val="24"/>
          <w:highlight w:val="white"/>
          <w:rtl w:val="0"/>
        </w:rPr>
        <w:t xml:space="preserve"> </w:t>
      </w:r>
    </w:p>
    <w:p w:rsidR="00000000" w:rsidDel="00000000" w:rsidP="00000000" w:rsidRDefault="00000000" w:rsidRPr="00000000" w14:paraId="000001B1">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People Keep, (2025), </w:t>
      </w:r>
      <w:r w:rsidDel="00000000" w:rsidR="00000000" w:rsidRPr="00000000">
        <w:rPr>
          <w:rFonts w:ascii="Times New Roman" w:cs="Times New Roman" w:eastAsia="Times New Roman" w:hAnsi="Times New Roman"/>
          <w:i w:val="1"/>
          <w:sz w:val="24"/>
          <w:szCs w:val="24"/>
          <w:highlight w:val="white"/>
          <w:rtl w:val="0"/>
        </w:rPr>
        <w:t xml:space="preserve">“How to calculate your employee retention rate”, </w:t>
      </w:r>
      <w:r w:rsidDel="00000000" w:rsidR="00000000" w:rsidRPr="00000000">
        <w:rPr>
          <w:rFonts w:ascii="Times New Roman" w:cs="Times New Roman" w:eastAsia="Times New Roman" w:hAnsi="Times New Roman"/>
          <w:sz w:val="24"/>
          <w:szCs w:val="24"/>
          <w:highlight w:val="white"/>
          <w:rtl w:val="0"/>
        </w:rPr>
        <w:t xml:space="preserve">Available at </w:t>
      </w:r>
      <w:hyperlink r:id="rId41">
        <w:r w:rsidDel="00000000" w:rsidR="00000000" w:rsidRPr="00000000">
          <w:rPr>
            <w:rFonts w:ascii="Times New Roman" w:cs="Times New Roman" w:eastAsia="Times New Roman" w:hAnsi="Times New Roman"/>
            <w:sz w:val="24"/>
            <w:szCs w:val="24"/>
            <w:highlight w:val="white"/>
            <w:rtl w:val="0"/>
          </w:rPr>
          <w:t xml:space="preserve">https://www.peoplekeep.com/blog/how-to-calculate-hr-employee-retention-rates</w:t>
        </w:r>
      </w:hyperlink>
      <w:r w:rsidDel="00000000" w:rsidR="00000000" w:rsidRPr="00000000">
        <w:rPr>
          <w:rFonts w:ascii="Times New Roman" w:cs="Times New Roman" w:eastAsia="Times New Roman" w:hAnsi="Times New Roman"/>
          <w:sz w:val="24"/>
          <w:szCs w:val="24"/>
          <w:highlight w:val="white"/>
          <w:rtl w:val="0"/>
        </w:rPr>
        <w:t xml:space="preserve"> [Accessed on 29th April]</w:t>
      </w:r>
    </w:p>
    <w:p w:rsidR="00000000" w:rsidDel="00000000" w:rsidP="00000000" w:rsidRDefault="00000000" w:rsidRPr="00000000" w14:paraId="000001B2">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Saleh, A.S. and Zohry, M.A.E.F., (2022). Towards A Sustainable Hotel Education (An Analytical Strategic Study at The Faculty of Tourism and Hotels, Mansoura University-TOWS Matrix as A Model). </w:t>
      </w:r>
      <w:r w:rsidDel="00000000" w:rsidR="00000000" w:rsidRPr="00000000">
        <w:rPr>
          <w:rFonts w:ascii="Times New Roman" w:cs="Times New Roman" w:eastAsia="Times New Roman" w:hAnsi="Times New Roman"/>
          <w:i w:val="1"/>
          <w:sz w:val="24"/>
          <w:szCs w:val="24"/>
          <w:highlight w:val="white"/>
          <w:rtl w:val="0"/>
        </w:rPr>
        <w:t xml:space="preserve">International Journal of Tourism, Archaeology and Hospitality</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2</w:t>
      </w:r>
      <w:r w:rsidDel="00000000" w:rsidR="00000000" w:rsidRPr="00000000">
        <w:rPr>
          <w:rFonts w:ascii="Times New Roman" w:cs="Times New Roman" w:eastAsia="Times New Roman" w:hAnsi="Times New Roman"/>
          <w:sz w:val="24"/>
          <w:szCs w:val="24"/>
          <w:highlight w:val="white"/>
          <w:rtl w:val="0"/>
        </w:rPr>
        <w:t xml:space="preserve">(1), pp.45-74. Available at  </w:t>
      </w:r>
      <w:hyperlink r:id="rId42">
        <w:r w:rsidDel="00000000" w:rsidR="00000000" w:rsidRPr="00000000">
          <w:rPr>
            <w:rFonts w:ascii="Times New Roman" w:cs="Times New Roman" w:eastAsia="Times New Roman" w:hAnsi="Times New Roman"/>
            <w:sz w:val="24"/>
            <w:szCs w:val="24"/>
            <w:highlight w:val="white"/>
            <w:rtl w:val="0"/>
          </w:rPr>
          <w:t xml:space="preserve">https://ijtah.journals.ekb.eg/article_244444.html</w:t>
        </w:r>
      </w:hyperlink>
      <w:r w:rsidDel="00000000" w:rsidR="00000000" w:rsidRPr="00000000">
        <w:rPr>
          <w:rFonts w:ascii="Times New Roman" w:cs="Times New Roman" w:eastAsia="Times New Roman" w:hAnsi="Times New Roman"/>
          <w:sz w:val="24"/>
          <w:szCs w:val="24"/>
          <w:highlight w:val="white"/>
          <w:rtl w:val="0"/>
        </w:rPr>
        <w:t xml:space="preserve"> </w:t>
      </w:r>
    </w:p>
    <w:p w:rsidR="00000000" w:rsidDel="00000000" w:rsidP="00000000" w:rsidRDefault="00000000" w:rsidRPr="00000000" w14:paraId="000001B3">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Sargent, K., (2023). The labor market impacts of Brexit: Migration and the European union. </w:t>
      </w:r>
      <w:r w:rsidDel="00000000" w:rsidR="00000000" w:rsidRPr="00000000">
        <w:rPr>
          <w:rFonts w:ascii="Times New Roman" w:cs="Times New Roman" w:eastAsia="Times New Roman" w:hAnsi="Times New Roman"/>
          <w:i w:val="1"/>
          <w:sz w:val="24"/>
          <w:szCs w:val="24"/>
          <w:highlight w:val="white"/>
          <w:rtl w:val="0"/>
        </w:rPr>
        <w:t xml:space="preserve">Economic Modelling</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121</w:t>
      </w:r>
      <w:r w:rsidDel="00000000" w:rsidR="00000000" w:rsidRPr="00000000">
        <w:rPr>
          <w:rFonts w:ascii="Times New Roman" w:cs="Times New Roman" w:eastAsia="Times New Roman" w:hAnsi="Times New Roman"/>
          <w:sz w:val="24"/>
          <w:szCs w:val="24"/>
          <w:highlight w:val="white"/>
          <w:rtl w:val="0"/>
        </w:rPr>
        <w:t xml:space="preserve">, p.106196. Available at </w:t>
      </w:r>
      <w:hyperlink r:id="rId43">
        <w:r w:rsidDel="00000000" w:rsidR="00000000" w:rsidRPr="00000000">
          <w:rPr>
            <w:rFonts w:ascii="Times New Roman" w:cs="Times New Roman" w:eastAsia="Times New Roman" w:hAnsi="Times New Roman"/>
            <w:sz w:val="24"/>
            <w:szCs w:val="24"/>
            <w:highlight w:val="white"/>
            <w:rtl w:val="0"/>
          </w:rPr>
          <w:t xml:space="preserve">https://www.sciencedirect.com/science/article/pii/S0264999323000081</w:t>
        </w:r>
      </w:hyperlink>
      <w:r w:rsidDel="00000000" w:rsidR="00000000" w:rsidRPr="00000000">
        <w:rPr>
          <w:rFonts w:ascii="Times New Roman" w:cs="Times New Roman" w:eastAsia="Times New Roman" w:hAnsi="Times New Roman"/>
          <w:sz w:val="24"/>
          <w:szCs w:val="24"/>
          <w:highlight w:val="white"/>
          <w:rtl w:val="0"/>
        </w:rPr>
        <w:t xml:space="preserve"> </w:t>
      </w:r>
    </w:p>
    <w:p w:rsidR="00000000" w:rsidDel="00000000" w:rsidP="00000000" w:rsidRDefault="00000000" w:rsidRPr="00000000" w14:paraId="000001B4">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Sehgal, H.L.K., Greenfield, G., Neves, A.L., Harmon, M., Majeed, A. and Hayhoe, B., (2024). Efficacy and safety of a digital check-in and triage kiosk in emergency departments: a systematic review protocol. </w:t>
      </w:r>
      <w:r w:rsidDel="00000000" w:rsidR="00000000" w:rsidRPr="00000000">
        <w:rPr>
          <w:rFonts w:ascii="Times New Roman" w:cs="Times New Roman" w:eastAsia="Times New Roman" w:hAnsi="Times New Roman"/>
          <w:i w:val="1"/>
          <w:sz w:val="24"/>
          <w:szCs w:val="24"/>
          <w:highlight w:val="white"/>
          <w:rtl w:val="0"/>
        </w:rPr>
        <w:t xml:space="preserve">BMJ open</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14</w:t>
      </w:r>
      <w:r w:rsidDel="00000000" w:rsidR="00000000" w:rsidRPr="00000000">
        <w:rPr>
          <w:rFonts w:ascii="Times New Roman" w:cs="Times New Roman" w:eastAsia="Times New Roman" w:hAnsi="Times New Roman"/>
          <w:sz w:val="24"/>
          <w:szCs w:val="24"/>
          <w:highlight w:val="white"/>
          <w:rtl w:val="0"/>
        </w:rPr>
        <w:t xml:space="preserve">(7), p.e084506. Available at </w:t>
      </w:r>
      <w:hyperlink r:id="rId44">
        <w:r w:rsidDel="00000000" w:rsidR="00000000" w:rsidRPr="00000000">
          <w:rPr>
            <w:rFonts w:ascii="Times New Roman" w:cs="Times New Roman" w:eastAsia="Times New Roman" w:hAnsi="Times New Roman"/>
            <w:sz w:val="24"/>
            <w:szCs w:val="24"/>
            <w:highlight w:val="white"/>
            <w:rtl w:val="0"/>
          </w:rPr>
          <w:t xml:space="preserve">https://bmjopen.bmj.com/content/14/7/e084506.abstract</w:t>
        </w:r>
      </w:hyperlink>
      <w:r w:rsidDel="00000000" w:rsidR="00000000" w:rsidRPr="00000000">
        <w:rPr>
          <w:rFonts w:ascii="Times New Roman" w:cs="Times New Roman" w:eastAsia="Times New Roman" w:hAnsi="Times New Roman"/>
          <w:sz w:val="24"/>
          <w:szCs w:val="24"/>
          <w:highlight w:val="white"/>
          <w:rtl w:val="0"/>
        </w:rPr>
        <w:t xml:space="preserve"> </w:t>
      </w:r>
    </w:p>
    <w:p w:rsidR="00000000" w:rsidDel="00000000" w:rsidP="00000000" w:rsidRDefault="00000000" w:rsidRPr="00000000" w14:paraId="000001B5">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Singgalen, Y.A., (2025). Uncovering Service Gaps in Hospitality: A Thematic Analysis of Guest Reviews for Service Quality Improvement. </w:t>
      </w:r>
      <w:r w:rsidDel="00000000" w:rsidR="00000000" w:rsidRPr="00000000">
        <w:rPr>
          <w:rFonts w:ascii="Times New Roman" w:cs="Times New Roman" w:eastAsia="Times New Roman" w:hAnsi="Times New Roman"/>
          <w:i w:val="1"/>
          <w:sz w:val="24"/>
          <w:szCs w:val="24"/>
          <w:highlight w:val="white"/>
          <w:rtl w:val="0"/>
        </w:rPr>
        <w:t xml:space="preserve">Journal of Business and Economics Research (JBE)</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6</w:t>
      </w:r>
      <w:r w:rsidDel="00000000" w:rsidR="00000000" w:rsidRPr="00000000">
        <w:rPr>
          <w:rFonts w:ascii="Times New Roman" w:cs="Times New Roman" w:eastAsia="Times New Roman" w:hAnsi="Times New Roman"/>
          <w:sz w:val="24"/>
          <w:szCs w:val="24"/>
          <w:highlight w:val="white"/>
          <w:rtl w:val="0"/>
        </w:rPr>
        <w:t xml:space="preserve">(1), pp.105-117. Available at  </w:t>
      </w:r>
      <w:hyperlink r:id="rId45">
        <w:r w:rsidDel="00000000" w:rsidR="00000000" w:rsidRPr="00000000">
          <w:rPr>
            <w:rFonts w:ascii="Times New Roman" w:cs="Times New Roman" w:eastAsia="Times New Roman" w:hAnsi="Times New Roman"/>
            <w:sz w:val="24"/>
            <w:szCs w:val="24"/>
            <w:highlight w:val="white"/>
            <w:rtl w:val="0"/>
          </w:rPr>
          <w:t xml:space="preserve">https://www.researchgate.net/profile/Yerik-Singgalen/publication/388954162_Uncovering_Service_Gaps_in_Hospitality_A_Thematic_Analysis_of_Guest_Reviews_for_Service_Quality_Improvement/links/67adf7a9207c0c20fa87fd40/Uncovering-Service-Gaps-in-Hospitality-A-Thematic-Analysis-of-Guest-Reviews-for-Service-Quality-Improvement.pdf</w:t>
        </w:r>
      </w:hyperlink>
      <w:r w:rsidDel="00000000" w:rsidR="00000000" w:rsidRPr="00000000">
        <w:rPr>
          <w:rFonts w:ascii="Times New Roman" w:cs="Times New Roman" w:eastAsia="Times New Roman" w:hAnsi="Times New Roman"/>
          <w:sz w:val="24"/>
          <w:szCs w:val="24"/>
          <w:highlight w:val="white"/>
          <w:rtl w:val="0"/>
        </w:rPr>
        <w:t xml:space="preserve"> </w:t>
      </w:r>
    </w:p>
    <w:p w:rsidR="00000000" w:rsidDel="00000000" w:rsidP="00000000" w:rsidRDefault="00000000" w:rsidRPr="00000000" w14:paraId="000001B6">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Spencer James Group, (2025), </w:t>
      </w:r>
      <w:r w:rsidDel="00000000" w:rsidR="00000000" w:rsidRPr="00000000">
        <w:rPr>
          <w:rFonts w:ascii="Times New Roman" w:cs="Times New Roman" w:eastAsia="Times New Roman" w:hAnsi="Times New Roman"/>
          <w:i w:val="1"/>
          <w:sz w:val="24"/>
          <w:szCs w:val="24"/>
          <w:highlight w:val="white"/>
          <w:rtl w:val="0"/>
        </w:rPr>
        <w:t xml:space="preserve">“How Intangible Benefits Create a Better Employee Experience”,</w:t>
      </w:r>
      <w:r w:rsidDel="00000000" w:rsidR="00000000" w:rsidRPr="00000000">
        <w:rPr>
          <w:rFonts w:ascii="Times New Roman" w:cs="Times New Roman" w:eastAsia="Times New Roman" w:hAnsi="Times New Roman"/>
          <w:sz w:val="24"/>
          <w:szCs w:val="24"/>
          <w:highlight w:val="white"/>
          <w:rtl w:val="0"/>
        </w:rPr>
        <w:t xml:space="preserve"> Available at </w:t>
      </w:r>
      <w:hyperlink r:id="rId46">
        <w:r w:rsidDel="00000000" w:rsidR="00000000" w:rsidRPr="00000000">
          <w:rPr>
            <w:rFonts w:ascii="Times New Roman" w:cs="Times New Roman" w:eastAsia="Times New Roman" w:hAnsi="Times New Roman"/>
            <w:sz w:val="24"/>
            <w:szCs w:val="24"/>
            <w:highlight w:val="white"/>
            <w:rtl w:val="0"/>
          </w:rPr>
          <w:t xml:space="preserve">https://spencerjamesgroup.com/blog/how-intangible-benefits-create-a-better-employee-experience</w:t>
        </w:r>
      </w:hyperlink>
      <w:r w:rsidDel="00000000" w:rsidR="00000000" w:rsidRPr="00000000">
        <w:rPr>
          <w:rFonts w:ascii="Times New Roman" w:cs="Times New Roman" w:eastAsia="Times New Roman" w:hAnsi="Times New Roman"/>
          <w:sz w:val="24"/>
          <w:szCs w:val="24"/>
          <w:highlight w:val="white"/>
          <w:rtl w:val="0"/>
        </w:rPr>
        <w:t xml:space="preserve"> [Accessed on 29th April]</w:t>
      </w:r>
    </w:p>
    <w:p w:rsidR="00000000" w:rsidDel="00000000" w:rsidP="00000000" w:rsidRDefault="00000000" w:rsidRPr="00000000" w14:paraId="000001B7">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Statista, (2024), </w:t>
      </w:r>
      <w:r w:rsidDel="00000000" w:rsidR="00000000" w:rsidRPr="00000000">
        <w:rPr>
          <w:rFonts w:ascii="Times New Roman" w:cs="Times New Roman" w:eastAsia="Times New Roman" w:hAnsi="Times New Roman"/>
          <w:i w:val="1"/>
          <w:sz w:val="24"/>
          <w:szCs w:val="24"/>
          <w:highlight w:val="white"/>
          <w:rtl w:val="0"/>
        </w:rPr>
        <w:t xml:space="preserve">“Main factors contributing to recruiting and retention challenges in the United States as of 2024”,</w:t>
      </w:r>
      <w:r w:rsidDel="00000000" w:rsidR="00000000" w:rsidRPr="00000000">
        <w:rPr>
          <w:rFonts w:ascii="Times New Roman" w:cs="Times New Roman" w:eastAsia="Times New Roman" w:hAnsi="Times New Roman"/>
          <w:sz w:val="24"/>
          <w:szCs w:val="24"/>
          <w:highlight w:val="white"/>
          <w:rtl w:val="0"/>
        </w:rPr>
        <w:t xml:space="preserve"> Available at </w:t>
      </w:r>
      <w:hyperlink r:id="rId47">
        <w:r w:rsidDel="00000000" w:rsidR="00000000" w:rsidRPr="00000000">
          <w:rPr>
            <w:rFonts w:ascii="Times New Roman" w:cs="Times New Roman" w:eastAsia="Times New Roman" w:hAnsi="Times New Roman"/>
            <w:sz w:val="24"/>
            <w:szCs w:val="24"/>
            <w:highlight w:val="white"/>
            <w:rtl w:val="0"/>
          </w:rPr>
          <w:t xml:space="preserve">https://www.statista.com/statistics/1332197/factors-influencing-recruitment-retention-problems-worldwide/</w:t>
        </w:r>
      </w:hyperlink>
      <w:r w:rsidDel="00000000" w:rsidR="00000000" w:rsidRPr="00000000">
        <w:rPr>
          <w:rFonts w:ascii="Times New Roman" w:cs="Times New Roman" w:eastAsia="Times New Roman" w:hAnsi="Times New Roman"/>
          <w:sz w:val="24"/>
          <w:szCs w:val="24"/>
          <w:highlight w:val="white"/>
          <w:rtl w:val="0"/>
        </w:rPr>
        <w:t xml:space="preserve"> [Accessed on 29th April]</w:t>
      </w:r>
    </w:p>
    <w:p w:rsidR="00000000" w:rsidDel="00000000" w:rsidP="00000000" w:rsidRDefault="00000000" w:rsidRPr="00000000" w14:paraId="000001B8">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Statista, (2025), </w:t>
      </w:r>
      <w:r w:rsidDel="00000000" w:rsidR="00000000" w:rsidRPr="00000000">
        <w:rPr>
          <w:rFonts w:ascii="Times New Roman" w:cs="Times New Roman" w:eastAsia="Times New Roman" w:hAnsi="Times New Roman"/>
          <w:i w:val="1"/>
          <w:sz w:val="24"/>
          <w:szCs w:val="24"/>
          <w:highlight w:val="white"/>
          <w:rtl w:val="0"/>
        </w:rPr>
        <w:t xml:space="preserve">“Hilton - statistics &amp; facts”,</w:t>
      </w:r>
      <w:r w:rsidDel="00000000" w:rsidR="00000000" w:rsidRPr="00000000">
        <w:rPr>
          <w:rFonts w:ascii="Times New Roman" w:cs="Times New Roman" w:eastAsia="Times New Roman" w:hAnsi="Times New Roman"/>
          <w:sz w:val="24"/>
          <w:szCs w:val="24"/>
          <w:highlight w:val="white"/>
          <w:rtl w:val="0"/>
        </w:rPr>
        <w:t xml:space="preserve"> Available at </w:t>
      </w:r>
      <w:hyperlink r:id="rId48">
        <w:r w:rsidDel="00000000" w:rsidR="00000000" w:rsidRPr="00000000">
          <w:rPr>
            <w:rFonts w:ascii="Times New Roman" w:cs="Times New Roman" w:eastAsia="Times New Roman" w:hAnsi="Times New Roman"/>
            <w:sz w:val="24"/>
            <w:szCs w:val="24"/>
            <w:highlight w:val="white"/>
            <w:rtl w:val="0"/>
          </w:rPr>
          <w:t xml:space="preserve">https://www.statista.com/topics/1880/hilton-worldwide/</w:t>
        </w:r>
      </w:hyperlink>
      <w:r w:rsidDel="00000000" w:rsidR="00000000" w:rsidRPr="00000000">
        <w:rPr>
          <w:rFonts w:ascii="Times New Roman" w:cs="Times New Roman" w:eastAsia="Times New Roman" w:hAnsi="Times New Roman"/>
          <w:sz w:val="24"/>
          <w:szCs w:val="24"/>
          <w:highlight w:val="white"/>
          <w:rtl w:val="0"/>
        </w:rPr>
        <w:t xml:space="preserve"> [Accessed on 29th April]</w:t>
      </w:r>
    </w:p>
    <w:p w:rsidR="00000000" w:rsidDel="00000000" w:rsidP="00000000" w:rsidRDefault="00000000" w:rsidRPr="00000000" w14:paraId="000001B9">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Stories from Hilton, (2024), </w:t>
      </w:r>
      <w:r w:rsidDel="00000000" w:rsidR="00000000" w:rsidRPr="00000000">
        <w:rPr>
          <w:rFonts w:ascii="Times New Roman" w:cs="Times New Roman" w:eastAsia="Times New Roman" w:hAnsi="Times New Roman"/>
          <w:i w:val="1"/>
          <w:sz w:val="24"/>
          <w:szCs w:val="24"/>
          <w:highlight w:val="white"/>
          <w:rtl w:val="0"/>
        </w:rPr>
        <w:t xml:space="preserve">“Travelers Will Value Connectivity and Personalization”, </w:t>
      </w:r>
      <w:r w:rsidDel="00000000" w:rsidR="00000000" w:rsidRPr="00000000">
        <w:rPr>
          <w:rFonts w:ascii="Times New Roman" w:cs="Times New Roman" w:eastAsia="Times New Roman" w:hAnsi="Times New Roman"/>
          <w:sz w:val="24"/>
          <w:szCs w:val="24"/>
          <w:highlight w:val="white"/>
          <w:rtl w:val="0"/>
        </w:rPr>
        <w:t xml:space="preserve">Available at </w:t>
      </w:r>
      <w:hyperlink r:id="rId49">
        <w:r w:rsidDel="00000000" w:rsidR="00000000" w:rsidRPr="00000000">
          <w:rPr>
            <w:rFonts w:ascii="Times New Roman" w:cs="Times New Roman" w:eastAsia="Times New Roman" w:hAnsi="Times New Roman"/>
            <w:sz w:val="24"/>
            <w:szCs w:val="24"/>
            <w:highlight w:val="white"/>
            <w:rtl w:val="0"/>
          </w:rPr>
          <w:t xml:space="preserve">https://stories.hilton.com/2024trends-connectivity-personalization</w:t>
        </w:r>
      </w:hyperlink>
      <w:r w:rsidDel="00000000" w:rsidR="00000000" w:rsidRPr="00000000">
        <w:rPr>
          <w:rFonts w:ascii="Times New Roman" w:cs="Times New Roman" w:eastAsia="Times New Roman" w:hAnsi="Times New Roman"/>
          <w:sz w:val="24"/>
          <w:szCs w:val="24"/>
          <w:highlight w:val="white"/>
          <w:rtl w:val="0"/>
        </w:rPr>
        <w:t xml:space="preserve"> [Accessed on 29th April]</w:t>
      </w:r>
    </w:p>
    <w:p w:rsidR="00000000" w:rsidDel="00000000" w:rsidP="00000000" w:rsidRDefault="00000000" w:rsidRPr="00000000" w14:paraId="000001BA">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Tech Magic, (2025), </w:t>
      </w:r>
      <w:r w:rsidDel="00000000" w:rsidR="00000000" w:rsidRPr="00000000">
        <w:rPr>
          <w:rFonts w:ascii="Times New Roman" w:cs="Times New Roman" w:eastAsia="Times New Roman" w:hAnsi="Times New Roman"/>
          <w:i w:val="1"/>
          <w:sz w:val="24"/>
          <w:szCs w:val="24"/>
          <w:highlight w:val="white"/>
          <w:rtl w:val="0"/>
        </w:rPr>
        <w:t xml:space="preserve">“Digital Concierge in Hotels: Revolutionising Guest Services in 2025”, </w:t>
      </w:r>
      <w:r w:rsidDel="00000000" w:rsidR="00000000" w:rsidRPr="00000000">
        <w:rPr>
          <w:rFonts w:ascii="Times New Roman" w:cs="Times New Roman" w:eastAsia="Times New Roman" w:hAnsi="Times New Roman"/>
          <w:sz w:val="24"/>
          <w:szCs w:val="24"/>
          <w:highlight w:val="white"/>
          <w:rtl w:val="0"/>
        </w:rPr>
        <w:t xml:space="preserve">Available at </w:t>
      </w:r>
      <w:hyperlink r:id="rId50">
        <w:r w:rsidDel="00000000" w:rsidR="00000000" w:rsidRPr="00000000">
          <w:rPr>
            <w:rFonts w:ascii="Times New Roman" w:cs="Times New Roman" w:eastAsia="Times New Roman" w:hAnsi="Times New Roman"/>
            <w:sz w:val="24"/>
            <w:szCs w:val="24"/>
            <w:highlight w:val="white"/>
            <w:rtl w:val="0"/>
          </w:rPr>
          <w:t xml:space="preserve">https://www.techmagic.co/blog/digital-concierge-for-hotels</w:t>
        </w:r>
      </w:hyperlink>
      <w:r w:rsidDel="00000000" w:rsidR="00000000" w:rsidRPr="00000000">
        <w:rPr>
          <w:rFonts w:ascii="Times New Roman" w:cs="Times New Roman" w:eastAsia="Times New Roman" w:hAnsi="Times New Roman"/>
          <w:sz w:val="24"/>
          <w:szCs w:val="24"/>
          <w:highlight w:val="white"/>
          <w:rtl w:val="0"/>
        </w:rPr>
        <w:t xml:space="preserve"> [Accessed on 29th April]</w:t>
      </w:r>
    </w:p>
    <w:p w:rsidR="00000000" w:rsidDel="00000000" w:rsidP="00000000" w:rsidRDefault="00000000" w:rsidRPr="00000000" w14:paraId="000001BB">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Tien, N.H., Jose, R.J.S., Ullah, S.E. and Sadiq, M., (2021). Development of human resource management activities in Vietnamese private companies. </w:t>
      </w:r>
      <w:r w:rsidDel="00000000" w:rsidR="00000000" w:rsidRPr="00000000">
        <w:rPr>
          <w:rFonts w:ascii="Times New Roman" w:cs="Times New Roman" w:eastAsia="Times New Roman" w:hAnsi="Times New Roman"/>
          <w:i w:val="1"/>
          <w:sz w:val="24"/>
          <w:szCs w:val="24"/>
          <w:highlight w:val="white"/>
          <w:rtl w:val="0"/>
        </w:rPr>
        <w:t xml:space="preserve">Turkish journal of computer and mathematics education</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12</w:t>
      </w:r>
      <w:r w:rsidDel="00000000" w:rsidR="00000000" w:rsidRPr="00000000">
        <w:rPr>
          <w:rFonts w:ascii="Times New Roman" w:cs="Times New Roman" w:eastAsia="Times New Roman" w:hAnsi="Times New Roman"/>
          <w:sz w:val="24"/>
          <w:szCs w:val="24"/>
          <w:highlight w:val="white"/>
          <w:rtl w:val="0"/>
        </w:rPr>
        <w:t xml:space="preserve">(14), pp.4391-4410. Available at </w:t>
      </w:r>
      <w:hyperlink r:id="rId51">
        <w:r w:rsidDel="00000000" w:rsidR="00000000" w:rsidRPr="00000000">
          <w:rPr>
            <w:rFonts w:ascii="Times New Roman" w:cs="Times New Roman" w:eastAsia="Times New Roman" w:hAnsi="Times New Roman"/>
            <w:sz w:val="24"/>
            <w:szCs w:val="24"/>
            <w:highlight w:val="white"/>
            <w:rtl w:val="0"/>
          </w:rPr>
          <w:t xml:space="preserve">https://www.researchgate.net/profile/Tony-Ng-29/publication/355384107_Development_of_Human_Resource_Management_Activities_in_Vietnamese_Private_Companies/links/652e6af47d0cf66a67347206/Development-of-Human-Resource-Management-Activities-in-Vietnamese-Private-Companies.pdf</w:t>
        </w:r>
      </w:hyperlink>
      <w:r w:rsidDel="00000000" w:rsidR="00000000" w:rsidRPr="00000000">
        <w:rPr>
          <w:rFonts w:ascii="Times New Roman" w:cs="Times New Roman" w:eastAsia="Times New Roman" w:hAnsi="Times New Roman"/>
          <w:sz w:val="24"/>
          <w:szCs w:val="24"/>
          <w:highlight w:val="white"/>
          <w:rtl w:val="0"/>
        </w:rPr>
        <w:t xml:space="preserve"> </w:t>
      </w:r>
    </w:p>
    <w:p w:rsidR="00000000" w:rsidDel="00000000" w:rsidP="00000000" w:rsidRDefault="00000000" w:rsidRPr="00000000" w14:paraId="000001BC">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Werner, S. and Balkin, D.B., (2021). Strategic benefits: How employee benefits can create a sustainable competitive edge. </w:t>
      </w:r>
      <w:r w:rsidDel="00000000" w:rsidR="00000000" w:rsidRPr="00000000">
        <w:rPr>
          <w:rFonts w:ascii="Times New Roman" w:cs="Times New Roman" w:eastAsia="Times New Roman" w:hAnsi="Times New Roman"/>
          <w:i w:val="1"/>
          <w:sz w:val="24"/>
          <w:szCs w:val="24"/>
          <w:highlight w:val="white"/>
          <w:rtl w:val="0"/>
        </w:rPr>
        <w:t xml:space="preserve">The Journal of Total Rewards</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30</w:t>
      </w:r>
      <w:r w:rsidDel="00000000" w:rsidR="00000000" w:rsidRPr="00000000">
        <w:rPr>
          <w:rFonts w:ascii="Times New Roman" w:cs="Times New Roman" w:eastAsia="Times New Roman" w:hAnsi="Times New Roman"/>
          <w:sz w:val="24"/>
          <w:szCs w:val="24"/>
          <w:highlight w:val="white"/>
          <w:rtl w:val="0"/>
        </w:rPr>
        <w:t xml:space="preserve">(1), pp.8-22. Available at </w:t>
      </w:r>
      <w:hyperlink r:id="rId52">
        <w:r w:rsidDel="00000000" w:rsidR="00000000" w:rsidRPr="00000000">
          <w:rPr>
            <w:rFonts w:ascii="Times New Roman" w:cs="Times New Roman" w:eastAsia="Times New Roman" w:hAnsi="Times New Roman"/>
            <w:sz w:val="24"/>
            <w:szCs w:val="24"/>
            <w:highlight w:val="white"/>
            <w:rtl w:val="0"/>
          </w:rPr>
          <w:t xml:space="preserve">https://www.researchgate.net/profile/Steve-Werner-3/publication/351117557_Strategic_Benefits_How_Employee_Benefits_Can_Create_a_Sustainable_Competitive_Edge/links/608861e1907dcf667bcac26f/Strategic-Benefits-How-Employee-Benefits-Can-Create-a-Sustainable-Competitive-Edge.pdf</w:t>
        </w:r>
      </w:hyperlink>
      <w:r w:rsidDel="00000000" w:rsidR="00000000" w:rsidRPr="00000000">
        <w:rPr>
          <w:rFonts w:ascii="Times New Roman" w:cs="Times New Roman" w:eastAsia="Times New Roman" w:hAnsi="Times New Roman"/>
          <w:sz w:val="24"/>
          <w:szCs w:val="24"/>
          <w:highlight w:val="white"/>
          <w:rtl w:val="0"/>
        </w:rPr>
        <w:t xml:space="preserve"> </w:t>
      </w:r>
    </w:p>
    <w:p w:rsidR="00000000" w:rsidDel="00000000" w:rsidP="00000000" w:rsidRDefault="00000000" w:rsidRPr="00000000" w14:paraId="000001BD">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Wiley, (2024), </w:t>
      </w:r>
      <w:r w:rsidDel="00000000" w:rsidR="00000000" w:rsidRPr="00000000">
        <w:rPr>
          <w:rFonts w:ascii="Times New Roman" w:cs="Times New Roman" w:eastAsia="Times New Roman" w:hAnsi="Times New Roman"/>
          <w:i w:val="1"/>
          <w:sz w:val="24"/>
          <w:szCs w:val="24"/>
          <w:highlight w:val="white"/>
          <w:rtl w:val="0"/>
        </w:rPr>
        <w:t xml:space="preserve">“Promoting new habits at work through implementation intentions”, </w:t>
      </w:r>
      <w:r w:rsidDel="00000000" w:rsidR="00000000" w:rsidRPr="00000000">
        <w:rPr>
          <w:rFonts w:ascii="Times New Roman" w:cs="Times New Roman" w:eastAsia="Times New Roman" w:hAnsi="Times New Roman"/>
          <w:sz w:val="24"/>
          <w:szCs w:val="24"/>
          <w:highlight w:val="white"/>
          <w:rtl w:val="0"/>
        </w:rPr>
        <w:t xml:space="preserve">Available at </w:t>
      </w:r>
      <w:hyperlink r:id="rId53">
        <w:r w:rsidDel="00000000" w:rsidR="00000000" w:rsidRPr="00000000">
          <w:rPr>
            <w:rFonts w:ascii="Times New Roman" w:cs="Times New Roman" w:eastAsia="Times New Roman" w:hAnsi="Times New Roman"/>
            <w:sz w:val="24"/>
            <w:szCs w:val="24"/>
            <w:highlight w:val="white"/>
            <w:rtl w:val="0"/>
          </w:rPr>
          <w:t xml:space="preserve">https://bpspsychub.onlinelibrary.wiley.com/doi/full/10.1111/joop.12540</w:t>
        </w:r>
      </w:hyperlink>
      <w:r w:rsidDel="00000000" w:rsidR="00000000" w:rsidRPr="00000000">
        <w:rPr>
          <w:rFonts w:ascii="Times New Roman" w:cs="Times New Roman" w:eastAsia="Times New Roman" w:hAnsi="Times New Roman"/>
          <w:sz w:val="24"/>
          <w:szCs w:val="24"/>
          <w:highlight w:val="white"/>
          <w:rtl w:val="0"/>
        </w:rPr>
        <w:t xml:space="preserve"> [Accessed on 28th April]</w:t>
      </w:r>
    </w:p>
    <w:p w:rsidR="00000000" w:rsidDel="00000000" w:rsidP="00000000" w:rsidRDefault="00000000" w:rsidRPr="00000000" w14:paraId="000001BE">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Yeung, M.W. and Yau, A.H., (2022). A thematic analysis of higher education students’ perceptions of online learning in Hong Kong under COVID-19: Challenges, strategies and support. </w:t>
      </w:r>
      <w:r w:rsidDel="00000000" w:rsidR="00000000" w:rsidRPr="00000000">
        <w:rPr>
          <w:rFonts w:ascii="Times New Roman" w:cs="Times New Roman" w:eastAsia="Times New Roman" w:hAnsi="Times New Roman"/>
          <w:i w:val="1"/>
          <w:sz w:val="24"/>
          <w:szCs w:val="24"/>
          <w:highlight w:val="white"/>
          <w:rtl w:val="0"/>
        </w:rPr>
        <w:t xml:space="preserve">Education and Information Technologies</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27</w:t>
      </w:r>
      <w:r w:rsidDel="00000000" w:rsidR="00000000" w:rsidRPr="00000000">
        <w:rPr>
          <w:rFonts w:ascii="Times New Roman" w:cs="Times New Roman" w:eastAsia="Times New Roman" w:hAnsi="Times New Roman"/>
          <w:sz w:val="24"/>
          <w:szCs w:val="24"/>
          <w:highlight w:val="white"/>
          <w:rtl w:val="0"/>
        </w:rPr>
        <w:t xml:space="preserve">(1), pp.181-208. Available at </w:t>
      </w:r>
      <w:hyperlink r:id="rId54">
        <w:r w:rsidDel="00000000" w:rsidR="00000000" w:rsidRPr="00000000">
          <w:rPr>
            <w:rFonts w:ascii="Times New Roman" w:cs="Times New Roman" w:eastAsia="Times New Roman" w:hAnsi="Times New Roman"/>
            <w:sz w:val="24"/>
            <w:szCs w:val="24"/>
            <w:highlight w:val="white"/>
            <w:rtl w:val="0"/>
          </w:rPr>
          <w:t xml:space="preserve">https://link.springer.com/article/10.1007/s10639-021-10656-3</w:t>
        </w:r>
      </w:hyperlink>
      <w:r w:rsidDel="00000000" w:rsidR="00000000" w:rsidRPr="00000000">
        <w:rPr>
          <w:rFonts w:ascii="Times New Roman" w:cs="Times New Roman" w:eastAsia="Times New Roman" w:hAnsi="Times New Roman"/>
          <w:sz w:val="24"/>
          <w:szCs w:val="24"/>
          <w:highlight w:val="white"/>
          <w:rtl w:val="0"/>
        </w:rPr>
        <w:t xml:space="preserve"> </w:t>
      </w:r>
    </w:p>
    <w:p w:rsidR="00000000" w:rsidDel="00000000" w:rsidP="00000000" w:rsidRDefault="00000000" w:rsidRPr="00000000" w14:paraId="000001BF">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Yilmazdogan, O.C., (2024). Elevating workforce stability: augmented reality and artificial intelligence solutions for overcoming employee turnover challenges in hospitality and tourism. </w:t>
      </w:r>
      <w:r w:rsidDel="00000000" w:rsidR="00000000" w:rsidRPr="00000000">
        <w:rPr>
          <w:rFonts w:ascii="Times New Roman" w:cs="Times New Roman" w:eastAsia="Times New Roman" w:hAnsi="Times New Roman"/>
          <w:i w:val="1"/>
          <w:sz w:val="24"/>
          <w:szCs w:val="24"/>
          <w:highlight w:val="white"/>
          <w:rtl w:val="0"/>
        </w:rPr>
        <w:t xml:space="preserve">Worldwide Hospitality and Tourism Themes</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16</w:t>
      </w:r>
      <w:r w:rsidDel="00000000" w:rsidR="00000000" w:rsidRPr="00000000">
        <w:rPr>
          <w:rFonts w:ascii="Times New Roman" w:cs="Times New Roman" w:eastAsia="Times New Roman" w:hAnsi="Times New Roman"/>
          <w:sz w:val="24"/>
          <w:szCs w:val="24"/>
          <w:highlight w:val="white"/>
          <w:rtl w:val="0"/>
        </w:rPr>
        <w:t xml:space="preserve">(5), pp.598-610. Available at </w:t>
      </w:r>
      <w:hyperlink r:id="rId55">
        <w:r w:rsidDel="00000000" w:rsidR="00000000" w:rsidRPr="00000000">
          <w:rPr>
            <w:rFonts w:ascii="Times New Roman" w:cs="Times New Roman" w:eastAsia="Times New Roman" w:hAnsi="Times New Roman"/>
            <w:sz w:val="24"/>
            <w:szCs w:val="24"/>
            <w:highlight w:val="white"/>
            <w:rtl w:val="0"/>
          </w:rPr>
          <w:t xml:space="preserve">https://www.emerald.com/insight/content/doi/10.1108/whatt-07-2024-0156/full/html</w:t>
        </w:r>
      </w:hyperlink>
      <w:r w:rsidDel="00000000" w:rsidR="00000000" w:rsidRPr="00000000">
        <w:rPr>
          <w:rFonts w:ascii="Times New Roman" w:cs="Times New Roman" w:eastAsia="Times New Roman" w:hAnsi="Times New Roman"/>
          <w:sz w:val="24"/>
          <w:szCs w:val="24"/>
          <w:highlight w:val="white"/>
          <w:rtl w:val="0"/>
        </w:rPr>
        <w:t xml:space="preserve"> </w:t>
      </w:r>
    </w:p>
    <w:p w:rsidR="00000000" w:rsidDel="00000000" w:rsidP="00000000" w:rsidRDefault="00000000" w:rsidRPr="00000000" w14:paraId="000001C0">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Zou, H., Wang, F., Zeng, Z., Zhu, J., Zha, L., Huang, D., Li, J. and Wang, R., (2025). Next-generation water-saving strategies for greenhouses using a nexus approach with modern technologies. </w:t>
      </w:r>
      <w:r w:rsidDel="00000000" w:rsidR="00000000" w:rsidRPr="00000000">
        <w:rPr>
          <w:rFonts w:ascii="Times New Roman" w:cs="Times New Roman" w:eastAsia="Times New Roman" w:hAnsi="Times New Roman"/>
          <w:i w:val="1"/>
          <w:sz w:val="24"/>
          <w:szCs w:val="24"/>
          <w:highlight w:val="white"/>
          <w:rtl w:val="0"/>
        </w:rPr>
        <w:t xml:space="preserve">Nature Communications</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16</w:t>
      </w:r>
      <w:r w:rsidDel="00000000" w:rsidR="00000000" w:rsidRPr="00000000">
        <w:rPr>
          <w:rFonts w:ascii="Times New Roman" w:cs="Times New Roman" w:eastAsia="Times New Roman" w:hAnsi="Times New Roman"/>
          <w:sz w:val="24"/>
          <w:szCs w:val="24"/>
          <w:highlight w:val="white"/>
          <w:rtl w:val="0"/>
        </w:rPr>
        <w:t xml:space="preserve">(1), p.2091. Available at </w:t>
      </w:r>
      <w:hyperlink r:id="rId56">
        <w:r w:rsidDel="00000000" w:rsidR="00000000" w:rsidRPr="00000000">
          <w:rPr>
            <w:rFonts w:ascii="Times New Roman" w:cs="Times New Roman" w:eastAsia="Times New Roman" w:hAnsi="Times New Roman"/>
            <w:sz w:val="24"/>
            <w:szCs w:val="24"/>
            <w:highlight w:val="white"/>
            <w:rtl w:val="0"/>
          </w:rPr>
          <w:t xml:space="preserve">https://www.nature.com/articles/s41467-025-57388-3</w:t>
        </w:r>
      </w:hyperlink>
      <w:r w:rsidDel="00000000" w:rsidR="00000000" w:rsidRPr="00000000">
        <w:rPr>
          <w:rFonts w:ascii="Times New Roman" w:cs="Times New Roman" w:eastAsia="Times New Roman" w:hAnsi="Times New Roman"/>
          <w:sz w:val="24"/>
          <w:szCs w:val="24"/>
          <w:highlight w:val="white"/>
          <w:rtl w:val="0"/>
        </w:rPr>
        <w:t xml:space="preserve"> </w:t>
      </w:r>
    </w:p>
    <w:p w:rsidR="00000000" w:rsidDel="00000000" w:rsidP="00000000" w:rsidRDefault="00000000" w:rsidRPr="00000000" w14:paraId="000001C1">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C2">
      <w:pPr>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ro"/>
      </w:rPr>
    </w:rPrDefault>
    <w:pPrDefault>
      <w:pPr>
        <w:spacing w:line="276" w:lineRule="auto"/>
      </w:pPr>
    </w:pPrDefault>
  </w:docDefaults>
  <w:style w:type="paragraph" w:styleId="Normal" w:default="1">
    <w:name w:val="normal"/>
  </w:style>
  <w:style w:type="table" w:styleId="TableNormal" w:default="1">
    <w:name w:val="Table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 w:type="table" w:styleId="Table3">
    <w:basedOn w:val="TableNormal"/>
    <w:tblPr>
      <w:tblStyleRowBandSize w:val="1"/>
      <w:tblStyleColBandSize w:val="1"/>
      <w:tblCellMar>
        <w:top w:w="100.0" w:type="dxa"/>
        <w:left w:w="100.0" w:type="dxa"/>
        <w:bottom w:w="100.0" w:type="dxa"/>
        <w:right w:w="100.0" w:type="dxa"/>
      </w:tblCellMar>
    </w:tblPr>
  </w:style>
  <w:style w:type="table" w:styleId="Table4">
    <w:basedOn w:val="TableNormal"/>
    <w:tblPr>
      <w:tblStyleRowBandSize w:val="1"/>
      <w:tblStyleColBandSize w:val="1"/>
      <w:tblCellMar>
        <w:top w:w="100.0" w:type="dxa"/>
        <w:left w:w="100.0" w:type="dxa"/>
        <w:bottom w:w="100.0" w:type="dxa"/>
        <w:right w:w="100.0" w:type="dxa"/>
      </w:tblCellMar>
    </w:tblPr>
  </w:style>
  <w:style w:type="table" w:styleId="Table5">
    <w:basedOn w:val="TableNormal"/>
    <w:tblPr>
      <w:tblStyleRowBandSize w:val="1"/>
      <w:tblStyleColBandSize w:val="1"/>
      <w:tblCellMar>
        <w:top w:w="100.0" w:type="dxa"/>
        <w:left w:w="100.0" w:type="dxa"/>
        <w:bottom w:w="100.0" w:type="dxa"/>
        <w:right w:w="100.0" w:type="dxa"/>
      </w:tblCellMar>
    </w:tblPr>
  </w:style>
  <w:style w:type="table" w:styleId="Table6">
    <w:basedOn w:val="TableNormal"/>
    <w:tblPr>
      <w:tblStyleRowBandSize w:val="1"/>
      <w:tblStyleColBandSize w:val="1"/>
      <w:tblCellMar>
        <w:top w:w="100.0" w:type="dxa"/>
        <w:left w:w="100.0" w:type="dxa"/>
        <w:bottom w:w="100.0" w:type="dxa"/>
        <w:right w:w="100.0" w:type="dxa"/>
      </w:tblCellMar>
    </w:tblPr>
  </w:style>
  <w:style w:type="table" w:styleId="Table7">
    <w:basedOn w:val="TableNormal"/>
    <w:tblPr>
      <w:tblStyleRowBandSize w:val="1"/>
      <w:tblStyleColBandSize w:val="1"/>
      <w:tblCellMar>
        <w:top w:w="100.0" w:type="dxa"/>
        <w:left w:w="100.0" w:type="dxa"/>
        <w:bottom w:w="100.0" w:type="dxa"/>
        <w:right w:w="100.0" w:type="dxa"/>
      </w:tblCellMar>
    </w:tblPr>
  </w:style>
  <w:style w:type="table" w:styleId="Table8">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40" Type="http://schemas.openxmlformats.org/officeDocument/2006/relationships/hyperlink" Target="https://www.emerald.com/insight/content/doi/10.1108/intr-07-2022-0580/full/html" TargetMode="External"/><Relationship Id="rId42" Type="http://schemas.openxmlformats.org/officeDocument/2006/relationships/hyperlink" Target="https://ijtah.journals.ekb.eg/article_244444.html" TargetMode="External"/><Relationship Id="rId41" Type="http://schemas.openxmlformats.org/officeDocument/2006/relationships/hyperlink" Target="https://www.peoplekeep.com/blog/how-to-calculate-hr-employee-retention-rates" TargetMode="External"/><Relationship Id="rId44" Type="http://schemas.openxmlformats.org/officeDocument/2006/relationships/hyperlink" Target="https://bmjopen.bmj.com/content/14/7/e084506.abstract" TargetMode="External"/><Relationship Id="rId43" Type="http://schemas.openxmlformats.org/officeDocument/2006/relationships/hyperlink" Target="https://www.sciencedirect.com/science/article/pii/S0264999323000081" TargetMode="External"/><Relationship Id="rId46" Type="http://schemas.openxmlformats.org/officeDocument/2006/relationships/hyperlink" Target="https://spencerjamesgroup.com/blog/how-intangible-benefits-create-a-better-employee-experience" TargetMode="External"/><Relationship Id="rId45" Type="http://schemas.openxmlformats.org/officeDocument/2006/relationships/hyperlink" Target="https://www.researchgate.net/profile/Yerik-Singgalen/publication/388954162_Uncovering_Service_Gaps_in_Hospitality_A_Thematic_Analysis_of_Guest_Reviews_for_Service_Quality_Improvement/links/67adf7a9207c0c20fa87fd40/Uncovering-Service-Gaps-in-Hospitality-A-Thematic-Analysis-of-Guest-Reviews-for-Service-Quality-Improvement.pdf"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d1wqtxts1xzle7.cloudfront.net/104930422/5710-libre.pdf?1691766732=&amp;response-content-disposition=inline%3B+filename%3DGuest_Preferences_And_Future_Challenges.pdf&amp;Expires=1746253060&amp;Signature=W5KIs2Zf34doZoQpCYCcCCbJmh3nipVT0lUSZkEV-L0SETaNlS7vMuvwCMjsartpt9jf3LLqQxT5WxaRnJLTMLcnKIxegsu8UvqUxTgUP3Ad2de8Nh6bjP-nTAOV7HLjHhJZ3XB2kI26Lw8dxWg5ho9fpG19UzoXm72W6w3qGSRBdqf4mZO1C-0Rp5cE0bWxw3hDp2FIgT7uSErOKQKyOSLlnHZ-5nHtisM6QS6~SQKGWLGZwSi-yvyCqZu2VXxAYjfK~uM4x1shiliQVCcnC08I6-e0AUN4WvghbsaWrMIxummSXTXuvL~tmRJp1EkHE3OUXgyiO0SYOfdIqaYqWQ__&amp;Key-Pair-Id=APKAJLOHF5GGSLRBV4ZA" TargetMode="External"/><Relationship Id="rId48" Type="http://schemas.openxmlformats.org/officeDocument/2006/relationships/hyperlink" Target="https://www.statista.com/topics/1880/hilton-worldwide/" TargetMode="External"/><Relationship Id="rId47" Type="http://schemas.openxmlformats.org/officeDocument/2006/relationships/hyperlink" Target="https://www.statista.com/statistics/1332197/factors-influencing-recruitment-retention-problems-worldwide/" TargetMode="External"/><Relationship Id="rId49" Type="http://schemas.openxmlformats.org/officeDocument/2006/relationships/hyperlink" Target="https://stories.hilton.com/2024trends-connectivity-personalization" TargetMode="External"/><Relationship Id="rId5" Type="http://schemas.openxmlformats.org/officeDocument/2006/relationships/styles" Target="styles.xml"/><Relationship Id="rId6" Type="http://schemas.openxmlformats.org/officeDocument/2006/relationships/hyperlink" Target="https://www.mdpi.com/2673-4591/59/1/162" TargetMode="External"/><Relationship Id="rId7" Type="http://schemas.openxmlformats.org/officeDocument/2006/relationships/hyperlink" Target="https://www.sciencedirect.com/science/article/abs/pii/S0160791X22002470" TargetMode="External"/><Relationship Id="rId8" Type="http://schemas.openxmlformats.org/officeDocument/2006/relationships/hyperlink" Target="https://eknigibg.net/Volume9/Issue2/spisanie-br2-2023_pp.88-103.pdf" TargetMode="External"/><Relationship Id="rId31" Type="http://schemas.openxmlformats.org/officeDocument/2006/relationships/hyperlink" Target="https://link.springer.com/article/10.1007/s10796-022-10308-y" TargetMode="External"/><Relationship Id="rId30" Type="http://schemas.openxmlformats.org/officeDocument/2006/relationships/hyperlink" Target="https://www.proquest.com/openview/f10a2bf5b36d56fc1608bf392dcda77f/1?cbl=1416337&amp;pq-origsite=gscholar" TargetMode="External"/><Relationship Id="rId33" Type="http://schemas.openxmlformats.org/officeDocument/2006/relationships/hyperlink" Target="https://www.mews.com/en/blog/hotel-guest-expectations" TargetMode="External"/><Relationship Id="rId32" Type="http://schemas.openxmlformats.org/officeDocument/2006/relationships/hyperlink" Target="https://www.emerald.com/insight/content/doi/10.1108/tr-01-2021-0004/full/html" TargetMode="External"/><Relationship Id="rId35" Type="http://schemas.openxmlformats.org/officeDocument/2006/relationships/hyperlink" Target="https://lucris.lub.lu.se/ws/portalfiles/portal/211981449/Avhandling_Cicilia_Nagel_LUCRIS.pdf" TargetMode="External"/><Relationship Id="rId34" Type="http://schemas.openxmlformats.org/officeDocument/2006/relationships/hyperlink" Target="https://link.springer.com/article/10.1186/s12913-021-06576-0" TargetMode="External"/><Relationship Id="rId37" Type="http://schemas.openxmlformats.org/officeDocument/2006/relationships/hyperlink" Target="https://onlinelibrary.wiley.com/doi/abs/10.1002/bse.3512" TargetMode="External"/><Relationship Id="rId36" Type="http://schemas.openxmlformats.org/officeDocument/2006/relationships/hyperlink" Target="https://www.tandfonline.com/doi/abs/10.1080/19407963.2020.1743487" TargetMode="External"/><Relationship Id="rId39" Type="http://schemas.openxmlformats.org/officeDocument/2006/relationships/hyperlink" Target="https://www.emerald.com/insight/content/doi/10.1108/ihr-04-2022-0019/full/html" TargetMode="External"/><Relationship Id="rId38" Type="http://schemas.openxmlformats.org/officeDocument/2006/relationships/hyperlink" Target="https://www.researchgate.net/profile/Olayinka-Olalekan/publication/390434060_Big_data_integration_and_real-time_analytics_for_enhancing_operational_efficiency_and_market_responsiveness/links/67edc99203b8d7280e1e21c5/Big-data-integration-and-real-time-analytics-for-enhancing-operational-efficiency-and-market-responsiveness.pdf" TargetMode="External"/><Relationship Id="rId20" Type="http://schemas.openxmlformats.org/officeDocument/2006/relationships/hyperlink" Target="https://www.hilton.com/en/hotels/lonmetw-hilton-london-metropole/?WT.mc_id=zINDA0EMEA1MB2PSH3Paid_ggl4ACBI_Brand_Destination5dkt6MULTIBR7EN8i81487387_121127567_71700000119476388&amp;&amp;&amp;&amp;&amp;gad_source=1&amp;gad_campaignid=21561788066&amp;gbraid=0AAAAADnjLGO1oj42uJZjWxdwoMlI_1mRP&amp;gclid=Cj0KCQjw2tHABhCiARIsANZzDWrrYGhdXGiAV5hopOw5rtRc8jsvr6b6Rjxoyvtth7dv1qTVmNJmCMQaAnFUEALw_wcB&amp;gclsrc=aw.ds" TargetMode="External"/><Relationship Id="rId22" Type="http://schemas.openxmlformats.org/officeDocument/2006/relationships/hyperlink" Target="https://elar.urfu.ru/handle/10995/139868" TargetMode="External"/><Relationship Id="rId21" Type="http://schemas.openxmlformats.org/officeDocument/2006/relationships/hyperlink" Target="https://isg-konf.com/wp-content/uploads/2022/09/Monograph/979-8-88831-930-7/979-8-88831-930-7.pdf" TargetMode="External"/><Relationship Id="rId24" Type="http://schemas.openxmlformats.org/officeDocument/2006/relationships/hyperlink" Target="https://online.jwu.edu/blog/role-technology-hotels-enhancing-efficiency-and-guest-satisfaction/" TargetMode="External"/><Relationship Id="rId23" Type="http://schemas.openxmlformats.org/officeDocument/2006/relationships/hyperlink" Target="https://www.sciencedirect.com/science/article/pii/S2666412722000071" TargetMode="External"/><Relationship Id="rId26" Type="http://schemas.openxmlformats.org/officeDocument/2006/relationships/hyperlink" Target="https://www.researchgate.net/profile/Lukman-Prakoso/publication/359005289_feb_issue_soft_copy_2022/links/6221ef309f7b3246340dc43e/feb-issue-soft-copy-2022.pdf#page=26" TargetMode="External"/><Relationship Id="rId25" Type="http://schemas.openxmlformats.org/officeDocument/2006/relationships/hyperlink" Target="https://www.theseus.fi/handle/10024/802200" TargetMode="External"/><Relationship Id="rId28" Type="http://schemas.openxmlformats.org/officeDocument/2006/relationships/hyperlink" Target="https://www.emerald.com/insight/content/doi/10.1108/jfm-03-2022-0025/full/html" TargetMode="External"/><Relationship Id="rId27" Type="http://schemas.openxmlformats.org/officeDocument/2006/relationships/hyperlink" Target="https://papers.ssrn.com/sol3/papers.cfm?abstract_id=4859821" TargetMode="External"/><Relationship Id="rId29" Type="http://schemas.openxmlformats.org/officeDocument/2006/relationships/hyperlink" Target="https://www.mdpi.com/2071-1050/13/4/2326" TargetMode="External"/><Relationship Id="rId51" Type="http://schemas.openxmlformats.org/officeDocument/2006/relationships/hyperlink" Target="https://www.researchgate.net/profile/Tony-Ng-29/publication/355384107_Development_of_Human_Resource_Management_Activities_in_Vietnamese_Private_Companies/links/652e6af47d0cf66a67347206/Development-of-Human-Resource-Management-Activities-in-Vietnamese-Private-Companies.pdf" TargetMode="External"/><Relationship Id="rId50" Type="http://schemas.openxmlformats.org/officeDocument/2006/relationships/hyperlink" Target="https://www.techmagic.co/blog/digital-concierge-for-hotels" TargetMode="External"/><Relationship Id="rId53" Type="http://schemas.openxmlformats.org/officeDocument/2006/relationships/hyperlink" Target="https://bpspsychub.onlinelibrary.wiley.com/doi/full/10.1111/joop.12540" TargetMode="External"/><Relationship Id="rId52" Type="http://schemas.openxmlformats.org/officeDocument/2006/relationships/hyperlink" Target="https://www.researchgate.net/profile/Steve-Werner-3/publication/351117557_Strategic_Benefits_How_Employee_Benefits_Can_Create_a_Sustainable_Competitive_Edge/links/608861e1907dcf667bcac26f/Strategic-Benefits-How-Employee-Benefits-Can-Create-a-Sustainable-Competitive-Edge.pdf" TargetMode="External"/><Relationship Id="rId11" Type="http://schemas.openxmlformats.org/officeDocument/2006/relationships/hyperlink" Target="https://www.aeaweb.org/articles?id=10.1257/jep.38.1.221" TargetMode="External"/><Relationship Id="rId55" Type="http://schemas.openxmlformats.org/officeDocument/2006/relationships/hyperlink" Target="https://www.emerald.com/insight/content/doi/10.1108/whatt-07-2024-0156/full/html" TargetMode="External"/><Relationship Id="rId10" Type="http://schemas.openxmlformats.org/officeDocument/2006/relationships/hyperlink" Target="https://www.emerald.com/insight/content/doi/10.1108/ejim-09-2020-0345/full/html" TargetMode="External"/><Relationship Id="rId54" Type="http://schemas.openxmlformats.org/officeDocument/2006/relationships/hyperlink" Target="https://link.springer.com/article/10.1007/s10639-021-10656-3" TargetMode="External"/><Relationship Id="rId13" Type="http://schemas.openxmlformats.org/officeDocument/2006/relationships/hyperlink" Target="https://www2.deloitte.com/us/en/insights/deloitte-review/issue-16/employee-engagement-strategies.html" TargetMode="External"/><Relationship Id="rId12" Type="http://schemas.openxmlformats.org/officeDocument/2006/relationships/hyperlink" Target="https://www.researchgate.net/profile/Adolfo-Carreno/publication/385621731_Building_a_Continuous_Feedback_Loop_for_Real-Time_Change_Adaptation_Best_Practices_and_Tools/links/672cd61b2326b47637cf80cc/Building-a-Continuous-Feedback-Loop-for-Real-Time-Change-Adaptation-Best-Practices-and-Tools.pdf" TargetMode="External"/><Relationship Id="rId56" Type="http://schemas.openxmlformats.org/officeDocument/2006/relationships/hyperlink" Target="https://www.nature.com/articles/s41467-025-57388-3" TargetMode="External"/><Relationship Id="rId15" Type="http://schemas.openxmlformats.org/officeDocument/2006/relationships/hyperlink" Target="https://books.google.co.in/books?hl=en&amp;lr=&amp;id=0OF-EAAAQBAJ&amp;oi=fnd&amp;pg=PP1&amp;dq=Get+rid+of+things+like+outdated+policies+and+a+lack+of+training+that+are+holding+people+back+from+making+changes&amp;ots=87-sJxZpXM&amp;sig=7yYqfDfseMGdKH9VtVcnmn1f_zQ&amp;redir_esc=y#v=onepage&amp;q&amp;f=false" TargetMode="External"/><Relationship Id="rId14" Type="http://schemas.openxmlformats.org/officeDocument/2006/relationships/hyperlink" Target="https://digitalcommons.calpoly.edu/cgi/viewcontent.cgi?params=/context/expindsp/article/1002/&amp;path_info=The_Center_of_Success___A_Case_Study_on_Hilton_s_Company_Culture.pdf" TargetMode="External"/><Relationship Id="rId17" Type="http://schemas.openxmlformats.org/officeDocument/2006/relationships/hyperlink" Target="https://assets.publishing.service.gov.uk/media/5a808ab4e5274a2e8ab50bd4/airports-commission-final-report.pdf" TargetMode="External"/><Relationship Id="rId16" Type="http://schemas.openxmlformats.org/officeDocument/2006/relationships/hyperlink" Target="https://hospitalityinsights.ehl.edu/technology-trends-hospitality-industry" TargetMode="External"/><Relationship Id="rId19" Type="http://schemas.openxmlformats.org/officeDocument/2006/relationships/hyperlink" Target="https://arno.uvt.nl/show.cgi?fid=171414" TargetMode="External"/><Relationship Id="rId18" Type="http://schemas.openxmlformats.org/officeDocument/2006/relationships/hyperlink" Target="https://www.gstcouncil.org/booking-com-sustainable-travel-report-201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Ionel Babache</dc:creator>
</cp:coreProperties>
</file>