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1A218063"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w:t>
      </w:r>
      <w:r w:rsidR="00D51378" w:rsidRPr="000264A1">
        <w:rPr>
          <w:rStyle w:val="Strong"/>
          <w:rFonts w:ascii="Arial" w:hAnsi="Arial" w:cs="Arial"/>
          <w:color w:val="1D2125"/>
          <w:sz w:val="32"/>
          <w:szCs w:val="32"/>
        </w:rPr>
        <w:t>name:</w:t>
      </w:r>
      <w:r w:rsidR="00D6407A">
        <w:rPr>
          <w:rStyle w:val="Strong"/>
          <w:rFonts w:ascii="Arial" w:hAnsi="Arial" w:cs="Arial"/>
          <w:color w:val="1D2125"/>
          <w:sz w:val="32"/>
          <w:szCs w:val="32"/>
        </w:rPr>
        <w:t xml:space="preserve"> Stephanie Owusu</w:t>
      </w:r>
    </w:p>
    <w:p w14:paraId="3F25C99D" w14:textId="4EE2E436" w:rsid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w:t>
      </w:r>
      <w:r w:rsidR="00D51378" w:rsidRPr="000264A1">
        <w:rPr>
          <w:rStyle w:val="Strong"/>
          <w:rFonts w:ascii="Arial" w:hAnsi="Arial" w:cs="Arial"/>
          <w:color w:val="1D2125"/>
          <w:sz w:val="32"/>
          <w:szCs w:val="32"/>
        </w:rPr>
        <w:t>number:</w:t>
      </w:r>
      <w:r w:rsidR="00D6407A">
        <w:rPr>
          <w:rStyle w:val="Strong"/>
          <w:rFonts w:ascii="Arial" w:hAnsi="Arial" w:cs="Arial"/>
          <w:color w:val="1D2125"/>
          <w:sz w:val="32"/>
          <w:szCs w:val="32"/>
        </w:rPr>
        <w:t xml:space="preserve"> 2316785</w:t>
      </w:r>
    </w:p>
    <w:p w14:paraId="60819E95" w14:textId="4D86967E" w:rsidR="004A7A90" w:rsidRPr="000264A1" w:rsidRDefault="004A7A90" w:rsidP="000264A1">
      <w:pPr>
        <w:rPr>
          <w:rStyle w:val="Strong"/>
          <w:rFonts w:ascii="Arial" w:hAnsi="Arial" w:cs="Arial"/>
          <w:color w:val="1D2125"/>
          <w:sz w:val="32"/>
          <w:szCs w:val="32"/>
        </w:rPr>
      </w:pPr>
      <w:r>
        <w:rPr>
          <w:rStyle w:val="Strong"/>
          <w:rFonts w:ascii="Arial" w:hAnsi="Arial" w:cs="Arial"/>
          <w:color w:val="1D2125"/>
          <w:sz w:val="32"/>
          <w:szCs w:val="32"/>
        </w:rPr>
        <w:t>Lecturer’s name</w:t>
      </w:r>
      <w:r w:rsidR="00D6407A">
        <w:rPr>
          <w:rStyle w:val="Strong"/>
          <w:rFonts w:ascii="Arial" w:hAnsi="Arial" w:cs="Arial"/>
          <w:color w:val="1D2125"/>
          <w:sz w:val="32"/>
          <w:szCs w:val="32"/>
        </w:rPr>
        <w:t xml:space="preserve">: </w:t>
      </w:r>
      <w:r w:rsidR="00515AA0">
        <w:rPr>
          <w:rStyle w:val="Strong"/>
          <w:rFonts w:ascii="Arial" w:hAnsi="Arial" w:cs="Arial"/>
          <w:color w:val="1D2125"/>
          <w:sz w:val="32"/>
          <w:szCs w:val="32"/>
        </w:rPr>
        <w:t>Dr F</w:t>
      </w:r>
      <w:r w:rsidR="00D51378">
        <w:rPr>
          <w:rStyle w:val="Strong"/>
          <w:rFonts w:ascii="Arial" w:hAnsi="Arial" w:cs="Arial"/>
          <w:color w:val="1D2125"/>
          <w:sz w:val="32"/>
          <w:szCs w:val="32"/>
        </w:rPr>
        <w:t>arah Wiita</w:t>
      </w: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30F3F614" w14:textId="187CC39C" w:rsidR="00294EA9" w:rsidRDefault="00294EA9" w:rsidP="00294EA9">
      <w:pPr>
        <w:pStyle w:val="TOCHeading"/>
      </w:pPr>
    </w:p>
    <w:p w14:paraId="432AEE04" w14:textId="3DD74B10" w:rsidR="000109E8" w:rsidRDefault="000109E8" w:rsidP="000109E8"/>
    <w:p w14:paraId="076770A5" w14:textId="77777777" w:rsidR="000109E8" w:rsidRDefault="000109E8">
      <w:pPr>
        <w:rPr>
          <w:rFonts w:ascii="Arial" w:hAnsi="Arial" w:cs="Arial"/>
          <w:sz w:val="36"/>
          <w:szCs w:val="36"/>
        </w:rPr>
      </w:pPr>
      <w:r>
        <w:rPr>
          <w:rFonts w:ascii="Arial" w:hAnsi="Arial" w:cs="Arial"/>
          <w:sz w:val="36"/>
          <w:szCs w:val="36"/>
        </w:rPr>
        <w:br w:type="page"/>
      </w:r>
    </w:p>
    <w:p w14:paraId="6CDD4B5D" w14:textId="092C8B55" w:rsidR="00294EA9" w:rsidRDefault="006836E8" w:rsidP="00294EA9">
      <w:pPr>
        <w:pStyle w:val="NoSpacing"/>
      </w:pPr>
      <w:r>
        <w:lastRenderedPageBreak/>
        <w:t>AI ACKNOWLEDGEMENT</w:t>
      </w:r>
    </w:p>
    <w:p w14:paraId="07C1C64C" w14:textId="77777777" w:rsidR="00963917" w:rsidRDefault="00963917"/>
    <w:p w14:paraId="43486150" w14:textId="77777777" w:rsidR="00220189" w:rsidRPr="00220189" w:rsidRDefault="00220189" w:rsidP="00220189">
      <w:r w:rsidRPr="00220189">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090BA2" w14:textId="77777777" w:rsidR="00963917" w:rsidRDefault="00963917">
      <w:r>
        <w:br w:type="page"/>
      </w:r>
    </w:p>
    <w:sdt>
      <w:sdtPr>
        <w:id w:val="-165814897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D3E6C42" w14:textId="324650C5" w:rsidR="006A21C1" w:rsidRDefault="006A21C1">
          <w:pPr>
            <w:pStyle w:val="TOCHeading"/>
          </w:pPr>
          <w:r>
            <w:t>Table of Contents</w:t>
          </w:r>
        </w:p>
        <w:p w14:paraId="19B9F6B6" w14:textId="31ABF162" w:rsidR="006A21C1" w:rsidRDefault="006A21C1">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900607" w:history="1">
            <w:r w:rsidRPr="00B27C0F">
              <w:rPr>
                <w:rStyle w:val="Hyperlink"/>
                <w:noProof/>
              </w:rPr>
              <w:t>Introduction</w:t>
            </w:r>
            <w:r>
              <w:rPr>
                <w:noProof/>
                <w:webHidden/>
              </w:rPr>
              <w:tab/>
            </w:r>
            <w:r>
              <w:rPr>
                <w:noProof/>
                <w:webHidden/>
              </w:rPr>
              <w:fldChar w:fldCharType="begin"/>
            </w:r>
            <w:r>
              <w:rPr>
                <w:noProof/>
                <w:webHidden/>
              </w:rPr>
              <w:instrText xml:space="preserve"> PAGEREF _Toc216900607 \h </w:instrText>
            </w:r>
            <w:r>
              <w:rPr>
                <w:noProof/>
                <w:webHidden/>
              </w:rPr>
            </w:r>
            <w:r>
              <w:rPr>
                <w:noProof/>
                <w:webHidden/>
              </w:rPr>
              <w:fldChar w:fldCharType="separate"/>
            </w:r>
            <w:r>
              <w:rPr>
                <w:noProof/>
                <w:webHidden/>
              </w:rPr>
              <w:t>4</w:t>
            </w:r>
            <w:r>
              <w:rPr>
                <w:noProof/>
                <w:webHidden/>
              </w:rPr>
              <w:fldChar w:fldCharType="end"/>
            </w:r>
          </w:hyperlink>
        </w:p>
        <w:p w14:paraId="0E3A642F" w14:textId="4895D36A" w:rsidR="006A21C1" w:rsidRDefault="006A21C1">
          <w:pPr>
            <w:pStyle w:val="TOC1"/>
            <w:tabs>
              <w:tab w:val="right" w:leader="dot" w:pos="9016"/>
            </w:tabs>
            <w:rPr>
              <w:rFonts w:eastAsiaTheme="minorEastAsia"/>
              <w:b w:val="0"/>
              <w:bCs w:val="0"/>
              <w:i w:val="0"/>
              <w:iCs w:val="0"/>
              <w:noProof/>
              <w:lang w:eastAsia="en-GB"/>
            </w:rPr>
          </w:pPr>
          <w:hyperlink w:anchor="_Toc216900608" w:history="1">
            <w:r w:rsidRPr="00B27C0F">
              <w:rPr>
                <w:rStyle w:val="Hyperlink"/>
                <w:noProof/>
              </w:rPr>
              <w:t>Classification and Diagnosis</w:t>
            </w:r>
            <w:r>
              <w:rPr>
                <w:noProof/>
                <w:webHidden/>
              </w:rPr>
              <w:tab/>
            </w:r>
            <w:r>
              <w:rPr>
                <w:noProof/>
                <w:webHidden/>
              </w:rPr>
              <w:fldChar w:fldCharType="begin"/>
            </w:r>
            <w:r>
              <w:rPr>
                <w:noProof/>
                <w:webHidden/>
              </w:rPr>
              <w:instrText xml:space="preserve"> PAGEREF _Toc216900608 \h </w:instrText>
            </w:r>
            <w:r>
              <w:rPr>
                <w:noProof/>
                <w:webHidden/>
              </w:rPr>
            </w:r>
            <w:r>
              <w:rPr>
                <w:noProof/>
                <w:webHidden/>
              </w:rPr>
              <w:fldChar w:fldCharType="separate"/>
            </w:r>
            <w:r>
              <w:rPr>
                <w:noProof/>
                <w:webHidden/>
              </w:rPr>
              <w:t>4</w:t>
            </w:r>
            <w:r>
              <w:rPr>
                <w:noProof/>
                <w:webHidden/>
              </w:rPr>
              <w:fldChar w:fldCharType="end"/>
            </w:r>
          </w:hyperlink>
        </w:p>
        <w:p w14:paraId="71221E29" w14:textId="40DED35D" w:rsidR="006A21C1" w:rsidRDefault="006A21C1">
          <w:pPr>
            <w:pStyle w:val="TOC1"/>
            <w:tabs>
              <w:tab w:val="right" w:leader="dot" w:pos="9016"/>
            </w:tabs>
            <w:rPr>
              <w:rFonts w:eastAsiaTheme="minorEastAsia"/>
              <w:b w:val="0"/>
              <w:bCs w:val="0"/>
              <w:i w:val="0"/>
              <w:iCs w:val="0"/>
              <w:noProof/>
              <w:lang w:eastAsia="en-GB"/>
            </w:rPr>
          </w:pPr>
          <w:hyperlink w:anchor="_Toc216900609" w:history="1">
            <w:r w:rsidRPr="00B27C0F">
              <w:rPr>
                <w:rStyle w:val="Hyperlink"/>
                <w:noProof/>
              </w:rPr>
              <w:t>Treatment and Rehabilitation</w:t>
            </w:r>
            <w:r>
              <w:rPr>
                <w:noProof/>
                <w:webHidden/>
              </w:rPr>
              <w:tab/>
            </w:r>
            <w:r>
              <w:rPr>
                <w:noProof/>
                <w:webHidden/>
              </w:rPr>
              <w:fldChar w:fldCharType="begin"/>
            </w:r>
            <w:r>
              <w:rPr>
                <w:noProof/>
                <w:webHidden/>
              </w:rPr>
              <w:instrText xml:space="preserve"> PAGEREF _Toc216900609 \h </w:instrText>
            </w:r>
            <w:r>
              <w:rPr>
                <w:noProof/>
                <w:webHidden/>
              </w:rPr>
            </w:r>
            <w:r>
              <w:rPr>
                <w:noProof/>
                <w:webHidden/>
              </w:rPr>
              <w:fldChar w:fldCharType="separate"/>
            </w:r>
            <w:r>
              <w:rPr>
                <w:noProof/>
                <w:webHidden/>
              </w:rPr>
              <w:t>5</w:t>
            </w:r>
            <w:r>
              <w:rPr>
                <w:noProof/>
                <w:webHidden/>
              </w:rPr>
              <w:fldChar w:fldCharType="end"/>
            </w:r>
          </w:hyperlink>
        </w:p>
        <w:p w14:paraId="44EC08D9" w14:textId="4D47E696" w:rsidR="006A21C1" w:rsidRDefault="006A21C1">
          <w:pPr>
            <w:pStyle w:val="TOC1"/>
            <w:tabs>
              <w:tab w:val="right" w:leader="dot" w:pos="9016"/>
            </w:tabs>
            <w:rPr>
              <w:rFonts w:eastAsiaTheme="minorEastAsia"/>
              <w:b w:val="0"/>
              <w:bCs w:val="0"/>
              <w:i w:val="0"/>
              <w:iCs w:val="0"/>
              <w:noProof/>
              <w:lang w:eastAsia="en-GB"/>
            </w:rPr>
          </w:pPr>
          <w:hyperlink w:anchor="_Toc216900610" w:history="1">
            <w:r w:rsidRPr="00B27C0F">
              <w:rPr>
                <w:rStyle w:val="Hyperlink"/>
                <w:noProof/>
              </w:rPr>
              <w:t>Current Debates and Emerging Issues</w:t>
            </w:r>
            <w:r>
              <w:rPr>
                <w:noProof/>
                <w:webHidden/>
              </w:rPr>
              <w:tab/>
            </w:r>
            <w:r>
              <w:rPr>
                <w:noProof/>
                <w:webHidden/>
              </w:rPr>
              <w:fldChar w:fldCharType="begin"/>
            </w:r>
            <w:r>
              <w:rPr>
                <w:noProof/>
                <w:webHidden/>
              </w:rPr>
              <w:instrText xml:space="preserve"> PAGEREF _Toc216900610 \h </w:instrText>
            </w:r>
            <w:r>
              <w:rPr>
                <w:noProof/>
                <w:webHidden/>
              </w:rPr>
            </w:r>
            <w:r>
              <w:rPr>
                <w:noProof/>
                <w:webHidden/>
              </w:rPr>
              <w:fldChar w:fldCharType="separate"/>
            </w:r>
            <w:r>
              <w:rPr>
                <w:noProof/>
                <w:webHidden/>
              </w:rPr>
              <w:t>7</w:t>
            </w:r>
            <w:r>
              <w:rPr>
                <w:noProof/>
                <w:webHidden/>
              </w:rPr>
              <w:fldChar w:fldCharType="end"/>
            </w:r>
          </w:hyperlink>
        </w:p>
        <w:p w14:paraId="2E1C53B6" w14:textId="13CACFFB" w:rsidR="006A21C1" w:rsidRDefault="006A21C1">
          <w:pPr>
            <w:pStyle w:val="TOC1"/>
            <w:tabs>
              <w:tab w:val="right" w:leader="dot" w:pos="9016"/>
            </w:tabs>
            <w:rPr>
              <w:rFonts w:eastAsiaTheme="minorEastAsia"/>
              <w:b w:val="0"/>
              <w:bCs w:val="0"/>
              <w:i w:val="0"/>
              <w:iCs w:val="0"/>
              <w:noProof/>
              <w:lang w:eastAsia="en-GB"/>
            </w:rPr>
          </w:pPr>
          <w:hyperlink w:anchor="_Toc216900611" w:history="1">
            <w:r w:rsidRPr="00B27C0F">
              <w:rPr>
                <w:rStyle w:val="Hyperlink"/>
                <w:noProof/>
              </w:rPr>
              <w:t>Recommendations</w:t>
            </w:r>
            <w:r>
              <w:rPr>
                <w:noProof/>
                <w:webHidden/>
              </w:rPr>
              <w:tab/>
            </w:r>
            <w:r>
              <w:rPr>
                <w:noProof/>
                <w:webHidden/>
              </w:rPr>
              <w:fldChar w:fldCharType="begin"/>
            </w:r>
            <w:r>
              <w:rPr>
                <w:noProof/>
                <w:webHidden/>
              </w:rPr>
              <w:instrText xml:space="preserve"> PAGEREF _Toc216900611 \h </w:instrText>
            </w:r>
            <w:r>
              <w:rPr>
                <w:noProof/>
                <w:webHidden/>
              </w:rPr>
            </w:r>
            <w:r>
              <w:rPr>
                <w:noProof/>
                <w:webHidden/>
              </w:rPr>
              <w:fldChar w:fldCharType="separate"/>
            </w:r>
            <w:r>
              <w:rPr>
                <w:noProof/>
                <w:webHidden/>
              </w:rPr>
              <w:t>8</w:t>
            </w:r>
            <w:r>
              <w:rPr>
                <w:noProof/>
                <w:webHidden/>
              </w:rPr>
              <w:fldChar w:fldCharType="end"/>
            </w:r>
          </w:hyperlink>
        </w:p>
        <w:p w14:paraId="0FC42FA8" w14:textId="2DAF95CA" w:rsidR="006A21C1" w:rsidRDefault="006A21C1">
          <w:pPr>
            <w:pStyle w:val="TOC1"/>
            <w:tabs>
              <w:tab w:val="right" w:leader="dot" w:pos="9016"/>
            </w:tabs>
            <w:rPr>
              <w:rFonts w:eastAsiaTheme="minorEastAsia"/>
              <w:b w:val="0"/>
              <w:bCs w:val="0"/>
              <w:i w:val="0"/>
              <w:iCs w:val="0"/>
              <w:noProof/>
              <w:lang w:eastAsia="en-GB"/>
            </w:rPr>
          </w:pPr>
          <w:hyperlink w:anchor="_Toc216900612" w:history="1">
            <w:r w:rsidRPr="00B27C0F">
              <w:rPr>
                <w:rStyle w:val="Hyperlink"/>
                <w:noProof/>
              </w:rPr>
              <w:t>Conclusion</w:t>
            </w:r>
            <w:r>
              <w:rPr>
                <w:noProof/>
                <w:webHidden/>
              </w:rPr>
              <w:tab/>
            </w:r>
            <w:r>
              <w:rPr>
                <w:noProof/>
                <w:webHidden/>
              </w:rPr>
              <w:fldChar w:fldCharType="begin"/>
            </w:r>
            <w:r>
              <w:rPr>
                <w:noProof/>
                <w:webHidden/>
              </w:rPr>
              <w:instrText xml:space="preserve"> PAGEREF _Toc216900612 \h </w:instrText>
            </w:r>
            <w:r>
              <w:rPr>
                <w:noProof/>
                <w:webHidden/>
              </w:rPr>
            </w:r>
            <w:r>
              <w:rPr>
                <w:noProof/>
                <w:webHidden/>
              </w:rPr>
              <w:fldChar w:fldCharType="separate"/>
            </w:r>
            <w:r>
              <w:rPr>
                <w:noProof/>
                <w:webHidden/>
              </w:rPr>
              <w:t>10</w:t>
            </w:r>
            <w:r>
              <w:rPr>
                <w:noProof/>
                <w:webHidden/>
              </w:rPr>
              <w:fldChar w:fldCharType="end"/>
            </w:r>
          </w:hyperlink>
        </w:p>
        <w:p w14:paraId="7464FEE5" w14:textId="069091EC" w:rsidR="006A21C1" w:rsidRDefault="006A21C1">
          <w:pPr>
            <w:pStyle w:val="TOC1"/>
            <w:tabs>
              <w:tab w:val="right" w:leader="dot" w:pos="9016"/>
            </w:tabs>
            <w:rPr>
              <w:rFonts w:eastAsiaTheme="minorEastAsia"/>
              <w:b w:val="0"/>
              <w:bCs w:val="0"/>
              <w:i w:val="0"/>
              <w:iCs w:val="0"/>
              <w:noProof/>
              <w:lang w:eastAsia="en-GB"/>
            </w:rPr>
          </w:pPr>
          <w:hyperlink w:anchor="_Toc216900613" w:history="1">
            <w:r w:rsidRPr="00B27C0F">
              <w:rPr>
                <w:rStyle w:val="Hyperlink"/>
                <w:noProof/>
              </w:rPr>
              <w:t>References</w:t>
            </w:r>
            <w:r>
              <w:rPr>
                <w:noProof/>
                <w:webHidden/>
              </w:rPr>
              <w:tab/>
            </w:r>
            <w:r>
              <w:rPr>
                <w:noProof/>
                <w:webHidden/>
              </w:rPr>
              <w:fldChar w:fldCharType="begin"/>
            </w:r>
            <w:r>
              <w:rPr>
                <w:noProof/>
                <w:webHidden/>
              </w:rPr>
              <w:instrText xml:space="preserve"> PAGEREF _Toc216900613 \h </w:instrText>
            </w:r>
            <w:r>
              <w:rPr>
                <w:noProof/>
                <w:webHidden/>
              </w:rPr>
            </w:r>
            <w:r>
              <w:rPr>
                <w:noProof/>
                <w:webHidden/>
              </w:rPr>
              <w:fldChar w:fldCharType="separate"/>
            </w:r>
            <w:r>
              <w:rPr>
                <w:noProof/>
                <w:webHidden/>
              </w:rPr>
              <w:t>11</w:t>
            </w:r>
            <w:r>
              <w:rPr>
                <w:noProof/>
                <w:webHidden/>
              </w:rPr>
              <w:fldChar w:fldCharType="end"/>
            </w:r>
          </w:hyperlink>
        </w:p>
        <w:p w14:paraId="1ECBF0FA" w14:textId="733ACFE4" w:rsidR="006A21C1" w:rsidRDefault="006A21C1">
          <w:r>
            <w:rPr>
              <w:b/>
              <w:bCs/>
              <w:noProof/>
            </w:rPr>
            <w:fldChar w:fldCharType="end"/>
          </w:r>
        </w:p>
      </w:sdtContent>
    </w:sdt>
    <w:p w14:paraId="41863DD0" w14:textId="2FE0F44D" w:rsidR="00294EA9" w:rsidRDefault="00294EA9">
      <w:r>
        <w:br w:type="page"/>
      </w:r>
    </w:p>
    <w:p w14:paraId="56CE27BC" w14:textId="00A127F3" w:rsidR="000264A1" w:rsidRDefault="003F3BA5" w:rsidP="00CD5E10">
      <w:pPr>
        <w:pStyle w:val="Heading1"/>
      </w:pPr>
      <w:bookmarkStart w:id="0" w:name="_Toc216784325"/>
      <w:bookmarkStart w:id="1" w:name="_Toc216899609"/>
      <w:bookmarkStart w:id="2" w:name="_Toc216899674"/>
      <w:bookmarkStart w:id="3" w:name="_Toc216900607"/>
      <w:r>
        <w:lastRenderedPageBreak/>
        <w:t>Introduction</w:t>
      </w:r>
      <w:bookmarkEnd w:id="0"/>
      <w:bookmarkEnd w:id="1"/>
      <w:bookmarkEnd w:id="2"/>
      <w:bookmarkEnd w:id="3"/>
    </w:p>
    <w:p w14:paraId="1BBA0AC7" w14:textId="56797EA5" w:rsidR="003F3BA5" w:rsidRPr="00994B0B" w:rsidRDefault="00994B0B" w:rsidP="00994B0B">
      <w:pPr>
        <w:spacing w:line="360" w:lineRule="auto"/>
        <w:jc w:val="both"/>
        <w:rPr>
          <w:rFonts w:ascii="Arial" w:hAnsi="Arial" w:cs="Arial"/>
          <w:sz w:val="22"/>
          <w:szCs w:val="22"/>
        </w:rPr>
      </w:pPr>
      <w:r w:rsidRPr="00994B0B">
        <w:rPr>
          <w:rFonts w:ascii="Arial" w:hAnsi="Arial" w:cs="Arial"/>
          <w:color w:val="000000"/>
          <w:sz w:val="22"/>
          <w:szCs w:val="22"/>
        </w:rPr>
        <w:t xml:space="preserve">The International Classification of Diseases, 11th Revision (ICD-11) classification of delusional disorder is critically examined in this paper, with particular attention to its diagnosis, treatment, rehabilitation, and developing disputes. It examines how the illness is defined and conceptualised within modern diagnostic frameworks, assesses common clinical treatment and rehabilitation strategies, and </w:t>
      </w:r>
      <w:r w:rsidRPr="00994B0B">
        <w:rPr>
          <w:rFonts w:ascii="Arial" w:hAnsi="Arial" w:cs="Arial"/>
          <w:color w:val="000000"/>
          <w:sz w:val="22"/>
          <w:szCs w:val="22"/>
        </w:rPr>
        <w:t>considers</w:t>
      </w:r>
      <w:r w:rsidRPr="00994B0B">
        <w:rPr>
          <w:rFonts w:ascii="Arial" w:hAnsi="Arial" w:cs="Arial"/>
          <w:color w:val="000000"/>
          <w:sz w:val="22"/>
          <w:szCs w:val="22"/>
        </w:rPr>
        <w:t xml:space="preserve"> current debates about classification, neurodivergence, and evidence-based care. The report also provides well-informed suggestions for enhancing future research, clinical results, and service delivery. This report aims to provide a thorough and critical assessment of delusional disorder within contemporary mental health practice by integrating diagnostic criteria, treatment approaches, and policy considerations.</w:t>
      </w:r>
    </w:p>
    <w:p w14:paraId="5DD55A3B" w14:textId="5DFBE5AB" w:rsidR="008A6D32" w:rsidRPr="008A6D32" w:rsidRDefault="008A6D32" w:rsidP="00CD5E10">
      <w:pPr>
        <w:pStyle w:val="Heading1"/>
      </w:pPr>
      <w:bookmarkStart w:id="4" w:name="_Toc216784326"/>
      <w:bookmarkStart w:id="5" w:name="_Toc216899610"/>
      <w:bookmarkStart w:id="6" w:name="_Toc216899675"/>
      <w:bookmarkStart w:id="7" w:name="_Toc216900608"/>
      <w:r w:rsidRPr="008A6D32">
        <w:t>Classification and Diagnosis</w:t>
      </w:r>
      <w:bookmarkEnd w:id="4"/>
      <w:bookmarkEnd w:id="5"/>
      <w:bookmarkEnd w:id="6"/>
      <w:bookmarkEnd w:id="7"/>
    </w:p>
    <w:p w14:paraId="6ABDFBB6" w14:textId="77777777" w:rsidR="00E905A5" w:rsidRDefault="00E905A5" w:rsidP="00E905A5">
      <w:pPr>
        <w:pStyle w:val="NormalWeb"/>
        <w:numPr>
          <w:ilvl w:val="0"/>
          <w:numId w:val="2"/>
        </w:numPr>
        <w:spacing w:line="360" w:lineRule="auto"/>
        <w:jc w:val="both"/>
        <w:rPr>
          <w:rFonts w:ascii="Arial" w:hAnsi="Arial" w:cs="Arial"/>
          <w:color w:val="000000"/>
          <w:sz w:val="22"/>
          <w:szCs w:val="22"/>
        </w:rPr>
      </w:pPr>
      <w:r w:rsidRPr="00E905A5">
        <w:rPr>
          <w:rFonts w:ascii="Arial" w:hAnsi="Arial" w:cs="Arial"/>
          <w:color w:val="000000"/>
          <w:sz w:val="22"/>
          <w:szCs w:val="22"/>
        </w:rPr>
        <w:t>Framework for ICD-11 Classification</w:t>
      </w:r>
    </w:p>
    <w:p w14:paraId="0A0CB745" w14:textId="22FD9380" w:rsidR="00E44972" w:rsidRDefault="00824C2D" w:rsidP="007E3F4D">
      <w:pPr>
        <w:pStyle w:val="NormalWeb"/>
        <w:spacing w:line="360" w:lineRule="auto"/>
        <w:jc w:val="both"/>
        <w:rPr>
          <w:rFonts w:ascii="Arial" w:hAnsi="Arial" w:cs="Arial"/>
          <w:color w:val="000000"/>
          <w:sz w:val="22"/>
          <w:szCs w:val="22"/>
        </w:rPr>
      </w:pPr>
      <w:r w:rsidRPr="003C27C1">
        <w:rPr>
          <w:rFonts w:ascii="Arial" w:hAnsi="Arial" w:cs="Arial"/>
          <w:color w:val="000000"/>
          <w:sz w:val="22"/>
          <w:szCs w:val="22"/>
        </w:rPr>
        <w:t>Among the range of psychotic disorders, delusional disorder is one of the most fascinating yet little studied. Delusional disorder, which is categorised in the ICD-11 under code 6A24 under the more general heading of "Schizophrenia or other primary psychotic disorders," is defined by the existence of one or more delusions that last for at least three months without the presence of other significant psychotic symptoms (World Health Organisation, 2019). People with delusional disorder, in contrast to those with schizophrenia, usually continue to operate normally in aspects of their lives that are not immediately impacted by their delusional beliefs, which presents special difficulties for diagnosis and treatment</w:t>
      </w:r>
      <w:r w:rsidR="00610A2F">
        <w:rPr>
          <w:rFonts w:ascii="Arial" w:hAnsi="Arial" w:cs="Arial"/>
          <w:color w:val="000000"/>
          <w:sz w:val="22"/>
          <w:szCs w:val="22"/>
        </w:rPr>
        <w:t xml:space="preserve"> (WHO, 2019)</w:t>
      </w:r>
    </w:p>
    <w:p w14:paraId="2D1322AE" w14:textId="5E97F5E6" w:rsidR="00E44972" w:rsidRDefault="00E44972" w:rsidP="00E44972">
      <w:pPr>
        <w:pStyle w:val="NormalWeb"/>
        <w:numPr>
          <w:ilvl w:val="0"/>
          <w:numId w:val="2"/>
        </w:numPr>
        <w:spacing w:line="360" w:lineRule="auto"/>
        <w:jc w:val="both"/>
        <w:rPr>
          <w:rFonts w:ascii="Arial" w:hAnsi="Arial" w:cs="Arial"/>
          <w:color w:val="000000"/>
          <w:sz w:val="22"/>
          <w:szCs w:val="22"/>
        </w:rPr>
      </w:pPr>
      <w:r>
        <w:rPr>
          <w:rFonts w:ascii="Arial" w:hAnsi="Arial" w:cs="Arial"/>
          <w:color w:val="000000"/>
          <w:sz w:val="22"/>
          <w:szCs w:val="22"/>
        </w:rPr>
        <w:t>Diagnostic Criteria and Processes</w:t>
      </w:r>
    </w:p>
    <w:p w14:paraId="71934179" w14:textId="24DF7EE0" w:rsidR="007E3F4D" w:rsidRDefault="007E3F4D" w:rsidP="007E3F4D">
      <w:pPr>
        <w:pStyle w:val="NormalWeb"/>
        <w:spacing w:line="360" w:lineRule="auto"/>
        <w:jc w:val="both"/>
        <w:rPr>
          <w:rFonts w:ascii="Arial" w:hAnsi="Arial" w:cs="Arial"/>
          <w:color w:val="000000"/>
          <w:sz w:val="22"/>
          <w:szCs w:val="22"/>
        </w:rPr>
      </w:pPr>
      <w:r w:rsidRPr="001336A5">
        <w:rPr>
          <w:rFonts w:ascii="Arial" w:hAnsi="Arial" w:cs="Arial"/>
          <w:color w:val="000000"/>
          <w:sz w:val="22"/>
          <w:szCs w:val="22"/>
        </w:rPr>
        <w:t>According to the ICD-11 diagnostic criteria, one or more delusions that are not socially acceptable and last for several months must be present. These delusions must be the primary clinical feature and cannot be better explained by substance abuse, schizophrenia, mood disorders with psychotic elements, or a medical disease. Crucially, behaviour is not noticeably strange and general functioning outside of the delusion's influence is mostly maintained</w:t>
      </w:r>
      <w:r w:rsidR="002A0858">
        <w:rPr>
          <w:rFonts w:ascii="Arial" w:hAnsi="Arial" w:cs="Arial"/>
          <w:color w:val="000000"/>
          <w:sz w:val="22"/>
          <w:szCs w:val="22"/>
        </w:rPr>
        <w:t xml:space="preserve"> (</w:t>
      </w:r>
      <w:r w:rsidR="00411ABE">
        <w:rPr>
          <w:rFonts w:ascii="Arial" w:hAnsi="Arial" w:cs="Arial"/>
          <w:color w:val="000000"/>
          <w:sz w:val="22"/>
          <w:szCs w:val="22"/>
        </w:rPr>
        <w:t>WHO, 2024)</w:t>
      </w:r>
      <w:r w:rsidRPr="001336A5">
        <w:rPr>
          <w:rFonts w:ascii="Arial" w:hAnsi="Arial" w:cs="Arial"/>
          <w:color w:val="000000"/>
          <w:sz w:val="22"/>
          <w:szCs w:val="22"/>
        </w:rPr>
        <w:t xml:space="preserve">. A thorough clinical evaluation is necessary for the diagnosis, which includes a long-term history, a mental state assessment, the exclusion of organic causes, and rigorous distinction from other psychotic and mood disorders. When assessing severity and making </w:t>
      </w:r>
      <w:r w:rsidRPr="001336A5">
        <w:rPr>
          <w:rFonts w:ascii="Arial" w:hAnsi="Arial" w:cs="Arial"/>
          <w:color w:val="000000"/>
          <w:sz w:val="22"/>
          <w:szCs w:val="22"/>
        </w:rPr>
        <w:lastRenderedPageBreak/>
        <w:t>treatment plans, ICD-11 advises physicians to take insight, distress, and functional impairment into account</w:t>
      </w:r>
      <w:r w:rsidR="00411ABE">
        <w:rPr>
          <w:rFonts w:ascii="Arial" w:hAnsi="Arial" w:cs="Arial"/>
          <w:color w:val="000000"/>
          <w:sz w:val="22"/>
          <w:szCs w:val="22"/>
        </w:rPr>
        <w:t xml:space="preserve"> (WHO, 2024)</w:t>
      </w:r>
      <w:r w:rsidRPr="001336A5">
        <w:rPr>
          <w:rFonts w:ascii="Arial" w:hAnsi="Arial" w:cs="Arial"/>
          <w:color w:val="000000"/>
          <w:sz w:val="22"/>
          <w:szCs w:val="22"/>
        </w:rPr>
        <w:t>.</w:t>
      </w:r>
    </w:p>
    <w:p w14:paraId="4C180A92" w14:textId="77777777" w:rsidR="009A5B64" w:rsidRDefault="009A5B64" w:rsidP="003A1FCA">
      <w:pPr>
        <w:pStyle w:val="NormalWeb"/>
        <w:numPr>
          <w:ilvl w:val="0"/>
          <w:numId w:val="2"/>
        </w:numPr>
        <w:spacing w:line="360" w:lineRule="auto"/>
        <w:jc w:val="both"/>
        <w:rPr>
          <w:rFonts w:ascii="Arial" w:hAnsi="Arial" w:cs="Arial"/>
          <w:color w:val="000000"/>
          <w:sz w:val="22"/>
          <w:szCs w:val="22"/>
        </w:rPr>
      </w:pPr>
      <w:r w:rsidRPr="009A5B64">
        <w:rPr>
          <w:rFonts w:ascii="Arial" w:hAnsi="Arial" w:cs="Arial"/>
          <w:color w:val="000000"/>
          <w:sz w:val="22"/>
          <w:szCs w:val="22"/>
        </w:rPr>
        <w:t>Language Used in ICD-11</w:t>
      </w:r>
    </w:p>
    <w:p w14:paraId="020EADCE" w14:textId="2E275E43" w:rsidR="009A5B64" w:rsidRPr="009A5B64" w:rsidRDefault="009A5B64" w:rsidP="007E3F4D">
      <w:pPr>
        <w:pStyle w:val="NormalWeb"/>
        <w:spacing w:line="360" w:lineRule="auto"/>
        <w:jc w:val="both"/>
        <w:rPr>
          <w:rFonts w:ascii="Arial" w:hAnsi="Arial" w:cs="Arial"/>
          <w:color w:val="000000"/>
          <w:sz w:val="22"/>
          <w:szCs w:val="22"/>
        </w:rPr>
      </w:pPr>
      <w:r w:rsidRPr="009A5B64">
        <w:rPr>
          <w:rFonts w:ascii="Arial" w:hAnsi="Arial" w:cs="Arial"/>
          <w:color w:val="000000"/>
          <w:sz w:val="22"/>
          <w:szCs w:val="22"/>
        </w:rPr>
        <w:br/>
        <w:t xml:space="preserve">The term "delusional disorder" is routinely used in ICD-11, which reflects a category medical model. In contrast to more neutral terms like "condition," the term "disorder" is in line with the ICD's wider </w:t>
      </w:r>
      <w:proofErr w:type="spellStart"/>
      <w:r w:rsidRPr="009A5B64">
        <w:rPr>
          <w:rFonts w:ascii="Arial" w:hAnsi="Arial" w:cs="Arial"/>
          <w:color w:val="000000"/>
          <w:sz w:val="22"/>
          <w:szCs w:val="22"/>
        </w:rPr>
        <w:t>nosological</w:t>
      </w:r>
      <w:proofErr w:type="spellEnd"/>
      <w:r w:rsidRPr="009A5B64">
        <w:rPr>
          <w:rFonts w:ascii="Arial" w:hAnsi="Arial" w:cs="Arial"/>
          <w:color w:val="000000"/>
          <w:sz w:val="22"/>
          <w:szCs w:val="22"/>
        </w:rPr>
        <w:t xml:space="preserve"> framework. In addition to having implications for stigma and program eligibility, this phrase emphasises the expectation of a clinically serious problem necessitating assessment and </w:t>
      </w:r>
      <w:r w:rsidR="001F7DAE" w:rsidRPr="009A5B64">
        <w:rPr>
          <w:rFonts w:ascii="Arial" w:hAnsi="Arial" w:cs="Arial"/>
          <w:color w:val="000000"/>
          <w:sz w:val="22"/>
          <w:szCs w:val="22"/>
        </w:rPr>
        <w:t>care</w:t>
      </w:r>
      <w:r w:rsidR="001F7DAE">
        <w:rPr>
          <w:rFonts w:ascii="Arial" w:hAnsi="Arial" w:cs="Arial"/>
          <w:color w:val="000000"/>
          <w:sz w:val="22"/>
          <w:szCs w:val="22"/>
        </w:rPr>
        <w:t xml:space="preserve"> (</w:t>
      </w:r>
      <w:r w:rsidR="00D66485">
        <w:rPr>
          <w:rFonts w:ascii="Arial" w:hAnsi="Arial" w:cs="Arial"/>
          <w:color w:val="000000"/>
          <w:sz w:val="22"/>
          <w:szCs w:val="22"/>
        </w:rPr>
        <w:t>WHO, 2019)</w:t>
      </w:r>
      <w:r w:rsidRPr="009A5B64">
        <w:rPr>
          <w:rFonts w:ascii="Arial" w:hAnsi="Arial" w:cs="Arial"/>
          <w:color w:val="000000"/>
          <w:sz w:val="22"/>
          <w:szCs w:val="22"/>
        </w:rPr>
        <w:t>.</w:t>
      </w:r>
    </w:p>
    <w:p w14:paraId="12CBA632" w14:textId="77777777" w:rsidR="008A6D32" w:rsidRPr="00294EA9" w:rsidRDefault="008A6D32" w:rsidP="00294EA9"/>
    <w:p w14:paraId="46EE2BC7" w14:textId="636476D8" w:rsidR="002923C0" w:rsidRPr="00294EA9" w:rsidRDefault="008A6D32" w:rsidP="00CD5E10">
      <w:pPr>
        <w:pStyle w:val="Heading1"/>
        <w:rPr>
          <w:rStyle w:val="apple-converted-space"/>
          <w:rFonts w:ascii="Arial" w:hAnsi="Arial" w:cs="Arial"/>
          <w:b/>
          <w:bCs/>
          <w:color w:val="000000"/>
          <w:sz w:val="22"/>
          <w:szCs w:val="22"/>
        </w:rPr>
      </w:pPr>
      <w:bookmarkStart w:id="8" w:name="_Toc216784327"/>
      <w:bookmarkStart w:id="9" w:name="_Toc216899611"/>
      <w:bookmarkStart w:id="10" w:name="_Toc216899676"/>
      <w:bookmarkStart w:id="11" w:name="_Toc216900609"/>
      <w:r w:rsidRPr="00294EA9">
        <w:t>Treatment and Rehabilitation</w:t>
      </w:r>
      <w:bookmarkEnd w:id="8"/>
      <w:bookmarkEnd w:id="9"/>
      <w:bookmarkEnd w:id="10"/>
      <w:bookmarkEnd w:id="11"/>
    </w:p>
    <w:p w14:paraId="69598975" w14:textId="4A011393" w:rsidR="006D4747" w:rsidRPr="00595DE7" w:rsidRDefault="006D4747" w:rsidP="00595DE7">
      <w:pPr>
        <w:pStyle w:val="NormalWeb"/>
        <w:spacing w:line="360" w:lineRule="auto"/>
        <w:jc w:val="both"/>
        <w:rPr>
          <w:rStyle w:val="apple-converted-space"/>
          <w:rFonts w:ascii="Arial" w:eastAsiaTheme="majorEastAsia" w:hAnsi="Arial" w:cs="Arial"/>
          <w:b/>
          <w:bCs/>
          <w:color w:val="000000"/>
          <w:sz w:val="22"/>
          <w:szCs w:val="22"/>
        </w:rPr>
      </w:pPr>
      <w:r w:rsidRPr="00595DE7">
        <w:rPr>
          <w:rFonts w:ascii="Arial" w:hAnsi="Arial" w:cs="Arial"/>
          <w:color w:val="000000"/>
          <w:sz w:val="22"/>
          <w:szCs w:val="22"/>
        </w:rPr>
        <w:t xml:space="preserve">Persistent delusions without the noticeable hallucinations, cognitive disorder, or negative symptoms associated with schizophrenia are the hallmark of delusional disorder (ICD-11 code 6A24). Reducing symptoms, enhancing insight, and preserving psychosocial functioning are the core goals of therapy and rehabilitation; </w:t>
      </w:r>
      <w:r w:rsidR="007B5657" w:rsidRPr="00595DE7">
        <w:rPr>
          <w:rFonts w:ascii="Arial" w:hAnsi="Arial" w:cs="Arial"/>
          <w:color w:val="000000"/>
          <w:sz w:val="22"/>
          <w:szCs w:val="22"/>
        </w:rPr>
        <w:t>yet</w:t>
      </w:r>
      <w:r w:rsidRPr="00595DE7">
        <w:rPr>
          <w:rFonts w:ascii="Arial" w:hAnsi="Arial" w:cs="Arial"/>
          <w:color w:val="000000"/>
          <w:sz w:val="22"/>
          <w:szCs w:val="22"/>
        </w:rPr>
        <w:t xml:space="preserve"> management is frequently difficult because of insufficient insight and treatment resistance.</w:t>
      </w:r>
    </w:p>
    <w:p w14:paraId="18A3F767" w14:textId="77777777" w:rsidR="00B76CC5" w:rsidRDefault="003719E8" w:rsidP="00A81148">
      <w:pPr>
        <w:pStyle w:val="NormalWeb"/>
        <w:numPr>
          <w:ilvl w:val="0"/>
          <w:numId w:val="1"/>
        </w:numPr>
        <w:spacing w:line="360" w:lineRule="auto"/>
        <w:jc w:val="both"/>
        <w:rPr>
          <w:rFonts w:ascii="Arial" w:hAnsi="Arial" w:cs="Arial"/>
          <w:color w:val="000000"/>
          <w:sz w:val="22"/>
          <w:szCs w:val="22"/>
        </w:rPr>
      </w:pPr>
      <w:r w:rsidRPr="00595DE7">
        <w:rPr>
          <w:rFonts w:ascii="Arial" w:hAnsi="Arial" w:cs="Arial"/>
          <w:color w:val="000000"/>
          <w:sz w:val="22"/>
          <w:szCs w:val="22"/>
        </w:rPr>
        <w:t>Standard Methods of Treatment</w:t>
      </w:r>
    </w:p>
    <w:p w14:paraId="030F6AE4" w14:textId="25ED77A1" w:rsidR="006D4747" w:rsidRPr="00595DE7" w:rsidRDefault="003719E8" w:rsidP="00595DE7">
      <w:pPr>
        <w:pStyle w:val="NormalWeb"/>
        <w:spacing w:line="360" w:lineRule="auto"/>
        <w:jc w:val="both"/>
        <w:rPr>
          <w:rFonts w:ascii="Arial" w:hAnsi="Arial" w:cs="Arial"/>
          <w:color w:val="000000"/>
          <w:sz w:val="22"/>
          <w:szCs w:val="22"/>
        </w:rPr>
      </w:pPr>
      <w:r w:rsidRPr="00595DE7">
        <w:rPr>
          <w:rFonts w:ascii="Arial" w:hAnsi="Arial" w:cs="Arial"/>
          <w:color w:val="000000"/>
          <w:sz w:val="22"/>
          <w:szCs w:val="22"/>
        </w:rPr>
        <w:br/>
        <w:t>Pharmacotherapy continues to be the mainstay of care. Antipsychotic drugs are frequently utilised, especially second-generation antipsychotics (risperidone, olanzapine, aripiprazole, etc.). They focus on dopaminergic dysregulation, which is believed to be the cause of delusions. Research points to a moderate level of efficacy, with better results in somatic and persecutory subtypes than in grandiose or jealous kinds. In cases of concomitant depression or mood instability, antidepressants or mood stabilisers may be added</w:t>
      </w:r>
      <w:r w:rsidR="001D4C15">
        <w:rPr>
          <w:rFonts w:ascii="Arial" w:hAnsi="Arial" w:cs="Arial"/>
          <w:color w:val="000000"/>
          <w:sz w:val="22"/>
          <w:szCs w:val="22"/>
        </w:rPr>
        <w:t xml:space="preserve"> (</w:t>
      </w:r>
      <w:r w:rsidR="00827068">
        <w:rPr>
          <w:rFonts w:ascii="Arial" w:hAnsi="Arial" w:cs="Arial"/>
          <w:color w:val="000000"/>
          <w:sz w:val="22"/>
          <w:szCs w:val="22"/>
        </w:rPr>
        <w:t>NHS</w:t>
      </w:r>
      <w:r w:rsidR="007457F0">
        <w:rPr>
          <w:rFonts w:ascii="Arial" w:hAnsi="Arial" w:cs="Arial"/>
          <w:color w:val="000000"/>
          <w:sz w:val="22"/>
          <w:szCs w:val="22"/>
        </w:rPr>
        <w:t xml:space="preserve">, 2023; </w:t>
      </w:r>
      <w:r w:rsidR="001D4C15">
        <w:rPr>
          <w:rFonts w:ascii="Arial" w:hAnsi="Arial" w:cs="Arial"/>
          <w:color w:val="000000"/>
          <w:sz w:val="22"/>
          <w:szCs w:val="22"/>
        </w:rPr>
        <w:t>Skelton et</w:t>
      </w:r>
      <w:r w:rsidR="007457F0">
        <w:rPr>
          <w:rFonts w:ascii="Arial" w:hAnsi="Arial" w:cs="Arial"/>
          <w:color w:val="000000"/>
          <w:sz w:val="22"/>
          <w:szCs w:val="22"/>
        </w:rPr>
        <w:t xml:space="preserve"> </w:t>
      </w:r>
      <w:r w:rsidR="001D4C15">
        <w:rPr>
          <w:rFonts w:ascii="Arial" w:hAnsi="Arial" w:cs="Arial"/>
          <w:color w:val="000000"/>
          <w:sz w:val="22"/>
          <w:szCs w:val="22"/>
        </w:rPr>
        <w:t>al.,2015)</w:t>
      </w:r>
      <w:r w:rsidRPr="00595DE7">
        <w:rPr>
          <w:rFonts w:ascii="Arial" w:hAnsi="Arial" w:cs="Arial"/>
          <w:color w:val="000000"/>
          <w:sz w:val="22"/>
          <w:szCs w:val="22"/>
        </w:rPr>
        <w:t>.</w:t>
      </w:r>
    </w:p>
    <w:p w14:paraId="1B24E872" w14:textId="4E8A7BC7" w:rsidR="00EC1C80" w:rsidRPr="00595DE7" w:rsidRDefault="00EC1C80" w:rsidP="00595DE7">
      <w:pPr>
        <w:pStyle w:val="NormalWeb"/>
        <w:spacing w:line="360" w:lineRule="auto"/>
        <w:jc w:val="both"/>
        <w:rPr>
          <w:rFonts w:ascii="Arial" w:hAnsi="Arial" w:cs="Arial"/>
          <w:color w:val="000000"/>
          <w:sz w:val="22"/>
          <w:szCs w:val="22"/>
        </w:rPr>
      </w:pPr>
      <w:r w:rsidRPr="00595DE7">
        <w:rPr>
          <w:rFonts w:ascii="Arial" w:hAnsi="Arial" w:cs="Arial"/>
          <w:color w:val="000000"/>
          <w:sz w:val="22"/>
          <w:szCs w:val="22"/>
        </w:rPr>
        <w:t>The importance of psychological therapies is growing. Instead of explicitly opposing delusions, Cognitive Behavioural Therapy for Psychosis (</w:t>
      </w:r>
      <w:proofErr w:type="spellStart"/>
      <w:r w:rsidRPr="00595DE7">
        <w:rPr>
          <w:rFonts w:ascii="Arial" w:hAnsi="Arial" w:cs="Arial"/>
          <w:color w:val="000000"/>
          <w:sz w:val="22"/>
          <w:szCs w:val="22"/>
        </w:rPr>
        <w:t>CBTp</w:t>
      </w:r>
      <w:proofErr w:type="spellEnd"/>
      <w:r w:rsidRPr="00595DE7">
        <w:rPr>
          <w:rFonts w:ascii="Arial" w:hAnsi="Arial" w:cs="Arial"/>
          <w:color w:val="000000"/>
          <w:sz w:val="22"/>
          <w:szCs w:val="22"/>
        </w:rPr>
        <w:t xml:space="preserve">) seeks to lessen conviction in delusional beliefs, enhance coping mechanisms, and manage related discomfort. Building a therapeutic connection is essential given the prevalence of mistrust and inadequate understanding, and </w:t>
      </w:r>
      <w:r w:rsidRPr="00595DE7">
        <w:rPr>
          <w:rFonts w:ascii="Arial" w:hAnsi="Arial" w:cs="Arial"/>
          <w:color w:val="000000"/>
          <w:sz w:val="22"/>
          <w:szCs w:val="22"/>
        </w:rPr>
        <w:lastRenderedPageBreak/>
        <w:t>supportive psychotherapy helps achieve this. Family therapies may enhance adherence and lessen interpersonal conflict</w:t>
      </w:r>
      <w:r w:rsidR="00583484">
        <w:rPr>
          <w:rFonts w:ascii="Arial" w:hAnsi="Arial" w:cs="Arial"/>
          <w:color w:val="000000"/>
          <w:sz w:val="22"/>
          <w:szCs w:val="22"/>
        </w:rPr>
        <w:t xml:space="preserve"> (NICE, 2020)</w:t>
      </w:r>
      <w:r w:rsidRPr="00595DE7">
        <w:rPr>
          <w:rFonts w:ascii="Arial" w:hAnsi="Arial" w:cs="Arial"/>
          <w:color w:val="000000"/>
          <w:sz w:val="22"/>
          <w:szCs w:val="22"/>
        </w:rPr>
        <w:t>.</w:t>
      </w:r>
    </w:p>
    <w:p w14:paraId="0291DAF2" w14:textId="77777777" w:rsidR="00B76CC5" w:rsidRDefault="003A4048" w:rsidP="00A81148">
      <w:pPr>
        <w:pStyle w:val="NormalWeb"/>
        <w:numPr>
          <w:ilvl w:val="0"/>
          <w:numId w:val="1"/>
        </w:numPr>
        <w:spacing w:line="360" w:lineRule="auto"/>
        <w:jc w:val="both"/>
        <w:rPr>
          <w:rFonts w:ascii="Arial" w:hAnsi="Arial" w:cs="Arial"/>
          <w:color w:val="000000"/>
          <w:sz w:val="22"/>
          <w:szCs w:val="22"/>
        </w:rPr>
      </w:pPr>
      <w:r w:rsidRPr="00595DE7">
        <w:rPr>
          <w:rFonts w:ascii="Arial" w:hAnsi="Arial" w:cs="Arial"/>
          <w:color w:val="000000"/>
          <w:sz w:val="22"/>
          <w:szCs w:val="22"/>
        </w:rPr>
        <w:t>ICD-11 Rehabilitation Measures and Practice</w:t>
      </w:r>
    </w:p>
    <w:p w14:paraId="4E27853E" w14:textId="499C5F26" w:rsidR="006D4747" w:rsidRDefault="003A4048" w:rsidP="00595DE7">
      <w:pPr>
        <w:pStyle w:val="NormalWeb"/>
        <w:spacing w:line="360" w:lineRule="auto"/>
        <w:jc w:val="both"/>
        <w:rPr>
          <w:rFonts w:ascii="Arial" w:hAnsi="Arial" w:cs="Arial"/>
          <w:color w:val="000000"/>
          <w:sz w:val="22"/>
          <w:szCs w:val="22"/>
        </w:rPr>
      </w:pPr>
      <w:r w:rsidRPr="00595DE7">
        <w:rPr>
          <w:rFonts w:ascii="Arial" w:hAnsi="Arial" w:cs="Arial"/>
          <w:color w:val="000000"/>
          <w:sz w:val="22"/>
          <w:szCs w:val="22"/>
        </w:rPr>
        <w:br/>
        <w:t xml:space="preserve">ICD-11 has a strong emphasis on functionality, impairment, and recovery-oriented care even if it does not recommend any </w:t>
      </w:r>
      <w:r w:rsidRPr="00595DE7">
        <w:rPr>
          <w:rFonts w:ascii="Arial" w:hAnsi="Arial" w:cs="Arial"/>
          <w:color w:val="000000"/>
          <w:sz w:val="22"/>
          <w:szCs w:val="22"/>
        </w:rPr>
        <w:t>rehabilitation</w:t>
      </w:r>
      <w:r w:rsidRPr="00595DE7">
        <w:rPr>
          <w:rFonts w:ascii="Arial" w:hAnsi="Arial" w:cs="Arial"/>
          <w:color w:val="000000"/>
          <w:sz w:val="22"/>
          <w:szCs w:val="22"/>
        </w:rPr>
        <w:t xml:space="preserve"> procedures. </w:t>
      </w:r>
      <w:r w:rsidRPr="00595DE7">
        <w:rPr>
          <w:rFonts w:ascii="Arial" w:hAnsi="Arial" w:cs="Arial"/>
          <w:color w:val="000000"/>
          <w:sz w:val="22"/>
          <w:szCs w:val="22"/>
        </w:rPr>
        <w:t>Rehabilitation</w:t>
      </w:r>
      <w:r w:rsidRPr="00595DE7">
        <w:rPr>
          <w:rFonts w:ascii="Arial" w:hAnsi="Arial" w:cs="Arial"/>
          <w:color w:val="000000"/>
          <w:sz w:val="22"/>
          <w:szCs w:val="22"/>
        </w:rPr>
        <w:t xml:space="preserve"> is more concerned with psychosocial functioning than symptom relief. To assist independent living and employment, strategies include occupational therapy, vocational rehabilitation, and social skills training. For patients and their families, psychoeducation enhances comprehension of the condition and encourages compliance. Long-term care is greatly aided by community-based mental health services, particularly for people who are socially isolated or wary of clinical settings</w:t>
      </w:r>
      <w:r w:rsidR="004D2AD6">
        <w:rPr>
          <w:rFonts w:ascii="Arial" w:hAnsi="Arial" w:cs="Arial"/>
          <w:color w:val="000000"/>
          <w:sz w:val="22"/>
          <w:szCs w:val="22"/>
        </w:rPr>
        <w:t xml:space="preserve"> (NICE, </w:t>
      </w:r>
      <w:r w:rsidR="00571D0E">
        <w:rPr>
          <w:rFonts w:ascii="Arial" w:hAnsi="Arial" w:cs="Arial"/>
          <w:color w:val="000000"/>
          <w:sz w:val="22"/>
          <w:szCs w:val="22"/>
        </w:rPr>
        <w:t>20</w:t>
      </w:r>
      <w:r w:rsidR="006F3144">
        <w:rPr>
          <w:rFonts w:ascii="Arial" w:hAnsi="Arial" w:cs="Arial"/>
          <w:color w:val="000000"/>
          <w:sz w:val="22"/>
          <w:szCs w:val="22"/>
        </w:rPr>
        <w:t>25</w:t>
      </w:r>
      <w:r w:rsidR="00571D0E">
        <w:rPr>
          <w:rFonts w:ascii="Arial" w:hAnsi="Arial" w:cs="Arial"/>
          <w:color w:val="000000"/>
          <w:sz w:val="22"/>
          <w:szCs w:val="22"/>
        </w:rPr>
        <w:t>;</w:t>
      </w:r>
      <w:r w:rsidR="00CA18A8">
        <w:rPr>
          <w:rFonts w:ascii="Arial" w:hAnsi="Arial" w:cs="Arial"/>
          <w:color w:val="000000"/>
          <w:sz w:val="22"/>
          <w:szCs w:val="22"/>
        </w:rPr>
        <w:t xml:space="preserve"> Skelton et</w:t>
      </w:r>
      <w:r w:rsidR="00571D0E">
        <w:rPr>
          <w:rFonts w:ascii="Arial" w:hAnsi="Arial" w:cs="Arial"/>
          <w:color w:val="000000"/>
          <w:sz w:val="22"/>
          <w:szCs w:val="22"/>
        </w:rPr>
        <w:t xml:space="preserve"> </w:t>
      </w:r>
      <w:r w:rsidR="00CA18A8">
        <w:rPr>
          <w:rFonts w:ascii="Arial" w:hAnsi="Arial" w:cs="Arial"/>
          <w:color w:val="000000"/>
          <w:sz w:val="22"/>
          <w:szCs w:val="22"/>
        </w:rPr>
        <w:t>al., 2</w:t>
      </w:r>
      <w:r w:rsidR="00571D0E">
        <w:rPr>
          <w:rFonts w:ascii="Arial" w:hAnsi="Arial" w:cs="Arial"/>
          <w:color w:val="000000"/>
          <w:sz w:val="22"/>
          <w:szCs w:val="22"/>
        </w:rPr>
        <w:t>015</w:t>
      </w:r>
      <w:r w:rsidR="004D2AD6">
        <w:rPr>
          <w:rFonts w:ascii="Arial" w:hAnsi="Arial" w:cs="Arial"/>
          <w:color w:val="000000"/>
          <w:sz w:val="22"/>
          <w:szCs w:val="22"/>
        </w:rPr>
        <w:t>)</w:t>
      </w:r>
      <w:r w:rsidRPr="00595DE7">
        <w:rPr>
          <w:rFonts w:ascii="Arial" w:hAnsi="Arial" w:cs="Arial"/>
          <w:color w:val="000000"/>
          <w:sz w:val="22"/>
          <w:szCs w:val="22"/>
        </w:rPr>
        <w:t>.</w:t>
      </w:r>
    </w:p>
    <w:p w14:paraId="12FADBFB" w14:textId="77777777" w:rsidR="00B76CC5" w:rsidRPr="00595DE7" w:rsidRDefault="00B76CC5" w:rsidP="00595DE7">
      <w:pPr>
        <w:pStyle w:val="NormalWeb"/>
        <w:spacing w:line="360" w:lineRule="auto"/>
        <w:jc w:val="both"/>
        <w:rPr>
          <w:rFonts w:ascii="Arial" w:hAnsi="Arial" w:cs="Arial"/>
          <w:color w:val="000000"/>
          <w:sz w:val="22"/>
          <w:szCs w:val="22"/>
        </w:rPr>
      </w:pPr>
    </w:p>
    <w:p w14:paraId="044744F7" w14:textId="77777777" w:rsidR="00B76CC5" w:rsidRDefault="00E46871" w:rsidP="00A81148">
      <w:pPr>
        <w:pStyle w:val="NormalWeb"/>
        <w:numPr>
          <w:ilvl w:val="0"/>
          <w:numId w:val="1"/>
        </w:numPr>
        <w:spacing w:line="360" w:lineRule="auto"/>
        <w:jc w:val="both"/>
        <w:rPr>
          <w:rFonts w:ascii="Arial" w:hAnsi="Arial" w:cs="Arial"/>
          <w:color w:val="000000"/>
          <w:sz w:val="22"/>
          <w:szCs w:val="22"/>
        </w:rPr>
      </w:pPr>
      <w:r w:rsidRPr="00595DE7">
        <w:rPr>
          <w:rFonts w:ascii="Arial" w:hAnsi="Arial" w:cs="Arial"/>
          <w:color w:val="000000"/>
          <w:sz w:val="22"/>
          <w:szCs w:val="22"/>
        </w:rPr>
        <w:t>Limitations and Effectiveness</w:t>
      </w:r>
    </w:p>
    <w:p w14:paraId="6B7BF22E" w14:textId="0EE7F432" w:rsidR="008A6D32" w:rsidRPr="00A81148" w:rsidRDefault="00E46871" w:rsidP="00A81148">
      <w:pPr>
        <w:pStyle w:val="NormalWeb"/>
        <w:spacing w:line="360" w:lineRule="auto"/>
        <w:jc w:val="both"/>
        <w:rPr>
          <w:rFonts w:ascii="Arial" w:eastAsiaTheme="majorEastAsia" w:hAnsi="Arial" w:cs="Arial"/>
          <w:b/>
          <w:bCs/>
          <w:color w:val="000000"/>
          <w:sz w:val="22"/>
          <w:szCs w:val="22"/>
        </w:rPr>
      </w:pPr>
      <w:r w:rsidRPr="00595DE7">
        <w:rPr>
          <w:rFonts w:ascii="Arial" w:hAnsi="Arial" w:cs="Arial"/>
          <w:color w:val="000000"/>
          <w:sz w:val="22"/>
          <w:szCs w:val="22"/>
        </w:rPr>
        <w:br/>
        <w:t xml:space="preserve">The treatment's overall efficacy is mediocre. Antipsychotics frequently do not completely eradicate delusions, but they might lessen their intensity and concentration. Although recovery is usually sluggish, psychological therapies are beneficial in lowering discomfort and enhancing quality of life. When initiated early, rehabilitation strategies are successful in preserving social and occupational </w:t>
      </w:r>
      <w:proofErr w:type="spellStart"/>
      <w:proofErr w:type="gramStart"/>
      <w:r w:rsidRPr="00595DE7">
        <w:rPr>
          <w:rFonts w:ascii="Arial" w:hAnsi="Arial" w:cs="Arial"/>
          <w:color w:val="000000"/>
          <w:sz w:val="22"/>
          <w:szCs w:val="22"/>
        </w:rPr>
        <w:t>functioning.Poor</w:t>
      </w:r>
      <w:proofErr w:type="spellEnd"/>
      <w:proofErr w:type="gramEnd"/>
      <w:r w:rsidRPr="00595DE7">
        <w:rPr>
          <w:rFonts w:ascii="Arial" w:hAnsi="Arial" w:cs="Arial"/>
          <w:color w:val="000000"/>
          <w:sz w:val="22"/>
          <w:szCs w:val="22"/>
        </w:rPr>
        <w:t xml:space="preserve"> understanding, which results in low treatment adherence, and a dearth of reliable randomised controlled studies tailored to delusional disorder are among the limitations. Results are further complicated by stigma, chronicity, and delayed presentation. Therefore, despite these difficulties, an integrated, customised, long-term strategy that combines medication, psychotherapy, and psychosocial rehabilitation is still crucial</w:t>
      </w:r>
      <w:r w:rsidR="00F94916">
        <w:rPr>
          <w:rFonts w:ascii="Arial" w:hAnsi="Arial" w:cs="Arial"/>
          <w:color w:val="000000"/>
          <w:sz w:val="22"/>
          <w:szCs w:val="22"/>
        </w:rPr>
        <w:t xml:space="preserve"> (</w:t>
      </w:r>
      <w:r w:rsidR="007B0ABA">
        <w:rPr>
          <w:rFonts w:ascii="Arial" w:hAnsi="Arial" w:cs="Arial"/>
          <w:color w:val="000000"/>
          <w:sz w:val="22"/>
          <w:szCs w:val="22"/>
        </w:rPr>
        <w:t>NHS, 202</w:t>
      </w:r>
      <w:r w:rsidR="00796778">
        <w:rPr>
          <w:rFonts w:ascii="Arial" w:hAnsi="Arial" w:cs="Arial"/>
          <w:color w:val="000000"/>
          <w:sz w:val="22"/>
          <w:szCs w:val="22"/>
        </w:rPr>
        <w:t>3</w:t>
      </w:r>
      <w:r w:rsidR="007B0ABA">
        <w:rPr>
          <w:rFonts w:ascii="Arial" w:hAnsi="Arial" w:cs="Arial"/>
          <w:color w:val="000000"/>
          <w:sz w:val="22"/>
          <w:szCs w:val="22"/>
        </w:rPr>
        <w:t>)</w:t>
      </w:r>
      <w:r w:rsidRPr="00595DE7">
        <w:rPr>
          <w:rFonts w:ascii="Arial" w:hAnsi="Arial" w:cs="Arial"/>
          <w:color w:val="000000"/>
          <w:sz w:val="22"/>
          <w:szCs w:val="22"/>
        </w:rPr>
        <w:t>.</w:t>
      </w:r>
    </w:p>
    <w:p w14:paraId="668504A0" w14:textId="77777777" w:rsidR="008A6D32" w:rsidRDefault="008A6D32" w:rsidP="008A6D32">
      <w:pPr>
        <w:pStyle w:val="NormalWeb"/>
        <w:rPr>
          <w:rFonts w:ascii="Arial" w:hAnsi="Arial" w:cs="Arial"/>
          <w:b/>
          <w:bCs/>
          <w:color w:val="000000"/>
        </w:rPr>
      </w:pPr>
    </w:p>
    <w:p w14:paraId="6C7A6F7D" w14:textId="77777777" w:rsidR="006A21C1" w:rsidRDefault="006A21C1" w:rsidP="008A6D32">
      <w:pPr>
        <w:pStyle w:val="NormalWeb"/>
        <w:rPr>
          <w:rFonts w:ascii="Arial" w:hAnsi="Arial" w:cs="Arial"/>
          <w:b/>
          <w:bCs/>
          <w:color w:val="000000"/>
        </w:rPr>
      </w:pPr>
    </w:p>
    <w:p w14:paraId="0A5F475C" w14:textId="77777777" w:rsidR="006A21C1" w:rsidRPr="008A6D32" w:rsidRDefault="006A21C1" w:rsidP="008A6D32">
      <w:pPr>
        <w:pStyle w:val="NormalWeb"/>
        <w:rPr>
          <w:rFonts w:ascii="Arial" w:hAnsi="Arial" w:cs="Arial"/>
          <w:b/>
          <w:bCs/>
          <w:color w:val="000000"/>
        </w:rPr>
      </w:pPr>
    </w:p>
    <w:p w14:paraId="0D06B3CB" w14:textId="796639F5" w:rsidR="008A6D32" w:rsidRPr="00A81148" w:rsidRDefault="008A6D32" w:rsidP="00CD5E10">
      <w:pPr>
        <w:pStyle w:val="Heading1"/>
        <w:rPr>
          <w:rStyle w:val="apple-converted-space"/>
          <w:rFonts w:ascii="Arial" w:hAnsi="Arial" w:cs="Arial"/>
          <w:b/>
          <w:bCs/>
          <w:color w:val="000000"/>
          <w:sz w:val="22"/>
          <w:szCs w:val="22"/>
        </w:rPr>
      </w:pPr>
      <w:bookmarkStart w:id="12" w:name="_Toc216784328"/>
      <w:bookmarkStart w:id="13" w:name="_Toc216899612"/>
      <w:bookmarkStart w:id="14" w:name="_Toc216899677"/>
      <w:bookmarkStart w:id="15" w:name="_Toc216900610"/>
      <w:r w:rsidRPr="00A81148">
        <w:lastRenderedPageBreak/>
        <w:t>Current Debates and Emerging Issues</w:t>
      </w:r>
      <w:bookmarkEnd w:id="12"/>
      <w:bookmarkEnd w:id="13"/>
      <w:bookmarkEnd w:id="14"/>
      <w:bookmarkEnd w:id="15"/>
    </w:p>
    <w:p w14:paraId="57F1B595" w14:textId="77777777" w:rsidR="00A81148" w:rsidRPr="00A81148" w:rsidRDefault="007460A2" w:rsidP="00A81148">
      <w:pPr>
        <w:pStyle w:val="NormalWeb"/>
        <w:numPr>
          <w:ilvl w:val="0"/>
          <w:numId w:val="1"/>
        </w:numPr>
        <w:spacing w:line="360" w:lineRule="auto"/>
        <w:jc w:val="both"/>
        <w:rPr>
          <w:rFonts w:ascii="Arial" w:hAnsi="Arial" w:cs="Arial"/>
          <w:color w:val="000000"/>
          <w:sz w:val="22"/>
          <w:szCs w:val="22"/>
        </w:rPr>
      </w:pPr>
      <w:r w:rsidRPr="00A81148">
        <w:rPr>
          <w:rFonts w:ascii="Arial" w:hAnsi="Arial" w:cs="Arial"/>
          <w:color w:val="000000"/>
          <w:sz w:val="22"/>
          <w:szCs w:val="22"/>
        </w:rPr>
        <w:t>Debates on classification and treatment</w:t>
      </w:r>
    </w:p>
    <w:p w14:paraId="5FE7CE9B" w14:textId="07CAC500" w:rsidR="00260ED1" w:rsidRPr="00A81148" w:rsidRDefault="007460A2" w:rsidP="00A81148">
      <w:pPr>
        <w:pStyle w:val="NormalWeb"/>
        <w:spacing w:line="360" w:lineRule="auto"/>
        <w:jc w:val="both"/>
        <w:rPr>
          <w:rStyle w:val="apple-converted-space"/>
          <w:rFonts w:ascii="Arial" w:eastAsiaTheme="majorEastAsia" w:hAnsi="Arial" w:cs="Arial"/>
          <w:b/>
          <w:bCs/>
          <w:color w:val="000000"/>
          <w:sz w:val="22"/>
          <w:szCs w:val="22"/>
        </w:rPr>
      </w:pPr>
      <w:r w:rsidRPr="00A81148">
        <w:rPr>
          <w:rFonts w:ascii="Arial" w:hAnsi="Arial" w:cs="Arial"/>
          <w:color w:val="000000"/>
          <w:sz w:val="22"/>
          <w:szCs w:val="22"/>
        </w:rPr>
        <w:br/>
        <w:t xml:space="preserve">The status of delusional disorder (DD) in contemporary diagnostic systems and its implications for treatment </w:t>
      </w:r>
      <w:r w:rsidR="00A81148" w:rsidRPr="00A81148">
        <w:rPr>
          <w:rFonts w:ascii="Arial" w:hAnsi="Arial" w:cs="Arial"/>
          <w:color w:val="000000"/>
          <w:sz w:val="22"/>
          <w:szCs w:val="22"/>
        </w:rPr>
        <w:t>is</w:t>
      </w:r>
      <w:r w:rsidRPr="00A81148">
        <w:rPr>
          <w:rFonts w:ascii="Arial" w:hAnsi="Arial" w:cs="Arial"/>
          <w:color w:val="000000"/>
          <w:sz w:val="22"/>
          <w:szCs w:val="22"/>
        </w:rPr>
        <w:t xml:space="preserve"> hotly debated topics. Critics point out that although ICD-11 improved therapeutic value by tightening descriptive criteria and organising basic psychotic diseases, the distinctions between D</w:t>
      </w:r>
      <w:r w:rsidR="00CC006B">
        <w:rPr>
          <w:rFonts w:ascii="Arial" w:hAnsi="Arial" w:cs="Arial"/>
          <w:color w:val="000000"/>
          <w:sz w:val="22"/>
          <w:szCs w:val="22"/>
        </w:rPr>
        <w:t xml:space="preserve">elusional </w:t>
      </w:r>
      <w:r w:rsidRPr="00A81148">
        <w:rPr>
          <w:rFonts w:ascii="Arial" w:hAnsi="Arial" w:cs="Arial"/>
          <w:color w:val="000000"/>
          <w:sz w:val="22"/>
          <w:szCs w:val="22"/>
        </w:rPr>
        <w:t>D</w:t>
      </w:r>
      <w:r w:rsidR="00CC006B">
        <w:rPr>
          <w:rFonts w:ascii="Arial" w:hAnsi="Arial" w:cs="Arial"/>
          <w:color w:val="000000"/>
          <w:sz w:val="22"/>
          <w:szCs w:val="22"/>
        </w:rPr>
        <w:t>isorder</w:t>
      </w:r>
      <w:r w:rsidRPr="00A81148">
        <w:rPr>
          <w:rFonts w:ascii="Arial" w:hAnsi="Arial" w:cs="Arial"/>
          <w:color w:val="000000"/>
          <w:sz w:val="22"/>
          <w:szCs w:val="22"/>
        </w:rPr>
        <w:t>, schizophrenia-spectrum diagnoses, and other psychoses are still hazy, particularly for individuals who subsequently develop additional psychotic symptoms. Research (heterogeneous samples) and treatment algorithms, which are frequently taken from more general psychosis recommendations rather than DD-specific findings, are influenced by this diagnostic ambiguity</w:t>
      </w:r>
      <w:r w:rsidR="00591019">
        <w:rPr>
          <w:rFonts w:ascii="Arial" w:hAnsi="Arial" w:cs="Arial"/>
          <w:color w:val="000000"/>
          <w:sz w:val="22"/>
          <w:szCs w:val="22"/>
        </w:rPr>
        <w:t xml:space="preserve"> (Reed et al., 2019)</w:t>
      </w:r>
      <w:r w:rsidRPr="00A81148">
        <w:rPr>
          <w:rFonts w:ascii="Arial" w:hAnsi="Arial" w:cs="Arial"/>
          <w:color w:val="000000"/>
          <w:sz w:val="22"/>
          <w:szCs w:val="22"/>
        </w:rPr>
        <w:t>.</w:t>
      </w:r>
    </w:p>
    <w:p w14:paraId="754219B4" w14:textId="72DB2C00" w:rsidR="00260ED1" w:rsidRPr="00A81148" w:rsidRDefault="00224A78" w:rsidP="00A81148">
      <w:pPr>
        <w:pStyle w:val="NormalWeb"/>
        <w:spacing w:line="360" w:lineRule="auto"/>
        <w:jc w:val="both"/>
        <w:rPr>
          <w:rStyle w:val="apple-converted-space"/>
          <w:rFonts w:ascii="Arial" w:eastAsiaTheme="majorEastAsia" w:hAnsi="Arial" w:cs="Arial"/>
          <w:b/>
          <w:bCs/>
          <w:color w:val="000000"/>
          <w:sz w:val="22"/>
          <w:szCs w:val="22"/>
        </w:rPr>
      </w:pPr>
      <w:r w:rsidRPr="00A81148">
        <w:rPr>
          <w:rFonts w:ascii="Arial" w:hAnsi="Arial" w:cs="Arial"/>
          <w:color w:val="000000"/>
          <w:sz w:val="22"/>
          <w:szCs w:val="22"/>
        </w:rPr>
        <w:t>The main points of contention regarding treatment are: (a) the paucity of high-quality trial data for D</w:t>
      </w:r>
      <w:r w:rsidR="00CC006B">
        <w:rPr>
          <w:rFonts w:ascii="Arial" w:hAnsi="Arial" w:cs="Arial"/>
          <w:color w:val="000000"/>
          <w:sz w:val="22"/>
          <w:szCs w:val="22"/>
        </w:rPr>
        <w:t xml:space="preserve">elusional </w:t>
      </w:r>
      <w:r w:rsidRPr="00A81148">
        <w:rPr>
          <w:rFonts w:ascii="Arial" w:hAnsi="Arial" w:cs="Arial"/>
          <w:color w:val="000000"/>
          <w:sz w:val="22"/>
          <w:szCs w:val="22"/>
        </w:rPr>
        <w:t>D</w:t>
      </w:r>
      <w:r w:rsidR="00CC006B">
        <w:rPr>
          <w:rFonts w:ascii="Arial" w:hAnsi="Arial" w:cs="Arial"/>
          <w:color w:val="000000"/>
          <w:sz w:val="22"/>
          <w:szCs w:val="22"/>
        </w:rPr>
        <w:t>isorder</w:t>
      </w:r>
      <w:r w:rsidRPr="00A81148">
        <w:rPr>
          <w:rFonts w:ascii="Arial" w:hAnsi="Arial" w:cs="Arial"/>
          <w:color w:val="000000"/>
          <w:sz w:val="22"/>
          <w:szCs w:val="22"/>
        </w:rPr>
        <w:t>; (b) whether antipsychotics should be the first-line default due to modest effect sizes and poor insight/adherence; and (c) the role and timing of psychological therapies (e.g., CBT for psychosis) versus mandatory measures. When coercive measures (involuntary hospitalisation or long-acting injectable requirements) are appropriate for individuals who lack insight but are not immediately threatening is still up for debate among clinicians and ethicists</w:t>
      </w:r>
      <w:r w:rsidR="00B3716F">
        <w:rPr>
          <w:rFonts w:ascii="Arial" w:hAnsi="Arial" w:cs="Arial"/>
          <w:color w:val="000000"/>
          <w:sz w:val="22"/>
          <w:szCs w:val="22"/>
        </w:rPr>
        <w:t xml:space="preserve"> (Skelton et al., 2015)</w:t>
      </w:r>
      <w:r w:rsidRPr="00A81148">
        <w:rPr>
          <w:rFonts w:ascii="Arial" w:hAnsi="Arial" w:cs="Arial"/>
          <w:color w:val="000000"/>
          <w:sz w:val="22"/>
          <w:szCs w:val="22"/>
        </w:rPr>
        <w:t>.</w:t>
      </w:r>
    </w:p>
    <w:p w14:paraId="3385B191" w14:textId="77777777" w:rsidR="00A81148" w:rsidRDefault="006232C7" w:rsidP="00A81148">
      <w:pPr>
        <w:pStyle w:val="NormalWeb"/>
        <w:numPr>
          <w:ilvl w:val="0"/>
          <w:numId w:val="1"/>
        </w:numPr>
        <w:spacing w:line="360" w:lineRule="auto"/>
        <w:jc w:val="both"/>
        <w:rPr>
          <w:rFonts w:ascii="Arial" w:hAnsi="Arial" w:cs="Arial"/>
          <w:color w:val="000000"/>
          <w:sz w:val="22"/>
          <w:szCs w:val="22"/>
        </w:rPr>
      </w:pPr>
      <w:r w:rsidRPr="00A81148">
        <w:rPr>
          <w:rFonts w:ascii="Arial" w:hAnsi="Arial" w:cs="Arial"/>
          <w:color w:val="000000"/>
          <w:sz w:val="22"/>
          <w:szCs w:val="22"/>
        </w:rPr>
        <w:t>Issues with reclassification, neurodivergence, and epistemic framing</w:t>
      </w:r>
    </w:p>
    <w:p w14:paraId="6D3300CB" w14:textId="5F9918E6" w:rsidR="00260ED1" w:rsidRPr="00A81148" w:rsidRDefault="006232C7" w:rsidP="00A81148">
      <w:pPr>
        <w:pStyle w:val="NormalWeb"/>
        <w:spacing w:line="360" w:lineRule="auto"/>
        <w:jc w:val="both"/>
        <w:rPr>
          <w:rStyle w:val="apple-converted-space"/>
          <w:rFonts w:ascii="Arial" w:eastAsiaTheme="majorEastAsia" w:hAnsi="Arial" w:cs="Arial"/>
          <w:b/>
          <w:bCs/>
          <w:color w:val="000000"/>
          <w:sz w:val="22"/>
          <w:szCs w:val="22"/>
        </w:rPr>
      </w:pPr>
      <w:r w:rsidRPr="00A81148">
        <w:rPr>
          <w:rFonts w:ascii="Arial" w:hAnsi="Arial" w:cs="Arial"/>
          <w:color w:val="000000"/>
          <w:sz w:val="22"/>
          <w:szCs w:val="22"/>
        </w:rPr>
        <w:br/>
        <w:t>A rising body of research examines whether neurodiversity or "distinctive epistemic style" frameworks, as opposed to simply pathogenic theories, could explain features of psychosis, such as specific delusional reasoning styles. Opponents caution that this could minimise suffering or postpone necessary treatment, while supporters claim it can lessen stigma and promote accommodations. Calls to screen for coexisting neurodevelopmental differences and adjust therapies accordingly have increased in response to recent research demonstrating high rates of potential neurodivergence (e.g., autism/ADHD characteristics) among first-episode psychosis populations. Practical reclassification problems are raised by this: should certain presentations be viewed as overlapping neurodevelopmental + psychotic phenomena instead of distinct categories?</w:t>
      </w:r>
      <w:r w:rsidR="00FF4B91">
        <w:rPr>
          <w:rFonts w:ascii="Arial" w:hAnsi="Arial" w:cs="Arial"/>
          <w:color w:val="000000"/>
          <w:sz w:val="22"/>
          <w:szCs w:val="22"/>
        </w:rPr>
        <w:t xml:space="preserve"> (Flores, 2025)</w:t>
      </w:r>
    </w:p>
    <w:p w14:paraId="5C400FC6" w14:textId="77777777" w:rsidR="00A81148" w:rsidRDefault="004970DD" w:rsidP="00A81148">
      <w:pPr>
        <w:pStyle w:val="NormalWeb"/>
        <w:numPr>
          <w:ilvl w:val="0"/>
          <w:numId w:val="1"/>
        </w:numPr>
        <w:spacing w:line="360" w:lineRule="auto"/>
        <w:jc w:val="both"/>
        <w:rPr>
          <w:rFonts w:ascii="Arial" w:hAnsi="Arial" w:cs="Arial"/>
          <w:color w:val="000000"/>
          <w:sz w:val="22"/>
          <w:szCs w:val="22"/>
        </w:rPr>
      </w:pPr>
      <w:r w:rsidRPr="00A81148">
        <w:rPr>
          <w:rFonts w:ascii="Arial" w:hAnsi="Arial" w:cs="Arial"/>
          <w:color w:val="000000"/>
          <w:sz w:val="22"/>
          <w:szCs w:val="22"/>
        </w:rPr>
        <w:t>Effects on policy and practice</w:t>
      </w:r>
    </w:p>
    <w:p w14:paraId="303116A9" w14:textId="7DBB2D87" w:rsidR="008A6D32" w:rsidRPr="00A81148" w:rsidRDefault="004970DD" w:rsidP="00A81148">
      <w:pPr>
        <w:pStyle w:val="NormalWeb"/>
        <w:spacing w:line="360" w:lineRule="auto"/>
        <w:jc w:val="both"/>
        <w:rPr>
          <w:rFonts w:ascii="Arial" w:eastAsiaTheme="majorEastAsia" w:hAnsi="Arial" w:cs="Arial"/>
          <w:b/>
          <w:bCs/>
          <w:color w:val="000000"/>
          <w:sz w:val="22"/>
          <w:szCs w:val="22"/>
        </w:rPr>
      </w:pPr>
      <w:r w:rsidRPr="00A81148">
        <w:rPr>
          <w:rFonts w:ascii="Arial" w:hAnsi="Arial" w:cs="Arial"/>
          <w:color w:val="000000"/>
          <w:sz w:val="22"/>
          <w:szCs w:val="22"/>
        </w:rPr>
        <w:lastRenderedPageBreak/>
        <w:br/>
        <w:t>The recognition of neurodivergence in psychosis populations leads to integrated assessment pathways and modified therapeutic approaches; classification shifts (ICD-11 uptake) alter reporting, commissioning, and training requirements; and ethical discussions regarding coercion impact local policy on capacity assessment and long-acting treatment use</w:t>
      </w:r>
      <w:r w:rsidR="00952781">
        <w:rPr>
          <w:rFonts w:ascii="Arial" w:hAnsi="Arial" w:cs="Arial"/>
          <w:color w:val="000000"/>
          <w:sz w:val="22"/>
          <w:szCs w:val="22"/>
        </w:rPr>
        <w:t xml:space="preserve"> (NICE, 2020)</w:t>
      </w:r>
      <w:r w:rsidRPr="00A81148">
        <w:rPr>
          <w:rFonts w:ascii="Arial" w:hAnsi="Arial" w:cs="Arial"/>
          <w:color w:val="000000"/>
          <w:sz w:val="22"/>
          <w:szCs w:val="22"/>
        </w:rPr>
        <w:t>. These discussions have immediate service implications. Delusional illnesses are increasingly being treated within "complex psychosis" facilities according to national guidelines and rehabilitation frameworks (e.g., NICE NG181). This encourages multidisciplinary, recovery-oriented care but also highlights the disconnect between the goals of guidelines and practical resources. Therefore, policymakers must strike a compromise between patient rights, accessible customised treatments, and diagnostic clarity</w:t>
      </w:r>
      <w:r w:rsidR="001F3E27">
        <w:rPr>
          <w:rFonts w:ascii="Arial" w:hAnsi="Arial" w:cs="Arial"/>
          <w:color w:val="000000"/>
          <w:sz w:val="22"/>
          <w:szCs w:val="22"/>
        </w:rPr>
        <w:t xml:space="preserve"> (</w:t>
      </w:r>
      <w:r w:rsidR="00861E2F">
        <w:rPr>
          <w:rFonts w:ascii="Arial" w:hAnsi="Arial" w:cs="Arial"/>
          <w:color w:val="000000"/>
          <w:sz w:val="22"/>
          <w:szCs w:val="22"/>
        </w:rPr>
        <w:t>NICE, 2020)</w:t>
      </w:r>
      <w:r w:rsidRPr="00A81148">
        <w:rPr>
          <w:rFonts w:ascii="Arial" w:hAnsi="Arial" w:cs="Arial"/>
          <w:color w:val="000000"/>
          <w:sz w:val="22"/>
          <w:szCs w:val="22"/>
        </w:rPr>
        <w:t>.</w:t>
      </w:r>
    </w:p>
    <w:p w14:paraId="22EB9F7C" w14:textId="77777777" w:rsidR="008A6D32" w:rsidRPr="008A6D32" w:rsidRDefault="008A6D32" w:rsidP="008A6D32">
      <w:pPr>
        <w:pStyle w:val="NormalWeb"/>
        <w:rPr>
          <w:rFonts w:ascii="Arial" w:hAnsi="Arial" w:cs="Arial"/>
          <w:b/>
          <w:bCs/>
          <w:color w:val="000000"/>
        </w:rPr>
      </w:pPr>
    </w:p>
    <w:p w14:paraId="663F265C" w14:textId="5A7494F7" w:rsidR="008A6D32" w:rsidRPr="00A81148" w:rsidRDefault="008A6D32" w:rsidP="00CD5E10">
      <w:pPr>
        <w:pStyle w:val="Heading1"/>
        <w:rPr>
          <w:rStyle w:val="apple-converted-space"/>
          <w:rFonts w:ascii="Arial" w:hAnsi="Arial" w:cs="Arial"/>
          <w:b/>
          <w:bCs/>
          <w:color w:val="000000"/>
          <w:sz w:val="22"/>
          <w:szCs w:val="22"/>
        </w:rPr>
      </w:pPr>
      <w:bookmarkStart w:id="16" w:name="_Toc216784329"/>
      <w:bookmarkStart w:id="17" w:name="_Toc216899613"/>
      <w:bookmarkStart w:id="18" w:name="_Toc216899678"/>
      <w:bookmarkStart w:id="19" w:name="_Toc216900611"/>
      <w:r w:rsidRPr="00A81148">
        <w:t>Recommendations</w:t>
      </w:r>
      <w:bookmarkEnd w:id="16"/>
      <w:bookmarkEnd w:id="17"/>
      <w:bookmarkEnd w:id="18"/>
      <w:bookmarkEnd w:id="19"/>
    </w:p>
    <w:p w14:paraId="45561D5D" w14:textId="57B1373C" w:rsidR="000466D9" w:rsidRPr="00A81148" w:rsidRDefault="00087F9F" w:rsidP="00A81148">
      <w:pPr>
        <w:pStyle w:val="NormalWeb"/>
        <w:spacing w:line="360" w:lineRule="auto"/>
        <w:jc w:val="both"/>
        <w:rPr>
          <w:rFonts w:ascii="Arial" w:hAnsi="Arial" w:cs="Arial"/>
          <w:color w:val="000000"/>
          <w:sz w:val="22"/>
          <w:szCs w:val="22"/>
        </w:rPr>
      </w:pPr>
      <w:r w:rsidRPr="00A81148">
        <w:rPr>
          <w:rFonts w:ascii="Arial" w:hAnsi="Arial" w:cs="Arial"/>
          <w:color w:val="000000"/>
          <w:sz w:val="22"/>
          <w:szCs w:val="22"/>
        </w:rPr>
        <w:t xml:space="preserve">Due to its ambiguous diagnosis, lack of evidence-based therapies, and inconsistent functional outcomes, delusional disorder (DD) continues to be a clinically difficult condition. While </w:t>
      </w:r>
      <w:r w:rsidR="00D66AAF" w:rsidRPr="00A81148">
        <w:rPr>
          <w:rFonts w:ascii="Arial" w:hAnsi="Arial" w:cs="Arial"/>
          <w:color w:val="000000"/>
          <w:sz w:val="22"/>
          <w:szCs w:val="22"/>
        </w:rPr>
        <w:t>considering</w:t>
      </w:r>
      <w:r w:rsidRPr="00A81148">
        <w:rPr>
          <w:rFonts w:ascii="Arial" w:hAnsi="Arial" w:cs="Arial"/>
          <w:color w:val="000000"/>
          <w:sz w:val="22"/>
          <w:szCs w:val="22"/>
        </w:rPr>
        <w:t xml:space="preserve"> the consequences for clinical practice, policy, and research, the following guidelines address advancements in classification, diagnosis, treatment, and rehabilitation.</w:t>
      </w:r>
    </w:p>
    <w:p w14:paraId="54EA7204" w14:textId="77777777" w:rsidR="00A81148" w:rsidRDefault="00920FE2" w:rsidP="00A81148">
      <w:pPr>
        <w:pStyle w:val="NormalWeb"/>
        <w:numPr>
          <w:ilvl w:val="0"/>
          <w:numId w:val="1"/>
        </w:numPr>
        <w:spacing w:line="360" w:lineRule="auto"/>
        <w:jc w:val="both"/>
        <w:rPr>
          <w:rFonts w:ascii="Arial" w:hAnsi="Arial" w:cs="Arial"/>
          <w:color w:val="000000"/>
          <w:sz w:val="22"/>
          <w:szCs w:val="22"/>
        </w:rPr>
      </w:pPr>
      <w:r w:rsidRPr="00A81148">
        <w:rPr>
          <w:rFonts w:ascii="Arial" w:hAnsi="Arial" w:cs="Arial"/>
          <w:color w:val="000000"/>
          <w:sz w:val="22"/>
          <w:szCs w:val="22"/>
        </w:rPr>
        <w:t>Enhancing Diagnosis and Classification</w:t>
      </w:r>
    </w:p>
    <w:p w14:paraId="439F5855" w14:textId="5D122A62" w:rsidR="00087F9F" w:rsidRPr="00A81148" w:rsidRDefault="00920FE2" w:rsidP="00A81148">
      <w:pPr>
        <w:pStyle w:val="NormalWeb"/>
        <w:spacing w:line="360" w:lineRule="auto"/>
        <w:jc w:val="both"/>
        <w:rPr>
          <w:rFonts w:ascii="Arial" w:hAnsi="Arial" w:cs="Arial"/>
          <w:color w:val="000000"/>
          <w:sz w:val="22"/>
          <w:szCs w:val="22"/>
        </w:rPr>
      </w:pPr>
      <w:r w:rsidRPr="00A81148">
        <w:rPr>
          <w:rFonts w:ascii="Arial" w:hAnsi="Arial" w:cs="Arial"/>
          <w:color w:val="000000"/>
          <w:sz w:val="22"/>
          <w:szCs w:val="22"/>
        </w:rPr>
        <w:br/>
        <w:t>Improving diagnostic clarity in ICD-11 and upcoming updates is a crucial suggestion. It is important to distinguish delusional disorder from schizophrenia spectrum illnesses more accurately, especially in cases that change over time. Dimensional specifiers including insight level, cognitive rigidity, affective engagement, and neurodevelopmental features could be added to increase the accuracy of diagnosis and prognosis. Given that delusional disorder may not always remain stable throughout life, diagnostic standards should place a strong emphasis on routine longitudinal reassessment. Additionally, standardised diagnostic instruments tailored to DD would enhance study uniformity and decrease misdiagnosis</w:t>
      </w:r>
      <w:r w:rsidR="00F663F3">
        <w:rPr>
          <w:rFonts w:ascii="Arial" w:hAnsi="Arial" w:cs="Arial"/>
          <w:color w:val="000000"/>
          <w:sz w:val="22"/>
          <w:szCs w:val="22"/>
        </w:rPr>
        <w:t xml:space="preserve"> (</w:t>
      </w:r>
      <w:r w:rsidR="008F147E">
        <w:rPr>
          <w:rFonts w:ascii="Arial" w:hAnsi="Arial" w:cs="Arial"/>
          <w:color w:val="000000"/>
          <w:sz w:val="22"/>
          <w:szCs w:val="22"/>
        </w:rPr>
        <w:t>Peralta and Cuesta, 2019)</w:t>
      </w:r>
      <w:r w:rsidRPr="00A81148">
        <w:rPr>
          <w:rFonts w:ascii="Arial" w:hAnsi="Arial" w:cs="Arial"/>
          <w:color w:val="000000"/>
          <w:sz w:val="22"/>
          <w:szCs w:val="22"/>
        </w:rPr>
        <w:t>.</w:t>
      </w:r>
    </w:p>
    <w:p w14:paraId="52124113" w14:textId="77777777" w:rsidR="00A81148" w:rsidRDefault="00803E4D" w:rsidP="00A81148">
      <w:pPr>
        <w:pStyle w:val="NormalWeb"/>
        <w:numPr>
          <w:ilvl w:val="0"/>
          <w:numId w:val="1"/>
        </w:numPr>
        <w:spacing w:line="360" w:lineRule="auto"/>
        <w:jc w:val="both"/>
        <w:rPr>
          <w:rFonts w:ascii="Arial" w:hAnsi="Arial" w:cs="Arial"/>
          <w:color w:val="000000"/>
          <w:sz w:val="22"/>
          <w:szCs w:val="22"/>
        </w:rPr>
      </w:pPr>
      <w:r w:rsidRPr="00A81148">
        <w:rPr>
          <w:rFonts w:ascii="Arial" w:hAnsi="Arial" w:cs="Arial"/>
          <w:color w:val="000000"/>
          <w:sz w:val="22"/>
          <w:szCs w:val="22"/>
        </w:rPr>
        <w:t>Improving Methods of Treatment</w:t>
      </w:r>
    </w:p>
    <w:p w14:paraId="0F892E94" w14:textId="1D73455A" w:rsidR="00920FE2" w:rsidRPr="00A81148" w:rsidRDefault="00803E4D" w:rsidP="00A81148">
      <w:pPr>
        <w:pStyle w:val="NormalWeb"/>
        <w:spacing w:line="360" w:lineRule="auto"/>
        <w:jc w:val="both"/>
        <w:rPr>
          <w:rStyle w:val="apple-converted-space"/>
          <w:rFonts w:ascii="Arial" w:eastAsiaTheme="majorEastAsia" w:hAnsi="Arial" w:cs="Arial"/>
          <w:b/>
          <w:bCs/>
          <w:color w:val="000000"/>
          <w:sz w:val="22"/>
          <w:szCs w:val="22"/>
        </w:rPr>
      </w:pPr>
      <w:r w:rsidRPr="00A81148">
        <w:rPr>
          <w:rFonts w:ascii="Arial" w:hAnsi="Arial" w:cs="Arial"/>
          <w:color w:val="000000"/>
          <w:sz w:val="22"/>
          <w:szCs w:val="22"/>
        </w:rPr>
        <w:br/>
        <w:t xml:space="preserve">Treatment recommendations should prioritise individualised, stepped-care models over </w:t>
      </w:r>
      <w:r w:rsidRPr="00A81148">
        <w:rPr>
          <w:rFonts w:ascii="Arial" w:hAnsi="Arial" w:cs="Arial"/>
          <w:color w:val="000000"/>
          <w:sz w:val="22"/>
          <w:szCs w:val="22"/>
        </w:rPr>
        <w:lastRenderedPageBreak/>
        <w:t>default pharmacological techniques due to the small and unpredictable response to antipsychotic medication. Particularly in non-dangerous presentations, antipsychotics should be used sparingly and, whenever feasible, with collaborative decision-making. Instead of being used as supplements, psychological therapies</w:t>
      </w:r>
      <w:r w:rsidR="00B9096A">
        <w:rPr>
          <w:rFonts w:ascii="Arial" w:hAnsi="Arial" w:cs="Arial"/>
          <w:color w:val="000000"/>
          <w:sz w:val="22"/>
          <w:szCs w:val="22"/>
        </w:rPr>
        <w:t xml:space="preserve"> </w:t>
      </w:r>
      <w:r w:rsidRPr="00A81148">
        <w:rPr>
          <w:rFonts w:ascii="Arial" w:hAnsi="Arial" w:cs="Arial"/>
          <w:color w:val="000000"/>
          <w:sz w:val="22"/>
          <w:szCs w:val="22"/>
        </w:rPr>
        <w:t>especially cognitive behavioural therapy for psychosis</w:t>
      </w:r>
      <w:r w:rsidR="00B9096A">
        <w:rPr>
          <w:rFonts w:ascii="Arial" w:hAnsi="Arial" w:cs="Arial"/>
          <w:color w:val="000000"/>
          <w:sz w:val="22"/>
          <w:szCs w:val="22"/>
        </w:rPr>
        <w:t xml:space="preserve"> </w:t>
      </w:r>
      <w:r w:rsidRPr="00A81148">
        <w:rPr>
          <w:rFonts w:ascii="Arial" w:hAnsi="Arial" w:cs="Arial"/>
          <w:color w:val="000000"/>
          <w:sz w:val="22"/>
          <w:szCs w:val="22"/>
        </w:rPr>
        <w:t>should be more deeply ingrained as fundamental treatments. To overcome mistrust and non-adherence, clinicians must have training in engagement-focused and insight-sensitive treatment. To enable customised interventions, screening for comorbid illnesses such as anxiety, depression, and neurodevelopmental characteristics should become standard practice</w:t>
      </w:r>
      <w:r w:rsidR="00EC14C8">
        <w:rPr>
          <w:rFonts w:ascii="Arial" w:hAnsi="Arial" w:cs="Arial"/>
          <w:color w:val="000000"/>
          <w:sz w:val="22"/>
          <w:szCs w:val="22"/>
        </w:rPr>
        <w:t xml:space="preserve"> (</w:t>
      </w:r>
      <w:r w:rsidR="007713C7">
        <w:rPr>
          <w:rFonts w:ascii="Arial" w:hAnsi="Arial" w:cs="Arial"/>
          <w:color w:val="000000"/>
          <w:sz w:val="22"/>
          <w:szCs w:val="22"/>
        </w:rPr>
        <w:t>Skelton</w:t>
      </w:r>
      <w:r w:rsidR="00BF54BC">
        <w:rPr>
          <w:rFonts w:ascii="Arial" w:hAnsi="Arial" w:cs="Arial"/>
          <w:color w:val="000000"/>
          <w:sz w:val="22"/>
          <w:szCs w:val="22"/>
        </w:rPr>
        <w:t xml:space="preserve"> et al.,</w:t>
      </w:r>
      <w:r w:rsidR="007713C7">
        <w:rPr>
          <w:rFonts w:ascii="Arial" w:hAnsi="Arial" w:cs="Arial"/>
          <w:color w:val="000000"/>
          <w:sz w:val="22"/>
          <w:szCs w:val="22"/>
        </w:rPr>
        <w:t>2015)</w:t>
      </w:r>
      <w:r w:rsidRPr="00A81148">
        <w:rPr>
          <w:rFonts w:ascii="Arial" w:hAnsi="Arial" w:cs="Arial"/>
          <w:color w:val="000000"/>
          <w:sz w:val="22"/>
          <w:szCs w:val="22"/>
        </w:rPr>
        <w:t>.</w:t>
      </w:r>
    </w:p>
    <w:p w14:paraId="75114E66" w14:textId="77777777" w:rsidR="00A81148" w:rsidRDefault="001120B4" w:rsidP="00A81148">
      <w:pPr>
        <w:pStyle w:val="NormalWeb"/>
        <w:numPr>
          <w:ilvl w:val="0"/>
          <w:numId w:val="1"/>
        </w:numPr>
        <w:spacing w:line="360" w:lineRule="auto"/>
        <w:jc w:val="both"/>
        <w:rPr>
          <w:rFonts w:ascii="Arial" w:hAnsi="Arial" w:cs="Arial"/>
          <w:color w:val="000000"/>
          <w:sz w:val="22"/>
          <w:szCs w:val="22"/>
        </w:rPr>
      </w:pPr>
      <w:r w:rsidRPr="00A81148">
        <w:rPr>
          <w:rFonts w:ascii="Arial" w:hAnsi="Arial" w:cs="Arial"/>
          <w:color w:val="000000"/>
          <w:sz w:val="22"/>
          <w:szCs w:val="22"/>
        </w:rPr>
        <w:t>Increasing Recovery-Oriented Care and Rehabilitation</w:t>
      </w:r>
    </w:p>
    <w:p w14:paraId="11E45685" w14:textId="0FC3EDEF" w:rsidR="000466D9" w:rsidRDefault="001120B4" w:rsidP="00A81148">
      <w:pPr>
        <w:pStyle w:val="NormalWeb"/>
        <w:spacing w:line="360" w:lineRule="auto"/>
        <w:jc w:val="both"/>
        <w:rPr>
          <w:rFonts w:ascii="Arial" w:hAnsi="Arial" w:cs="Arial"/>
          <w:color w:val="000000"/>
          <w:sz w:val="22"/>
          <w:szCs w:val="22"/>
        </w:rPr>
      </w:pPr>
      <w:r w:rsidRPr="00A81148">
        <w:rPr>
          <w:rFonts w:ascii="Arial" w:hAnsi="Arial" w:cs="Arial"/>
          <w:color w:val="000000"/>
          <w:sz w:val="22"/>
          <w:szCs w:val="22"/>
        </w:rPr>
        <w:br/>
        <w:t xml:space="preserve">Functional recovery should be the main goal of rehabilitation rather than symptom elimination. It is crucial to increase access to community-based rehabilitation services, such as social skills programs, supported employment, and vocational training. To lower interpersonal conflict and the danger of recurrence, psychoeducation for families and carers ought to be a normal procedure. Plans for rehabilitation should be adaptable, long-term, and culturally aware, </w:t>
      </w:r>
      <w:r w:rsidR="00340ED6" w:rsidRPr="00A81148">
        <w:rPr>
          <w:rFonts w:ascii="Arial" w:hAnsi="Arial" w:cs="Arial"/>
          <w:color w:val="000000"/>
          <w:sz w:val="22"/>
          <w:szCs w:val="22"/>
        </w:rPr>
        <w:t>considering</w:t>
      </w:r>
      <w:r w:rsidRPr="00A81148">
        <w:rPr>
          <w:rFonts w:ascii="Arial" w:hAnsi="Arial" w:cs="Arial"/>
          <w:color w:val="000000"/>
          <w:sz w:val="22"/>
          <w:szCs w:val="22"/>
        </w:rPr>
        <w:t xml:space="preserve"> the disorder's chronic but frequently non-deteriorating course</w:t>
      </w:r>
      <w:r w:rsidR="003B21DD">
        <w:rPr>
          <w:rFonts w:ascii="Arial" w:hAnsi="Arial" w:cs="Arial"/>
          <w:color w:val="000000"/>
          <w:sz w:val="22"/>
          <w:szCs w:val="22"/>
        </w:rPr>
        <w:t xml:space="preserve"> (Peralta</w:t>
      </w:r>
      <w:r w:rsidR="004137D8">
        <w:rPr>
          <w:rFonts w:ascii="Arial" w:hAnsi="Arial" w:cs="Arial"/>
          <w:color w:val="000000"/>
          <w:sz w:val="22"/>
          <w:szCs w:val="22"/>
        </w:rPr>
        <w:t xml:space="preserve"> and Cuesta, 2019)</w:t>
      </w:r>
    </w:p>
    <w:p w14:paraId="3D15B9E7" w14:textId="77777777" w:rsidR="00A81148" w:rsidRPr="00A81148" w:rsidRDefault="00A81148" w:rsidP="00A81148">
      <w:pPr>
        <w:pStyle w:val="NormalWeb"/>
        <w:spacing w:line="360" w:lineRule="auto"/>
        <w:jc w:val="both"/>
        <w:rPr>
          <w:rStyle w:val="apple-converted-space"/>
          <w:rFonts w:ascii="Arial" w:eastAsiaTheme="majorEastAsia" w:hAnsi="Arial" w:cs="Arial"/>
          <w:b/>
          <w:bCs/>
          <w:color w:val="000000"/>
          <w:sz w:val="22"/>
          <w:szCs w:val="22"/>
        </w:rPr>
      </w:pPr>
    </w:p>
    <w:p w14:paraId="44320395" w14:textId="77777777" w:rsidR="00A81148" w:rsidRDefault="0056350C" w:rsidP="00A81148">
      <w:pPr>
        <w:pStyle w:val="NormalWeb"/>
        <w:numPr>
          <w:ilvl w:val="0"/>
          <w:numId w:val="1"/>
        </w:numPr>
        <w:spacing w:line="360" w:lineRule="auto"/>
        <w:jc w:val="both"/>
        <w:rPr>
          <w:rFonts w:ascii="Arial" w:hAnsi="Arial" w:cs="Arial"/>
          <w:color w:val="000000"/>
          <w:sz w:val="22"/>
          <w:szCs w:val="22"/>
        </w:rPr>
      </w:pPr>
      <w:r w:rsidRPr="00A81148">
        <w:rPr>
          <w:rFonts w:ascii="Arial" w:hAnsi="Arial" w:cs="Arial"/>
          <w:color w:val="000000"/>
          <w:sz w:val="22"/>
          <w:szCs w:val="22"/>
        </w:rPr>
        <w:t>Research, Policy, and Practice Consequences</w:t>
      </w:r>
    </w:p>
    <w:p w14:paraId="18A5956E" w14:textId="03FA4C11" w:rsidR="000466D9" w:rsidRPr="00A81148" w:rsidRDefault="0056350C" w:rsidP="00A81148">
      <w:pPr>
        <w:pStyle w:val="NormalWeb"/>
        <w:spacing w:line="360" w:lineRule="auto"/>
        <w:jc w:val="both"/>
        <w:rPr>
          <w:rStyle w:val="apple-converted-space"/>
          <w:rFonts w:ascii="Arial" w:eastAsiaTheme="majorEastAsia" w:hAnsi="Arial" w:cs="Arial"/>
          <w:b/>
          <w:bCs/>
          <w:color w:val="000000"/>
          <w:sz w:val="22"/>
          <w:szCs w:val="22"/>
        </w:rPr>
      </w:pPr>
      <w:r w:rsidRPr="00A81148">
        <w:rPr>
          <w:rFonts w:ascii="Arial" w:hAnsi="Arial" w:cs="Arial"/>
          <w:color w:val="000000"/>
          <w:sz w:val="22"/>
          <w:szCs w:val="22"/>
        </w:rPr>
        <w:br/>
        <w:t xml:space="preserve">These suggestions for therapeutic practice encourage person-centred, morally sound treatment that lessens needless compulsion and raises engagement. The inclusion of delusional disorder in complex psychosis care pathways rather than acute-only models and improved funding for outpatient rehabilitation clinics are two policy consequences. Research-wise, long-term outcome studies, disorder-specific randomised controlled trials, and studies examining neurobiological and neurodevelopmental overlaps are urgently needed. In the end, more efficient guidelines and fair service delivery would be supported by improved classification and evidence </w:t>
      </w:r>
      <w:proofErr w:type="spellStart"/>
      <w:proofErr w:type="gramStart"/>
      <w:r w:rsidRPr="00A81148">
        <w:rPr>
          <w:rFonts w:ascii="Arial" w:hAnsi="Arial" w:cs="Arial"/>
          <w:color w:val="000000"/>
          <w:sz w:val="22"/>
          <w:szCs w:val="22"/>
        </w:rPr>
        <w:t>generation.In</w:t>
      </w:r>
      <w:proofErr w:type="spellEnd"/>
      <w:proofErr w:type="gramEnd"/>
      <w:r w:rsidRPr="00A81148">
        <w:rPr>
          <w:rFonts w:ascii="Arial" w:hAnsi="Arial" w:cs="Arial"/>
          <w:color w:val="000000"/>
          <w:sz w:val="22"/>
          <w:szCs w:val="22"/>
        </w:rPr>
        <w:t xml:space="preserve"> conclusion, coordinated advancements in therapeutic approaches, diagnostic frameworks, rehabilitation programs, and research funding are necessary to better the treatment of delusional disorder</w:t>
      </w:r>
      <w:r w:rsidR="00DD488D">
        <w:rPr>
          <w:rFonts w:ascii="Arial" w:hAnsi="Arial" w:cs="Arial"/>
          <w:color w:val="000000"/>
          <w:sz w:val="22"/>
          <w:szCs w:val="22"/>
        </w:rPr>
        <w:t xml:space="preserve"> (Peralta and Cuesta, 2019</w:t>
      </w:r>
      <w:r w:rsidR="00A85696">
        <w:rPr>
          <w:rFonts w:ascii="Arial" w:hAnsi="Arial" w:cs="Arial"/>
          <w:color w:val="000000"/>
          <w:sz w:val="22"/>
          <w:szCs w:val="22"/>
        </w:rPr>
        <w:t xml:space="preserve">; </w:t>
      </w:r>
      <w:r w:rsidR="00A85696">
        <w:rPr>
          <w:rFonts w:ascii="Arial" w:hAnsi="Arial" w:cs="Arial"/>
          <w:color w:val="000000"/>
          <w:sz w:val="22"/>
          <w:szCs w:val="22"/>
        </w:rPr>
        <w:tab/>
        <w:t>NICE, 2020)</w:t>
      </w:r>
    </w:p>
    <w:p w14:paraId="1AECE137" w14:textId="77777777" w:rsidR="008A6D32" w:rsidRPr="008A6D32" w:rsidRDefault="008A6D32" w:rsidP="008A6D32">
      <w:pPr>
        <w:pStyle w:val="NormalWeb"/>
        <w:rPr>
          <w:rFonts w:ascii="Arial" w:hAnsi="Arial" w:cs="Arial"/>
          <w:color w:val="000000"/>
        </w:rPr>
      </w:pPr>
    </w:p>
    <w:p w14:paraId="75C42BB4" w14:textId="71763F0B" w:rsidR="008A6D32" w:rsidRPr="00FA4671" w:rsidRDefault="008A6D32" w:rsidP="00CD5E10">
      <w:pPr>
        <w:pStyle w:val="Heading1"/>
      </w:pPr>
      <w:bookmarkStart w:id="20" w:name="_Toc216784330"/>
      <w:bookmarkStart w:id="21" w:name="_Toc216899614"/>
      <w:bookmarkStart w:id="22" w:name="_Toc216899679"/>
      <w:bookmarkStart w:id="23" w:name="_Toc216900612"/>
      <w:r w:rsidRPr="00FA4671">
        <w:t>Conclusion</w:t>
      </w:r>
      <w:bookmarkEnd w:id="20"/>
      <w:bookmarkEnd w:id="21"/>
      <w:bookmarkEnd w:id="22"/>
      <w:bookmarkEnd w:id="23"/>
    </w:p>
    <w:p w14:paraId="45A36524" w14:textId="73AA99E4" w:rsidR="008A6D32" w:rsidRPr="00FA4671" w:rsidRDefault="00554689" w:rsidP="00FA4671">
      <w:pPr>
        <w:pStyle w:val="NormalWeb"/>
        <w:spacing w:line="360" w:lineRule="auto"/>
        <w:jc w:val="both"/>
        <w:rPr>
          <w:rFonts w:ascii="Arial" w:hAnsi="Arial" w:cs="Arial"/>
          <w:color w:val="000000"/>
          <w:sz w:val="22"/>
          <w:szCs w:val="22"/>
        </w:rPr>
      </w:pPr>
      <w:r w:rsidRPr="00FA4671">
        <w:rPr>
          <w:rFonts w:ascii="Arial" w:hAnsi="Arial" w:cs="Arial"/>
          <w:color w:val="000000"/>
          <w:sz w:val="22"/>
          <w:szCs w:val="22"/>
        </w:rPr>
        <w:t>Delusional disorder occupies a difficult place in the spectrum of psychotic diseases and is still a complicated and frequently underdiagnosed mental illness. Significant gaps in evidence, conceptual clarity, and service provision are regularly highlighted in the literature across classification, diagnosis, treatment, and rehabilitation. Although ICD-11 has outperformed previous diagnosis systems in terms of descriptive precision and clinical value, current discussions regarding diagnostic boundaries and overlap with neurodevelopmental disorders and schizophrenia spectrum disorders suggest that more improvement is needed.</w:t>
      </w:r>
    </w:p>
    <w:p w14:paraId="4F7597D5" w14:textId="39E5F707" w:rsidR="008A6D32" w:rsidRPr="00FA4671" w:rsidRDefault="00DD761B" w:rsidP="00FA4671">
      <w:pPr>
        <w:pStyle w:val="NormalWeb"/>
        <w:spacing w:line="360" w:lineRule="auto"/>
        <w:jc w:val="both"/>
        <w:rPr>
          <w:rFonts w:ascii="Arial" w:hAnsi="Arial" w:cs="Arial"/>
          <w:color w:val="000000"/>
          <w:sz w:val="22"/>
          <w:szCs w:val="22"/>
        </w:rPr>
      </w:pPr>
      <w:r w:rsidRPr="00FA4671">
        <w:rPr>
          <w:rFonts w:ascii="Arial" w:hAnsi="Arial" w:cs="Arial"/>
          <w:color w:val="000000"/>
          <w:sz w:val="22"/>
          <w:szCs w:val="22"/>
        </w:rPr>
        <w:t>Despite a lack of disorder-specific data and inconsistent treatment response, antipsychotic medication is a major component of current therapeutic regimens. Pharmacological therapies can lessen the emotional significance and severity of delusional beliefs, but they seldom result in complete remission and are often hampered by poor insight and adherence. A more person-centred option is provided by psychological therapies, especially cognitive behavioural therapy for psychosis, which emphasises functional improvement, belief flexibility, and distress reduction. These treatments are frequently underutilised in standard clinical practice, and access to them is still uneven. This disparity emphasises the necessity of shifting from a primarily biological approach to integrated, recovery-focused care.</w:t>
      </w:r>
    </w:p>
    <w:p w14:paraId="7AD2E81E" w14:textId="1280BB6C" w:rsidR="008A6D32" w:rsidRPr="00FA4671" w:rsidRDefault="00594680" w:rsidP="00FA4671">
      <w:pPr>
        <w:pStyle w:val="NormalWeb"/>
        <w:spacing w:line="360" w:lineRule="auto"/>
        <w:jc w:val="both"/>
        <w:rPr>
          <w:rFonts w:ascii="Arial" w:hAnsi="Arial" w:cs="Arial"/>
          <w:color w:val="000000"/>
          <w:sz w:val="22"/>
          <w:szCs w:val="22"/>
        </w:rPr>
      </w:pPr>
      <w:r w:rsidRPr="00FA4671">
        <w:rPr>
          <w:rFonts w:ascii="Arial" w:hAnsi="Arial" w:cs="Arial"/>
          <w:color w:val="000000"/>
          <w:sz w:val="22"/>
          <w:szCs w:val="22"/>
        </w:rPr>
        <w:t>In the long-term treatment of delusional condition, rehabilitation is an essential but underappreciated component. Targeted psychosocial interventions, like family psychoeducation, social skills training, and occupational rehabilitation, can greatly improve quality of life and community involvement because many people have generally intact cognition and social functioning. This strategy is supported by ICD-11's emphasis on functioning and disability, but service fragmentation and a lack of finance for community-based treatment hinder its practical application. People with delusional disorder are vulnerable to long-term social isolation, career decline, and recurrent use of acute services in the absence of consistent rehabilitation input.</w:t>
      </w:r>
    </w:p>
    <w:p w14:paraId="7DC5D056" w14:textId="3A2A58BE" w:rsidR="008956C1" w:rsidRPr="00FA4671" w:rsidRDefault="008956C1" w:rsidP="00FA4671">
      <w:pPr>
        <w:pStyle w:val="NormalWeb"/>
        <w:spacing w:line="360" w:lineRule="auto"/>
        <w:jc w:val="both"/>
        <w:rPr>
          <w:rFonts w:ascii="Arial" w:hAnsi="Arial" w:cs="Arial"/>
          <w:color w:val="000000"/>
          <w:sz w:val="22"/>
          <w:szCs w:val="22"/>
        </w:rPr>
      </w:pPr>
      <w:r w:rsidRPr="00FA4671">
        <w:rPr>
          <w:rFonts w:ascii="Arial" w:hAnsi="Arial" w:cs="Arial"/>
          <w:color w:val="000000"/>
          <w:sz w:val="22"/>
          <w:szCs w:val="22"/>
        </w:rPr>
        <w:t>In conclusion, coordinated improvements in diagnostic frameworks, evidence-based therapy, rehabilitation services, and research funding are necessary to improve outcomes for people with delusional disorder. The current gaps between classification, clinical practice, and lived experience may be filled by a move towards longitudinal evaluation, interdisciplinary care, and functional recovery</w:t>
      </w:r>
      <w:r w:rsidR="00FA4671">
        <w:rPr>
          <w:rFonts w:ascii="Arial" w:hAnsi="Arial" w:cs="Arial"/>
          <w:color w:val="000000"/>
          <w:sz w:val="22"/>
          <w:szCs w:val="22"/>
        </w:rPr>
        <w:t xml:space="preserve"> </w:t>
      </w:r>
      <w:r w:rsidRPr="00FA4671">
        <w:rPr>
          <w:rFonts w:ascii="Arial" w:hAnsi="Arial" w:cs="Arial"/>
          <w:color w:val="000000"/>
          <w:sz w:val="22"/>
          <w:szCs w:val="22"/>
        </w:rPr>
        <w:t>supported by more precise policy guidance and focused research.</w:t>
      </w:r>
    </w:p>
    <w:p w14:paraId="65FDACDD" w14:textId="77777777" w:rsidR="00E81068" w:rsidRDefault="00E81068" w:rsidP="00CD5E10">
      <w:pPr>
        <w:pStyle w:val="Heading1"/>
      </w:pPr>
      <w:bookmarkStart w:id="24" w:name="_Toc216784331"/>
    </w:p>
    <w:p w14:paraId="53862E2D" w14:textId="77777777" w:rsidR="0026560C" w:rsidRDefault="008A6D32" w:rsidP="0026560C">
      <w:pPr>
        <w:pStyle w:val="Heading1"/>
      </w:pPr>
      <w:bookmarkStart w:id="25" w:name="_Toc216899615"/>
      <w:bookmarkStart w:id="26" w:name="_Toc216899680"/>
      <w:bookmarkStart w:id="27" w:name="_Toc216900613"/>
      <w:r w:rsidRPr="008A6D32">
        <w:t>References</w:t>
      </w:r>
      <w:bookmarkEnd w:id="24"/>
      <w:bookmarkEnd w:id="25"/>
      <w:bookmarkEnd w:id="26"/>
      <w:bookmarkEnd w:id="27"/>
      <w:r w:rsidRPr="008A6D32">
        <w:t xml:space="preserve"> </w:t>
      </w:r>
    </w:p>
    <w:p w14:paraId="3F31989E" w14:textId="4168AD6E" w:rsidR="00701FDD" w:rsidRPr="00701FDD" w:rsidRDefault="00701FDD" w:rsidP="00701FDD">
      <w:pPr>
        <w:pStyle w:val="NormalWeb"/>
        <w:shd w:val="clear" w:color="auto" w:fill="FFFFFF"/>
        <w:spacing w:before="0" w:beforeAutospacing="0" w:after="0" w:afterAutospacing="0" w:line="360" w:lineRule="auto"/>
        <w:rPr>
          <w:rFonts w:ascii="Arial" w:hAnsi="Arial" w:cs="Arial"/>
          <w:color w:val="000000"/>
          <w:sz w:val="22"/>
          <w:szCs w:val="22"/>
        </w:rPr>
      </w:pPr>
      <w:r w:rsidRPr="00701FDD">
        <w:rPr>
          <w:rFonts w:ascii="Arial" w:hAnsi="Arial" w:cs="Arial"/>
          <w:color w:val="000000"/>
          <w:sz w:val="22"/>
          <w:szCs w:val="22"/>
        </w:rPr>
        <w:t>Flores, C. (2025). Delusions and epistemic style: a neurodiversity approach to reasoning in schizophrenia.</w:t>
      </w:r>
      <w:r w:rsidRPr="00701FDD">
        <w:rPr>
          <w:rStyle w:val="apple-converted-space"/>
          <w:rFonts w:ascii="Arial" w:eastAsiaTheme="majorEastAsia" w:hAnsi="Arial" w:cs="Arial"/>
          <w:color w:val="000000"/>
          <w:sz w:val="22"/>
          <w:szCs w:val="22"/>
        </w:rPr>
        <w:t> </w:t>
      </w:r>
      <w:proofErr w:type="spellStart"/>
      <w:r w:rsidRPr="00701FDD">
        <w:rPr>
          <w:rFonts w:ascii="Arial" w:hAnsi="Arial" w:cs="Arial"/>
          <w:i/>
          <w:iCs/>
          <w:color w:val="000000"/>
          <w:sz w:val="22"/>
          <w:szCs w:val="22"/>
        </w:rPr>
        <w:t>Synthese</w:t>
      </w:r>
      <w:proofErr w:type="spellEnd"/>
      <w:r w:rsidRPr="00701FDD">
        <w:rPr>
          <w:rFonts w:ascii="Arial" w:hAnsi="Arial" w:cs="Arial"/>
          <w:color w:val="000000"/>
          <w:sz w:val="22"/>
          <w:szCs w:val="22"/>
        </w:rPr>
        <w:t xml:space="preserve">, 205(4). </w:t>
      </w:r>
      <w:hyperlink r:id="rId9" w:history="1">
        <w:r w:rsidR="00725BD9" w:rsidRPr="006B3A70">
          <w:rPr>
            <w:rStyle w:val="Hyperlink"/>
            <w:rFonts w:ascii="Arial" w:hAnsi="Arial" w:cs="Arial"/>
            <w:sz w:val="22"/>
            <w:szCs w:val="22"/>
          </w:rPr>
          <w:t>https://doi.org/10.1007/s11229-025-04979-8</w:t>
        </w:r>
      </w:hyperlink>
      <w:r w:rsidRPr="00701FDD">
        <w:rPr>
          <w:rFonts w:ascii="Arial" w:hAnsi="Arial" w:cs="Arial"/>
          <w:color w:val="000000"/>
          <w:sz w:val="22"/>
          <w:szCs w:val="22"/>
        </w:rPr>
        <w:t>.</w:t>
      </w:r>
      <w:r w:rsidR="00725BD9">
        <w:rPr>
          <w:rFonts w:ascii="Arial" w:hAnsi="Arial" w:cs="Arial"/>
          <w:color w:val="000000"/>
          <w:sz w:val="22"/>
          <w:szCs w:val="22"/>
        </w:rPr>
        <w:t xml:space="preserve"> </w:t>
      </w:r>
    </w:p>
    <w:p w14:paraId="1571772E" w14:textId="3831A224" w:rsidR="00701FDD" w:rsidRDefault="00701FDD" w:rsidP="00F85F16">
      <w:bookmarkStart w:id="28" w:name="_Toc216899616"/>
      <w:bookmarkStart w:id="29" w:name="_Toc216899681"/>
      <w:r>
        <w:rPr>
          <w:rFonts w:ascii="Calibri" w:hAnsi="Calibri" w:cs="Calibri"/>
        </w:rPr>
        <w:t>‌</w:t>
      </w:r>
      <w:r w:rsidR="00364D94" w:rsidRPr="00364D94">
        <w:t xml:space="preserve"> </w:t>
      </w:r>
      <w:r w:rsidR="00364D94" w:rsidRPr="0026560C">
        <w:t>National Institute for Health and Care Excellence (NICE) (2020)</w:t>
      </w:r>
      <w:r w:rsidR="00364D94" w:rsidRPr="0026560C">
        <w:rPr>
          <w:rStyle w:val="apple-converted-space"/>
          <w:rFonts w:ascii="Arial" w:hAnsi="Arial" w:cs="Arial"/>
          <w:color w:val="000000"/>
          <w:sz w:val="22"/>
          <w:szCs w:val="22"/>
        </w:rPr>
        <w:t> </w:t>
      </w:r>
      <w:r w:rsidR="00364D94" w:rsidRPr="0026560C">
        <w:rPr>
          <w:rStyle w:val="Emphasis"/>
          <w:rFonts w:ascii="Arial" w:hAnsi="Arial" w:cs="Arial"/>
          <w:color w:val="000000"/>
          <w:sz w:val="22"/>
          <w:szCs w:val="22"/>
        </w:rPr>
        <w:t>Rehabilitation for adults with complex psychosis (NG181).</w:t>
      </w:r>
      <w:r w:rsidR="00364D94" w:rsidRPr="0026560C">
        <w:rPr>
          <w:rStyle w:val="apple-converted-space"/>
          <w:rFonts w:ascii="Arial" w:hAnsi="Arial" w:cs="Arial"/>
          <w:color w:val="000000"/>
          <w:sz w:val="22"/>
          <w:szCs w:val="22"/>
        </w:rPr>
        <w:t> </w:t>
      </w:r>
      <w:r w:rsidR="00364D94" w:rsidRPr="0026560C">
        <w:t>London: NICE. Available at:</w:t>
      </w:r>
      <w:r w:rsidR="00364D94" w:rsidRPr="0026560C">
        <w:br/>
      </w:r>
      <w:hyperlink r:id="rId10" w:history="1">
        <w:r w:rsidR="00364D94" w:rsidRPr="006B3A70">
          <w:rPr>
            <w:rStyle w:val="Hyperlink"/>
            <w:rFonts w:ascii="Arial" w:hAnsi="Arial" w:cs="Arial"/>
            <w:sz w:val="22"/>
            <w:szCs w:val="22"/>
          </w:rPr>
          <w:t>https://www.nice.org.uk/guidance/ng181</w:t>
        </w:r>
      </w:hyperlink>
      <w:r w:rsidR="00364D94">
        <w:t xml:space="preserve"> </w:t>
      </w:r>
      <w:r w:rsidR="00364D94" w:rsidRPr="0026560C">
        <w:t>(Accessed: 1</w:t>
      </w:r>
      <w:r w:rsidR="00B829E3">
        <w:t>0</w:t>
      </w:r>
      <w:r w:rsidR="00B829E3" w:rsidRPr="00B829E3">
        <w:rPr>
          <w:vertAlign w:val="superscript"/>
        </w:rPr>
        <w:t>th</w:t>
      </w:r>
      <w:r w:rsidR="00B829E3">
        <w:t xml:space="preserve"> </w:t>
      </w:r>
      <w:r w:rsidR="00364D94" w:rsidRPr="0026560C">
        <w:t>December 2025).</w:t>
      </w:r>
      <w:bookmarkEnd w:id="28"/>
      <w:bookmarkEnd w:id="29"/>
    </w:p>
    <w:p w14:paraId="246C5AAE" w14:textId="6F0E14CA" w:rsidR="00115CC9" w:rsidRPr="00DC394E" w:rsidRDefault="00115CC9" w:rsidP="00F85F16">
      <w:bookmarkStart w:id="30" w:name="_Toc216899617"/>
      <w:bookmarkStart w:id="31" w:name="_Toc216899682"/>
      <w:r w:rsidRPr="00DC394E">
        <w:t>National Institute for Health and Care Excellence (NICE) (</w:t>
      </w:r>
      <w:r w:rsidR="006F3144">
        <w:t>2025</w:t>
      </w:r>
      <w:r w:rsidRPr="00DC394E">
        <w:t>)</w:t>
      </w:r>
      <w:r w:rsidRPr="00DC394E">
        <w:rPr>
          <w:rStyle w:val="apple-converted-space"/>
          <w:rFonts w:ascii="Arial" w:hAnsi="Arial" w:cs="Arial"/>
          <w:color w:val="000000"/>
          <w:sz w:val="22"/>
          <w:szCs w:val="22"/>
        </w:rPr>
        <w:t> </w:t>
      </w:r>
      <w:r w:rsidRPr="00DC394E">
        <w:rPr>
          <w:rStyle w:val="Emphasis"/>
          <w:rFonts w:ascii="Arial" w:hAnsi="Arial" w:cs="Arial"/>
          <w:color w:val="000000"/>
          <w:sz w:val="22"/>
          <w:szCs w:val="22"/>
        </w:rPr>
        <w:t>Psychosis and schizophrenia in adults: prevention and management (CG178).</w:t>
      </w:r>
      <w:r w:rsidRPr="00DC394E">
        <w:rPr>
          <w:rStyle w:val="apple-converted-space"/>
          <w:rFonts w:ascii="Arial" w:hAnsi="Arial" w:cs="Arial"/>
          <w:color w:val="000000"/>
          <w:sz w:val="22"/>
          <w:szCs w:val="22"/>
        </w:rPr>
        <w:t> </w:t>
      </w:r>
      <w:r w:rsidRPr="00DC394E">
        <w:t>London: NICE. Available at:</w:t>
      </w:r>
      <w:r w:rsidRPr="00DC394E">
        <w:br/>
      </w:r>
      <w:hyperlink r:id="rId11" w:tgtFrame="_new" w:history="1">
        <w:r w:rsidRPr="00DC394E">
          <w:rPr>
            <w:rStyle w:val="Hyperlink"/>
            <w:rFonts w:ascii="Arial" w:hAnsi="Arial" w:cs="Arial"/>
            <w:sz w:val="22"/>
            <w:szCs w:val="22"/>
          </w:rPr>
          <w:t>https://www.nice.org.uk/guidance/cg178</w:t>
        </w:r>
      </w:hyperlink>
      <w:r w:rsidRPr="00DC394E">
        <w:t>(Accessed: 1</w:t>
      </w:r>
      <w:r w:rsidR="0037083D">
        <w:t>0</w:t>
      </w:r>
      <w:r w:rsidR="0037083D" w:rsidRPr="0037083D">
        <w:rPr>
          <w:vertAlign w:val="superscript"/>
        </w:rPr>
        <w:t>th</w:t>
      </w:r>
      <w:r w:rsidR="0037083D">
        <w:t xml:space="preserve"> </w:t>
      </w:r>
      <w:r w:rsidRPr="00DC394E">
        <w:t xml:space="preserve"> December 2025).</w:t>
      </w:r>
      <w:bookmarkEnd w:id="30"/>
      <w:bookmarkEnd w:id="31"/>
    </w:p>
    <w:p w14:paraId="092CAF23" w14:textId="000C3A7E" w:rsidR="00E81068" w:rsidRDefault="004E5F65" w:rsidP="00F85F16">
      <w:bookmarkStart w:id="32" w:name="_Toc216899618"/>
      <w:r>
        <w:t xml:space="preserve">NHS (2023) </w:t>
      </w:r>
      <w:r w:rsidRPr="00A25340">
        <w:rPr>
          <w:i/>
          <w:iCs/>
        </w:rPr>
        <w:t>Treatment- Psychosis</w:t>
      </w:r>
      <w:r w:rsidR="00A25340">
        <w:t xml:space="preserve">. Available </w:t>
      </w:r>
      <w:proofErr w:type="gramStart"/>
      <w:r w:rsidR="00A25340">
        <w:t>at :</w:t>
      </w:r>
      <w:proofErr w:type="gramEnd"/>
      <w:r w:rsidR="00A25340">
        <w:rPr>
          <w:rFonts w:ascii="Arial" w:hAnsi="Arial" w:cs="Arial"/>
          <w:sz w:val="22"/>
          <w:szCs w:val="22"/>
        </w:rPr>
        <w:fldChar w:fldCharType="begin"/>
      </w:r>
      <w:r w:rsidR="00A25340">
        <w:rPr>
          <w:rFonts w:ascii="Arial" w:hAnsi="Arial" w:cs="Arial"/>
          <w:sz w:val="22"/>
          <w:szCs w:val="22"/>
        </w:rPr>
        <w:instrText>HYPERLINK "</w:instrText>
      </w:r>
      <w:r w:rsidR="00A25340" w:rsidRPr="00A25340">
        <w:rPr>
          <w:rFonts w:ascii="Arial" w:hAnsi="Arial" w:cs="Arial"/>
          <w:sz w:val="22"/>
          <w:szCs w:val="22"/>
        </w:rPr>
        <w:instrText>https://www.nhs.uk/mental-health/conditions/psychosis/treatment/</w:instrText>
      </w:r>
      <w:r w:rsidR="00A25340">
        <w:rPr>
          <w:rFonts w:ascii="Arial" w:hAnsi="Arial" w:cs="Arial"/>
          <w:sz w:val="22"/>
          <w:szCs w:val="22"/>
        </w:rPr>
        <w:instrText>"</w:instrText>
      </w:r>
      <w:r w:rsidR="00A25340">
        <w:rPr>
          <w:rFonts w:ascii="Arial" w:hAnsi="Arial" w:cs="Arial"/>
          <w:sz w:val="22"/>
          <w:szCs w:val="22"/>
        </w:rPr>
        <w:fldChar w:fldCharType="separate"/>
      </w:r>
      <w:r w:rsidR="00A25340" w:rsidRPr="006B3A70">
        <w:rPr>
          <w:rStyle w:val="Hyperlink"/>
          <w:rFonts w:ascii="Arial" w:hAnsi="Arial" w:cs="Arial"/>
          <w:sz w:val="22"/>
          <w:szCs w:val="22"/>
        </w:rPr>
        <w:t>https://www.nhs.uk/mental-health/conditions/psychosis/treatment/</w:t>
      </w:r>
      <w:r w:rsidR="00A25340">
        <w:rPr>
          <w:rFonts w:ascii="Arial" w:hAnsi="Arial" w:cs="Arial"/>
          <w:sz w:val="22"/>
          <w:szCs w:val="22"/>
        </w:rPr>
        <w:fldChar w:fldCharType="end"/>
      </w:r>
      <w:r w:rsidR="003A3B75">
        <w:t xml:space="preserve"> </w:t>
      </w:r>
      <w:r w:rsidR="008A4AB9" w:rsidRPr="00E81068">
        <w:t>(Accessed: 1</w:t>
      </w:r>
      <w:r w:rsidR="00B829E3">
        <w:t>0</w:t>
      </w:r>
      <w:proofErr w:type="gramStart"/>
      <w:r w:rsidR="00B829E3" w:rsidRPr="00B829E3">
        <w:rPr>
          <w:vertAlign w:val="superscript"/>
        </w:rPr>
        <w:t>th</w:t>
      </w:r>
      <w:r w:rsidR="00B829E3">
        <w:t xml:space="preserve"> </w:t>
      </w:r>
      <w:r w:rsidR="008A4AB9" w:rsidRPr="00E81068">
        <w:t xml:space="preserve"> December</w:t>
      </w:r>
      <w:proofErr w:type="gramEnd"/>
      <w:r w:rsidR="008A4AB9" w:rsidRPr="00E81068">
        <w:t xml:space="preserve"> 2025).</w:t>
      </w:r>
      <w:bookmarkEnd w:id="32"/>
    </w:p>
    <w:p w14:paraId="18EB0E12" w14:textId="7120765A" w:rsidR="00F064DE" w:rsidRDefault="00F064DE" w:rsidP="00012239">
      <w:pPr>
        <w:rPr>
          <w:color w:val="000000"/>
        </w:rPr>
      </w:pPr>
      <w:r w:rsidRPr="00F064DE">
        <w:rPr>
          <w:color w:val="000000"/>
        </w:rPr>
        <w:t>Peralta, V. and Cuesta, M.J. (2019). An empirical study of five sets of diagnostic criteria for delusional disorder.</w:t>
      </w:r>
      <w:r w:rsidRPr="00F064DE">
        <w:rPr>
          <w:rStyle w:val="apple-converted-space"/>
          <w:rFonts w:ascii="Arial" w:hAnsi="Arial" w:cs="Arial"/>
          <w:color w:val="000000"/>
          <w:sz w:val="22"/>
          <w:szCs w:val="22"/>
        </w:rPr>
        <w:t> </w:t>
      </w:r>
      <w:r w:rsidRPr="00F064DE">
        <w:rPr>
          <w:i/>
          <w:iCs/>
          <w:color w:val="000000"/>
        </w:rPr>
        <w:t>Schizophrenia Research</w:t>
      </w:r>
      <w:r w:rsidRPr="00F064DE">
        <w:rPr>
          <w:color w:val="000000"/>
        </w:rPr>
        <w:t xml:space="preserve">, 209, pp.164–170. </w:t>
      </w:r>
      <w:hyperlink r:id="rId12" w:history="1">
        <w:r w:rsidRPr="006B3A70">
          <w:rPr>
            <w:rStyle w:val="Hyperlink"/>
            <w:rFonts w:ascii="Arial" w:hAnsi="Arial" w:cs="Arial"/>
            <w:sz w:val="22"/>
            <w:szCs w:val="22"/>
          </w:rPr>
          <w:t>https://doi.org/10.1016/j.schres.2019.04.027</w:t>
        </w:r>
      </w:hyperlink>
      <w:r w:rsidRPr="00F064DE">
        <w:rPr>
          <w:color w:val="000000"/>
        </w:rPr>
        <w:t>.</w:t>
      </w:r>
      <w:r>
        <w:rPr>
          <w:color w:val="000000"/>
        </w:rPr>
        <w:t xml:space="preserve"> </w:t>
      </w:r>
    </w:p>
    <w:p w14:paraId="36C8302E" w14:textId="77777777" w:rsidR="00F064DE" w:rsidRPr="00F064DE" w:rsidRDefault="00F064DE" w:rsidP="00012239">
      <w:pPr>
        <w:rPr>
          <w:color w:val="000000"/>
        </w:rPr>
      </w:pPr>
    </w:p>
    <w:p w14:paraId="3C9DDEF5" w14:textId="7A586325" w:rsidR="008D5CAD" w:rsidRPr="008D5CAD" w:rsidRDefault="008D5CAD" w:rsidP="00012239">
      <w:r w:rsidRPr="008D5CAD">
        <w:rPr>
          <w:color w:val="000000"/>
        </w:rPr>
        <w:t>Reed, G.M., First, M.B., Kogan, C.S. et al. (2019) ‘Innovations and changes in the ICD-11 classification of mental, behavioural and neurodevelopmental disorders’,</w:t>
      </w:r>
      <w:r w:rsidRPr="008D5CAD">
        <w:rPr>
          <w:rStyle w:val="apple-converted-space"/>
          <w:rFonts w:ascii="Arial" w:hAnsi="Arial" w:cs="Arial"/>
          <w:color w:val="000000"/>
          <w:sz w:val="22"/>
          <w:szCs w:val="22"/>
        </w:rPr>
        <w:t> </w:t>
      </w:r>
      <w:r w:rsidRPr="008D5CAD">
        <w:rPr>
          <w:rStyle w:val="Emphasis"/>
          <w:rFonts w:ascii="Arial" w:hAnsi="Arial" w:cs="Arial"/>
          <w:color w:val="000000"/>
          <w:sz w:val="22"/>
          <w:szCs w:val="22"/>
        </w:rPr>
        <w:t>World Psychiatry</w:t>
      </w:r>
      <w:r w:rsidRPr="008D5CAD">
        <w:rPr>
          <w:color w:val="000000"/>
        </w:rPr>
        <w:t>, 18(1), pp. 3–19. Available at:</w:t>
      </w:r>
      <w:r w:rsidRPr="008D5CAD">
        <w:rPr>
          <w:color w:val="000000"/>
        </w:rPr>
        <w:br/>
      </w:r>
      <w:hyperlink r:id="rId13" w:tgtFrame="_new" w:history="1">
        <w:r w:rsidRPr="008D5CAD">
          <w:rPr>
            <w:rStyle w:val="Hyperlink"/>
            <w:rFonts w:ascii="Arial" w:hAnsi="Arial" w:cs="Arial"/>
            <w:sz w:val="22"/>
            <w:szCs w:val="22"/>
          </w:rPr>
          <w:t>https://onlinelibrary.wiley.com/doi/10.1002/wps.20611</w:t>
        </w:r>
      </w:hyperlink>
      <w:r w:rsidR="00186567">
        <w:rPr>
          <w:color w:val="000000"/>
        </w:rPr>
        <w:t xml:space="preserve"> </w:t>
      </w:r>
      <w:r w:rsidRPr="008D5CAD">
        <w:rPr>
          <w:color w:val="000000"/>
        </w:rPr>
        <w:t xml:space="preserve">(Accessed: </w:t>
      </w:r>
      <w:r w:rsidR="0037083D">
        <w:rPr>
          <w:color w:val="000000"/>
        </w:rPr>
        <w:t>10</w:t>
      </w:r>
      <w:r w:rsidR="0037083D" w:rsidRPr="0037083D">
        <w:rPr>
          <w:color w:val="000000"/>
          <w:vertAlign w:val="superscript"/>
        </w:rPr>
        <w:t>th</w:t>
      </w:r>
      <w:r w:rsidR="0037083D">
        <w:rPr>
          <w:color w:val="000000"/>
        </w:rPr>
        <w:t xml:space="preserve"> </w:t>
      </w:r>
      <w:r w:rsidRPr="008D5CAD">
        <w:rPr>
          <w:color w:val="000000"/>
        </w:rPr>
        <w:t>December 2025).</w:t>
      </w:r>
    </w:p>
    <w:p w14:paraId="6B5A2BC0" w14:textId="72C0C9D8" w:rsidR="00B67116" w:rsidRDefault="00B67116" w:rsidP="00012239">
      <w:pPr>
        <w:rPr>
          <w:color w:val="000000"/>
        </w:rPr>
      </w:pPr>
      <w:r w:rsidRPr="00B67116">
        <w:rPr>
          <w:color w:val="000000"/>
        </w:rPr>
        <w:t>Skelton, M., Khokhar, W.A. and Thacker, S.P. (2015) ‘Treatments for delusional disorder’,</w:t>
      </w:r>
      <w:r w:rsidRPr="00B67116">
        <w:rPr>
          <w:rStyle w:val="apple-converted-space"/>
          <w:rFonts w:ascii="Arial" w:hAnsi="Arial" w:cs="Arial"/>
          <w:color w:val="000000"/>
          <w:sz w:val="22"/>
          <w:szCs w:val="22"/>
        </w:rPr>
        <w:t> </w:t>
      </w:r>
      <w:r w:rsidRPr="00B67116">
        <w:rPr>
          <w:rStyle w:val="Emphasis"/>
          <w:rFonts w:ascii="Arial" w:hAnsi="Arial" w:cs="Arial"/>
          <w:color w:val="000000"/>
          <w:sz w:val="22"/>
          <w:szCs w:val="22"/>
        </w:rPr>
        <w:t>Cochrane Database of Systematic Reviews</w:t>
      </w:r>
      <w:r w:rsidRPr="00B67116">
        <w:rPr>
          <w:color w:val="000000"/>
        </w:rPr>
        <w:t>, Issue 5. Available at:</w:t>
      </w:r>
      <w:r w:rsidRPr="00B67116">
        <w:rPr>
          <w:color w:val="000000"/>
        </w:rPr>
        <w:br/>
      </w:r>
      <w:hyperlink r:id="rId14" w:tgtFrame="_new" w:history="1">
        <w:r w:rsidRPr="00B67116">
          <w:rPr>
            <w:rStyle w:val="Hyperlink"/>
            <w:rFonts w:ascii="Arial" w:hAnsi="Arial" w:cs="Arial"/>
            <w:sz w:val="22"/>
            <w:szCs w:val="22"/>
          </w:rPr>
          <w:t>https://www.cochranelibrary.com/cdsr/doi/10.1002/14651858.CD009785.pub2/full</w:t>
        </w:r>
      </w:hyperlink>
      <w:r w:rsidRPr="00B67116">
        <w:rPr>
          <w:color w:val="000000"/>
        </w:rPr>
        <w:br/>
        <w:t xml:space="preserve">(Accessed: </w:t>
      </w:r>
      <w:r w:rsidR="00364D94">
        <w:rPr>
          <w:color w:val="000000"/>
        </w:rPr>
        <w:t>20</w:t>
      </w:r>
      <w:r w:rsidR="00364D94" w:rsidRPr="00364D94">
        <w:rPr>
          <w:color w:val="000000"/>
          <w:vertAlign w:val="superscript"/>
        </w:rPr>
        <w:t>th</w:t>
      </w:r>
      <w:r w:rsidR="00364D94">
        <w:rPr>
          <w:color w:val="000000"/>
        </w:rPr>
        <w:t xml:space="preserve"> November</w:t>
      </w:r>
      <w:r w:rsidRPr="00B67116">
        <w:rPr>
          <w:color w:val="000000"/>
        </w:rPr>
        <w:t xml:space="preserve"> 2025).</w:t>
      </w:r>
    </w:p>
    <w:p w14:paraId="64F5FDF0" w14:textId="77777777" w:rsidR="00B67116" w:rsidRPr="00B67116" w:rsidRDefault="00B67116" w:rsidP="00C441F8">
      <w:pPr>
        <w:spacing w:line="360" w:lineRule="auto"/>
        <w:jc w:val="both"/>
        <w:rPr>
          <w:rFonts w:ascii="Arial" w:hAnsi="Arial" w:cs="Arial"/>
          <w:sz w:val="22"/>
          <w:szCs w:val="22"/>
        </w:rPr>
      </w:pPr>
    </w:p>
    <w:p w14:paraId="1CBB5A67" w14:textId="2F790B08" w:rsidR="00C441F8" w:rsidRPr="007A118C" w:rsidRDefault="00C441F8" w:rsidP="00C441F8">
      <w:pPr>
        <w:spacing w:line="360" w:lineRule="auto"/>
        <w:jc w:val="both"/>
        <w:rPr>
          <w:rFonts w:ascii="Arial" w:hAnsi="Arial" w:cs="Arial"/>
          <w:sz w:val="22"/>
          <w:szCs w:val="22"/>
        </w:rPr>
      </w:pPr>
      <w:r w:rsidRPr="007A118C">
        <w:rPr>
          <w:rFonts w:ascii="Arial" w:hAnsi="Arial" w:cs="Arial"/>
          <w:sz w:val="22"/>
          <w:szCs w:val="22"/>
        </w:rPr>
        <w:t xml:space="preserve">World Health Organization (2019) </w:t>
      </w:r>
      <w:r w:rsidRPr="007A118C">
        <w:rPr>
          <w:rFonts w:ascii="Arial" w:hAnsi="Arial" w:cs="Arial"/>
          <w:i/>
          <w:iCs/>
          <w:sz w:val="22"/>
          <w:szCs w:val="22"/>
        </w:rPr>
        <w:t>International Statistical Classification of Diseases and Related Health Problems, 11th Revision (ICD-11)</w:t>
      </w:r>
      <w:r w:rsidRPr="007A118C">
        <w:rPr>
          <w:rFonts w:ascii="Arial" w:hAnsi="Arial" w:cs="Arial"/>
          <w:sz w:val="22"/>
          <w:szCs w:val="22"/>
        </w:rPr>
        <w:t xml:space="preserve">. Geneva: World Health Organization. Available at: </w:t>
      </w:r>
      <w:hyperlink r:id="rId15" w:history="1">
        <w:r w:rsidRPr="007A118C">
          <w:rPr>
            <w:rStyle w:val="Hyperlink"/>
            <w:rFonts w:ascii="Arial" w:hAnsi="Arial" w:cs="Arial"/>
            <w:sz w:val="22"/>
            <w:szCs w:val="22"/>
          </w:rPr>
          <w:t>https://icd</w:t>
        </w:r>
        <w:r w:rsidRPr="007A118C">
          <w:rPr>
            <w:rStyle w:val="Hyperlink"/>
            <w:rFonts w:ascii="Arial" w:hAnsi="Arial" w:cs="Arial"/>
            <w:sz w:val="22"/>
            <w:szCs w:val="22"/>
          </w:rPr>
          <w:t>.</w:t>
        </w:r>
        <w:r w:rsidRPr="007A118C">
          <w:rPr>
            <w:rStyle w:val="Hyperlink"/>
            <w:rFonts w:ascii="Arial" w:hAnsi="Arial" w:cs="Arial"/>
            <w:sz w:val="22"/>
            <w:szCs w:val="22"/>
          </w:rPr>
          <w:t>who.int/browse11/l-m/en</w:t>
        </w:r>
      </w:hyperlink>
      <w:r w:rsidRPr="007A118C">
        <w:rPr>
          <w:rFonts w:ascii="Arial" w:hAnsi="Arial" w:cs="Arial"/>
          <w:sz w:val="22"/>
          <w:szCs w:val="22"/>
        </w:rPr>
        <w:t xml:space="preserve"> (Accessed: 13</w:t>
      </w:r>
      <w:r w:rsidR="0037083D" w:rsidRPr="0037083D">
        <w:rPr>
          <w:rFonts w:ascii="Arial" w:hAnsi="Arial" w:cs="Arial"/>
          <w:sz w:val="22"/>
          <w:szCs w:val="22"/>
          <w:vertAlign w:val="superscript"/>
        </w:rPr>
        <w:t>th</w:t>
      </w:r>
      <w:r w:rsidR="0037083D">
        <w:rPr>
          <w:rFonts w:ascii="Arial" w:hAnsi="Arial" w:cs="Arial"/>
          <w:sz w:val="22"/>
          <w:szCs w:val="22"/>
        </w:rPr>
        <w:t xml:space="preserve"> </w:t>
      </w:r>
      <w:r w:rsidRPr="007A118C">
        <w:rPr>
          <w:rFonts w:ascii="Arial" w:hAnsi="Arial" w:cs="Arial"/>
          <w:sz w:val="22"/>
          <w:szCs w:val="22"/>
        </w:rPr>
        <w:t>November 2025).</w:t>
      </w:r>
    </w:p>
    <w:p w14:paraId="0B48012C" w14:textId="4FB5B17C" w:rsidR="007A118C" w:rsidRPr="007A118C" w:rsidRDefault="007A118C" w:rsidP="007A118C">
      <w:pPr>
        <w:pStyle w:val="NormalWeb"/>
        <w:spacing w:line="360" w:lineRule="auto"/>
        <w:rPr>
          <w:rFonts w:ascii="Arial" w:hAnsi="Arial" w:cs="Arial"/>
          <w:color w:val="000000"/>
          <w:sz w:val="22"/>
          <w:szCs w:val="22"/>
        </w:rPr>
      </w:pPr>
      <w:r w:rsidRPr="007A118C">
        <w:rPr>
          <w:rFonts w:ascii="Arial" w:hAnsi="Arial" w:cs="Arial"/>
          <w:color w:val="000000"/>
          <w:sz w:val="22"/>
          <w:szCs w:val="22"/>
        </w:rPr>
        <w:t>World Health Organization (2024)</w:t>
      </w:r>
      <w:r w:rsidRPr="007A118C">
        <w:rPr>
          <w:rStyle w:val="apple-converted-space"/>
          <w:rFonts w:ascii="Arial" w:eastAsiaTheme="majorEastAsia" w:hAnsi="Arial" w:cs="Arial"/>
          <w:color w:val="000000"/>
          <w:sz w:val="22"/>
          <w:szCs w:val="22"/>
        </w:rPr>
        <w:t> </w:t>
      </w:r>
      <w:r w:rsidRPr="007A118C">
        <w:rPr>
          <w:rStyle w:val="Emphasis"/>
          <w:rFonts w:ascii="Arial" w:eastAsiaTheme="majorEastAsia" w:hAnsi="Arial" w:cs="Arial"/>
          <w:color w:val="000000"/>
          <w:sz w:val="22"/>
          <w:szCs w:val="22"/>
        </w:rPr>
        <w:t>Clinical descriptions and diagnostic requirements for ICD-11 mental, behavioural and neurodevelopmental disorders.</w:t>
      </w:r>
      <w:r w:rsidRPr="007A118C">
        <w:rPr>
          <w:rStyle w:val="apple-converted-space"/>
          <w:rFonts w:ascii="Arial" w:eastAsiaTheme="majorEastAsia" w:hAnsi="Arial" w:cs="Arial"/>
          <w:color w:val="000000"/>
          <w:sz w:val="22"/>
          <w:szCs w:val="22"/>
        </w:rPr>
        <w:t> </w:t>
      </w:r>
      <w:r w:rsidRPr="007A118C">
        <w:rPr>
          <w:rFonts w:ascii="Arial" w:hAnsi="Arial" w:cs="Arial"/>
          <w:color w:val="000000"/>
          <w:sz w:val="22"/>
          <w:szCs w:val="22"/>
        </w:rPr>
        <w:t>Geneva: WHO. Available at:</w:t>
      </w:r>
      <w:r w:rsidRPr="007A118C">
        <w:rPr>
          <w:rFonts w:ascii="Arial" w:hAnsi="Arial" w:cs="Arial"/>
          <w:color w:val="000000"/>
          <w:sz w:val="22"/>
          <w:szCs w:val="22"/>
        </w:rPr>
        <w:br/>
      </w:r>
      <w:hyperlink r:id="rId16" w:tgtFrame="_new" w:history="1">
        <w:r w:rsidRPr="007A118C">
          <w:rPr>
            <w:rStyle w:val="Hyperlink"/>
            <w:rFonts w:ascii="Arial" w:eastAsiaTheme="majorEastAsia" w:hAnsi="Arial" w:cs="Arial"/>
            <w:sz w:val="22"/>
            <w:szCs w:val="22"/>
          </w:rPr>
          <w:t>https://www.who.int/publications/i/item/9789240077263</w:t>
        </w:r>
      </w:hyperlink>
      <w:r w:rsidRPr="007A118C">
        <w:rPr>
          <w:rFonts w:ascii="Arial" w:hAnsi="Arial" w:cs="Arial"/>
          <w:color w:val="000000"/>
          <w:sz w:val="22"/>
          <w:szCs w:val="22"/>
        </w:rPr>
        <w:br/>
        <w:t xml:space="preserve">(Accessed: </w:t>
      </w:r>
      <w:r w:rsidR="00364D94">
        <w:rPr>
          <w:rFonts w:ascii="Arial" w:hAnsi="Arial" w:cs="Arial"/>
          <w:color w:val="000000"/>
          <w:sz w:val="22"/>
          <w:szCs w:val="22"/>
        </w:rPr>
        <w:t>20</w:t>
      </w:r>
      <w:r w:rsidR="00364D94" w:rsidRPr="00364D94">
        <w:rPr>
          <w:rFonts w:ascii="Arial" w:hAnsi="Arial" w:cs="Arial"/>
          <w:color w:val="000000"/>
          <w:sz w:val="22"/>
          <w:szCs w:val="22"/>
          <w:vertAlign w:val="superscript"/>
        </w:rPr>
        <w:t>th</w:t>
      </w:r>
      <w:r w:rsidR="00364D94">
        <w:rPr>
          <w:rFonts w:ascii="Arial" w:hAnsi="Arial" w:cs="Arial"/>
          <w:color w:val="000000"/>
          <w:sz w:val="22"/>
          <w:szCs w:val="22"/>
        </w:rPr>
        <w:t xml:space="preserve"> November</w:t>
      </w:r>
      <w:r w:rsidRPr="007A118C">
        <w:rPr>
          <w:rFonts w:ascii="Arial" w:hAnsi="Arial" w:cs="Arial"/>
          <w:color w:val="000000"/>
          <w:sz w:val="22"/>
          <w:szCs w:val="22"/>
        </w:rPr>
        <w:t xml:space="preserve"> 2025).</w:t>
      </w:r>
    </w:p>
    <w:p w14:paraId="5A87F3D6" w14:textId="77777777" w:rsidR="00C441F8" w:rsidRPr="00102709" w:rsidRDefault="00C441F8" w:rsidP="00C441F8">
      <w:pPr>
        <w:spacing w:line="360" w:lineRule="auto"/>
        <w:jc w:val="both"/>
        <w:rPr>
          <w:rFonts w:ascii="Arial" w:hAnsi="Arial" w:cs="Arial"/>
        </w:rPr>
      </w:pPr>
    </w:p>
    <w:p w14:paraId="41393BD6" w14:textId="77777777" w:rsidR="008A6D32" w:rsidRPr="008A6D32" w:rsidRDefault="008A6D32" w:rsidP="008A6D32">
      <w:pPr>
        <w:pStyle w:val="NormalWeb"/>
        <w:rPr>
          <w:rFonts w:ascii="Arial" w:hAnsi="Arial" w:cs="Arial"/>
          <w:color w:val="000000"/>
        </w:rPr>
      </w:pPr>
    </w:p>
    <w:p w14:paraId="6E41165F" w14:textId="77777777" w:rsidR="000264A1" w:rsidRPr="008A6D32" w:rsidRDefault="000264A1" w:rsidP="000264A1">
      <w:pPr>
        <w:rPr>
          <w:rFonts w:ascii="Arial" w:hAnsi="Arial" w:cs="Arial"/>
          <w:sz w:val="36"/>
          <w:szCs w:val="36"/>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C7A36" w14:textId="77777777" w:rsidR="00A952C5" w:rsidRDefault="00A952C5" w:rsidP="000264A1">
      <w:pPr>
        <w:spacing w:after="0" w:line="240" w:lineRule="auto"/>
      </w:pPr>
      <w:r>
        <w:separator/>
      </w:r>
    </w:p>
  </w:endnote>
  <w:endnote w:type="continuationSeparator" w:id="0">
    <w:p w14:paraId="40114DD1" w14:textId="77777777" w:rsidR="00A952C5" w:rsidRDefault="00A952C5"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6405D" w14:textId="77777777" w:rsidR="00A952C5" w:rsidRDefault="00A952C5" w:rsidP="000264A1">
      <w:pPr>
        <w:spacing w:after="0" w:line="240" w:lineRule="auto"/>
      </w:pPr>
      <w:r>
        <w:separator/>
      </w:r>
    </w:p>
  </w:footnote>
  <w:footnote w:type="continuationSeparator" w:id="0">
    <w:p w14:paraId="2E6A84CA" w14:textId="77777777" w:rsidR="00A952C5" w:rsidRDefault="00A952C5"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15716"/>
    <w:multiLevelType w:val="hybridMultilevel"/>
    <w:tmpl w:val="4D320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E2C1D"/>
    <w:multiLevelType w:val="hybridMultilevel"/>
    <w:tmpl w:val="068A3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703545">
    <w:abstractNumId w:val="1"/>
  </w:num>
  <w:num w:numId="2" w16cid:durableId="534469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109E8"/>
    <w:rsid w:val="00012239"/>
    <w:rsid w:val="000264A1"/>
    <w:rsid w:val="000466D9"/>
    <w:rsid w:val="00060FB4"/>
    <w:rsid w:val="00087F9F"/>
    <w:rsid w:val="000D5A0D"/>
    <w:rsid w:val="001120B4"/>
    <w:rsid w:val="00115CC9"/>
    <w:rsid w:val="001336A5"/>
    <w:rsid w:val="00186567"/>
    <w:rsid w:val="001D4C15"/>
    <w:rsid w:val="001F3E27"/>
    <w:rsid w:val="001F7DAE"/>
    <w:rsid w:val="002040AF"/>
    <w:rsid w:val="00220189"/>
    <w:rsid w:val="00224A78"/>
    <w:rsid w:val="00260ED1"/>
    <w:rsid w:val="0026560C"/>
    <w:rsid w:val="002923C0"/>
    <w:rsid w:val="00294EA9"/>
    <w:rsid w:val="002A0858"/>
    <w:rsid w:val="002C1019"/>
    <w:rsid w:val="00340ED6"/>
    <w:rsid w:val="00364D94"/>
    <w:rsid w:val="0037083D"/>
    <w:rsid w:val="003719E8"/>
    <w:rsid w:val="003721A0"/>
    <w:rsid w:val="003A1FCA"/>
    <w:rsid w:val="003A3B75"/>
    <w:rsid w:val="003A4048"/>
    <w:rsid w:val="003B21DD"/>
    <w:rsid w:val="003C27C1"/>
    <w:rsid w:val="003F3BA5"/>
    <w:rsid w:val="00411ABE"/>
    <w:rsid w:val="004137D8"/>
    <w:rsid w:val="0045305C"/>
    <w:rsid w:val="004970DD"/>
    <w:rsid w:val="004A7A90"/>
    <w:rsid w:val="004D2AD6"/>
    <w:rsid w:val="004E5F65"/>
    <w:rsid w:val="00513F73"/>
    <w:rsid w:val="00515AA0"/>
    <w:rsid w:val="00524A7F"/>
    <w:rsid w:val="00554689"/>
    <w:rsid w:val="00556503"/>
    <w:rsid w:val="0056350C"/>
    <w:rsid w:val="00571D0E"/>
    <w:rsid w:val="00583484"/>
    <w:rsid w:val="00591019"/>
    <w:rsid w:val="00594680"/>
    <w:rsid w:val="00595DE7"/>
    <w:rsid w:val="005D4AFB"/>
    <w:rsid w:val="005E40F0"/>
    <w:rsid w:val="00610A2F"/>
    <w:rsid w:val="006232C7"/>
    <w:rsid w:val="00637171"/>
    <w:rsid w:val="00673DDB"/>
    <w:rsid w:val="006836E8"/>
    <w:rsid w:val="006A1C4C"/>
    <w:rsid w:val="006A21C1"/>
    <w:rsid w:val="006A6374"/>
    <w:rsid w:val="006D4747"/>
    <w:rsid w:val="006D681A"/>
    <w:rsid w:val="006F3144"/>
    <w:rsid w:val="00701FDD"/>
    <w:rsid w:val="00715B71"/>
    <w:rsid w:val="00722ABC"/>
    <w:rsid w:val="00725BD9"/>
    <w:rsid w:val="007457F0"/>
    <w:rsid w:val="007460A2"/>
    <w:rsid w:val="007713C7"/>
    <w:rsid w:val="00796778"/>
    <w:rsid w:val="007A118C"/>
    <w:rsid w:val="007B0ABA"/>
    <w:rsid w:val="007B5657"/>
    <w:rsid w:val="007C4006"/>
    <w:rsid w:val="007E3F4D"/>
    <w:rsid w:val="00803E4D"/>
    <w:rsid w:val="00824C2D"/>
    <w:rsid w:val="00827068"/>
    <w:rsid w:val="00843325"/>
    <w:rsid w:val="00861E2F"/>
    <w:rsid w:val="008956C1"/>
    <w:rsid w:val="008A4AB9"/>
    <w:rsid w:val="008A6D32"/>
    <w:rsid w:val="008D5CAD"/>
    <w:rsid w:val="008E1A27"/>
    <w:rsid w:val="008F147E"/>
    <w:rsid w:val="00920FE2"/>
    <w:rsid w:val="00952781"/>
    <w:rsid w:val="00963917"/>
    <w:rsid w:val="00994B0B"/>
    <w:rsid w:val="009A5B64"/>
    <w:rsid w:val="00A25340"/>
    <w:rsid w:val="00A31E28"/>
    <w:rsid w:val="00A81148"/>
    <w:rsid w:val="00A85696"/>
    <w:rsid w:val="00A952C5"/>
    <w:rsid w:val="00A972F7"/>
    <w:rsid w:val="00B0068F"/>
    <w:rsid w:val="00B3716F"/>
    <w:rsid w:val="00B67116"/>
    <w:rsid w:val="00B76CC5"/>
    <w:rsid w:val="00B829E3"/>
    <w:rsid w:val="00B9096A"/>
    <w:rsid w:val="00BC0696"/>
    <w:rsid w:val="00BF54BC"/>
    <w:rsid w:val="00C34A77"/>
    <w:rsid w:val="00C441F8"/>
    <w:rsid w:val="00C60C32"/>
    <w:rsid w:val="00CA18A8"/>
    <w:rsid w:val="00CC006B"/>
    <w:rsid w:val="00CD5E10"/>
    <w:rsid w:val="00D51378"/>
    <w:rsid w:val="00D6407A"/>
    <w:rsid w:val="00D66485"/>
    <w:rsid w:val="00D66AAF"/>
    <w:rsid w:val="00DA41D7"/>
    <w:rsid w:val="00DC394E"/>
    <w:rsid w:val="00DD488D"/>
    <w:rsid w:val="00DD761B"/>
    <w:rsid w:val="00DE749B"/>
    <w:rsid w:val="00E44972"/>
    <w:rsid w:val="00E46871"/>
    <w:rsid w:val="00E81068"/>
    <w:rsid w:val="00E905A5"/>
    <w:rsid w:val="00EC14C8"/>
    <w:rsid w:val="00EC1C80"/>
    <w:rsid w:val="00F064DE"/>
    <w:rsid w:val="00F663F3"/>
    <w:rsid w:val="00F85F16"/>
    <w:rsid w:val="00F94916"/>
    <w:rsid w:val="00FA1537"/>
    <w:rsid w:val="00FA4671"/>
    <w:rsid w:val="00FE6BE4"/>
    <w:rsid w:val="00FF4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0109E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109E8"/>
    <w:pPr>
      <w:spacing w:before="120" w:after="0"/>
    </w:pPr>
    <w:rPr>
      <w:b/>
      <w:bCs/>
      <w:i/>
      <w:iCs/>
    </w:rPr>
  </w:style>
  <w:style w:type="paragraph" w:styleId="TOC2">
    <w:name w:val="toc 2"/>
    <w:basedOn w:val="Normal"/>
    <w:next w:val="Normal"/>
    <w:autoRedefine/>
    <w:uiPriority w:val="39"/>
    <w:semiHidden/>
    <w:unhideWhenUsed/>
    <w:rsid w:val="000109E8"/>
    <w:pPr>
      <w:spacing w:before="120" w:after="0"/>
      <w:ind w:left="240"/>
    </w:pPr>
    <w:rPr>
      <w:b/>
      <w:bCs/>
      <w:sz w:val="22"/>
      <w:szCs w:val="22"/>
    </w:rPr>
  </w:style>
  <w:style w:type="paragraph" w:styleId="TOC3">
    <w:name w:val="toc 3"/>
    <w:basedOn w:val="Normal"/>
    <w:next w:val="Normal"/>
    <w:autoRedefine/>
    <w:uiPriority w:val="39"/>
    <w:semiHidden/>
    <w:unhideWhenUsed/>
    <w:rsid w:val="000109E8"/>
    <w:pPr>
      <w:spacing w:after="0"/>
      <w:ind w:left="480"/>
    </w:pPr>
    <w:rPr>
      <w:sz w:val="20"/>
      <w:szCs w:val="20"/>
    </w:rPr>
  </w:style>
  <w:style w:type="paragraph" w:styleId="TOC4">
    <w:name w:val="toc 4"/>
    <w:basedOn w:val="Normal"/>
    <w:next w:val="Normal"/>
    <w:autoRedefine/>
    <w:uiPriority w:val="39"/>
    <w:semiHidden/>
    <w:unhideWhenUsed/>
    <w:rsid w:val="000109E8"/>
    <w:pPr>
      <w:spacing w:after="0"/>
      <w:ind w:left="720"/>
    </w:pPr>
    <w:rPr>
      <w:sz w:val="20"/>
      <w:szCs w:val="20"/>
    </w:rPr>
  </w:style>
  <w:style w:type="paragraph" w:styleId="TOC5">
    <w:name w:val="toc 5"/>
    <w:basedOn w:val="Normal"/>
    <w:next w:val="Normal"/>
    <w:autoRedefine/>
    <w:uiPriority w:val="39"/>
    <w:semiHidden/>
    <w:unhideWhenUsed/>
    <w:rsid w:val="000109E8"/>
    <w:pPr>
      <w:spacing w:after="0"/>
      <w:ind w:left="960"/>
    </w:pPr>
    <w:rPr>
      <w:sz w:val="20"/>
      <w:szCs w:val="20"/>
    </w:rPr>
  </w:style>
  <w:style w:type="paragraph" w:styleId="TOC6">
    <w:name w:val="toc 6"/>
    <w:basedOn w:val="Normal"/>
    <w:next w:val="Normal"/>
    <w:autoRedefine/>
    <w:uiPriority w:val="39"/>
    <w:semiHidden/>
    <w:unhideWhenUsed/>
    <w:rsid w:val="000109E8"/>
    <w:pPr>
      <w:spacing w:after="0"/>
      <w:ind w:left="1200"/>
    </w:pPr>
    <w:rPr>
      <w:sz w:val="20"/>
      <w:szCs w:val="20"/>
    </w:rPr>
  </w:style>
  <w:style w:type="paragraph" w:styleId="TOC7">
    <w:name w:val="toc 7"/>
    <w:basedOn w:val="Normal"/>
    <w:next w:val="Normal"/>
    <w:autoRedefine/>
    <w:uiPriority w:val="39"/>
    <w:semiHidden/>
    <w:unhideWhenUsed/>
    <w:rsid w:val="000109E8"/>
    <w:pPr>
      <w:spacing w:after="0"/>
      <w:ind w:left="1440"/>
    </w:pPr>
    <w:rPr>
      <w:sz w:val="20"/>
      <w:szCs w:val="20"/>
    </w:rPr>
  </w:style>
  <w:style w:type="paragraph" w:styleId="TOC8">
    <w:name w:val="toc 8"/>
    <w:basedOn w:val="Normal"/>
    <w:next w:val="Normal"/>
    <w:autoRedefine/>
    <w:uiPriority w:val="39"/>
    <w:semiHidden/>
    <w:unhideWhenUsed/>
    <w:rsid w:val="000109E8"/>
    <w:pPr>
      <w:spacing w:after="0"/>
      <w:ind w:left="1680"/>
    </w:pPr>
    <w:rPr>
      <w:sz w:val="20"/>
      <w:szCs w:val="20"/>
    </w:rPr>
  </w:style>
  <w:style w:type="paragraph" w:styleId="TOC9">
    <w:name w:val="toc 9"/>
    <w:basedOn w:val="Normal"/>
    <w:next w:val="Normal"/>
    <w:autoRedefine/>
    <w:uiPriority w:val="39"/>
    <w:semiHidden/>
    <w:unhideWhenUsed/>
    <w:rsid w:val="000109E8"/>
    <w:pPr>
      <w:spacing w:after="0"/>
      <w:ind w:left="1920"/>
    </w:pPr>
    <w:rPr>
      <w:sz w:val="20"/>
      <w:szCs w:val="20"/>
    </w:rPr>
  </w:style>
  <w:style w:type="paragraph" w:styleId="NoSpacing">
    <w:name w:val="No Spacing"/>
    <w:uiPriority w:val="1"/>
    <w:qFormat/>
    <w:rsid w:val="006A6374"/>
    <w:pPr>
      <w:spacing w:after="0" w:line="240" w:lineRule="auto"/>
    </w:pPr>
  </w:style>
  <w:style w:type="paragraph" w:styleId="Header">
    <w:name w:val="header"/>
    <w:basedOn w:val="Normal"/>
    <w:link w:val="HeaderChar"/>
    <w:uiPriority w:val="99"/>
    <w:unhideWhenUsed/>
    <w:rsid w:val="00220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189"/>
  </w:style>
  <w:style w:type="character" w:styleId="Hyperlink">
    <w:name w:val="Hyperlink"/>
    <w:basedOn w:val="DefaultParagraphFont"/>
    <w:uiPriority w:val="99"/>
    <w:unhideWhenUsed/>
    <w:rsid w:val="00CD5E10"/>
    <w:rPr>
      <w:color w:val="467886" w:themeColor="hyperlink"/>
      <w:u w:val="single"/>
    </w:rPr>
  </w:style>
  <w:style w:type="character" w:styleId="FollowedHyperlink">
    <w:name w:val="FollowedHyperlink"/>
    <w:basedOn w:val="DefaultParagraphFont"/>
    <w:uiPriority w:val="99"/>
    <w:semiHidden/>
    <w:unhideWhenUsed/>
    <w:rsid w:val="00C441F8"/>
    <w:rPr>
      <w:color w:val="96607D" w:themeColor="followedHyperlink"/>
      <w:u w:val="single"/>
    </w:rPr>
  </w:style>
  <w:style w:type="character" w:styleId="Emphasis">
    <w:name w:val="Emphasis"/>
    <w:basedOn w:val="DefaultParagraphFont"/>
    <w:uiPriority w:val="20"/>
    <w:qFormat/>
    <w:rsid w:val="007A118C"/>
    <w:rPr>
      <w:i/>
      <w:iCs/>
    </w:rPr>
  </w:style>
  <w:style w:type="character" w:styleId="UnresolvedMention">
    <w:name w:val="Unresolved Mention"/>
    <w:basedOn w:val="DefaultParagraphFont"/>
    <w:uiPriority w:val="99"/>
    <w:semiHidden/>
    <w:unhideWhenUsed/>
    <w:rsid w:val="003A3B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nlinelibrary.wiley.com/doi/10.1002/wps.20611"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schres.2019.04.02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publications/i/item/978924007726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cg178?utm_source=chatgpt.com" TargetMode="External"/><Relationship Id="rId5" Type="http://schemas.openxmlformats.org/officeDocument/2006/relationships/webSettings" Target="webSettings.xml"/><Relationship Id="rId15" Type="http://schemas.openxmlformats.org/officeDocument/2006/relationships/hyperlink" Target="https://icd.who.int/browse11/l-m/en" TargetMode="External"/><Relationship Id="rId10" Type="http://schemas.openxmlformats.org/officeDocument/2006/relationships/hyperlink" Target="https://www.nice.org.uk/guidance/ng18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s11229-025-04979-8" TargetMode="External"/><Relationship Id="rId14" Type="http://schemas.openxmlformats.org/officeDocument/2006/relationships/hyperlink" Target="https://www.cochranelibrary.com/cdsr/doi/10.1002/14651858.CD009785.pub2/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3F6BCB-02D8-E24C-86EF-D21DC3007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2456</Words>
  <Characters>17192</Characters>
  <Application>Microsoft Office Word</Application>
  <DocSecurity>0</DocSecurity>
  <Lines>264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Stephanie Owusu (2316785)</cp:lastModifiedBy>
  <cp:revision>3</cp:revision>
  <dcterms:created xsi:type="dcterms:W3CDTF">2025-12-17T21:46:00Z</dcterms:created>
  <dcterms:modified xsi:type="dcterms:W3CDTF">2025-12-17T21:50:00Z</dcterms:modified>
</cp:coreProperties>
</file>