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2FD66" w14:textId="77777777" w:rsidR="00B171A3" w:rsidRDefault="00B171A3" w:rsidP="00B171A3">
      <w:r>
        <w:rPr>
          <w:noProof/>
          <w14:ligatures w14:val="standardContextual"/>
        </w:rPr>
        <w:drawing>
          <wp:inline distT="0" distB="0" distL="0" distR="0" wp14:anchorId="2E2D3AD0" wp14:editId="180F4C9C">
            <wp:extent cx="2171700" cy="85725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71700" cy="857250"/>
                    </a:xfrm>
                    <a:prstGeom prst="rect">
                      <a:avLst/>
                    </a:prstGeom>
                    <a:noFill/>
                    <a:ln>
                      <a:noFill/>
                    </a:ln>
                  </pic:spPr>
                </pic:pic>
              </a:graphicData>
            </a:graphic>
          </wp:inline>
        </w:drawing>
      </w:r>
    </w:p>
    <w:p w14:paraId="1F301A5B" w14:textId="77777777" w:rsidR="00B171A3" w:rsidRDefault="00B171A3" w:rsidP="00B171A3"/>
    <w:p w14:paraId="136FE8E8" w14:textId="77777777" w:rsidR="00B171A3" w:rsidRDefault="00B171A3" w:rsidP="00B171A3"/>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03"/>
        <w:gridCol w:w="2993"/>
        <w:gridCol w:w="2061"/>
        <w:gridCol w:w="2059"/>
      </w:tblGrid>
      <w:tr w:rsidR="00B171A3" w:rsidRPr="00A732EF" w14:paraId="35CC366C" w14:textId="77777777" w:rsidTr="009C38C8">
        <w:tc>
          <w:tcPr>
            <w:tcW w:w="1055" w:type="pct"/>
            <w:tcBorders>
              <w:top w:val="single" w:sz="4" w:space="0" w:color="auto"/>
              <w:left w:val="single" w:sz="4" w:space="0" w:color="auto"/>
              <w:bottom w:val="single" w:sz="4" w:space="0" w:color="auto"/>
              <w:right w:val="single" w:sz="4" w:space="0" w:color="auto"/>
            </w:tcBorders>
            <w:shd w:val="pct15" w:color="auto" w:fill="auto"/>
            <w:hideMark/>
          </w:tcPr>
          <w:p w14:paraId="4746C993" w14:textId="77777777" w:rsidR="00B171A3" w:rsidRPr="00A732EF" w:rsidRDefault="00B171A3" w:rsidP="009C38C8">
            <w:pPr>
              <w:rPr>
                <w:rFonts w:ascii="Arial" w:hAnsi="Arial" w:cs="Arial"/>
                <w:b/>
              </w:rPr>
            </w:pPr>
            <w:r w:rsidRPr="00A732EF">
              <w:rPr>
                <w:rFonts w:ascii="Arial" w:hAnsi="Arial" w:cs="Arial"/>
                <w:b/>
              </w:rPr>
              <w:t>Student name:</w:t>
            </w:r>
          </w:p>
        </w:tc>
        <w:tc>
          <w:tcPr>
            <w:tcW w:w="1660" w:type="pct"/>
            <w:tcBorders>
              <w:top w:val="single" w:sz="4" w:space="0" w:color="auto"/>
              <w:left w:val="single" w:sz="4" w:space="0" w:color="auto"/>
              <w:bottom w:val="single" w:sz="4" w:space="0" w:color="auto"/>
              <w:right w:val="single" w:sz="4" w:space="0" w:color="auto"/>
            </w:tcBorders>
            <w:hideMark/>
          </w:tcPr>
          <w:p w14:paraId="01AFD636" w14:textId="4AB57A07" w:rsidR="00B171A3" w:rsidRPr="00A732EF" w:rsidRDefault="00B171A3" w:rsidP="009C38C8">
            <w:pPr>
              <w:rPr>
                <w:rFonts w:ascii="Arial" w:hAnsi="Arial" w:cs="Arial"/>
                <w:b/>
              </w:rPr>
            </w:pPr>
            <w:r w:rsidRPr="00B171A3">
              <w:rPr>
                <w:rFonts w:ascii="Arial" w:hAnsi="Arial" w:cs="Arial"/>
                <w:b/>
              </w:rPr>
              <w:t>EYASHIN MIAH</w:t>
            </w:r>
          </w:p>
        </w:tc>
        <w:tc>
          <w:tcPr>
            <w:tcW w:w="1143" w:type="pct"/>
            <w:tcBorders>
              <w:top w:val="single" w:sz="4" w:space="0" w:color="auto"/>
              <w:left w:val="single" w:sz="4" w:space="0" w:color="auto"/>
              <w:bottom w:val="single" w:sz="4" w:space="0" w:color="auto"/>
              <w:right w:val="single" w:sz="4" w:space="0" w:color="auto"/>
            </w:tcBorders>
            <w:shd w:val="clear" w:color="auto" w:fill="D9D9D9"/>
            <w:hideMark/>
          </w:tcPr>
          <w:p w14:paraId="51B985DF" w14:textId="77777777" w:rsidR="00B171A3" w:rsidRPr="00A732EF" w:rsidRDefault="00B171A3" w:rsidP="009C38C8">
            <w:pPr>
              <w:rPr>
                <w:rFonts w:ascii="Arial" w:hAnsi="Arial" w:cs="Arial"/>
                <w:b/>
              </w:rPr>
            </w:pPr>
            <w:r w:rsidRPr="00A732EF">
              <w:rPr>
                <w:rFonts w:ascii="Arial" w:hAnsi="Arial" w:cs="Arial"/>
                <w:b/>
              </w:rPr>
              <w:t>Student ID number:</w:t>
            </w:r>
          </w:p>
        </w:tc>
        <w:tc>
          <w:tcPr>
            <w:tcW w:w="1143" w:type="pct"/>
            <w:tcBorders>
              <w:top w:val="single" w:sz="4" w:space="0" w:color="auto"/>
              <w:left w:val="single" w:sz="4" w:space="0" w:color="auto"/>
              <w:bottom w:val="single" w:sz="4" w:space="0" w:color="auto"/>
              <w:right w:val="single" w:sz="4" w:space="0" w:color="auto"/>
            </w:tcBorders>
          </w:tcPr>
          <w:p w14:paraId="555194F4" w14:textId="2BF3D5BA" w:rsidR="00B171A3" w:rsidRPr="00A732EF" w:rsidRDefault="00B171A3" w:rsidP="009C38C8">
            <w:pPr>
              <w:rPr>
                <w:rFonts w:ascii="Arial" w:hAnsi="Arial" w:cs="Arial"/>
                <w:b/>
              </w:rPr>
            </w:pPr>
            <w:r w:rsidRPr="00B171A3">
              <w:rPr>
                <w:rFonts w:ascii="Arial" w:hAnsi="Arial" w:cs="Arial"/>
                <w:b/>
              </w:rPr>
              <w:t>2420408</w:t>
            </w:r>
          </w:p>
        </w:tc>
      </w:tr>
      <w:tr w:rsidR="00B171A3" w:rsidRPr="00A732EF" w14:paraId="58747192" w14:textId="77777777" w:rsidTr="009C38C8">
        <w:tc>
          <w:tcPr>
            <w:tcW w:w="1055" w:type="pct"/>
            <w:tcBorders>
              <w:top w:val="single" w:sz="4" w:space="0" w:color="auto"/>
              <w:left w:val="single" w:sz="4" w:space="0" w:color="auto"/>
              <w:bottom w:val="single" w:sz="4" w:space="0" w:color="auto"/>
              <w:right w:val="single" w:sz="4" w:space="0" w:color="auto"/>
            </w:tcBorders>
            <w:shd w:val="pct15" w:color="auto" w:fill="auto"/>
            <w:hideMark/>
          </w:tcPr>
          <w:p w14:paraId="7650A8A5" w14:textId="77777777" w:rsidR="00B171A3" w:rsidRPr="00A732EF" w:rsidRDefault="00B171A3" w:rsidP="009C38C8">
            <w:pPr>
              <w:rPr>
                <w:rFonts w:ascii="Arial" w:hAnsi="Arial" w:cs="Arial"/>
                <w:b/>
              </w:rPr>
            </w:pPr>
            <w:r w:rsidRPr="00A732EF">
              <w:rPr>
                <w:rFonts w:ascii="Arial" w:hAnsi="Arial" w:cs="Arial"/>
                <w:b/>
              </w:rPr>
              <w:t>Programme:</w:t>
            </w:r>
          </w:p>
        </w:tc>
        <w:tc>
          <w:tcPr>
            <w:tcW w:w="3945" w:type="pct"/>
            <w:gridSpan w:val="3"/>
            <w:tcBorders>
              <w:top w:val="single" w:sz="4" w:space="0" w:color="auto"/>
              <w:left w:val="single" w:sz="4" w:space="0" w:color="auto"/>
              <w:bottom w:val="single" w:sz="4" w:space="0" w:color="auto"/>
              <w:right w:val="single" w:sz="4" w:space="0" w:color="auto"/>
            </w:tcBorders>
            <w:hideMark/>
          </w:tcPr>
          <w:p w14:paraId="0F62B2DD" w14:textId="77777777" w:rsidR="00B171A3" w:rsidRPr="00A732EF" w:rsidRDefault="00B171A3" w:rsidP="009C38C8">
            <w:pPr>
              <w:rPr>
                <w:rFonts w:ascii="Arial" w:hAnsi="Arial" w:cs="Arial"/>
                <w:b/>
              </w:rPr>
            </w:pPr>
            <w:r w:rsidRPr="00A732EF">
              <w:rPr>
                <w:rFonts w:ascii="Arial" w:hAnsi="Arial" w:cs="Arial"/>
              </w:rPr>
              <w:t>MBA</w:t>
            </w:r>
          </w:p>
        </w:tc>
      </w:tr>
      <w:tr w:rsidR="00B171A3" w:rsidRPr="00A732EF" w14:paraId="765262D4" w14:textId="77777777" w:rsidTr="009C38C8">
        <w:tc>
          <w:tcPr>
            <w:tcW w:w="1055" w:type="pct"/>
            <w:tcBorders>
              <w:top w:val="single" w:sz="4" w:space="0" w:color="auto"/>
              <w:left w:val="single" w:sz="4" w:space="0" w:color="auto"/>
              <w:bottom w:val="single" w:sz="4" w:space="0" w:color="auto"/>
              <w:right w:val="single" w:sz="4" w:space="0" w:color="auto"/>
            </w:tcBorders>
            <w:shd w:val="pct15" w:color="auto" w:fill="auto"/>
            <w:hideMark/>
          </w:tcPr>
          <w:p w14:paraId="0635CB1B" w14:textId="77777777" w:rsidR="00B171A3" w:rsidRPr="00A732EF" w:rsidRDefault="00B171A3" w:rsidP="009C38C8">
            <w:pPr>
              <w:rPr>
                <w:rFonts w:ascii="Arial" w:hAnsi="Arial" w:cs="Arial"/>
                <w:b/>
              </w:rPr>
            </w:pPr>
            <w:r w:rsidRPr="00A732EF">
              <w:rPr>
                <w:rFonts w:ascii="Arial" w:hAnsi="Arial" w:cs="Arial"/>
                <w:b/>
              </w:rPr>
              <w:t>Module:</w:t>
            </w:r>
          </w:p>
        </w:tc>
        <w:tc>
          <w:tcPr>
            <w:tcW w:w="3945" w:type="pct"/>
            <w:gridSpan w:val="3"/>
            <w:tcBorders>
              <w:top w:val="single" w:sz="4" w:space="0" w:color="auto"/>
              <w:left w:val="single" w:sz="4" w:space="0" w:color="auto"/>
              <w:bottom w:val="single" w:sz="4" w:space="0" w:color="auto"/>
              <w:right w:val="single" w:sz="4" w:space="0" w:color="auto"/>
            </w:tcBorders>
            <w:hideMark/>
          </w:tcPr>
          <w:p w14:paraId="58BD6ED9" w14:textId="77777777" w:rsidR="00B171A3" w:rsidRPr="00A732EF" w:rsidRDefault="00B171A3" w:rsidP="009C38C8">
            <w:pPr>
              <w:rPr>
                <w:rFonts w:ascii="Arial" w:hAnsi="Arial" w:cs="Arial"/>
                <w:b/>
              </w:rPr>
            </w:pPr>
            <w:r w:rsidRPr="00A732EF">
              <w:rPr>
                <w:rFonts w:ascii="Arial" w:hAnsi="Arial" w:cs="Arial"/>
              </w:rPr>
              <w:t>Finance for Business Managers</w:t>
            </w:r>
          </w:p>
        </w:tc>
      </w:tr>
      <w:tr w:rsidR="00B171A3" w:rsidRPr="00A732EF" w14:paraId="0D7C1D81" w14:textId="77777777" w:rsidTr="009C38C8">
        <w:tc>
          <w:tcPr>
            <w:tcW w:w="1055" w:type="pct"/>
            <w:tcBorders>
              <w:top w:val="single" w:sz="4" w:space="0" w:color="auto"/>
              <w:left w:val="single" w:sz="4" w:space="0" w:color="auto"/>
              <w:bottom w:val="single" w:sz="4" w:space="0" w:color="auto"/>
              <w:right w:val="single" w:sz="4" w:space="0" w:color="auto"/>
            </w:tcBorders>
            <w:shd w:val="pct15" w:color="auto" w:fill="auto"/>
            <w:hideMark/>
          </w:tcPr>
          <w:p w14:paraId="51A663B6" w14:textId="77777777" w:rsidR="00B171A3" w:rsidRPr="00A732EF" w:rsidRDefault="00B171A3" w:rsidP="009C38C8">
            <w:pPr>
              <w:rPr>
                <w:rFonts w:ascii="Arial" w:hAnsi="Arial" w:cs="Arial"/>
                <w:b/>
              </w:rPr>
            </w:pPr>
            <w:r w:rsidRPr="00A732EF">
              <w:rPr>
                <w:rFonts w:ascii="Arial" w:hAnsi="Arial" w:cs="Arial"/>
                <w:b/>
              </w:rPr>
              <w:t>Module code:</w:t>
            </w:r>
          </w:p>
        </w:tc>
        <w:tc>
          <w:tcPr>
            <w:tcW w:w="1660" w:type="pct"/>
            <w:tcBorders>
              <w:top w:val="single" w:sz="4" w:space="0" w:color="auto"/>
              <w:left w:val="single" w:sz="4" w:space="0" w:color="auto"/>
              <w:bottom w:val="single" w:sz="4" w:space="0" w:color="auto"/>
              <w:right w:val="single" w:sz="4" w:space="0" w:color="auto"/>
            </w:tcBorders>
            <w:hideMark/>
          </w:tcPr>
          <w:p w14:paraId="774C3154" w14:textId="77777777" w:rsidR="00B171A3" w:rsidRPr="00A732EF" w:rsidRDefault="00B171A3" w:rsidP="009C38C8">
            <w:pPr>
              <w:rPr>
                <w:rFonts w:ascii="Arial" w:hAnsi="Arial" w:cs="Arial"/>
                <w:b/>
              </w:rPr>
            </w:pPr>
            <w:r w:rsidRPr="00A732EF">
              <w:rPr>
                <w:rFonts w:ascii="Arial" w:hAnsi="Arial" w:cs="Arial"/>
                <w:bCs/>
              </w:rPr>
              <w:t>BMMB7005D</w:t>
            </w:r>
          </w:p>
        </w:tc>
        <w:tc>
          <w:tcPr>
            <w:tcW w:w="1143" w:type="pct"/>
            <w:tcBorders>
              <w:top w:val="single" w:sz="4" w:space="0" w:color="auto"/>
              <w:left w:val="single" w:sz="4" w:space="0" w:color="auto"/>
              <w:bottom w:val="single" w:sz="4" w:space="0" w:color="auto"/>
              <w:right w:val="single" w:sz="4" w:space="0" w:color="auto"/>
            </w:tcBorders>
            <w:shd w:val="clear" w:color="auto" w:fill="D9D9D9"/>
            <w:hideMark/>
          </w:tcPr>
          <w:p w14:paraId="410D5927" w14:textId="77777777" w:rsidR="00B171A3" w:rsidRPr="00A732EF" w:rsidRDefault="00B171A3" w:rsidP="009C38C8">
            <w:pPr>
              <w:rPr>
                <w:rFonts w:ascii="Arial" w:hAnsi="Arial" w:cs="Arial"/>
                <w:b/>
              </w:rPr>
            </w:pPr>
            <w:r w:rsidRPr="00A732EF">
              <w:rPr>
                <w:rFonts w:ascii="Arial" w:hAnsi="Arial" w:cs="Arial"/>
                <w:b/>
              </w:rPr>
              <w:t>Contribution to Overall Module Assessment (%):</w:t>
            </w:r>
          </w:p>
        </w:tc>
        <w:tc>
          <w:tcPr>
            <w:tcW w:w="1143" w:type="pct"/>
            <w:tcBorders>
              <w:top w:val="single" w:sz="4" w:space="0" w:color="auto"/>
              <w:left w:val="single" w:sz="4" w:space="0" w:color="auto"/>
              <w:bottom w:val="single" w:sz="4" w:space="0" w:color="auto"/>
              <w:right w:val="single" w:sz="4" w:space="0" w:color="auto"/>
            </w:tcBorders>
            <w:hideMark/>
          </w:tcPr>
          <w:p w14:paraId="38220DE7" w14:textId="77777777" w:rsidR="00B171A3" w:rsidRPr="00A732EF" w:rsidRDefault="00B171A3" w:rsidP="009C38C8">
            <w:pPr>
              <w:rPr>
                <w:rFonts w:ascii="Arial" w:hAnsi="Arial" w:cs="Arial"/>
                <w:b/>
              </w:rPr>
            </w:pPr>
            <w:r w:rsidRPr="00A732EF">
              <w:rPr>
                <w:rFonts w:ascii="Arial" w:hAnsi="Arial" w:cs="Arial"/>
              </w:rPr>
              <w:t>100%</w:t>
            </w:r>
          </w:p>
        </w:tc>
      </w:tr>
      <w:tr w:rsidR="00B171A3" w:rsidRPr="00A732EF" w14:paraId="445665A7" w14:textId="77777777" w:rsidTr="009C38C8">
        <w:tc>
          <w:tcPr>
            <w:tcW w:w="1055" w:type="pct"/>
            <w:tcBorders>
              <w:top w:val="single" w:sz="4" w:space="0" w:color="auto"/>
              <w:left w:val="single" w:sz="4" w:space="0" w:color="auto"/>
              <w:bottom w:val="single" w:sz="4" w:space="0" w:color="auto"/>
              <w:right w:val="single" w:sz="4" w:space="0" w:color="auto"/>
            </w:tcBorders>
            <w:shd w:val="pct15" w:color="auto" w:fill="auto"/>
            <w:hideMark/>
          </w:tcPr>
          <w:p w14:paraId="6D849562" w14:textId="77777777" w:rsidR="00B171A3" w:rsidRPr="00A732EF" w:rsidRDefault="00B171A3" w:rsidP="009C38C8">
            <w:pPr>
              <w:rPr>
                <w:rFonts w:ascii="Arial" w:hAnsi="Arial" w:cs="Arial"/>
                <w:b/>
              </w:rPr>
            </w:pPr>
            <w:r w:rsidRPr="00A732EF">
              <w:rPr>
                <w:rFonts w:ascii="Arial" w:hAnsi="Arial" w:cs="Arial"/>
                <w:b/>
              </w:rPr>
              <w:t>Lecturer:</w:t>
            </w:r>
          </w:p>
        </w:tc>
        <w:tc>
          <w:tcPr>
            <w:tcW w:w="1660" w:type="pct"/>
            <w:tcBorders>
              <w:top w:val="single" w:sz="4" w:space="0" w:color="auto"/>
              <w:left w:val="single" w:sz="4" w:space="0" w:color="auto"/>
              <w:bottom w:val="single" w:sz="4" w:space="0" w:color="auto"/>
              <w:right w:val="single" w:sz="4" w:space="0" w:color="auto"/>
            </w:tcBorders>
            <w:hideMark/>
          </w:tcPr>
          <w:p w14:paraId="1263C14C" w14:textId="77777777" w:rsidR="00B171A3" w:rsidRPr="00A732EF" w:rsidRDefault="00B171A3" w:rsidP="009C38C8">
            <w:pPr>
              <w:rPr>
                <w:rFonts w:ascii="Arial" w:hAnsi="Arial" w:cs="Arial"/>
                <w:b/>
              </w:rPr>
            </w:pPr>
            <w:r w:rsidRPr="00A732EF">
              <w:rPr>
                <w:rFonts w:ascii="Arial" w:hAnsi="Arial" w:cs="Arial"/>
              </w:rPr>
              <w:t>Marie Pitson</w:t>
            </w:r>
          </w:p>
        </w:tc>
        <w:tc>
          <w:tcPr>
            <w:tcW w:w="1143" w:type="pct"/>
            <w:tcBorders>
              <w:top w:val="single" w:sz="4" w:space="0" w:color="auto"/>
              <w:left w:val="single" w:sz="4" w:space="0" w:color="auto"/>
              <w:bottom w:val="single" w:sz="4" w:space="0" w:color="auto"/>
              <w:right w:val="single" w:sz="4" w:space="0" w:color="auto"/>
            </w:tcBorders>
            <w:shd w:val="clear" w:color="auto" w:fill="D9D9D9"/>
            <w:hideMark/>
          </w:tcPr>
          <w:p w14:paraId="17FB3B48" w14:textId="77777777" w:rsidR="00B171A3" w:rsidRPr="00A732EF" w:rsidRDefault="00B171A3" w:rsidP="009C38C8">
            <w:pPr>
              <w:rPr>
                <w:rFonts w:ascii="Arial" w:hAnsi="Arial" w:cs="Arial"/>
                <w:b/>
              </w:rPr>
            </w:pPr>
            <w:r w:rsidRPr="00A732EF">
              <w:rPr>
                <w:rFonts w:ascii="Arial" w:hAnsi="Arial" w:cs="Arial"/>
                <w:b/>
              </w:rPr>
              <w:t>Internal Verifier:</w:t>
            </w:r>
          </w:p>
        </w:tc>
        <w:tc>
          <w:tcPr>
            <w:tcW w:w="1143" w:type="pct"/>
            <w:tcBorders>
              <w:top w:val="single" w:sz="4" w:space="0" w:color="auto"/>
              <w:left w:val="single" w:sz="4" w:space="0" w:color="auto"/>
              <w:bottom w:val="single" w:sz="4" w:space="0" w:color="auto"/>
              <w:right w:val="single" w:sz="4" w:space="0" w:color="auto"/>
            </w:tcBorders>
            <w:hideMark/>
          </w:tcPr>
          <w:p w14:paraId="1C1DF540" w14:textId="77777777" w:rsidR="00B171A3" w:rsidRPr="00A732EF" w:rsidRDefault="00B171A3" w:rsidP="009C38C8">
            <w:pPr>
              <w:rPr>
                <w:rFonts w:ascii="Arial" w:hAnsi="Arial" w:cs="Arial"/>
                <w:b/>
              </w:rPr>
            </w:pPr>
            <w:r w:rsidRPr="00A732EF">
              <w:rPr>
                <w:rFonts w:ascii="Arial" w:hAnsi="Arial" w:cs="Arial"/>
              </w:rPr>
              <w:t>Badir Miftah</w:t>
            </w:r>
          </w:p>
        </w:tc>
      </w:tr>
      <w:tr w:rsidR="00B171A3" w:rsidRPr="00A732EF" w14:paraId="0D7F15D5" w14:textId="77777777" w:rsidTr="009C38C8">
        <w:tc>
          <w:tcPr>
            <w:tcW w:w="1055" w:type="pct"/>
            <w:tcBorders>
              <w:top w:val="single" w:sz="4" w:space="0" w:color="auto"/>
              <w:left w:val="single" w:sz="4" w:space="0" w:color="auto"/>
              <w:bottom w:val="single" w:sz="4" w:space="0" w:color="auto"/>
              <w:right w:val="single" w:sz="4" w:space="0" w:color="auto"/>
            </w:tcBorders>
            <w:shd w:val="pct15" w:color="auto" w:fill="auto"/>
            <w:hideMark/>
          </w:tcPr>
          <w:p w14:paraId="4186837F" w14:textId="77777777" w:rsidR="00B171A3" w:rsidRPr="00A732EF" w:rsidRDefault="00B171A3" w:rsidP="009C38C8">
            <w:pPr>
              <w:rPr>
                <w:rFonts w:ascii="Arial" w:hAnsi="Arial" w:cs="Arial"/>
                <w:b/>
              </w:rPr>
            </w:pPr>
            <w:r w:rsidRPr="00A732EF">
              <w:rPr>
                <w:rFonts w:ascii="Arial" w:hAnsi="Arial" w:cs="Arial"/>
                <w:b/>
              </w:rPr>
              <w:t>Assignment Title:</w:t>
            </w:r>
          </w:p>
        </w:tc>
        <w:tc>
          <w:tcPr>
            <w:tcW w:w="1660" w:type="pct"/>
            <w:tcBorders>
              <w:top w:val="single" w:sz="4" w:space="0" w:color="auto"/>
              <w:left w:val="single" w:sz="4" w:space="0" w:color="auto"/>
              <w:bottom w:val="single" w:sz="4" w:space="0" w:color="auto"/>
              <w:right w:val="single" w:sz="4" w:space="0" w:color="auto"/>
            </w:tcBorders>
            <w:hideMark/>
          </w:tcPr>
          <w:p w14:paraId="17991F43" w14:textId="76A4DC0D" w:rsidR="00B171A3" w:rsidRPr="00B171A3" w:rsidRDefault="00B171A3" w:rsidP="009C38C8">
            <w:pPr>
              <w:rPr>
                <w:rFonts w:ascii="Arial" w:hAnsi="Arial" w:cs="Arial"/>
              </w:rPr>
            </w:pPr>
            <w:r w:rsidRPr="00B171A3">
              <w:rPr>
                <w:rFonts w:ascii="Arial" w:hAnsi="Arial" w:cs="Arial"/>
              </w:rPr>
              <w:t>Part 1: Endeavor Mining PLC</w:t>
            </w:r>
          </w:p>
          <w:p w14:paraId="606F7215" w14:textId="1B61AD6C" w:rsidR="00B171A3" w:rsidRPr="00A732EF" w:rsidRDefault="00B171A3" w:rsidP="009C38C8">
            <w:pPr>
              <w:rPr>
                <w:rFonts w:ascii="Arial" w:hAnsi="Arial" w:cs="Arial"/>
              </w:rPr>
            </w:pPr>
            <w:r w:rsidRPr="00B171A3">
              <w:rPr>
                <w:rFonts w:ascii="Arial" w:hAnsi="Arial" w:cs="Arial"/>
              </w:rPr>
              <w:t xml:space="preserve">Part 2: </w:t>
            </w:r>
            <w:r w:rsidRPr="00A732EF">
              <w:rPr>
                <w:rFonts w:ascii="Arial" w:hAnsi="Arial" w:cs="Arial"/>
              </w:rPr>
              <w:t>Jordons P</w:t>
            </w:r>
            <w:r w:rsidRPr="00B171A3">
              <w:rPr>
                <w:rFonts w:ascii="Arial" w:hAnsi="Arial" w:cs="Arial"/>
              </w:rPr>
              <w:t>LC</w:t>
            </w:r>
          </w:p>
        </w:tc>
        <w:tc>
          <w:tcPr>
            <w:tcW w:w="1143" w:type="pct"/>
            <w:tcBorders>
              <w:top w:val="single" w:sz="4" w:space="0" w:color="auto"/>
              <w:left w:val="single" w:sz="4" w:space="0" w:color="auto"/>
              <w:bottom w:val="single" w:sz="4" w:space="0" w:color="auto"/>
              <w:right w:val="single" w:sz="4" w:space="0" w:color="auto"/>
            </w:tcBorders>
            <w:shd w:val="pct15" w:color="auto" w:fill="auto"/>
            <w:hideMark/>
          </w:tcPr>
          <w:p w14:paraId="2E786C64" w14:textId="77777777" w:rsidR="00B171A3" w:rsidRPr="00A732EF" w:rsidRDefault="00B171A3" w:rsidP="009C38C8">
            <w:pPr>
              <w:rPr>
                <w:rFonts w:ascii="Arial" w:hAnsi="Arial" w:cs="Arial"/>
                <w:b/>
              </w:rPr>
            </w:pPr>
            <w:r w:rsidRPr="00A732EF">
              <w:rPr>
                <w:rFonts w:ascii="Arial" w:hAnsi="Arial" w:cs="Arial"/>
                <w:b/>
              </w:rPr>
              <w:t>Word count (or equivalent):</w:t>
            </w:r>
          </w:p>
        </w:tc>
        <w:tc>
          <w:tcPr>
            <w:tcW w:w="1143" w:type="pct"/>
            <w:tcBorders>
              <w:top w:val="single" w:sz="4" w:space="0" w:color="auto"/>
              <w:left w:val="single" w:sz="4" w:space="0" w:color="auto"/>
              <w:bottom w:val="single" w:sz="4" w:space="0" w:color="auto"/>
              <w:right w:val="single" w:sz="4" w:space="0" w:color="auto"/>
            </w:tcBorders>
            <w:hideMark/>
          </w:tcPr>
          <w:p w14:paraId="5CE30D38" w14:textId="77777777" w:rsidR="00B171A3" w:rsidRPr="00A732EF" w:rsidRDefault="00B171A3" w:rsidP="009C38C8">
            <w:pPr>
              <w:rPr>
                <w:rFonts w:ascii="Arial" w:hAnsi="Arial" w:cs="Arial"/>
                <w:b/>
              </w:rPr>
            </w:pPr>
            <w:r w:rsidRPr="00A732EF">
              <w:rPr>
                <w:rFonts w:ascii="Arial" w:hAnsi="Arial" w:cs="Arial"/>
              </w:rPr>
              <w:t>5000 words</w:t>
            </w:r>
          </w:p>
        </w:tc>
      </w:tr>
      <w:tr w:rsidR="00B171A3" w:rsidRPr="00A732EF" w14:paraId="35C03440" w14:textId="77777777" w:rsidTr="009C38C8">
        <w:tc>
          <w:tcPr>
            <w:tcW w:w="1055" w:type="pct"/>
            <w:tcBorders>
              <w:top w:val="single" w:sz="4" w:space="0" w:color="auto"/>
              <w:left w:val="single" w:sz="4" w:space="0" w:color="auto"/>
              <w:bottom w:val="single" w:sz="4" w:space="0" w:color="auto"/>
              <w:right w:val="single" w:sz="4" w:space="0" w:color="auto"/>
            </w:tcBorders>
            <w:shd w:val="pct15" w:color="auto" w:fill="auto"/>
            <w:hideMark/>
          </w:tcPr>
          <w:p w14:paraId="5F7542DA" w14:textId="77777777" w:rsidR="00B171A3" w:rsidRPr="00A732EF" w:rsidRDefault="00B171A3" w:rsidP="009C38C8">
            <w:pPr>
              <w:rPr>
                <w:rFonts w:ascii="Arial" w:hAnsi="Arial" w:cs="Arial"/>
                <w:b/>
              </w:rPr>
            </w:pPr>
            <w:r w:rsidRPr="00A732EF">
              <w:rPr>
                <w:rFonts w:ascii="Arial" w:hAnsi="Arial" w:cs="Arial"/>
                <w:b/>
              </w:rPr>
              <w:t>Submission deadline:</w:t>
            </w:r>
          </w:p>
        </w:tc>
        <w:tc>
          <w:tcPr>
            <w:tcW w:w="1660" w:type="pct"/>
            <w:tcBorders>
              <w:top w:val="single" w:sz="4" w:space="0" w:color="auto"/>
              <w:left w:val="single" w:sz="4" w:space="0" w:color="auto"/>
              <w:bottom w:val="single" w:sz="4" w:space="0" w:color="auto"/>
              <w:right w:val="single" w:sz="4" w:space="0" w:color="auto"/>
            </w:tcBorders>
            <w:hideMark/>
          </w:tcPr>
          <w:p w14:paraId="3092810F" w14:textId="7F2F4A7A" w:rsidR="00B171A3" w:rsidRPr="00A732EF" w:rsidRDefault="00B171A3" w:rsidP="009C38C8">
            <w:pPr>
              <w:rPr>
                <w:rFonts w:ascii="Arial" w:hAnsi="Arial" w:cs="Arial"/>
              </w:rPr>
            </w:pPr>
            <w:r w:rsidRPr="00B171A3">
              <w:rPr>
                <w:rFonts w:ascii="Arial" w:hAnsi="Arial" w:cs="Arial"/>
              </w:rPr>
              <w:t>2</w:t>
            </w:r>
            <w:r w:rsidRPr="00A732EF">
              <w:rPr>
                <w:rFonts w:ascii="Arial" w:hAnsi="Arial" w:cs="Arial"/>
              </w:rPr>
              <w:t>1</w:t>
            </w:r>
            <w:r w:rsidRPr="00A732EF">
              <w:rPr>
                <w:rFonts w:ascii="Arial" w:hAnsi="Arial" w:cs="Arial"/>
                <w:vertAlign w:val="superscript"/>
              </w:rPr>
              <w:t>th</w:t>
            </w:r>
            <w:r w:rsidRPr="00A732EF">
              <w:rPr>
                <w:rFonts w:ascii="Arial" w:hAnsi="Arial" w:cs="Arial"/>
              </w:rPr>
              <w:t xml:space="preserve"> July 2025</w:t>
            </w:r>
          </w:p>
        </w:tc>
        <w:tc>
          <w:tcPr>
            <w:tcW w:w="1143" w:type="pct"/>
            <w:tcBorders>
              <w:top w:val="single" w:sz="4" w:space="0" w:color="auto"/>
              <w:left w:val="single" w:sz="4" w:space="0" w:color="auto"/>
              <w:bottom w:val="single" w:sz="4" w:space="0" w:color="auto"/>
              <w:right w:val="single" w:sz="4" w:space="0" w:color="auto"/>
            </w:tcBorders>
            <w:shd w:val="pct15" w:color="auto" w:fill="auto"/>
            <w:hideMark/>
          </w:tcPr>
          <w:p w14:paraId="7F6DEA72" w14:textId="77777777" w:rsidR="00B171A3" w:rsidRPr="00A732EF" w:rsidRDefault="00B171A3" w:rsidP="009C38C8">
            <w:pPr>
              <w:rPr>
                <w:rFonts w:ascii="Arial" w:hAnsi="Arial" w:cs="Arial"/>
                <w:b/>
              </w:rPr>
            </w:pPr>
            <w:r w:rsidRPr="00A732EF">
              <w:rPr>
                <w:rFonts w:ascii="Arial" w:hAnsi="Arial" w:cs="Arial"/>
                <w:b/>
              </w:rPr>
              <w:t>Return date of provisional marks &amp; written feedback:</w:t>
            </w:r>
          </w:p>
        </w:tc>
        <w:tc>
          <w:tcPr>
            <w:tcW w:w="1143" w:type="pct"/>
            <w:tcBorders>
              <w:top w:val="single" w:sz="4" w:space="0" w:color="auto"/>
              <w:left w:val="single" w:sz="4" w:space="0" w:color="auto"/>
              <w:bottom w:val="single" w:sz="4" w:space="0" w:color="auto"/>
              <w:right w:val="single" w:sz="4" w:space="0" w:color="auto"/>
            </w:tcBorders>
            <w:hideMark/>
          </w:tcPr>
          <w:p w14:paraId="36C81AFD" w14:textId="77777777" w:rsidR="00B171A3" w:rsidRPr="00A732EF" w:rsidRDefault="00B171A3" w:rsidP="009C38C8">
            <w:pPr>
              <w:rPr>
                <w:rFonts w:ascii="Arial" w:hAnsi="Arial" w:cs="Arial"/>
              </w:rPr>
            </w:pPr>
            <w:r w:rsidRPr="00A732EF">
              <w:rPr>
                <w:rFonts w:ascii="Arial" w:hAnsi="Arial" w:cs="Arial"/>
              </w:rPr>
              <w:t>14</w:t>
            </w:r>
            <w:r w:rsidRPr="00A732EF">
              <w:rPr>
                <w:rFonts w:ascii="Arial" w:hAnsi="Arial" w:cs="Arial"/>
                <w:vertAlign w:val="superscript"/>
              </w:rPr>
              <w:t>th</w:t>
            </w:r>
            <w:r w:rsidRPr="00A732EF">
              <w:rPr>
                <w:rFonts w:ascii="Arial" w:hAnsi="Arial" w:cs="Arial"/>
              </w:rPr>
              <w:t xml:space="preserve"> August 2025</w:t>
            </w:r>
          </w:p>
        </w:tc>
      </w:tr>
    </w:tbl>
    <w:p w14:paraId="29A15B03" w14:textId="77777777" w:rsidR="00B171A3" w:rsidRPr="00223EB1" w:rsidRDefault="00B171A3" w:rsidP="00B171A3"/>
    <w:p w14:paraId="3CD71A33" w14:textId="1F24306D" w:rsidR="004678EA" w:rsidRPr="00FE591A" w:rsidRDefault="004678EA" w:rsidP="00B171A3">
      <w:pPr>
        <w:spacing w:line="259" w:lineRule="auto"/>
        <w:rPr>
          <w:rFonts w:ascii="Arial" w:hAnsi="Arial" w:cs="Arial"/>
          <w:b/>
          <w:bCs/>
          <w:color w:val="000000" w:themeColor="text1"/>
          <w:sz w:val="32"/>
          <w:szCs w:val="28"/>
        </w:rPr>
      </w:pPr>
      <w:r w:rsidRPr="00FE591A">
        <w:rPr>
          <w:rFonts w:ascii="Arial" w:hAnsi="Arial" w:cs="Arial"/>
          <w:b/>
          <w:bCs/>
          <w:color w:val="000000" w:themeColor="text1"/>
          <w:sz w:val="32"/>
          <w:szCs w:val="28"/>
        </w:rPr>
        <w:br w:type="page"/>
      </w:r>
    </w:p>
    <w:sdt>
      <w:sdtPr>
        <w:rPr>
          <w:rFonts w:ascii="Arial" w:eastAsiaTheme="minorHAnsi" w:hAnsi="Arial" w:cs="Arial"/>
          <w:color w:val="000000" w:themeColor="text1"/>
          <w:sz w:val="24"/>
          <w:szCs w:val="22"/>
          <w:lang w:val="en-GB"/>
        </w:rPr>
        <w:id w:val="969857401"/>
        <w:docPartObj>
          <w:docPartGallery w:val="Table of Contents"/>
          <w:docPartUnique/>
        </w:docPartObj>
      </w:sdtPr>
      <w:sdtEndPr>
        <w:rPr>
          <w:b/>
          <w:bCs/>
          <w:noProof/>
        </w:rPr>
      </w:sdtEndPr>
      <w:sdtContent>
        <w:p w14:paraId="7F57FFFF" w14:textId="05F2007A" w:rsidR="00E6019A" w:rsidRPr="00FE591A" w:rsidRDefault="00E6019A" w:rsidP="00E6019A">
          <w:pPr>
            <w:pStyle w:val="TOCHeading"/>
            <w:spacing w:line="360" w:lineRule="auto"/>
            <w:jc w:val="center"/>
            <w:rPr>
              <w:rFonts w:ascii="Arial" w:hAnsi="Arial" w:cs="Arial"/>
              <w:b/>
              <w:bCs/>
              <w:color w:val="000000" w:themeColor="text1"/>
            </w:rPr>
          </w:pPr>
          <w:r w:rsidRPr="00FE591A">
            <w:rPr>
              <w:rFonts w:ascii="Arial" w:hAnsi="Arial" w:cs="Arial"/>
              <w:b/>
              <w:bCs/>
              <w:color w:val="000000" w:themeColor="text1"/>
            </w:rPr>
            <w:t>Contents</w:t>
          </w:r>
        </w:p>
        <w:p w14:paraId="7FA76739" w14:textId="018A8D86" w:rsidR="00FE496F" w:rsidRDefault="00E6019A">
          <w:pPr>
            <w:pStyle w:val="TOC1"/>
            <w:tabs>
              <w:tab w:val="right" w:leader="dot" w:pos="9016"/>
            </w:tabs>
            <w:rPr>
              <w:rFonts w:asciiTheme="minorHAnsi" w:eastAsiaTheme="minorEastAsia" w:hAnsiTheme="minorHAnsi"/>
              <w:noProof/>
              <w:kern w:val="2"/>
              <w:szCs w:val="30"/>
              <w:lang w:val="en-IN" w:eastAsia="en-IN" w:bidi="bn-BD"/>
              <w14:ligatures w14:val="standardContextual"/>
            </w:rPr>
          </w:pPr>
          <w:r w:rsidRPr="00FE591A">
            <w:rPr>
              <w:rFonts w:ascii="Arial" w:hAnsi="Arial" w:cs="Arial"/>
              <w:color w:val="000000" w:themeColor="text1"/>
            </w:rPr>
            <w:fldChar w:fldCharType="begin"/>
          </w:r>
          <w:r w:rsidRPr="00FE591A">
            <w:rPr>
              <w:rFonts w:ascii="Arial" w:hAnsi="Arial" w:cs="Arial"/>
              <w:color w:val="000000" w:themeColor="text1"/>
            </w:rPr>
            <w:instrText xml:space="preserve"> TOC \o "1-3" \h \z \u </w:instrText>
          </w:r>
          <w:r w:rsidRPr="00FE591A">
            <w:rPr>
              <w:rFonts w:ascii="Arial" w:hAnsi="Arial" w:cs="Arial"/>
              <w:color w:val="000000" w:themeColor="text1"/>
            </w:rPr>
            <w:fldChar w:fldCharType="separate"/>
          </w:r>
          <w:hyperlink w:anchor="_Toc203898036" w:history="1">
            <w:r w:rsidR="00FE496F" w:rsidRPr="009772E0">
              <w:rPr>
                <w:rStyle w:val="Hyperlink"/>
                <w:rFonts w:ascii="Arial" w:hAnsi="Arial" w:cs="Arial"/>
                <w:noProof/>
              </w:rPr>
              <w:t>Part 01</w:t>
            </w:r>
            <w:r w:rsidR="00FE496F">
              <w:rPr>
                <w:noProof/>
                <w:webHidden/>
              </w:rPr>
              <w:tab/>
            </w:r>
            <w:r w:rsidR="00FE496F">
              <w:rPr>
                <w:noProof/>
                <w:webHidden/>
              </w:rPr>
              <w:fldChar w:fldCharType="begin"/>
            </w:r>
            <w:r w:rsidR="00FE496F">
              <w:rPr>
                <w:noProof/>
                <w:webHidden/>
              </w:rPr>
              <w:instrText xml:space="preserve"> PAGEREF _Toc203898036 \h </w:instrText>
            </w:r>
            <w:r w:rsidR="00FE496F">
              <w:rPr>
                <w:noProof/>
                <w:webHidden/>
              </w:rPr>
            </w:r>
            <w:r w:rsidR="00FE496F">
              <w:rPr>
                <w:noProof/>
                <w:webHidden/>
              </w:rPr>
              <w:fldChar w:fldCharType="separate"/>
            </w:r>
            <w:r w:rsidR="00E6444B">
              <w:rPr>
                <w:noProof/>
                <w:webHidden/>
              </w:rPr>
              <w:t>3</w:t>
            </w:r>
            <w:r w:rsidR="00FE496F">
              <w:rPr>
                <w:noProof/>
                <w:webHidden/>
              </w:rPr>
              <w:fldChar w:fldCharType="end"/>
            </w:r>
          </w:hyperlink>
        </w:p>
        <w:p w14:paraId="542FF3CF" w14:textId="6EF47486" w:rsidR="00FE496F" w:rsidRDefault="00FE496F">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37" w:history="1">
            <w:r w:rsidRPr="009772E0">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_Toc203898037 \h </w:instrText>
            </w:r>
            <w:r>
              <w:rPr>
                <w:noProof/>
                <w:webHidden/>
              </w:rPr>
            </w:r>
            <w:r>
              <w:rPr>
                <w:noProof/>
                <w:webHidden/>
              </w:rPr>
              <w:fldChar w:fldCharType="separate"/>
            </w:r>
            <w:r w:rsidR="00E6444B">
              <w:rPr>
                <w:noProof/>
                <w:webHidden/>
              </w:rPr>
              <w:t>4</w:t>
            </w:r>
            <w:r>
              <w:rPr>
                <w:noProof/>
                <w:webHidden/>
              </w:rPr>
              <w:fldChar w:fldCharType="end"/>
            </w:r>
          </w:hyperlink>
        </w:p>
        <w:p w14:paraId="4EA94103" w14:textId="225F4B9D" w:rsidR="00FE496F" w:rsidRDefault="00FE496F">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38" w:history="1">
            <w:r w:rsidRPr="009772E0">
              <w:rPr>
                <w:rStyle w:val="Hyperlink"/>
                <w:rFonts w:ascii="Arial" w:hAnsi="Arial" w:cs="Arial"/>
                <w:noProof/>
              </w:rPr>
              <w:t>Calculations of Financial Ratios for Endeavour Mining PLC.</w:t>
            </w:r>
            <w:r>
              <w:rPr>
                <w:noProof/>
                <w:webHidden/>
              </w:rPr>
              <w:tab/>
            </w:r>
            <w:r>
              <w:rPr>
                <w:noProof/>
                <w:webHidden/>
              </w:rPr>
              <w:fldChar w:fldCharType="begin"/>
            </w:r>
            <w:r>
              <w:rPr>
                <w:noProof/>
                <w:webHidden/>
              </w:rPr>
              <w:instrText xml:space="preserve"> PAGEREF _Toc203898038 \h </w:instrText>
            </w:r>
            <w:r>
              <w:rPr>
                <w:noProof/>
                <w:webHidden/>
              </w:rPr>
            </w:r>
            <w:r>
              <w:rPr>
                <w:noProof/>
                <w:webHidden/>
              </w:rPr>
              <w:fldChar w:fldCharType="separate"/>
            </w:r>
            <w:r w:rsidR="00E6444B">
              <w:rPr>
                <w:noProof/>
                <w:webHidden/>
              </w:rPr>
              <w:t>5</w:t>
            </w:r>
            <w:r>
              <w:rPr>
                <w:noProof/>
                <w:webHidden/>
              </w:rPr>
              <w:fldChar w:fldCharType="end"/>
            </w:r>
          </w:hyperlink>
        </w:p>
        <w:p w14:paraId="4E2FF0BF" w14:textId="0FD51EEC" w:rsidR="00FE496F" w:rsidRDefault="00FE496F">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39" w:history="1">
            <w:r w:rsidRPr="009772E0">
              <w:rPr>
                <w:rStyle w:val="Hyperlink"/>
                <w:rFonts w:ascii="Arial" w:hAnsi="Arial" w:cs="Arial"/>
                <w:noProof/>
              </w:rPr>
              <w:t>Limitations of Ratio Analysis</w:t>
            </w:r>
            <w:r>
              <w:rPr>
                <w:noProof/>
                <w:webHidden/>
              </w:rPr>
              <w:tab/>
            </w:r>
            <w:r>
              <w:rPr>
                <w:noProof/>
                <w:webHidden/>
              </w:rPr>
              <w:fldChar w:fldCharType="begin"/>
            </w:r>
            <w:r>
              <w:rPr>
                <w:noProof/>
                <w:webHidden/>
              </w:rPr>
              <w:instrText xml:space="preserve"> PAGEREF _Toc203898039 \h </w:instrText>
            </w:r>
            <w:r>
              <w:rPr>
                <w:noProof/>
                <w:webHidden/>
              </w:rPr>
            </w:r>
            <w:r>
              <w:rPr>
                <w:noProof/>
                <w:webHidden/>
              </w:rPr>
              <w:fldChar w:fldCharType="separate"/>
            </w:r>
            <w:r w:rsidR="00E6444B">
              <w:rPr>
                <w:noProof/>
                <w:webHidden/>
              </w:rPr>
              <w:t>11</w:t>
            </w:r>
            <w:r>
              <w:rPr>
                <w:noProof/>
                <w:webHidden/>
              </w:rPr>
              <w:fldChar w:fldCharType="end"/>
            </w:r>
          </w:hyperlink>
        </w:p>
        <w:p w14:paraId="2033B55E" w14:textId="183ABFB2" w:rsidR="00FE496F" w:rsidRDefault="00FE496F">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40" w:history="1">
            <w:r w:rsidRPr="009772E0">
              <w:rPr>
                <w:rStyle w:val="Hyperlink"/>
                <w:rFonts w:ascii="Arial" w:hAnsi="Arial" w:cs="Arial"/>
                <w:noProof/>
                <w:lang w:val="en-IN"/>
              </w:rPr>
              <w:t>Ways to Strengthen Finances</w:t>
            </w:r>
            <w:r>
              <w:rPr>
                <w:noProof/>
                <w:webHidden/>
              </w:rPr>
              <w:tab/>
            </w:r>
            <w:r>
              <w:rPr>
                <w:noProof/>
                <w:webHidden/>
              </w:rPr>
              <w:fldChar w:fldCharType="begin"/>
            </w:r>
            <w:r>
              <w:rPr>
                <w:noProof/>
                <w:webHidden/>
              </w:rPr>
              <w:instrText xml:space="preserve"> PAGEREF _Toc203898040 \h </w:instrText>
            </w:r>
            <w:r>
              <w:rPr>
                <w:noProof/>
                <w:webHidden/>
              </w:rPr>
            </w:r>
            <w:r>
              <w:rPr>
                <w:noProof/>
                <w:webHidden/>
              </w:rPr>
              <w:fldChar w:fldCharType="separate"/>
            </w:r>
            <w:r w:rsidR="00E6444B">
              <w:rPr>
                <w:noProof/>
                <w:webHidden/>
              </w:rPr>
              <w:t>12</w:t>
            </w:r>
            <w:r>
              <w:rPr>
                <w:noProof/>
                <w:webHidden/>
              </w:rPr>
              <w:fldChar w:fldCharType="end"/>
            </w:r>
          </w:hyperlink>
        </w:p>
        <w:p w14:paraId="7AC192CA" w14:textId="3335D8B0" w:rsidR="00FE496F" w:rsidRDefault="00FE496F">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41" w:history="1">
            <w:r w:rsidRPr="009772E0">
              <w:rPr>
                <w:rStyle w:val="Hyperlink"/>
                <w:rFonts w:ascii="Arial" w:hAnsi="Arial" w:cs="Arial"/>
                <w:noProof/>
              </w:rPr>
              <w:t>Part 02</w:t>
            </w:r>
            <w:r>
              <w:rPr>
                <w:noProof/>
                <w:webHidden/>
              </w:rPr>
              <w:tab/>
            </w:r>
            <w:r>
              <w:rPr>
                <w:noProof/>
                <w:webHidden/>
              </w:rPr>
              <w:fldChar w:fldCharType="begin"/>
            </w:r>
            <w:r>
              <w:rPr>
                <w:noProof/>
                <w:webHidden/>
              </w:rPr>
              <w:instrText xml:space="preserve"> PAGEREF _Toc203898041 \h </w:instrText>
            </w:r>
            <w:r>
              <w:rPr>
                <w:noProof/>
                <w:webHidden/>
              </w:rPr>
            </w:r>
            <w:r>
              <w:rPr>
                <w:noProof/>
                <w:webHidden/>
              </w:rPr>
              <w:fldChar w:fldCharType="separate"/>
            </w:r>
            <w:r w:rsidR="00E6444B">
              <w:rPr>
                <w:noProof/>
                <w:webHidden/>
              </w:rPr>
              <w:t>15</w:t>
            </w:r>
            <w:r>
              <w:rPr>
                <w:noProof/>
                <w:webHidden/>
              </w:rPr>
              <w:fldChar w:fldCharType="end"/>
            </w:r>
          </w:hyperlink>
        </w:p>
        <w:p w14:paraId="6F293FB3" w14:textId="1FFAE049" w:rsidR="00FE496F" w:rsidRDefault="00FE496F">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42" w:history="1">
            <w:r w:rsidRPr="009772E0">
              <w:rPr>
                <w:rStyle w:val="Hyperlink"/>
                <w:rFonts w:ascii="Arial" w:hAnsi="Arial" w:cs="Arial"/>
                <w:noProof/>
              </w:rPr>
              <w:t>Investment Appraisal for Jordons Plc</w:t>
            </w:r>
            <w:r>
              <w:rPr>
                <w:noProof/>
                <w:webHidden/>
              </w:rPr>
              <w:tab/>
            </w:r>
            <w:r>
              <w:rPr>
                <w:noProof/>
                <w:webHidden/>
              </w:rPr>
              <w:fldChar w:fldCharType="begin"/>
            </w:r>
            <w:r>
              <w:rPr>
                <w:noProof/>
                <w:webHidden/>
              </w:rPr>
              <w:instrText xml:space="preserve"> PAGEREF _Toc203898042 \h </w:instrText>
            </w:r>
            <w:r>
              <w:rPr>
                <w:noProof/>
                <w:webHidden/>
              </w:rPr>
            </w:r>
            <w:r>
              <w:rPr>
                <w:noProof/>
                <w:webHidden/>
              </w:rPr>
              <w:fldChar w:fldCharType="separate"/>
            </w:r>
            <w:r w:rsidR="00E6444B">
              <w:rPr>
                <w:noProof/>
                <w:webHidden/>
              </w:rPr>
              <w:t>16</w:t>
            </w:r>
            <w:r>
              <w:rPr>
                <w:noProof/>
                <w:webHidden/>
              </w:rPr>
              <w:fldChar w:fldCharType="end"/>
            </w:r>
          </w:hyperlink>
        </w:p>
        <w:p w14:paraId="1C7D9AA9" w14:textId="413FEA92" w:rsidR="00FE496F" w:rsidRDefault="00FE496F">
          <w:pPr>
            <w:pStyle w:val="TOC2"/>
            <w:tabs>
              <w:tab w:val="left" w:pos="960"/>
              <w:tab w:val="right" w:leader="dot" w:pos="9016"/>
            </w:tabs>
            <w:rPr>
              <w:rFonts w:asciiTheme="minorHAnsi" w:eastAsiaTheme="minorEastAsia" w:hAnsiTheme="minorHAnsi"/>
              <w:noProof/>
              <w:kern w:val="2"/>
              <w:szCs w:val="30"/>
              <w:lang w:val="en-IN" w:eastAsia="en-IN" w:bidi="bn-BD"/>
              <w14:ligatures w14:val="standardContextual"/>
            </w:rPr>
          </w:pPr>
          <w:hyperlink w:anchor="_Toc203898043" w:history="1">
            <w:r w:rsidRPr="009772E0">
              <w:rPr>
                <w:rStyle w:val="Hyperlink"/>
                <w:rFonts w:ascii="Arial" w:hAnsi="Arial" w:cs="Arial"/>
                <w:noProof/>
              </w:rPr>
              <w:t>(A)</w:t>
            </w:r>
            <w:r>
              <w:rPr>
                <w:rFonts w:asciiTheme="minorHAnsi" w:eastAsiaTheme="minorEastAsia" w:hAnsiTheme="minorHAnsi"/>
                <w:noProof/>
                <w:kern w:val="2"/>
                <w:szCs w:val="30"/>
                <w:lang w:val="en-IN" w:eastAsia="en-IN" w:bidi="bn-BD"/>
                <w14:ligatures w14:val="standardContextual"/>
              </w:rPr>
              <w:tab/>
            </w:r>
            <w:r w:rsidRPr="009772E0">
              <w:rPr>
                <w:rStyle w:val="Hyperlink"/>
                <w:rFonts w:ascii="Arial" w:hAnsi="Arial" w:cs="Arial"/>
                <w:noProof/>
              </w:rPr>
              <w:t>Investment Appraisal and Recommendation</w:t>
            </w:r>
            <w:r>
              <w:rPr>
                <w:noProof/>
                <w:webHidden/>
              </w:rPr>
              <w:tab/>
            </w:r>
            <w:r>
              <w:rPr>
                <w:noProof/>
                <w:webHidden/>
              </w:rPr>
              <w:fldChar w:fldCharType="begin"/>
            </w:r>
            <w:r>
              <w:rPr>
                <w:noProof/>
                <w:webHidden/>
              </w:rPr>
              <w:instrText xml:space="preserve"> PAGEREF _Toc203898043 \h </w:instrText>
            </w:r>
            <w:r>
              <w:rPr>
                <w:noProof/>
                <w:webHidden/>
              </w:rPr>
            </w:r>
            <w:r>
              <w:rPr>
                <w:noProof/>
                <w:webHidden/>
              </w:rPr>
              <w:fldChar w:fldCharType="separate"/>
            </w:r>
            <w:r w:rsidR="00E6444B">
              <w:rPr>
                <w:noProof/>
                <w:webHidden/>
              </w:rPr>
              <w:t>16</w:t>
            </w:r>
            <w:r>
              <w:rPr>
                <w:noProof/>
                <w:webHidden/>
              </w:rPr>
              <w:fldChar w:fldCharType="end"/>
            </w:r>
          </w:hyperlink>
        </w:p>
        <w:p w14:paraId="19A2F6C6" w14:textId="2798F252" w:rsidR="00FE496F" w:rsidRDefault="00FE496F">
          <w:pPr>
            <w:pStyle w:val="TOC2"/>
            <w:tabs>
              <w:tab w:val="left" w:pos="960"/>
              <w:tab w:val="right" w:leader="dot" w:pos="9016"/>
            </w:tabs>
            <w:rPr>
              <w:rFonts w:asciiTheme="minorHAnsi" w:eastAsiaTheme="minorEastAsia" w:hAnsiTheme="minorHAnsi"/>
              <w:noProof/>
              <w:kern w:val="2"/>
              <w:szCs w:val="30"/>
              <w:lang w:val="en-IN" w:eastAsia="en-IN" w:bidi="bn-BD"/>
              <w14:ligatures w14:val="standardContextual"/>
            </w:rPr>
          </w:pPr>
          <w:hyperlink w:anchor="_Toc203898044" w:history="1">
            <w:r w:rsidRPr="009772E0">
              <w:rPr>
                <w:rStyle w:val="Hyperlink"/>
                <w:rFonts w:ascii="Arial" w:hAnsi="Arial" w:cs="Arial"/>
                <w:noProof/>
              </w:rPr>
              <w:t>(C)</w:t>
            </w:r>
            <w:r>
              <w:rPr>
                <w:rFonts w:asciiTheme="minorHAnsi" w:eastAsiaTheme="minorEastAsia" w:hAnsiTheme="minorHAnsi"/>
                <w:noProof/>
                <w:kern w:val="2"/>
                <w:szCs w:val="30"/>
                <w:lang w:val="en-IN" w:eastAsia="en-IN" w:bidi="bn-BD"/>
                <w14:ligatures w14:val="standardContextual"/>
              </w:rPr>
              <w:tab/>
            </w:r>
            <w:r w:rsidRPr="009772E0">
              <w:rPr>
                <w:rStyle w:val="Hyperlink"/>
                <w:rFonts w:ascii="Arial" w:hAnsi="Arial" w:cs="Arial"/>
                <w:bCs/>
                <w:noProof/>
              </w:rPr>
              <w:t>Calculation of Approximate</w:t>
            </w:r>
            <w:r w:rsidRPr="009772E0">
              <w:rPr>
                <w:rStyle w:val="Hyperlink"/>
                <w:rFonts w:ascii="Arial" w:hAnsi="Arial" w:cs="Arial"/>
                <w:noProof/>
              </w:rPr>
              <w:t xml:space="preserve"> </w:t>
            </w:r>
            <w:r w:rsidRPr="009772E0">
              <w:rPr>
                <w:rStyle w:val="Hyperlink"/>
                <w:rFonts w:ascii="Arial" w:hAnsi="Arial" w:cs="Arial"/>
                <w:bCs/>
                <w:noProof/>
              </w:rPr>
              <w:t>IRR for Option B (Internet Sales)</w:t>
            </w:r>
            <w:r>
              <w:rPr>
                <w:noProof/>
                <w:webHidden/>
              </w:rPr>
              <w:tab/>
            </w:r>
            <w:r>
              <w:rPr>
                <w:noProof/>
                <w:webHidden/>
              </w:rPr>
              <w:fldChar w:fldCharType="begin"/>
            </w:r>
            <w:r>
              <w:rPr>
                <w:noProof/>
                <w:webHidden/>
              </w:rPr>
              <w:instrText xml:space="preserve"> PAGEREF _Toc203898044 \h </w:instrText>
            </w:r>
            <w:r>
              <w:rPr>
                <w:noProof/>
                <w:webHidden/>
              </w:rPr>
            </w:r>
            <w:r>
              <w:rPr>
                <w:noProof/>
                <w:webHidden/>
              </w:rPr>
              <w:fldChar w:fldCharType="separate"/>
            </w:r>
            <w:r w:rsidR="00E6444B">
              <w:rPr>
                <w:noProof/>
                <w:webHidden/>
              </w:rPr>
              <w:t>21</w:t>
            </w:r>
            <w:r>
              <w:rPr>
                <w:noProof/>
                <w:webHidden/>
              </w:rPr>
              <w:fldChar w:fldCharType="end"/>
            </w:r>
          </w:hyperlink>
        </w:p>
        <w:p w14:paraId="1BE1D84F" w14:textId="3F969CB4" w:rsidR="00FE496F" w:rsidRDefault="00FE496F">
          <w:pPr>
            <w:pStyle w:val="TOC2"/>
            <w:tabs>
              <w:tab w:val="left" w:pos="960"/>
              <w:tab w:val="right" w:leader="dot" w:pos="9016"/>
            </w:tabs>
            <w:rPr>
              <w:rFonts w:asciiTheme="minorHAnsi" w:eastAsiaTheme="minorEastAsia" w:hAnsiTheme="minorHAnsi"/>
              <w:noProof/>
              <w:kern w:val="2"/>
              <w:szCs w:val="30"/>
              <w:lang w:val="en-IN" w:eastAsia="en-IN" w:bidi="bn-BD"/>
              <w14:ligatures w14:val="standardContextual"/>
            </w:rPr>
          </w:pPr>
          <w:hyperlink w:anchor="_Toc203898045" w:history="1">
            <w:r w:rsidRPr="009772E0">
              <w:rPr>
                <w:rStyle w:val="Hyperlink"/>
                <w:rFonts w:ascii="Arial" w:hAnsi="Arial" w:cs="Arial"/>
                <w:bCs/>
                <w:noProof/>
              </w:rPr>
              <w:t>(D)</w:t>
            </w:r>
            <w:r>
              <w:rPr>
                <w:rFonts w:asciiTheme="minorHAnsi" w:eastAsiaTheme="minorEastAsia" w:hAnsiTheme="minorHAnsi"/>
                <w:noProof/>
                <w:kern w:val="2"/>
                <w:szCs w:val="30"/>
                <w:lang w:val="en-IN" w:eastAsia="en-IN" w:bidi="bn-BD"/>
                <w14:ligatures w14:val="standardContextual"/>
              </w:rPr>
              <w:tab/>
            </w:r>
            <w:r w:rsidRPr="009772E0">
              <w:rPr>
                <w:rStyle w:val="Hyperlink"/>
                <w:rFonts w:ascii="Arial" w:hAnsi="Arial" w:cs="Arial"/>
                <w:bCs/>
                <w:noProof/>
              </w:rPr>
              <w:t>Key Message for Management</w:t>
            </w:r>
            <w:r>
              <w:rPr>
                <w:noProof/>
                <w:webHidden/>
              </w:rPr>
              <w:tab/>
            </w:r>
            <w:r>
              <w:rPr>
                <w:noProof/>
                <w:webHidden/>
              </w:rPr>
              <w:fldChar w:fldCharType="begin"/>
            </w:r>
            <w:r>
              <w:rPr>
                <w:noProof/>
                <w:webHidden/>
              </w:rPr>
              <w:instrText xml:space="preserve"> PAGEREF _Toc203898045 \h </w:instrText>
            </w:r>
            <w:r>
              <w:rPr>
                <w:noProof/>
                <w:webHidden/>
              </w:rPr>
            </w:r>
            <w:r>
              <w:rPr>
                <w:noProof/>
                <w:webHidden/>
              </w:rPr>
              <w:fldChar w:fldCharType="separate"/>
            </w:r>
            <w:r w:rsidR="00E6444B">
              <w:rPr>
                <w:noProof/>
                <w:webHidden/>
              </w:rPr>
              <w:t>22</w:t>
            </w:r>
            <w:r>
              <w:rPr>
                <w:noProof/>
                <w:webHidden/>
              </w:rPr>
              <w:fldChar w:fldCharType="end"/>
            </w:r>
          </w:hyperlink>
        </w:p>
        <w:p w14:paraId="42340206" w14:textId="5D60B023" w:rsidR="00FE496F" w:rsidRDefault="00FE496F">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46" w:history="1">
            <w:r w:rsidRPr="009772E0">
              <w:rPr>
                <w:rStyle w:val="Hyperlink"/>
                <w:rFonts w:ascii="Arial" w:hAnsi="Arial" w:cs="Arial"/>
                <w:noProof/>
              </w:rPr>
              <w:t>Financing Advice for the Board of Jordons Plc</w:t>
            </w:r>
            <w:r>
              <w:rPr>
                <w:noProof/>
                <w:webHidden/>
              </w:rPr>
              <w:tab/>
            </w:r>
            <w:r>
              <w:rPr>
                <w:noProof/>
                <w:webHidden/>
              </w:rPr>
              <w:fldChar w:fldCharType="begin"/>
            </w:r>
            <w:r>
              <w:rPr>
                <w:noProof/>
                <w:webHidden/>
              </w:rPr>
              <w:instrText xml:space="preserve"> PAGEREF _Toc203898046 \h </w:instrText>
            </w:r>
            <w:r>
              <w:rPr>
                <w:noProof/>
                <w:webHidden/>
              </w:rPr>
            </w:r>
            <w:r>
              <w:rPr>
                <w:noProof/>
                <w:webHidden/>
              </w:rPr>
              <w:fldChar w:fldCharType="separate"/>
            </w:r>
            <w:r w:rsidR="00E6444B">
              <w:rPr>
                <w:noProof/>
                <w:webHidden/>
              </w:rPr>
              <w:t>26</w:t>
            </w:r>
            <w:r>
              <w:rPr>
                <w:noProof/>
                <w:webHidden/>
              </w:rPr>
              <w:fldChar w:fldCharType="end"/>
            </w:r>
          </w:hyperlink>
        </w:p>
        <w:p w14:paraId="603E8A47" w14:textId="2884CF2B" w:rsidR="00FE496F" w:rsidRDefault="00FE496F">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47" w:history="1">
            <w:r w:rsidRPr="009772E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_Toc203898047 \h </w:instrText>
            </w:r>
            <w:r>
              <w:rPr>
                <w:noProof/>
                <w:webHidden/>
              </w:rPr>
            </w:r>
            <w:r>
              <w:rPr>
                <w:noProof/>
                <w:webHidden/>
              </w:rPr>
              <w:fldChar w:fldCharType="separate"/>
            </w:r>
            <w:r w:rsidR="00E6444B">
              <w:rPr>
                <w:noProof/>
                <w:webHidden/>
              </w:rPr>
              <w:t>30</w:t>
            </w:r>
            <w:r>
              <w:rPr>
                <w:noProof/>
                <w:webHidden/>
              </w:rPr>
              <w:fldChar w:fldCharType="end"/>
            </w:r>
          </w:hyperlink>
        </w:p>
        <w:p w14:paraId="5A4BA76C" w14:textId="6E4A3272" w:rsidR="00FE496F" w:rsidRDefault="00FE496F">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48" w:history="1">
            <w:r w:rsidRPr="009772E0">
              <w:rPr>
                <w:rStyle w:val="Hyperlink"/>
                <w:rFonts w:ascii="Arial" w:hAnsi="Arial" w:cs="Arial"/>
                <w:noProof/>
              </w:rPr>
              <w:t>Appendices</w:t>
            </w:r>
            <w:r>
              <w:rPr>
                <w:noProof/>
                <w:webHidden/>
              </w:rPr>
              <w:tab/>
            </w:r>
            <w:r>
              <w:rPr>
                <w:noProof/>
                <w:webHidden/>
              </w:rPr>
              <w:fldChar w:fldCharType="begin"/>
            </w:r>
            <w:r>
              <w:rPr>
                <w:noProof/>
                <w:webHidden/>
              </w:rPr>
              <w:instrText xml:space="preserve"> PAGEREF _Toc203898048 \h </w:instrText>
            </w:r>
            <w:r>
              <w:rPr>
                <w:noProof/>
                <w:webHidden/>
              </w:rPr>
            </w:r>
            <w:r>
              <w:rPr>
                <w:noProof/>
                <w:webHidden/>
              </w:rPr>
              <w:fldChar w:fldCharType="separate"/>
            </w:r>
            <w:r w:rsidR="00E6444B">
              <w:rPr>
                <w:noProof/>
                <w:webHidden/>
              </w:rPr>
              <w:t>31</w:t>
            </w:r>
            <w:r>
              <w:rPr>
                <w:noProof/>
                <w:webHidden/>
              </w:rPr>
              <w:fldChar w:fldCharType="end"/>
            </w:r>
          </w:hyperlink>
        </w:p>
        <w:p w14:paraId="2362CE13" w14:textId="246F568F" w:rsidR="00FE496F" w:rsidRDefault="00FE496F">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49" w:history="1">
            <w:r w:rsidRPr="009772E0">
              <w:rPr>
                <w:rStyle w:val="Hyperlink"/>
                <w:rFonts w:ascii="Arial" w:hAnsi="Arial" w:cs="Arial"/>
                <w:noProof/>
              </w:rPr>
              <w:t>Financial Statement</w:t>
            </w:r>
            <w:r>
              <w:rPr>
                <w:noProof/>
                <w:webHidden/>
              </w:rPr>
              <w:tab/>
            </w:r>
            <w:r>
              <w:rPr>
                <w:noProof/>
                <w:webHidden/>
              </w:rPr>
              <w:fldChar w:fldCharType="begin"/>
            </w:r>
            <w:r>
              <w:rPr>
                <w:noProof/>
                <w:webHidden/>
              </w:rPr>
              <w:instrText xml:space="preserve"> PAGEREF _Toc203898049 \h </w:instrText>
            </w:r>
            <w:r>
              <w:rPr>
                <w:noProof/>
                <w:webHidden/>
              </w:rPr>
            </w:r>
            <w:r>
              <w:rPr>
                <w:noProof/>
                <w:webHidden/>
              </w:rPr>
              <w:fldChar w:fldCharType="separate"/>
            </w:r>
            <w:r w:rsidR="00E6444B">
              <w:rPr>
                <w:noProof/>
                <w:webHidden/>
              </w:rPr>
              <w:t>31</w:t>
            </w:r>
            <w:r>
              <w:rPr>
                <w:noProof/>
                <w:webHidden/>
              </w:rPr>
              <w:fldChar w:fldCharType="end"/>
            </w:r>
          </w:hyperlink>
        </w:p>
        <w:p w14:paraId="208881B3" w14:textId="262B5384" w:rsidR="00FE496F" w:rsidRDefault="00FE496F">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3898050" w:history="1">
            <w:r w:rsidRPr="009772E0">
              <w:rPr>
                <w:rStyle w:val="Hyperlink"/>
                <w:rFonts w:ascii="Arial" w:hAnsi="Arial" w:cs="Arial"/>
                <w:noProof/>
              </w:rPr>
              <w:t>Required Calculations</w:t>
            </w:r>
            <w:r>
              <w:rPr>
                <w:noProof/>
                <w:webHidden/>
              </w:rPr>
              <w:tab/>
            </w:r>
            <w:r>
              <w:rPr>
                <w:noProof/>
                <w:webHidden/>
              </w:rPr>
              <w:fldChar w:fldCharType="begin"/>
            </w:r>
            <w:r>
              <w:rPr>
                <w:noProof/>
                <w:webHidden/>
              </w:rPr>
              <w:instrText xml:space="preserve"> PAGEREF _Toc203898050 \h </w:instrText>
            </w:r>
            <w:r>
              <w:rPr>
                <w:noProof/>
                <w:webHidden/>
              </w:rPr>
            </w:r>
            <w:r>
              <w:rPr>
                <w:noProof/>
                <w:webHidden/>
              </w:rPr>
              <w:fldChar w:fldCharType="separate"/>
            </w:r>
            <w:r w:rsidR="00E6444B">
              <w:rPr>
                <w:noProof/>
                <w:webHidden/>
              </w:rPr>
              <w:t>32</w:t>
            </w:r>
            <w:r>
              <w:rPr>
                <w:noProof/>
                <w:webHidden/>
              </w:rPr>
              <w:fldChar w:fldCharType="end"/>
            </w:r>
          </w:hyperlink>
        </w:p>
        <w:p w14:paraId="6E04E2C1" w14:textId="2FE47EDA" w:rsidR="00E6019A" w:rsidRPr="00FE591A" w:rsidRDefault="00E6019A" w:rsidP="00E6019A">
          <w:pPr>
            <w:rPr>
              <w:rFonts w:ascii="Arial" w:hAnsi="Arial" w:cs="Arial"/>
              <w:color w:val="000000" w:themeColor="text1"/>
            </w:rPr>
          </w:pPr>
          <w:r w:rsidRPr="00FE591A">
            <w:rPr>
              <w:rFonts w:ascii="Arial" w:hAnsi="Arial" w:cs="Arial"/>
              <w:b/>
              <w:bCs/>
              <w:noProof/>
              <w:color w:val="000000" w:themeColor="text1"/>
            </w:rPr>
            <w:fldChar w:fldCharType="end"/>
          </w:r>
        </w:p>
      </w:sdtContent>
    </w:sdt>
    <w:p w14:paraId="29E2EB4F" w14:textId="77777777" w:rsidR="003362DB" w:rsidRPr="00FE591A" w:rsidRDefault="003362DB">
      <w:pPr>
        <w:spacing w:line="259" w:lineRule="auto"/>
        <w:jc w:val="left"/>
        <w:rPr>
          <w:rFonts w:ascii="Arial" w:hAnsi="Arial" w:cs="Arial"/>
          <w:b/>
          <w:bCs/>
          <w:color w:val="000000" w:themeColor="text1"/>
          <w:sz w:val="32"/>
          <w:szCs w:val="28"/>
        </w:rPr>
      </w:pPr>
      <w:r w:rsidRPr="00FE591A">
        <w:rPr>
          <w:rFonts w:ascii="Arial" w:hAnsi="Arial" w:cs="Arial"/>
          <w:b/>
          <w:bCs/>
          <w:color w:val="000000" w:themeColor="text1"/>
          <w:sz w:val="32"/>
          <w:szCs w:val="28"/>
        </w:rPr>
        <w:br w:type="page"/>
      </w:r>
    </w:p>
    <w:p w14:paraId="7B1DED24" w14:textId="77777777" w:rsidR="00032CC9" w:rsidRPr="00FE591A" w:rsidRDefault="00032CC9" w:rsidP="00032CC9">
      <w:pPr>
        <w:pStyle w:val="Heading1"/>
        <w:jc w:val="center"/>
        <w:rPr>
          <w:rFonts w:cs="Arial"/>
          <w:color w:val="000000" w:themeColor="text1"/>
          <w:sz w:val="200"/>
          <w:szCs w:val="220"/>
        </w:rPr>
      </w:pPr>
    </w:p>
    <w:p w14:paraId="5FB2BB17" w14:textId="461F85A0" w:rsidR="003362DB" w:rsidRPr="00FE591A" w:rsidRDefault="003362DB" w:rsidP="00032CC9">
      <w:pPr>
        <w:pStyle w:val="Heading1"/>
        <w:jc w:val="center"/>
        <w:rPr>
          <w:rFonts w:cs="Arial"/>
          <w:color w:val="000000" w:themeColor="text1"/>
          <w:sz w:val="200"/>
          <w:szCs w:val="220"/>
        </w:rPr>
      </w:pPr>
      <w:bookmarkStart w:id="0" w:name="_Toc203898036"/>
      <w:r w:rsidRPr="00FE591A">
        <w:rPr>
          <w:rFonts w:cs="Arial"/>
          <w:color w:val="000000" w:themeColor="text1"/>
          <w:sz w:val="200"/>
          <w:szCs w:val="220"/>
        </w:rPr>
        <w:t>Part 01</w:t>
      </w:r>
      <w:bookmarkEnd w:id="0"/>
    </w:p>
    <w:p w14:paraId="7464891B" w14:textId="77777777" w:rsidR="00032CC9" w:rsidRPr="00FE591A" w:rsidRDefault="00032CC9">
      <w:pPr>
        <w:spacing w:line="259" w:lineRule="auto"/>
        <w:jc w:val="left"/>
        <w:rPr>
          <w:rFonts w:ascii="Arial" w:eastAsiaTheme="majorEastAsia" w:hAnsi="Arial" w:cs="Arial"/>
          <w:b/>
          <w:color w:val="000000" w:themeColor="text1"/>
          <w:sz w:val="26"/>
          <w:szCs w:val="32"/>
        </w:rPr>
      </w:pPr>
      <w:r w:rsidRPr="00FE591A">
        <w:rPr>
          <w:rFonts w:ascii="Arial" w:hAnsi="Arial" w:cs="Arial"/>
          <w:color w:val="000000" w:themeColor="text1"/>
        </w:rPr>
        <w:br w:type="page"/>
      </w:r>
    </w:p>
    <w:p w14:paraId="49756480" w14:textId="7D530144" w:rsidR="003362DB" w:rsidRPr="00B171A3" w:rsidRDefault="005F7C69" w:rsidP="003362DB">
      <w:pPr>
        <w:pStyle w:val="Heading2"/>
        <w:rPr>
          <w:rFonts w:cs="Arial"/>
          <w:color w:val="000000" w:themeColor="text1"/>
          <w:szCs w:val="24"/>
        </w:rPr>
      </w:pPr>
      <w:bookmarkStart w:id="1" w:name="_Toc203898037"/>
      <w:r w:rsidRPr="00B171A3">
        <w:rPr>
          <w:rFonts w:cs="Arial"/>
          <w:color w:val="000000" w:themeColor="text1"/>
          <w:szCs w:val="24"/>
        </w:rPr>
        <w:lastRenderedPageBreak/>
        <w:t>Executive Summary</w:t>
      </w:r>
      <w:bookmarkEnd w:id="1"/>
    </w:p>
    <w:p w14:paraId="0FC4B0A6" w14:textId="52A62CC6" w:rsidR="003362DB" w:rsidRPr="00FE591A" w:rsidRDefault="005F7C69" w:rsidP="005F7C69">
      <w:pPr>
        <w:rPr>
          <w:rFonts w:ascii="Arial" w:hAnsi="Arial" w:cs="Arial"/>
          <w:color w:val="000000" w:themeColor="text1"/>
          <w:lang w:val="en-IN"/>
        </w:rPr>
      </w:pPr>
      <w:r w:rsidRPr="00FE591A">
        <w:rPr>
          <w:rFonts w:ascii="Arial" w:hAnsi="Arial" w:cs="Arial"/>
          <w:color w:val="000000" w:themeColor="text1"/>
        </w:rPr>
        <w:t>This report presents a comprehensive financial analysis of Endeavour Mining PLC for the fiscal years ending December 31, 2024, and December 31, 2023. The analysis utilizes key financial ratios across profitability, liquidity, gearing, efficiency, and investor categories to assess the company's financial health and performance trends. While the company has demonstrated strong revenue growth and operational performance in 2024, a significant net loss has been recorded, primarily driven by substantial impairment charges, losses on financial instruments, and higher income tax expense. Liquidity remains adequate, though it has seen some decline. Gearing has increased, indicating a higher reliance on debt. Efficiency ratios show mixed results, with some areas indicating improvement and others requiring attention. Based on these findings, recommendations are provided to enhance the company's financial management.</w:t>
      </w:r>
      <w:r w:rsidR="003362DB" w:rsidRPr="00FE591A">
        <w:rPr>
          <w:rFonts w:ascii="Arial" w:hAnsi="Arial" w:cs="Arial"/>
          <w:color w:val="000000" w:themeColor="text1"/>
          <w:lang w:val="en-IN"/>
        </w:rPr>
        <w:br w:type="page"/>
      </w:r>
    </w:p>
    <w:p w14:paraId="3115273D" w14:textId="0345CDCD" w:rsidR="003362DB" w:rsidRPr="00FE591A" w:rsidRDefault="005F7C69" w:rsidP="003362DB">
      <w:pPr>
        <w:pStyle w:val="Heading2"/>
        <w:rPr>
          <w:rFonts w:cs="Arial"/>
          <w:color w:val="000000" w:themeColor="text1"/>
        </w:rPr>
      </w:pPr>
      <w:bookmarkStart w:id="2" w:name="_Toc203898038"/>
      <w:r w:rsidRPr="00FE591A">
        <w:rPr>
          <w:rFonts w:cs="Arial"/>
          <w:color w:val="000000" w:themeColor="text1"/>
        </w:rPr>
        <w:lastRenderedPageBreak/>
        <w:t xml:space="preserve">Calculations of </w:t>
      </w:r>
      <w:r w:rsidR="003362DB" w:rsidRPr="00FE591A">
        <w:rPr>
          <w:rFonts w:cs="Arial"/>
          <w:color w:val="000000" w:themeColor="text1"/>
        </w:rPr>
        <w:t>Financial Ratio</w:t>
      </w:r>
      <w:r w:rsidR="00AC1806" w:rsidRPr="00FE591A">
        <w:rPr>
          <w:rFonts w:cs="Arial"/>
          <w:color w:val="000000" w:themeColor="text1"/>
        </w:rPr>
        <w:t>s for Endeavour Mining PLC.</w:t>
      </w:r>
      <w:bookmarkEnd w:id="2"/>
    </w:p>
    <w:p w14:paraId="52530859" w14:textId="23877BF4" w:rsidR="005F7C69" w:rsidRPr="00FE591A" w:rsidRDefault="005F7C69" w:rsidP="005F7C69">
      <w:pPr>
        <w:rPr>
          <w:rFonts w:ascii="Arial" w:hAnsi="Arial" w:cs="Arial"/>
          <w:color w:val="000000" w:themeColor="text1"/>
        </w:rPr>
      </w:pPr>
      <w:r w:rsidRPr="00FE591A">
        <w:rPr>
          <w:rFonts w:ascii="Arial" w:hAnsi="Arial" w:cs="Arial"/>
          <w:color w:val="000000" w:themeColor="text1"/>
        </w:rPr>
        <w:t>The detailed calculations along with the formulas are mentioned in the appendix.</w:t>
      </w:r>
    </w:p>
    <w:p w14:paraId="00D0F09C" w14:textId="77777777" w:rsidR="005F7C69" w:rsidRPr="00FE591A" w:rsidRDefault="005F7C69" w:rsidP="00AC1806">
      <w:pPr>
        <w:pStyle w:val="ListParagraph"/>
        <w:numPr>
          <w:ilvl w:val="0"/>
          <w:numId w:val="37"/>
        </w:numPr>
        <w:rPr>
          <w:rFonts w:ascii="Arial" w:hAnsi="Arial" w:cs="Arial"/>
          <w:color w:val="000000" w:themeColor="text1"/>
          <w:lang w:val="en-IN"/>
        </w:rPr>
      </w:pPr>
      <w:r w:rsidRPr="00FE591A">
        <w:rPr>
          <w:rFonts w:ascii="Arial" w:hAnsi="Arial" w:cs="Arial"/>
          <w:b/>
          <w:bCs/>
          <w:color w:val="000000" w:themeColor="text1"/>
          <w:lang w:val="en-IN"/>
        </w:rPr>
        <w:t>Profitability Ratios</w:t>
      </w:r>
    </w:p>
    <w:p w14:paraId="05B863C7" w14:textId="77777777" w:rsidR="00B56D77" w:rsidRPr="00FE591A" w:rsidRDefault="005F7C69">
      <w:pPr>
        <w:numPr>
          <w:ilvl w:val="0"/>
          <w:numId w:val="5"/>
        </w:numPr>
        <w:rPr>
          <w:rFonts w:ascii="Arial" w:hAnsi="Arial" w:cs="Arial"/>
          <w:color w:val="000000" w:themeColor="text1"/>
          <w:lang w:val="en-IN"/>
        </w:rPr>
      </w:pPr>
      <w:r w:rsidRPr="00FE591A">
        <w:rPr>
          <w:rFonts w:ascii="Arial" w:hAnsi="Arial" w:cs="Arial"/>
          <w:b/>
          <w:bCs/>
          <w:color w:val="000000" w:themeColor="text1"/>
          <w:lang w:val="en-IN"/>
        </w:rPr>
        <w:t>Gross Profit Margin:</w:t>
      </w:r>
      <w:r w:rsidRPr="00FE591A">
        <w:rPr>
          <w:rFonts w:ascii="Arial" w:hAnsi="Arial" w:cs="Arial"/>
          <w:color w:val="000000" w:themeColor="text1"/>
          <w:lang w:val="en-IN"/>
        </w:rPr>
        <w:t xml:space="preserve"> </w:t>
      </w:r>
    </w:p>
    <w:tbl>
      <w:tblPr>
        <w:tblStyle w:val="TableGrid"/>
        <w:tblW w:w="0" w:type="auto"/>
        <w:tblLook w:val="04A0" w:firstRow="1" w:lastRow="0" w:firstColumn="1" w:lastColumn="0" w:noHBand="0" w:noVBand="1"/>
      </w:tblPr>
      <w:tblGrid>
        <w:gridCol w:w="4508"/>
        <w:gridCol w:w="4508"/>
      </w:tblGrid>
      <w:tr w:rsidR="00FE591A" w:rsidRPr="00FE591A" w14:paraId="2E0B064D" w14:textId="77777777" w:rsidTr="005C587F">
        <w:tc>
          <w:tcPr>
            <w:tcW w:w="9016" w:type="dxa"/>
            <w:gridSpan w:val="2"/>
          </w:tcPr>
          <w:p w14:paraId="3B470156" w14:textId="6C1A0208" w:rsidR="00B56D77" w:rsidRPr="00FE591A" w:rsidRDefault="00B56D77" w:rsidP="00B56D77">
            <w:pPr>
              <w:ind w:left="360"/>
              <w:jc w:val="center"/>
              <w:rPr>
                <w:rFonts w:ascii="Arial" w:hAnsi="Arial" w:cs="Arial"/>
                <w:color w:val="000000" w:themeColor="text1"/>
                <w:lang w:val="en-IN"/>
              </w:rPr>
            </w:pPr>
            <w:r w:rsidRPr="00FE591A">
              <w:rPr>
                <w:rFonts w:ascii="Arial" w:hAnsi="Arial" w:cs="Arial"/>
                <w:b/>
                <w:bCs/>
                <w:color w:val="000000" w:themeColor="text1"/>
                <w:lang w:val="en-IN"/>
              </w:rPr>
              <w:t>Gross Profit Margin</w:t>
            </w:r>
          </w:p>
        </w:tc>
      </w:tr>
      <w:tr w:rsidR="00FE591A" w:rsidRPr="00FE591A" w14:paraId="7D61708D" w14:textId="77777777">
        <w:tc>
          <w:tcPr>
            <w:tcW w:w="4508" w:type="dxa"/>
          </w:tcPr>
          <w:p w14:paraId="77FD8B71" w14:textId="0B66C421" w:rsidR="00B56D77" w:rsidRPr="00FE591A" w:rsidRDefault="00B56D77" w:rsidP="00B56D77">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54DB553A" w14:textId="56CB27BC" w:rsidR="00B56D77" w:rsidRPr="00FE591A" w:rsidRDefault="00B56D77" w:rsidP="00B56D77">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0EE8CBBA" w14:textId="77777777">
        <w:tc>
          <w:tcPr>
            <w:tcW w:w="4508" w:type="dxa"/>
          </w:tcPr>
          <w:p w14:paraId="1E27D34D" w14:textId="35C68B82" w:rsidR="00B56D77" w:rsidRPr="00FE591A" w:rsidRDefault="00B56D77" w:rsidP="00B56D77">
            <w:pPr>
              <w:jc w:val="center"/>
              <w:rPr>
                <w:rFonts w:ascii="Arial" w:hAnsi="Arial" w:cs="Arial"/>
                <w:color w:val="000000" w:themeColor="text1"/>
                <w:lang w:val="en-IN"/>
              </w:rPr>
            </w:pPr>
            <w:r w:rsidRPr="00FE591A">
              <w:rPr>
                <w:rFonts w:ascii="Arial" w:hAnsi="Arial" w:cs="Arial"/>
                <w:color w:val="000000" w:themeColor="text1"/>
                <w:lang w:val="en-IN"/>
              </w:rPr>
              <w:t>62.80%</w:t>
            </w:r>
          </w:p>
        </w:tc>
        <w:tc>
          <w:tcPr>
            <w:tcW w:w="4508" w:type="dxa"/>
          </w:tcPr>
          <w:p w14:paraId="78E1F108" w14:textId="74CF3BD9" w:rsidR="00B56D77" w:rsidRPr="00FE591A" w:rsidRDefault="00B56D77" w:rsidP="00B56D77">
            <w:pPr>
              <w:jc w:val="center"/>
              <w:rPr>
                <w:rFonts w:ascii="Arial" w:hAnsi="Arial" w:cs="Arial"/>
                <w:color w:val="000000" w:themeColor="text1"/>
                <w:lang w:val="en-IN"/>
              </w:rPr>
            </w:pPr>
            <w:r w:rsidRPr="00FE591A">
              <w:rPr>
                <w:rFonts w:ascii="Arial" w:hAnsi="Arial" w:cs="Arial"/>
                <w:color w:val="000000" w:themeColor="text1"/>
                <w:lang w:val="en-IN"/>
              </w:rPr>
              <w:t>62.40%</w:t>
            </w:r>
          </w:p>
        </w:tc>
      </w:tr>
    </w:tbl>
    <w:p w14:paraId="6AAB4113" w14:textId="754017C2" w:rsidR="005F7C69" w:rsidRPr="00FE591A" w:rsidRDefault="005F7C69" w:rsidP="00B56D77">
      <w:pPr>
        <w:rPr>
          <w:rFonts w:ascii="Arial" w:hAnsi="Arial" w:cs="Arial"/>
          <w:color w:val="000000" w:themeColor="text1"/>
          <w:lang w:val="en-IN"/>
        </w:rPr>
      </w:pPr>
      <w:r w:rsidRPr="00FE591A">
        <w:rPr>
          <w:rFonts w:ascii="Arial" w:hAnsi="Arial" w:cs="Arial"/>
          <w:color w:val="000000" w:themeColor="text1"/>
          <w:lang w:val="en-IN"/>
        </w:rPr>
        <w:t>The gross profit margin remained relatively stable, decreasing slightly from 62.8% in 2023 to 62.4% in 2024. This indicates that the company maintained its ability to control the cost of goods sold relative to its revenue, despite a significant increase in revenue (from $2,114.6 Mn to $2,675.9 Mn)</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(Endeavour Mining PLC, 2024)</w:t>
      </w:r>
      <w:r w:rsidRPr="00FE591A">
        <w:rPr>
          <w:rFonts w:ascii="Arial" w:hAnsi="Arial" w:cs="Arial"/>
          <w:color w:val="000000" w:themeColor="text1"/>
          <w:lang w:val="en-IN"/>
        </w:rPr>
        <w:t>. This is a positive sign, suggesting efficient production and cost management at the operational level.</w:t>
      </w:r>
    </w:p>
    <w:p w14:paraId="29772CFE" w14:textId="20BA0400" w:rsidR="00B466CD" w:rsidRPr="00FE591A" w:rsidRDefault="00B466CD" w:rsidP="00AC1806">
      <w:pPr>
        <w:rPr>
          <w:rFonts w:ascii="Arial" w:hAnsi="Arial" w:cs="Arial"/>
          <w:b/>
          <w:bCs/>
          <w:color w:val="000000" w:themeColor="text1"/>
          <w:lang w:val="en-IN"/>
        </w:rPr>
      </w:pPr>
      <w:r w:rsidRPr="00FE591A">
        <w:rPr>
          <w:rFonts w:ascii="Arial" w:hAnsi="Arial" w:cs="Arial"/>
          <w:b/>
          <w:bCs/>
          <w:color w:val="000000" w:themeColor="text1"/>
          <w:lang w:val="en-IN"/>
        </w:rPr>
        <w:t>Possible Reasons:</w:t>
      </w:r>
      <w:r w:rsidRPr="00FE591A">
        <w:rPr>
          <w:rFonts w:ascii="Arial" w:hAnsi="Arial" w:cs="Arial"/>
          <w:color w:val="000000" w:themeColor="text1"/>
        </w:rPr>
        <w:t xml:space="preserve"> </w:t>
      </w:r>
      <w:r w:rsidRPr="00FE591A">
        <w:rPr>
          <w:rFonts w:ascii="Arial" w:hAnsi="Arial" w:cs="Arial"/>
          <w:color w:val="000000" w:themeColor="text1"/>
          <w:lang w:val="en-IN"/>
        </w:rPr>
        <w:t>The company maintained strong control over direct production costs even with increased output. This could be due to:</w:t>
      </w:r>
    </w:p>
    <w:p w14:paraId="663A9C28" w14:textId="5EA0279C" w:rsidR="00B466CD" w:rsidRPr="00FE591A" w:rsidRDefault="00B466CD" w:rsidP="00B466CD">
      <w:pPr>
        <w:pStyle w:val="ListParagraph"/>
        <w:numPr>
          <w:ilvl w:val="0"/>
          <w:numId w:val="14"/>
        </w:numPr>
        <w:rPr>
          <w:rFonts w:ascii="Arial" w:hAnsi="Arial" w:cs="Arial"/>
          <w:b/>
          <w:bCs/>
          <w:color w:val="000000" w:themeColor="text1"/>
          <w:lang w:val="en-IN"/>
        </w:rPr>
      </w:pPr>
      <w:r w:rsidRPr="00FE591A">
        <w:rPr>
          <w:rFonts w:ascii="Arial" w:hAnsi="Arial" w:cs="Arial"/>
          <w:b/>
          <w:bCs/>
          <w:color w:val="000000" w:themeColor="text1"/>
          <w:lang w:val="en-IN"/>
        </w:rPr>
        <w:t xml:space="preserve">Operational Efficiencies: </w:t>
      </w:r>
      <w:r w:rsidRPr="00FE591A">
        <w:rPr>
          <w:rFonts w:ascii="Arial" w:hAnsi="Arial" w:cs="Arial"/>
          <w:color w:val="000000" w:themeColor="text1"/>
          <w:lang w:val="en-IN"/>
        </w:rPr>
        <w:t>Improvements in mining processes, equipment utilization, or resource recovery rates</w:t>
      </w:r>
      <w:r w:rsidR="00AC1806" w:rsidRPr="00FE591A">
        <w:rPr>
          <w:rFonts w:ascii="Arial" w:hAnsi="Arial" w:cs="Arial"/>
          <w:color w:val="000000" w:themeColor="text1"/>
        </w:rPr>
        <w:t xml:space="preserve"> </w:t>
      </w:r>
      <w:r w:rsidR="00AC1806" w:rsidRPr="00FE591A">
        <w:rPr>
          <w:rFonts w:ascii="Arial" w:hAnsi="Arial" w:cs="Arial"/>
          <w:color w:val="000000" w:themeColor="text1"/>
          <w:lang w:val="en-IN"/>
        </w:rPr>
        <w:t>(Kokemuller, 2019)</w:t>
      </w:r>
      <w:r w:rsidRPr="00FE591A">
        <w:rPr>
          <w:rFonts w:ascii="Arial" w:hAnsi="Arial" w:cs="Arial"/>
          <w:color w:val="000000" w:themeColor="text1"/>
          <w:lang w:val="en-IN"/>
        </w:rPr>
        <w:t>.</w:t>
      </w:r>
    </w:p>
    <w:p w14:paraId="2ED763A1" w14:textId="659DB1BF" w:rsidR="00B466CD" w:rsidRPr="00FE591A" w:rsidRDefault="00B466CD" w:rsidP="00B466CD">
      <w:pPr>
        <w:pStyle w:val="ListParagraph"/>
        <w:numPr>
          <w:ilvl w:val="0"/>
          <w:numId w:val="14"/>
        </w:numPr>
        <w:rPr>
          <w:rFonts w:ascii="Arial" w:hAnsi="Arial" w:cs="Arial"/>
          <w:b/>
          <w:bCs/>
          <w:color w:val="000000" w:themeColor="text1"/>
          <w:lang w:val="en-IN"/>
        </w:rPr>
      </w:pPr>
      <w:r w:rsidRPr="00FE591A">
        <w:rPr>
          <w:rFonts w:ascii="Arial" w:hAnsi="Arial" w:cs="Arial"/>
          <w:b/>
          <w:bCs/>
          <w:color w:val="000000" w:themeColor="text1"/>
          <w:lang w:val="en-IN"/>
        </w:rPr>
        <w:t xml:space="preserve">Favourable Input Costs: </w:t>
      </w:r>
      <w:r w:rsidRPr="00FE591A">
        <w:rPr>
          <w:rFonts w:ascii="Arial" w:hAnsi="Arial" w:cs="Arial"/>
          <w:color w:val="000000" w:themeColor="text1"/>
          <w:lang w:val="en-IN"/>
        </w:rPr>
        <w:t>Stable or potentially lower commodity prices for key inputs like energy, reagents, or raw materials.</w:t>
      </w:r>
    </w:p>
    <w:p w14:paraId="7C101AF9" w14:textId="77777777" w:rsidR="00B56D77" w:rsidRPr="00FE591A" w:rsidRDefault="005F7C69">
      <w:pPr>
        <w:numPr>
          <w:ilvl w:val="0"/>
          <w:numId w:val="5"/>
        </w:numPr>
        <w:rPr>
          <w:rFonts w:ascii="Arial" w:hAnsi="Arial" w:cs="Arial"/>
          <w:color w:val="000000" w:themeColor="text1"/>
          <w:lang w:val="en-IN"/>
        </w:rPr>
      </w:pPr>
      <w:r w:rsidRPr="00FE591A">
        <w:rPr>
          <w:rFonts w:ascii="Arial" w:hAnsi="Arial" w:cs="Arial"/>
          <w:b/>
          <w:bCs/>
          <w:color w:val="000000" w:themeColor="text1"/>
          <w:lang w:val="en-IN"/>
        </w:rPr>
        <w:t>Operating Profit Margin:</w:t>
      </w:r>
      <w:r w:rsidRPr="00FE591A">
        <w:rPr>
          <w:rFonts w:ascii="Arial" w:hAnsi="Arial" w:cs="Arial"/>
          <w:color w:val="000000" w:themeColor="text1"/>
          <w:lang w:val="en-IN"/>
        </w:rPr>
        <w:t xml:space="preserve"> </w:t>
      </w:r>
    </w:p>
    <w:tbl>
      <w:tblPr>
        <w:tblStyle w:val="TableGrid"/>
        <w:tblW w:w="0" w:type="auto"/>
        <w:tblLook w:val="04A0" w:firstRow="1" w:lastRow="0" w:firstColumn="1" w:lastColumn="0" w:noHBand="0" w:noVBand="1"/>
      </w:tblPr>
      <w:tblGrid>
        <w:gridCol w:w="4508"/>
        <w:gridCol w:w="4508"/>
      </w:tblGrid>
      <w:tr w:rsidR="00FE591A" w:rsidRPr="00FE591A" w14:paraId="225B7A83" w14:textId="77777777" w:rsidTr="002A7D30">
        <w:tc>
          <w:tcPr>
            <w:tcW w:w="9016" w:type="dxa"/>
            <w:gridSpan w:val="2"/>
          </w:tcPr>
          <w:p w14:paraId="0A095055" w14:textId="62CDDC86" w:rsidR="00B56D77" w:rsidRPr="00FE591A" w:rsidRDefault="00B56D77"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t>Operating Profit Margin</w:t>
            </w:r>
          </w:p>
        </w:tc>
      </w:tr>
      <w:tr w:rsidR="00FE591A" w:rsidRPr="00FE591A" w14:paraId="0BFE6591" w14:textId="77777777" w:rsidTr="002A7D30">
        <w:tc>
          <w:tcPr>
            <w:tcW w:w="4508" w:type="dxa"/>
          </w:tcPr>
          <w:p w14:paraId="2A77BED2" w14:textId="77777777" w:rsidR="00B56D77" w:rsidRPr="00FE591A" w:rsidRDefault="00B56D77"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4EE03FDA" w14:textId="77777777" w:rsidR="00B56D77" w:rsidRPr="00FE591A" w:rsidRDefault="00B56D77"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1200F516" w14:textId="77777777" w:rsidTr="002A7D30">
        <w:tc>
          <w:tcPr>
            <w:tcW w:w="4508" w:type="dxa"/>
          </w:tcPr>
          <w:p w14:paraId="398B1736" w14:textId="1C2A0536" w:rsidR="00B56D77" w:rsidRPr="00FE591A" w:rsidRDefault="00B56D77" w:rsidP="002A7D30">
            <w:pPr>
              <w:jc w:val="center"/>
              <w:rPr>
                <w:rFonts w:ascii="Arial" w:hAnsi="Arial" w:cs="Arial"/>
                <w:color w:val="000000" w:themeColor="text1"/>
                <w:lang w:val="en-IN"/>
              </w:rPr>
            </w:pPr>
            <w:r w:rsidRPr="00FE591A">
              <w:rPr>
                <w:rFonts w:ascii="Arial" w:hAnsi="Arial" w:cs="Arial"/>
                <w:color w:val="000000" w:themeColor="text1"/>
                <w:lang w:val="en-IN"/>
              </w:rPr>
              <w:t>20.9%</w:t>
            </w:r>
          </w:p>
        </w:tc>
        <w:tc>
          <w:tcPr>
            <w:tcW w:w="4508" w:type="dxa"/>
          </w:tcPr>
          <w:p w14:paraId="28063A8D" w14:textId="4943DA2E" w:rsidR="00B56D77" w:rsidRPr="00FE591A" w:rsidRDefault="00B56D77" w:rsidP="002A7D30">
            <w:pPr>
              <w:jc w:val="center"/>
              <w:rPr>
                <w:rFonts w:ascii="Arial" w:hAnsi="Arial" w:cs="Arial"/>
                <w:color w:val="000000" w:themeColor="text1"/>
                <w:lang w:val="en-IN"/>
              </w:rPr>
            </w:pPr>
            <w:r w:rsidRPr="00FE591A">
              <w:rPr>
                <w:rFonts w:ascii="Arial" w:hAnsi="Arial" w:cs="Arial"/>
                <w:color w:val="000000" w:themeColor="text1"/>
                <w:lang w:val="en-IN"/>
              </w:rPr>
              <w:t>13.70%</w:t>
            </w:r>
          </w:p>
        </w:tc>
      </w:tr>
    </w:tbl>
    <w:p w14:paraId="46EC5CC8" w14:textId="6D0FC09F" w:rsidR="005F7C69" w:rsidRPr="00FE591A" w:rsidRDefault="005F7C69" w:rsidP="00B56D77">
      <w:pPr>
        <w:rPr>
          <w:rFonts w:ascii="Arial" w:hAnsi="Arial" w:cs="Arial"/>
          <w:color w:val="000000" w:themeColor="text1"/>
          <w:lang w:val="en-IN"/>
        </w:rPr>
      </w:pPr>
      <w:r w:rsidRPr="00FE591A">
        <w:rPr>
          <w:rFonts w:ascii="Arial" w:hAnsi="Arial" w:cs="Arial"/>
          <w:color w:val="000000" w:themeColor="text1"/>
          <w:lang w:val="en-IN"/>
        </w:rPr>
        <w:t>This ratio experienced a notable decline from 20.9% in 2023 to 13.7% in 2024. Despite the higher revenue, the company's earnings from operations decreased ($442.7 Mn in 2023 to $367.8 Mn in 2024)</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(Endeavour Mining PLC, 2024)</w:t>
      </w:r>
      <w:r w:rsidRPr="00FE591A">
        <w:rPr>
          <w:rFonts w:ascii="Arial" w:hAnsi="Arial" w:cs="Arial"/>
          <w:color w:val="000000" w:themeColor="text1"/>
          <w:lang w:val="en-IN"/>
        </w:rPr>
        <w:t>. This steep drop points to a significant increase in operating expenses beyond the cost of sales.</w:t>
      </w:r>
    </w:p>
    <w:p w14:paraId="74B032A7" w14:textId="2FFF6A58" w:rsidR="005F7C69" w:rsidRPr="00FE591A" w:rsidRDefault="005F7C69">
      <w:pPr>
        <w:numPr>
          <w:ilvl w:val="1"/>
          <w:numId w:val="5"/>
        </w:numPr>
        <w:rPr>
          <w:rFonts w:ascii="Arial" w:hAnsi="Arial" w:cs="Arial"/>
          <w:color w:val="000000" w:themeColor="text1"/>
          <w:lang w:val="en-IN"/>
        </w:rPr>
      </w:pPr>
      <w:r w:rsidRPr="00FE591A">
        <w:rPr>
          <w:rFonts w:ascii="Arial" w:hAnsi="Arial" w:cs="Arial"/>
          <w:b/>
          <w:bCs/>
          <w:color w:val="000000" w:themeColor="text1"/>
          <w:lang w:val="en-IN"/>
        </w:rPr>
        <w:t>Possible Reasons:</w:t>
      </w:r>
      <w:r w:rsidRPr="00FE591A">
        <w:rPr>
          <w:rFonts w:ascii="Arial" w:hAnsi="Arial" w:cs="Arial"/>
          <w:color w:val="000000" w:themeColor="text1"/>
          <w:lang w:val="en-IN"/>
        </w:rPr>
        <w:t xml:space="preserve"> A review of the statement of comprehensive loss shows that operating expenses increased substantially from $49.0 Mn in 2023 to $473.3 Mn in 2024</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(Strike Money, 2025)</w:t>
      </w:r>
      <w:r w:rsidRPr="00FE591A">
        <w:rPr>
          <w:rFonts w:ascii="Arial" w:hAnsi="Arial" w:cs="Arial"/>
          <w:color w:val="000000" w:themeColor="text1"/>
          <w:lang w:val="en-IN"/>
        </w:rPr>
        <w:t>. A</w:t>
      </w:r>
      <w:r w:rsidR="00793860" w:rsidRPr="00FE591A">
        <w:rPr>
          <w:rFonts w:ascii="Arial" w:hAnsi="Arial" w:cs="Arial"/>
          <w:color w:val="000000" w:themeColor="text1"/>
          <w:lang w:val="en-IN"/>
        </w:rPr>
        <w:t>lso</w:t>
      </w:r>
      <w:r w:rsidRPr="00FE591A">
        <w:rPr>
          <w:rFonts w:ascii="Arial" w:hAnsi="Arial" w:cs="Arial"/>
          <w:color w:val="000000" w:themeColor="text1"/>
          <w:lang w:val="en-IN"/>
        </w:rPr>
        <w:t xml:space="preserve">, depreciation and depletion, royalties, and most notably, derecognition and impairment of </w:t>
      </w:r>
      <w:r w:rsidRPr="00FE591A">
        <w:rPr>
          <w:rFonts w:ascii="Arial" w:hAnsi="Arial" w:cs="Arial"/>
          <w:color w:val="000000" w:themeColor="text1"/>
          <w:lang w:val="en-IN"/>
        </w:rPr>
        <w:lastRenderedPageBreak/>
        <w:t>financial assets, and impairment of mining interests, saw significant increases. These non-cash and one-off charges heavily impacted operating profit. The increase in corporate costs and other expenses also contributed to the decline</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(Jayathilaka, 2020)</w:t>
      </w:r>
      <w:r w:rsidRPr="00FE591A">
        <w:rPr>
          <w:rFonts w:ascii="Arial" w:hAnsi="Arial" w:cs="Arial"/>
          <w:color w:val="000000" w:themeColor="text1"/>
          <w:lang w:val="en-IN"/>
        </w:rPr>
        <w:t>.</w:t>
      </w:r>
    </w:p>
    <w:p w14:paraId="2694343E" w14:textId="6A26F185" w:rsidR="005F7C69" w:rsidRPr="00FE591A" w:rsidRDefault="005F7C69">
      <w:pPr>
        <w:numPr>
          <w:ilvl w:val="0"/>
          <w:numId w:val="5"/>
        </w:numPr>
        <w:rPr>
          <w:rFonts w:ascii="Arial" w:hAnsi="Arial" w:cs="Arial"/>
          <w:color w:val="000000" w:themeColor="text1"/>
          <w:lang w:val="en-IN"/>
        </w:rPr>
      </w:pPr>
      <w:r w:rsidRPr="00FE591A">
        <w:rPr>
          <w:rFonts w:ascii="Arial" w:hAnsi="Arial" w:cs="Arial"/>
          <w:b/>
          <w:bCs/>
          <w:color w:val="000000" w:themeColor="text1"/>
          <w:lang w:val="en-IN"/>
        </w:rPr>
        <w:t>Net Profit Margin:</w:t>
      </w:r>
      <w:r w:rsidRPr="00FE591A">
        <w:rPr>
          <w:rFonts w:ascii="Arial" w:hAnsi="Arial" w:cs="Arial"/>
          <w:color w:val="000000" w:themeColor="text1"/>
          <w:lang w:val="en-IN"/>
        </w:rPr>
        <w:t xml:space="preserve"> The most alarming trend is observed in the net profit margin, which deteriorated significantly from a positive 2.0% in 2023 to a negative 8.8% in 2024. This reflects a substantial net loss in 2024</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(Martini et al., 2023)</w:t>
      </w:r>
      <w:r w:rsidRPr="00FE591A">
        <w:rPr>
          <w:rFonts w:ascii="Arial" w:hAnsi="Arial" w:cs="Arial"/>
          <w:color w:val="000000" w:themeColor="text1"/>
          <w:lang w:val="en-IN"/>
        </w:rPr>
        <w:t>.</w:t>
      </w:r>
    </w:p>
    <w:tbl>
      <w:tblPr>
        <w:tblStyle w:val="TableGrid"/>
        <w:tblW w:w="0" w:type="auto"/>
        <w:tblLook w:val="04A0" w:firstRow="1" w:lastRow="0" w:firstColumn="1" w:lastColumn="0" w:noHBand="0" w:noVBand="1"/>
      </w:tblPr>
      <w:tblGrid>
        <w:gridCol w:w="4508"/>
        <w:gridCol w:w="4508"/>
      </w:tblGrid>
      <w:tr w:rsidR="00FE591A" w:rsidRPr="00FE591A" w14:paraId="36495B29" w14:textId="77777777" w:rsidTr="002A7D30">
        <w:tc>
          <w:tcPr>
            <w:tcW w:w="9016" w:type="dxa"/>
            <w:gridSpan w:val="2"/>
          </w:tcPr>
          <w:p w14:paraId="7F247FD7" w14:textId="008D6607" w:rsidR="00793860" w:rsidRPr="00FE591A" w:rsidRDefault="00793860"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t>Net Profit Margin</w:t>
            </w:r>
          </w:p>
        </w:tc>
      </w:tr>
      <w:tr w:rsidR="00FE591A" w:rsidRPr="00FE591A" w14:paraId="12BC85A2" w14:textId="77777777" w:rsidTr="002A7D30">
        <w:tc>
          <w:tcPr>
            <w:tcW w:w="4508" w:type="dxa"/>
          </w:tcPr>
          <w:p w14:paraId="373AF7B5" w14:textId="77777777" w:rsidR="00793860" w:rsidRPr="00FE591A" w:rsidRDefault="00793860"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6C3D9CFD" w14:textId="77777777" w:rsidR="00793860" w:rsidRPr="00FE591A" w:rsidRDefault="00793860"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37BB4F73" w14:textId="77777777" w:rsidTr="002A7D30">
        <w:tc>
          <w:tcPr>
            <w:tcW w:w="4508" w:type="dxa"/>
          </w:tcPr>
          <w:p w14:paraId="655F44BB" w14:textId="3FA7E171" w:rsidR="00793860" w:rsidRPr="00FE591A" w:rsidRDefault="00793860" w:rsidP="002A7D30">
            <w:pPr>
              <w:jc w:val="center"/>
              <w:rPr>
                <w:rFonts w:ascii="Arial" w:hAnsi="Arial" w:cs="Arial"/>
                <w:color w:val="000000" w:themeColor="text1"/>
                <w:lang w:val="en-IN"/>
              </w:rPr>
            </w:pPr>
            <w:r w:rsidRPr="00FE591A">
              <w:rPr>
                <w:rFonts w:ascii="Arial" w:hAnsi="Arial" w:cs="Arial"/>
                <w:color w:val="000000" w:themeColor="text1"/>
                <w:lang w:val="en-IN"/>
              </w:rPr>
              <w:t>2%</w:t>
            </w:r>
          </w:p>
        </w:tc>
        <w:tc>
          <w:tcPr>
            <w:tcW w:w="4508" w:type="dxa"/>
          </w:tcPr>
          <w:p w14:paraId="12DCB292" w14:textId="668EC6B3" w:rsidR="00793860" w:rsidRPr="00FE591A" w:rsidRDefault="00793860" w:rsidP="002A7D30">
            <w:pPr>
              <w:jc w:val="center"/>
              <w:rPr>
                <w:rFonts w:ascii="Arial" w:hAnsi="Arial" w:cs="Arial"/>
                <w:color w:val="000000" w:themeColor="text1"/>
                <w:lang w:val="en-IN"/>
              </w:rPr>
            </w:pPr>
            <w:r w:rsidRPr="00FE591A">
              <w:rPr>
                <w:rFonts w:ascii="Arial" w:hAnsi="Arial" w:cs="Arial"/>
                <w:color w:val="000000" w:themeColor="text1"/>
                <w:lang w:val="en-IN"/>
              </w:rPr>
              <w:t>-8.8%</w:t>
            </w:r>
          </w:p>
        </w:tc>
      </w:tr>
    </w:tbl>
    <w:p w14:paraId="5F3F2A70" w14:textId="77777777" w:rsidR="00793860" w:rsidRPr="00FE591A" w:rsidRDefault="00793860" w:rsidP="00793860">
      <w:pPr>
        <w:ind w:left="360"/>
        <w:rPr>
          <w:rFonts w:ascii="Arial" w:hAnsi="Arial" w:cs="Arial"/>
          <w:color w:val="000000" w:themeColor="text1"/>
          <w:lang w:val="en-IN"/>
        </w:rPr>
      </w:pPr>
    </w:p>
    <w:p w14:paraId="1EA506DE" w14:textId="13400889" w:rsidR="005F7C69" w:rsidRPr="00FE591A" w:rsidRDefault="005F7C69">
      <w:pPr>
        <w:numPr>
          <w:ilvl w:val="1"/>
          <w:numId w:val="5"/>
        </w:numPr>
        <w:rPr>
          <w:rFonts w:ascii="Arial" w:hAnsi="Arial" w:cs="Arial"/>
          <w:color w:val="000000" w:themeColor="text1"/>
          <w:lang w:val="en-IN"/>
        </w:rPr>
      </w:pPr>
      <w:r w:rsidRPr="00FE591A">
        <w:rPr>
          <w:rFonts w:ascii="Arial" w:hAnsi="Arial" w:cs="Arial"/>
          <w:b/>
          <w:bCs/>
          <w:color w:val="000000" w:themeColor="text1"/>
          <w:lang w:val="en-IN"/>
        </w:rPr>
        <w:t>Possible Reasons:</w:t>
      </w:r>
      <w:r w:rsidRPr="00FE591A">
        <w:rPr>
          <w:rFonts w:ascii="Arial" w:hAnsi="Arial" w:cs="Arial"/>
          <w:color w:val="000000" w:themeColor="text1"/>
          <w:lang w:val="en-IN"/>
        </w:rPr>
        <w:t xml:space="preserve"> This drastic shift is primarily due to the large impairment charges (derecognition and impairment of financial assets, and impairment of mining interests), increased loss on financial instruments, and significantly higher income tax expense in 2024</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(Indeed Editorial Team, 2024)</w:t>
      </w:r>
      <w:r w:rsidRPr="00FE591A">
        <w:rPr>
          <w:rFonts w:ascii="Arial" w:hAnsi="Arial" w:cs="Arial"/>
          <w:color w:val="000000" w:themeColor="text1"/>
          <w:lang w:val="en-IN"/>
        </w:rPr>
        <w:t>. These factors outweighed the robust revenue growth and stable gross profit margin. The company moved from a net earning position to a considerable net loss.</w:t>
      </w:r>
    </w:p>
    <w:p w14:paraId="7E258EC1" w14:textId="77777777" w:rsidR="00674179" w:rsidRPr="00FE591A" w:rsidRDefault="005F7C69">
      <w:pPr>
        <w:numPr>
          <w:ilvl w:val="0"/>
          <w:numId w:val="5"/>
        </w:numPr>
        <w:rPr>
          <w:rFonts w:ascii="Arial" w:hAnsi="Arial" w:cs="Arial"/>
          <w:color w:val="000000" w:themeColor="text1"/>
          <w:lang w:val="en-IN"/>
        </w:rPr>
      </w:pPr>
      <w:r w:rsidRPr="00FE591A">
        <w:rPr>
          <w:rFonts w:ascii="Arial" w:hAnsi="Arial" w:cs="Arial"/>
          <w:b/>
          <w:bCs/>
          <w:color w:val="000000" w:themeColor="text1"/>
          <w:lang w:val="en-IN"/>
        </w:rPr>
        <w:t>Return on Assets (ROA) &amp; Return on Equity (ROE):</w:t>
      </w:r>
      <w:r w:rsidRPr="00FE591A">
        <w:rPr>
          <w:rFonts w:ascii="Arial" w:hAnsi="Arial" w:cs="Arial"/>
          <w:color w:val="000000" w:themeColor="text1"/>
          <w:lang w:val="en-IN"/>
        </w:rPr>
        <w:t xml:space="preserve"> </w:t>
      </w:r>
    </w:p>
    <w:tbl>
      <w:tblPr>
        <w:tblStyle w:val="TableGrid"/>
        <w:tblW w:w="0" w:type="auto"/>
        <w:tblLook w:val="04A0" w:firstRow="1" w:lastRow="0" w:firstColumn="1" w:lastColumn="0" w:noHBand="0" w:noVBand="1"/>
      </w:tblPr>
      <w:tblGrid>
        <w:gridCol w:w="4508"/>
        <w:gridCol w:w="4508"/>
      </w:tblGrid>
      <w:tr w:rsidR="00FE591A" w:rsidRPr="00FE591A" w14:paraId="3B7615F7" w14:textId="77777777" w:rsidTr="00193C70">
        <w:tc>
          <w:tcPr>
            <w:tcW w:w="9016" w:type="dxa"/>
            <w:gridSpan w:val="2"/>
          </w:tcPr>
          <w:p w14:paraId="14632B05" w14:textId="67F15868" w:rsidR="00674179" w:rsidRPr="00FE591A" w:rsidRDefault="00674179" w:rsidP="00674179">
            <w:pPr>
              <w:jc w:val="center"/>
              <w:rPr>
                <w:rFonts w:ascii="Arial" w:hAnsi="Arial" w:cs="Arial"/>
                <w:color w:val="000000" w:themeColor="text1"/>
                <w:lang w:val="en-IN"/>
              </w:rPr>
            </w:pPr>
            <w:r w:rsidRPr="00FE591A">
              <w:rPr>
                <w:rFonts w:ascii="Arial" w:hAnsi="Arial" w:cs="Arial"/>
                <w:b/>
                <w:bCs/>
                <w:color w:val="000000" w:themeColor="text1"/>
                <w:lang w:val="en-IN"/>
              </w:rPr>
              <w:t>Return on Assets (ROA)</w:t>
            </w:r>
          </w:p>
        </w:tc>
      </w:tr>
      <w:tr w:rsidR="00FE591A" w:rsidRPr="00FE591A" w14:paraId="773288FF" w14:textId="77777777">
        <w:tc>
          <w:tcPr>
            <w:tcW w:w="4508" w:type="dxa"/>
          </w:tcPr>
          <w:p w14:paraId="3C357295" w14:textId="1B3DDE76" w:rsidR="00674179" w:rsidRPr="00FE591A" w:rsidRDefault="00674179" w:rsidP="00674179">
            <w:pPr>
              <w:jc w:val="center"/>
              <w:rPr>
                <w:rFonts w:ascii="Arial" w:hAnsi="Arial" w:cs="Arial"/>
                <w:color w:val="000000" w:themeColor="text1"/>
                <w:lang w:val="en-IN"/>
              </w:rPr>
            </w:pPr>
            <w:r w:rsidRPr="00FE591A">
              <w:rPr>
                <w:rFonts w:ascii="Arial" w:hAnsi="Arial" w:cs="Arial"/>
                <w:color w:val="000000" w:themeColor="text1"/>
                <w:lang w:val="en-IN"/>
              </w:rPr>
              <w:t>2023</w:t>
            </w:r>
          </w:p>
        </w:tc>
        <w:tc>
          <w:tcPr>
            <w:tcW w:w="4508" w:type="dxa"/>
          </w:tcPr>
          <w:p w14:paraId="69798D67" w14:textId="0A70028A" w:rsidR="00674179" w:rsidRPr="00FE591A" w:rsidRDefault="00674179" w:rsidP="00674179">
            <w:pPr>
              <w:jc w:val="center"/>
              <w:rPr>
                <w:rFonts w:ascii="Arial" w:hAnsi="Arial" w:cs="Arial"/>
                <w:color w:val="000000" w:themeColor="text1"/>
                <w:lang w:val="en-IN"/>
              </w:rPr>
            </w:pPr>
            <w:r w:rsidRPr="00FE591A">
              <w:rPr>
                <w:rFonts w:ascii="Arial" w:hAnsi="Arial" w:cs="Arial"/>
                <w:color w:val="000000" w:themeColor="text1"/>
                <w:lang w:val="en-IN"/>
              </w:rPr>
              <w:t>2024</w:t>
            </w:r>
          </w:p>
        </w:tc>
      </w:tr>
      <w:tr w:rsidR="00FE591A" w:rsidRPr="00FE591A" w14:paraId="3D278924" w14:textId="77777777">
        <w:tc>
          <w:tcPr>
            <w:tcW w:w="4508" w:type="dxa"/>
          </w:tcPr>
          <w:p w14:paraId="68BEA402" w14:textId="2D5AEFF5" w:rsidR="00674179" w:rsidRPr="00FE591A" w:rsidRDefault="00674179" w:rsidP="00674179">
            <w:pPr>
              <w:jc w:val="center"/>
              <w:rPr>
                <w:rFonts w:ascii="Arial" w:hAnsi="Arial" w:cs="Arial"/>
                <w:color w:val="000000" w:themeColor="text1"/>
                <w:lang w:val="en-IN"/>
              </w:rPr>
            </w:pPr>
            <w:r w:rsidRPr="00FE591A">
              <w:rPr>
                <w:rFonts w:ascii="Arial" w:hAnsi="Arial" w:cs="Arial"/>
                <w:color w:val="000000" w:themeColor="text1"/>
                <w:lang w:val="en-IN"/>
              </w:rPr>
              <w:t>0.7%</w:t>
            </w:r>
          </w:p>
        </w:tc>
        <w:tc>
          <w:tcPr>
            <w:tcW w:w="4508" w:type="dxa"/>
          </w:tcPr>
          <w:p w14:paraId="74A6C6DA" w14:textId="32B3FCC2" w:rsidR="00674179" w:rsidRPr="00FE591A" w:rsidRDefault="00674179" w:rsidP="00674179">
            <w:pPr>
              <w:jc w:val="center"/>
              <w:rPr>
                <w:rFonts w:ascii="Arial" w:hAnsi="Arial" w:cs="Arial"/>
                <w:color w:val="000000" w:themeColor="text1"/>
                <w:lang w:val="en-IN"/>
              </w:rPr>
            </w:pPr>
            <w:r w:rsidRPr="00FE591A">
              <w:rPr>
                <w:rFonts w:ascii="Arial" w:hAnsi="Arial" w:cs="Arial"/>
                <w:color w:val="000000" w:themeColor="text1"/>
                <w:lang w:val="en-IN"/>
              </w:rPr>
              <w:t>-4.3%</w:t>
            </w:r>
          </w:p>
        </w:tc>
      </w:tr>
      <w:tr w:rsidR="00FE591A" w:rsidRPr="00FE591A" w14:paraId="3FB9C260" w14:textId="77777777" w:rsidTr="00266107">
        <w:tc>
          <w:tcPr>
            <w:tcW w:w="9016" w:type="dxa"/>
            <w:gridSpan w:val="2"/>
          </w:tcPr>
          <w:p w14:paraId="0D9C496E" w14:textId="206F726B" w:rsidR="00674179" w:rsidRPr="00FE591A" w:rsidRDefault="00674179" w:rsidP="00674179">
            <w:pPr>
              <w:jc w:val="center"/>
              <w:rPr>
                <w:rFonts w:ascii="Arial" w:hAnsi="Arial" w:cs="Arial"/>
                <w:color w:val="000000" w:themeColor="text1"/>
                <w:lang w:val="en-IN"/>
              </w:rPr>
            </w:pPr>
            <w:r w:rsidRPr="00FE591A">
              <w:rPr>
                <w:rFonts w:ascii="Arial" w:hAnsi="Arial" w:cs="Arial"/>
                <w:b/>
                <w:bCs/>
                <w:color w:val="000000" w:themeColor="text1"/>
                <w:lang w:val="en-IN"/>
              </w:rPr>
              <w:t>Return on Equity (ROE)</w:t>
            </w:r>
          </w:p>
        </w:tc>
      </w:tr>
      <w:tr w:rsidR="00FE591A" w:rsidRPr="00FE591A" w14:paraId="6D19B1E4" w14:textId="77777777">
        <w:tc>
          <w:tcPr>
            <w:tcW w:w="4508" w:type="dxa"/>
          </w:tcPr>
          <w:p w14:paraId="328A0071" w14:textId="20122A69" w:rsidR="00674179" w:rsidRPr="00FE591A" w:rsidRDefault="00674179" w:rsidP="00674179">
            <w:pPr>
              <w:ind w:left="720"/>
              <w:jc w:val="center"/>
              <w:rPr>
                <w:rFonts w:ascii="Arial" w:hAnsi="Arial" w:cs="Arial"/>
                <w:color w:val="000000" w:themeColor="text1"/>
                <w:lang w:val="en-IN"/>
              </w:rPr>
            </w:pPr>
            <w:r w:rsidRPr="00FE591A">
              <w:rPr>
                <w:rFonts w:ascii="Arial" w:hAnsi="Arial" w:cs="Arial"/>
                <w:color w:val="000000" w:themeColor="text1"/>
                <w:lang w:val="en-IN"/>
              </w:rPr>
              <w:t>2023</w:t>
            </w:r>
          </w:p>
        </w:tc>
        <w:tc>
          <w:tcPr>
            <w:tcW w:w="4508" w:type="dxa"/>
          </w:tcPr>
          <w:p w14:paraId="733FAE96" w14:textId="6F9EFA57" w:rsidR="00674179" w:rsidRPr="00FE591A" w:rsidRDefault="00674179" w:rsidP="00674179">
            <w:pPr>
              <w:jc w:val="center"/>
              <w:rPr>
                <w:rFonts w:ascii="Arial" w:hAnsi="Arial" w:cs="Arial"/>
                <w:color w:val="000000" w:themeColor="text1"/>
                <w:lang w:val="en-IN"/>
              </w:rPr>
            </w:pPr>
            <w:r w:rsidRPr="00FE591A">
              <w:rPr>
                <w:rFonts w:ascii="Arial" w:hAnsi="Arial" w:cs="Arial"/>
                <w:color w:val="000000" w:themeColor="text1"/>
                <w:lang w:val="en-IN"/>
              </w:rPr>
              <w:t>2024</w:t>
            </w:r>
          </w:p>
        </w:tc>
      </w:tr>
      <w:tr w:rsidR="00FE591A" w:rsidRPr="00FE591A" w14:paraId="277D0C16" w14:textId="77777777">
        <w:tc>
          <w:tcPr>
            <w:tcW w:w="4508" w:type="dxa"/>
          </w:tcPr>
          <w:p w14:paraId="0DCA6C58" w14:textId="62F6D7FA" w:rsidR="00674179" w:rsidRPr="00FE591A" w:rsidRDefault="00674179" w:rsidP="00674179">
            <w:pPr>
              <w:ind w:left="720"/>
              <w:jc w:val="center"/>
              <w:rPr>
                <w:rFonts w:ascii="Arial" w:hAnsi="Arial" w:cs="Arial"/>
                <w:color w:val="000000" w:themeColor="text1"/>
                <w:lang w:val="en-IN"/>
              </w:rPr>
            </w:pPr>
            <w:r w:rsidRPr="00FE591A">
              <w:rPr>
                <w:rFonts w:ascii="Arial" w:hAnsi="Arial" w:cs="Arial"/>
                <w:color w:val="000000" w:themeColor="text1"/>
                <w:lang w:val="en-IN"/>
              </w:rPr>
              <w:t>-0.7%</w:t>
            </w:r>
          </w:p>
        </w:tc>
        <w:tc>
          <w:tcPr>
            <w:tcW w:w="4508" w:type="dxa"/>
          </w:tcPr>
          <w:p w14:paraId="29AB30D4" w14:textId="0D5D95DE" w:rsidR="00674179" w:rsidRPr="00FE591A" w:rsidRDefault="00674179" w:rsidP="00674179">
            <w:pPr>
              <w:jc w:val="center"/>
              <w:rPr>
                <w:rFonts w:ascii="Arial" w:hAnsi="Arial" w:cs="Arial"/>
                <w:color w:val="000000" w:themeColor="text1"/>
                <w:lang w:val="en-IN"/>
              </w:rPr>
            </w:pPr>
            <w:r w:rsidRPr="00FE591A">
              <w:rPr>
                <w:rFonts w:ascii="Arial" w:hAnsi="Arial" w:cs="Arial"/>
                <w:color w:val="000000" w:themeColor="text1"/>
                <w:lang w:val="en-IN"/>
              </w:rPr>
              <w:t>-10.9%</w:t>
            </w:r>
          </w:p>
        </w:tc>
      </w:tr>
    </w:tbl>
    <w:p w14:paraId="6AAB23CA" w14:textId="77777777" w:rsidR="00674179" w:rsidRPr="00FE591A" w:rsidRDefault="00674179" w:rsidP="00674179">
      <w:pPr>
        <w:rPr>
          <w:rFonts w:ascii="Arial" w:hAnsi="Arial" w:cs="Arial"/>
          <w:color w:val="000000" w:themeColor="text1"/>
          <w:lang w:val="en-IN"/>
        </w:rPr>
      </w:pPr>
    </w:p>
    <w:p w14:paraId="3C052C0B" w14:textId="7C2266CB" w:rsidR="005F7C69" w:rsidRPr="00FE591A" w:rsidRDefault="005F7C69" w:rsidP="00674179">
      <w:pPr>
        <w:rPr>
          <w:rFonts w:ascii="Arial" w:hAnsi="Arial" w:cs="Arial"/>
          <w:color w:val="000000" w:themeColor="text1"/>
          <w:lang w:val="en-IN"/>
        </w:rPr>
      </w:pPr>
      <w:r w:rsidRPr="00FE591A">
        <w:rPr>
          <w:rFonts w:ascii="Arial" w:hAnsi="Arial" w:cs="Arial"/>
          <w:color w:val="000000" w:themeColor="text1"/>
          <w:lang w:val="en-IN"/>
        </w:rPr>
        <w:t>Both ROA and ROE show a negative trend, moving from marginal positive/negative in 2023 to significantly negative in 2024. ROA dropped from 0.7% to -4.3%, and ROE from -0.7% to -10.9%</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(Furhmann, 2024)</w:t>
      </w:r>
      <w:r w:rsidRPr="00FE591A">
        <w:rPr>
          <w:rFonts w:ascii="Arial" w:hAnsi="Arial" w:cs="Arial"/>
          <w:color w:val="000000" w:themeColor="text1"/>
          <w:lang w:val="en-IN"/>
        </w:rPr>
        <w:t>. This indicates that the company is not effectively utilizing its assets or shareholders' equity to generate positive returns, reflecting the overall net loss.</w:t>
      </w:r>
    </w:p>
    <w:p w14:paraId="7840D29A" w14:textId="77777777" w:rsidR="00B466CD" w:rsidRPr="00FE591A" w:rsidRDefault="00B466CD" w:rsidP="00B466CD">
      <w:pPr>
        <w:rPr>
          <w:rFonts w:ascii="Arial" w:hAnsi="Arial" w:cs="Arial"/>
          <w:b/>
          <w:bCs/>
          <w:color w:val="000000" w:themeColor="text1"/>
          <w:lang w:val="en-IN"/>
        </w:rPr>
      </w:pPr>
      <w:r w:rsidRPr="00FE591A">
        <w:rPr>
          <w:rFonts w:ascii="Arial" w:hAnsi="Arial" w:cs="Arial"/>
          <w:b/>
          <w:bCs/>
          <w:color w:val="000000" w:themeColor="text1"/>
          <w:lang w:val="en-IN"/>
        </w:rPr>
        <w:lastRenderedPageBreak/>
        <w:t>Possible Reasons for Decline:</w:t>
      </w:r>
    </w:p>
    <w:p w14:paraId="13F84801" w14:textId="77777777" w:rsidR="00B466CD" w:rsidRPr="00FE591A" w:rsidRDefault="00B466CD" w:rsidP="00B466CD">
      <w:pPr>
        <w:pStyle w:val="ListParagraph"/>
        <w:numPr>
          <w:ilvl w:val="0"/>
          <w:numId w:val="15"/>
        </w:numPr>
        <w:rPr>
          <w:rFonts w:ascii="Arial" w:hAnsi="Arial" w:cs="Arial"/>
          <w:color w:val="000000" w:themeColor="text1"/>
          <w:lang w:val="en-IN"/>
        </w:rPr>
      </w:pPr>
      <w:r w:rsidRPr="00FE591A">
        <w:rPr>
          <w:rFonts w:ascii="Arial" w:hAnsi="Arial" w:cs="Arial"/>
          <w:b/>
          <w:bCs/>
          <w:color w:val="000000" w:themeColor="text1"/>
          <w:lang w:val="en-IN"/>
        </w:rPr>
        <w:t>Net Loss:</w:t>
      </w:r>
      <w:r w:rsidRPr="00FE591A">
        <w:rPr>
          <w:rFonts w:ascii="Arial" w:hAnsi="Arial" w:cs="Arial"/>
          <w:color w:val="000000" w:themeColor="text1"/>
          <w:lang w:val="en-IN"/>
        </w:rPr>
        <w:t xml:space="preserve"> The primary driver for the negative ROA and ROE is the overall net loss incurred in 2024, as detailed in the Net Profit Margin analysis.</w:t>
      </w:r>
    </w:p>
    <w:p w14:paraId="5ECAD2DA" w14:textId="496738AC" w:rsidR="00B466CD" w:rsidRPr="00FE591A" w:rsidRDefault="00B466CD" w:rsidP="00B466CD">
      <w:pPr>
        <w:pStyle w:val="ListParagraph"/>
        <w:numPr>
          <w:ilvl w:val="0"/>
          <w:numId w:val="15"/>
        </w:numPr>
        <w:rPr>
          <w:rFonts w:ascii="Arial" w:hAnsi="Arial" w:cs="Arial"/>
          <w:color w:val="000000" w:themeColor="text1"/>
          <w:lang w:val="en-IN"/>
        </w:rPr>
      </w:pPr>
      <w:r w:rsidRPr="00FE591A">
        <w:rPr>
          <w:rFonts w:ascii="Arial" w:hAnsi="Arial" w:cs="Arial"/>
          <w:b/>
          <w:bCs/>
          <w:color w:val="000000" w:themeColor="text1"/>
          <w:lang w:val="en-IN"/>
        </w:rPr>
        <w:t>Asset Base (ROA):</w:t>
      </w:r>
      <w:r w:rsidRPr="00FE591A">
        <w:rPr>
          <w:rFonts w:ascii="Arial" w:hAnsi="Arial" w:cs="Arial"/>
          <w:color w:val="000000" w:themeColor="text1"/>
          <w:lang w:val="en-IN"/>
        </w:rPr>
        <w:t xml:space="preserve"> While total assets slightly decreased (from $5,858.5 Mn to $5,513.4 Mn), the magnitude of the net loss overshadowed this, leading to a poorer return on the asset base</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(Panigrahi and Vachhani, 2021)</w:t>
      </w:r>
      <w:r w:rsidRPr="00FE591A">
        <w:rPr>
          <w:rFonts w:ascii="Arial" w:hAnsi="Arial" w:cs="Arial"/>
          <w:color w:val="000000" w:themeColor="text1"/>
          <w:lang w:val="en-IN"/>
        </w:rPr>
        <w:t>.</w:t>
      </w:r>
    </w:p>
    <w:p w14:paraId="14453370" w14:textId="6576E64B" w:rsidR="00B466CD" w:rsidRPr="00FE591A" w:rsidRDefault="00B466CD" w:rsidP="00B466CD">
      <w:pPr>
        <w:pStyle w:val="ListParagraph"/>
        <w:numPr>
          <w:ilvl w:val="0"/>
          <w:numId w:val="15"/>
        </w:numPr>
        <w:rPr>
          <w:rFonts w:ascii="Arial" w:hAnsi="Arial" w:cs="Arial"/>
          <w:color w:val="000000" w:themeColor="text1"/>
          <w:lang w:val="en-IN"/>
        </w:rPr>
      </w:pPr>
      <w:r w:rsidRPr="00FE591A">
        <w:rPr>
          <w:rFonts w:ascii="Arial" w:hAnsi="Arial" w:cs="Arial"/>
          <w:b/>
          <w:bCs/>
          <w:color w:val="000000" w:themeColor="text1"/>
          <w:lang w:val="en-IN"/>
        </w:rPr>
        <w:t>Equity Base (ROE):</w:t>
      </w:r>
      <w:r w:rsidRPr="00FE591A">
        <w:rPr>
          <w:rFonts w:ascii="Arial" w:hAnsi="Arial" w:cs="Arial"/>
          <w:color w:val="000000" w:themeColor="text1"/>
          <w:lang w:val="en-IN"/>
        </w:rPr>
        <w:t xml:space="preserve"> Total equity also decreased (from $3,548.3 Mn to $2,992.9 Mn), primarily due to the reduction in retained earnings caused by the net loss</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(Panigrahi and Vachhani, 2021)</w:t>
      </w:r>
      <w:r w:rsidRPr="00FE591A">
        <w:rPr>
          <w:rFonts w:ascii="Arial" w:hAnsi="Arial" w:cs="Arial"/>
          <w:color w:val="000000" w:themeColor="text1"/>
          <w:lang w:val="en-IN"/>
        </w:rPr>
        <w:t>. This shrinkage of the equity base, combined with the loss, contributes to the negative ROE.</w:t>
      </w:r>
    </w:p>
    <w:p w14:paraId="2D778115" w14:textId="3EFBD776" w:rsidR="005F7C69" w:rsidRPr="00FE591A" w:rsidRDefault="005F7C69" w:rsidP="00A0589B">
      <w:pPr>
        <w:pStyle w:val="ListParagraph"/>
        <w:numPr>
          <w:ilvl w:val="0"/>
          <w:numId w:val="37"/>
        </w:numPr>
        <w:rPr>
          <w:rFonts w:ascii="Arial" w:hAnsi="Arial" w:cs="Arial"/>
          <w:color w:val="000000" w:themeColor="text1"/>
          <w:lang w:val="en-IN"/>
        </w:rPr>
      </w:pPr>
      <w:r w:rsidRPr="00FE591A">
        <w:rPr>
          <w:rFonts w:ascii="Arial" w:hAnsi="Arial" w:cs="Arial"/>
          <w:b/>
          <w:bCs/>
          <w:color w:val="000000" w:themeColor="text1"/>
          <w:lang w:val="en-IN"/>
        </w:rPr>
        <w:t>Liquidity Ratios</w:t>
      </w:r>
    </w:p>
    <w:p w14:paraId="5C9FC95C" w14:textId="2729B581" w:rsidR="005F7C69" w:rsidRPr="00FE591A" w:rsidRDefault="005F7C69" w:rsidP="00674179">
      <w:pPr>
        <w:numPr>
          <w:ilvl w:val="0"/>
          <w:numId w:val="6"/>
        </w:numPr>
        <w:rPr>
          <w:rFonts w:ascii="Arial" w:hAnsi="Arial" w:cs="Arial"/>
          <w:color w:val="000000" w:themeColor="text1"/>
          <w:lang w:val="en-IN"/>
        </w:rPr>
      </w:pPr>
      <w:r w:rsidRPr="00FE591A">
        <w:rPr>
          <w:rFonts w:ascii="Arial" w:hAnsi="Arial" w:cs="Arial"/>
          <w:b/>
          <w:bCs/>
          <w:color w:val="000000" w:themeColor="text1"/>
          <w:lang w:val="en-IN"/>
        </w:rPr>
        <w:t>Current Ratio:</w:t>
      </w:r>
      <w:r w:rsidRPr="00FE591A">
        <w:rPr>
          <w:rFonts w:ascii="Arial" w:hAnsi="Arial" w:cs="Arial"/>
          <w:color w:val="000000" w:themeColor="text1"/>
          <w:lang w:val="en-IN"/>
        </w:rPr>
        <w:t xml:space="preserve"> The current ratio decreased from 1.83 in 2023 to 1.17 in 2024. While still above 1, indicating that current assets can cover current liabilities, the significant drop suggests a tightening of short-term liquidity</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(Thome, 2012)</w:t>
      </w:r>
      <w:r w:rsidRPr="00FE591A">
        <w:rPr>
          <w:rFonts w:ascii="Arial" w:hAnsi="Arial" w:cs="Arial"/>
          <w:color w:val="000000" w:themeColor="text1"/>
          <w:lang w:val="en-IN"/>
        </w:rPr>
        <w:t>. A ratio above 1.0 is generally considered acceptable, but a downward trend warrants attention.</w:t>
      </w:r>
    </w:p>
    <w:tbl>
      <w:tblPr>
        <w:tblStyle w:val="TableGrid"/>
        <w:tblW w:w="0" w:type="auto"/>
        <w:tblLook w:val="04A0" w:firstRow="1" w:lastRow="0" w:firstColumn="1" w:lastColumn="0" w:noHBand="0" w:noVBand="1"/>
      </w:tblPr>
      <w:tblGrid>
        <w:gridCol w:w="4508"/>
        <w:gridCol w:w="4508"/>
      </w:tblGrid>
      <w:tr w:rsidR="00FE591A" w:rsidRPr="00FE591A" w14:paraId="347950CB" w14:textId="77777777" w:rsidTr="002A7D30">
        <w:tc>
          <w:tcPr>
            <w:tcW w:w="9016" w:type="dxa"/>
            <w:gridSpan w:val="2"/>
          </w:tcPr>
          <w:p w14:paraId="7A29E669" w14:textId="54DC9780" w:rsidR="00674179" w:rsidRPr="00FE591A" w:rsidRDefault="00674179"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t>Current Ratio</w:t>
            </w:r>
          </w:p>
        </w:tc>
      </w:tr>
      <w:tr w:rsidR="00FE591A" w:rsidRPr="00FE591A" w14:paraId="1BE592AB" w14:textId="77777777" w:rsidTr="002A7D30">
        <w:tc>
          <w:tcPr>
            <w:tcW w:w="4508" w:type="dxa"/>
          </w:tcPr>
          <w:p w14:paraId="2D1D3EF5"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56051438"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05AF6B21" w14:textId="77777777" w:rsidTr="002A7D30">
        <w:tc>
          <w:tcPr>
            <w:tcW w:w="4508" w:type="dxa"/>
          </w:tcPr>
          <w:p w14:paraId="51387A4B" w14:textId="1C871946"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1.83</w:t>
            </w:r>
          </w:p>
        </w:tc>
        <w:tc>
          <w:tcPr>
            <w:tcW w:w="4508" w:type="dxa"/>
          </w:tcPr>
          <w:p w14:paraId="7EB876B8" w14:textId="07BA98DD"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1.17</w:t>
            </w:r>
          </w:p>
        </w:tc>
      </w:tr>
    </w:tbl>
    <w:p w14:paraId="531654A4" w14:textId="77777777" w:rsidR="00674179" w:rsidRPr="00FE591A" w:rsidRDefault="00674179" w:rsidP="00674179">
      <w:pPr>
        <w:rPr>
          <w:rFonts w:ascii="Arial" w:hAnsi="Arial" w:cs="Arial"/>
          <w:color w:val="000000" w:themeColor="text1"/>
          <w:lang w:val="en-IN"/>
        </w:rPr>
      </w:pPr>
    </w:p>
    <w:p w14:paraId="78FCBA3E" w14:textId="75EB277E" w:rsidR="005F7C69" w:rsidRPr="00FE591A" w:rsidRDefault="005F7C69">
      <w:pPr>
        <w:numPr>
          <w:ilvl w:val="1"/>
          <w:numId w:val="6"/>
        </w:numPr>
        <w:rPr>
          <w:rFonts w:ascii="Arial" w:hAnsi="Arial" w:cs="Arial"/>
          <w:color w:val="000000" w:themeColor="text1"/>
          <w:lang w:val="en-IN"/>
        </w:rPr>
      </w:pPr>
      <w:r w:rsidRPr="00FE591A">
        <w:rPr>
          <w:rFonts w:ascii="Arial" w:hAnsi="Arial" w:cs="Arial"/>
          <w:b/>
          <w:bCs/>
          <w:color w:val="000000" w:themeColor="text1"/>
          <w:lang w:val="en-IN"/>
        </w:rPr>
        <w:t>Possible Reasons:</w:t>
      </w:r>
      <w:r w:rsidRPr="00FE591A">
        <w:rPr>
          <w:rFonts w:ascii="Arial" w:hAnsi="Arial" w:cs="Arial"/>
          <w:color w:val="000000" w:themeColor="text1"/>
          <w:lang w:val="en-IN"/>
        </w:rPr>
        <w:t xml:space="preserve"> This decline is due to a decrease in total current assets (from $1,120.2 Mn to $964.8 Mn), particularly cash and cash equivalents and trade and other receivables, coupled with a substantial increase in current liabilities (from $613.4 Mn to $821.7 Mn), primarily driven by higher trade and other payables and income taxes payable, and the emergence of a current portion of debt and overdraft facility in 2024</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(Faster Capital, 2025)</w:t>
      </w:r>
      <w:r w:rsidRPr="00FE591A">
        <w:rPr>
          <w:rFonts w:ascii="Arial" w:hAnsi="Arial" w:cs="Arial"/>
          <w:color w:val="000000" w:themeColor="text1"/>
          <w:lang w:val="en-IN"/>
        </w:rPr>
        <w:t>.</w:t>
      </w:r>
    </w:p>
    <w:p w14:paraId="1281C4FA" w14:textId="5B53E700" w:rsidR="005F7C69" w:rsidRPr="00FE591A" w:rsidRDefault="005F7C69">
      <w:pPr>
        <w:numPr>
          <w:ilvl w:val="0"/>
          <w:numId w:val="6"/>
        </w:numPr>
        <w:rPr>
          <w:rFonts w:ascii="Arial" w:hAnsi="Arial" w:cs="Arial"/>
          <w:color w:val="000000" w:themeColor="text1"/>
          <w:lang w:val="en-IN"/>
        </w:rPr>
      </w:pPr>
      <w:r w:rsidRPr="00FE591A">
        <w:rPr>
          <w:rFonts w:ascii="Arial" w:hAnsi="Arial" w:cs="Arial"/>
          <w:b/>
          <w:bCs/>
          <w:color w:val="000000" w:themeColor="text1"/>
          <w:lang w:val="en-IN"/>
        </w:rPr>
        <w:t>Quick Ratio (Acid-Test Ratio):</w:t>
      </w:r>
      <w:r w:rsidRPr="00FE591A">
        <w:rPr>
          <w:rFonts w:ascii="Arial" w:hAnsi="Arial" w:cs="Arial"/>
          <w:color w:val="000000" w:themeColor="text1"/>
          <w:lang w:val="en-IN"/>
        </w:rPr>
        <w:t xml:space="preserve"> The quick ratio, which excludes inventories (less liquid current assets), also declined significantly from 1.46 in 2023 to 0.76 in 2024</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(Seth, 2025)</w:t>
      </w:r>
      <w:r w:rsidRPr="00FE591A">
        <w:rPr>
          <w:rFonts w:ascii="Arial" w:hAnsi="Arial" w:cs="Arial"/>
          <w:color w:val="000000" w:themeColor="text1"/>
          <w:lang w:val="en-IN"/>
        </w:rPr>
        <w:t>. A quick ratio below 1 typically suggests that the company might face challenges in meeting its immediate short-term obligations without relying on inventory sales.</w:t>
      </w:r>
    </w:p>
    <w:tbl>
      <w:tblPr>
        <w:tblStyle w:val="TableGrid"/>
        <w:tblW w:w="0" w:type="auto"/>
        <w:tblLook w:val="04A0" w:firstRow="1" w:lastRow="0" w:firstColumn="1" w:lastColumn="0" w:noHBand="0" w:noVBand="1"/>
      </w:tblPr>
      <w:tblGrid>
        <w:gridCol w:w="4508"/>
        <w:gridCol w:w="4508"/>
      </w:tblGrid>
      <w:tr w:rsidR="00FE591A" w:rsidRPr="00FE591A" w14:paraId="5A6D8953" w14:textId="77777777" w:rsidTr="002A7D30">
        <w:tc>
          <w:tcPr>
            <w:tcW w:w="9016" w:type="dxa"/>
            <w:gridSpan w:val="2"/>
          </w:tcPr>
          <w:p w14:paraId="26991955" w14:textId="1BD03010" w:rsidR="00674179" w:rsidRPr="00FE591A" w:rsidRDefault="00674179"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lastRenderedPageBreak/>
              <w:t>Quick Ratio</w:t>
            </w:r>
          </w:p>
        </w:tc>
      </w:tr>
      <w:tr w:rsidR="00FE591A" w:rsidRPr="00FE591A" w14:paraId="074D8921" w14:textId="77777777" w:rsidTr="002A7D30">
        <w:tc>
          <w:tcPr>
            <w:tcW w:w="4508" w:type="dxa"/>
          </w:tcPr>
          <w:p w14:paraId="373A1EE1"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4BBF5C87"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4471C652" w14:textId="77777777" w:rsidTr="002A7D30">
        <w:tc>
          <w:tcPr>
            <w:tcW w:w="4508" w:type="dxa"/>
          </w:tcPr>
          <w:p w14:paraId="4492618C" w14:textId="3F66CF19"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1.46</w:t>
            </w:r>
          </w:p>
        </w:tc>
        <w:tc>
          <w:tcPr>
            <w:tcW w:w="4508" w:type="dxa"/>
          </w:tcPr>
          <w:p w14:paraId="3EB5184B" w14:textId="75F1E1E9"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0.76</w:t>
            </w:r>
          </w:p>
        </w:tc>
      </w:tr>
    </w:tbl>
    <w:p w14:paraId="307CCD59" w14:textId="77777777" w:rsidR="00674179" w:rsidRPr="00FE591A" w:rsidRDefault="00674179" w:rsidP="00674179">
      <w:pPr>
        <w:rPr>
          <w:rFonts w:ascii="Arial" w:hAnsi="Arial" w:cs="Arial"/>
          <w:color w:val="000000" w:themeColor="text1"/>
          <w:lang w:val="en-IN"/>
        </w:rPr>
      </w:pPr>
    </w:p>
    <w:p w14:paraId="176E6664" w14:textId="792FFDA1" w:rsidR="005F7C69" w:rsidRPr="00FE591A" w:rsidRDefault="005F7C69">
      <w:pPr>
        <w:numPr>
          <w:ilvl w:val="1"/>
          <w:numId w:val="6"/>
        </w:numPr>
        <w:rPr>
          <w:rFonts w:ascii="Arial" w:hAnsi="Arial" w:cs="Arial"/>
          <w:color w:val="000000" w:themeColor="text1"/>
          <w:lang w:val="en-IN"/>
        </w:rPr>
      </w:pPr>
      <w:r w:rsidRPr="00FE591A">
        <w:rPr>
          <w:rFonts w:ascii="Arial" w:hAnsi="Arial" w:cs="Arial"/>
          <w:b/>
          <w:bCs/>
          <w:color w:val="000000" w:themeColor="text1"/>
          <w:lang w:val="en-IN"/>
        </w:rPr>
        <w:t>Possible Reasons:</w:t>
      </w:r>
      <w:r w:rsidRPr="00FE591A">
        <w:rPr>
          <w:rFonts w:ascii="Arial" w:hAnsi="Arial" w:cs="Arial"/>
          <w:color w:val="000000" w:themeColor="text1"/>
          <w:lang w:val="en-IN"/>
        </w:rPr>
        <w:t xml:space="preserve"> Similar to the current ratio, the decrease in highly liquid assets (cash and receivables) and the increase in current liabilities contributed to this decline</w:t>
      </w:r>
      <w:r w:rsidR="00A0589B" w:rsidRPr="00FE591A">
        <w:rPr>
          <w:rFonts w:ascii="Arial" w:hAnsi="Arial" w:cs="Arial"/>
          <w:color w:val="000000" w:themeColor="text1"/>
        </w:rPr>
        <w:t xml:space="preserve"> </w:t>
      </w:r>
      <w:r w:rsidR="00A0589B" w:rsidRPr="00FE591A">
        <w:rPr>
          <w:rFonts w:ascii="Arial" w:hAnsi="Arial" w:cs="Arial"/>
          <w:color w:val="000000" w:themeColor="text1"/>
          <w:lang w:val="en-IN"/>
        </w:rPr>
        <w:t>(Corporate Finance Institute, 2022)</w:t>
      </w:r>
      <w:r w:rsidRPr="00FE591A">
        <w:rPr>
          <w:rFonts w:ascii="Arial" w:hAnsi="Arial" w:cs="Arial"/>
          <w:color w:val="000000" w:themeColor="text1"/>
          <w:lang w:val="en-IN"/>
        </w:rPr>
        <w:t>. The significant increase in inventories in 2024 (from $224.9 Mn to $339.2 Mn) also played a role as it's excluded from this ratio.</w:t>
      </w:r>
    </w:p>
    <w:p w14:paraId="015ACD51" w14:textId="0DB5E1B7" w:rsidR="005F7C69" w:rsidRPr="00FE591A" w:rsidRDefault="005F7C69" w:rsidP="00A0589B">
      <w:pPr>
        <w:pStyle w:val="ListParagraph"/>
        <w:numPr>
          <w:ilvl w:val="0"/>
          <w:numId w:val="37"/>
        </w:numPr>
        <w:rPr>
          <w:rFonts w:ascii="Arial" w:hAnsi="Arial" w:cs="Arial"/>
          <w:color w:val="000000" w:themeColor="text1"/>
          <w:lang w:val="en-IN"/>
        </w:rPr>
      </w:pPr>
      <w:r w:rsidRPr="00FE591A">
        <w:rPr>
          <w:rFonts w:ascii="Arial" w:hAnsi="Arial" w:cs="Arial"/>
          <w:b/>
          <w:bCs/>
          <w:color w:val="000000" w:themeColor="text1"/>
          <w:lang w:val="en-IN"/>
        </w:rPr>
        <w:t>Gearing Ratios</w:t>
      </w:r>
    </w:p>
    <w:p w14:paraId="13835EBE" w14:textId="0A825BEB" w:rsidR="005F7C69" w:rsidRPr="00FE591A" w:rsidRDefault="005F7C69">
      <w:pPr>
        <w:numPr>
          <w:ilvl w:val="0"/>
          <w:numId w:val="7"/>
        </w:numPr>
        <w:rPr>
          <w:rFonts w:ascii="Arial" w:hAnsi="Arial" w:cs="Arial"/>
          <w:color w:val="000000" w:themeColor="text1"/>
          <w:lang w:val="en-IN"/>
        </w:rPr>
      </w:pPr>
      <w:r w:rsidRPr="00FE591A">
        <w:rPr>
          <w:rFonts w:ascii="Arial" w:hAnsi="Arial" w:cs="Arial"/>
          <w:b/>
          <w:bCs/>
          <w:color w:val="000000" w:themeColor="text1"/>
          <w:lang w:val="en-IN"/>
        </w:rPr>
        <w:t>Debt-to-Equity Ratio:</w:t>
      </w:r>
      <w:r w:rsidRPr="00FE591A">
        <w:rPr>
          <w:rFonts w:ascii="Arial" w:hAnsi="Arial" w:cs="Arial"/>
          <w:color w:val="000000" w:themeColor="text1"/>
          <w:lang w:val="en-IN"/>
        </w:rPr>
        <w:t xml:space="preserve"> This ratio increased from 0.65 in 2023 to 0.84 in 2024. An increase indicates that the company is relying more on debt financing relative to equity</w:t>
      </w:r>
      <w:r w:rsidR="00014F52" w:rsidRPr="00FE591A">
        <w:rPr>
          <w:rFonts w:ascii="Arial" w:hAnsi="Arial" w:cs="Arial"/>
          <w:color w:val="000000" w:themeColor="text1"/>
        </w:rPr>
        <w:t xml:space="preserve"> </w:t>
      </w:r>
      <w:r w:rsidR="00014F52" w:rsidRPr="00FE591A">
        <w:rPr>
          <w:rFonts w:ascii="Arial" w:hAnsi="Arial" w:cs="Arial"/>
          <w:color w:val="000000" w:themeColor="text1"/>
          <w:lang w:val="en-IN"/>
        </w:rPr>
        <w:t>(Fernando, 2025)</w:t>
      </w:r>
      <w:r w:rsidRPr="00FE591A">
        <w:rPr>
          <w:rFonts w:ascii="Arial" w:hAnsi="Arial" w:cs="Arial"/>
          <w:color w:val="000000" w:themeColor="text1"/>
          <w:lang w:val="en-IN"/>
        </w:rPr>
        <w:t>. While 0.84 is not excessively high, a rising trend suggests increased financial risk. Higher gearing means a greater burden of interest payments and repayment obligations.</w:t>
      </w:r>
    </w:p>
    <w:tbl>
      <w:tblPr>
        <w:tblStyle w:val="TableGrid"/>
        <w:tblW w:w="0" w:type="auto"/>
        <w:tblLook w:val="04A0" w:firstRow="1" w:lastRow="0" w:firstColumn="1" w:lastColumn="0" w:noHBand="0" w:noVBand="1"/>
      </w:tblPr>
      <w:tblGrid>
        <w:gridCol w:w="4508"/>
        <w:gridCol w:w="4508"/>
      </w:tblGrid>
      <w:tr w:rsidR="00FE591A" w:rsidRPr="00FE591A" w14:paraId="36A8FEFB" w14:textId="77777777" w:rsidTr="002A7D30">
        <w:tc>
          <w:tcPr>
            <w:tcW w:w="9016" w:type="dxa"/>
            <w:gridSpan w:val="2"/>
          </w:tcPr>
          <w:p w14:paraId="3A7F09D5" w14:textId="6FCE0E40" w:rsidR="00674179" w:rsidRPr="00FE591A" w:rsidRDefault="00674179"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t>Debt-to-Equity Ratio</w:t>
            </w:r>
          </w:p>
        </w:tc>
      </w:tr>
      <w:tr w:rsidR="00FE591A" w:rsidRPr="00FE591A" w14:paraId="14E73048" w14:textId="77777777" w:rsidTr="002A7D30">
        <w:tc>
          <w:tcPr>
            <w:tcW w:w="4508" w:type="dxa"/>
          </w:tcPr>
          <w:p w14:paraId="0C4AAB6B"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279EDF3F"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2B91F08C" w14:textId="77777777" w:rsidTr="002A7D30">
        <w:tc>
          <w:tcPr>
            <w:tcW w:w="4508" w:type="dxa"/>
          </w:tcPr>
          <w:p w14:paraId="0433FD12" w14:textId="4B66834F"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0.65</w:t>
            </w:r>
          </w:p>
        </w:tc>
        <w:tc>
          <w:tcPr>
            <w:tcW w:w="4508" w:type="dxa"/>
          </w:tcPr>
          <w:p w14:paraId="598056E2" w14:textId="5B9B44F3"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0.84</w:t>
            </w:r>
          </w:p>
        </w:tc>
      </w:tr>
    </w:tbl>
    <w:p w14:paraId="6F12ACE0" w14:textId="77777777" w:rsidR="00674179" w:rsidRPr="00FE591A" w:rsidRDefault="00674179" w:rsidP="00674179">
      <w:pPr>
        <w:rPr>
          <w:rFonts w:ascii="Arial" w:hAnsi="Arial" w:cs="Arial"/>
          <w:color w:val="000000" w:themeColor="text1"/>
          <w:lang w:val="en-IN"/>
        </w:rPr>
      </w:pPr>
    </w:p>
    <w:p w14:paraId="31D648FC" w14:textId="6577FD38" w:rsidR="005F7C69" w:rsidRPr="00FE591A" w:rsidRDefault="005F7C69">
      <w:pPr>
        <w:numPr>
          <w:ilvl w:val="1"/>
          <w:numId w:val="7"/>
        </w:numPr>
        <w:rPr>
          <w:rFonts w:ascii="Arial" w:hAnsi="Arial" w:cs="Arial"/>
          <w:color w:val="000000" w:themeColor="text1"/>
          <w:lang w:val="en-IN"/>
        </w:rPr>
      </w:pPr>
      <w:r w:rsidRPr="00FE591A">
        <w:rPr>
          <w:rFonts w:ascii="Arial" w:hAnsi="Arial" w:cs="Arial"/>
          <w:b/>
          <w:bCs/>
          <w:color w:val="000000" w:themeColor="text1"/>
          <w:lang w:val="en-IN"/>
        </w:rPr>
        <w:t>Possible Reasons:</w:t>
      </w:r>
      <w:r w:rsidRPr="00FE591A">
        <w:rPr>
          <w:rFonts w:ascii="Arial" w:hAnsi="Arial" w:cs="Arial"/>
          <w:color w:val="000000" w:themeColor="text1"/>
          <w:lang w:val="en-IN"/>
        </w:rPr>
        <w:t xml:space="preserve"> The increase is attributable to a rise in total liabilities (from $2,310.2 Mn to $2,520.5 Mn), notably the non-current portion of debt, and a decrease in total equity (from $3,548.3 Mn to $2,992.9 Mn), primarily due to the net loss recorded in 2024 impacting retained earnings</w:t>
      </w:r>
      <w:r w:rsidR="00014F52" w:rsidRPr="00FE591A">
        <w:rPr>
          <w:rFonts w:ascii="Arial" w:hAnsi="Arial" w:cs="Arial"/>
          <w:color w:val="000000" w:themeColor="text1"/>
        </w:rPr>
        <w:t xml:space="preserve"> </w:t>
      </w:r>
      <w:r w:rsidR="00014F52" w:rsidRPr="00FE591A">
        <w:rPr>
          <w:rFonts w:ascii="Arial" w:hAnsi="Arial" w:cs="Arial"/>
          <w:color w:val="000000" w:themeColor="text1"/>
          <w:lang w:val="en-IN"/>
        </w:rPr>
        <w:t>(Nirmal Bang, 2024)</w:t>
      </w:r>
      <w:r w:rsidRPr="00FE591A">
        <w:rPr>
          <w:rFonts w:ascii="Arial" w:hAnsi="Arial" w:cs="Arial"/>
          <w:color w:val="000000" w:themeColor="text1"/>
          <w:lang w:val="en-IN"/>
        </w:rPr>
        <w:t>.</w:t>
      </w:r>
    </w:p>
    <w:p w14:paraId="04BAC61A" w14:textId="60F408B5" w:rsidR="005F7C69" w:rsidRPr="00FE591A" w:rsidRDefault="005F7C69">
      <w:pPr>
        <w:numPr>
          <w:ilvl w:val="0"/>
          <w:numId w:val="7"/>
        </w:numPr>
        <w:rPr>
          <w:rFonts w:ascii="Arial" w:hAnsi="Arial" w:cs="Arial"/>
          <w:color w:val="000000" w:themeColor="text1"/>
          <w:lang w:val="en-IN"/>
        </w:rPr>
      </w:pPr>
      <w:r w:rsidRPr="00FE591A">
        <w:rPr>
          <w:rFonts w:ascii="Arial" w:hAnsi="Arial" w:cs="Arial"/>
          <w:b/>
          <w:bCs/>
          <w:color w:val="000000" w:themeColor="text1"/>
          <w:lang w:val="en-IN"/>
        </w:rPr>
        <w:t>Debt-to-Assets Ratio:</w:t>
      </w:r>
      <w:r w:rsidRPr="00FE591A">
        <w:rPr>
          <w:rFonts w:ascii="Arial" w:hAnsi="Arial" w:cs="Arial"/>
          <w:color w:val="000000" w:themeColor="text1"/>
          <w:lang w:val="en-IN"/>
        </w:rPr>
        <w:t xml:space="preserve"> This ratio also increased from 0.39 in 2023 to 0.46 in 2024. This signifies that a larger proportion of the company's assets are financed by debt</w:t>
      </w:r>
      <w:r w:rsidR="00014F52" w:rsidRPr="00FE591A">
        <w:rPr>
          <w:rFonts w:ascii="Arial" w:hAnsi="Arial" w:cs="Arial"/>
          <w:color w:val="000000" w:themeColor="text1"/>
        </w:rPr>
        <w:t xml:space="preserve"> </w:t>
      </w:r>
      <w:r w:rsidR="00014F52" w:rsidRPr="00FE591A">
        <w:rPr>
          <w:rFonts w:ascii="Arial" w:hAnsi="Arial" w:cs="Arial"/>
          <w:color w:val="000000" w:themeColor="text1"/>
          <w:lang w:val="en-IN"/>
        </w:rPr>
        <w:t>(Pardosi and Siagian, 2021)</w:t>
      </w:r>
      <w:r w:rsidRPr="00FE591A">
        <w:rPr>
          <w:rFonts w:ascii="Arial" w:hAnsi="Arial" w:cs="Arial"/>
          <w:color w:val="000000" w:themeColor="text1"/>
          <w:lang w:val="en-IN"/>
        </w:rPr>
        <w:t>. Similar to the debt-to-equity ratio, this indicates a higher leverage and potentially increased risk.</w:t>
      </w:r>
    </w:p>
    <w:tbl>
      <w:tblPr>
        <w:tblStyle w:val="TableGrid"/>
        <w:tblW w:w="0" w:type="auto"/>
        <w:tblLook w:val="04A0" w:firstRow="1" w:lastRow="0" w:firstColumn="1" w:lastColumn="0" w:noHBand="0" w:noVBand="1"/>
      </w:tblPr>
      <w:tblGrid>
        <w:gridCol w:w="4508"/>
        <w:gridCol w:w="4508"/>
      </w:tblGrid>
      <w:tr w:rsidR="00FE591A" w:rsidRPr="00FE591A" w14:paraId="4C8CB284" w14:textId="77777777" w:rsidTr="002A7D30">
        <w:tc>
          <w:tcPr>
            <w:tcW w:w="9016" w:type="dxa"/>
            <w:gridSpan w:val="2"/>
          </w:tcPr>
          <w:p w14:paraId="245E310E" w14:textId="7C953F55" w:rsidR="00674179" w:rsidRPr="00FE591A" w:rsidRDefault="00674179"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t>Debt-to-Asset Ratio</w:t>
            </w:r>
          </w:p>
        </w:tc>
      </w:tr>
      <w:tr w:rsidR="00FE591A" w:rsidRPr="00FE591A" w14:paraId="074A0B5F" w14:textId="77777777" w:rsidTr="002A7D30">
        <w:tc>
          <w:tcPr>
            <w:tcW w:w="4508" w:type="dxa"/>
          </w:tcPr>
          <w:p w14:paraId="4CA946EC"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1512A4D4"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56C33705" w14:textId="77777777" w:rsidTr="002A7D30">
        <w:tc>
          <w:tcPr>
            <w:tcW w:w="4508" w:type="dxa"/>
          </w:tcPr>
          <w:p w14:paraId="3EA2F163" w14:textId="31871EF9"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lastRenderedPageBreak/>
              <w:t>0.39</w:t>
            </w:r>
          </w:p>
        </w:tc>
        <w:tc>
          <w:tcPr>
            <w:tcW w:w="4508" w:type="dxa"/>
          </w:tcPr>
          <w:p w14:paraId="0C132D72" w14:textId="3524E02F"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0.46</w:t>
            </w:r>
          </w:p>
        </w:tc>
      </w:tr>
    </w:tbl>
    <w:p w14:paraId="0202114C" w14:textId="77777777" w:rsidR="00674179" w:rsidRPr="00FE591A" w:rsidRDefault="00674179" w:rsidP="00674179">
      <w:pPr>
        <w:rPr>
          <w:rFonts w:ascii="Arial" w:hAnsi="Arial" w:cs="Arial"/>
          <w:color w:val="000000" w:themeColor="text1"/>
          <w:lang w:val="en-IN"/>
        </w:rPr>
      </w:pPr>
    </w:p>
    <w:p w14:paraId="729CD74B" w14:textId="77777777" w:rsidR="00674179" w:rsidRPr="00FE591A" w:rsidRDefault="00674179" w:rsidP="00674179">
      <w:pPr>
        <w:pStyle w:val="NormalWeb"/>
        <w:spacing w:line="360" w:lineRule="auto"/>
        <w:jc w:val="both"/>
        <w:rPr>
          <w:rFonts w:ascii="Arial" w:hAnsi="Arial" w:cs="Arial"/>
          <w:color w:val="000000" w:themeColor="text1"/>
        </w:rPr>
      </w:pPr>
      <w:r w:rsidRPr="00FE591A">
        <w:rPr>
          <w:rFonts w:ascii="Arial" w:hAnsi="Arial" w:cs="Arial"/>
          <w:b/>
          <w:bCs/>
          <w:color w:val="000000" w:themeColor="text1"/>
        </w:rPr>
        <w:t>Possible Reasons for Increase:</w:t>
      </w:r>
    </w:p>
    <w:p w14:paraId="05FC4246" w14:textId="77777777" w:rsidR="00674179" w:rsidRPr="00FE591A" w:rsidRDefault="00674179" w:rsidP="00674179">
      <w:pPr>
        <w:pStyle w:val="NormalWeb"/>
        <w:numPr>
          <w:ilvl w:val="0"/>
          <w:numId w:val="16"/>
        </w:numPr>
        <w:spacing w:line="360" w:lineRule="auto"/>
        <w:jc w:val="both"/>
        <w:rPr>
          <w:rFonts w:ascii="Arial" w:hAnsi="Arial" w:cs="Arial"/>
          <w:color w:val="000000" w:themeColor="text1"/>
        </w:rPr>
      </w:pPr>
      <w:r w:rsidRPr="00FE591A">
        <w:rPr>
          <w:rFonts w:ascii="Arial" w:hAnsi="Arial" w:cs="Arial"/>
          <w:b/>
          <w:bCs/>
          <w:color w:val="000000" w:themeColor="text1"/>
        </w:rPr>
        <w:t>Increase in Total Liabilities:</w:t>
      </w:r>
      <w:r w:rsidRPr="00FE591A">
        <w:rPr>
          <w:rFonts w:ascii="Arial" w:hAnsi="Arial" w:cs="Arial"/>
          <w:color w:val="000000" w:themeColor="text1"/>
        </w:rPr>
        <w:t xml:space="preserve"> As explained above, the absolute amount of debt and other liabilities increased.</w:t>
      </w:r>
    </w:p>
    <w:p w14:paraId="46BB0364" w14:textId="1EA2175D" w:rsidR="00674179" w:rsidRPr="00FE591A" w:rsidRDefault="00674179" w:rsidP="00674179">
      <w:pPr>
        <w:pStyle w:val="NormalWeb"/>
        <w:numPr>
          <w:ilvl w:val="0"/>
          <w:numId w:val="16"/>
        </w:numPr>
        <w:spacing w:line="360" w:lineRule="auto"/>
        <w:jc w:val="both"/>
        <w:rPr>
          <w:rFonts w:ascii="Arial" w:hAnsi="Arial" w:cs="Arial"/>
          <w:color w:val="000000" w:themeColor="text1"/>
        </w:rPr>
      </w:pPr>
      <w:r w:rsidRPr="00FE591A">
        <w:rPr>
          <w:rFonts w:ascii="Arial" w:hAnsi="Arial" w:cs="Arial"/>
          <w:b/>
          <w:bCs/>
          <w:color w:val="000000" w:themeColor="text1"/>
        </w:rPr>
        <w:t>Slight Decrease in Total Assets:</w:t>
      </w:r>
      <w:r w:rsidRPr="00FE591A">
        <w:rPr>
          <w:rFonts w:ascii="Arial" w:hAnsi="Arial" w:cs="Arial"/>
          <w:color w:val="000000" w:themeColor="text1"/>
        </w:rPr>
        <w:t xml:space="preserve"> Total assets slightly decreased from $5,858.5 Mn to $5,513.4 Mn, which, when combined with increased liabilities, leads to a higher proportion of assets being debt-financed</w:t>
      </w:r>
      <w:r w:rsidR="00014F52" w:rsidRPr="00FE591A">
        <w:rPr>
          <w:rFonts w:ascii="Arial" w:hAnsi="Arial" w:cs="Arial"/>
          <w:color w:val="000000" w:themeColor="text1"/>
        </w:rPr>
        <w:t xml:space="preserve"> (Fernando, 2025a)</w:t>
      </w:r>
      <w:r w:rsidRPr="00FE591A">
        <w:rPr>
          <w:rFonts w:ascii="Arial" w:hAnsi="Arial" w:cs="Arial"/>
          <w:color w:val="000000" w:themeColor="text1"/>
        </w:rPr>
        <w:t>.</w:t>
      </w:r>
    </w:p>
    <w:p w14:paraId="2108F2CB" w14:textId="7482C88C" w:rsidR="00014F52" w:rsidRPr="00FE591A" w:rsidRDefault="00A0589B" w:rsidP="00014F52">
      <w:pPr>
        <w:pStyle w:val="NormalWeb"/>
        <w:spacing w:line="360" w:lineRule="auto"/>
        <w:jc w:val="both"/>
        <w:rPr>
          <w:rFonts w:ascii="Arial" w:hAnsi="Arial" w:cs="Arial"/>
          <w:color w:val="000000" w:themeColor="text1"/>
        </w:rPr>
      </w:pPr>
      <w:r w:rsidRPr="00FE591A">
        <w:rPr>
          <w:rFonts w:ascii="Arial" w:hAnsi="Arial" w:cs="Arial"/>
          <w:b/>
          <w:bCs/>
          <w:color w:val="000000" w:themeColor="text1"/>
        </w:rPr>
        <w:t xml:space="preserve">Gearing Ratio: </w:t>
      </w:r>
      <w:r w:rsidR="00014F52" w:rsidRPr="00FE591A">
        <w:rPr>
          <w:rFonts w:ascii="Arial" w:hAnsi="Arial" w:cs="Arial"/>
          <w:color w:val="000000" w:themeColor="text1"/>
        </w:rPr>
        <w:t xml:space="preserve">The gearing ratio has increased from 23% in 2023 to 27% in 2024, indicating that Endeavour Mining Plc is becoming slightly more reliant on debt financing compared to equity (Lenglet, 2022). </w:t>
      </w:r>
      <w:r w:rsidR="00014F52" w:rsidRPr="00014F52">
        <w:rPr>
          <w:rFonts w:ascii="Arial" w:hAnsi="Arial" w:cs="Arial"/>
          <w:color w:val="000000" w:themeColor="text1"/>
        </w:rPr>
        <w:t>This change suggests a shift towards a more leveraged capital structure, although the overall gearing level still remains moderate and within acceptable limits for a capital-intensive industry like mining.</w:t>
      </w:r>
    </w:p>
    <w:tbl>
      <w:tblPr>
        <w:tblStyle w:val="TableGrid"/>
        <w:tblW w:w="0" w:type="auto"/>
        <w:tblLook w:val="04A0" w:firstRow="1" w:lastRow="0" w:firstColumn="1" w:lastColumn="0" w:noHBand="0" w:noVBand="1"/>
      </w:tblPr>
      <w:tblGrid>
        <w:gridCol w:w="4508"/>
        <w:gridCol w:w="4508"/>
      </w:tblGrid>
      <w:tr w:rsidR="00FE591A" w:rsidRPr="00FE591A" w14:paraId="4F034637" w14:textId="77777777" w:rsidTr="002A7D30">
        <w:tc>
          <w:tcPr>
            <w:tcW w:w="9016" w:type="dxa"/>
            <w:gridSpan w:val="2"/>
          </w:tcPr>
          <w:p w14:paraId="5695E1C6" w14:textId="109D9334" w:rsidR="00014F52" w:rsidRPr="00FE591A" w:rsidRDefault="00014F52"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t>Gearing Ratio</w:t>
            </w:r>
          </w:p>
        </w:tc>
      </w:tr>
      <w:tr w:rsidR="00FE591A" w:rsidRPr="00FE591A" w14:paraId="497CDAC6" w14:textId="77777777" w:rsidTr="002A7D30">
        <w:tc>
          <w:tcPr>
            <w:tcW w:w="4508" w:type="dxa"/>
          </w:tcPr>
          <w:p w14:paraId="4BA98B4A" w14:textId="77777777" w:rsidR="00014F52" w:rsidRPr="00FE591A" w:rsidRDefault="00014F52"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42517185" w14:textId="77777777" w:rsidR="00014F52" w:rsidRPr="00FE591A" w:rsidRDefault="00014F52"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53782497" w14:textId="77777777" w:rsidTr="002A7D30">
        <w:tc>
          <w:tcPr>
            <w:tcW w:w="4508" w:type="dxa"/>
          </w:tcPr>
          <w:p w14:paraId="55E1C781" w14:textId="1F75A71E" w:rsidR="00014F52" w:rsidRPr="00FE591A" w:rsidRDefault="00014F52" w:rsidP="002A7D30">
            <w:pPr>
              <w:jc w:val="center"/>
              <w:rPr>
                <w:rFonts w:ascii="Arial" w:hAnsi="Arial" w:cs="Arial"/>
                <w:color w:val="000000" w:themeColor="text1"/>
                <w:lang w:val="en-IN"/>
              </w:rPr>
            </w:pPr>
            <w:r w:rsidRPr="00FE591A">
              <w:rPr>
                <w:rFonts w:ascii="Arial" w:hAnsi="Arial" w:cs="Arial"/>
                <w:color w:val="000000" w:themeColor="text1"/>
                <w:lang w:val="en-IN"/>
              </w:rPr>
              <w:t>23%</w:t>
            </w:r>
          </w:p>
        </w:tc>
        <w:tc>
          <w:tcPr>
            <w:tcW w:w="4508" w:type="dxa"/>
          </w:tcPr>
          <w:p w14:paraId="51AF7714" w14:textId="77BD45D1" w:rsidR="00014F52" w:rsidRPr="00FE591A" w:rsidRDefault="00014F52" w:rsidP="002A7D30">
            <w:pPr>
              <w:jc w:val="center"/>
              <w:rPr>
                <w:rFonts w:ascii="Arial" w:hAnsi="Arial" w:cs="Arial"/>
                <w:color w:val="000000" w:themeColor="text1"/>
                <w:lang w:val="en-IN"/>
              </w:rPr>
            </w:pPr>
            <w:r w:rsidRPr="00FE591A">
              <w:rPr>
                <w:rFonts w:ascii="Arial" w:hAnsi="Arial" w:cs="Arial"/>
                <w:color w:val="000000" w:themeColor="text1"/>
                <w:lang w:val="en-IN"/>
              </w:rPr>
              <w:t>27%</w:t>
            </w:r>
          </w:p>
        </w:tc>
      </w:tr>
    </w:tbl>
    <w:p w14:paraId="29640E74" w14:textId="77777777" w:rsidR="00014F52" w:rsidRPr="00FE591A" w:rsidRDefault="00014F52" w:rsidP="005F7C69">
      <w:pPr>
        <w:rPr>
          <w:rFonts w:ascii="Arial" w:hAnsi="Arial" w:cs="Arial"/>
          <w:b/>
          <w:bCs/>
          <w:color w:val="000000" w:themeColor="text1"/>
          <w:lang w:val="en-IN"/>
        </w:rPr>
      </w:pPr>
    </w:p>
    <w:p w14:paraId="2C02FB02" w14:textId="4C7456DD" w:rsidR="00014F52" w:rsidRPr="00FE591A" w:rsidRDefault="00014F52" w:rsidP="005F7C69">
      <w:pPr>
        <w:rPr>
          <w:rFonts w:ascii="Arial" w:hAnsi="Arial" w:cs="Arial"/>
          <w:b/>
          <w:bCs/>
          <w:color w:val="000000" w:themeColor="text1"/>
          <w:lang w:val="en-IN"/>
        </w:rPr>
      </w:pPr>
      <w:r w:rsidRPr="00FE591A">
        <w:rPr>
          <w:rFonts w:ascii="Arial" w:hAnsi="Arial" w:cs="Arial"/>
          <w:b/>
          <w:bCs/>
          <w:color w:val="000000" w:themeColor="text1"/>
          <w:lang w:val="en-IN"/>
        </w:rPr>
        <w:t xml:space="preserve">Possible Reasons: </w:t>
      </w:r>
    </w:p>
    <w:p w14:paraId="7896EE52" w14:textId="6C15B2AC" w:rsidR="00014F52" w:rsidRPr="00FE591A" w:rsidRDefault="00014F52" w:rsidP="00014F52">
      <w:pPr>
        <w:pStyle w:val="ListParagraph"/>
        <w:numPr>
          <w:ilvl w:val="0"/>
          <w:numId w:val="38"/>
        </w:numPr>
        <w:rPr>
          <w:rFonts w:ascii="Arial" w:hAnsi="Arial" w:cs="Arial"/>
          <w:b/>
          <w:bCs/>
          <w:color w:val="000000" w:themeColor="text1"/>
          <w:lang w:val="en-IN"/>
        </w:rPr>
      </w:pPr>
      <w:r w:rsidRPr="00FE591A">
        <w:rPr>
          <w:rFonts w:ascii="Arial" w:hAnsi="Arial" w:cs="Arial"/>
          <w:b/>
          <w:bCs/>
          <w:color w:val="000000" w:themeColor="text1"/>
          <w:lang w:val="en-IN"/>
        </w:rPr>
        <w:t xml:space="preserve">Fall in Retained Earnings: </w:t>
      </w:r>
      <w:r w:rsidRPr="00FE591A">
        <w:rPr>
          <w:rFonts w:ascii="Arial" w:hAnsi="Arial" w:cs="Arial"/>
          <w:color w:val="000000" w:themeColor="text1"/>
          <w:lang w:val="en-IN"/>
        </w:rPr>
        <w:t>The company's retained earnings dropped significantly from $2,578.0 million in 2023 to $2,054.1 million in 2024, likely due to losses or lower profits, which caused a decrease in total equity and pushed the gearing ratio higher</w:t>
      </w:r>
      <w:r w:rsidRPr="00FE591A">
        <w:rPr>
          <w:rFonts w:ascii="Arial" w:hAnsi="Arial" w:cs="Arial"/>
          <w:color w:val="000000" w:themeColor="text1"/>
        </w:rPr>
        <w:t xml:space="preserve"> </w:t>
      </w:r>
      <w:r w:rsidRPr="00FE591A">
        <w:rPr>
          <w:rFonts w:ascii="Arial" w:hAnsi="Arial" w:cs="Arial"/>
          <w:color w:val="000000" w:themeColor="text1"/>
          <w:lang w:val="en-IN"/>
        </w:rPr>
        <w:t>(Bajaj Finserv, 2023).</w:t>
      </w:r>
    </w:p>
    <w:p w14:paraId="5141A53E" w14:textId="58C2D5CF" w:rsidR="00014F52" w:rsidRPr="00FE591A" w:rsidRDefault="00014F52" w:rsidP="00014F52">
      <w:pPr>
        <w:pStyle w:val="ListParagraph"/>
        <w:numPr>
          <w:ilvl w:val="0"/>
          <w:numId w:val="38"/>
        </w:numPr>
        <w:rPr>
          <w:rFonts w:ascii="Arial" w:hAnsi="Arial" w:cs="Arial"/>
          <w:color w:val="000000" w:themeColor="text1"/>
          <w:lang w:val="en-IN"/>
        </w:rPr>
      </w:pPr>
      <w:r w:rsidRPr="00FE591A">
        <w:rPr>
          <w:rFonts w:ascii="Arial" w:hAnsi="Arial" w:cs="Arial"/>
          <w:b/>
          <w:bCs/>
          <w:color w:val="000000" w:themeColor="text1"/>
          <w:lang w:val="en-IN"/>
        </w:rPr>
        <w:t xml:space="preserve">Increase in Short-Term Debt: </w:t>
      </w:r>
      <w:r w:rsidRPr="00FE591A">
        <w:rPr>
          <w:rFonts w:ascii="Arial" w:hAnsi="Arial" w:cs="Arial"/>
          <w:color w:val="000000" w:themeColor="text1"/>
          <w:lang w:val="en-IN"/>
        </w:rPr>
        <w:t>The current portion of debt rose from $8.5 million in 2023 to $51.2 million in 2024, showing that the company may have taken on more short-term loans or credit facilities to meet working capital needs, increasing overall debt levels</w:t>
      </w:r>
      <w:r w:rsidRPr="00FE591A">
        <w:rPr>
          <w:rFonts w:ascii="Arial" w:hAnsi="Arial" w:cs="Arial"/>
          <w:color w:val="000000" w:themeColor="text1"/>
        </w:rPr>
        <w:t xml:space="preserve"> </w:t>
      </w:r>
      <w:r w:rsidRPr="00FE591A">
        <w:rPr>
          <w:rFonts w:ascii="Arial" w:hAnsi="Arial" w:cs="Arial"/>
          <w:color w:val="000000" w:themeColor="text1"/>
          <w:lang w:val="en-IN"/>
        </w:rPr>
        <w:t>(Tutor Chase, 2025).</w:t>
      </w:r>
    </w:p>
    <w:p w14:paraId="0C4E8769" w14:textId="3D8EC68E" w:rsidR="005F7C69" w:rsidRPr="00FE591A" w:rsidRDefault="005F7C69" w:rsidP="00014F52">
      <w:pPr>
        <w:pStyle w:val="ListParagraph"/>
        <w:numPr>
          <w:ilvl w:val="0"/>
          <w:numId w:val="37"/>
        </w:numPr>
        <w:rPr>
          <w:rFonts w:ascii="Arial" w:hAnsi="Arial" w:cs="Arial"/>
          <w:color w:val="000000" w:themeColor="text1"/>
          <w:lang w:val="en-IN"/>
        </w:rPr>
      </w:pPr>
      <w:r w:rsidRPr="00FE591A">
        <w:rPr>
          <w:rFonts w:ascii="Arial" w:hAnsi="Arial" w:cs="Arial"/>
          <w:b/>
          <w:bCs/>
          <w:color w:val="000000" w:themeColor="text1"/>
          <w:lang w:val="en-IN"/>
        </w:rPr>
        <w:t>Efficiency Ratios</w:t>
      </w:r>
    </w:p>
    <w:p w14:paraId="3BAD8C91" w14:textId="69936135" w:rsidR="005F7C69" w:rsidRPr="00FE591A" w:rsidRDefault="005F7C69">
      <w:pPr>
        <w:numPr>
          <w:ilvl w:val="0"/>
          <w:numId w:val="8"/>
        </w:numPr>
        <w:rPr>
          <w:rFonts w:ascii="Arial" w:hAnsi="Arial" w:cs="Arial"/>
          <w:b/>
          <w:bCs/>
          <w:color w:val="000000" w:themeColor="text1"/>
          <w:lang w:val="en-IN"/>
        </w:rPr>
      </w:pPr>
      <w:r w:rsidRPr="00FE591A">
        <w:rPr>
          <w:rFonts w:ascii="Arial" w:hAnsi="Arial" w:cs="Arial"/>
          <w:b/>
          <w:bCs/>
          <w:color w:val="000000" w:themeColor="text1"/>
          <w:lang w:val="en-IN"/>
        </w:rPr>
        <w:t>Asset Turnover:</w:t>
      </w:r>
      <w:r w:rsidRPr="00FE591A">
        <w:rPr>
          <w:rFonts w:ascii="Arial" w:hAnsi="Arial" w:cs="Arial"/>
          <w:color w:val="000000" w:themeColor="text1"/>
          <w:lang w:val="en-IN"/>
        </w:rPr>
        <w:t xml:space="preserve"> The asset turnover ratio improved from 0.36 times in 2023 to 0.48 times in 2024. This is a positive development, indicating that the company is generating more revenue per dollar of assets</w:t>
      </w:r>
      <w:r w:rsidR="00014F52" w:rsidRPr="00FE591A">
        <w:rPr>
          <w:rFonts w:ascii="Arial" w:hAnsi="Arial" w:cs="Arial"/>
          <w:color w:val="000000" w:themeColor="text1"/>
        </w:rPr>
        <w:t xml:space="preserve"> </w:t>
      </w:r>
      <w:r w:rsidR="00014F52" w:rsidRPr="00FE591A">
        <w:rPr>
          <w:rFonts w:ascii="Arial" w:hAnsi="Arial" w:cs="Arial"/>
          <w:color w:val="000000" w:themeColor="text1"/>
          <w:lang w:val="en-IN"/>
        </w:rPr>
        <w:t>(Asokan, 2022)</w:t>
      </w:r>
      <w:r w:rsidRPr="00FE591A">
        <w:rPr>
          <w:rFonts w:ascii="Arial" w:hAnsi="Arial" w:cs="Arial"/>
          <w:color w:val="000000" w:themeColor="text1"/>
          <w:lang w:val="en-IN"/>
        </w:rPr>
        <w:t xml:space="preserve">. Despite a </w:t>
      </w:r>
      <w:r w:rsidRPr="00FE591A">
        <w:rPr>
          <w:rFonts w:ascii="Arial" w:hAnsi="Arial" w:cs="Arial"/>
          <w:color w:val="000000" w:themeColor="text1"/>
          <w:lang w:val="en-IN"/>
        </w:rPr>
        <w:lastRenderedPageBreak/>
        <w:t>decrease in total assets, the significant increase in revenue drove this improvement.</w:t>
      </w:r>
    </w:p>
    <w:tbl>
      <w:tblPr>
        <w:tblStyle w:val="TableGrid"/>
        <w:tblW w:w="0" w:type="auto"/>
        <w:tblLook w:val="04A0" w:firstRow="1" w:lastRow="0" w:firstColumn="1" w:lastColumn="0" w:noHBand="0" w:noVBand="1"/>
      </w:tblPr>
      <w:tblGrid>
        <w:gridCol w:w="4508"/>
        <w:gridCol w:w="4508"/>
      </w:tblGrid>
      <w:tr w:rsidR="00FE591A" w:rsidRPr="00FE591A" w14:paraId="519ACC32" w14:textId="77777777" w:rsidTr="002A7D30">
        <w:tc>
          <w:tcPr>
            <w:tcW w:w="9016" w:type="dxa"/>
            <w:gridSpan w:val="2"/>
          </w:tcPr>
          <w:p w14:paraId="4FB443D3" w14:textId="181E3BA1" w:rsidR="00674179" w:rsidRPr="00FE591A" w:rsidRDefault="007B6748" w:rsidP="002A7D30">
            <w:pPr>
              <w:ind w:left="360"/>
              <w:jc w:val="center"/>
              <w:rPr>
                <w:rFonts w:ascii="Arial" w:hAnsi="Arial" w:cs="Arial"/>
                <w:b/>
                <w:bCs/>
                <w:color w:val="000000" w:themeColor="text1"/>
                <w:lang w:val="en-IN"/>
              </w:rPr>
            </w:pPr>
            <w:r w:rsidRPr="00FE591A">
              <w:rPr>
                <w:rFonts w:ascii="Arial" w:hAnsi="Arial" w:cs="Arial"/>
                <w:b/>
                <w:bCs/>
                <w:color w:val="000000" w:themeColor="text1"/>
                <w:lang w:val="en-IN"/>
              </w:rPr>
              <w:t>Asset Turnover</w:t>
            </w:r>
          </w:p>
        </w:tc>
      </w:tr>
      <w:tr w:rsidR="00FE591A" w:rsidRPr="00FE591A" w14:paraId="3C09F024" w14:textId="77777777" w:rsidTr="002A7D30">
        <w:tc>
          <w:tcPr>
            <w:tcW w:w="4508" w:type="dxa"/>
          </w:tcPr>
          <w:p w14:paraId="3A986C23"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0479499E" w14:textId="77777777" w:rsidR="00674179" w:rsidRPr="00FE591A" w:rsidRDefault="00674179"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796CA4C0" w14:textId="77777777" w:rsidTr="002A7D30">
        <w:tc>
          <w:tcPr>
            <w:tcW w:w="4508" w:type="dxa"/>
          </w:tcPr>
          <w:p w14:paraId="644E6254" w14:textId="6025BF85"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0.36</w:t>
            </w:r>
          </w:p>
        </w:tc>
        <w:tc>
          <w:tcPr>
            <w:tcW w:w="4508" w:type="dxa"/>
          </w:tcPr>
          <w:p w14:paraId="2E1F14C5" w14:textId="3003D2B2" w:rsidR="00674179" w:rsidRPr="00FE591A" w:rsidRDefault="00674179" w:rsidP="002A7D30">
            <w:pPr>
              <w:jc w:val="center"/>
              <w:rPr>
                <w:rFonts w:ascii="Arial" w:hAnsi="Arial" w:cs="Arial"/>
                <w:color w:val="000000" w:themeColor="text1"/>
                <w:lang w:val="en-IN"/>
              </w:rPr>
            </w:pPr>
            <w:r w:rsidRPr="00FE591A">
              <w:rPr>
                <w:rFonts w:ascii="Arial" w:hAnsi="Arial" w:cs="Arial"/>
                <w:color w:val="000000" w:themeColor="text1"/>
                <w:lang w:val="en-IN"/>
              </w:rPr>
              <w:t>0.48</w:t>
            </w:r>
          </w:p>
        </w:tc>
      </w:tr>
    </w:tbl>
    <w:p w14:paraId="41A91DAA" w14:textId="77777777" w:rsidR="00674179" w:rsidRPr="00FE591A" w:rsidRDefault="00674179" w:rsidP="00674179">
      <w:pPr>
        <w:rPr>
          <w:rFonts w:ascii="Arial" w:hAnsi="Arial" w:cs="Arial"/>
          <w:color w:val="000000" w:themeColor="text1"/>
          <w:lang w:val="en-IN"/>
        </w:rPr>
      </w:pPr>
    </w:p>
    <w:p w14:paraId="0BF66877" w14:textId="0E45B403" w:rsidR="005F7C69" w:rsidRPr="00FE591A" w:rsidRDefault="005F7C69">
      <w:pPr>
        <w:numPr>
          <w:ilvl w:val="1"/>
          <w:numId w:val="8"/>
        </w:numPr>
        <w:rPr>
          <w:rFonts w:ascii="Arial" w:hAnsi="Arial" w:cs="Arial"/>
          <w:color w:val="000000" w:themeColor="text1"/>
          <w:lang w:val="en-IN"/>
        </w:rPr>
      </w:pPr>
      <w:r w:rsidRPr="00FE591A">
        <w:rPr>
          <w:rFonts w:ascii="Arial" w:hAnsi="Arial" w:cs="Arial"/>
          <w:b/>
          <w:bCs/>
          <w:color w:val="000000" w:themeColor="text1"/>
          <w:lang w:val="en-IN"/>
        </w:rPr>
        <w:t>Possible Reasons:</w:t>
      </w:r>
      <w:r w:rsidRPr="00FE591A">
        <w:rPr>
          <w:rFonts w:ascii="Arial" w:hAnsi="Arial" w:cs="Arial"/>
          <w:color w:val="000000" w:themeColor="text1"/>
          <w:lang w:val="en-IN"/>
        </w:rPr>
        <w:t xml:space="preserve"> The company's revenue grew substantially in 2024, demonstrating improved sales generation from its asset base, even as total assets slightly decreased</w:t>
      </w:r>
      <w:r w:rsidR="00014F52" w:rsidRPr="00FE591A">
        <w:rPr>
          <w:rFonts w:ascii="Arial" w:hAnsi="Arial" w:cs="Arial"/>
          <w:color w:val="000000" w:themeColor="text1"/>
        </w:rPr>
        <w:t xml:space="preserve"> </w:t>
      </w:r>
      <w:r w:rsidR="00014F52" w:rsidRPr="00FE591A">
        <w:rPr>
          <w:rFonts w:ascii="Arial" w:hAnsi="Arial" w:cs="Arial"/>
          <w:color w:val="000000" w:themeColor="text1"/>
          <w:lang w:val="en-IN"/>
        </w:rPr>
        <w:t>(Patin, Rahman and Mustafa, 2020)</w:t>
      </w:r>
      <w:r w:rsidRPr="00FE591A">
        <w:rPr>
          <w:rFonts w:ascii="Arial" w:hAnsi="Arial" w:cs="Arial"/>
          <w:color w:val="000000" w:themeColor="text1"/>
          <w:lang w:val="en-IN"/>
        </w:rPr>
        <w:t>.</w:t>
      </w:r>
    </w:p>
    <w:p w14:paraId="0712477E" w14:textId="03AA5A3F" w:rsidR="005F7C69" w:rsidRPr="00FE591A" w:rsidRDefault="005F7C69">
      <w:pPr>
        <w:numPr>
          <w:ilvl w:val="0"/>
          <w:numId w:val="8"/>
        </w:numPr>
        <w:rPr>
          <w:rFonts w:ascii="Arial" w:hAnsi="Arial" w:cs="Arial"/>
          <w:color w:val="000000" w:themeColor="text1"/>
          <w:lang w:val="en-IN"/>
        </w:rPr>
      </w:pPr>
      <w:r w:rsidRPr="00FE591A">
        <w:rPr>
          <w:rFonts w:ascii="Arial" w:hAnsi="Arial" w:cs="Arial"/>
          <w:b/>
          <w:bCs/>
          <w:color w:val="000000" w:themeColor="text1"/>
          <w:lang w:val="en-IN"/>
        </w:rPr>
        <w:t>Inventory Turnover:</w:t>
      </w:r>
      <w:r w:rsidRPr="00FE591A">
        <w:rPr>
          <w:rFonts w:ascii="Arial" w:hAnsi="Arial" w:cs="Arial"/>
          <w:color w:val="000000" w:themeColor="text1"/>
          <w:lang w:val="en-IN"/>
        </w:rPr>
        <w:t xml:space="preserve"> This ratio decreased from 3.50 times in 2023 to 2.97 times in 2024. A lower inventory turnover suggests that the company is holding onto its inventory for a longer period before selling it</w:t>
      </w:r>
      <w:r w:rsidR="00D87D29" w:rsidRPr="00FE591A">
        <w:rPr>
          <w:rFonts w:ascii="Arial" w:hAnsi="Arial" w:cs="Arial"/>
          <w:color w:val="000000" w:themeColor="text1"/>
        </w:rPr>
        <w:t xml:space="preserve"> </w:t>
      </w:r>
      <w:r w:rsidR="00D87D29" w:rsidRPr="00FE591A">
        <w:rPr>
          <w:rFonts w:ascii="Arial" w:hAnsi="Arial" w:cs="Arial"/>
          <w:color w:val="000000" w:themeColor="text1"/>
          <w:lang w:val="en-IN"/>
        </w:rPr>
        <w:t>(Wan, Britto and Zhou, 2019)</w:t>
      </w:r>
      <w:r w:rsidRPr="00FE591A">
        <w:rPr>
          <w:rFonts w:ascii="Arial" w:hAnsi="Arial" w:cs="Arial"/>
          <w:color w:val="000000" w:themeColor="text1"/>
          <w:lang w:val="en-IN"/>
        </w:rPr>
        <w:t>. This could indicate slower sales, overstocking, or potential obsolescence issues.</w:t>
      </w:r>
    </w:p>
    <w:tbl>
      <w:tblPr>
        <w:tblStyle w:val="TableGrid"/>
        <w:tblW w:w="0" w:type="auto"/>
        <w:tblLook w:val="04A0" w:firstRow="1" w:lastRow="0" w:firstColumn="1" w:lastColumn="0" w:noHBand="0" w:noVBand="1"/>
      </w:tblPr>
      <w:tblGrid>
        <w:gridCol w:w="4508"/>
        <w:gridCol w:w="4508"/>
      </w:tblGrid>
      <w:tr w:rsidR="00FE591A" w:rsidRPr="00FE591A" w14:paraId="644AF2EA" w14:textId="77777777" w:rsidTr="002A7D30">
        <w:tc>
          <w:tcPr>
            <w:tcW w:w="9016" w:type="dxa"/>
            <w:gridSpan w:val="2"/>
          </w:tcPr>
          <w:p w14:paraId="3C4954E7" w14:textId="2FC32481" w:rsidR="007B6748" w:rsidRPr="00FE591A" w:rsidRDefault="007B6748"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t>Inventory Turnover</w:t>
            </w:r>
          </w:p>
        </w:tc>
      </w:tr>
      <w:tr w:rsidR="00FE591A" w:rsidRPr="00FE591A" w14:paraId="740CBE76" w14:textId="77777777" w:rsidTr="002A7D30">
        <w:tc>
          <w:tcPr>
            <w:tcW w:w="4508" w:type="dxa"/>
          </w:tcPr>
          <w:p w14:paraId="2A55E269" w14:textId="77777777" w:rsidR="007B6748" w:rsidRPr="00FE591A" w:rsidRDefault="007B6748"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3BDBA319" w14:textId="77777777" w:rsidR="007B6748" w:rsidRPr="00FE591A" w:rsidRDefault="007B6748"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0BEF8BD7" w14:textId="77777777" w:rsidTr="002A7D30">
        <w:tc>
          <w:tcPr>
            <w:tcW w:w="4508" w:type="dxa"/>
          </w:tcPr>
          <w:p w14:paraId="27F3A08A" w14:textId="6C3CC509" w:rsidR="007B6748" w:rsidRPr="00FE591A" w:rsidRDefault="007B6748" w:rsidP="002A7D30">
            <w:pPr>
              <w:jc w:val="center"/>
              <w:rPr>
                <w:rFonts w:ascii="Arial" w:hAnsi="Arial" w:cs="Arial"/>
                <w:color w:val="000000" w:themeColor="text1"/>
                <w:lang w:val="en-IN"/>
              </w:rPr>
            </w:pPr>
            <w:r w:rsidRPr="00FE591A">
              <w:rPr>
                <w:rFonts w:ascii="Arial" w:hAnsi="Arial" w:cs="Arial"/>
                <w:color w:val="000000" w:themeColor="text1"/>
                <w:lang w:val="en-IN"/>
              </w:rPr>
              <w:t>3.50x</w:t>
            </w:r>
          </w:p>
        </w:tc>
        <w:tc>
          <w:tcPr>
            <w:tcW w:w="4508" w:type="dxa"/>
          </w:tcPr>
          <w:p w14:paraId="4862A8B9" w14:textId="059900F4" w:rsidR="007B6748" w:rsidRPr="00FE591A" w:rsidRDefault="007B6748" w:rsidP="002A7D30">
            <w:pPr>
              <w:jc w:val="center"/>
              <w:rPr>
                <w:rFonts w:ascii="Arial" w:hAnsi="Arial" w:cs="Arial"/>
                <w:color w:val="000000" w:themeColor="text1"/>
                <w:lang w:val="en-IN"/>
              </w:rPr>
            </w:pPr>
            <w:r w:rsidRPr="00FE591A">
              <w:rPr>
                <w:rFonts w:ascii="Arial" w:hAnsi="Arial" w:cs="Arial"/>
                <w:color w:val="000000" w:themeColor="text1"/>
                <w:lang w:val="en-IN"/>
              </w:rPr>
              <w:t>2.97x</w:t>
            </w:r>
          </w:p>
        </w:tc>
      </w:tr>
    </w:tbl>
    <w:p w14:paraId="4F893491" w14:textId="21B51DEA" w:rsidR="007B6748" w:rsidRPr="00FE591A" w:rsidRDefault="007B6748" w:rsidP="007B6748">
      <w:pPr>
        <w:rPr>
          <w:rFonts w:ascii="Arial" w:hAnsi="Arial" w:cs="Arial"/>
          <w:color w:val="000000" w:themeColor="text1"/>
          <w:lang w:val="en-IN"/>
        </w:rPr>
      </w:pPr>
    </w:p>
    <w:p w14:paraId="634D7155" w14:textId="6B49C9FB" w:rsidR="005F7C69" w:rsidRPr="00FE591A" w:rsidRDefault="005F7C69">
      <w:pPr>
        <w:numPr>
          <w:ilvl w:val="1"/>
          <w:numId w:val="8"/>
        </w:numPr>
        <w:rPr>
          <w:rFonts w:ascii="Arial" w:hAnsi="Arial" w:cs="Arial"/>
          <w:color w:val="000000" w:themeColor="text1"/>
          <w:lang w:val="en-IN"/>
        </w:rPr>
      </w:pPr>
      <w:r w:rsidRPr="00FE591A">
        <w:rPr>
          <w:rFonts w:ascii="Arial" w:hAnsi="Arial" w:cs="Arial"/>
          <w:b/>
          <w:bCs/>
          <w:color w:val="000000" w:themeColor="text1"/>
          <w:lang w:val="en-IN"/>
        </w:rPr>
        <w:t>Possible Reasons:</w:t>
      </w:r>
      <w:r w:rsidRPr="00FE591A">
        <w:rPr>
          <w:rFonts w:ascii="Arial" w:hAnsi="Arial" w:cs="Arial"/>
          <w:color w:val="000000" w:themeColor="text1"/>
          <w:lang w:val="en-IN"/>
        </w:rPr>
        <w:t xml:space="preserve"> While cost of sales increased, the inventories balance increased at a faster rate, leading to the decline in turnover</w:t>
      </w:r>
      <w:r w:rsidR="00D87D29" w:rsidRPr="00FE591A">
        <w:rPr>
          <w:rFonts w:ascii="Arial" w:hAnsi="Arial" w:cs="Arial"/>
          <w:color w:val="000000" w:themeColor="text1"/>
        </w:rPr>
        <w:t xml:space="preserve"> </w:t>
      </w:r>
      <w:r w:rsidR="00D87D29" w:rsidRPr="00FE591A">
        <w:rPr>
          <w:rFonts w:ascii="Arial" w:hAnsi="Arial" w:cs="Arial"/>
          <w:color w:val="000000" w:themeColor="text1"/>
          <w:lang w:val="en-IN"/>
        </w:rPr>
        <w:t>(Eryatna, Eltivia and Handayawati, 2021)</w:t>
      </w:r>
      <w:r w:rsidRPr="00FE591A">
        <w:rPr>
          <w:rFonts w:ascii="Arial" w:hAnsi="Arial" w:cs="Arial"/>
          <w:color w:val="000000" w:themeColor="text1"/>
          <w:lang w:val="en-IN"/>
        </w:rPr>
        <w:t>. This needs to be monitored to ensure efficient inventory management.</w:t>
      </w:r>
    </w:p>
    <w:p w14:paraId="2D01AB70" w14:textId="5A91FDF5" w:rsidR="005F7C69" w:rsidRPr="00FE591A" w:rsidRDefault="005F7C69">
      <w:pPr>
        <w:numPr>
          <w:ilvl w:val="0"/>
          <w:numId w:val="8"/>
        </w:numPr>
        <w:rPr>
          <w:rFonts w:ascii="Arial" w:hAnsi="Arial" w:cs="Arial"/>
          <w:color w:val="000000" w:themeColor="text1"/>
          <w:lang w:val="en-IN"/>
        </w:rPr>
      </w:pPr>
      <w:r w:rsidRPr="00FE591A">
        <w:rPr>
          <w:rFonts w:ascii="Arial" w:hAnsi="Arial" w:cs="Arial"/>
          <w:b/>
          <w:bCs/>
          <w:color w:val="000000" w:themeColor="text1"/>
          <w:lang w:val="en-IN"/>
        </w:rPr>
        <w:t>Days Sales Outstanding (DSO):</w:t>
      </w:r>
      <w:r w:rsidRPr="00FE591A">
        <w:rPr>
          <w:rFonts w:ascii="Arial" w:hAnsi="Arial" w:cs="Arial"/>
          <w:color w:val="000000" w:themeColor="text1"/>
          <w:lang w:val="en-IN"/>
        </w:rPr>
        <w:t xml:space="preserve"> The DSO improved significantly from 46.5 days in 2023 to 20.5 days in 2024. This is a very positive trend, indicating that the company is collecting its receivables much faste</w:t>
      </w:r>
      <w:r w:rsidR="00D87D29" w:rsidRPr="00FE591A">
        <w:rPr>
          <w:rFonts w:ascii="Arial" w:hAnsi="Arial" w:cs="Arial"/>
          <w:color w:val="000000" w:themeColor="text1"/>
          <w:lang w:val="en-IN"/>
        </w:rPr>
        <w:t>r</w:t>
      </w:r>
      <w:r w:rsidR="00D87D29" w:rsidRPr="00FE591A">
        <w:rPr>
          <w:rFonts w:ascii="Arial" w:hAnsi="Arial" w:cs="Arial"/>
          <w:color w:val="000000" w:themeColor="text1"/>
        </w:rPr>
        <w:t xml:space="preserve"> </w:t>
      </w:r>
      <w:r w:rsidR="00D87D29" w:rsidRPr="00FE591A">
        <w:rPr>
          <w:rFonts w:ascii="Arial" w:hAnsi="Arial" w:cs="Arial"/>
          <w:color w:val="000000" w:themeColor="text1"/>
          <w:lang w:val="en-IN"/>
        </w:rPr>
        <w:t>(High Radius, 2020)</w:t>
      </w:r>
      <w:r w:rsidRPr="00FE591A">
        <w:rPr>
          <w:rFonts w:ascii="Arial" w:hAnsi="Arial" w:cs="Arial"/>
          <w:color w:val="000000" w:themeColor="text1"/>
          <w:lang w:val="en-IN"/>
        </w:rPr>
        <w:t>. This improves cash flow and reduces the risk of bad debts.</w:t>
      </w:r>
    </w:p>
    <w:tbl>
      <w:tblPr>
        <w:tblStyle w:val="TableGrid"/>
        <w:tblW w:w="0" w:type="auto"/>
        <w:tblLook w:val="04A0" w:firstRow="1" w:lastRow="0" w:firstColumn="1" w:lastColumn="0" w:noHBand="0" w:noVBand="1"/>
      </w:tblPr>
      <w:tblGrid>
        <w:gridCol w:w="4508"/>
        <w:gridCol w:w="4508"/>
      </w:tblGrid>
      <w:tr w:rsidR="00FE591A" w:rsidRPr="00FE591A" w14:paraId="44B8C603" w14:textId="77777777" w:rsidTr="002A7D30">
        <w:tc>
          <w:tcPr>
            <w:tcW w:w="9016" w:type="dxa"/>
            <w:gridSpan w:val="2"/>
          </w:tcPr>
          <w:p w14:paraId="2BADC705" w14:textId="77777777" w:rsidR="007B6748" w:rsidRPr="00FE591A" w:rsidRDefault="007B6748" w:rsidP="002A7D30">
            <w:pPr>
              <w:ind w:left="360"/>
              <w:jc w:val="center"/>
              <w:rPr>
                <w:rFonts w:ascii="Arial" w:hAnsi="Arial" w:cs="Arial"/>
                <w:color w:val="000000" w:themeColor="text1"/>
                <w:lang w:val="en-IN"/>
              </w:rPr>
            </w:pPr>
            <w:r w:rsidRPr="00FE591A">
              <w:rPr>
                <w:rFonts w:ascii="Arial" w:hAnsi="Arial" w:cs="Arial"/>
                <w:b/>
                <w:bCs/>
                <w:color w:val="000000" w:themeColor="text1"/>
                <w:lang w:val="en-IN"/>
              </w:rPr>
              <w:t>Debt-to-Asset Ratio</w:t>
            </w:r>
          </w:p>
        </w:tc>
      </w:tr>
      <w:tr w:rsidR="00FE591A" w:rsidRPr="00FE591A" w14:paraId="5132BE1A" w14:textId="77777777" w:rsidTr="002A7D30">
        <w:tc>
          <w:tcPr>
            <w:tcW w:w="4508" w:type="dxa"/>
          </w:tcPr>
          <w:p w14:paraId="7F913318" w14:textId="77777777" w:rsidR="007B6748" w:rsidRPr="00FE591A" w:rsidRDefault="007B6748"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2023</w:t>
            </w:r>
          </w:p>
        </w:tc>
        <w:tc>
          <w:tcPr>
            <w:tcW w:w="4508" w:type="dxa"/>
          </w:tcPr>
          <w:p w14:paraId="00622BB0" w14:textId="77777777" w:rsidR="007B6748" w:rsidRPr="00FE591A" w:rsidRDefault="007B6748" w:rsidP="002A7D30">
            <w:pPr>
              <w:jc w:val="center"/>
              <w:rPr>
                <w:rFonts w:ascii="Arial" w:hAnsi="Arial" w:cs="Arial"/>
                <w:b/>
                <w:bCs/>
                <w:color w:val="000000" w:themeColor="text1"/>
                <w:lang w:val="en-IN"/>
              </w:rPr>
            </w:pPr>
            <w:r w:rsidRPr="00FE591A">
              <w:rPr>
                <w:rFonts w:ascii="Arial" w:hAnsi="Arial" w:cs="Arial"/>
                <w:b/>
                <w:bCs/>
                <w:color w:val="000000" w:themeColor="text1"/>
                <w:lang w:val="en-IN"/>
              </w:rPr>
              <w:t>2024</w:t>
            </w:r>
          </w:p>
        </w:tc>
      </w:tr>
      <w:tr w:rsidR="00FE591A" w:rsidRPr="00FE591A" w14:paraId="11944E79" w14:textId="77777777" w:rsidTr="002A7D30">
        <w:tc>
          <w:tcPr>
            <w:tcW w:w="4508" w:type="dxa"/>
          </w:tcPr>
          <w:p w14:paraId="22B3CA02" w14:textId="77777777" w:rsidR="007B6748" w:rsidRPr="00FE591A" w:rsidRDefault="007B6748" w:rsidP="002A7D30">
            <w:pPr>
              <w:jc w:val="center"/>
              <w:rPr>
                <w:rFonts w:ascii="Arial" w:hAnsi="Arial" w:cs="Arial"/>
                <w:color w:val="000000" w:themeColor="text1"/>
                <w:lang w:val="en-IN"/>
              </w:rPr>
            </w:pPr>
            <w:r w:rsidRPr="00FE591A">
              <w:rPr>
                <w:rFonts w:ascii="Arial" w:hAnsi="Arial" w:cs="Arial"/>
                <w:color w:val="000000" w:themeColor="text1"/>
                <w:lang w:val="en-IN"/>
              </w:rPr>
              <w:t>0.39</w:t>
            </w:r>
          </w:p>
        </w:tc>
        <w:tc>
          <w:tcPr>
            <w:tcW w:w="4508" w:type="dxa"/>
          </w:tcPr>
          <w:p w14:paraId="6659796E" w14:textId="77777777" w:rsidR="007B6748" w:rsidRPr="00FE591A" w:rsidRDefault="007B6748" w:rsidP="002A7D30">
            <w:pPr>
              <w:jc w:val="center"/>
              <w:rPr>
                <w:rFonts w:ascii="Arial" w:hAnsi="Arial" w:cs="Arial"/>
                <w:color w:val="000000" w:themeColor="text1"/>
                <w:lang w:val="en-IN"/>
              </w:rPr>
            </w:pPr>
            <w:r w:rsidRPr="00FE591A">
              <w:rPr>
                <w:rFonts w:ascii="Arial" w:hAnsi="Arial" w:cs="Arial"/>
                <w:color w:val="000000" w:themeColor="text1"/>
                <w:lang w:val="en-IN"/>
              </w:rPr>
              <w:t>0.46</w:t>
            </w:r>
          </w:p>
        </w:tc>
      </w:tr>
    </w:tbl>
    <w:p w14:paraId="010B5AFA" w14:textId="77777777" w:rsidR="007B6748" w:rsidRPr="00FE591A" w:rsidRDefault="007B6748" w:rsidP="007B6748">
      <w:pPr>
        <w:ind w:left="360"/>
        <w:rPr>
          <w:rFonts w:ascii="Arial" w:hAnsi="Arial" w:cs="Arial"/>
          <w:color w:val="000000" w:themeColor="text1"/>
          <w:lang w:val="en-IN"/>
        </w:rPr>
      </w:pPr>
    </w:p>
    <w:p w14:paraId="341AAE32" w14:textId="3214356A" w:rsidR="005F7C69" w:rsidRPr="00FE591A" w:rsidRDefault="005F7C69">
      <w:pPr>
        <w:numPr>
          <w:ilvl w:val="1"/>
          <w:numId w:val="8"/>
        </w:numPr>
        <w:rPr>
          <w:rFonts w:ascii="Arial" w:hAnsi="Arial" w:cs="Arial"/>
          <w:color w:val="000000" w:themeColor="text1"/>
          <w:lang w:val="en-IN"/>
        </w:rPr>
      </w:pPr>
      <w:r w:rsidRPr="00FE591A">
        <w:rPr>
          <w:rFonts w:ascii="Arial" w:hAnsi="Arial" w:cs="Arial"/>
          <w:b/>
          <w:bCs/>
          <w:color w:val="000000" w:themeColor="text1"/>
          <w:lang w:val="en-IN"/>
        </w:rPr>
        <w:lastRenderedPageBreak/>
        <w:t>Possible Reasons:</w:t>
      </w:r>
      <w:r w:rsidRPr="00FE591A">
        <w:rPr>
          <w:rFonts w:ascii="Arial" w:hAnsi="Arial" w:cs="Arial"/>
          <w:color w:val="000000" w:themeColor="text1"/>
          <w:lang w:val="en-IN"/>
        </w:rPr>
        <w:t xml:space="preserve"> This sharp improvement could be due to more efficient credit and collection policies, or a change in the mix of sales towards customers with faster payment terms</w:t>
      </w:r>
      <w:r w:rsidR="00D87D29" w:rsidRPr="00FE591A">
        <w:rPr>
          <w:rFonts w:ascii="Arial" w:hAnsi="Arial" w:cs="Arial"/>
          <w:color w:val="000000" w:themeColor="text1"/>
        </w:rPr>
        <w:t xml:space="preserve"> </w:t>
      </w:r>
      <w:r w:rsidR="00D87D29" w:rsidRPr="00FE591A">
        <w:rPr>
          <w:rFonts w:ascii="Arial" w:hAnsi="Arial" w:cs="Arial"/>
          <w:color w:val="000000" w:themeColor="text1"/>
          <w:lang w:val="en-IN"/>
        </w:rPr>
        <w:t>(Mandalaputri, Fettry and Felisia, 2021)</w:t>
      </w:r>
      <w:r w:rsidRPr="00FE591A">
        <w:rPr>
          <w:rFonts w:ascii="Arial" w:hAnsi="Arial" w:cs="Arial"/>
          <w:color w:val="000000" w:themeColor="text1"/>
          <w:lang w:val="en-IN"/>
        </w:rPr>
        <w:t>.</w:t>
      </w:r>
    </w:p>
    <w:p w14:paraId="7E998B14" w14:textId="122CFA8E" w:rsidR="005F7C69" w:rsidRPr="00FE591A" w:rsidRDefault="005F7C69" w:rsidP="005F7C69">
      <w:pPr>
        <w:rPr>
          <w:rFonts w:ascii="Arial" w:hAnsi="Arial" w:cs="Arial"/>
          <w:color w:val="000000" w:themeColor="text1"/>
          <w:lang w:val="en-IN"/>
        </w:rPr>
      </w:pPr>
      <w:r w:rsidRPr="00FE591A">
        <w:rPr>
          <w:rFonts w:ascii="Arial" w:hAnsi="Arial" w:cs="Arial"/>
          <w:b/>
          <w:bCs/>
          <w:color w:val="000000" w:themeColor="text1"/>
          <w:lang w:val="en-IN"/>
        </w:rPr>
        <w:t>Investor Ratios</w:t>
      </w:r>
    </w:p>
    <w:p w14:paraId="63797314" w14:textId="7EEFCA2F" w:rsidR="005F7C69" w:rsidRPr="00FE591A" w:rsidRDefault="005F7C69">
      <w:pPr>
        <w:numPr>
          <w:ilvl w:val="0"/>
          <w:numId w:val="9"/>
        </w:numPr>
        <w:rPr>
          <w:rFonts w:ascii="Arial" w:hAnsi="Arial" w:cs="Arial"/>
          <w:color w:val="000000" w:themeColor="text1"/>
          <w:lang w:val="en-IN"/>
        </w:rPr>
      </w:pPr>
      <w:r w:rsidRPr="00FE591A">
        <w:rPr>
          <w:rFonts w:ascii="Arial" w:hAnsi="Arial" w:cs="Arial"/>
          <w:b/>
          <w:bCs/>
          <w:color w:val="000000" w:themeColor="text1"/>
          <w:lang w:val="en-IN"/>
        </w:rPr>
        <w:t>Basic EPS:</w:t>
      </w:r>
      <w:r w:rsidRPr="00FE591A">
        <w:rPr>
          <w:rFonts w:ascii="Arial" w:hAnsi="Arial" w:cs="Arial"/>
          <w:color w:val="000000" w:themeColor="text1"/>
          <w:lang w:val="en-IN"/>
        </w:rPr>
        <w:t xml:space="preserve"> The basic EPS declined further into negative territory, from $(0.85) in 2023 to $(1.23) in 2024. This reflects the increased net loss attributable to shareholders</w:t>
      </w:r>
      <w:r w:rsidR="00D87D29" w:rsidRPr="00FE591A">
        <w:rPr>
          <w:rFonts w:ascii="Arial" w:hAnsi="Arial" w:cs="Arial"/>
          <w:color w:val="000000" w:themeColor="text1"/>
        </w:rPr>
        <w:t xml:space="preserve"> </w:t>
      </w:r>
      <w:r w:rsidR="00D87D29" w:rsidRPr="00FE591A">
        <w:rPr>
          <w:rFonts w:ascii="Arial" w:hAnsi="Arial" w:cs="Arial"/>
          <w:color w:val="000000" w:themeColor="text1"/>
          <w:lang w:val="en-IN"/>
        </w:rPr>
        <w:t>(Winvesta, 2025)</w:t>
      </w:r>
      <w:r w:rsidRPr="00FE591A">
        <w:rPr>
          <w:rFonts w:ascii="Arial" w:hAnsi="Arial" w:cs="Arial"/>
          <w:color w:val="000000" w:themeColor="text1"/>
          <w:lang w:val="en-IN"/>
        </w:rPr>
        <w:t>. A negative EPS means the company is losing money per share, which is a major concern for investors.</w:t>
      </w:r>
    </w:p>
    <w:p w14:paraId="4540A700" w14:textId="589F6355" w:rsidR="005F7C69" w:rsidRPr="00FE591A" w:rsidRDefault="005F7C69">
      <w:pPr>
        <w:numPr>
          <w:ilvl w:val="0"/>
          <w:numId w:val="9"/>
        </w:numPr>
        <w:rPr>
          <w:rFonts w:ascii="Arial" w:hAnsi="Arial" w:cs="Arial"/>
          <w:color w:val="000000" w:themeColor="text1"/>
          <w:lang w:val="en-IN"/>
        </w:rPr>
      </w:pPr>
      <w:r w:rsidRPr="00FE591A">
        <w:rPr>
          <w:rFonts w:ascii="Arial" w:hAnsi="Arial" w:cs="Arial"/>
          <w:b/>
          <w:bCs/>
          <w:color w:val="000000" w:themeColor="text1"/>
          <w:lang w:val="en-IN"/>
        </w:rPr>
        <w:t>P/E Ratio</w:t>
      </w:r>
      <w:r w:rsidR="00706F48" w:rsidRPr="00FE591A">
        <w:rPr>
          <w:rFonts w:ascii="Arial" w:hAnsi="Arial" w:cs="Arial"/>
          <w:b/>
          <w:bCs/>
          <w:color w:val="000000" w:themeColor="text1"/>
          <w:lang w:val="en-IN"/>
        </w:rPr>
        <w:t xml:space="preserve">: </w:t>
      </w:r>
      <w:r w:rsidR="00706F48" w:rsidRPr="00FE591A">
        <w:rPr>
          <w:rFonts w:ascii="Arial" w:hAnsi="Arial" w:cs="Arial"/>
          <w:color w:val="000000" w:themeColor="text1"/>
          <w:lang w:val="en-IN"/>
        </w:rPr>
        <w:t>Although the loss per share got worse in 2024 (from -$0.85 to -$1.23), the P/E ratio became less negative because the share price also dropped (from $22.13 to $18.15). This makes the P/E move closer to zero.</w:t>
      </w:r>
    </w:p>
    <w:p w14:paraId="5FE20745" w14:textId="610061BA" w:rsidR="00706F48" w:rsidRPr="00FE591A" w:rsidRDefault="00706F48" w:rsidP="00706F48">
      <w:pPr>
        <w:rPr>
          <w:rFonts w:ascii="Arial" w:hAnsi="Arial" w:cs="Arial"/>
          <w:b/>
          <w:bCs/>
          <w:color w:val="000000" w:themeColor="text1"/>
          <w:lang w:val="en-IN"/>
        </w:rPr>
      </w:pPr>
      <w:r w:rsidRPr="00FE591A">
        <w:rPr>
          <w:rFonts w:ascii="Arial" w:hAnsi="Arial" w:cs="Arial"/>
          <w:b/>
          <w:bCs/>
          <w:color w:val="000000" w:themeColor="text1"/>
          <w:lang w:val="en-IN"/>
        </w:rPr>
        <w:t xml:space="preserve">Possible Reasons: </w:t>
      </w:r>
    </w:p>
    <w:p w14:paraId="6E5352D7" w14:textId="566140F8" w:rsidR="00706F48" w:rsidRPr="00FE591A" w:rsidRDefault="00706F48" w:rsidP="00706F48">
      <w:pPr>
        <w:pStyle w:val="ListParagraph"/>
        <w:numPr>
          <w:ilvl w:val="0"/>
          <w:numId w:val="17"/>
        </w:numPr>
        <w:rPr>
          <w:rFonts w:ascii="Arial" w:hAnsi="Arial" w:cs="Arial"/>
          <w:color w:val="000000" w:themeColor="text1"/>
          <w:lang w:val="en-IN"/>
        </w:rPr>
      </w:pPr>
      <w:r w:rsidRPr="00FE591A">
        <w:rPr>
          <w:rFonts w:ascii="Arial" w:hAnsi="Arial" w:cs="Arial"/>
          <w:color w:val="000000" w:themeColor="text1"/>
          <w:lang w:val="en-IN"/>
        </w:rPr>
        <w:t>In 2024, Endeavour Mining's loss per share got worse due to higher costs, asset impairments, financial losses, and taxes which causes the EPS to drop from -$0.85 to -$1.23</w:t>
      </w:r>
      <w:r w:rsidR="00D87D29" w:rsidRPr="00FE591A">
        <w:rPr>
          <w:rFonts w:ascii="Arial" w:hAnsi="Arial" w:cs="Arial"/>
          <w:color w:val="000000" w:themeColor="text1"/>
        </w:rPr>
        <w:t xml:space="preserve"> </w:t>
      </w:r>
      <w:r w:rsidR="00D87D29" w:rsidRPr="00FE591A">
        <w:rPr>
          <w:rFonts w:ascii="Arial" w:hAnsi="Arial" w:cs="Arial"/>
          <w:color w:val="000000" w:themeColor="text1"/>
          <w:lang w:val="en-IN"/>
        </w:rPr>
        <w:t>(Sari and Wahjoedi, 2021)</w:t>
      </w:r>
      <w:r w:rsidRPr="00FE591A">
        <w:rPr>
          <w:rFonts w:ascii="Arial" w:hAnsi="Arial" w:cs="Arial"/>
          <w:color w:val="000000" w:themeColor="text1"/>
          <w:lang w:val="en-IN"/>
        </w:rPr>
        <w:t>.</w:t>
      </w:r>
    </w:p>
    <w:p w14:paraId="0D9DFC9E" w14:textId="4BEB8332" w:rsidR="00706F48" w:rsidRPr="00FE591A" w:rsidRDefault="00706F48" w:rsidP="00706F48">
      <w:pPr>
        <w:pStyle w:val="ListParagraph"/>
        <w:numPr>
          <w:ilvl w:val="0"/>
          <w:numId w:val="17"/>
        </w:numPr>
        <w:rPr>
          <w:rFonts w:ascii="Arial" w:hAnsi="Arial" w:cs="Arial"/>
          <w:color w:val="000000" w:themeColor="text1"/>
          <w:lang w:val="en-IN"/>
        </w:rPr>
      </w:pPr>
      <w:r w:rsidRPr="00FE591A">
        <w:rPr>
          <w:rFonts w:ascii="Arial" w:hAnsi="Arial" w:cs="Arial"/>
          <w:color w:val="000000" w:themeColor="text1"/>
          <w:lang w:val="en-IN"/>
        </w:rPr>
        <w:t>At the same time, the share price fell from $22.13 to $18.15, which made the P/E ratio less negative (from -26.03 to -14.76), possibly showing that investors expected the losses or hope for recovery.</w:t>
      </w:r>
    </w:p>
    <w:p w14:paraId="0D69165B" w14:textId="77777777" w:rsidR="005F7C69" w:rsidRPr="00FE591A" w:rsidRDefault="005F7C69" w:rsidP="005F7C69">
      <w:pPr>
        <w:pStyle w:val="Heading2"/>
        <w:rPr>
          <w:rFonts w:cs="Arial"/>
          <w:color w:val="000000" w:themeColor="text1"/>
          <w:lang w:val="en-IN"/>
        </w:rPr>
      </w:pPr>
      <w:bookmarkStart w:id="3" w:name="_Toc203898039"/>
      <w:r w:rsidRPr="00FE591A">
        <w:rPr>
          <w:rFonts w:cs="Arial"/>
          <w:color w:val="000000" w:themeColor="text1"/>
        </w:rPr>
        <w:t>Limitations of Ratio Analysis</w:t>
      </w:r>
      <w:bookmarkEnd w:id="3"/>
    </w:p>
    <w:p w14:paraId="138B5D3B" w14:textId="77777777" w:rsidR="005F7C69" w:rsidRPr="00FE591A" w:rsidRDefault="005F7C69" w:rsidP="005F7C69">
      <w:pPr>
        <w:pStyle w:val="NormalWeb"/>
        <w:spacing w:line="360" w:lineRule="auto"/>
        <w:jc w:val="both"/>
        <w:rPr>
          <w:rFonts w:ascii="Arial" w:hAnsi="Arial" w:cs="Arial"/>
          <w:color w:val="000000" w:themeColor="text1"/>
        </w:rPr>
      </w:pPr>
      <w:r w:rsidRPr="00FE591A">
        <w:rPr>
          <w:rFonts w:ascii="Arial" w:hAnsi="Arial" w:cs="Arial"/>
          <w:color w:val="000000" w:themeColor="text1"/>
        </w:rPr>
        <w:t>It is crucial to acknowledge the limitations of ratio analysis in providing a complete picture of the company's financial health:</w:t>
      </w:r>
    </w:p>
    <w:p w14:paraId="64844E70" w14:textId="2A70D1C6" w:rsidR="005F7C69" w:rsidRPr="00FE591A" w:rsidRDefault="005F7C69">
      <w:pPr>
        <w:pStyle w:val="NormalWeb"/>
        <w:numPr>
          <w:ilvl w:val="0"/>
          <w:numId w:val="10"/>
        </w:numPr>
        <w:spacing w:line="360" w:lineRule="auto"/>
        <w:jc w:val="both"/>
        <w:rPr>
          <w:rFonts w:ascii="Arial" w:hAnsi="Arial" w:cs="Arial"/>
          <w:color w:val="000000" w:themeColor="text1"/>
        </w:rPr>
      </w:pPr>
      <w:r w:rsidRPr="00FE591A">
        <w:rPr>
          <w:rFonts w:ascii="Arial" w:hAnsi="Arial" w:cs="Arial"/>
          <w:b/>
          <w:bCs/>
          <w:color w:val="000000" w:themeColor="text1"/>
        </w:rPr>
        <w:t>Historical Data:</w:t>
      </w:r>
      <w:r w:rsidRPr="00FE591A">
        <w:rPr>
          <w:rFonts w:ascii="Arial" w:hAnsi="Arial" w:cs="Arial"/>
          <w:color w:val="000000" w:themeColor="text1"/>
        </w:rPr>
        <w:t xml:space="preserve"> Ratios are based on historical financial statements and may not be indicative of future performance, especially in dynamic industries like mining</w:t>
      </w:r>
      <w:r w:rsidR="00CA0DDD" w:rsidRPr="00FE591A">
        <w:rPr>
          <w:rFonts w:ascii="Arial" w:hAnsi="Arial" w:cs="Arial"/>
          <w:color w:val="000000" w:themeColor="text1"/>
        </w:rPr>
        <w:t xml:space="preserve"> (Gâdoiu, 2014)</w:t>
      </w:r>
      <w:r w:rsidRPr="00FE591A">
        <w:rPr>
          <w:rFonts w:ascii="Arial" w:hAnsi="Arial" w:cs="Arial"/>
          <w:color w:val="000000" w:themeColor="text1"/>
        </w:rPr>
        <w:t>.</w:t>
      </w:r>
    </w:p>
    <w:p w14:paraId="42C20CC2" w14:textId="77777777" w:rsidR="005F7C69" w:rsidRPr="00FE591A" w:rsidRDefault="005F7C69">
      <w:pPr>
        <w:pStyle w:val="NormalWeb"/>
        <w:numPr>
          <w:ilvl w:val="0"/>
          <w:numId w:val="10"/>
        </w:numPr>
        <w:spacing w:line="360" w:lineRule="auto"/>
        <w:jc w:val="both"/>
        <w:rPr>
          <w:rFonts w:ascii="Arial" w:hAnsi="Arial" w:cs="Arial"/>
          <w:color w:val="000000" w:themeColor="text1"/>
        </w:rPr>
      </w:pPr>
      <w:r w:rsidRPr="00FE591A">
        <w:rPr>
          <w:rFonts w:ascii="Arial" w:hAnsi="Arial" w:cs="Arial"/>
          <w:b/>
          <w:bCs/>
          <w:color w:val="000000" w:themeColor="text1"/>
        </w:rPr>
        <w:t>Industry Comparisons:</w:t>
      </w:r>
      <w:r w:rsidRPr="00FE591A">
        <w:rPr>
          <w:rFonts w:ascii="Arial" w:hAnsi="Arial" w:cs="Arial"/>
          <w:color w:val="000000" w:themeColor="text1"/>
        </w:rPr>
        <w:t xml:space="preserve"> While ratios provide insights into trends, direct comparisons with industry averages or competitors can be challenging due to differences in accounting policies, business models, and operational scale.</w:t>
      </w:r>
    </w:p>
    <w:p w14:paraId="297041CC" w14:textId="6FC8A1DA" w:rsidR="005F7C69" w:rsidRPr="00FE591A" w:rsidRDefault="005F7C69">
      <w:pPr>
        <w:pStyle w:val="NormalWeb"/>
        <w:numPr>
          <w:ilvl w:val="0"/>
          <w:numId w:val="10"/>
        </w:numPr>
        <w:spacing w:line="360" w:lineRule="auto"/>
        <w:jc w:val="both"/>
        <w:rPr>
          <w:rFonts w:ascii="Arial" w:hAnsi="Arial" w:cs="Arial"/>
          <w:color w:val="000000" w:themeColor="text1"/>
        </w:rPr>
      </w:pPr>
      <w:r w:rsidRPr="00FE591A">
        <w:rPr>
          <w:rFonts w:ascii="Arial" w:hAnsi="Arial" w:cs="Arial"/>
          <w:b/>
          <w:bCs/>
          <w:color w:val="000000" w:themeColor="text1"/>
        </w:rPr>
        <w:t>Accounting Policies:</w:t>
      </w:r>
      <w:r w:rsidRPr="00FE591A">
        <w:rPr>
          <w:rFonts w:ascii="Arial" w:hAnsi="Arial" w:cs="Arial"/>
          <w:color w:val="000000" w:themeColor="text1"/>
        </w:rPr>
        <w:t xml:space="preserve"> Different accounting methods (e.g., inventory valuation, depreciation) can significantly impact ratio results, making comparisons </w:t>
      </w:r>
      <w:r w:rsidRPr="00FE591A">
        <w:rPr>
          <w:rFonts w:ascii="Arial" w:hAnsi="Arial" w:cs="Arial"/>
          <w:color w:val="000000" w:themeColor="text1"/>
        </w:rPr>
        <w:lastRenderedPageBreak/>
        <w:t>difficult. For instance, large impairment charges in 2024 dramatically impacted profitability ratios but might not reflect core operational efficiency</w:t>
      </w:r>
      <w:r w:rsidR="00CA0DDD" w:rsidRPr="00FE591A">
        <w:rPr>
          <w:rFonts w:ascii="Arial" w:hAnsi="Arial" w:cs="Arial"/>
          <w:color w:val="000000" w:themeColor="text1"/>
        </w:rPr>
        <w:t xml:space="preserve"> (Gâdoiu, 2014)</w:t>
      </w:r>
      <w:r w:rsidRPr="00FE591A">
        <w:rPr>
          <w:rFonts w:ascii="Arial" w:hAnsi="Arial" w:cs="Arial"/>
          <w:color w:val="000000" w:themeColor="text1"/>
        </w:rPr>
        <w:t>.</w:t>
      </w:r>
    </w:p>
    <w:p w14:paraId="52990859" w14:textId="1BCE589D" w:rsidR="005F7C69" w:rsidRPr="00FE591A" w:rsidRDefault="005F7C69">
      <w:pPr>
        <w:pStyle w:val="NormalWeb"/>
        <w:numPr>
          <w:ilvl w:val="0"/>
          <w:numId w:val="10"/>
        </w:numPr>
        <w:spacing w:line="360" w:lineRule="auto"/>
        <w:jc w:val="both"/>
        <w:rPr>
          <w:rFonts w:ascii="Arial" w:hAnsi="Arial" w:cs="Arial"/>
          <w:color w:val="000000" w:themeColor="text1"/>
        </w:rPr>
      </w:pPr>
      <w:r w:rsidRPr="00FE591A">
        <w:rPr>
          <w:rFonts w:ascii="Arial" w:hAnsi="Arial" w:cs="Arial"/>
          <w:b/>
          <w:bCs/>
          <w:color w:val="000000" w:themeColor="text1"/>
        </w:rPr>
        <w:t>Window Dressing:</w:t>
      </w:r>
      <w:r w:rsidRPr="00FE591A">
        <w:rPr>
          <w:rFonts w:ascii="Arial" w:hAnsi="Arial" w:cs="Arial"/>
          <w:color w:val="000000" w:themeColor="text1"/>
        </w:rPr>
        <w:t xml:space="preserve"> Companies may engage in "window dressing" at year-end to make their financial statements appear more attractive, temporarily distorting ratios</w:t>
      </w:r>
      <w:r w:rsidR="00CA0DDD" w:rsidRPr="00FE591A">
        <w:rPr>
          <w:rFonts w:ascii="Arial" w:hAnsi="Arial" w:cs="Arial"/>
          <w:color w:val="000000" w:themeColor="text1"/>
        </w:rPr>
        <w:t xml:space="preserve"> (CFI, 2025)</w:t>
      </w:r>
      <w:r w:rsidRPr="00FE591A">
        <w:rPr>
          <w:rFonts w:ascii="Arial" w:hAnsi="Arial" w:cs="Arial"/>
          <w:color w:val="000000" w:themeColor="text1"/>
        </w:rPr>
        <w:t>.</w:t>
      </w:r>
    </w:p>
    <w:p w14:paraId="53E224FC" w14:textId="4B6D97E8" w:rsidR="005F7C69" w:rsidRPr="00FE591A" w:rsidRDefault="005F7C69">
      <w:pPr>
        <w:pStyle w:val="NormalWeb"/>
        <w:numPr>
          <w:ilvl w:val="0"/>
          <w:numId w:val="10"/>
        </w:numPr>
        <w:spacing w:line="360" w:lineRule="auto"/>
        <w:jc w:val="both"/>
        <w:rPr>
          <w:rFonts w:ascii="Arial" w:hAnsi="Arial" w:cs="Arial"/>
          <w:color w:val="000000" w:themeColor="text1"/>
        </w:rPr>
      </w:pPr>
      <w:r w:rsidRPr="00FE591A">
        <w:rPr>
          <w:rFonts w:ascii="Arial" w:hAnsi="Arial" w:cs="Arial"/>
          <w:b/>
          <w:bCs/>
          <w:color w:val="000000" w:themeColor="text1"/>
        </w:rPr>
        <w:t>Non-Financial Factors:</w:t>
      </w:r>
      <w:r w:rsidRPr="00FE591A">
        <w:rPr>
          <w:rFonts w:ascii="Arial" w:hAnsi="Arial" w:cs="Arial"/>
          <w:color w:val="000000" w:themeColor="text1"/>
        </w:rPr>
        <w:t xml:space="preserve"> Ratio analysis does not consider qualitative factors </w:t>
      </w:r>
      <w:r w:rsidR="00CA0DDD" w:rsidRPr="00FE591A">
        <w:rPr>
          <w:rFonts w:ascii="Arial" w:hAnsi="Arial" w:cs="Arial"/>
          <w:color w:val="000000" w:themeColor="text1"/>
        </w:rPr>
        <w:t>including</w:t>
      </w:r>
      <w:r w:rsidRPr="00FE591A">
        <w:rPr>
          <w:rFonts w:ascii="Arial" w:hAnsi="Arial" w:cs="Arial"/>
          <w:color w:val="000000" w:themeColor="text1"/>
        </w:rPr>
        <w:t xml:space="preserve"> management quality, market conditions, technological advancements, regulatory environment, or geopolitical risks, all of which are crucial for a mining company like Endeavour Mining PLC</w:t>
      </w:r>
      <w:r w:rsidR="00CA0DDD" w:rsidRPr="00FE591A">
        <w:rPr>
          <w:rFonts w:ascii="Arial" w:hAnsi="Arial" w:cs="Arial"/>
          <w:color w:val="000000" w:themeColor="text1"/>
        </w:rPr>
        <w:t xml:space="preserve"> (Madrid-Guijarro, García-Pérez-de-Lema and van Auken, 2011)</w:t>
      </w:r>
      <w:r w:rsidRPr="00FE591A">
        <w:rPr>
          <w:rFonts w:ascii="Arial" w:hAnsi="Arial" w:cs="Arial"/>
          <w:color w:val="000000" w:themeColor="text1"/>
        </w:rPr>
        <w:t>.</w:t>
      </w:r>
    </w:p>
    <w:p w14:paraId="25B1AB8B" w14:textId="03E1D1CE" w:rsidR="005F7C69" w:rsidRPr="00FE591A" w:rsidRDefault="005F7C69">
      <w:pPr>
        <w:pStyle w:val="NormalWeb"/>
        <w:numPr>
          <w:ilvl w:val="0"/>
          <w:numId w:val="10"/>
        </w:numPr>
        <w:spacing w:line="360" w:lineRule="auto"/>
        <w:jc w:val="both"/>
        <w:rPr>
          <w:rFonts w:ascii="Arial" w:hAnsi="Arial" w:cs="Arial"/>
          <w:color w:val="000000" w:themeColor="text1"/>
        </w:rPr>
      </w:pPr>
      <w:r w:rsidRPr="00FE591A">
        <w:rPr>
          <w:rFonts w:ascii="Arial" w:hAnsi="Arial" w:cs="Arial"/>
          <w:b/>
          <w:bCs/>
          <w:color w:val="000000" w:themeColor="text1"/>
        </w:rPr>
        <w:t>Inflation:</w:t>
      </w:r>
      <w:r w:rsidRPr="00FE591A">
        <w:rPr>
          <w:rFonts w:ascii="Arial" w:hAnsi="Arial" w:cs="Arial"/>
          <w:color w:val="000000" w:themeColor="text1"/>
        </w:rPr>
        <w:t xml:space="preserve"> In periods of high inflation, historical cost accounting can distort asset values and profitability</w:t>
      </w:r>
      <w:r w:rsidR="00CA0DDD" w:rsidRPr="00FE591A">
        <w:rPr>
          <w:rFonts w:ascii="Arial" w:hAnsi="Arial" w:cs="Arial"/>
          <w:color w:val="000000" w:themeColor="text1"/>
        </w:rPr>
        <w:t xml:space="preserve"> (Ilter, 2012)</w:t>
      </w:r>
      <w:r w:rsidRPr="00FE591A">
        <w:rPr>
          <w:rFonts w:ascii="Arial" w:hAnsi="Arial" w:cs="Arial"/>
          <w:color w:val="000000" w:themeColor="text1"/>
        </w:rPr>
        <w:t>.</w:t>
      </w:r>
    </w:p>
    <w:p w14:paraId="013B341C" w14:textId="4D78BAB0" w:rsidR="005F7C69" w:rsidRPr="00FE591A" w:rsidRDefault="005F7C69" w:rsidP="005F7C69">
      <w:pPr>
        <w:pStyle w:val="NormalWeb"/>
        <w:numPr>
          <w:ilvl w:val="0"/>
          <w:numId w:val="10"/>
        </w:numPr>
        <w:spacing w:line="360" w:lineRule="auto"/>
        <w:jc w:val="both"/>
        <w:rPr>
          <w:rFonts w:ascii="Arial" w:hAnsi="Arial" w:cs="Arial"/>
          <w:color w:val="000000" w:themeColor="text1"/>
        </w:rPr>
      </w:pPr>
      <w:r w:rsidRPr="00FE591A">
        <w:rPr>
          <w:rFonts w:ascii="Arial" w:hAnsi="Arial" w:cs="Arial"/>
          <w:b/>
          <w:bCs/>
          <w:color w:val="000000" w:themeColor="text1"/>
        </w:rPr>
        <w:t>Discontinued Operations:</w:t>
      </w:r>
      <w:r w:rsidRPr="00FE591A">
        <w:rPr>
          <w:rFonts w:ascii="Arial" w:hAnsi="Arial" w:cs="Arial"/>
          <w:color w:val="000000" w:themeColor="text1"/>
        </w:rPr>
        <w:t xml:space="preserve"> The presence of "net loss from discontinued operations" highlights the impact of divested segments, which can complicate year-on-year comparisons and analysis of continuing operations</w:t>
      </w:r>
      <w:r w:rsidR="00CA0DDD" w:rsidRPr="00FE591A">
        <w:rPr>
          <w:rFonts w:ascii="Arial" w:hAnsi="Arial" w:cs="Arial"/>
          <w:color w:val="000000" w:themeColor="text1"/>
        </w:rPr>
        <w:t xml:space="preserve"> (Maria Silvia Avi, 2023)</w:t>
      </w:r>
      <w:r w:rsidRPr="00FE591A">
        <w:rPr>
          <w:rFonts w:ascii="Arial" w:hAnsi="Arial" w:cs="Arial"/>
          <w:color w:val="000000" w:themeColor="text1"/>
        </w:rPr>
        <w:t>. The report specifically addresses "continuing operations" for profitability ratios, which is a good practice.</w:t>
      </w:r>
    </w:p>
    <w:p w14:paraId="35190200" w14:textId="3CBC244F" w:rsidR="005F7C69" w:rsidRPr="00FE591A" w:rsidRDefault="00CA0DDD" w:rsidP="005F7C69">
      <w:pPr>
        <w:pStyle w:val="Heading2"/>
        <w:rPr>
          <w:rFonts w:cs="Arial"/>
          <w:color w:val="000000" w:themeColor="text1"/>
          <w:lang w:val="en-IN"/>
        </w:rPr>
      </w:pPr>
      <w:bookmarkStart w:id="4" w:name="_Toc203898040"/>
      <w:r w:rsidRPr="00FE591A">
        <w:rPr>
          <w:rFonts w:cs="Arial"/>
          <w:color w:val="000000" w:themeColor="text1"/>
          <w:lang w:val="en-IN"/>
        </w:rPr>
        <w:t>Ways to Strengthen Finances</w:t>
      </w:r>
      <w:bookmarkEnd w:id="4"/>
    </w:p>
    <w:p w14:paraId="1B6E8AC6" w14:textId="77777777" w:rsidR="005F7C69" w:rsidRPr="00FE591A" w:rsidRDefault="005F7C69" w:rsidP="005F7C69">
      <w:pPr>
        <w:rPr>
          <w:rFonts w:ascii="Arial" w:hAnsi="Arial" w:cs="Arial"/>
          <w:color w:val="000000" w:themeColor="text1"/>
          <w:lang w:val="en-IN"/>
        </w:rPr>
      </w:pPr>
      <w:r w:rsidRPr="00FE591A">
        <w:rPr>
          <w:rFonts w:ascii="Arial" w:hAnsi="Arial" w:cs="Arial"/>
          <w:color w:val="000000" w:themeColor="text1"/>
          <w:lang w:val="en-IN"/>
        </w:rPr>
        <w:t>Based on the analysis, the following recommendations are proposed to enhance Endeavour Mining PLC's financial management:</w:t>
      </w:r>
    </w:p>
    <w:p w14:paraId="7ACEA06C" w14:textId="77777777" w:rsidR="005F7C69" w:rsidRPr="00FE591A" w:rsidRDefault="005F7C69">
      <w:pPr>
        <w:numPr>
          <w:ilvl w:val="0"/>
          <w:numId w:val="11"/>
        </w:numPr>
        <w:rPr>
          <w:rFonts w:ascii="Arial" w:hAnsi="Arial" w:cs="Arial"/>
          <w:color w:val="000000" w:themeColor="text1"/>
          <w:lang w:val="en-IN"/>
        </w:rPr>
      </w:pPr>
      <w:r w:rsidRPr="00FE591A">
        <w:rPr>
          <w:rFonts w:ascii="Arial" w:hAnsi="Arial" w:cs="Arial"/>
          <w:b/>
          <w:bCs/>
          <w:color w:val="000000" w:themeColor="text1"/>
          <w:lang w:val="en-IN"/>
        </w:rPr>
        <w:t>Address Profitability Challenges:</w:t>
      </w:r>
    </w:p>
    <w:p w14:paraId="11AE323A" w14:textId="48B538F2" w:rsidR="00CA0DDD" w:rsidRPr="00FE591A" w:rsidRDefault="00CA0DDD" w:rsidP="00CA0DDD">
      <w:pPr>
        <w:numPr>
          <w:ilvl w:val="1"/>
          <w:numId w:val="11"/>
        </w:numPr>
        <w:rPr>
          <w:rFonts w:ascii="Arial" w:hAnsi="Arial" w:cs="Arial"/>
          <w:b/>
          <w:bCs/>
          <w:color w:val="000000" w:themeColor="text1"/>
          <w:lang w:val="en-IN"/>
        </w:rPr>
      </w:pPr>
      <w:r w:rsidRPr="00FE591A">
        <w:rPr>
          <w:rFonts w:ascii="Arial" w:hAnsi="Arial" w:cs="Arial"/>
          <w:b/>
          <w:bCs/>
          <w:color w:val="000000" w:themeColor="text1"/>
          <w:lang w:val="en-IN"/>
        </w:rPr>
        <w:t xml:space="preserve">Impairment Management: </w:t>
      </w:r>
      <w:r w:rsidRPr="00FE591A">
        <w:rPr>
          <w:rFonts w:ascii="Arial" w:hAnsi="Arial" w:cs="Arial"/>
          <w:color w:val="000000" w:themeColor="text1"/>
          <w:lang w:val="en-IN"/>
        </w:rPr>
        <w:t>Endeavour Mining Plc should carefully review the assets that caused the large impairment charges in 2024. The company needs to improve how it tests asset values and take steps to prevent future write-downs</w:t>
      </w:r>
      <w:r w:rsidRPr="00FE591A">
        <w:rPr>
          <w:rFonts w:ascii="Arial" w:hAnsi="Arial" w:cs="Arial"/>
          <w:color w:val="000000" w:themeColor="text1"/>
        </w:rPr>
        <w:t xml:space="preserve"> </w:t>
      </w:r>
      <w:r w:rsidRPr="00FE591A">
        <w:rPr>
          <w:rFonts w:ascii="Arial" w:hAnsi="Arial" w:cs="Arial"/>
          <w:color w:val="000000" w:themeColor="text1"/>
          <w:lang w:val="en-IN"/>
        </w:rPr>
        <w:t>(Tuovila, 2019). This may include rechecking whether some projects are still worth continuing, looking at how assets are valued, and improving the efficiency of mining operations.</w:t>
      </w:r>
    </w:p>
    <w:p w14:paraId="25372A04" w14:textId="08EF0D6C" w:rsidR="00CA0DDD" w:rsidRPr="00FE591A" w:rsidRDefault="00CA0DDD" w:rsidP="00CA0DDD">
      <w:pPr>
        <w:numPr>
          <w:ilvl w:val="1"/>
          <w:numId w:val="11"/>
        </w:numPr>
        <w:rPr>
          <w:rFonts w:ascii="Arial" w:hAnsi="Arial" w:cs="Arial"/>
          <w:b/>
          <w:bCs/>
          <w:color w:val="000000" w:themeColor="text1"/>
          <w:lang w:val="en-IN"/>
        </w:rPr>
      </w:pPr>
      <w:r w:rsidRPr="00FE591A">
        <w:rPr>
          <w:rFonts w:ascii="Arial" w:hAnsi="Arial" w:cs="Arial"/>
          <w:b/>
          <w:bCs/>
          <w:color w:val="000000" w:themeColor="text1"/>
          <w:lang w:val="en-IN"/>
        </w:rPr>
        <w:t xml:space="preserve">Cost Control (Operating Expenses): </w:t>
      </w:r>
      <w:r w:rsidRPr="00FE591A">
        <w:rPr>
          <w:rFonts w:ascii="Arial" w:hAnsi="Arial" w:cs="Arial"/>
          <w:color w:val="000000" w:themeColor="text1"/>
          <w:lang w:val="en-IN"/>
        </w:rPr>
        <w:t>Even though the gross profit margin stayed steady, the company’s operating costs increased a lot in 2024</w:t>
      </w:r>
      <w:r w:rsidRPr="00FE591A">
        <w:rPr>
          <w:rFonts w:ascii="Arial" w:hAnsi="Arial" w:cs="Arial"/>
          <w:color w:val="000000" w:themeColor="text1"/>
        </w:rPr>
        <w:t xml:space="preserve"> </w:t>
      </w:r>
      <w:r w:rsidRPr="00FE591A">
        <w:rPr>
          <w:rFonts w:ascii="Arial" w:hAnsi="Arial" w:cs="Arial"/>
          <w:color w:val="000000" w:themeColor="text1"/>
          <w:lang w:val="en-IN"/>
        </w:rPr>
        <w:t xml:space="preserve">(Cook, 2023). Endeavour should investigate which costs grew the most including admin expenses, exploration spending, or share-based </w:t>
      </w:r>
      <w:r w:rsidRPr="00FE591A">
        <w:rPr>
          <w:rFonts w:ascii="Arial" w:hAnsi="Arial" w:cs="Arial"/>
          <w:color w:val="000000" w:themeColor="text1"/>
          <w:lang w:val="en-IN"/>
        </w:rPr>
        <w:lastRenderedPageBreak/>
        <w:t>payments and find areas where expenses can be reduced, without harming long-term growth or safety.</w:t>
      </w:r>
      <w:r w:rsidRPr="00FE591A">
        <w:rPr>
          <w:rFonts w:ascii="Arial" w:hAnsi="Arial" w:cs="Arial"/>
          <w:b/>
          <w:bCs/>
          <w:color w:val="000000" w:themeColor="text1"/>
          <w:lang w:val="en-IN"/>
        </w:rPr>
        <w:t xml:space="preserve"> </w:t>
      </w:r>
    </w:p>
    <w:p w14:paraId="30FB0DFF" w14:textId="2979BA9D" w:rsidR="00CA0DDD" w:rsidRPr="00FE591A" w:rsidRDefault="00CA0DDD" w:rsidP="00CA0DDD">
      <w:pPr>
        <w:numPr>
          <w:ilvl w:val="1"/>
          <w:numId w:val="11"/>
        </w:numPr>
        <w:rPr>
          <w:rFonts w:ascii="Arial" w:hAnsi="Arial" w:cs="Arial"/>
          <w:b/>
          <w:bCs/>
          <w:color w:val="000000" w:themeColor="text1"/>
          <w:lang w:val="en-IN"/>
        </w:rPr>
      </w:pPr>
      <w:r w:rsidRPr="00FE591A">
        <w:rPr>
          <w:rFonts w:ascii="Arial" w:hAnsi="Arial" w:cs="Arial"/>
          <w:b/>
          <w:bCs/>
          <w:color w:val="000000" w:themeColor="text1"/>
          <w:lang w:val="en-IN"/>
        </w:rPr>
        <w:t xml:space="preserve">Financial Risk Management: </w:t>
      </w:r>
      <w:r w:rsidRPr="00FE591A">
        <w:rPr>
          <w:rFonts w:ascii="Arial" w:hAnsi="Arial" w:cs="Arial"/>
          <w:color w:val="000000" w:themeColor="text1"/>
          <w:lang w:val="en-IN"/>
        </w:rPr>
        <w:t>There was a rise in losses from financial instruments, which means Endeavour needs to review its approach to managing financial risks</w:t>
      </w:r>
      <w:r w:rsidRPr="00FE591A">
        <w:rPr>
          <w:rFonts w:ascii="Arial" w:hAnsi="Arial" w:cs="Arial"/>
          <w:color w:val="000000" w:themeColor="text1"/>
        </w:rPr>
        <w:t xml:space="preserve"> </w:t>
      </w:r>
      <w:r w:rsidRPr="00FE591A">
        <w:rPr>
          <w:rFonts w:ascii="Arial" w:hAnsi="Arial" w:cs="Arial"/>
          <w:color w:val="000000" w:themeColor="text1"/>
          <w:lang w:val="en-IN"/>
        </w:rPr>
        <w:t>(Erasmus, 2009). This includes looking again at its investment strategies and how it uses hedging to protect against changes in commodity prices or market conditions.</w:t>
      </w:r>
    </w:p>
    <w:p w14:paraId="358689F9" w14:textId="19BC89A0" w:rsidR="00CA0DDD" w:rsidRPr="00FE591A" w:rsidRDefault="00CA0DDD" w:rsidP="00CA0DDD">
      <w:pPr>
        <w:numPr>
          <w:ilvl w:val="1"/>
          <w:numId w:val="11"/>
        </w:numPr>
        <w:rPr>
          <w:rFonts w:ascii="Arial" w:hAnsi="Arial" w:cs="Arial"/>
          <w:b/>
          <w:bCs/>
          <w:color w:val="000000" w:themeColor="text1"/>
          <w:lang w:val="en-IN"/>
        </w:rPr>
      </w:pPr>
      <w:r w:rsidRPr="00FE591A">
        <w:rPr>
          <w:rFonts w:ascii="Arial" w:hAnsi="Arial" w:cs="Arial"/>
          <w:b/>
          <w:bCs/>
          <w:color w:val="000000" w:themeColor="text1"/>
          <w:lang w:val="en-IN"/>
        </w:rPr>
        <w:t xml:space="preserve">Tax Planning: </w:t>
      </w:r>
      <w:r w:rsidRPr="00FE591A">
        <w:rPr>
          <w:rFonts w:ascii="Arial" w:hAnsi="Arial" w:cs="Arial"/>
          <w:color w:val="000000" w:themeColor="text1"/>
          <w:lang w:val="en-IN"/>
        </w:rPr>
        <w:t xml:space="preserve">Since income tax expenses increased a lot in 2024, Endeavour should review its tax planning methods. The goal should be to find legal ways to manage taxes better and reduce unnecessary costs (Erasmus, 2009). </w:t>
      </w:r>
    </w:p>
    <w:p w14:paraId="27A255A1" w14:textId="6CB9F8B1" w:rsidR="005F7C69" w:rsidRPr="00FE591A" w:rsidRDefault="005F7C69" w:rsidP="00CA0DDD">
      <w:pPr>
        <w:numPr>
          <w:ilvl w:val="0"/>
          <w:numId w:val="11"/>
        </w:numPr>
        <w:rPr>
          <w:rFonts w:ascii="Arial" w:hAnsi="Arial" w:cs="Arial"/>
          <w:color w:val="000000" w:themeColor="text1"/>
          <w:lang w:val="en-IN"/>
        </w:rPr>
      </w:pPr>
      <w:r w:rsidRPr="00FE591A">
        <w:rPr>
          <w:rFonts w:ascii="Arial" w:hAnsi="Arial" w:cs="Arial"/>
          <w:b/>
          <w:bCs/>
          <w:color w:val="000000" w:themeColor="text1"/>
          <w:lang w:val="en-IN"/>
        </w:rPr>
        <w:t>Strengthen Liquidity:</w:t>
      </w:r>
    </w:p>
    <w:p w14:paraId="6020B904" w14:textId="248FD7F9" w:rsidR="00CA0DDD" w:rsidRPr="00FE591A" w:rsidRDefault="00CA0DDD" w:rsidP="00CA0DDD">
      <w:pPr>
        <w:numPr>
          <w:ilvl w:val="1"/>
          <w:numId w:val="11"/>
        </w:numPr>
        <w:rPr>
          <w:rFonts w:ascii="Arial" w:hAnsi="Arial" w:cs="Arial"/>
          <w:b/>
          <w:bCs/>
          <w:color w:val="000000" w:themeColor="text1"/>
          <w:lang w:val="en-IN"/>
        </w:rPr>
      </w:pPr>
      <w:r w:rsidRPr="00FE591A">
        <w:rPr>
          <w:rFonts w:ascii="Arial" w:hAnsi="Arial" w:cs="Arial"/>
          <w:b/>
          <w:bCs/>
          <w:color w:val="000000" w:themeColor="text1"/>
          <w:lang w:val="en-IN"/>
        </w:rPr>
        <w:t xml:space="preserve">Cash Flow Management: </w:t>
      </w:r>
      <w:r w:rsidRPr="00FE591A">
        <w:rPr>
          <w:rFonts w:ascii="Arial" w:hAnsi="Arial" w:cs="Arial"/>
          <w:color w:val="000000" w:themeColor="text1"/>
          <w:lang w:val="en-IN"/>
        </w:rPr>
        <w:t>Endeavour should focus on increasing and protecting cash, as the drop in cash levels is a concern</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(Maverick, 2021)</w:t>
      </w:r>
      <w:r w:rsidRPr="00FE591A">
        <w:rPr>
          <w:rFonts w:ascii="Arial" w:hAnsi="Arial" w:cs="Arial"/>
          <w:color w:val="000000" w:themeColor="text1"/>
          <w:lang w:val="en-IN"/>
        </w:rPr>
        <w:t>. Better control over working capital and faster cash collection can help improve cash flow.</w:t>
      </w:r>
    </w:p>
    <w:p w14:paraId="72E748DD" w14:textId="5202DBF3" w:rsidR="00CA0DDD" w:rsidRPr="00FE591A" w:rsidRDefault="00CA0DDD" w:rsidP="00CA0DDD">
      <w:pPr>
        <w:numPr>
          <w:ilvl w:val="1"/>
          <w:numId w:val="11"/>
        </w:numPr>
        <w:rPr>
          <w:rFonts w:ascii="Arial" w:hAnsi="Arial" w:cs="Arial"/>
          <w:b/>
          <w:bCs/>
          <w:color w:val="000000" w:themeColor="text1"/>
          <w:lang w:val="en-IN"/>
        </w:rPr>
      </w:pPr>
      <w:r w:rsidRPr="00FE591A">
        <w:rPr>
          <w:rFonts w:ascii="Arial" w:hAnsi="Arial" w:cs="Arial"/>
          <w:b/>
          <w:bCs/>
          <w:color w:val="000000" w:themeColor="text1"/>
          <w:lang w:val="en-IN"/>
        </w:rPr>
        <w:t xml:space="preserve">Receivables Management: </w:t>
      </w:r>
      <w:r w:rsidRPr="00FE591A">
        <w:rPr>
          <w:rFonts w:ascii="Arial" w:hAnsi="Arial" w:cs="Arial"/>
          <w:color w:val="000000" w:themeColor="text1"/>
          <w:lang w:val="en-IN"/>
        </w:rPr>
        <w:t>The company has done well in reducing the time it takes to collect payments</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(Brianna Blaney, 2023)</w:t>
      </w:r>
      <w:r w:rsidRPr="00FE591A">
        <w:rPr>
          <w:rFonts w:ascii="Arial" w:hAnsi="Arial" w:cs="Arial"/>
          <w:color w:val="000000" w:themeColor="text1"/>
          <w:lang w:val="en-IN"/>
        </w:rPr>
        <w:t>. Efforts should continue to keep this strong collection performance stable over time.</w:t>
      </w:r>
    </w:p>
    <w:p w14:paraId="73D19B2C" w14:textId="4F077DAC" w:rsidR="00CA0DDD" w:rsidRPr="00FE591A" w:rsidRDefault="00CA0DDD" w:rsidP="00CA0DDD">
      <w:pPr>
        <w:numPr>
          <w:ilvl w:val="1"/>
          <w:numId w:val="11"/>
        </w:numPr>
        <w:rPr>
          <w:rFonts w:ascii="Arial" w:hAnsi="Arial" w:cs="Arial"/>
          <w:b/>
          <w:bCs/>
          <w:color w:val="000000" w:themeColor="text1"/>
          <w:lang w:val="en-IN"/>
        </w:rPr>
      </w:pPr>
      <w:r w:rsidRPr="00FE591A">
        <w:rPr>
          <w:rFonts w:ascii="Arial" w:hAnsi="Arial" w:cs="Arial"/>
          <w:b/>
          <w:bCs/>
          <w:color w:val="000000" w:themeColor="text1"/>
          <w:lang w:val="en-IN"/>
        </w:rPr>
        <w:t xml:space="preserve">Inventory Optimization: </w:t>
      </w:r>
      <w:r w:rsidRPr="00FE591A">
        <w:rPr>
          <w:rFonts w:ascii="Arial" w:hAnsi="Arial" w:cs="Arial"/>
          <w:color w:val="000000" w:themeColor="text1"/>
          <w:lang w:val="en-IN"/>
        </w:rPr>
        <w:t>With lower inventory turnover, Endeavour should review its stock buying, production, and sales planning</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(Doborjginidze, Petriashvili and Inaishvili, 2021)</w:t>
      </w:r>
      <w:r w:rsidRPr="00FE591A">
        <w:rPr>
          <w:rFonts w:ascii="Arial" w:hAnsi="Arial" w:cs="Arial"/>
          <w:color w:val="000000" w:themeColor="text1"/>
          <w:lang w:val="en-IN"/>
        </w:rPr>
        <w:t xml:space="preserve">. </w:t>
      </w:r>
    </w:p>
    <w:p w14:paraId="3BB3182C" w14:textId="3D2A2901" w:rsidR="00CA0DDD" w:rsidRPr="00FE591A" w:rsidRDefault="00CA0DDD" w:rsidP="00CA0DDD">
      <w:pPr>
        <w:numPr>
          <w:ilvl w:val="1"/>
          <w:numId w:val="11"/>
        </w:numPr>
        <w:rPr>
          <w:rFonts w:ascii="Arial" w:hAnsi="Arial" w:cs="Arial"/>
          <w:b/>
          <w:bCs/>
          <w:color w:val="000000" w:themeColor="text1"/>
          <w:lang w:val="en-IN"/>
        </w:rPr>
      </w:pPr>
      <w:r w:rsidRPr="00FE591A">
        <w:rPr>
          <w:rFonts w:ascii="Arial" w:hAnsi="Arial" w:cs="Arial"/>
          <w:b/>
          <w:bCs/>
          <w:color w:val="000000" w:themeColor="text1"/>
          <w:lang w:val="en-IN"/>
        </w:rPr>
        <w:t xml:space="preserve">Debt Management (Short-Term): </w:t>
      </w:r>
      <w:r w:rsidRPr="00FE591A">
        <w:rPr>
          <w:rFonts w:ascii="Arial" w:hAnsi="Arial" w:cs="Arial"/>
          <w:color w:val="000000" w:themeColor="text1"/>
          <w:lang w:val="en-IN"/>
        </w:rPr>
        <w:t>The rise in short-term debt and overdrafts shows the need for better control of immediate payments</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(CFI Team, 2025)</w:t>
      </w:r>
      <w:r w:rsidRPr="00FE591A">
        <w:rPr>
          <w:rFonts w:ascii="Arial" w:hAnsi="Arial" w:cs="Arial"/>
          <w:color w:val="000000" w:themeColor="text1"/>
          <w:lang w:val="en-IN"/>
        </w:rPr>
        <w:t>. The company should consider refinancing or restructuring this debt to improve short-term liquidity.</w:t>
      </w:r>
    </w:p>
    <w:p w14:paraId="1B5C49F2" w14:textId="3DF6AF62" w:rsidR="005F7C69" w:rsidRPr="00FE591A" w:rsidRDefault="005F7C69" w:rsidP="00CA0DDD">
      <w:pPr>
        <w:numPr>
          <w:ilvl w:val="0"/>
          <w:numId w:val="11"/>
        </w:numPr>
        <w:rPr>
          <w:rFonts w:ascii="Arial" w:hAnsi="Arial" w:cs="Arial"/>
          <w:b/>
          <w:bCs/>
          <w:color w:val="000000" w:themeColor="text1"/>
          <w:lang w:val="en-IN"/>
        </w:rPr>
      </w:pPr>
      <w:r w:rsidRPr="00FE591A">
        <w:rPr>
          <w:rFonts w:ascii="Arial" w:hAnsi="Arial" w:cs="Arial"/>
          <w:b/>
          <w:bCs/>
          <w:color w:val="000000" w:themeColor="text1"/>
          <w:lang w:val="en-IN"/>
        </w:rPr>
        <w:t>Manage Gearing and Capital Structure:</w:t>
      </w:r>
    </w:p>
    <w:p w14:paraId="3E8D80E3" w14:textId="3E369F88" w:rsidR="005F7C69" w:rsidRPr="00FE591A" w:rsidRDefault="005F7C69">
      <w:pPr>
        <w:numPr>
          <w:ilvl w:val="1"/>
          <w:numId w:val="11"/>
        </w:numPr>
        <w:rPr>
          <w:rFonts w:ascii="Arial" w:hAnsi="Arial" w:cs="Arial"/>
          <w:color w:val="000000" w:themeColor="text1"/>
          <w:lang w:val="en-IN"/>
        </w:rPr>
      </w:pPr>
      <w:r w:rsidRPr="00FE591A">
        <w:rPr>
          <w:rFonts w:ascii="Arial" w:hAnsi="Arial" w:cs="Arial"/>
          <w:b/>
          <w:bCs/>
          <w:color w:val="000000" w:themeColor="text1"/>
          <w:lang w:val="en-IN"/>
        </w:rPr>
        <w:t>Debt Strategy:</w:t>
      </w:r>
      <w:r w:rsidRPr="00FE591A">
        <w:rPr>
          <w:rFonts w:ascii="Arial" w:hAnsi="Arial" w:cs="Arial"/>
          <w:color w:val="000000" w:themeColor="text1"/>
          <w:lang w:val="en-IN"/>
        </w:rPr>
        <w:t xml:space="preserve"> While an increase in debt is not always negative, the trend of rising debt-to-equity and debt-to-asset ratios requires careful monitoring</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(Hayes, 2022)</w:t>
      </w:r>
      <w:r w:rsidRPr="00FE591A">
        <w:rPr>
          <w:rFonts w:ascii="Arial" w:hAnsi="Arial" w:cs="Arial"/>
          <w:color w:val="000000" w:themeColor="text1"/>
          <w:lang w:val="en-IN"/>
        </w:rPr>
        <w:t xml:space="preserve">. </w:t>
      </w:r>
    </w:p>
    <w:p w14:paraId="5596523D" w14:textId="311E26CD" w:rsidR="005F7C69" w:rsidRPr="00FE591A" w:rsidRDefault="005F7C69">
      <w:pPr>
        <w:numPr>
          <w:ilvl w:val="1"/>
          <w:numId w:val="11"/>
        </w:numPr>
        <w:rPr>
          <w:rFonts w:ascii="Arial" w:hAnsi="Arial" w:cs="Arial"/>
          <w:color w:val="000000" w:themeColor="text1"/>
          <w:lang w:val="en-IN"/>
        </w:rPr>
      </w:pPr>
      <w:r w:rsidRPr="00FE591A">
        <w:rPr>
          <w:rFonts w:ascii="Arial" w:hAnsi="Arial" w:cs="Arial"/>
          <w:b/>
          <w:bCs/>
          <w:color w:val="000000" w:themeColor="text1"/>
          <w:lang w:val="en-IN"/>
        </w:rPr>
        <w:lastRenderedPageBreak/>
        <w:t>Capital Expenditure Review:</w:t>
      </w:r>
      <w:r w:rsidRPr="00FE591A">
        <w:rPr>
          <w:rFonts w:ascii="Arial" w:hAnsi="Arial" w:cs="Arial"/>
          <w:color w:val="000000" w:themeColor="text1"/>
          <w:lang w:val="en-IN"/>
        </w:rPr>
        <w:t xml:space="preserve"> Evaluate capital expenditure plans to ensure they align with the company's ability to generate cash flow and service debt</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(Fernando, 2024).</w:t>
      </w:r>
      <w:r w:rsidRPr="00FE591A">
        <w:rPr>
          <w:rFonts w:ascii="Arial" w:hAnsi="Arial" w:cs="Arial"/>
          <w:color w:val="000000" w:themeColor="text1"/>
          <w:lang w:val="en-IN"/>
        </w:rPr>
        <w:t xml:space="preserve"> </w:t>
      </w:r>
    </w:p>
    <w:p w14:paraId="02DDDCD5" w14:textId="77777777" w:rsidR="005F7C69" w:rsidRPr="00FE591A" w:rsidRDefault="005F7C69">
      <w:pPr>
        <w:numPr>
          <w:ilvl w:val="0"/>
          <w:numId w:val="11"/>
        </w:numPr>
        <w:rPr>
          <w:rFonts w:ascii="Arial" w:hAnsi="Arial" w:cs="Arial"/>
          <w:color w:val="000000" w:themeColor="text1"/>
          <w:lang w:val="en-IN"/>
        </w:rPr>
      </w:pPr>
      <w:r w:rsidRPr="00FE591A">
        <w:rPr>
          <w:rFonts w:ascii="Arial" w:hAnsi="Arial" w:cs="Arial"/>
          <w:b/>
          <w:bCs/>
          <w:color w:val="000000" w:themeColor="text1"/>
          <w:lang w:val="en-IN"/>
        </w:rPr>
        <w:t>Enhance Operational Efficiency:</w:t>
      </w:r>
    </w:p>
    <w:p w14:paraId="146D95B9" w14:textId="6CADE323" w:rsidR="005F7C69" w:rsidRPr="00FE591A" w:rsidRDefault="005F7C69">
      <w:pPr>
        <w:numPr>
          <w:ilvl w:val="1"/>
          <w:numId w:val="11"/>
        </w:numPr>
        <w:rPr>
          <w:rFonts w:ascii="Arial" w:hAnsi="Arial" w:cs="Arial"/>
          <w:color w:val="000000" w:themeColor="text1"/>
          <w:lang w:val="en-IN"/>
        </w:rPr>
      </w:pPr>
      <w:r w:rsidRPr="00FE591A">
        <w:rPr>
          <w:rFonts w:ascii="Arial" w:hAnsi="Arial" w:cs="Arial"/>
          <w:b/>
          <w:bCs/>
          <w:color w:val="000000" w:themeColor="text1"/>
          <w:lang w:val="en-IN"/>
        </w:rPr>
        <w:t>Asset Utilization:</w:t>
      </w:r>
      <w:r w:rsidRPr="00FE591A">
        <w:rPr>
          <w:rFonts w:ascii="Arial" w:hAnsi="Arial" w:cs="Arial"/>
          <w:color w:val="000000" w:themeColor="text1"/>
          <w:lang w:val="en-IN"/>
        </w:rPr>
        <w:t xml:space="preserve"> </w:t>
      </w:r>
      <w:r w:rsidR="00D65254" w:rsidRPr="00FE591A">
        <w:rPr>
          <w:rFonts w:ascii="Arial" w:hAnsi="Arial" w:cs="Arial"/>
          <w:color w:val="000000" w:themeColor="text1"/>
          <w:lang w:val="en-IN"/>
        </w:rPr>
        <w:t>Endeavour should keep working to get more value from its assets by increasing production, using underused assets better, or selling non-core assets to focus on key operations and boost revenue</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(Fourie, 2016)</w:t>
      </w:r>
      <w:r w:rsidRPr="00FE591A">
        <w:rPr>
          <w:rFonts w:ascii="Arial" w:hAnsi="Arial" w:cs="Arial"/>
          <w:color w:val="000000" w:themeColor="text1"/>
          <w:lang w:val="en-IN"/>
        </w:rPr>
        <w:t>.</w:t>
      </w:r>
    </w:p>
    <w:p w14:paraId="4B15927B" w14:textId="18714822" w:rsidR="005F7C69" w:rsidRPr="00FE591A" w:rsidRDefault="005F7C69">
      <w:pPr>
        <w:numPr>
          <w:ilvl w:val="1"/>
          <w:numId w:val="11"/>
        </w:numPr>
        <w:rPr>
          <w:rFonts w:ascii="Arial" w:hAnsi="Arial" w:cs="Arial"/>
          <w:color w:val="000000" w:themeColor="text1"/>
          <w:lang w:val="en-IN"/>
        </w:rPr>
      </w:pPr>
      <w:r w:rsidRPr="00FE591A">
        <w:rPr>
          <w:rFonts w:ascii="Arial" w:hAnsi="Arial" w:cs="Arial"/>
          <w:b/>
          <w:bCs/>
          <w:color w:val="000000" w:themeColor="text1"/>
          <w:lang w:val="en-IN"/>
        </w:rPr>
        <w:t>Operational Benchmarking:</w:t>
      </w:r>
      <w:r w:rsidRPr="00FE591A">
        <w:rPr>
          <w:rFonts w:ascii="Arial" w:hAnsi="Arial" w:cs="Arial"/>
          <w:color w:val="000000" w:themeColor="text1"/>
          <w:lang w:val="en-IN"/>
        </w:rPr>
        <w:t xml:space="preserve"> </w:t>
      </w:r>
      <w:r w:rsidR="00D65254" w:rsidRPr="00FE591A">
        <w:rPr>
          <w:rFonts w:ascii="Arial" w:hAnsi="Arial" w:cs="Arial"/>
          <w:color w:val="000000" w:themeColor="text1"/>
          <w:lang w:val="en-IN"/>
        </w:rPr>
        <w:t>The company should compare its performance with industry peers to find better ways to manage costs and use assets more effectively, helping identify areas that need improvement</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(Fourie, 2016)</w:t>
      </w:r>
      <w:r w:rsidRPr="00FE591A">
        <w:rPr>
          <w:rFonts w:ascii="Arial" w:hAnsi="Arial" w:cs="Arial"/>
          <w:color w:val="000000" w:themeColor="text1"/>
          <w:lang w:val="en-IN"/>
        </w:rPr>
        <w:t>.</w:t>
      </w:r>
    </w:p>
    <w:p w14:paraId="15A152FA" w14:textId="77777777" w:rsidR="005F7C69" w:rsidRPr="00FE591A" w:rsidRDefault="005F7C69">
      <w:pPr>
        <w:numPr>
          <w:ilvl w:val="0"/>
          <w:numId w:val="11"/>
        </w:numPr>
        <w:rPr>
          <w:rFonts w:ascii="Arial" w:hAnsi="Arial" w:cs="Arial"/>
          <w:color w:val="000000" w:themeColor="text1"/>
          <w:lang w:val="en-IN"/>
        </w:rPr>
      </w:pPr>
      <w:r w:rsidRPr="00FE591A">
        <w:rPr>
          <w:rFonts w:ascii="Arial" w:hAnsi="Arial" w:cs="Arial"/>
          <w:b/>
          <w:bCs/>
          <w:color w:val="000000" w:themeColor="text1"/>
          <w:lang w:val="en-IN"/>
        </w:rPr>
        <w:t>Improve Investor Communication:</w:t>
      </w:r>
    </w:p>
    <w:p w14:paraId="68F8EF93" w14:textId="756EE335" w:rsidR="005F7C69" w:rsidRPr="00FE591A" w:rsidRDefault="005F7C69">
      <w:pPr>
        <w:numPr>
          <w:ilvl w:val="1"/>
          <w:numId w:val="11"/>
        </w:numPr>
        <w:rPr>
          <w:rFonts w:ascii="Arial" w:hAnsi="Arial" w:cs="Arial"/>
          <w:color w:val="000000" w:themeColor="text1"/>
          <w:lang w:val="en-IN"/>
        </w:rPr>
      </w:pPr>
      <w:r w:rsidRPr="00FE591A">
        <w:rPr>
          <w:rFonts w:ascii="Arial" w:hAnsi="Arial" w:cs="Arial"/>
          <w:b/>
          <w:bCs/>
          <w:color w:val="000000" w:themeColor="text1"/>
          <w:lang w:val="en-IN"/>
        </w:rPr>
        <w:t>Clarity on One-Off Charges:</w:t>
      </w:r>
      <w:r w:rsidRPr="00FE591A">
        <w:rPr>
          <w:rFonts w:ascii="Arial" w:hAnsi="Arial" w:cs="Arial"/>
          <w:color w:val="000000" w:themeColor="text1"/>
          <w:lang w:val="en-IN"/>
        </w:rPr>
        <w:t xml:space="preserve"> Given the significant impact of impairment charges and losses on financial instruments on net profitability, ensure clear communication to investors about the nature, cause, and future likelihood of such one-off events</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(Investor Hub, 2024)</w:t>
      </w:r>
      <w:r w:rsidRPr="00FE591A">
        <w:rPr>
          <w:rFonts w:ascii="Arial" w:hAnsi="Arial" w:cs="Arial"/>
          <w:color w:val="000000" w:themeColor="text1"/>
          <w:lang w:val="en-IN"/>
        </w:rPr>
        <w:t>.</w:t>
      </w:r>
    </w:p>
    <w:p w14:paraId="310BC16E" w14:textId="21E9515C" w:rsidR="005F7C69" w:rsidRPr="00FE591A" w:rsidRDefault="005F7C69">
      <w:pPr>
        <w:numPr>
          <w:ilvl w:val="1"/>
          <w:numId w:val="11"/>
        </w:numPr>
        <w:rPr>
          <w:rFonts w:ascii="Arial" w:hAnsi="Arial" w:cs="Arial"/>
          <w:color w:val="000000" w:themeColor="text1"/>
          <w:lang w:val="en-IN"/>
        </w:rPr>
      </w:pPr>
      <w:r w:rsidRPr="00FE591A">
        <w:rPr>
          <w:rFonts w:ascii="Arial" w:hAnsi="Arial" w:cs="Arial"/>
          <w:b/>
          <w:bCs/>
          <w:color w:val="000000" w:themeColor="text1"/>
          <w:lang w:val="en-IN"/>
        </w:rPr>
        <w:t>Focus on Core Operational Performance:</w:t>
      </w:r>
      <w:r w:rsidRPr="00FE591A">
        <w:rPr>
          <w:rFonts w:ascii="Arial" w:hAnsi="Arial" w:cs="Arial"/>
          <w:color w:val="000000" w:themeColor="text1"/>
          <w:lang w:val="en-IN"/>
        </w:rPr>
        <w:t xml:space="preserve"> While statutory net loss is critical, highlight the performance of "Earnings from mine operations" and "Earnings from operations" as indicators of underlying business health, explaining the factors that lead to the final net loss</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(Investor Hub, 2024)</w:t>
      </w:r>
      <w:r w:rsidRPr="00FE591A">
        <w:rPr>
          <w:rFonts w:ascii="Arial" w:hAnsi="Arial" w:cs="Arial"/>
          <w:color w:val="000000" w:themeColor="text1"/>
          <w:lang w:val="en-IN"/>
        </w:rPr>
        <w:t>.</w:t>
      </w:r>
    </w:p>
    <w:p w14:paraId="743590F8" w14:textId="77777777" w:rsidR="005F7C69" w:rsidRPr="00FE591A" w:rsidRDefault="005F7C69">
      <w:pPr>
        <w:spacing w:line="259" w:lineRule="auto"/>
        <w:jc w:val="left"/>
        <w:rPr>
          <w:rFonts w:ascii="Arial" w:eastAsiaTheme="majorEastAsia" w:hAnsi="Arial" w:cs="Arial"/>
          <w:b/>
          <w:color w:val="000000" w:themeColor="text1"/>
          <w:sz w:val="28"/>
          <w:szCs w:val="32"/>
        </w:rPr>
      </w:pPr>
      <w:r w:rsidRPr="00FE591A">
        <w:rPr>
          <w:rFonts w:ascii="Arial" w:hAnsi="Arial" w:cs="Arial"/>
          <w:color w:val="000000" w:themeColor="text1"/>
        </w:rPr>
        <w:br w:type="page"/>
      </w:r>
    </w:p>
    <w:p w14:paraId="6A6B02B5" w14:textId="77777777" w:rsidR="00032CC9" w:rsidRPr="00FE591A" w:rsidRDefault="00032CC9" w:rsidP="00032CC9">
      <w:pPr>
        <w:pStyle w:val="Heading1"/>
        <w:jc w:val="center"/>
        <w:rPr>
          <w:rFonts w:cs="Arial"/>
          <w:color w:val="000000" w:themeColor="text1"/>
          <w:sz w:val="200"/>
          <w:szCs w:val="220"/>
        </w:rPr>
      </w:pPr>
    </w:p>
    <w:p w14:paraId="4CA2148D" w14:textId="2653DB4F" w:rsidR="004678EA" w:rsidRPr="00FE591A" w:rsidRDefault="00ED2927" w:rsidP="00032CC9">
      <w:pPr>
        <w:pStyle w:val="Heading1"/>
        <w:jc w:val="center"/>
        <w:rPr>
          <w:rFonts w:cs="Arial"/>
          <w:color w:val="000000" w:themeColor="text1"/>
          <w:sz w:val="200"/>
          <w:szCs w:val="220"/>
        </w:rPr>
      </w:pPr>
      <w:bookmarkStart w:id="5" w:name="_Toc203898041"/>
      <w:r w:rsidRPr="00FE591A">
        <w:rPr>
          <w:rFonts w:cs="Arial"/>
          <w:color w:val="000000" w:themeColor="text1"/>
          <w:sz w:val="200"/>
          <w:szCs w:val="220"/>
        </w:rPr>
        <w:t>Part 02</w:t>
      </w:r>
      <w:bookmarkEnd w:id="5"/>
    </w:p>
    <w:p w14:paraId="3BC19913" w14:textId="77777777" w:rsidR="00032CC9" w:rsidRPr="00FE591A" w:rsidRDefault="00032CC9">
      <w:pPr>
        <w:spacing w:line="259" w:lineRule="auto"/>
        <w:jc w:val="left"/>
        <w:rPr>
          <w:rFonts w:ascii="Arial" w:eastAsiaTheme="majorEastAsia" w:hAnsi="Arial" w:cs="Arial"/>
          <w:b/>
          <w:color w:val="000000" w:themeColor="text1"/>
          <w:sz w:val="26"/>
          <w:szCs w:val="32"/>
        </w:rPr>
      </w:pPr>
      <w:r w:rsidRPr="00FE591A">
        <w:rPr>
          <w:rFonts w:ascii="Arial" w:hAnsi="Arial" w:cs="Arial"/>
          <w:color w:val="000000" w:themeColor="text1"/>
        </w:rPr>
        <w:br w:type="page"/>
      </w:r>
    </w:p>
    <w:p w14:paraId="178CF0AA" w14:textId="216BB313" w:rsidR="00ED2927" w:rsidRPr="00FE591A" w:rsidRDefault="0015726F" w:rsidP="0015726F">
      <w:pPr>
        <w:pStyle w:val="Heading2"/>
        <w:rPr>
          <w:rFonts w:cs="Arial"/>
          <w:color w:val="000000" w:themeColor="text1"/>
        </w:rPr>
      </w:pPr>
      <w:bookmarkStart w:id="6" w:name="_Toc203898042"/>
      <w:r w:rsidRPr="00FE591A">
        <w:rPr>
          <w:rFonts w:cs="Arial"/>
          <w:color w:val="000000" w:themeColor="text1"/>
        </w:rPr>
        <w:lastRenderedPageBreak/>
        <w:t>Investment Appraisal for Jordons Plc</w:t>
      </w:r>
      <w:bookmarkEnd w:id="6"/>
    </w:p>
    <w:p w14:paraId="1197EE4F" w14:textId="111AD5A9" w:rsidR="0015726F" w:rsidRPr="00FE591A" w:rsidRDefault="0015726F" w:rsidP="00FE591A">
      <w:pPr>
        <w:pStyle w:val="Heading2"/>
        <w:numPr>
          <w:ilvl w:val="2"/>
          <w:numId w:val="9"/>
        </w:numPr>
        <w:rPr>
          <w:rFonts w:cs="Arial"/>
          <w:color w:val="000000" w:themeColor="text1"/>
        </w:rPr>
      </w:pPr>
      <w:bookmarkStart w:id="7" w:name="_Toc203898043"/>
      <w:r w:rsidRPr="00FE591A">
        <w:rPr>
          <w:rFonts w:cs="Arial"/>
          <w:color w:val="000000" w:themeColor="text1"/>
        </w:rPr>
        <w:t>Investment Appraisal and Recommendation</w:t>
      </w:r>
      <w:bookmarkEnd w:id="7"/>
    </w:p>
    <w:p w14:paraId="691FC0D0" w14:textId="3EE50FAE" w:rsidR="00706F48" w:rsidRPr="00FE591A" w:rsidRDefault="00706F48" w:rsidP="00706F48">
      <w:pPr>
        <w:rPr>
          <w:rFonts w:ascii="Arial" w:hAnsi="Arial" w:cs="Arial"/>
          <w:color w:val="000000" w:themeColor="text1"/>
          <w:lang w:val="en-IN"/>
        </w:rPr>
      </w:pPr>
      <w:r w:rsidRPr="00FE591A">
        <w:rPr>
          <w:rFonts w:ascii="Arial" w:hAnsi="Arial" w:cs="Arial"/>
          <w:color w:val="000000" w:themeColor="text1"/>
          <w:lang w:val="en-IN"/>
        </w:rPr>
        <w:t>The investment options have been evaluated using the Net Present Value (NPV) method. This method is used to measure how much value a project can bring by converting future cash flows into their value today</w:t>
      </w:r>
      <w:r w:rsidR="00D65254" w:rsidRPr="00FE591A">
        <w:rPr>
          <w:rFonts w:ascii="Arial" w:hAnsi="Arial" w:cs="Arial"/>
          <w:color w:val="000000" w:themeColor="text1"/>
          <w:lang w:val="en-IN"/>
        </w:rPr>
        <w:t xml:space="preserve"> (Chrysafis and Papadopoulos, 2020)</w:t>
      </w:r>
      <w:r w:rsidRPr="00FE591A">
        <w:rPr>
          <w:rFonts w:ascii="Arial" w:hAnsi="Arial" w:cs="Arial"/>
          <w:color w:val="000000" w:themeColor="text1"/>
          <w:lang w:val="en-IN"/>
        </w:rPr>
        <w:t>. A project is seen as beneficial when a positive NPV is achieved, as it shows that the return is expected to be higher than the cost of the investment</w:t>
      </w:r>
      <w:r w:rsidR="00D65254" w:rsidRPr="00FE591A">
        <w:rPr>
          <w:rFonts w:ascii="Arial" w:hAnsi="Arial" w:cs="Arial"/>
          <w:color w:val="000000" w:themeColor="text1"/>
          <w:lang w:val="en-IN"/>
        </w:rPr>
        <w:t xml:space="preserve"> (CFI Team, 2022)</w:t>
      </w:r>
      <w:r w:rsidRPr="00FE591A">
        <w:rPr>
          <w:rFonts w:ascii="Arial" w:hAnsi="Arial" w:cs="Arial"/>
          <w:color w:val="000000" w:themeColor="text1"/>
          <w:lang w:val="en-IN"/>
        </w:rPr>
        <w:t>. In this way, value is expected to be added for the company and its shareholders. In the analysis, a cost of capital of 6% has been applied, which represents the return expected by the company. A corporation tax rate of 25% has been considered, along with capital allowances of 20% per year using the straight-line method. These financial assumptions have been used to ensure that all three project options are compared fairly, so the most suitable one can be identified for Jordons Plc’s future growth.</w:t>
      </w:r>
    </w:p>
    <w:p w14:paraId="13A18ED1" w14:textId="21E4FF38" w:rsidR="00706F48" w:rsidRPr="00FE591A" w:rsidRDefault="00706F48" w:rsidP="00706F48">
      <w:pPr>
        <w:rPr>
          <w:rFonts w:ascii="Arial" w:hAnsi="Arial" w:cs="Arial"/>
          <w:color w:val="000000" w:themeColor="text1"/>
          <w:lang w:val="en-IN"/>
        </w:rPr>
      </w:pPr>
      <w:r w:rsidRPr="00FE591A">
        <w:rPr>
          <w:rFonts w:ascii="Arial" w:hAnsi="Arial" w:cs="Arial"/>
          <w:noProof/>
          <w:color w:val="000000" w:themeColor="text1"/>
          <w:lang w:val="en-IN"/>
        </w:rPr>
        <w:drawing>
          <wp:inline distT="0" distB="0" distL="0" distR="0" wp14:anchorId="7644B899" wp14:editId="02E90BF8">
            <wp:extent cx="5731510" cy="599440"/>
            <wp:effectExtent l="0" t="0" r="2540" b="0"/>
            <wp:docPr id="855994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994193" name=""/>
                    <pic:cNvPicPr/>
                  </pic:nvPicPr>
                  <pic:blipFill>
                    <a:blip r:embed="rId10"/>
                    <a:stretch>
                      <a:fillRect/>
                    </a:stretch>
                  </pic:blipFill>
                  <pic:spPr>
                    <a:xfrm>
                      <a:off x="0" y="0"/>
                      <a:ext cx="5731510" cy="599440"/>
                    </a:xfrm>
                    <a:prstGeom prst="rect">
                      <a:avLst/>
                    </a:prstGeom>
                  </pic:spPr>
                </pic:pic>
              </a:graphicData>
            </a:graphic>
          </wp:inline>
        </w:drawing>
      </w:r>
    </w:p>
    <w:p w14:paraId="02791FBD" w14:textId="0EF28800" w:rsidR="0015726F" w:rsidRPr="00FE591A" w:rsidRDefault="00706F48" w:rsidP="008C4B4F">
      <w:pPr>
        <w:jc w:val="center"/>
        <w:rPr>
          <w:rFonts w:ascii="Arial" w:eastAsiaTheme="minorEastAsia" w:hAnsi="Arial" w:cs="Arial"/>
          <w:b/>
          <w:bCs/>
          <w:color w:val="000000" w:themeColor="text1"/>
          <w:lang w:val="en-IN"/>
        </w:rPr>
      </w:pPr>
      <w:r w:rsidRPr="00FE591A">
        <w:rPr>
          <w:rFonts w:ascii="Arial" w:eastAsiaTheme="minorEastAsia" w:hAnsi="Arial" w:cs="Arial"/>
          <w:b/>
          <w:bCs/>
          <w:color w:val="000000" w:themeColor="text1"/>
          <w:lang w:val="en-IN"/>
        </w:rPr>
        <w:t>O</w:t>
      </w:r>
      <w:r w:rsidR="00AA71E7" w:rsidRPr="00FE591A">
        <w:rPr>
          <w:rFonts w:ascii="Arial" w:eastAsiaTheme="minorEastAsia" w:hAnsi="Arial" w:cs="Arial"/>
          <w:b/>
          <w:bCs/>
          <w:color w:val="000000" w:themeColor="text1"/>
          <w:lang w:val="en-IN"/>
        </w:rPr>
        <w:t>ption A: Expand Retail Outlet</w:t>
      </w:r>
      <m:oMath>
        <m:r>
          <m:rPr>
            <m:sty m:val="b"/>
          </m:rPr>
          <w:rPr>
            <w:rFonts w:ascii="Cambria Math" w:hAnsi="Cambria Math" w:cs="Arial"/>
            <w:color w:val="000000" w:themeColor="text1"/>
            <w:lang w:val="en-IN"/>
          </w:rPr>
          <m:t>​</m:t>
        </m:r>
      </m:oMath>
    </w:p>
    <w:p w14:paraId="7EE95275" w14:textId="3ECABE79" w:rsidR="00AA71E7" w:rsidRPr="00FE591A" w:rsidRDefault="00706F48" w:rsidP="0015726F">
      <w:pPr>
        <w:rPr>
          <w:rFonts w:ascii="Arial" w:hAnsi="Arial" w:cs="Arial"/>
          <w:color w:val="000000" w:themeColor="text1"/>
        </w:rPr>
      </w:pPr>
      <w:r w:rsidRPr="00FE591A">
        <w:rPr>
          <w:rFonts w:ascii="Arial" w:hAnsi="Arial" w:cs="Arial"/>
          <w:color w:val="000000" w:themeColor="text1"/>
        </w:rPr>
        <w:t>Three investment opportunities are being considered by Jordons Plc to grow its business. The first option involves expanding the existing retail outlet to include all product lines. An initial investment of £600,000 is required for this project. Expected cash inflows of £200,000, £300,000, £400,000, and £500,000 are projected over the next four years. A capital allowance of £120,000 per year (based on 20% straight-line depreciation) is applied. A 25% corporation tax rate is also considered. After tax adjustments, the net cash flows for each year are calculated. These adjusted cash flows are then discounted using a 6% rate to find their present values, helping to evaluate whether the investment will be financially beneficial.</w:t>
      </w:r>
    </w:p>
    <w:tbl>
      <w:tblPr>
        <w:tblW w:w="6360" w:type="dxa"/>
        <w:tblLook w:val="04A0" w:firstRow="1" w:lastRow="0" w:firstColumn="1" w:lastColumn="0" w:noHBand="0" w:noVBand="1"/>
      </w:tblPr>
      <w:tblGrid>
        <w:gridCol w:w="4040"/>
        <w:gridCol w:w="2320"/>
      </w:tblGrid>
      <w:tr w:rsidR="00FE591A" w:rsidRPr="00FE591A" w14:paraId="2280BC54" w14:textId="77777777" w:rsidTr="005F7C69">
        <w:trPr>
          <w:trHeight w:val="312"/>
        </w:trPr>
        <w:tc>
          <w:tcPr>
            <w:tcW w:w="4040" w:type="dxa"/>
            <w:tcBorders>
              <w:top w:val="nil"/>
              <w:left w:val="nil"/>
              <w:bottom w:val="nil"/>
              <w:right w:val="nil"/>
            </w:tcBorders>
            <w:shd w:val="clear" w:color="auto" w:fill="auto"/>
            <w:noWrap/>
            <w:vAlign w:val="bottom"/>
            <w:hideMark/>
          </w:tcPr>
          <w:p w14:paraId="56785349" w14:textId="77777777" w:rsidR="005F7C69" w:rsidRPr="00FE591A" w:rsidRDefault="005F7C69" w:rsidP="005F7C69">
            <w:pPr>
              <w:spacing w:after="0" w:line="240" w:lineRule="auto"/>
              <w:jc w:val="left"/>
              <w:rPr>
                <w:rFonts w:ascii="Arial" w:eastAsia="Times New Roman" w:hAnsi="Arial" w:cs="Arial"/>
                <w:b/>
                <w:bCs/>
                <w:color w:val="000000" w:themeColor="text1"/>
                <w:szCs w:val="24"/>
                <w:lang w:val="en-IN" w:eastAsia="en-IN" w:bidi="bn-BD"/>
              </w:rPr>
            </w:pPr>
            <w:r w:rsidRPr="00FE591A">
              <w:rPr>
                <w:rFonts w:ascii="Arial" w:eastAsia="Times New Roman" w:hAnsi="Arial" w:cs="Arial"/>
                <w:b/>
                <w:bCs/>
                <w:color w:val="000000" w:themeColor="text1"/>
                <w:szCs w:val="24"/>
                <w:lang w:val="en-IN" w:eastAsia="en-IN" w:bidi="bn-BD"/>
              </w:rPr>
              <w:t>Initial Investment</w:t>
            </w:r>
          </w:p>
        </w:tc>
        <w:tc>
          <w:tcPr>
            <w:tcW w:w="2320" w:type="dxa"/>
            <w:tcBorders>
              <w:top w:val="nil"/>
              <w:left w:val="nil"/>
              <w:bottom w:val="nil"/>
              <w:right w:val="nil"/>
            </w:tcBorders>
            <w:shd w:val="clear" w:color="auto" w:fill="auto"/>
            <w:noWrap/>
            <w:vAlign w:val="bottom"/>
            <w:hideMark/>
          </w:tcPr>
          <w:p w14:paraId="611FF82D" w14:textId="77777777" w:rsidR="005F7C69" w:rsidRPr="00FE591A" w:rsidRDefault="005F7C69" w:rsidP="005F7C69">
            <w:pPr>
              <w:spacing w:after="0" w:line="240" w:lineRule="auto"/>
              <w:jc w:val="right"/>
              <w:rPr>
                <w:rFonts w:ascii="Arial" w:eastAsia="Times New Roman" w:hAnsi="Arial" w:cs="Arial"/>
                <w:color w:val="000000" w:themeColor="text1"/>
                <w:szCs w:val="24"/>
                <w:lang w:val="en-IN" w:eastAsia="en-IN" w:bidi="bn-BD"/>
              </w:rPr>
            </w:pPr>
            <w:r w:rsidRPr="00FE591A">
              <w:rPr>
                <w:rFonts w:ascii="Arial" w:eastAsia="Times New Roman" w:hAnsi="Arial" w:cs="Arial"/>
                <w:color w:val="000000" w:themeColor="text1"/>
                <w:szCs w:val="24"/>
                <w:lang w:val="en-IN" w:eastAsia="en-IN" w:bidi="bn-BD"/>
              </w:rPr>
              <w:t>600</w:t>
            </w:r>
          </w:p>
        </w:tc>
      </w:tr>
      <w:tr w:rsidR="00FE591A" w:rsidRPr="00FE591A" w14:paraId="1A30ED63" w14:textId="77777777" w:rsidTr="005F7C69">
        <w:trPr>
          <w:trHeight w:val="312"/>
        </w:trPr>
        <w:tc>
          <w:tcPr>
            <w:tcW w:w="4040" w:type="dxa"/>
            <w:tcBorders>
              <w:top w:val="nil"/>
              <w:left w:val="nil"/>
              <w:bottom w:val="nil"/>
              <w:right w:val="nil"/>
            </w:tcBorders>
            <w:shd w:val="clear" w:color="auto" w:fill="auto"/>
            <w:noWrap/>
            <w:vAlign w:val="bottom"/>
            <w:hideMark/>
          </w:tcPr>
          <w:p w14:paraId="3FC59E29" w14:textId="77777777" w:rsidR="005F7C69" w:rsidRPr="00FE591A" w:rsidRDefault="005F7C69" w:rsidP="005F7C69">
            <w:pPr>
              <w:spacing w:after="0" w:line="240" w:lineRule="auto"/>
              <w:jc w:val="left"/>
              <w:rPr>
                <w:rFonts w:ascii="Arial" w:eastAsia="Times New Roman" w:hAnsi="Arial" w:cs="Arial"/>
                <w:b/>
                <w:bCs/>
                <w:color w:val="000000" w:themeColor="text1"/>
                <w:szCs w:val="24"/>
                <w:lang w:val="en-IN" w:eastAsia="en-IN" w:bidi="bn-BD"/>
              </w:rPr>
            </w:pPr>
            <w:r w:rsidRPr="00FE591A">
              <w:rPr>
                <w:rFonts w:ascii="Arial" w:eastAsia="Times New Roman" w:hAnsi="Arial" w:cs="Arial"/>
                <w:b/>
                <w:bCs/>
                <w:color w:val="000000" w:themeColor="text1"/>
                <w:szCs w:val="24"/>
                <w:lang w:val="en-IN" w:eastAsia="en-IN" w:bidi="bn-BD"/>
              </w:rPr>
              <w:t>Capital Allowance per year (20%)</w:t>
            </w:r>
            <w:r w:rsidRPr="00FE591A">
              <w:rPr>
                <w:rFonts w:ascii="Arial" w:eastAsia="Times New Roman" w:hAnsi="Arial" w:cs="Arial"/>
                <w:color w:val="000000" w:themeColor="text1"/>
                <w:szCs w:val="24"/>
                <w:lang w:val="en-IN" w:eastAsia="en-IN" w:bidi="bn-BD"/>
              </w:rPr>
              <w:t xml:space="preserve"> </w:t>
            </w:r>
          </w:p>
        </w:tc>
        <w:tc>
          <w:tcPr>
            <w:tcW w:w="2320" w:type="dxa"/>
            <w:tcBorders>
              <w:top w:val="nil"/>
              <w:left w:val="nil"/>
              <w:bottom w:val="nil"/>
              <w:right w:val="nil"/>
            </w:tcBorders>
            <w:shd w:val="clear" w:color="auto" w:fill="auto"/>
            <w:noWrap/>
            <w:vAlign w:val="bottom"/>
            <w:hideMark/>
          </w:tcPr>
          <w:p w14:paraId="1B5154DA" w14:textId="77777777" w:rsidR="005F7C69" w:rsidRPr="00FE591A" w:rsidRDefault="005F7C69" w:rsidP="005F7C69">
            <w:pPr>
              <w:spacing w:after="0" w:line="240" w:lineRule="auto"/>
              <w:jc w:val="right"/>
              <w:rPr>
                <w:rFonts w:ascii="Arial" w:eastAsia="Times New Roman" w:hAnsi="Arial" w:cs="Arial"/>
                <w:color w:val="000000" w:themeColor="text1"/>
                <w:szCs w:val="24"/>
                <w:lang w:val="en-IN" w:eastAsia="en-IN" w:bidi="bn-BD"/>
              </w:rPr>
            </w:pPr>
            <w:r w:rsidRPr="00FE591A">
              <w:rPr>
                <w:rFonts w:ascii="Arial" w:eastAsia="Times New Roman" w:hAnsi="Arial" w:cs="Arial"/>
                <w:color w:val="000000" w:themeColor="text1"/>
                <w:szCs w:val="24"/>
                <w:lang w:val="en-IN" w:eastAsia="en-IN" w:bidi="bn-BD"/>
              </w:rPr>
              <w:t>120</w:t>
            </w:r>
          </w:p>
        </w:tc>
      </w:tr>
      <w:tr w:rsidR="00FE591A" w:rsidRPr="00FE591A" w14:paraId="459CD5F5" w14:textId="77777777" w:rsidTr="005F7C69">
        <w:trPr>
          <w:trHeight w:val="312"/>
        </w:trPr>
        <w:tc>
          <w:tcPr>
            <w:tcW w:w="4040" w:type="dxa"/>
            <w:tcBorders>
              <w:top w:val="nil"/>
              <w:left w:val="nil"/>
              <w:bottom w:val="nil"/>
              <w:right w:val="nil"/>
            </w:tcBorders>
            <w:shd w:val="clear" w:color="auto" w:fill="auto"/>
            <w:noWrap/>
            <w:vAlign w:val="bottom"/>
            <w:hideMark/>
          </w:tcPr>
          <w:p w14:paraId="620FBFA9" w14:textId="77777777" w:rsidR="005F7C69" w:rsidRPr="00FE591A" w:rsidRDefault="005F7C69" w:rsidP="005F7C69">
            <w:pPr>
              <w:spacing w:after="0" w:line="240" w:lineRule="auto"/>
              <w:jc w:val="left"/>
              <w:rPr>
                <w:rFonts w:ascii="Arial" w:eastAsia="Times New Roman" w:hAnsi="Arial" w:cs="Arial"/>
                <w:b/>
                <w:bCs/>
                <w:color w:val="000000" w:themeColor="text1"/>
                <w:szCs w:val="24"/>
                <w:lang w:val="en-IN" w:eastAsia="en-IN" w:bidi="bn-BD"/>
              </w:rPr>
            </w:pPr>
            <w:r w:rsidRPr="00FE591A">
              <w:rPr>
                <w:rFonts w:ascii="Arial" w:eastAsia="Times New Roman" w:hAnsi="Arial" w:cs="Arial"/>
                <w:b/>
                <w:bCs/>
                <w:color w:val="000000" w:themeColor="text1"/>
                <w:szCs w:val="24"/>
                <w:lang w:val="en-IN" w:eastAsia="en-IN" w:bidi="bn-BD"/>
              </w:rPr>
              <w:t>Tax Rate</w:t>
            </w:r>
          </w:p>
        </w:tc>
        <w:tc>
          <w:tcPr>
            <w:tcW w:w="2320" w:type="dxa"/>
            <w:tcBorders>
              <w:top w:val="nil"/>
              <w:left w:val="nil"/>
              <w:bottom w:val="nil"/>
              <w:right w:val="nil"/>
            </w:tcBorders>
            <w:shd w:val="clear" w:color="auto" w:fill="auto"/>
            <w:noWrap/>
            <w:vAlign w:val="bottom"/>
            <w:hideMark/>
          </w:tcPr>
          <w:p w14:paraId="1138A84A" w14:textId="77777777" w:rsidR="005F7C69" w:rsidRPr="00FE591A" w:rsidRDefault="005F7C69" w:rsidP="005F7C69">
            <w:pPr>
              <w:spacing w:after="0" w:line="240" w:lineRule="auto"/>
              <w:jc w:val="right"/>
              <w:rPr>
                <w:rFonts w:ascii="Arial" w:eastAsia="Times New Roman" w:hAnsi="Arial" w:cs="Arial"/>
                <w:color w:val="000000" w:themeColor="text1"/>
                <w:szCs w:val="24"/>
                <w:lang w:val="en-IN" w:eastAsia="en-IN" w:bidi="bn-BD"/>
              </w:rPr>
            </w:pPr>
            <w:r w:rsidRPr="00FE591A">
              <w:rPr>
                <w:rFonts w:ascii="Arial" w:eastAsia="Times New Roman" w:hAnsi="Arial" w:cs="Arial"/>
                <w:color w:val="000000" w:themeColor="text1"/>
                <w:szCs w:val="24"/>
                <w:lang w:val="en-IN" w:eastAsia="en-IN" w:bidi="bn-BD"/>
              </w:rPr>
              <w:t>25%</w:t>
            </w:r>
          </w:p>
        </w:tc>
      </w:tr>
      <w:tr w:rsidR="00FE591A" w:rsidRPr="00FE591A" w14:paraId="06B84122" w14:textId="77777777" w:rsidTr="005F7C69">
        <w:trPr>
          <w:trHeight w:val="312"/>
        </w:trPr>
        <w:tc>
          <w:tcPr>
            <w:tcW w:w="4040" w:type="dxa"/>
            <w:tcBorders>
              <w:top w:val="nil"/>
              <w:left w:val="nil"/>
              <w:bottom w:val="nil"/>
              <w:right w:val="nil"/>
            </w:tcBorders>
            <w:shd w:val="clear" w:color="auto" w:fill="auto"/>
            <w:noWrap/>
            <w:vAlign w:val="bottom"/>
            <w:hideMark/>
          </w:tcPr>
          <w:p w14:paraId="2CC8DEE3" w14:textId="48C03C8B" w:rsidR="005F7C69" w:rsidRPr="00FE591A" w:rsidRDefault="00706F48" w:rsidP="005F7C69">
            <w:pPr>
              <w:spacing w:after="0" w:line="240" w:lineRule="auto"/>
              <w:jc w:val="left"/>
              <w:rPr>
                <w:rFonts w:ascii="Arial" w:eastAsia="Times New Roman" w:hAnsi="Arial" w:cs="Arial"/>
                <w:b/>
                <w:bCs/>
                <w:color w:val="000000" w:themeColor="text1"/>
                <w:szCs w:val="24"/>
                <w:lang w:val="en-IN" w:eastAsia="en-IN" w:bidi="bn-BD"/>
              </w:rPr>
            </w:pPr>
            <w:r w:rsidRPr="00FE591A">
              <w:rPr>
                <w:rFonts w:ascii="Arial" w:eastAsia="Times New Roman" w:hAnsi="Arial" w:cs="Arial"/>
                <w:b/>
                <w:bCs/>
                <w:color w:val="000000" w:themeColor="text1"/>
                <w:szCs w:val="24"/>
                <w:lang w:val="en-IN" w:eastAsia="en-IN" w:bidi="bn-BD"/>
              </w:rPr>
              <w:t>Cost of Capital</w:t>
            </w:r>
          </w:p>
        </w:tc>
        <w:tc>
          <w:tcPr>
            <w:tcW w:w="2320" w:type="dxa"/>
            <w:tcBorders>
              <w:top w:val="nil"/>
              <w:left w:val="nil"/>
              <w:bottom w:val="nil"/>
              <w:right w:val="nil"/>
            </w:tcBorders>
            <w:shd w:val="clear" w:color="auto" w:fill="auto"/>
            <w:noWrap/>
            <w:vAlign w:val="bottom"/>
            <w:hideMark/>
          </w:tcPr>
          <w:p w14:paraId="311B7DDC" w14:textId="77777777" w:rsidR="005F7C69" w:rsidRPr="00FE591A" w:rsidRDefault="005F7C69" w:rsidP="005F7C69">
            <w:pPr>
              <w:spacing w:after="0" w:line="240" w:lineRule="auto"/>
              <w:jc w:val="right"/>
              <w:rPr>
                <w:rFonts w:ascii="Arial" w:eastAsia="Times New Roman" w:hAnsi="Arial" w:cs="Arial"/>
                <w:color w:val="000000" w:themeColor="text1"/>
                <w:szCs w:val="24"/>
                <w:lang w:val="en-IN" w:eastAsia="en-IN" w:bidi="bn-BD"/>
              </w:rPr>
            </w:pPr>
            <w:r w:rsidRPr="00FE591A">
              <w:rPr>
                <w:rFonts w:ascii="Arial" w:eastAsia="Times New Roman" w:hAnsi="Arial" w:cs="Arial"/>
                <w:color w:val="000000" w:themeColor="text1"/>
                <w:szCs w:val="24"/>
                <w:lang w:val="en-IN" w:eastAsia="en-IN" w:bidi="bn-BD"/>
              </w:rPr>
              <w:t>6%</w:t>
            </w:r>
          </w:p>
        </w:tc>
      </w:tr>
    </w:tbl>
    <w:tbl>
      <w:tblPr>
        <w:tblStyle w:val="TableGrid"/>
        <w:tblW w:w="0" w:type="auto"/>
        <w:tblLook w:val="04A0" w:firstRow="1" w:lastRow="0" w:firstColumn="1" w:lastColumn="0" w:noHBand="0" w:noVBand="1"/>
      </w:tblPr>
      <w:tblGrid>
        <w:gridCol w:w="528"/>
        <w:gridCol w:w="1822"/>
        <w:gridCol w:w="1100"/>
        <w:gridCol w:w="1268"/>
        <w:gridCol w:w="789"/>
        <w:gridCol w:w="1520"/>
        <w:gridCol w:w="940"/>
        <w:gridCol w:w="1049"/>
      </w:tblGrid>
      <w:tr w:rsidR="00FE591A" w:rsidRPr="00FE591A" w14:paraId="00186550" w14:textId="77777777" w:rsidTr="005F7C69">
        <w:trPr>
          <w:trHeight w:val="312"/>
        </w:trPr>
        <w:tc>
          <w:tcPr>
            <w:tcW w:w="960" w:type="dxa"/>
            <w:noWrap/>
            <w:hideMark/>
          </w:tcPr>
          <w:p w14:paraId="6C2953F1" w14:textId="77777777" w:rsidR="005F7C69" w:rsidRPr="00FE591A" w:rsidRDefault="005F7C69" w:rsidP="005F7C69">
            <w:pPr>
              <w:rPr>
                <w:rFonts w:ascii="Arial" w:hAnsi="Arial" w:cs="Arial"/>
                <w:b/>
                <w:bCs/>
                <w:color w:val="000000" w:themeColor="text1"/>
                <w:lang w:val="en-IN"/>
              </w:rPr>
            </w:pPr>
            <w:r w:rsidRPr="00FE591A">
              <w:rPr>
                <w:rFonts w:ascii="Arial" w:hAnsi="Arial" w:cs="Arial"/>
                <w:b/>
                <w:bCs/>
                <w:color w:val="000000" w:themeColor="text1"/>
              </w:rPr>
              <w:lastRenderedPageBreak/>
              <w:t>Year</w:t>
            </w:r>
          </w:p>
        </w:tc>
        <w:tc>
          <w:tcPr>
            <w:tcW w:w="4040" w:type="dxa"/>
            <w:noWrap/>
            <w:hideMark/>
          </w:tcPr>
          <w:p w14:paraId="08863060"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Cash Flow (£'000)</w:t>
            </w:r>
          </w:p>
        </w:tc>
        <w:tc>
          <w:tcPr>
            <w:tcW w:w="2320" w:type="dxa"/>
            <w:noWrap/>
            <w:hideMark/>
          </w:tcPr>
          <w:p w14:paraId="1EFA950A"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Capital Allowance (£'000)</w:t>
            </w:r>
          </w:p>
        </w:tc>
        <w:tc>
          <w:tcPr>
            <w:tcW w:w="2720" w:type="dxa"/>
            <w:noWrap/>
            <w:hideMark/>
          </w:tcPr>
          <w:p w14:paraId="0E346306"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Taxable Profit (CF - CA) (£'000)</w:t>
            </w:r>
          </w:p>
        </w:tc>
        <w:tc>
          <w:tcPr>
            <w:tcW w:w="1580" w:type="dxa"/>
            <w:noWrap/>
            <w:hideMark/>
          </w:tcPr>
          <w:p w14:paraId="0AC78E1D"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Tax (25%) (£'000)</w:t>
            </w:r>
          </w:p>
        </w:tc>
        <w:tc>
          <w:tcPr>
            <w:tcW w:w="3320" w:type="dxa"/>
            <w:noWrap/>
            <w:hideMark/>
          </w:tcPr>
          <w:p w14:paraId="24A3931A"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After-Tax Cash Flow (CF - Tax) (£'000)</w:t>
            </w:r>
          </w:p>
        </w:tc>
        <w:tc>
          <w:tcPr>
            <w:tcW w:w="1940" w:type="dxa"/>
            <w:noWrap/>
            <w:hideMark/>
          </w:tcPr>
          <w:p w14:paraId="324F1880"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Discount Factor (6%)</w:t>
            </w:r>
          </w:p>
        </w:tc>
        <w:tc>
          <w:tcPr>
            <w:tcW w:w="2200" w:type="dxa"/>
            <w:noWrap/>
            <w:hideMark/>
          </w:tcPr>
          <w:p w14:paraId="1F6BA7FD"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Present Value (£'000)</w:t>
            </w:r>
          </w:p>
        </w:tc>
      </w:tr>
      <w:tr w:rsidR="00FE591A" w:rsidRPr="00FE591A" w14:paraId="2F39010B" w14:textId="77777777" w:rsidTr="005F7C69">
        <w:trPr>
          <w:trHeight w:val="312"/>
        </w:trPr>
        <w:tc>
          <w:tcPr>
            <w:tcW w:w="960" w:type="dxa"/>
            <w:noWrap/>
            <w:hideMark/>
          </w:tcPr>
          <w:p w14:paraId="42F35DB8"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0</w:t>
            </w:r>
          </w:p>
        </w:tc>
        <w:tc>
          <w:tcPr>
            <w:tcW w:w="4040" w:type="dxa"/>
            <w:noWrap/>
            <w:hideMark/>
          </w:tcPr>
          <w:p w14:paraId="0D5F2368"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-600</w:t>
            </w:r>
          </w:p>
        </w:tc>
        <w:tc>
          <w:tcPr>
            <w:tcW w:w="2320" w:type="dxa"/>
            <w:noWrap/>
            <w:hideMark/>
          </w:tcPr>
          <w:p w14:paraId="15DDF971"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 </w:t>
            </w:r>
          </w:p>
        </w:tc>
        <w:tc>
          <w:tcPr>
            <w:tcW w:w="2720" w:type="dxa"/>
            <w:noWrap/>
            <w:hideMark/>
          </w:tcPr>
          <w:p w14:paraId="7FB7216A"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1580" w:type="dxa"/>
            <w:noWrap/>
            <w:hideMark/>
          </w:tcPr>
          <w:p w14:paraId="2F89D6A5"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3320" w:type="dxa"/>
            <w:noWrap/>
            <w:hideMark/>
          </w:tcPr>
          <w:p w14:paraId="55FC4A96"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1940" w:type="dxa"/>
            <w:noWrap/>
            <w:hideMark/>
          </w:tcPr>
          <w:p w14:paraId="4AC643BE"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2200" w:type="dxa"/>
            <w:noWrap/>
            <w:hideMark/>
          </w:tcPr>
          <w:p w14:paraId="3321B567"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-600</w:t>
            </w:r>
          </w:p>
        </w:tc>
      </w:tr>
      <w:tr w:rsidR="00FE591A" w:rsidRPr="00FE591A" w14:paraId="7D308B68" w14:textId="77777777" w:rsidTr="005F7C69">
        <w:trPr>
          <w:trHeight w:val="312"/>
        </w:trPr>
        <w:tc>
          <w:tcPr>
            <w:tcW w:w="960" w:type="dxa"/>
            <w:noWrap/>
            <w:hideMark/>
          </w:tcPr>
          <w:p w14:paraId="38E9C78E"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1</w:t>
            </w:r>
          </w:p>
        </w:tc>
        <w:tc>
          <w:tcPr>
            <w:tcW w:w="4040" w:type="dxa"/>
            <w:noWrap/>
            <w:hideMark/>
          </w:tcPr>
          <w:p w14:paraId="7B997424"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200</w:t>
            </w:r>
          </w:p>
        </w:tc>
        <w:tc>
          <w:tcPr>
            <w:tcW w:w="2320" w:type="dxa"/>
            <w:noWrap/>
            <w:hideMark/>
          </w:tcPr>
          <w:p w14:paraId="490975F3"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120</w:t>
            </w:r>
          </w:p>
        </w:tc>
        <w:tc>
          <w:tcPr>
            <w:tcW w:w="2720" w:type="dxa"/>
            <w:noWrap/>
            <w:hideMark/>
          </w:tcPr>
          <w:p w14:paraId="0AFEC246"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80</w:t>
            </w:r>
          </w:p>
        </w:tc>
        <w:tc>
          <w:tcPr>
            <w:tcW w:w="1580" w:type="dxa"/>
            <w:noWrap/>
            <w:hideMark/>
          </w:tcPr>
          <w:p w14:paraId="6A6FA67B"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20</w:t>
            </w:r>
          </w:p>
        </w:tc>
        <w:tc>
          <w:tcPr>
            <w:tcW w:w="3320" w:type="dxa"/>
            <w:noWrap/>
            <w:hideMark/>
          </w:tcPr>
          <w:p w14:paraId="5852BF95"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180</w:t>
            </w:r>
          </w:p>
        </w:tc>
        <w:tc>
          <w:tcPr>
            <w:tcW w:w="1940" w:type="dxa"/>
            <w:noWrap/>
            <w:hideMark/>
          </w:tcPr>
          <w:p w14:paraId="798C9D7A"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0.943396226</w:t>
            </w:r>
          </w:p>
        </w:tc>
        <w:tc>
          <w:tcPr>
            <w:tcW w:w="2200" w:type="dxa"/>
            <w:noWrap/>
            <w:hideMark/>
          </w:tcPr>
          <w:p w14:paraId="2282562C"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169.8113208</w:t>
            </w:r>
          </w:p>
        </w:tc>
      </w:tr>
      <w:tr w:rsidR="00FE591A" w:rsidRPr="00FE591A" w14:paraId="49C54416" w14:textId="77777777" w:rsidTr="005F7C69">
        <w:trPr>
          <w:trHeight w:val="312"/>
        </w:trPr>
        <w:tc>
          <w:tcPr>
            <w:tcW w:w="960" w:type="dxa"/>
            <w:noWrap/>
            <w:hideMark/>
          </w:tcPr>
          <w:p w14:paraId="4A61022D"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2</w:t>
            </w:r>
          </w:p>
        </w:tc>
        <w:tc>
          <w:tcPr>
            <w:tcW w:w="4040" w:type="dxa"/>
            <w:noWrap/>
            <w:hideMark/>
          </w:tcPr>
          <w:p w14:paraId="069D59AF"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300</w:t>
            </w:r>
          </w:p>
        </w:tc>
        <w:tc>
          <w:tcPr>
            <w:tcW w:w="2320" w:type="dxa"/>
            <w:noWrap/>
            <w:hideMark/>
          </w:tcPr>
          <w:p w14:paraId="5D86402D"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120</w:t>
            </w:r>
          </w:p>
        </w:tc>
        <w:tc>
          <w:tcPr>
            <w:tcW w:w="2720" w:type="dxa"/>
            <w:noWrap/>
            <w:hideMark/>
          </w:tcPr>
          <w:p w14:paraId="0258E1A2"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180</w:t>
            </w:r>
          </w:p>
        </w:tc>
        <w:tc>
          <w:tcPr>
            <w:tcW w:w="1580" w:type="dxa"/>
            <w:noWrap/>
            <w:hideMark/>
          </w:tcPr>
          <w:p w14:paraId="26D4AAD1"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45</w:t>
            </w:r>
          </w:p>
        </w:tc>
        <w:tc>
          <w:tcPr>
            <w:tcW w:w="3320" w:type="dxa"/>
            <w:noWrap/>
            <w:hideMark/>
          </w:tcPr>
          <w:p w14:paraId="47A9D8C9"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255</w:t>
            </w:r>
          </w:p>
        </w:tc>
        <w:tc>
          <w:tcPr>
            <w:tcW w:w="1940" w:type="dxa"/>
            <w:noWrap/>
            <w:hideMark/>
          </w:tcPr>
          <w:p w14:paraId="59EE8517"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0.88999644</w:t>
            </w:r>
          </w:p>
        </w:tc>
        <w:tc>
          <w:tcPr>
            <w:tcW w:w="2200" w:type="dxa"/>
            <w:noWrap/>
            <w:hideMark/>
          </w:tcPr>
          <w:p w14:paraId="2E7496AD"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226.9490922</w:t>
            </w:r>
          </w:p>
        </w:tc>
      </w:tr>
      <w:tr w:rsidR="00FE591A" w:rsidRPr="00FE591A" w14:paraId="63839B4A" w14:textId="77777777" w:rsidTr="005F7C69">
        <w:trPr>
          <w:trHeight w:val="312"/>
        </w:trPr>
        <w:tc>
          <w:tcPr>
            <w:tcW w:w="960" w:type="dxa"/>
            <w:noWrap/>
            <w:hideMark/>
          </w:tcPr>
          <w:p w14:paraId="2FD1E6A5"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3</w:t>
            </w:r>
          </w:p>
        </w:tc>
        <w:tc>
          <w:tcPr>
            <w:tcW w:w="4040" w:type="dxa"/>
            <w:noWrap/>
            <w:hideMark/>
          </w:tcPr>
          <w:p w14:paraId="228A1BF0"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400</w:t>
            </w:r>
          </w:p>
        </w:tc>
        <w:tc>
          <w:tcPr>
            <w:tcW w:w="2320" w:type="dxa"/>
            <w:noWrap/>
            <w:hideMark/>
          </w:tcPr>
          <w:p w14:paraId="275E916B"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120</w:t>
            </w:r>
          </w:p>
        </w:tc>
        <w:tc>
          <w:tcPr>
            <w:tcW w:w="2720" w:type="dxa"/>
            <w:noWrap/>
            <w:hideMark/>
          </w:tcPr>
          <w:p w14:paraId="71FD776E"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280</w:t>
            </w:r>
          </w:p>
        </w:tc>
        <w:tc>
          <w:tcPr>
            <w:tcW w:w="1580" w:type="dxa"/>
            <w:noWrap/>
            <w:hideMark/>
          </w:tcPr>
          <w:p w14:paraId="23DBB4B1"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70</w:t>
            </w:r>
          </w:p>
        </w:tc>
        <w:tc>
          <w:tcPr>
            <w:tcW w:w="3320" w:type="dxa"/>
            <w:noWrap/>
            <w:hideMark/>
          </w:tcPr>
          <w:p w14:paraId="3EAFBC59"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330</w:t>
            </w:r>
          </w:p>
        </w:tc>
        <w:tc>
          <w:tcPr>
            <w:tcW w:w="1940" w:type="dxa"/>
            <w:noWrap/>
            <w:hideMark/>
          </w:tcPr>
          <w:p w14:paraId="76D97832"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0.839619283</w:t>
            </w:r>
          </w:p>
        </w:tc>
        <w:tc>
          <w:tcPr>
            <w:tcW w:w="2200" w:type="dxa"/>
            <w:noWrap/>
            <w:hideMark/>
          </w:tcPr>
          <w:p w14:paraId="0FE51C84"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277.0743634</w:t>
            </w:r>
          </w:p>
        </w:tc>
      </w:tr>
      <w:tr w:rsidR="00FE591A" w:rsidRPr="00FE591A" w14:paraId="12BF8630" w14:textId="77777777" w:rsidTr="005F7C69">
        <w:trPr>
          <w:trHeight w:val="312"/>
        </w:trPr>
        <w:tc>
          <w:tcPr>
            <w:tcW w:w="960" w:type="dxa"/>
            <w:noWrap/>
            <w:hideMark/>
          </w:tcPr>
          <w:p w14:paraId="4AE94D95"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4</w:t>
            </w:r>
          </w:p>
        </w:tc>
        <w:tc>
          <w:tcPr>
            <w:tcW w:w="4040" w:type="dxa"/>
            <w:noWrap/>
            <w:hideMark/>
          </w:tcPr>
          <w:p w14:paraId="735235F3"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500</w:t>
            </w:r>
          </w:p>
        </w:tc>
        <w:tc>
          <w:tcPr>
            <w:tcW w:w="2320" w:type="dxa"/>
            <w:noWrap/>
            <w:hideMark/>
          </w:tcPr>
          <w:p w14:paraId="33ECAFE7"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120</w:t>
            </w:r>
          </w:p>
        </w:tc>
        <w:tc>
          <w:tcPr>
            <w:tcW w:w="2720" w:type="dxa"/>
            <w:noWrap/>
            <w:hideMark/>
          </w:tcPr>
          <w:p w14:paraId="1A24F7E1"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380</w:t>
            </w:r>
          </w:p>
        </w:tc>
        <w:tc>
          <w:tcPr>
            <w:tcW w:w="1580" w:type="dxa"/>
            <w:noWrap/>
            <w:hideMark/>
          </w:tcPr>
          <w:p w14:paraId="174626BE"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95</w:t>
            </w:r>
          </w:p>
        </w:tc>
        <w:tc>
          <w:tcPr>
            <w:tcW w:w="3320" w:type="dxa"/>
            <w:noWrap/>
            <w:hideMark/>
          </w:tcPr>
          <w:p w14:paraId="7948FCBE"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405</w:t>
            </w:r>
          </w:p>
        </w:tc>
        <w:tc>
          <w:tcPr>
            <w:tcW w:w="1940" w:type="dxa"/>
            <w:noWrap/>
            <w:hideMark/>
          </w:tcPr>
          <w:p w14:paraId="00150E4C"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0.792093663</w:t>
            </w:r>
          </w:p>
        </w:tc>
        <w:tc>
          <w:tcPr>
            <w:tcW w:w="2200" w:type="dxa"/>
            <w:noWrap/>
            <w:hideMark/>
          </w:tcPr>
          <w:p w14:paraId="42D22418"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320.7979336</w:t>
            </w:r>
          </w:p>
        </w:tc>
      </w:tr>
      <w:tr w:rsidR="005F7C69" w:rsidRPr="00FE591A" w14:paraId="6D5CDDFE" w14:textId="77777777" w:rsidTr="005F7C69">
        <w:trPr>
          <w:trHeight w:val="312"/>
        </w:trPr>
        <w:tc>
          <w:tcPr>
            <w:tcW w:w="960" w:type="dxa"/>
            <w:noWrap/>
            <w:hideMark/>
          </w:tcPr>
          <w:p w14:paraId="588B9BE7" w14:textId="77777777" w:rsidR="005F7C69" w:rsidRPr="00FE591A" w:rsidRDefault="005F7C69" w:rsidP="005F7C69">
            <w:pPr>
              <w:rPr>
                <w:rFonts w:ascii="Arial" w:hAnsi="Arial" w:cs="Arial"/>
                <w:b/>
                <w:bCs/>
                <w:color w:val="000000" w:themeColor="text1"/>
              </w:rPr>
            </w:pPr>
            <w:r w:rsidRPr="00FE591A">
              <w:rPr>
                <w:rFonts w:ascii="Arial" w:hAnsi="Arial" w:cs="Arial"/>
                <w:b/>
                <w:bCs/>
                <w:color w:val="000000" w:themeColor="text1"/>
              </w:rPr>
              <w:t> </w:t>
            </w:r>
          </w:p>
        </w:tc>
        <w:tc>
          <w:tcPr>
            <w:tcW w:w="4040" w:type="dxa"/>
            <w:noWrap/>
            <w:hideMark/>
          </w:tcPr>
          <w:p w14:paraId="7EE8DD28"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2320" w:type="dxa"/>
            <w:noWrap/>
            <w:hideMark/>
          </w:tcPr>
          <w:p w14:paraId="46794B7B"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2720" w:type="dxa"/>
            <w:noWrap/>
            <w:hideMark/>
          </w:tcPr>
          <w:p w14:paraId="36518294"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1580" w:type="dxa"/>
            <w:noWrap/>
            <w:hideMark/>
          </w:tcPr>
          <w:p w14:paraId="700B39E2"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3320" w:type="dxa"/>
            <w:noWrap/>
            <w:hideMark/>
          </w:tcPr>
          <w:p w14:paraId="79B8964C"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 </w:t>
            </w:r>
          </w:p>
        </w:tc>
        <w:tc>
          <w:tcPr>
            <w:tcW w:w="1940" w:type="dxa"/>
            <w:noWrap/>
            <w:hideMark/>
          </w:tcPr>
          <w:p w14:paraId="396AE3E9"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NPV</w:t>
            </w:r>
          </w:p>
        </w:tc>
        <w:tc>
          <w:tcPr>
            <w:tcW w:w="2200" w:type="dxa"/>
            <w:noWrap/>
            <w:hideMark/>
          </w:tcPr>
          <w:p w14:paraId="54B636B0" w14:textId="108F4CF2" w:rsidR="005F7C69" w:rsidRPr="00FE591A" w:rsidRDefault="00706F48" w:rsidP="005F7C69">
            <w:pPr>
              <w:rPr>
                <w:rFonts w:ascii="Arial" w:hAnsi="Arial" w:cs="Arial"/>
                <w:b/>
                <w:bCs/>
                <w:color w:val="000000" w:themeColor="text1"/>
              </w:rPr>
            </w:pPr>
            <w:r w:rsidRPr="00FE591A">
              <w:rPr>
                <w:rFonts w:ascii="Arial" w:hAnsi="Arial" w:cs="Arial"/>
                <w:b/>
                <w:bCs/>
                <w:color w:val="000000" w:themeColor="text1"/>
              </w:rPr>
              <w:t>£</w:t>
            </w:r>
            <w:r w:rsidR="005F7C69" w:rsidRPr="00FE591A">
              <w:rPr>
                <w:rFonts w:ascii="Arial" w:hAnsi="Arial" w:cs="Arial"/>
                <w:b/>
                <w:bCs/>
                <w:color w:val="000000" w:themeColor="text1"/>
              </w:rPr>
              <w:t>394.63271</w:t>
            </w:r>
          </w:p>
        </w:tc>
      </w:tr>
    </w:tbl>
    <w:p w14:paraId="52E9E4C4" w14:textId="4C302EFC" w:rsidR="0015726F" w:rsidRPr="00FE591A" w:rsidRDefault="0015726F" w:rsidP="0015726F">
      <w:pPr>
        <w:rPr>
          <w:rFonts w:ascii="Arial" w:hAnsi="Arial" w:cs="Arial"/>
          <w:b/>
          <w:bCs/>
          <w:color w:val="000000" w:themeColor="text1"/>
          <w:lang w:val="en-IN"/>
        </w:rPr>
      </w:pPr>
    </w:p>
    <w:p w14:paraId="19FBD45A" w14:textId="5E9A7E07" w:rsidR="00DB4DD3" w:rsidRPr="00FE591A" w:rsidRDefault="00AA71E7" w:rsidP="00DB4DD3">
      <w:pPr>
        <w:rPr>
          <w:rFonts w:ascii="Arial" w:hAnsi="Arial" w:cs="Arial"/>
          <w:color w:val="000000" w:themeColor="text1"/>
          <w:lang w:val="en-IN"/>
        </w:rPr>
      </w:pPr>
      <w:r w:rsidRPr="00FE591A">
        <w:rPr>
          <w:rFonts w:ascii="Arial" w:hAnsi="Arial" w:cs="Arial"/>
          <w:b/>
          <w:bCs/>
          <w:color w:val="000000" w:themeColor="text1"/>
        </w:rPr>
        <w:t xml:space="preserve">Interpretation: </w:t>
      </w:r>
      <w:r w:rsidR="00DB4DD3" w:rsidRPr="00FE591A">
        <w:rPr>
          <w:rFonts w:ascii="Arial" w:hAnsi="Arial" w:cs="Arial"/>
          <w:color w:val="000000" w:themeColor="text1"/>
          <w:lang w:val="en-IN"/>
        </w:rPr>
        <w:t>The NPV for Option A (Expand Retail Outlet) has been calculated as £394,632.71, which shows that the investment is profitable. However, a lower return is offered compared to the other options, suggesting that growth potential is limited even though the project is financially sound</w:t>
      </w:r>
      <w:r w:rsidR="00D65254" w:rsidRPr="00FE591A">
        <w:rPr>
          <w:rFonts w:ascii="Arial" w:hAnsi="Arial" w:cs="Arial"/>
          <w:color w:val="000000" w:themeColor="text1"/>
          <w:lang w:val="en-IN"/>
        </w:rPr>
        <w:t>(Chrysafis and Papadopoulos, 2020)</w:t>
      </w:r>
      <w:r w:rsidR="00DB4DD3" w:rsidRPr="00FE591A">
        <w:rPr>
          <w:rFonts w:ascii="Arial" w:hAnsi="Arial" w:cs="Arial"/>
          <w:color w:val="000000" w:themeColor="text1"/>
          <w:lang w:val="en-IN"/>
        </w:rPr>
        <w:t>.</w:t>
      </w:r>
    </w:p>
    <w:p w14:paraId="5FF2BCB4" w14:textId="6D0E3B10" w:rsidR="008C4B4F" w:rsidRPr="00FE591A" w:rsidRDefault="008C4B4F" w:rsidP="00DB4DD3">
      <w:pPr>
        <w:rPr>
          <w:rFonts w:ascii="Arial" w:hAnsi="Arial" w:cs="Arial"/>
          <w:b/>
          <w:bCs/>
          <w:color w:val="000000" w:themeColor="text1"/>
        </w:rPr>
      </w:pPr>
      <w:r w:rsidRPr="00FE591A">
        <w:rPr>
          <w:rFonts w:ascii="Arial" w:hAnsi="Arial" w:cs="Arial"/>
          <w:b/>
          <w:bCs/>
          <w:color w:val="000000" w:themeColor="text1"/>
        </w:rPr>
        <w:br w:type="page"/>
      </w:r>
    </w:p>
    <w:p w14:paraId="48A04CC0" w14:textId="59384D1A" w:rsidR="00AA71E7" w:rsidRPr="00FE591A" w:rsidRDefault="00AA71E7" w:rsidP="008C4B4F">
      <w:pPr>
        <w:jc w:val="center"/>
        <w:rPr>
          <w:rFonts w:ascii="Arial" w:hAnsi="Arial" w:cs="Arial"/>
          <w:b/>
          <w:bCs/>
          <w:color w:val="000000" w:themeColor="text1"/>
        </w:rPr>
      </w:pPr>
      <w:r w:rsidRPr="00FE591A">
        <w:rPr>
          <w:rFonts w:ascii="Arial" w:hAnsi="Arial" w:cs="Arial"/>
          <w:b/>
          <w:bCs/>
          <w:color w:val="000000" w:themeColor="text1"/>
        </w:rPr>
        <w:lastRenderedPageBreak/>
        <w:t>Option B: Develop Internet Sales</w:t>
      </w:r>
    </w:p>
    <w:p w14:paraId="74C9633D" w14:textId="11D936BF" w:rsidR="005F7C69" w:rsidRPr="00FE591A" w:rsidRDefault="00DB4DD3" w:rsidP="00AA71E7">
      <w:pPr>
        <w:rPr>
          <w:rFonts w:ascii="Arial" w:hAnsi="Arial" w:cs="Arial"/>
          <w:color w:val="000000" w:themeColor="text1"/>
        </w:rPr>
      </w:pPr>
      <w:r w:rsidRPr="00FE591A">
        <w:rPr>
          <w:rFonts w:ascii="Arial" w:hAnsi="Arial" w:cs="Arial"/>
          <w:color w:val="000000" w:themeColor="text1"/>
        </w:rPr>
        <w:t>The second investment option is focused on expanding into internet sales. An initial investment of £1,000,000 is required for this project. Projected cash inflows of £400,000, £450,000, £650,000, and £980,000 are expected over the next four years. Capital allowances and tax adjustments are applied in the same way as in Option A. These figures are used to calculate the net cash flows after tax, which are then discounted at 6% to find their present value for evaluating the project’s financial worth.</w:t>
      </w:r>
    </w:p>
    <w:tbl>
      <w:tblPr>
        <w:tblStyle w:val="TableGrid"/>
        <w:tblW w:w="0" w:type="auto"/>
        <w:tblLook w:val="04A0" w:firstRow="1" w:lastRow="0" w:firstColumn="1" w:lastColumn="0" w:noHBand="0" w:noVBand="1"/>
      </w:tblPr>
      <w:tblGrid>
        <w:gridCol w:w="489"/>
        <w:gridCol w:w="1622"/>
        <w:gridCol w:w="1124"/>
        <w:gridCol w:w="1376"/>
        <w:gridCol w:w="834"/>
        <w:gridCol w:w="1648"/>
        <w:gridCol w:w="966"/>
        <w:gridCol w:w="957"/>
      </w:tblGrid>
      <w:tr w:rsidR="00FE591A" w:rsidRPr="00FE591A" w14:paraId="3C480EC0" w14:textId="77777777" w:rsidTr="005F7C69">
        <w:trPr>
          <w:trHeight w:val="312"/>
        </w:trPr>
        <w:tc>
          <w:tcPr>
            <w:tcW w:w="960" w:type="dxa"/>
            <w:noWrap/>
            <w:hideMark/>
          </w:tcPr>
          <w:p w14:paraId="04358C3B" w14:textId="77777777" w:rsidR="005F7C69" w:rsidRPr="00FE591A" w:rsidRDefault="005F7C69" w:rsidP="005F7C69">
            <w:pPr>
              <w:rPr>
                <w:rFonts w:ascii="Arial" w:hAnsi="Arial" w:cs="Arial"/>
                <w:color w:val="000000" w:themeColor="text1"/>
                <w:lang w:val="en-IN"/>
              </w:rPr>
            </w:pPr>
          </w:p>
        </w:tc>
        <w:tc>
          <w:tcPr>
            <w:tcW w:w="4040" w:type="dxa"/>
            <w:noWrap/>
            <w:hideMark/>
          </w:tcPr>
          <w:p w14:paraId="155168A3"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Initial Investment</w:t>
            </w:r>
          </w:p>
        </w:tc>
        <w:tc>
          <w:tcPr>
            <w:tcW w:w="2684" w:type="dxa"/>
            <w:noWrap/>
            <w:hideMark/>
          </w:tcPr>
          <w:p w14:paraId="6F27E757"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1000</w:t>
            </w:r>
          </w:p>
        </w:tc>
        <w:tc>
          <w:tcPr>
            <w:tcW w:w="3370" w:type="dxa"/>
            <w:noWrap/>
            <w:hideMark/>
          </w:tcPr>
          <w:p w14:paraId="68E2E24C" w14:textId="77777777" w:rsidR="005F7C69" w:rsidRPr="00FE591A" w:rsidRDefault="005F7C69" w:rsidP="005F7C69">
            <w:pPr>
              <w:rPr>
                <w:rFonts w:ascii="Arial" w:hAnsi="Arial" w:cs="Arial"/>
                <w:color w:val="000000" w:themeColor="text1"/>
              </w:rPr>
            </w:pPr>
          </w:p>
        </w:tc>
        <w:tc>
          <w:tcPr>
            <w:tcW w:w="1897" w:type="dxa"/>
            <w:noWrap/>
            <w:hideMark/>
          </w:tcPr>
          <w:p w14:paraId="63107AD0" w14:textId="77777777" w:rsidR="005F7C69" w:rsidRPr="00FE591A" w:rsidRDefault="005F7C69" w:rsidP="005F7C69">
            <w:pPr>
              <w:rPr>
                <w:rFonts w:ascii="Arial" w:hAnsi="Arial" w:cs="Arial"/>
                <w:color w:val="000000" w:themeColor="text1"/>
              </w:rPr>
            </w:pPr>
          </w:p>
        </w:tc>
        <w:tc>
          <w:tcPr>
            <w:tcW w:w="4110" w:type="dxa"/>
            <w:noWrap/>
            <w:hideMark/>
          </w:tcPr>
          <w:p w14:paraId="0A446B69" w14:textId="77777777" w:rsidR="005F7C69" w:rsidRPr="00FE591A" w:rsidRDefault="005F7C69">
            <w:pPr>
              <w:rPr>
                <w:rFonts w:ascii="Arial" w:hAnsi="Arial" w:cs="Arial"/>
                <w:color w:val="000000" w:themeColor="text1"/>
              </w:rPr>
            </w:pPr>
          </w:p>
        </w:tc>
        <w:tc>
          <w:tcPr>
            <w:tcW w:w="2257" w:type="dxa"/>
            <w:noWrap/>
            <w:hideMark/>
          </w:tcPr>
          <w:p w14:paraId="7DD9598E" w14:textId="77777777" w:rsidR="005F7C69" w:rsidRPr="00FE591A" w:rsidRDefault="005F7C69">
            <w:pPr>
              <w:rPr>
                <w:rFonts w:ascii="Arial" w:hAnsi="Arial" w:cs="Arial"/>
                <w:color w:val="000000" w:themeColor="text1"/>
              </w:rPr>
            </w:pPr>
          </w:p>
        </w:tc>
        <w:tc>
          <w:tcPr>
            <w:tcW w:w="2230" w:type="dxa"/>
            <w:noWrap/>
            <w:hideMark/>
          </w:tcPr>
          <w:p w14:paraId="164DA88E" w14:textId="77777777" w:rsidR="005F7C69" w:rsidRPr="00FE591A" w:rsidRDefault="005F7C69">
            <w:pPr>
              <w:rPr>
                <w:rFonts w:ascii="Arial" w:hAnsi="Arial" w:cs="Arial"/>
                <w:color w:val="000000" w:themeColor="text1"/>
              </w:rPr>
            </w:pPr>
          </w:p>
        </w:tc>
      </w:tr>
      <w:tr w:rsidR="00FE591A" w:rsidRPr="00FE591A" w14:paraId="36B9EDA7" w14:textId="77777777" w:rsidTr="005F7C69">
        <w:trPr>
          <w:trHeight w:val="312"/>
        </w:trPr>
        <w:tc>
          <w:tcPr>
            <w:tcW w:w="960" w:type="dxa"/>
            <w:noWrap/>
            <w:hideMark/>
          </w:tcPr>
          <w:p w14:paraId="336ABA50" w14:textId="77777777" w:rsidR="005F7C69" w:rsidRPr="00FE591A" w:rsidRDefault="005F7C69">
            <w:pPr>
              <w:rPr>
                <w:rFonts w:ascii="Arial" w:hAnsi="Arial" w:cs="Arial"/>
                <w:color w:val="000000" w:themeColor="text1"/>
              </w:rPr>
            </w:pPr>
          </w:p>
        </w:tc>
        <w:tc>
          <w:tcPr>
            <w:tcW w:w="4040" w:type="dxa"/>
            <w:noWrap/>
            <w:hideMark/>
          </w:tcPr>
          <w:p w14:paraId="207A4B62"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Capital Allowance per year (20%)</w:t>
            </w:r>
          </w:p>
        </w:tc>
        <w:tc>
          <w:tcPr>
            <w:tcW w:w="2684" w:type="dxa"/>
            <w:noWrap/>
            <w:hideMark/>
          </w:tcPr>
          <w:p w14:paraId="0EAAAA8C"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200</w:t>
            </w:r>
          </w:p>
        </w:tc>
        <w:tc>
          <w:tcPr>
            <w:tcW w:w="3370" w:type="dxa"/>
            <w:noWrap/>
            <w:hideMark/>
          </w:tcPr>
          <w:p w14:paraId="445D7C53" w14:textId="77777777" w:rsidR="005F7C69" w:rsidRPr="00FE591A" w:rsidRDefault="005F7C69" w:rsidP="005F7C69">
            <w:pPr>
              <w:rPr>
                <w:rFonts w:ascii="Arial" w:hAnsi="Arial" w:cs="Arial"/>
                <w:color w:val="000000" w:themeColor="text1"/>
              </w:rPr>
            </w:pPr>
          </w:p>
        </w:tc>
        <w:tc>
          <w:tcPr>
            <w:tcW w:w="1897" w:type="dxa"/>
            <w:noWrap/>
            <w:hideMark/>
          </w:tcPr>
          <w:p w14:paraId="51775039" w14:textId="77777777" w:rsidR="005F7C69" w:rsidRPr="00FE591A" w:rsidRDefault="005F7C69">
            <w:pPr>
              <w:rPr>
                <w:rFonts w:ascii="Arial" w:hAnsi="Arial" w:cs="Arial"/>
                <w:color w:val="000000" w:themeColor="text1"/>
              </w:rPr>
            </w:pPr>
          </w:p>
        </w:tc>
        <w:tc>
          <w:tcPr>
            <w:tcW w:w="4110" w:type="dxa"/>
            <w:noWrap/>
            <w:hideMark/>
          </w:tcPr>
          <w:p w14:paraId="694D6CE7" w14:textId="77777777" w:rsidR="005F7C69" w:rsidRPr="00FE591A" w:rsidRDefault="005F7C69">
            <w:pPr>
              <w:rPr>
                <w:rFonts w:ascii="Arial" w:hAnsi="Arial" w:cs="Arial"/>
                <w:color w:val="000000" w:themeColor="text1"/>
              </w:rPr>
            </w:pPr>
          </w:p>
        </w:tc>
        <w:tc>
          <w:tcPr>
            <w:tcW w:w="2257" w:type="dxa"/>
            <w:noWrap/>
            <w:hideMark/>
          </w:tcPr>
          <w:p w14:paraId="5A57BDB9" w14:textId="77777777" w:rsidR="005F7C69" w:rsidRPr="00FE591A" w:rsidRDefault="005F7C69">
            <w:pPr>
              <w:rPr>
                <w:rFonts w:ascii="Arial" w:hAnsi="Arial" w:cs="Arial"/>
                <w:color w:val="000000" w:themeColor="text1"/>
              </w:rPr>
            </w:pPr>
          </w:p>
        </w:tc>
        <w:tc>
          <w:tcPr>
            <w:tcW w:w="2230" w:type="dxa"/>
            <w:noWrap/>
            <w:hideMark/>
          </w:tcPr>
          <w:p w14:paraId="731639F2" w14:textId="77777777" w:rsidR="005F7C69" w:rsidRPr="00FE591A" w:rsidRDefault="005F7C69">
            <w:pPr>
              <w:rPr>
                <w:rFonts w:ascii="Arial" w:hAnsi="Arial" w:cs="Arial"/>
                <w:color w:val="000000" w:themeColor="text1"/>
              </w:rPr>
            </w:pPr>
          </w:p>
        </w:tc>
      </w:tr>
      <w:tr w:rsidR="00FE591A" w:rsidRPr="00FE591A" w14:paraId="4E003F0D" w14:textId="77777777" w:rsidTr="005F7C69">
        <w:trPr>
          <w:trHeight w:val="312"/>
        </w:trPr>
        <w:tc>
          <w:tcPr>
            <w:tcW w:w="960" w:type="dxa"/>
            <w:noWrap/>
            <w:hideMark/>
          </w:tcPr>
          <w:p w14:paraId="15DEF983" w14:textId="77777777" w:rsidR="005F7C69" w:rsidRPr="00FE591A" w:rsidRDefault="005F7C69">
            <w:pPr>
              <w:rPr>
                <w:rFonts w:ascii="Arial" w:hAnsi="Arial" w:cs="Arial"/>
                <w:color w:val="000000" w:themeColor="text1"/>
              </w:rPr>
            </w:pPr>
          </w:p>
        </w:tc>
        <w:tc>
          <w:tcPr>
            <w:tcW w:w="4040" w:type="dxa"/>
            <w:noWrap/>
            <w:hideMark/>
          </w:tcPr>
          <w:p w14:paraId="2616C1E6"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Tax Rate</w:t>
            </w:r>
          </w:p>
        </w:tc>
        <w:tc>
          <w:tcPr>
            <w:tcW w:w="2684" w:type="dxa"/>
            <w:noWrap/>
            <w:hideMark/>
          </w:tcPr>
          <w:p w14:paraId="52196DF2"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25%</w:t>
            </w:r>
          </w:p>
        </w:tc>
        <w:tc>
          <w:tcPr>
            <w:tcW w:w="3370" w:type="dxa"/>
            <w:noWrap/>
            <w:hideMark/>
          </w:tcPr>
          <w:p w14:paraId="349BAB24" w14:textId="77777777" w:rsidR="005F7C69" w:rsidRPr="00FE591A" w:rsidRDefault="005F7C69" w:rsidP="005F7C69">
            <w:pPr>
              <w:rPr>
                <w:rFonts w:ascii="Arial" w:hAnsi="Arial" w:cs="Arial"/>
                <w:color w:val="000000" w:themeColor="text1"/>
              </w:rPr>
            </w:pPr>
          </w:p>
        </w:tc>
        <w:tc>
          <w:tcPr>
            <w:tcW w:w="1897" w:type="dxa"/>
            <w:noWrap/>
            <w:hideMark/>
          </w:tcPr>
          <w:p w14:paraId="53014FD4" w14:textId="77777777" w:rsidR="005F7C69" w:rsidRPr="00FE591A" w:rsidRDefault="005F7C69">
            <w:pPr>
              <w:rPr>
                <w:rFonts w:ascii="Arial" w:hAnsi="Arial" w:cs="Arial"/>
                <w:color w:val="000000" w:themeColor="text1"/>
              </w:rPr>
            </w:pPr>
          </w:p>
        </w:tc>
        <w:tc>
          <w:tcPr>
            <w:tcW w:w="4110" w:type="dxa"/>
            <w:noWrap/>
            <w:hideMark/>
          </w:tcPr>
          <w:p w14:paraId="74606A5A" w14:textId="77777777" w:rsidR="005F7C69" w:rsidRPr="00FE591A" w:rsidRDefault="005F7C69">
            <w:pPr>
              <w:rPr>
                <w:rFonts w:ascii="Arial" w:hAnsi="Arial" w:cs="Arial"/>
                <w:color w:val="000000" w:themeColor="text1"/>
              </w:rPr>
            </w:pPr>
          </w:p>
        </w:tc>
        <w:tc>
          <w:tcPr>
            <w:tcW w:w="2257" w:type="dxa"/>
            <w:noWrap/>
            <w:hideMark/>
          </w:tcPr>
          <w:p w14:paraId="31DD05F1" w14:textId="77777777" w:rsidR="005F7C69" w:rsidRPr="00FE591A" w:rsidRDefault="005F7C69">
            <w:pPr>
              <w:rPr>
                <w:rFonts w:ascii="Arial" w:hAnsi="Arial" w:cs="Arial"/>
                <w:color w:val="000000" w:themeColor="text1"/>
              </w:rPr>
            </w:pPr>
          </w:p>
        </w:tc>
        <w:tc>
          <w:tcPr>
            <w:tcW w:w="2230" w:type="dxa"/>
            <w:noWrap/>
            <w:hideMark/>
          </w:tcPr>
          <w:p w14:paraId="0739C326" w14:textId="77777777" w:rsidR="005F7C69" w:rsidRPr="00FE591A" w:rsidRDefault="005F7C69">
            <w:pPr>
              <w:rPr>
                <w:rFonts w:ascii="Arial" w:hAnsi="Arial" w:cs="Arial"/>
                <w:color w:val="000000" w:themeColor="text1"/>
              </w:rPr>
            </w:pPr>
          </w:p>
        </w:tc>
      </w:tr>
      <w:tr w:rsidR="00FE591A" w:rsidRPr="00FE591A" w14:paraId="620F719A" w14:textId="77777777" w:rsidTr="005F7C69">
        <w:trPr>
          <w:trHeight w:val="312"/>
        </w:trPr>
        <w:tc>
          <w:tcPr>
            <w:tcW w:w="960" w:type="dxa"/>
            <w:noWrap/>
            <w:hideMark/>
          </w:tcPr>
          <w:p w14:paraId="7A7FC30A" w14:textId="77777777" w:rsidR="005F7C69" w:rsidRPr="00FE591A" w:rsidRDefault="005F7C69">
            <w:pPr>
              <w:rPr>
                <w:rFonts w:ascii="Arial" w:hAnsi="Arial" w:cs="Arial"/>
                <w:color w:val="000000" w:themeColor="text1"/>
              </w:rPr>
            </w:pPr>
          </w:p>
        </w:tc>
        <w:tc>
          <w:tcPr>
            <w:tcW w:w="4040" w:type="dxa"/>
            <w:noWrap/>
            <w:hideMark/>
          </w:tcPr>
          <w:p w14:paraId="126A575D" w14:textId="20003223" w:rsidR="005F7C69" w:rsidRPr="00FE591A" w:rsidRDefault="00DB4DD3">
            <w:pPr>
              <w:rPr>
                <w:rFonts w:ascii="Arial" w:hAnsi="Arial" w:cs="Arial"/>
                <w:b/>
                <w:bCs/>
                <w:color w:val="000000" w:themeColor="text1"/>
              </w:rPr>
            </w:pPr>
            <w:r w:rsidRPr="00FE591A">
              <w:rPr>
                <w:rFonts w:ascii="Arial" w:hAnsi="Arial" w:cs="Arial"/>
                <w:b/>
                <w:bCs/>
                <w:color w:val="000000" w:themeColor="text1"/>
              </w:rPr>
              <w:t>Cost of Capital</w:t>
            </w:r>
          </w:p>
        </w:tc>
        <w:tc>
          <w:tcPr>
            <w:tcW w:w="2684" w:type="dxa"/>
            <w:noWrap/>
            <w:hideMark/>
          </w:tcPr>
          <w:p w14:paraId="14A640A9"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6%</w:t>
            </w:r>
          </w:p>
        </w:tc>
        <w:tc>
          <w:tcPr>
            <w:tcW w:w="3370" w:type="dxa"/>
            <w:noWrap/>
            <w:hideMark/>
          </w:tcPr>
          <w:p w14:paraId="490B5DDF" w14:textId="77777777" w:rsidR="005F7C69" w:rsidRPr="00FE591A" w:rsidRDefault="005F7C69" w:rsidP="005F7C69">
            <w:pPr>
              <w:rPr>
                <w:rFonts w:ascii="Arial" w:hAnsi="Arial" w:cs="Arial"/>
                <w:color w:val="000000" w:themeColor="text1"/>
              </w:rPr>
            </w:pPr>
          </w:p>
        </w:tc>
        <w:tc>
          <w:tcPr>
            <w:tcW w:w="1897" w:type="dxa"/>
            <w:noWrap/>
            <w:hideMark/>
          </w:tcPr>
          <w:p w14:paraId="541D22FB" w14:textId="77777777" w:rsidR="005F7C69" w:rsidRPr="00FE591A" w:rsidRDefault="005F7C69">
            <w:pPr>
              <w:rPr>
                <w:rFonts w:ascii="Arial" w:hAnsi="Arial" w:cs="Arial"/>
                <w:color w:val="000000" w:themeColor="text1"/>
              </w:rPr>
            </w:pPr>
          </w:p>
        </w:tc>
        <w:tc>
          <w:tcPr>
            <w:tcW w:w="4110" w:type="dxa"/>
            <w:noWrap/>
            <w:hideMark/>
          </w:tcPr>
          <w:p w14:paraId="7CD3D165" w14:textId="77777777" w:rsidR="005F7C69" w:rsidRPr="00FE591A" w:rsidRDefault="005F7C69">
            <w:pPr>
              <w:rPr>
                <w:rFonts w:ascii="Arial" w:hAnsi="Arial" w:cs="Arial"/>
                <w:color w:val="000000" w:themeColor="text1"/>
              </w:rPr>
            </w:pPr>
          </w:p>
        </w:tc>
        <w:tc>
          <w:tcPr>
            <w:tcW w:w="2257" w:type="dxa"/>
            <w:noWrap/>
            <w:hideMark/>
          </w:tcPr>
          <w:p w14:paraId="65150434" w14:textId="77777777" w:rsidR="005F7C69" w:rsidRPr="00FE591A" w:rsidRDefault="005F7C69">
            <w:pPr>
              <w:rPr>
                <w:rFonts w:ascii="Arial" w:hAnsi="Arial" w:cs="Arial"/>
                <w:color w:val="000000" w:themeColor="text1"/>
              </w:rPr>
            </w:pPr>
          </w:p>
        </w:tc>
        <w:tc>
          <w:tcPr>
            <w:tcW w:w="2230" w:type="dxa"/>
            <w:noWrap/>
            <w:hideMark/>
          </w:tcPr>
          <w:p w14:paraId="724F2A1C" w14:textId="77777777" w:rsidR="005F7C69" w:rsidRPr="00FE591A" w:rsidRDefault="005F7C69">
            <w:pPr>
              <w:rPr>
                <w:rFonts w:ascii="Arial" w:hAnsi="Arial" w:cs="Arial"/>
                <w:color w:val="000000" w:themeColor="text1"/>
              </w:rPr>
            </w:pPr>
          </w:p>
        </w:tc>
      </w:tr>
      <w:tr w:rsidR="00FE591A" w:rsidRPr="00FE591A" w14:paraId="5F79EC67" w14:textId="77777777" w:rsidTr="005F7C69">
        <w:trPr>
          <w:trHeight w:val="312"/>
        </w:trPr>
        <w:tc>
          <w:tcPr>
            <w:tcW w:w="960" w:type="dxa"/>
            <w:noWrap/>
            <w:hideMark/>
          </w:tcPr>
          <w:p w14:paraId="0585FD7C"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Year</w:t>
            </w:r>
          </w:p>
        </w:tc>
        <w:tc>
          <w:tcPr>
            <w:tcW w:w="4040" w:type="dxa"/>
            <w:noWrap/>
            <w:hideMark/>
          </w:tcPr>
          <w:p w14:paraId="005A3E0A"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Cash Flow (£'000)</w:t>
            </w:r>
          </w:p>
        </w:tc>
        <w:tc>
          <w:tcPr>
            <w:tcW w:w="2684" w:type="dxa"/>
            <w:noWrap/>
            <w:hideMark/>
          </w:tcPr>
          <w:p w14:paraId="210ABDC2"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Capital Allowance (£'000)</w:t>
            </w:r>
          </w:p>
        </w:tc>
        <w:tc>
          <w:tcPr>
            <w:tcW w:w="3370" w:type="dxa"/>
            <w:noWrap/>
            <w:hideMark/>
          </w:tcPr>
          <w:p w14:paraId="341E70D4"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Taxable Profit (CF - CA) (£'000)</w:t>
            </w:r>
          </w:p>
        </w:tc>
        <w:tc>
          <w:tcPr>
            <w:tcW w:w="1897" w:type="dxa"/>
            <w:noWrap/>
            <w:hideMark/>
          </w:tcPr>
          <w:p w14:paraId="0EDB4378"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Tax (25%) (£'000)</w:t>
            </w:r>
          </w:p>
        </w:tc>
        <w:tc>
          <w:tcPr>
            <w:tcW w:w="4110" w:type="dxa"/>
            <w:noWrap/>
            <w:hideMark/>
          </w:tcPr>
          <w:p w14:paraId="0CB80CE4"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After-Tax Cash Flow (CF - Tax) (£'000)</w:t>
            </w:r>
          </w:p>
        </w:tc>
        <w:tc>
          <w:tcPr>
            <w:tcW w:w="2257" w:type="dxa"/>
            <w:noWrap/>
            <w:hideMark/>
          </w:tcPr>
          <w:p w14:paraId="0BD34672"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Discount Factor (6%)</w:t>
            </w:r>
          </w:p>
        </w:tc>
        <w:tc>
          <w:tcPr>
            <w:tcW w:w="2230" w:type="dxa"/>
            <w:noWrap/>
            <w:hideMark/>
          </w:tcPr>
          <w:p w14:paraId="43423F0F"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Present Value (£'000)</w:t>
            </w:r>
          </w:p>
        </w:tc>
      </w:tr>
      <w:tr w:rsidR="00FE591A" w:rsidRPr="00FE591A" w14:paraId="11232006" w14:textId="77777777" w:rsidTr="005F7C69">
        <w:trPr>
          <w:trHeight w:val="312"/>
        </w:trPr>
        <w:tc>
          <w:tcPr>
            <w:tcW w:w="960" w:type="dxa"/>
            <w:noWrap/>
            <w:hideMark/>
          </w:tcPr>
          <w:p w14:paraId="636F0FF8"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w:t>
            </w:r>
          </w:p>
        </w:tc>
        <w:tc>
          <w:tcPr>
            <w:tcW w:w="4040" w:type="dxa"/>
            <w:noWrap/>
            <w:hideMark/>
          </w:tcPr>
          <w:p w14:paraId="36C49428"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-1000</w:t>
            </w:r>
          </w:p>
        </w:tc>
        <w:tc>
          <w:tcPr>
            <w:tcW w:w="2684" w:type="dxa"/>
            <w:noWrap/>
            <w:hideMark/>
          </w:tcPr>
          <w:p w14:paraId="2E748E0F"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 </w:t>
            </w:r>
          </w:p>
        </w:tc>
        <w:tc>
          <w:tcPr>
            <w:tcW w:w="3370" w:type="dxa"/>
            <w:noWrap/>
            <w:hideMark/>
          </w:tcPr>
          <w:p w14:paraId="487AB2E2"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897" w:type="dxa"/>
            <w:noWrap/>
            <w:hideMark/>
          </w:tcPr>
          <w:p w14:paraId="262D7559"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4110" w:type="dxa"/>
            <w:noWrap/>
            <w:hideMark/>
          </w:tcPr>
          <w:p w14:paraId="38FBAABA"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2257" w:type="dxa"/>
            <w:noWrap/>
            <w:hideMark/>
          </w:tcPr>
          <w:p w14:paraId="29D181C8"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2230" w:type="dxa"/>
            <w:noWrap/>
            <w:hideMark/>
          </w:tcPr>
          <w:p w14:paraId="656C91D2"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-1000</w:t>
            </w:r>
          </w:p>
        </w:tc>
      </w:tr>
      <w:tr w:rsidR="00FE591A" w:rsidRPr="00FE591A" w14:paraId="0708D33C" w14:textId="77777777" w:rsidTr="005F7C69">
        <w:trPr>
          <w:trHeight w:val="312"/>
        </w:trPr>
        <w:tc>
          <w:tcPr>
            <w:tcW w:w="960" w:type="dxa"/>
            <w:noWrap/>
            <w:hideMark/>
          </w:tcPr>
          <w:p w14:paraId="0B904DE4"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w:t>
            </w:r>
          </w:p>
        </w:tc>
        <w:tc>
          <w:tcPr>
            <w:tcW w:w="4040" w:type="dxa"/>
            <w:noWrap/>
            <w:hideMark/>
          </w:tcPr>
          <w:p w14:paraId="3A08D0C9"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400</w:t>
            </w:r>
          </w:p>
        </w:tc>
        <w:tc>
          <w:tcPr>
            <w:tcW w:w="2684" w:type="dxa"/>
            <w:noWrap/>
            <w:hideMark/>
          </w:tcPr>
          <w:p w14:paraId="7F3E8841"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200</w:t>
            </w:r>
          </w:p>
        </w:tc>
        <w:tc>
          <w:tcPr>
            <w:tcW w:w="3370" w:type="dxa"/>
            <w:noWrap/>
            <w:hideMark/>
          </w:tcPr>
          <w:p w14:paraId="1CFE32A1"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200</w:t>
            </w:r>
          </w:p>
        </w:tc>
        <w:tc>
          <w:tcPr>
            <w:tcW w:w="1897" w:type="dxa"/>
            <w:noWrap/>
            <w:hideMark/>
          </w:tcPr>
          <w:p w14:paraId="5EE91EA2"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50</w:t>
            </w:r>
          </w:p>
        </w:tc>
        <w:tc>
          <w:tcPr>
            <w:tcW w:w="4110" w:type="dxa"/>
            <w:noWrap/>
            <w:hideMark/>
          </w:tcPr>
          <w:p w14:paraId="30490604"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350</w:t>
            </w:r>
          </w:p>
        </w:tc>
        <w:tc>
          <w:tcPr>
            <w:tcW w:w="2257" w:type="dxa"/>
            <w:noWrap/>
            <w:hideMark/>
          </w:tcPr>
          <w:p w14:paraId="7C78A722"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0.943396226</w:t>
            </w:r>
          </w:p>
        </w:tc>
        <w:tc>
          <w:tcPr>
            <w:tcW w:w="2230" w:type="dxa"/>
            <w:noWrap/>
            <w:hideMark/>
          </w:tcPr>
          <w:p w14:paraId="3BB0C1D5"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330.1886792</w:t>
            </w:r>
          </w:p>
        </w:tc>
      </w:tr>
      <w:tr w:rsidR="00FE591A" w:rsidRPr="00FE591A" w14:paraId="358B0B18" w14:textId="77777777" w:rsidTr="005F7C69">
        <w:trPr>
          <w:trHeight w:val="312"/>
        </w:trPr>
        <w:tc>
          <w:tcPr>
            <w:tcW w:w="960" w:type="dxa"/>
            <w:noWrap/>
            <w:hideMark/>
          </w:tcPr>
          <w:p w14:paraId="789C69E1"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w:t>
            </w:r>
          </w:p>
        </w:tc>
        <w:tc>
          <w:tcPr>
            <w:tcW w:w="4040" w:type="dxa"/>
            <w:noWrap/>
            <w:hideMark/>
          </w:tcPr>
          <w:p w14:paraId="2396C8B6"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450</w:t>
            </w:r>
          </w:p>
        </w:tc>
        <w:tc>
          <w:tcPr>
            <w:tcW w:w="2684" w:type="dxa"/>
            <w:noWrap/>
            <w:hideMark/>
          </w:tcPr>
          <w:p w14:paraId="6A9EBE37"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200</w:t>
            </w:r>
          </w:p>
        </w:tc>
        <w:tc>
          <w:tcPr>
            <w:tcW w:w="3370" w:type="dxa"/>
            <w:noWrap/>
            <w:hideMark/>
          </w:tcPr>
          <w:p w14:paraId="66F4247C"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250</w:t>
            </w:r>
          </w:p>
        </w:tc>
        <w:tc>
          <w:tcPr>
            <w:tcW w:w="1897" w:type="dxa"/>
            <w:noWrap/>
            <w:hideMark/>
          </w:tcPr>
          <w:p w14:paraId="3F28A774"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62.5</w:t>
            </w:r>
          </w:p>
        </w:tc>
        <w:tc>
          <w:tcPr>
            <w:tcW w:w="4110" w:type="dxa"/>
            <w:noWrap/>
            <w:hideMark/>
          </w:tcPr>
          <w:p w14:paraId="15ACD107"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387.5</w:t>
            </w:r>
          </w:p>
        </w:tc>
        <w:tc>
          <w:tcPr>
            <w:tcW w:w="2257" w:type="dxa"/>
            <w:noWrap/>
            <w:hideMark/>
          </w:tcPr>
          <w:p w14:paraId="21DBC2C0"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0.88999644</w:t>
            </w:r>
          </w:p>
        </w:tc>
        <w:tc>
          <w:tcPr>
            <w:tcW w:w="2230" w:type="dxa"/>
            <w:noWrap/>
            <w:hideMark/>
          </w:tcPr>
          <w:p w14:paraId="06CB04FD"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344.8736205</w:t>
            </w:r>
          </w:p>
        </w:tc>
      </w:tr>
      <w:tr w:rsidR="00FE591A" w:rsidRPr="00FE591A" w14:paraId="7C5E3952" w14:textId="77777777" w:rsidTr="005F7C69">
        <w:trPr>
          <w:trHeight w:val="312"/>
        </w:trPr>
        <w:tc>
          <w:tcPr>
            <w:tcW w:w="960" w:type="dxa"/>
            <w:noWrap/>
            <w:hideMark/>
          </w:tcPr>
          <w:p w14:paraId="32355F80"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w:t>
            </w:r>
          </w:p>
        </w:tc>
        <w:tc>
          <w:tcPr>
            <w:tcW w:w="4040" w:type="dxa"/>
            <w:noWrap/>
            <w:hideMark/>
          </w:tcPr>
          <w:p w14:paraId="449D8BCA"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650</w:t>
            </w:r>
          </w:p>
        </w:tc>
        <w:tc>
          <w:tcPr>
            <w:tcW w:w="2684" w:type="dxa"/>
            <w:noWrap/>
            <w:hideMark/>
          </w:tcPr>
          <w:p w14:paraId="6B089980"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200</w:t>
            </w:r>
          </w:p>
        </w:tc>
        <w:tc>
          <w:tcPr>
            <w:tcW w:w="3370" w:type="dxa"/>
            <w:noWrap/>
            <w:hideMark/>
          </w:tcPr>
          <w:p w14:paraId="43F5AA87"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450</w:t>
            </w:r>
          </w:p>
        </w:tc>
        <w:tc>
          <w:tcPr>
            <w:tcW w:w="1897" w:type="dxa"/>
            <w:noWrap/>
            <w:hideMark/>
          </w:tcPr>
          <w:p w14:paraId="429BCD97"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112.5</w:t>
            </w:r>
          </w:p>
        </w:tc>
        <w:tc>
          <w:tcPr>
            <w:tcW w:w="4110" w:type="dxa"/>
            <w:noWrap/>
            <w:hideMark/>
          </w:tcPr>
          <w:p w14:paraId="6E2AFDCF"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537.5</w:t>
            </w:r>
          </w:p>
        </w:tc>
        <w:tc>
          <w:tcPr>
            <w:tcW w:w="2257" w:type="dxa"/>
            <w:noWrap/>
            <w:hideMark/>
          </w:tcPr>
          <w:p w14:paraId="0257D3E2"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0.839619283</w:t>
            </w:r>
          </w:p>
        </w:tc>
        <w:tc>
          <w:tcPr>
            <w:tcW w:w="2230" w:type="dxa"/>
            <w:noWrap/>
            <w:hideMark/>
          </w:tcPr>
          <w:p w14:paraId="7E6824F1"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451.2953646</w:t>
            </w:r>
          </w:p>
        </w:tc>
      </w:tr>
      <w:tr w:rsidR="00FE591A" w:rsidRPr="00FE591A" w14:paraId="140A9067" w14:textId="77777777" w:rsidTr="005F7C69">
        <w:trPr>
          <w:trHeight w:val="312"/>
        </w:trPr>
        <w:tc>
          <w:tcPr>
            <w:tcW w:w="960" w:type="dxa"/>
            <w:noWrap/>
            <w:hideMark/>
          </w:tcPr>
          <w:p w14:paraId="45C9F4CD"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4</w:t>
            </w:r>
          </w:p>
        </w:tc>
        <w:tc>
          <w:tcPr>
            <w:tcW w:w="4040" w:type="dxa"/>
            <w:noWrap/>
            <w:hideMark/>
          </w:tcPr>
          <w:p w14:paraId="6FC1399B"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980</w:t>
            </w:r>
          </w:p>
        </w:tc>
        <w:tc>
          <w:tcPr>
            <w:tcW w:w="2684" w:type="dxa"/>
            <w:noWrap/>
            <w:hideMark/>
          </w:tcPr>
          <w:p w14:paraId="62CBE70B"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200</w:t>
            </w:r>
          </w:p>
        </w:tc>
        <w:tc>
          <w:tcPr>
            <w:tcW w:w="3370" w:type="dxa"/>
            <w:noWrap/>
            <w:hideMark/>
          </w:tcPr>
          <w:p w14:paraId="436B7507"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780</w:t>
            </w:r>
          </w:p>
        </w:tc>
        <w:tc>
          <w:tcPr>
            <w:tcW w:w="1897" w:type="dxa"/>
            <w:noWrap/>
            <w:hideMark/>
          </w:tcPr>
          <w:p w14:paraId="0C7553D4"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195</w:t>
            </w:r>
          </w:p>
        </w:tc>
        <w:tc>
          <w:tcPr>
            <w:tcW w:w="4110" w:type="dxa"/>
            <w:noWrap/>
            <w:hideMark/>
          </w:tcPr>
          <w:p w14:paraId="0C1DAE08"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785</w:t>
            </w:r>
          </w:p>
        </w:tc>
        <w:tc>
          <w:tcPr>
            <w:tcW w:w="2257" w:type="dxa"/>
            <w:noWrap/>
            <w:hideMark/>
          </w:tcPr>
          <w:p w14:paraId="69AA1D5B"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0.792093663</w:t>
            </w:r>
          </w:p>
        </w:tc>
        <w:tc>
          <w:tcPr>
            <w:tcW w:w="2230" w:type="dxa"/>
            <w:noWrap/>
            <w:hideMark/>
          </w:tcPr>
          <w:p w14:paraId="3E350B98"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621.7935256</w:t>
            </w:r>
          </w:p>
        </w:tc>
      </w:tr>
      <w:tr w:rsidR="00FE591A" w:rsidRPr="00FE591A" w14:paraId="500C2360" w14:textId="77777777" w:rsidTr="005F7C69">
        <w:trPr>
          <w:trHeight w:val="312"/>
        </w:trPr>
        <w:tc>
          <w:tcPr>
            <w:tcW w:w="960" w:type="dxa"/>
            <w:noWrap/>
            <w:hideMark/>
          </w:tcPr>
          <w:p w14:paraId="74526C26"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 </w:t>
            </w:r>
          </w:p>
        </w:tc>
        <w:tc>
          <w:tcPr>
            <w:tcW w:w="4040" w:type="dxa"/>
            <w:noWrap/>
            <w:hideMark/>
          </w:tcPr>
          <w:p w14:paraId="190BD881"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2684" w:type="dxa"/>
            <w:noWrap/>
            <w:hideMark/>
          </w:tcPr>
          <w:p w14:paraId="767D9983"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3370" w:type="dxa"/>
            <w:noWrap/>
            <w:hideMark/>
          </w:tcPr>
          <w:p w14:paraId="4B772FD3"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897" w:type="dxa"/>
            <w:noWrap/>
            <w:hideMark/>
          </w:tcPr>
          <w:p w14:paraId="36728799"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4110" w:type="dxa"/>
            <w:noWrap/>
            <w:hideMark/>
          </w:tcPr>
          <w:p w14:paraId="62C8B92B"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2257" w:type="dxa"/>
            <w:noWrap/>
            <w:hideMark/>
          </w:tcPr>
          <w:p w14:paraId="4974967D"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NPV</w:t>
            </w:r>
          </w:p>
        </w:tc>
        <w:tc>
          <w:tcPr>
            <w:tcW w:w="2230" w:type="dxa"/>
            <w:noWrap/>
            <w:hideMark/>
          </w:tcPr>
          <w:p w14:paraId="18BE1A85" w14:textId="67CE9508" w:rsidR="005F7C69" w:rsidRPr="00FE591A" w:rsidRDefault="00DB4DD3" w:rsidP="005F7C69">
            <w:pPr>
              <w:rPr>
                <w:rFonts w:ascii="Arial" w:hAnsi="Arial" w:cs="Arial"/>
                <w:b/>
                <w:bCs/>
                <w:color w:val="000000" w:themeColor="text1"/>
              </w:rPr>
            </w:pPr>
            <w:r w:rsidRPr="00FE591A">
              <w:rPr>
                <w:rFonts w:ascii="Arial" w:hAnsi="Arial" w:cs="Arial"/>
                <w:color w:val="000000" w:themeColor="text1"/>
                <w:lang w:val="en-IN"/>
              </w:rPr>
              <w:t>£</w:t>
            </w:r>
            <w:r w:rsidR="005F7C69" w:rsidRPr="00FE591A">
              <w:rPr>
                <w:rFonts w:ascii="Arial" w:hAnsi="Arial" w:cs="Arial"/>
                <w:b/>
                <w:bCs/>
                <w:color w:val="000000" w:themeColor="text1"/>
              </w:rPr>
              <w:t>748.15119</w:t>
            </w:r>
          </w:p>
        </w:tc>
      </w:tr>
    </w:tbl>
    <w:p w14:paraId="0F55858D" w14:textId="0CE0C3E3" w:rsidR="00AA71E7" w:rsidRPr="00FE591A" w:rsidRDefault="00AA71E7" w:rsidP="00AA71E7">
      <w:pPr>
        <w:rPr>
          <w:rFonts w:ascii="Arial" w:hAnsi="Arial" w:cs="Arial"/>
          <w:color w:val="000000" w:themeColor="text1"/>
          <w:lang w:val="en-IN"/>
        </w:rPr>
      </w:pPr>
      <w:r w:rsidRPr="00FE591A">
        <w:rPr>
          <w:rFonts w:ascii="Arial" w:hAnsi="Arial" w:cs="Arial"/>
          <w:color w:val="000000" w:themeColor="text1"/>
        </w:rPr>
        <w:lastRenderedPageBreak/>
        <w:br/>
      </w:r>
      <w:r w:rsidRPr="00FE591A">
        <w:rPr>
          <w:rFonts w:ascii="Arial" w:hAnsi="Arial" w:cs="Arial"/>
          <w:b/>
          <w:bCs/>
          <w:color w:val="000000" w:themeColor="text1"/>
        </w:rPr>
        <w:t>Interpretation:</w:t>
      </w:r>
      <w:r w:rsidRPr="00FE591A">
        <w:rPr>
          <w:rFonts w:ascii="Arial" w:hAnsi="Arial" w:cs="Arial"/>
          <w:color w:val="000000" w:themeColor="text1"/>
        </w:rPr>
        <w:t xml:space="preserve">  </w:t>
      </w:r>
      <w:r w:rsidR="00DB4DD3" w:rsidRPr="00FE591A">
        <w:rPr>
          <w:rFonts w:ascii="Arial" w:hAnsi="Arial" w:cs="Arial"/>
          <w:color w:val="000000" w:themeColor="text1"/>
          <w:lang w:val="en-IN"/>
        </w:rPr>
        <w:t>The NPV for Option B (Develop Internet Sales) has been calculated as £748,153.15. This means the project is expected to give a good profit after paying back the initial investment of £1,000,000. Compared to Option A, this option gives a much higher return and has better chances for business growth, which makes it a more attractive choice for investment</w:t>
      </w:r>
      <w:r w:rsidR="00D65254" w:rsidRPr="00FE591A">
        <w:rPr>
          <w:rFonts w:ascii="Arial" w:hAnsi="Arial" w:cs="Arial"/>
          <w:color w:val="000000" w:themeColor="text1"/>
          <w:lang w:val="en-IN"/>
        </w:rPr>
        <w:t xml:space="preserve"> (Meunier, Quinet and Quinet, 2014)</w:t>
      </w:r>
      <w:r w:rsidR="00DB4DD3" w:rsidRPr="00FE591A">
        <w:rPr>
          <w:rFonts w:ascii="Arial" w:hAnsi="Arial" w:cs="Arial"/>
          <w:color w:val="000000" w:themeColor="text1"/>
          <w:lang w:val="en-IN"/>
        </w:rPr>
        <w:t>.</w:t>
      </w:r>
    </w:p>
    <w:p w14:paraId="77DE27DC" w14:textId="0AD7B53B" w:rsidR="00AA71E7" w:rsidRPr="00FE591A" w:rsidRDefault="00AA71E7" w:rsidP="008C4B4F">
      <w:pPr>
        <w:jc w:val="center"/>
        <w:rPr>
          <w:rFonts w:ascii="Arial" w:hAnsi="Arial" w:cs="Arial"/>
          <w:b/>
          <w:bCs/>
          <w:color w:val="000000" w:themeColor="text1"/>
          <w:lang w:val="en-IN"/>
        </w:rPr>
      </w:pPr>
      <w:r w:rsidRPr="00FE591A">
        <w:rPr>
          <w:rFonts w:ascii="Arial" w:hAnsi="Arial" w:cs="Arial"/>
          <w:b/>
          <w:bCs/>
          <w:color w:val="000000" w:themeColor="text1"/>
          <w:lang w:val="en-IN"/>
        </w:rPr>
        <w:t>Option C: Produce Curtains and Roman Blinds</w:t>
      </w:r>
    </w:p>
    <w:p w14:paraId="75B341D6" w14:textId="5CD2A196" w:rsidR="00AA71E7" w:rsidRPr="00FE591A" w:rsidRDefault="00DB4DD3" w:rsidP="00AA71E7">
      <w:pPr>
        <w:rPr>
          <w:rFonts w:ascii="Arial" w:hAnsi="Arial" w:cs="Arial"/>
          <w:color w:val="000000" w:themeColor="text1"/>
        </w:rPr>
      </w:pPr>
      <w:r w:rsidRPr="00FE591A">
        <w:rPr>
          <w:rFonts w:ascii="Arial" w:hAnsi="Arial" w:cs="Arial"/>
          <w:color w:val="000000" w:themeColor="text1"/>
        </w:rPr>
        <w:t>The third investment option involves producing curtains and Roman blinds, and it requires the largest initial investment of £1,600,000. Expected cash inflows over the next four years are £400,000, £700,000, £850,000, and £1,100,000. To calculate the NPV for this option, capital allowances and tax effects are taken into account. These cash flows are then discounted at 6% to find out how much value the project can bring to the company.</w:t>
      </w:r>
    </w:p>
    <w:tbl>
      <w:tblPr>
        <w:tblStyle w:val="TableGrid"/>
        <w:tblW w:w="0" w:type="auto"/>
        <w:tblLook w:val="04A0" w:firstRow="1" w:lastRow="0" w:firstColumn="1" w:lastColumn="0" w:noHBand="0" w:noVBand="1"/>
      </w:tblPr>
      <w:tblGrid>
        <w:gridCol w:w="650"/>
        <w:gridCol w:w="1274"/>
        <w:gridCol w:w="1207"/>
        <w:gridCol w:w="989"/>
        <w:gridCol w:w="843"/>
        <w:gridCol w:w="1170"/>
        <w:gridCol w:w="1386"/>
        <w:gridCol w:w="1497"/>
      </w:tblGrid>
      <w:tr w:rsidR="00FE591A" w:rsidRPr="00FE591A" w14:paraId="020A6C1C" w14:textId="77777777" w:rsidTr="00DB4DD3">
        <w:trPr>
          <w:trHeight w:val="312"/>
        </w:trPr>
        <w:tc>
          <w:tcPr>
            <w:tcW w:w="627" w:type="dxa"/>
            <w:noWrap/>
            <w:hideMark/>
          </w:tcPr>
          <w:p w14:paraId="4EAE0927" w14:textId="77777777" w:rsidR="005F7C69" w:rsidRPr="00FE591A" w:rsidRDefault="005F7C69">
            <w:pPr>
              <w:rPr>
                <w:rFonts w:ascii="Arial" w:hAnsi="Arial" w:cs="Arial"/>
                <w:color w:val="000000" w:themeColor="text1"/>
              </w:rPr>
            </w:pPr>
          </w:p>
        </w:tc>
        <w:tc>
          <w:tcPr>
            <w:tcW w:w="1277" w:type="dxa"/>
            <w:noWrap/>
            <w:hideMark/>
          </w:tcPr>
          <w:p w14:paraId="05A1F19E"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Initial Investment</w:t>
            </w:r>
          </w:p>
        </w:tc>
        <w:tc>
          <w:tcPr>
            <w:tcW w:w="1154" w:type="dxa"/>
            <w:noWrap/>
            <w:hideMark/>
          </w:tcPr>
          <w:p w14:paraId="30BEE2B6"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1600</w:t>
            </w:r>
          </w:p>
        </w:tc>
        <w:tc>
          <w:tcPr>
            <w:tcW w:w="1142" w:type="dxa"/>
            <w:noWrap/>
            <w:hideMark/>
          </w:tcPr>
          <w:p w14:paraId="260C2F51" w14:textId="77777777" w:rsidR="005F7C69" w:rsidRPr="00FE591A" w:rsidRDefault="005F7C69" w:rsidP="005F7C69">
            <w:pPr>
              <w:rPr>
                <w:rFonts w:ascii="Arial" w:hAnsi="Arial" w:cs="Arial"/>
                <w:color w:val="000000" w:themeColor="text1"/>
              </w:rPr>
            </w:pPr>
          </w:p>
        </w:tc>
        <w:tc>
          <w:tcPr>
            <w:tcW w:w="809" w:type="dxa"/>
            <w:noWrap/>
            <w:hideMark/>
          </w:tcPr>
          <w:p w14:paraId="3C80100A" w14:textId="77777777" w:rsidR="005F7C69" w:rsidRPr="00FE591A" w:rsidRDefault="005F7C69">
            <w:pPr>
              <w:rPr>
                <w:rFonts w:ascii="Arial" w:hAnsi="Arial" w:cs="Arial"/>
                <w:color w:val="000000" w:themeColor="text1"/>
              </w:rPr>
            </w:pPr>
          </w:p>
        </w:tc>
        <w:tc>
          <w:tcPr>
            <w:tcW w:w="1359" w:type="dxa"/>
            <w:noWrap/>
            <w:hideMark/>
          </w:tcPr>
          <w:p w14:paraId="17F432C4" w14:textId="77777777" w:rsidR="005F7C69" w:rsidRPr="00FE591A" w:rsidRDefault="005F7C69">
            <w:pPr>
              <w:rPr>
                <w:rFonts w:ascii="Arial" w:hAnsi="Arial" w:cs="Arial"/>
                <w:color w:val="000000" w:themeColor="text1"/>
              </w:rPr>
            </w:pPr>
          </w:p>
        </w:tc>
        <w:tc>
          <w:tcPr>
            <w:tcW w:w="1324" w:type="dxa"/>
            <w:noWrap/>
            <w:hideMark/>
          </w:tcPr>
          <w:p w14:paraId="0E4C4899" w14:textId="77777777" w:rsidR="005F7C69" w:rsidRPr="00FE591A" w:rsidRDefault="005F7C69">
            <w:pPr>
              <w:rPr>
                <w:rFonts w:ascii="Arial" w:hAnsi="Arial" w:cs="Arial"/>
                <w:color w:val="000000" w:themeColor="text1"/>
              </w:rPr>
            </w:pPr>
          </w:p>
        </w:tc>
        <w:tc>
          <w:tcPr>
            <w:tcW w:w="1324" w:type="dxa"/>
            <w:noWrap/>
            <w:hideMark/>
          </w:tcPr>
          <w:p w14:paraId="1F89BC53" w14:textId="77777777" w:rsidR="005F7C69" w:rsidRPr="00FE591A" w:rsidRDefault="005F7C69">
            <w:pPr>
              <w:rPr>
                <w:rFonts w:ascii="Arial" w:hAnsi="Arial" w:cs="Arial"/>
                <w:color w:val="000000" w:themeColor="text1"/>
              </w:rPr>
            </w:pPr>
          </w:p>
        </w:tc>
      </w:tr>
      <w:tr w:rsidR="00FE591A" w:rsidRPr="00FE591A" w14:paraId="48550AAD" w14:textId="77777777" w:rsidTr="00DB4DD3">
        <w:trPr>
          <w:trHeight w:val="312"/>
        </w:trPr>
        <w:tc>
          <w:tcPr>
            <w:tcW w:w="627" w:type="dxa"/>
            <w:noWrap/>
            <w:hideMark/>
          </w:tcPr>
          <w:p w14:paraId="64E22B3D" w14:textId="77777777" w:rsidR="005F7C69" w:rsidRPr="00FE591A" w:rsidRDefault="005F7C69">
            <w:pPr>
              <w:rPr>
                <w:rFonts w:ascii="Arial" w:hAnsi="Arial" w:cs="Arial"/>
                <w:color w:val="000000" w:themeColor="text1"/>
              </w:rPr>
            </w:pPr>
          </w:p>
        </w:tc>
        <w:tc>
          <w:tcPr>
            <w:tcW w:w="1277" w:type="dxa"/>
            <w:noWrap/>
            <w:hideMark/>
          </w:tcPr>
          <w:p w14:paraId="53A19E6D"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Capital Allowance per year (20%)</w:t>
            </w:r>
          </w:p>
        </w:tc>
        <w:tc>
          <w:tcPr>
            <w:tcW w:w="1154" w:type="dxa"/>
            <w:noWrap/>
            <w:hideMark/>
          </w:tcPr>
          <w:p w14:paraId="7A478F37"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320</w:t>
            </w:r>
          </w:p>
        </w:tc>
        <w:tc>
          <w:tcPr>
            <w:tcW w:w="1142" w:type="dxa"/>
            <w:noWrap/>
            <w:hideMark/>
          </w:tcPr>
          <w:p w14:paraId="264E2618" w14:textId="77777777" w:rsidR="005F7C69" w:rsidRPr="00FE591A" w:rsidRDefault="005F7C69" w:rsidP="005F7C69">
            <w:pPr>
              <w:rPr>
                <w:rFonts w:ascii="Arial" w:hAnsi="Arial" w:cs="Arial"/>
                <w:color w:val="000000" w:themeColor="text1"/>
              </w:rPr>
            </w:pPr>
          </w:p>
        </w:tc>
        <w:tc>
          <w:tcPr>
            <w:tcW w:w="809" w:type="dxa"/>
            <w:noWrap/>
            <w:hideMark/>
          </w:tcPr>
          <w:p w14:paraId="1F183CF7" w14:textId="77777777" w:rsidR="005F7C69" w:rsidRPr="00FE591A" w:rsidRDefault="005F7C69">
            <w:pPr>
              <w:rPr>
                <w:rFonts w:ascii="Arial" w:hAnsi="Arial" w:cs="Arial"/>
                <w:color w:val="000000" w:themeColor="text1"/>
              </w:rPr>
            </w:pPr>
          </w:p>
        </w:tc>
        <w:tc>
          <w:tcPr>
            <w:tcW w:w="1359" w:type="dxa"/>
            <w:noWrap/>
            <w:hideMark/>
          </w:tcPr>
          <w:p w14:paraId="7FE785D3" w14:textId="77777777" w:rsidR="005F7C69" w:rsidRPr="00FE591A" w:rsidRDefault="005F7C69">
            <w:pPr>
              <w:rPr>
                <w:rFonts w:ascii="Arial" w:hAnsi="Arial" w:cs="Arial"/>
                <w:color w:val="000000" w:themeColor="text1"/>
              </w:rPr>
            </w:pPr>
          </w:p>
        </w:tc>
        <w:tc>
          <w:tcPr>
            <w:tcW w:w="1324" w:type="dxa"/>
            <w:noWrap/>
            <w:hideMark/>
          </w:tcPr>
          <w:p w14:paraId="7005F566" w14:textId="77777777" w:rsidR="005F7C69" w:rsidRPr="00FE591A" w:rsidRDefault="005F7C69">
            <w:pPr>
              <w:rPr>
                <w:rFonts w:ascii="Arial" w:hAnsi="Arial" w:cs="Arial"/>
                <w:color w:val="000000" w:themeColor="text1"/>
              </w:rPr>
            </w:pPr>
          </w:p>
        </w:tc>
        <w:tc>
          <w:tcPr>
            <w:tcW w:w="1324" w:type="dxa"/>
            <w:noWrap/>
            <w:hideMark/>
          </w:tcPr>
          <w:p w14:paraId="2FA42CBD" w14:textId="77777777" w:rsidR="005F7C69" w:rsidRPr="00FE591A" w:rsidRDefault="005F7C69">
            <w:pPr>
              <w:rPr>
                <w:rFonts w:ascii="Arial" w:hAnsi="Arial" w:cs="Arial"/>
                <w:color w:val="000000" w:themeColor="text1"/>
              </w:rPr>
            </w:pPr>
          </w:p>
        </w:tc>
      </w:tr>
      <w:tr w:rsidR="00FE591A" w:rsidRPr="00FE591A" w14:paraId="35F182DA" w14:textId="77777777" w:rsidTr="00DB4DD3">
        <w:trPr>
          <w:trHeight w:val="312"/>
        </w:trPr>
        <w:tc>
          <w:tcPr>
            <w:tcW w:w="627" w:type="dxa"/>
            <w:noWrap/>
            <w:hideMark/>
          </w:tcPr>
          <w:p w14:paraId="01877BA6" w14:textId="77777777" w:rsidR="005F7C69" w:rsidRPr="00FE591A" w:rsidRDefault="005F7C69">
            <w:pPr>
              <w:rPr>
                <w:rFonts w:ascii="Arial" w:hAnsi="Arial" w:cs="Arial"/>
                <w:color w:val="000000" w:themeColor="text1"/>
              </w:rPr>
            </w:pPr>
          </w:p>
        </w:tc>
        <w:tc>
          <w:tcPr>
            <w:tcW w:w="1277" w:type="dxa"/>
            <w:noWrap/>
            <w:hideMark/>
          </w:tcPr>
          <w:p w14:paraId="459F38E4"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Tax Rate</w:t>
            </w:r>
          </w:p>
        </w:tc>
        <w:tc>
          <w:tcPr>
            <w:tcW w:w="1154" w:type="dxa"/>
            <w:noWrap/>
            <w:hideMark/>
          </w:tcPr>
          <w:p w14:paraId="08565567"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25%</w:t>
            </w:r>
          </w:p>
        </w:tc>
        <w:tc>
          <w:tcPr>
            <w:tcW w:w="1142" w:type="dxa"/>
            <w:noWrap/>
            <w:hideMark/>
          </w:tcPr>
          <w:p w14:paraId="731715CC" w14:textId="77777777" w:rsidR="005F7C69" w:rsidRPr="00FE591A" w:rsidRDefault="005F7C69" w:rsidP="005F7C69">
            <w:pPr>
              <w:rPr>
                <w:rFonts w:ascii="Arial" w:hAnsi="Arial" w:cs="Arial"/>
                <w:color w:val="000000" w:themeColor="text1"/>
              </w:rPr>
            </w:pPr>
          </w:p>
        </w:tc>
        <w:tc>
          <w:tcPr>
            <w:tcW w:w="809" w:type="dxa"/>
            <w:noWrap/>
            <w:hideMark/>
          </w:tcPr>
          <w:p w14:paraId="57AC3AF4" w14:textId="77777777" w:rsidR="005F7C69" w:rsidRPr="00FE591A" w:rsidRDefault="005F7C69">
            <w:pPr>
              <w:rPr>
                <w:rFonts w:ascii="Arial" w:hAnsi="Arial" w:cs="Arial"/>
                <w:color w:val="000000" w:themeColor="text1"/>
              </w:rPr>
            </w:pPr>
          </w:p>
        </w:tc>
        <w:tc>
          <w:tcPr>
            <w:tcW w:w="1359" w:type="dxa"/>
            <w:noWrap/>
            <w:hideMark/>
          </w:tcPr>
          <w:p w14:paraId="055E889F" w14:textId="77777777" w:rsidR="005F7C69" w:rsidRPr="00FE591A" w:rsidRDefault="005F7C69">
            <w:pPr>
              <w:rPr>
                <w:rFonts w:ascii="Arial" w:hAnsi="Arial" w:cs="Arial"/>
                <w:color w:val="000000" w:themeColor="text1"/>
              </w:rPr>
            </w:pPr>
          </w:p>
        </w:tc>
        <w:tc>
          <w:tcPr>
            <w:tcW w:w="1324" w:type="dxa"/>
            <w:noWrap/>
            <w:hideMark/>
          </w:tcPr>
          <w:p w14:paraId="16ABF768" w14:textId="77777777" w:rsidR="005F7C69" w:rsidRPr="00FE591A" w:rsidRDefault="005F7C69">
            <w:pPr>
              <w:rPr>
                <w:rFonts w:ascii="Arial" w:hAnsi="Arial" w:cs="Arial"/>
                <w:color w:val="000000" w:themeColor="text1"/>
              </w:rPr>
            </w:pPr>
          </w:p>
        </w:tc>
        <w:tc>
          <w:tcPr>
            <w:tcW w:w="1324" w:type="dxa"/>
            <w:noWrap/>
            <w:hideMark/>
          </w:tcPr>
          <w:p w14:paraId="5E3F1ABC" w14:textId="77777777" w:rsidR="005F7C69" w:rsidRPr="00FE591A" w:rsidRDefault="005F7C69">
            <w:pPr>
              <w:rPr>
                <w:rFonts w:ascii="Arial" w:hAnsi="Arial" w:cs="Arial"/>
                <w:color w:val="000000" w:themeColor="text1"/>
              </w:rPr>
            </w:pPr>
          </w:p>
        </w:tc>
      </w:tr>
      <w:tr w:rsidR="00FE591A" w:rsidRPr="00FE591A" w14:paraId="7AE2FDBF" w14:textId="77777777" w:rsidTr="00DB4DD3">
        <w:trPr>
          <w:trHeight w:val="312"/>
        </w:trPr>
        <w:tc>
          <w:tcPr>
            <w:tcW w:w="627" w:type="dxa"/>
            <w:noWrap/>
            <w:hideMark/>
          </w:tcPr>
          <w:p w14:paraId="0D35B5E6" w14:textId="77777777" w:rsidR="005F7C69" w:rsidRPr="00FE591A" w:rsidRDefault="005F7C69">
            <w:pPr>
              <w:rPr>
                <w:rFonts w:ascii="Arial" w:hAnsi="Arial" w:cs="Arial"/>
                <w:color w:val="000000" w:themeColor="text1"/>
              </w:rPr>
            </w:pPr>
          </w:p>
        </w:tc>
        <w:tc>
          <w:tcPr>
            <w:tcW w:w="1277" w:type="dxa"/>
            <w:noWrap/>
            <w:hideMark/>
          </w:tcPr>
          <w:p w14:paraId="608FDDB8" w14:textId="7896203D" w:rsidR="005F7C69" w:rsidRPr="00FE591A" w:rsidRDefault="00DB4DD3">
            <w:pPr>
              <w:rPr>
                <w:rFonts w:ascii="Arial" w:hAnsi="Arial" w:cs="Arial"/>
                <w:b/>
                <w:bCs/>
                <w:color w:val="000000" w:themeColor="text1"/>
              </w:rPr>
            </w:pPr>
            <w:r w:rsidRPr="00FE591A">
              <w:rPr>
                <w:rFonts w:ascii="Arial" w:hAnsi="Arial" w:cs="Arial"/>
                <w:b/>
                <w:bCs/>
                <w:color w:val="000000" w:themeColor="text1"/>
              </w:rPr>
              <w:t>Cost of Capital</w:t>
            </w:r>
          </w:p>
        </w:tc>
        <w:tc>
          <w:tcPr>
            <w:tcW w:w="1154" w:type="dxa"/>
            <w:noWrap/>
            <w:hideMark/>
          </w:tcPr>
          <w:p w14:paraId="0A39B948"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6%</w:t>
            </w:r>
          </w:p>
        </w:tc>
        <w:tc>
          <w:tcPr>
            <w:tcW w:w="1142" w:type="dxa"/>
            <w:noWrap/>
            <w:hideMark/>
          </w:tcPr>
          <w:p w14:paraId="6385C609" w14:textId="77777777" w:rsidR="005F7C69" w:rsidRPr="00FE591A" w:rsidRDefault="005F7C69" w:rsidP="005F7C69">
            <w:pPr>
              <w:rPr>
                <w:rFonts w:ascii="Arial" w:hAnsi="Arial" w:cs="Arial"/>
                <w:color w:val="000000" w:themeColor="text1"/>
              </w:rPr>
            </w:pPr>
          </w:p>
        </w:tc>
        <w:tc>
          <w:tcPr>
            <w:tcW w:w="809" w:type="dxa"/>
            <w:noWrap/>
            <w:hideMark/>
          </w:tcPr>
          <w:p w14:paraId="1E0B4108" w14:textId="77777777" w:rsidR="005F7C69" w:rsidRPr="00FE591A" w:rsidRDefault="005F7C69">
            <w:pPr>
              <w:rPr>
                <w:rFonts w:ascii="Arial" w:hAnsi="Arial" w:cs="Arial"/>
                <w:color w:val="000000" w:themeColor="text1"/>
              </w:rPr>
            </w:pPr>
          </w:p>
        </w:tc>
        <w:tc>
          <w:tcPr>
            <w:tcW w:w="1359" w:type="dxa"/>
            <w:noWrap/>
            <w:hideMark/>
          </w:tcPr>
          <w:p w14:paraId="30CA89C1" w14:textId="77777777" w:rsidR="005F7C69" w:rsidRPr="00FE591A" w:rsidRDefault="005F7C69">
            <w:pPr>
              <w:rPr>
                <w:rFonts w:ascii="Arial" w:hAnsi="Arial" w:cs="Arial"/>
                <w:color w:val="000000" w:themeColor="text1"/>
              </w:rPr>
            </w:pPr>
          </w:p>
        </w:tc>
        <w:tc>
          <w:tcPr>
            <w:tcW w:w="1324" w:type="dxa"/>
            <w:noWrap/>
            <w:hideMark/>
          </w:tcPr>
          <w:p w14:paraId="65136D47" w14:textId="77777777" w:rsidR="005F7C69" w:rsidRPr="00FE591A" w:rsidRDefault="005F7C69">
            <w:pPr>
              <w:rPr>
                <w:rFonts w:ascii="Arial" w:hAnsi="Arial" w:cs="Arial"/>
                <w:color w:val="000000" w:themeColor="text1"/>
              </w:rPr>
            </w:pPr>
          </w:p>
        </w:tc>
        <w:tc>
          <w:tcPr>
            <w:tcW w:w="1324" w:type="dxa"/>
            <w:noWrap/>
            <w:hideMark/>
          </w:tcPr>
          <w:p w14:paraId="35543787" w14:textId="77777777" w:rsidR="005F7C69" w:rsidRPr="00FE591A" w:rsidRDefault="005F7C69">
            <w:pPr>
              <w:rPr>
                <w:rFonts w:ascii="Arial" w:hAnsi="Arial" w:cs="Arial"/>
                <w:color w:val="000000" w:themeColor="text1"/>
              </w:rPr>
            </w:pPr>
          </w:p>
        </w:tc>
      </w:tr>
      <w:tr w:rsidR="00FE591A" w:rsidRPr="00FE591A" w14:paraId="4854FE0A" w14:textId="77777777" w:rsidTr="00DB4DD3">
        <w:trPr>
          <w:trHeight w:val="312"/>
        </w:trPr>
        <w:tc>
          <w:tcPr>
            <w:tcW w:w="627" w:type="dxa"/>
            <w:noWrap/>
            <w:hideMark/>
          </w:tcPr>
          <w:p w14:paraId="712D8211"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Year</w:t>
            </w:r>
          </w:p>
        </w:tc>
        <w:tc>
          <w:tcPr>
            <w:tcW w:w="1277" w:type="dxa"/>
            <w:noWrap/>
            <w:hideMark/>
          </w:tcPr>
          <w:p w14:paraId="79E3C5C7"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Cash Flow (£'000)</w:t>
            </w:r>
          </w:p>
        </w:tc>
        <w:tc>
          <w:tcPr>
            <w:tcW w:w="1154" w:type="dxa"/>
            <w:noWrap/>
            <w:hideMark/>
          </w:tcPr>
          <w:p w14:paraId="32274A05"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Capital Allowance (£'000)</w:t>
            </w:r>
          </w:p>
        </w:tc>
        <w:tc>
          <w:tcPr>
            <w:tcW w:w="1142" w:type="dxa"/>
            <w:noWrap/>
            <w:hideMark/>
          </w:tcPr>
          <w:p w14:paraId="284F7CDB"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Taxable Profit (CF - CA) (£'000)</w:t>
            </w:r>
          </w:p>
        </w:tc>
        <w:tc>
          <w:tcPr>
            <w:tcW w:w="809" w:type="dxa"/>
            <w:noWrap/>
            <w:hideMark/>
          </w:tcPr>
          <w:p w14:paraId="0C75ABA3"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Tax (25%) (£'000)</w:t>
            </w:r>
          </w:p>
        </w:tc>
        <w:tc>
          <w:tcPr>
            <w:tcW w:w="1359" w:type="dxa"/>
            <w:noWrap/>
            <w:hideMark/>
          </w:tcPr>
          <w:p w14:paraId="19464A09"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After-Tax Cash Flow (CF - Tax) (£'000)</w:t>
            </w:r>
          </w:p>
        </w:tc>
        <w:tc>
          <w:tcPr>
            <w:tcW w:w="1324" w:type="dxa"/>
            <w:noWrap/>
            <w:hideMark/>
          </w:tcPr>
          <w:p w14:paraId="3892E920"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Discount Factor (6%)</w:t>
            </w:r>
          </w:p>
        </w:tc>
        <w:tc>
          <w:tcPr>
            <w:tcW w:w="1324" w:type="dxa"/>
            <w:noWrap/>
            <w:hideMark/>
          </w:tcPr>
          <w:p w14:paraId="770650C1"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Present Value (£'000)</w:t>
            </w:r>
          </w:p>
        </w:tc>
      </w:tr>
      <w:tr w:rsidR="00FE591A" w:rsidRPr="00FE591A" w14:paraId="724B4B10" w14:textId="77777777" w:rsidTr="00DB4DD3">
        <w:trPr>
          <w:trHeight w:val="312"/>
        </w:trPr>
        <w:tc>
          <w:tcPr>
            <w:tcW w:w="627" w:type="dxa"/>
            <w:noWrap/>
            <w:hideMark/>
          </w:tcPr>
          <w:p w14:paraId="7FA29E45"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w:t>
            </w:r>
          </w:p>
        </w:tc>
        <w:tc>
          <w:tcPr>
            <w:tcW w:w="1277" w:type="dxa"/>
            <w:noWrap/>
            <w:hideMark/>
          </w:tcPr>
          <w:p w14:paraId="1C9EB8B3"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-1600</w:t>
            </w:r>
          </w:p>
        </w:tc>
        <w:tc>
          <w:tcPr>
            <w:tcW w:w="1154" w:type="dxa"/>
            <w:noWrap/>
            <w:hideMark/>
          </w:tcPr>
          <w:p w14:paraId="102079C8"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 </w:t>
            </w:r>
          </w:p>
        </w:tc>
        <w:tc>
          <w:tcPr>
            <w:tcW w:w="1142" w:type="dxa"/>
            <w:noWrap/>
            <w:hideMark/>
          </w:tcPr>
          <w:p w14:paraId="48EC9D76"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809" w:type="dxa"/>
            <w:noWrap/>
            <w:hideMark/>
          </w:tcPr>
          <w:p w14:paraId="38618D5C"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359" w:type="dxa"/>
            <w:noWrap/>
            <w:hideMark/>
          </w:tcPr>
          <w:p w14:paraId="1178E5EE"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324" w:type="dxa"/>
            <w:noWrap/>
            <w:hideMark/>
          </w:tcPr>
          <w:p w14:paraId="66199754"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324" w:type="dxa"/>
            <w:noWrap/>
            <w:hideMark/>
          </w:tcPr>
          <w:p w14:paraId="7ECF505F"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-1600</w:t>
            </w:r>
          </w:p>
        </w:tc>
      </w:tr>
      <w:tr w:rsidR="00FE591A" w:rsidRPr="00FE591A" w14:paraId="4B744F31" w14:textId="77777777" w:rsidTr="00DB4DD3">
        <w:trPr>
          <w:trHeight w:val="312"/>
        </w:trPr>
        <w:tc>
          <w:tcPr>
            <w:tcW w:w="627" w:type="dxa"/>
            <w:noWrap/>
            <w:hideMark/>
          </w:tcPr>
          <w:p w14:paraId="4D8B9D12"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lastRenderedPageBreak/>
              <w:t>1</w:t>
            </w:r>
          </w:p>
        </w:tc>
        <w:tc>
          <w:tcPr>
            <w:tcW w:w="1277" w:type="dxa"/>
            <w:noWrap/>
            <w:hideMark/>
          </w:tcPr>
          <w:p w14:paraId="0015A9EA"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400</w:t>
            </w:r>
          </w:p>
        </w:tc>
        <w:tc>
          <w:tcPr>
            <w:tcW w:w="1154" w:type="dxa"/>
            <w:noWrap/>
            <w:hideMark/>
          </w:tcPr>
          <w:p w14:paraId="5A241879"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320</w:t>
            </w:r>
          </w:p>
        </w:tc>
        <w:tc>
          <w:tcPr>
            <w:tcW w:w="1142" w:type="dxa"/>
            <w:noWrap/>
            <w:hideMark/>
          </w:tcPr>
          <w:p w14:paraId="35CBC914"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80</w:t>
            </w:r>
          </w:p>
        </w:tc>
        <w:tc>
          <w:tcPr>
            <w:tcW w:w="809" w:type="dxa"/>
            <w:noWrap/>
            <w:hideMark/>
          </w:tcPr>
          <w:p w14:paraId="65EDD3B0"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20</w:t>
            </w:r>
          </w:p>
        </w:tc>
        <w:tc>
          <w:tcPr>
            <w:tcW w:w="1359" w:type="dxa"/>
            <w:noWrap/>
            <w:hideMark/>
          </w:tcPr>
          <w:p w14:paraId="6FDEF574"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380</w:t>
            </w:r>
          </w:p>
        </w:tc>
        <w:tc>
          <w:tcPr>
            <w:tcW w:w="1324" w:type="dxa"/>
            <w:noWrap/>
            <w:hideMark/>
          </w:tcPr>
          <w:p w14:paraId="577B6045"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0.943396226</w:t>
            </w:r>
          </w:p>
        </w:tc>
        <w:tc>
          <w:tcPr>
            <w:tcW w:w="1324" w:type="dxa"/>
            <w:noWrap/>
            <w:hideMark/>
          </w:tcPr>
          <w:p w14:paraId="33291E18"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358.490566</w:t>
            </w:r>
          </w:p>
        </w:tc>
      </w:tr>
      <w:tr w:rsidR="00FE591A" w:rsidRPr="00FE591A" w14:paraId="70FAE60D" w14:textId="77777777" w:rsidTr="00DB4DD3">
        <w:trPr>
          <w:trHeight w:val="312"/>
        </w:trPr>
        <w:tc>
          <w:tcPr>
            <w:tcW w:w="627" w:type="dxa"/>
            <w:noWrap/>
            <w:hideMark/>
          </w:tcPr>
          <w:p w14:paraId="480EE7C9"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2</w:t>
            </w:r>
          </w:p>
        </w:tc>
        <w:tc>
          <w:tcPr>
            <w:tcW w:w="1277" w:type="dxa"/>
            <w:noWrap/>
            <w:hideMark/>
          </w:tcPr>
          <w:p w14:paraId="7EDEF3D1"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700</w:t>
            </w:r>
          </w:p>
        </w:tc>
        <w:tc>
          <w:tcPr>
            <w:tcW w:w="1154" w:type="dxa"/>
            <w:noWrap/>
            <w:hideMark/>
          </w:tcPr>
          <w:p w14:paraId="4A3C850C"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320</w:t>
            </w:r>
          </w:p>
        </w:tc>
        <w:tc>
          <w:tcPr>
            <w:tcW w:w="1142" w:type="dxa"/>
            <w:noWrap/>
            <w:hideMark/>
          </w:tcPr>
          <w:p w14:paraId="0EC8FB66"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380</w:t>
            </w:r>
          </w:p>
        </w:tc>
        <w:tc>
          <w:tcPr>
            <w:tcW w:w="809" w:type="dxa"/>
            <w:noWrap/>
            <w:hideMark/>
          </w:tcPr>
          <w:p w14:paraId="4F6129F5"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95</w:t>
            </w:r>
          </w:p>
        </w:tc>
        <w:tc>
          <w:tcPr>
            <w:tcW w:w="1359" w:type="dxa"/>
            <w:noWrap/>
            <w:hideMark/>
          </w:tcPr>
          <w:p w14:paraId="5D9374CB"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605</w:t>
            </w:r>
          </w:p>
        </w:tc>
        <w:tc>
          <w:tcPr>
            <w:tcW w:w="1324" w:type="dxa"/>
            <w:noWrap/>
            <w:hideMark/>
          </w:tcPr>
          <w:p w14:paraId="7CF472F3"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0.88999644</w:t>
            </w:r>
          </w:p>
        </w:tc>
        <w:tc>
          <w:tcPr>
            <w:tcW w:w="1324" w:type="dxa"/>
            <w:noWrap/>
            <w:hideMark/>
          </w:tcPr>
          <w:p w14:paraId="48EAC100"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538.4478462</w:t>
            </w:r>
          </w:p>
        </w:tc>
      </w:tr>
      <w:tr w:rsidR="00FE591A" w:rsidRPr="00FE591A" w14:paraId="2C81F303" w14:textId="77777777" w:rsidTr="00DB4DD3">
        <w:trPr>
          <w:trHeight w:val="312"/>
        </w:trPr>
        <w:tc>
          <w:tcPr>
            <w:tcW w:w="627" w:type="dxa"/>
            <w:noWrap/>
            <w:hideMark/>
          </w:tcPr>
          <w:p w14:paraId="645884BF"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w:t>
            </w:r>
          </w:p>
        </w:tc>
        <w:tc>
          <w:tcPr>
            <w:tcW w:w="1277" w:type="dxa"/>
            <w:noWrap/>
            <w:hideMark/>
          </w:tcPr>
          <w:p w14:paraId="32E96F53"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850</w:t>
            </w:r>
          </w:p>
        </w:tc>
        <w:tc>
          <w:tcPr>
            <w:tcW w:w="1154" w:type="dxa"/>
            <w:noWrap/>
            <w:hideMark/>
          </w:tcPr>
          <w:p w14:paraId="4060981F"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320</w:t>
            </w:r>
          </w:p>
        </w:tc>
        <w:tc>
          <w:tcPr>
            <w:tcW w:w="1142" w:type="dxa"/>
            <w:noWrap/>
            <w:hideMark/>
          </w:tcPr>
          <w:p w14:paraId="54B8B65A"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530</w:t>
            </w:r>
          </w:p>
        </w:tc>
        <w:tc>
          <w:tcPr>
            <w:tcW w:w="809" w:type="dxa"/>
            <w:noWrap/>
            <w:hideMark/>
          </w:tcPr>
          <w:p w14:paraId="4D387369"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132.5</w:t>
            </w:r>
          </w:p>
        </w:tc>
        <w:tc>
          <w:tcPr>
            <w:tcW w:w="1359" w:type="dxa"/>
            <w:noWrap/>
            <w:hideMark/>
          </w:tcPr>
          <w:p w14:paraId="09B05F63"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717.5</w:t>
            </w:r>
          </w:p>
        </w:tc>
        <w:tc>
          <w:tcPr>
            <w:tcW w:w="1324" w:type="dxa"/>
            <w:noWrap/>
            <w:hideMark/>
          </w:tcPr>
          <w:p w14:paraId="4E47FD14"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0.839619283</w:t>
            </w:r>
          </w:p>
        </w:tc>
        <w:tc>
          <w:tcPr>
            <w:tcW w:w="1324" w:type="dxa"/>
            <w:noWrap/>
            <w:hideMark/>
          </w:tcPr>
          <w:p w14:paraId="3AC4D73C"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602.4268356</w:t>
            </w:r>
          </w:p>
        </w:tc>
      </w:tr>
      <w:tr w:rsidR="00FE591A" w:rsidRPr="00FE591A" w14:paraId="77317496" w14:textId="77777777" w:rsidTr="00DB4DD3">
        <w:trPr>
          <w:trHeight w:val="312"/>
        </w:trPr>
        <w:tc>
          <w:tcPr>
            <w:tcW w:w="627" w:type="dxa"/>
            <w:noWrap/>
            <w:hideMark/>
          </w:tcPr>
          <w:p w14:paraId="1054883E"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4</w:t>
            </w:r>
          </w:p>
        </w:tc>
        <w:tc>
          <w:tcPr>
            <w:tcW w:w="1277" w:type="dxa"/>
            <w:noWrap/>
            <w:hideMark/>
          </w:tcPr>
          <w:p w14:paraId="15FB774F"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1100</w:t>
            </w:r>
          </w:p>
        </w:tc>
        <w:tc>
          <w:tcPr>
            <w:tcW w:w="1154" w:type="dxa"/>
            <w:noWrap/>
            <w:hideMark/>
          </w:tcPr>
          <w:p w14:paraId="6B1CE1CC"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320</w:t>
            </w:r>
          </w:p>
        </w:tc>
        <w:tc>
          <w:tcPr>
            <w:tcW w:w="1142" w:type="dxa"/>
            <w:noWrap/>
            <w:hideMark/>
          </w:tcPr>
          <w:p w14:paraId="4E0F2F9E"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780</w:t>
            </w:r>
          </w:p>
        </w:tc>
        <w:tc>
          <w:tcPr>
            <w:tcW w:w="809" w:type="dxa"/>
            <w:noWrap/>
            <w:hideMark/>
          </w:tcPr>
          <w:p w14:paraId="37A29871"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195</w:t>
            </w:r>
          </w:p>
        </w:tc>
        <w:tc>
          <w:tcPr>
            <w:tcW w:w="1359" w:type="dxa"/>
            <w:noWrap/>
            <w:hideMark/>
          </w:tcPr>
          <w:p w14:paraId="73BEEAEF"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905</w:t>
            </w:r>
          </w:p>
        </w:tc>
        <w:tc>
          <w:tcPr>
            <w:tcW w:w="1324" w:type="dxa"/>
            <w:noWrap/>
            <w:hideMark/>
          </w:tcPr>
          <w:p w14:paraId="7E47C264"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0.792093663</w:t>
            </w:r>
          </w:p>
        </w:tc>
        <w:tc>
          <w:tcPr>
            <w:tcW w:w="1324" w:type="dxa"/>
            <w:noWrap/>
            <w:hideMark/>
          </w:tcPr>
          <w:p w14:paraId="21F96201"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716.8447652</w:t>
            </w:r>
          </w:p>
        </w:tc>
      </w:tr>
      <w:tr w:rsidR="00FE591A" w:rsidRPr="00FE591A" w14:paraId="65BF60C7" w14:textId="77777777" w:rsidTr="00DB4DD3">
        <w:trPr>
          <w:trHeight w:val="312"/>
        </w:trPr>
        <w:tc>
          <w:tcPr>
            <w:tcW w:w="627" w:type="dxa"/>
            <w:noWrap/>
            <w:hideMark/>
          </w:tcPr>
          <w:p w14:paraId="3F528F7C" w14:textId="77777777" w:rsidR="005F7C69" w:rsidRPr="00FE591A" w:rsidRDefault="005F7C69" w:rsidP="005F7C69">
            <w:pPr>
              <w:rPr>
                <w:rFonts w:ascii="Arial" w:hAnsi="Arial" w:cs="Arial"/>
                <w:color w:val="000000" w:themeColor="text1"/>
              </w:rPr>
            </w:pPr>
            <w:r w:rsidRPr="00FE591A">
              <w:rPr>
                <w:rFonts w:ascii="Arial" w:hAnsi="Arial" w:cs="Arial"/>
                <w:color w:val="000000" w:themeColor="text1"/>
              </w:rPr>
              <w:t> </w:t>
            </w:r>
          </w:p>
        </w:tc>
        <w:tc>
          <w:tcPr>
            <w:tcW w:w="1277" w:type="dxa"/>
            <w:noWrap/>
            <w:hideMark/>
          </w:tcPr>
          <w:p w14:paraId="5D575E96"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154" w:type="dxa"/>
            <w:noWrap/>
            <w:hideMark/>
          </w:tcPr>
          <w:p w14:paraId="7BD498D3"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142" w:type="dxa"/>
            <w:noWrap/>
            <w:hideMark/>
          </w:tcPr>
          <w:p w14:paraId="25F7CBEB"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809" w:type="dxa"/>
            <w:noWrap/>
            <w:hideMark/>
          </w:tcPr>
          <w:p w14:paraId="2E56B430"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359" w:type="dxa"/>
            <w:noWrap/>
            <w:hideMark/>
          </w:tcPr>
          <w:p w14:paraId="4F4B69A8" w14:textId="77777777" w:rsidR="005F7C69" w:rsidRPr="00FE591A" w:rsidRDefault="005F7C69">
            <w:pPr>
              <w:rPr>
                <w:rFonts w:ascii="Arial" w:hAnsi="Arial" w:cs="Arial"/>
                <w:color w:val="000000" w:themeColor="text1"/>
              </w:rPr>
            </w:pPr>
            <w:r w:rsidRPr="00FE591A">
              <w:rPr>
                <w:rFonts w:ascii="Arial" w:hAnsi="Arial" w:cs="Arial"/>
                <w:color w:val="000000" w:themeColor="text1"/>
              </w:rPr>
              <w:t> </w:t>
            </w:r>
          </w:p>
        </w:tc>
        <w:tc>
          <w:tcPr>
            <w:tcW w:w="1324" w:type="dxa"/>
            <w:noWrap/>
            <w:hideMark/>
          </w:tcPr>
          <w:p w14:paraId="1B21322B" w14:textId="77777777" w:rsidR="005F7C69" w:rsidRPr="00FE591A" w:rsidRDefault="005F7C69">
            <w:pPr>
              <w:rPr>
                <w:rFonts w:ascii="Arial" w:hAnsi="Arial" w:cs="Arial"/>
                <w:b/>
                <w:bCs/>
                <w:color w:val="000000" w:themeColor="text1"/>
              </w:rPr>
            </w:pPr>
            <w:r w:rsidRPr="00FE591A">
              <w:rPr>
                <w:rFonts w:ascii="Arial" w:hAnsi="Arial" w:cs="Arial"/>
                <w:b/>
                <w:bCs/>
                <w:color w:val="000000" w:themeColor="text1"/>
              </w:rPr>
              <w:t>NPV</w:t>
            </w:r>
          </w:p>
        </w:tc>
        <w:tc>
          <w:tcPr>
            <w:tcW w:w="1324" w:type="dxa"/>
            <w:noWrap/>
            <w:hideMark/>
          </w:tcPr>
          <w:p w14:paraId="638E50D1" w14:textId="6CF787C7" w:rsidR="005F7C69" w:rsidRPr="00FE591A" w:rsidRDefault="00DB4DD3" w:rsidP="005F7C69">
            <w:pPr>
              <w:rPr>
                <w:rFonts w:ascii="Arial" w:hAnsi="Arial" w:cs="Arial"/>
                <w:b/>
                <w:bCs/>
                <w:color w:val="000000" w:themeColor="text1"/>
              </w:rPr>
            </w:pPr>
            <w:r w:rsidRPr="00FE591A">
              <w:rPr>
                <w:rFonts w:ascii="Arial" w:hAnsi="Arial" w:cs="Arial"/>
                <w:b/>
                <w:bCs/>
                <w:color w:val="000000" w:themeColor="text1"/>
              </w:rPr>
              <w:t>£</w:t>
            </w:r>
            <w:r w:rsidR="005F7C69" w:rsidRPr="00FE591A">
              <w:rPr>
                <w:rFonts w:ascii="Arial" w:hAnsi="Arial" w:cs="Arial"/>
                <w:b/>
                <w:bCs/>
                <w:color w:val="000000" w:themeColor="text1"/>
              </w:rPr>
              <w:t>616.2100131</w:t>
            </w:r>
          </w:p>
        </w:tc>
      </w:tr>
    </w:tbl>
    <w:p w14:paraId="5503CF84" w14:textId="694FBD02" w:rsidR="00AA71E7" w:rsidRPr="00FE591A" w:rsidRDefault="00AA71E7" w:rsidP="00AA71E7">
      <w:pPr>
        <w:rPr>
          <w:rFonts w:ascii="Arial" w:hAnsi="Arial" w:cs="Arial"/>
          <w:color w:val="000000" w:themeColor="text1"/>
          <w:lang w:val="en-IN"/>
        </w:rPr>
      </w:pPr>
    </w:p>
    <w:p w14:paraId="6417138F" w14:textId="6853BDC5" w:rsidR="00AA71E7" w:rsidRPr="00FE591A" w:rsidRDefault="00AA71E7" w:rsidP="0015726F">
      <w:pPr>
        <w:rPr>
          <w:rFonts w:ascii="Arial" w:hAnsi="Arial" w:cs="Arial"/>
          <w:color w:val="000000" w:themeColor="text1"/>
          <w:lang w:val="en-IN"/>
        </w:rPr>
      </w:pPr>
      <w:r w:rsidRPr="00FE591A">
        <w:rPr>
          <w:rFonts w:ascii="Arial" w:hAnsi="Arial" w:cs="Arial"/>
          <w:b/>
          <w:bCs/>
          <w:color w:val="000000" w:themeColor="text1"/>
        </w:rPr>
        <w:t xml:space="preserve">Interpretation:  </w:t>
      </w:r>
      <w:r w:rsidR="00DB4DD3" w:rsidRPr="00FE591A">
        <w:rPr>
          <w:rFonts w:ascii="Arial" w:hAnsi="Arial" w:cs="Arial"/>
          <w:color w:val="000000" w:themeColor="text1"/>
        </w:rPr>
        <w:t>The NPV for Option C (Produce Curtains and Roman Blinds) has been calculated as £616,210.01. This shows that the project is profitable and will help recover the initial investment of £1,600,000 while giving a good return</w:t>
      </w:r>
      <w:r w:rsidR="00D65254" w:rsidRPr="00FE591A">
        <w:rPr>
          <w:rFonts w:ascii="Arial" w:hAnsi="Arial" w:cs="Arial"/>
          <w:color w:val="000000" w:themeColor="text1"/>
        </w:rPr>
        <w:t xml:space="preserve"> </w:t>
      </w:r>
      <w:r w:rsidR="00D65254" w:rsidRPr="00FE591A">
        <w:rPr>
          <w:rFonts w:ascii="Arial" w:hAnsi="Arial" w:cs="Arial"/>
          <w:color w:val="000000" w:themeColor="text1"/>
          <w:lang w:val="en-IN"/>
        </w:rPr>
        <w:t>(Wrike, 2019)</w:t>
      </w:r>
      <w:r w:rsidR="00DB4DD3" w:rsidRPr="00FE591A">
        <w:rPr>
          <w:rFonts w:ascii="Arial" w:hAnsi="Arial" w:cs="Arial"/>
          <w:color w:val="000000" w:themeColor="text1"/>
        </w:rPr>
        <w:t>. However, the return is lower than Option B (Internet Sales), so it is less attractive in comparison, even though it is still a strong investment.</w:t>
      </w:r>
    </w:p>
    <w:p w14:paraId="5912061A" w14:textId="60DD800C" w:rsidR="00AA71E7" w:rsidRPr="00FE591A" w:rsidRDefault="00AA71E7" w:rsidP="0015726F">
      <w:pPr>
        <w:rPr>
          <w:rStyle w:val="selected"/>
          <w:rFonts w:ascii="Arial" w:hAnsi="Arial" w:cs="Arial"/>
          <w:b/>
          <w:bCs/>
          <w:color w:val="000000" w:themeColor="text1"/>
        </w:rPr>
      </w:pPr>
      <w:r w:rsidRPr="00FE591A">
        <w:rPr>
          <w:rStyle w:val="selected"/>
          <w:rFonts w:ascii="Arial" w:hAnsi="Arial" w:cs="Arial"/>
          <w:b/>
          <w:bCs/>
          <w:color w:val="000000" w:themeColor="text1"/>
        </w:rPr>
        <w:t>Recommendation</w:t>
      </w:r>
    </w:p>
    <w:p w14:paraId="6BEC0262" w14:textId="1A4A30F4" w:rsidR="008C4B4F" w:rsidRPr="00FE591A" w:rsidRDefault="00DB4DD3" w:rsidP="00AA5534">
      <w:pPr>
        <w:rPr>
          <w:rFonts w:ascii="Arial" w:hAnsi="Arial" w:cs="Arial"/>
          <w:color w:val="000000" w:themeColor="text1"/>
        </w:rPr>
      </w:pPr>
      <w:r w:rsidRPr="00FE591A">
        <w:rPr>
          <w:rFonts w:ascii="Arial" w:hAnsi="Arial" w:cs="Arial"/>
          <w:color w:val="000000" w:themeColor="text1"/>
        </w:rPr>
        <w:t>Based on the NPVs, the highest return has been offered by Option B (Develop Internet Sales) which makes it the best choice. This is followed by Option C (Produce Curtains and Roman Blinds), while Option A (Expand Retail Outlet) has been found to give the lowest return (Fernando, 2024).</w:t>
      </w:r>
      <w:r w:rsidR="008C4B4F" w:rsidRPr="00FE591A">
        <w:rPr>
          <w:rFonts w:ascii="Arial" w:hAnsi="Arial" w:cs="Arial"/>
          <w:color w:val="000000" w:themeColor="text1"/>
        </w:rPr>
        <w:br w:type="page"/>
      </w:r>
    </w:p>
    <w:p w14:paraId="0D65359F" w14:textId="395BADFB" w:rsidR="00032CC9" w:rsidRPr="00FE591A" w:rsidRDefault="00032CC9" w:rsidP="00FE591A">
      <w:pPr>
        <w:pStyle w:val="Heading2"/>
        <w:numPr>
          <w:ilvl w:val="1"/>
          <w:numId w:val="9"/>
        </w:numPr>
        <w:rPr>
          <w:rStyle w:val="selected"/>
          <w:rFonts w:cs="Arial"/>
          <w:b w:val="0"/>
          <w:color w:val="000000" w:themeColor="text1"/>
        </w:rPr>
      </w:pPr>
      <w:bookmarkStart w:id="8" w:name="_Toc203898044"/>
      <w:r w:rsidRPr="00FE591A">
        <w:rPr>
          <w:rStyle w:val="selected"/>
          <w:rFonts w:cs="Arial"/>
          <w:bCs/>
          <w:color w:val="000000" w:themeColor="text1"/>
        </w:rPr>
        <w:lastRenderedPageBreak/>
        <w:t xml:space="preserve">Calculation of </w:t>
      </w:r>
      <w:r w:rsidR="00CD3CA8" w:rsidRPr="00FE591A">
        <w:rPr>
          <w:rStyle w:val="selected"/>
          <w:rFonts w:cs="Arial"/>
          <w:bCs/>
          <w:color w:val="000000" w:themeColor="text1"/>
        </w:rPr>
        <w:t>Approximate</w:t>
      </w:r>
      <w:r w:rsidRPr="00FE591A">
        <w:rPr>
          <w:rFonts w:cs="Arial"/>
          <w:color w:val="000000" w:themeColor="text1"/>
        </w:rPr>
        <w:t xml:space="preserve"> </w:t>
      </w:r>
      <w:r w:rsidRPr="00FE591A">
        <w:rPr>
          <w:rStyle w:val="selected"/>
          <w:rFonts w:cs="Arial"/>
          <w:bCs/>
          <w:color w:val="000000" w:themeColor="text1"/>
        </w:rPr>
        <w:t>IRR for Option B (Internet Sales)</w:t>
      </w:r>
      <w:bookmarkEnd w:id="8"/>
    </w:p>
    <w:p w14:paraId="1B221C8E" w14:textId="4B6218FB" w:rsidR="008C4B4F" w:rsidRPr="00FE591A" w:rsidRDefault="008F6C61" w:rsidP="00032CC9">
      <w:pPr>
        <w:rPr>
          <w:rFonts w:ascii="Arial" w:hAnsi="Arial" w:cs="Arial"/>
          <w:color w:val="000000" w:themeColor="text1"/>
        </w:rPr>
      </w:pPr>
      <w:r w:rsidRPr="00FE591A">
        <w:rPr>
          <w:rFonts w:ascii="Arial" w:hAnsi="Arial" w:cs="Arial"/>
          <w:color w:val="000000" w:themeColor="text1"/>
        </w:rPr>
        <w:t>To find the Internal Rate of Return (IRR) for Option B (Develop Internet Sales), an interpolation method has been used. First, the Net Present Values (NPVs) were calculated using two different discount rates: -5% and 10%</w:t>
      </w:r>
      <w:r w:rsidR="008C4B4F" w:rsidRPr="00FE591A">
        <w:rPr>
          <w:rFonts w:ascii="Arial" w:hAnsi="Arial" w:cs="Arial"/>
          <w:color w:val="000000" w:themeColor="text1"/>
        </w:rPr>
        <w:t>.</w:t>
      </w:r>
    </w:p>
    <w:p w14:paraId="015C2D9E" w14:textId="16A5A58D" w:rsidR="00CD3CA8" w:rsidRPr="00FE591A" w:rsidRDefault="00CD3CA8">
      <w:pPr>
        <w:rPr>
          <w:rFonts w:ascii="Arial" w:hAnsi="Arial" w:cs="Arial"/>
          <w:b/>
          <w:bCs/>
          <w:color w:val="000000" w:themeColor="text1"/>
        </w:rPr>
      </w:pPr>
      <w:r w:rsidRPr="00FE591A">
        <w:rPr>
          <w:rFonts w:ascii="Arial" w:hAnsi="Arial" w:cs="Arial"/>
          <w:b/>
          <w:bCs/>
          <w:color w:val="000000" w:themeColor="text1"/>
        </w:rPr>
        <w:t xml:space="preserve">NPV at </w:t>
      </w:r>
      <w:r w:rsidR="00DB4DD3" w:rsidRPr="00FE591A">
        <w:rPr>
          <w:rFonts w:ascii="Arial" w:hAnsi="Arial" w:cs="Arial"/>
          <w:b/>
          <w:bCs/>
          <w:color w:val="000000" w:themeColor="text1"/>
        </w:rPr>
        <w:t>-5</w:t>
      </w:r>
      <w:r w:rsidRPr="00FE591A">
        <w:rPr>
          <w:rFonts w:ascii="Arial" w:hAnsi="Arial" w:cs="Arial"/>
          <w:b/>
          <w:bCs/>
          <w:color w:val="000000" w:themeColor="text1"/>
        </w:rPr>
        <w:t>% Discount Rate for Option B:</w:t>
      </w:r>
    </w:p>
    <w:tbl>
      <w:tblPr>
        <w:tblStyle w:val="TableGrid"/>
        <w:tblW w:w="9673" w:type="dxa"/>
        <w:tblLook w:val="04A0" w:firstRow="1" w:lastRow="0" w:firstColumn="1" w:lastColumn="0" w:noHBand="0" w:noVBand="1"/>
      </w:tblPr>
      <w:tblGrid>
        <w:gridCol w:w="854"/>
        <w:gridCol w:w="3486"/>
        <w:gridCol w:w="2374"/>
        <w:gridCol w:w="2959"/>
      </w:tblGrid>
      <w:tr w:rsidR="00FE591A" w:rsidRPr="00FE591A" w14:paraId="29B2C7F1" w14:textId="77777777" w:rsidTr="00DB4DD3">
        <w:trPr>
          <w:trHeight w:val="310"/>
        </w:trPr>
        <w:tc>
          <w:tcPr>
            <w:tcW w:w="854" w:type="dxa"/>
            <w:noWrap/>
            <w:hideMark/>
          </w:tcPr>
          <w:p w14:paraId="1697EE91" w14:textId="77777777" w:rsidR="00DB4DD3" w:rsidRPr="00FE591A" w:rsidRDefault="00DB4DD3" w:rsidP="00DB4DD3">
            <w:pPr>
              <w:rPr>
                <w:rFonts w:ascii="Arial" w:hAnsi="Arial" w:cs="Arial"/>
                <w:b/>
                <w:bCs/>
                <w:color w:val="000000" w:themeColor="text1"/>
                <w:lang w:val="en-IN"/>
              </w:rPr>
            </w:pPr>
          </w:p>
        </w:tc>
        <w:tc>
          <w:tcPr>
            <w:tcW w:w="3486" w:type="dxa"/>
            <w:noWrap/>
            <w:hideMark/>
          </w:tcPr>
          <w:p w14:paraId="5DA7DE15" w14:textId="77777777" w:rsidR="00DB4DD3" w:rsidRPr="00FE591A" w:rsidRDefault="00DB4DD3">
            <w:pPr>
              <w:rPr>
                <w:rFonts w:ascii="Arial" w:hAnsi="Arial" w:cs="Arial"/>
                <w:b/>
                <w:bCs/>
                <w:color w:val="000000" w:themeColor="text1"/>
              </w:rPr>
            </w:pPr>
            <w:r w:rsidRPr="00FE591A">
              <w:rPr>
                <w:rFonts w:ascii="Arial" w:hAnsi="Arial" w:cs="Arial"/>
                <w:b/>
                <w:bCs/>
                <w:color w:val="000000" w:themeColor="text1"/>
              </w:rPr>
              <w:t>Discount Rate</w:t>
            </w:r>
          </w:p>
        </w:tc>
        <w:tc>
          <w:tcPr>
            <w:tcW w:w="2374" w:type="dxa"/>
            <w:noWrap/>
            <w:hideMark/>
          </w:tcPr>
          <w:p w14:paraId="0BFFA852"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-5%</w:t>
            </w:r>
          </w:p>
        </w:tc>
        <w:tc>
          <w:tcPr>
            <w:tcW w:w="2959" w:type="dxa"/>
            <w:noWrap/>
            <w:hideMark/>
          </w:tcPr>
          <w:p w14:paraId="69E8F959" w14:textId="77777777" w:rsidR="00DB4DD3" w:rsidRPr="00FE591A" w:rsidRDefault="00DB4DD3" w:rsidP="00DB4DD3">
            <w:pPr>
              <w:rPr>
                <w:rFonts w:ascii="Arial" w:hAnsi="Arial" w:cs="Arial"/>
                <w:b/>
                <w:bCs/>
                <w:color w:val="000000" w:themeColor="text1"/>
              </w:rPr>
            </w:pPr>
          </w:p>
        </w:tc>
      </w:tr>
      <w:tr w:rsidR="00FE591A" w:rsidRPr="00FE591A" w14:paraId="524C7354" w14:textId="77777777" w:rsidTr="00DB4DD3">
        <w:trPr>
          <w:trHeight w:val="310"/>
        </w:trPr>
        <w:tc>
          <w:tcPr>
            <w:tcW w:w="854" w:type="dxa"/>
            <w:noWrap/>
            <w:hideMark/>
          </w:tcPr>
          <w:p w14:paraId="4AAD1EA6" w14:textId="77777777" w:rsidR="00DB4DD3" w:rsidRPr="00FE591A" w:rsidRDefault="00DB4DD3">
            <w:pPr>
              <w:rPr>
                <w:rFonts w:ascii="Arial" w:hAnsi="Arial" w:cs="Arial"/>
                <w:b/>
                <w:bCs/>
                <w:color w:val="000000" w:themeColor="text1"/>
              </w:rPr>
            </w:pPr>
            <w:r w:rsidRPr="00FE591A">
              <w:rPr>
                <w:rFonts w:ascii="Arial" w:hAnsi="Arial" w:cs="Arial"/>
                <w:b/>
                <w:bCs/>
                <w:color w:val="000000" w:themeColor="text1"/>
              </w:rPr>
              <w:t>Year</w:t>
            </w:r>
          </w:p>
        </w:tc>
        <w:tc>
          <w:tcPr>
            <w:tcW w:w="3486" w:type="dxa"/>
            <w:noWrap/>
            <w:hideMark/>
          </w:tcPr>
          <w:p w14:paraId="6E7DA5B0" w14:textId="77777777" w:rsidR="00DB4DD3" w:rsidRPr="00FE591A" w:rsidRDefault="00DB4DD3">
            <w:pPr>
              <w:rPr>
                <w:rFonts w:ascii="Arial" w:hAnsi="Arial" w:cs="Arial"/>
                <w:b/>
                <w:bCs/>
                <w:color w:val="000000" w:themeColor="text1"/>
              </w:rPr>
            </w:pPr>
            <w:r w:rsidRPr="00FE591A">
              <w:rPr>
                <w:rFonts w:ascii="Arial" w:hAnsi="Arial" w:cs="Arial"/>
                <w:b/>
                <w:bCs/>
                <w:color w:val="000000" w:themeColor="text1"/>
              </w:rPr>
              <w:t>After-Tax Cash Flow (CF - Tax) (£'000)</w:t>
            </w:r>
          </w:p>
        </w:tc>
        <w:tc>
          <w:tcPr>
            <w:tcW w:w="2374" w:type="dxa"/>
            <w:noWrap/>
            <w:hideMark/>
          </w:tcPr>
          <w:p w14:paraId="654A338B" w14:textId="77777777" w:rsidR="00DB4DD3" w:rsidRPr="00FE591A" w:rsidRDefault="00DB4DD3">
            <w:pPr>
              <w:rPr>
                <w:rFonts w:ascii="Arial" w:hAnsi="Arial" w:cs="Arial"/>
                <w:b/>
                <w:bCs/>
                <w:color w:val="000000" w:themeColor="text1"/>
              </w:rPr>
            </w:pPr>
            <w:r w:rsidRPr="00FE591A">
              <w:rPr>
                <w:rFonts w:ascii="Arial" w:hAnsi="Arial" w:cs="Arial"/>
                <w:b/>
                <w:bCs/>
                <w:color w:val="000000" w:themeColor="text1"/>
              </w:rPr>
              <w:t>Discount Factor (10%)</w:t>
            </w:r>
          </w:p>
        </w:tc>
        <w:tc>
          <w:tcPr>
            <w:tcW w:w="2959" w:type="dxa"/>
            <w:noWrap/>
            <w:hideMark/>
          </w:tcPr>
          <w:p w14:paraId="6AA836D5" w14:textId="77777777" w:rsidR="00DB4DD3" w:rsidRPr="00FE591A" w:rsidRDefault="00DB4DD3">
            <w:pPr>
              <w:rPr>
                <w:rFonts w:ascii="Arial" w:hAnsi="Arial" w:cs="Arial"/>
                <w:b/>
                <w:bCs/>
                <w:color w:val="000000" w:themeColor="text1"/>
              </w:rPr>
            </w:pPr>
            <w:r w:rsidRPr="00FE591A">
              <w:rPr>
                <w:rFonts w:ascii="Arial" w:hAnsi="Arial" w:cs="Arial"/>
                <w:b/>
                <w:bCs/>
                <w:color w:val="000000" w:themeColor="text1"/>
              </w:rPr>
              <w:t>Present Value (£'000)</w:t>
            </w:r>
          </w:p>
        </w:tc>
      </w:tr>
      <w:tr w:rsidR="00FE591A" w:rsidRPr="00FE591A" w14:paraId="1CE320BC" w14:textId="77777777" w:rsidTr="00DB4DD3">
        <w:trPr>
          <w:trHeight w:val="310"/>
        </w:trPr>
        <w:tc>
          <w:tcPr>
            <w:tcW w:w="854" w:type="dxa"/>
            <w:noWrap/>
            <w:hideMark/>
          </w:tcPr>
          <w:p w14:paraId="59F13136"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0</w:t>
            </w:r>
          </w:p>
        </w:tc>
        <w:tc>
          <w:tcPr>
            <w:tcW w:w="3486" w:type="dxa"/>
            <w:noWrap/>
            <w:hideMark/>
          </w:tcPr>
          <w:p w14:paraId="14F9BA57"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0</w:t>
            </w:r>
          </w:p>
        </w:tc>
        <w:tc>
          <w:tcPr>
            <w:tcW w:w="2374" w:type="dxa"/>
            <w:noWrap/>
            <w:hideMark/>
          </w:tcPr>
          <w:p w14:paraId="4B6E474A"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0</w:t>
            </w:r>
          </w:p>
        </w:tc>
        <w:tc>
          <w:tcPr>
            <w:tcW w:w="2959" w:type="dxa"/>
            <w:noWrap/>
            <w:hideMark/>
          </w:tcPr>
          <w:p w14:paraId="60B1B7C0"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-1000</w:t>
            </w:r>
          </w:p>
        </w:tc>
      </w:tr>
      <w:tr w:rsidR="00FE591A" w:rsidRPr="00FE591A" w14:paraId="7D85E51F" w14:textId="77777777" w:rsidTr="00DB4DD3">
        <w:trPr>
          <w:trHeight w:val="310"/>
        </w:trPr>
        <w:tc>
          <w:tcPr>
            <w:tcW w:w="854" w:type="dxa"/>
            <w:noWrap/>
            <w:hideMark/>
          </w:tcPr>
          <w:p w14:paraId="506B99EC"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1</w:t>
            </w:r>
          </w:p>
        </w:tc>
        <w:tc>
          <w:tcPr>
            <w:tcW w:w="3486" w:type="dxa"/>
            <w:noWrap/>
            <w:hideMark/>
          </w:tcPr>
          <w:p w14:paraId="4AFCD377"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350</w:t>
            </w:r>
          </w:p>
        </w:tc>
        <w:tc>
          <w:tcPr>
            <w:tcW w:w="2374" w:type="dxa"/>
            <w:noWrap/>
            <w:hideMark/>
          </w:tcPr>
          <w:p w14:paraId="6049692D"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1.05</w:t>
            </w:r>
          </w:p>
        </w:tc>
        <w:tc>
          <w:tcPr>
            <w:tcW w:w="2959" w:type="dxa"/>
            <w:noWrap/>
            <w:hideMark/>
          </w:tcPr>
          <w:p w14:paraId="7B54C13B"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368.42</w:t>
            </w:r>
          </w:p>
        </w:tc>
      </w:tr>
      <w:tr w:rsidR="00FE591A" w:rsidRPr="00FE591A" w14:paraId="146D5A7B" w14:textId="77777777" w:rsidTr="00DB4DD3">
        <w:trPr>
          <w:trHeight w:val="310"/>
        </w:trPr>
        <w:tc>
          <w:tcPr>
            <w:tcW w:w="854" w:type="dxa"/>
            <w:noWrap/>
            <w:hideMark/>
          </w:tcPr>
          <w:p w14:paraId="14B3DDA9"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2</w:t>
            </w:r>
          </w:p>
        </w:tc>
        <w:tc>
          <w:tcPr>
            <w:tcW w:w="3486" w:type="dxa"/>
            <w:noWrap/>
            <w:hideMark/>
          </w:tcPr>
          <w:p w14:paraId="534B5890"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387.5</w:t>
            </w:r>
          </w:p>
        </w:tc>
        <w:tc>
          <w:tcPr>
            <w:tcW w:w="2374" w:type="dxa"/>
            <w:noWrap/>
            <w:hideMark/>
          </w:tcPr>
          <w:p w14:paraId="0C9160AF"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1.11</w:t>
            </w:r>
          </w:p>
        </w:tc>
        <w:tc>
          <w:tcPr>
            <w:tcW w:w="2959" w:type="dxa"/>
            <w:noWrap/>
            <w:hideMark/>
          </w:tcPr>
          <w:p w14:paraId="4036E148"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429.36</w:t>
            </w:r>
          </w:p>
        </w:tc>
      </w:tr>
      <w:tr w:rsidR="00FE591A" w:rsidRPr="00FE591A" w14:paraId="2B6E282A" w14:textId="77777777" w:rsidTr="00DB4DD3">
        <w:trPr>
          <w:trHeight w:val="310"/>
        </w:trPr>
        <w:tc>
          <w:tcPr>
            <w:tcW w:w="854" w:type="dxa"/>
            <w:noWrap/>
            <w:hideMark/>
          </w:tcPr>
          <w:p w14:paraId="4234D38F"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3</w:t>
            </w:r>
          </w:p>
        </w:tc>
        <w:tc>
          <w:tcPr>
            <w:tcW w:w="3486" w:type="dxa"/>
            <w:noWrap/>
            <w:hideMark/>
          </w:tcPr>
          <w:p w14:paraId="7FA4FB99"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537.5</w:t>
            </w:r>
          </w:p>
        </w:tc>
        <w:tc>
          <w:tcPr>
            <w:tcW w:w="2374" w:type="dxa"/>
            <w:noWrap/>
            <w:hideMark/>
          </w:tcPr>
          <w:p w14:paraId="775516F0"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1.17</w:t>
            </w:r>
          </w:p>
        </w:tc>
        <w:tc>
          <w:tcPr>
            <w:tcW w:w="2959" w:type="dxa"/>
            <w:noWrap/>
            <w:hideMark/>
          </w:tcPr>
          <w:p w14:paraId="165DE6DB"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626.91</w:t>
            </w:r>
          </w:p>
        </w:tc>
      </w:tr>
      <w:tr w:rsidR="00FE591A" w:rsidRPr="00FE591A" w14:paraId="6201E407" w14:textId="77777777" w:rsidTr="00DB4DD3">
        <w:trPr>
          <w:trHeight w:val="310"/>
        </w:trPr>
        <w:tc>
          <w:tcPr>
            <w:tcW w:w="854" w:type="dxa"/>
            <w:noWrap/>
            <w:hideMark/>
          </w:tcPr>
          <w:p w14:paraId="3C07AD79"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4</w:t>
            </w:r>
          </w:p>
        </w:tc>
        <w:tc>
          <w:tcPr>
            <w:tcW w:w="3486" w:type="dxa"/>
            <w:noWrap/>
            <w:hideMark/>
          </w:tcPr>
          <w:p w14:paraId="0D96C91C"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785</w:t>
            </w:r>
          </w:p>
        </w:tc>
        <w:tc>
          <w:tcPr>
            <w:tcW w:w="2374" w:type="dxa"/>
            <w:noWrap/>
            <w:hideMark/>
          </w:tcPr>
          <w:p w14:paraId="6CADFBF4"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1.23</w:t>
            </w:r>
          </w:p>
        </w:tc>
        <w:tc>
          <w:tcPr>
            <w:tcW w:w="2959" w:type="dxa"/>
            <w:noWrap/>
            <w:hideMark/>
          </w:tcPr>
          <w:p w14:paraId="69A7B61A"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963.77</w:t>
            </w:r>
          </w:p>
        </w:tc>
      </w:tr>
      <w:tr w:rsidR="00FE591A" w:rsidRPr="00FE591A" w14:paraId="4A723CED" w14:textId="77777777" w:rsidTr="00DB4DD3">
        <w:trPr>
          <w:trHeight w:val="310"/>
        </w:trPr>
        <w:tc>
          <w:tcPr>
            <w:tcW w:w="854" w:type="dxa"/>
            <w:noWrap/>
            <w:hideMark/>
          </w:tcPr>
          <w:p w14:paraId="7D95BF8C" w14:textId="77777777" w:rsidR="00DB4DD3" w:rsidRPr="00FE591A" w:rsidRDefault="00DB4DD3" w:rsidP="00DB4DD3">
            <w:pPr>
              <w:rPr>
                <w:rFonts w:ascii="Arial" w:hAnsi="Arial" w:cs="Arial"/>
                <w:b/>
                <w:bCs/>
                <w:color w:val="000000" w:themeColor="text1"/>
              </w:rPr>
            </w:pPr>
            <w:r w:rsidRPr="00FE591A">
              <w:rPr>
                <w:rFonts w:ascii="Arial" w:hAnsi="Arial" w:cs="Arial"/>
                <w:b/>
                <w:bCs/>
                <w:color w:val="000000" w:themeColor="text1"/>
              </w:rPr>
              <w:t> </w:t>
            </w:r>
          </w:p>
        </w:tc>
        <w:tc>
          <w:tcPr>
            <w:tcW w:w="3486" w:type="dxa"/>
            <w:noWrap/>
            <w:hideMark/>
          </w:tcPr>
          <w:p w14:paraId="74E26A59" w14:textId="77777777" w:rsidR="00DB4DD3" w:rsidRPr="00FE591A" w:rsidRDefault="00DB4DD3">
            <w:pPr>
              <w:rPr>
                <w:rFonts w:ascii="Arial" w:hAnsi="Arial" w:cs="Arial"/>
                <w:b/>
                <w:bCs/>
                <w:color w:val="000000" w:themeColor="text1"/>
              </w:rPr>
            </w:pPr>
            <w:r w:rsidRPr="00FE591A">
              <w:rPr>
                <w:rFonts w:ascii="Arial" w:hAnsi="Arial" w:cs="Arial"/>
                <w:b/>
                <w:bCs/>
                <w:color w:val="000000" w:themeColor="text1"/>
              </w:rPr>
              <w:t> </w:t>
            </w:r>
          </w:p>
        </w:tc>
        <w:tc>
          <w:tcPr>
            <w:tcW w:w="2374" w:type="dxa"/>
            <w:noWrap/>
            <w:hideMark/>
          </w:tcPr>
          <w:p w14:paraId="2D16C85A" w14:textId="77777777" w:rsidR="00DB4DD3" w:rsidRPr="00FE591A" w:rsidRDefault="00DB4DD3">
            <w:pPr>
              <w:rPr>
                <w:rFonts w:ascii="Arial" w:hAnsi="Arial" w:cs="Arial"/>
                <w:b/>
                <w:bCs/>
                <w:color w:val="000000" w:themeColor="text1"/>
              </w:rPr>
            </w:pPr>
            <w:r w:rsidRPr="00FE591A">
              <w:rPr>
                <w:rFonts w:ascii="Arial" w:hAnsi="Arial" w:cs="Arial"/>
                <w:b/>
                <w:bCs/>
                <w:color w:val="000000" w:themeColor="text1"/>
              </w:rPr>
              <w:t>NPV</w:t>
            </w:r>
          </w:p>
        </w:tc>
        <w:tc>
          <w:tcPr>
            <w:tcW w:w="2959" w:type="dxa"/>
            <w:noWrap/>
            <w:hideMark/>
          </w:tcPr>
          <w:p w14:paraId="5E10ED73" w14:textId="448C1186" w:rsidR="00DB4DD3" w:rsidRPr="00FE591A" w:rsidRDefault="00DB4DD3">
            <w:pPr>
              <w:rPr>
                <w:rFonts w:ascii="Arial" w:hAnsi="Arial" w:cs="Arial"/>
                <w:b/>
                <w:bCs/>
                <w:color w:val="000000" w:themeColor="text1"/>
              </w:rPr>
            </w:pPr>
            <w:r w:rsidRPr="00FE591A">
              <w:rPr>
                <w:rFonts w:ascii="Arial" w:hAnsi="Arial" w:cs="Arial"/>
                <w:b/>
                <w:bCs/>
                <w:color w:val="000000" w:themeColor="text1"/>
              </w:rPr>
              <w:t xml:space="preserve"> £1,388.47 </w:t>
            </w:r>
          </w:p>
        </w:tc>
      </w:tr>
    </w:tbl>
    <w:p w14:paraId="3F7BC7DD" w14:textId="77CC0DFA" w:rsidR="00423885" w:rsidRPr="00FE591A" w:rsidRDefault="00423885">
      <w:pPr>
        <w:rPr>
          <w:rFonts w:ascii="Arial" w:hAnsi="Arial" w:cs="Arial"/>
          <w:b/>
          <w:bCs/>
          <w:color w:val="000000" w:themeColor="text1"/>
        </w:rPr>
      </w:pPr>
    </w:p>
    <w:p w14:paraId="4C43307C" w14:textId="3B459D88" w:rsidR="00423885" w:rsidRPr="00FE591A" w:rsidRDefault="00423885" w:rsidP="00423885">
      <w:pPr>
        <w:rPr>
          <w:rFonts w:ascii="Arial" w:hAnsi="Arial" w:cs="Arial"/>
          <w:b/>
          <w:bCs/>
          <w:color w:val="000000" w:themeColor="text1"/>
        </w:rPr>
      </w:pPr>
      <w:r w:rsidRPr="00FE591A">
        <w:rPr>
          <w:rFonts w:ascii="Arial" w:hAnsi="Arial" w:cs="Arial"/>
          <w:b/>
          <w:bCs/>
          <w:color w:val="000000" w:themeColor="text1"/>
        </w:rPr>
        <w:t xml:space="preserve">NPV at </w:t>
      </w:r>
      <w:r w:rsidR="008F6C61" w:rsidRPr="00FE591A">
        <w:rPr>
          <w:rFonts w:ascii="Arial" w:hAnsi="Arial" w:cs="Arial"/>
          <w:b/>
          <w:bCs/>
          <w:color w:val="000000" w:themeColor="text1"/>
        </w:rPr>
        <w:t>10</w:t>
      </w:r>
      <w:r w:rsidRPr="00FE591A">
        <w:rPr>
          <w:rFonts w:ascii="Arial" w:hAnsi="Arial" w:cs="Arial"/>
          <w:b/>
          <w:bCs/>
          <w:color w:val="000000" w:themeColor="text1"/>
        </w:rPr>
        <w:t>% Discount Rate for Option B:</w:t>
      </w:r>
    </w:p>
    <w:tbl>
      <w:tblPr>
        <w:tblStyle w:val="TableGrid"/>
        <w:tblW w:w="0" w:type="auto"/>
        <w:tblLook w:val="04A0" w:firstRow="1" w:lastRow="0" w:firstColumn="1" w:lastColumn="0" w:noHBand="0" w:noVBand="1"/>
      </w:tblPr>
      <w:tblGrid>
        <w:gridCol w:w="796"/>
        <w:gridCol w:w="3249"/>
        <w:gridCol w:w="2213"/>
        <w:gridCol w:w="2758"/>
      </w:tblGrid>
      <w:tr w:rsidR="00FE591A" w:rsidRPr="00FE591A" w14:paraId="5A1F4BCA" w14:textId="77777777" w:rsidTr="008F6C61">
        <w:trPr>
          <w:trHeight w:val="312"/>
        </w:trPr>
        <w:tc>
          <w:tcPr>
            <w:tcW w:w="960" w:type="dxa"/>
            <w:noWrap/>
            <w:hideMark/>
          </w:tcPr>
          <w:p w14:paraId="6E5469CA" w14:textId="77777777" w:rsidR="008F6C61" w:rsidRPr="00FE591A" w:rsidRDefault="008F6C61" w:rsidP="008F6C61">
            <w:pPr>
              <w:rPr>
                <w:rFonts w:ascii="Arial" w:hAnsi="Arial" w:cs="Arial"/>
                <w:b/>
                <w:bCs/>
                <w:color w:val="000000" w:themeColor="text1"/>
                <w:lang w:val="en-IN"/>
              </w:rPr>
            </w:pPr>
          </w:p>
        </w:tc>
        <w:tc>
          <w:tcPr>
            <w:tcW w:w="4110" w:type="dxa"/>
            <w:noWrap/>
            <w:hideMark/>
          </w:tcPr>
          <w:p w14:paraId="376B512F" w14:textId="77777777" w:rsidR="008F6C61" w:rsidRPr="00FE591A" w:rsidRDefault="008F6C61">
            <w:pPr>
              <w:rPr>
                <w:rFonts w:ascii="Arial" w:hAnsi="Arial" w:cs="Arial"/>
                <w:b/>
                <w:bCs/>
                <w:color w:val="000000" w:themeColor="text1"/>
              </w:rPr>
            </w:pPr>
            <w:r w:rsidRPr="00FE591A">
              <w:rPr>
                <w:rFonts w:ascii="Arial" w:hAnsi="Arial" w:cs="Arial"/>
                <w:b/>
                <w:bCs/>
                <w:color w:val="000000" w:themeColor="text1"/>
              </w:rPr>
              <w:t>Discount Rate</w:t>
            </w:r>
          </w:p>
        </w:tc>
        <w:tc>
          <w:tcPr>
            <w:tcW w:w="2780" w:type="dxa"/>
            <w:noWrap/>
            <w:hideMark/>
          </w:tcPr>
          <w:p w14:paraId="2B165A02"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10%</w:t>
            </w:r>
          </w:p>
        </w:tc>
        <w:tc>
          <w:tcPr>
            <w:tcW w:w="3480" w:type="dxa"/>
            <w:noWrap/>
            <w:hideMark/>
          </w:tcPr>
          <w:p w14:paraId="1387C1B7" w14:textId="77777777" w:rsidR="008F6C61" w:rsidRPr="00FE591A" w:rsidRDefault="008F6C61" w:rsidP="008F6C61">
            <w:pPr>
              <w:rPr>
                <w:rFonts w:ascii="Arial" w:hAnsi="Arial" w:cs="Arial"/>
                <w:b/>
                <w:bCs/>
                <w:color w:val="000000" w:themeColor="text1"/>
              </w:rPr>
            </w:pPr>
          </w:p>
        </w:tc>
      </w:tr>
      <w:tr w:rsidR="00FE591A" w:rsidRPr="00FE591A" w14:paraId="4DEF7930" w14:textId="77777777" w:rsidTr="008F6C61">
        <w:trPr>
          <w:trHeight w:val="312"/>
        </w:trPr>
        <w:tc>
          <w:tcPr>
            <w:tcW w:w="960" w:type="dxa"/>
            <w:noWrap/>
            <w:hideMark/>
          </w:tcPr>
          <w:p w14:paraId="7DAB7B11" w14:textId="77777777" w:rsidR="008F6C61" w:rsidRPr="00FE591A" w:rsidRDefault="008F6C61">
            <w:pPr>
              <w:rPr>
                <w:rFonts w:ascii="Arial" w:hAnsi="Arial" w:cs="Arial"/>
                <w:b/>
                <w:bCs/>
                <w:color w:val="000000" w:themeColor="text1"/>
              </w:rPr>
            </w:pPr>
            <w:r w:rsidRPr="00FE591A">
              <w:rPr>
                <w:rFonts w:ascii="Arial" w:hAnsi="Arial" w:cs="Arial"/>
                <w:b/>
                <w:bCs/>
                <w:color w:val="000000" w:themeColor="text1"/>
              </w:rPr>
              <w:t>Year</w:t>
            </w:r>
          </w:p>
        </w:tc>
        <w:tc>
          <w:tcPr>
            <w:tcW w:w="4110" w:type="dxa"/>
            <w:noWrap/>
            <w:hideMark/>
          </w:tcPr>
          <w:p w14:paraId="369D3097" w14:textId="77777777" w:rsidR="008F6C61" w:rsidRPr="00FE591A" w:rsidRDefault="008F6C61">
            <w:pPr>
              <w:rPr>
                <w:rFonts w:ascii="Arial" w:hAnsi="Arial" w:cs="Arial"/>
                <w:b/>
                <w:bCs/>
                <w:color w:val="000000" w:themeColor="text1"/>
              </w:rPr>
            </w:pPr>
            <w:r w:rsidRPr="00FE591A">
              <w:rPr>
                <w:rFonts w:ascii="Arial" w:hAnsi="Arial" w:cs="Arial"/>
                <w:b/>
                <w:bCs/>
                <w:color w:val="000000" w:themeColor="text1"/>
              </w:rPr>
              <w:t>After-Tax Cash Flow (CF - Tax) (£'000)</w:t>
            </w:r>
          </w:p>
        </w:tc>
        <w:tc>
          <w:tcPr>
            <w:tcW w:w="2780" w:type="dxa"/>
            <w:noWrap/>
            <w:hideMark/>
          </w:tcPr>
          <w:p w14:paraId="475DDC9C" w14:textId="77777777" w:rsidR="008F6C61" w:rsidRPr="00FE591A" w:rsidRDefault="008F6C61">
            <w:pPr>
              <w:rPr>
                <w:rFonts w:ascii="Arial" w:hAnsi="Arial" w:cs="Arial"/>
                <w:b/>
                <w:bCs/>
                <w:color w:val="000000" w:themeColor="text1"/>
              </w:rPr>
            </w:pPr>
            <w:r w:rsidRPr="00FE591A">
              <w:rPr>
                <w:rFonts w:ascii="Arial" w:hAnsi="Arial" w:cs="Arial"/>
                <w:b/>
                <w:bCs/>
                <w:color w:val="000000" w:themeColor="text1"/>
              </w:rPr>
              <w:t>Discount Factor (10%)</w:t>
            </w:r>
          </w:p>
        </w:tc>
        <w:tc>
          <w:tcPr>
            <w:tcW w:w="3480" w:type="dxa"/>
            <w:noWrap/>
            <w:hideMark/>
          </w:tcPr>
          <w:p w14:paraId="76E518A5" w14:textId="77777777" w:rsidR="008F6C61" w:rsidRPr="00FE591A" w:rsidRDefault="008F6C61">
            <w:pPr>
              <w:rPr>
                <w:rFonts w:ascii="Arial" w:hAnsi="Arial" w:cs="Arial"/>
                <w:b/>
                <w:bCs/>
                <w:color w:val="000000" w:themeColor="text1"/>
              </w:rPr>
            </w:pPr>
            <w:r w:rsidRPr="00FE591A">
              <w:rPr>
                <w:rFonts w:ascii="Arial" w:hAnsi="Arial" w:cs="Arial"/>
                <w:b/>
                <w:bCs/>
                <w:color w:val="000000" w:themeColor="text1"/>
              </w:rPr>
              <w:t>Present Value (£'000)</w:t>
            </w:r>
          </w:p>
        </w:tc>
      </w:tr>
      <w:tr w:rsidR="00FE591A" w:rsidRPr="00FE591A" w14:paraId="722F35D5" w14:textId="77777777" w:rsidTr="008F6C61">
        <w:trPr>
          <w:trHeight w:val="312"/>
        </w:trPr>
        <w:tc>
          <w:tcPr>
            <w:tcW w:w="960" w:type="dxa"/>
            <w:noWrap/>
            <w:hideMark/>
          </w:tcPr>
          <w:p w14:paraId="7708FB07"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0</w:t>
            </w:r>
          </w:p>
        </w:tc>
        <w:tc>
          <w:tcPr>
            <w:tcW w:w="4110" w:type="dxa"/>
            <w:noWrap/>
            <w:hideMark/>
          </w:tcPr>
          <w:p w14:paraId="2E933E85"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0</w:t>
            </w:r>
          </w:p>
        </w:tc>
        <w:tc>
          <w:tcPr>
            <w:tcW w:w="2780" w:type="dxa"/>
            <w:noWrap/>
            <w:hideMark/>
          </w:tcPr>
          <w:p w14:paraId="61D23B46"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0</w:t>
            </w:r>
          </w:p>
        </w:tc>
        <w:tc>
          <w:tcPr>
            <w:tcW w:w="3480" w:type="dxa"/>
            <w:noWrap/>
            <w:hideMark/>
          </w:tcPr>
          <w:p w14:paraId="5938C6CB"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-1000</w:t>
            </w:r>
          </w:p>
        </w:tc>
      </w:tr>
      <w:tr w:rsidR="00FE591A" w:rsidRPr="00FE591A" w14:paraId="5EE0B610" w14:textId="77777777" w:rsidTr="008F6C61">
        <w:trPr>
          <w:trHeight w:val="312"/>
        </w:trPr>
        <w:tc>
          <w:tcPr>
            <w:tcW w:w="960" w:type="dxa"/>
            <w:noWrap/>
            <w:hideMark/>
          </w:tcPr>
          <w:p w14:paraId="18310F49"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1</w:t>
            </w:r>
          </w:p>
        </w:tc>
        <w:tc>
          <w:tcPr>
            <w:tcW w:w="4110" w:type="dxa"/>
            <w:noWrap/>
            <w:hideMark/>
          </w:tcPr>
          <w:p w14:paraId="2D24345E"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350</w:t>
            </w:r>
          </w:p>
        </w:tc>
        <w:tc>
          <w:tcPr>
            <w:tcW w:w="2780" w:type="dxa"/>
            <w:noWrap/>
            <w:hideMark/>
          </w:tcPr>
          <w:p w14:paraId="60F9D39C"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0.91</w:t>
            </w:r>
          </w:p>
        </w:tc>
        <w:tc>
          <w:tcPr>
            <w:tcW w:w="3480" w:type="dxa"/>
            <w:noWrap/>
            <w:hideMark/>
          </w:tcPr>
          <w:p w14:paraId="6B38033A"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318.18</w:t>
            </w:r>
          </w:p>
        </w:tc>
      </w:tr>
      <w:tr w:rsidR="00FE591A" w:rsidRPr="00FE591A" w14:paraId="4F981753" w14:textId="77777777" w:rsidTr="008F6C61">
        <w:trPr>
          <w:trHeight w:val="312"/>
        </w:trPr>
        <w:tc>
          <w:tcPr>
            <w:tcW w:w="960" w:type="dxa"/>
            <w:noWrap/>
            <w:hideMark/>
          </w:tcPr>
          <w:p w14:paraId="6DB57686"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2</w:t>
            </w:r>
          </w:p>
        </w:tc>
        <w:tc>
          <w:tcPr>
            <w:tcW w:w="4110" w:type="dxa"/>
            <w:noWrap/>
            <w:hideMark/>
          </w:tcPr>
          <w:p w14:paraId="6590F667"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387.5</w:t>
            </w:r>
          </w:p>
        </w:tc>
        <w:tc>
          <w:tcPr>
            <w:tcW w:w="2780" w:type="dxa"/>
            <w:noWrap/>
            <w:hideMark/>
          </w:tcPr>
          <w:p w14:paraId="0549B3D9"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0.83</w:t>
            </w:r>
          </w:p>
        </w:tc>
        <w:tc>
          <w:tcPr>
            <w:tcW w:w="3480" w:type="dxa"/>
            <w:noWrap/>
            <w:hideMark/>
          </w:tcPr>
          <w:p w14:paraId="77854AEB"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320.25</w:t>
            </w:r>
          </w:p>
        </w:tc>
      </w:tr>
      <w:tr w:rsidR="00FE591A" w:rsidRPr="00FE591A" w14:paraId="7F829644" w14:textId="77777777" w:rsidTr="008F6C61">
        <w:trPr>
          <w:trHeight w:val="312"/>
        </w:trPr>
        <w:tc>
          <w:tcPr>
            <w:tcW w:w="960" w:type="dxa"/>
            <w:noWrap/>
            <w:hideMark/>
          </w:tcPr>
          <w:p w14:paraId="18C3B208"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3</w:t>
            </w:r>
          </w:p>
        </w:tc>
        <w:tc>
          <w:tcPr>
            <w:tcW w:w="4110" w:type="dxa"/>
            <w:noWrap/>
            <w:hideMark/>
          </w:tcPr>
          <w:p w14:paraId="26919F72"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537.5</w:t>
            </w:r>
          </w:p>
        </w:tc>
        <w:tc>
          <w:tcPr>
            <w:tcW w:w="2780" w:type="dxa"/>
            <w:noWrap/>
            <w:hideMark/>
          </w:tcPr>
          <w:p w14:paraId="3B9E9748"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0.75</w:t>
            </w:r>
          </w:p>
        </w:tc>
        <w:tc>
          <w:tcPr>
            <w:tcW w:w="3480" w:type="dxa"/>
            <w:noWrap/>
            <w:hideMark/>
          </w:tcPr>
          <w:p w14:paraId="4E1E67D8"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403.83</w:t>
            </w:r>
          </w:p>
        </w:tc>
      </w:tr>
      <w:tr w:rsidR="00FE591A" w:rsidRPr="00FE591A" w14:paraId="326BAF7F" w14:textId="77777777" w:rsidTr="008F6C61">
        <w:trPr>
          <w:trHeight w:val="312"/>
        </w:trPr>
        <w:tc>
          <w:tcPr>
            <w:tcW w:w="960" w:type="dxa"/>
            <w:noWrap/>
            <w:hideMark/>
          </w:tcPr>
          <w:p w14:paraId="4FCBB5E0"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4</w:t>
            </w:r>
          </w:p>
        </w:tc>
        <w:tc>
          <w:tcPr>
            <w:tcW w:w="4110" w:type="dxa"/>
            <w:noWrap/>
            <w:hideMark/>
          </w:tcPr>
          <w:p w14:paraId="550D1FED"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785</w:t>
            </w:r>
          </w:p>
        </w:tc>
        <w:tc>
          <w:tcPr>
            <w:tcW w:w="2780" w:type="dxa"/>
            <w:noWrap/>
            <w:hideMark/>
          </w:tcPr>
          <w:p w14:paraId="738EA0DC"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0.68</w:t>
            </w:r>
          </w:p>
        </w:tc>
        <w:tc>
          <w:tcPr>
            <w:tcW w:w="3480" w:type="dxa"/>
            <w:noWrap/>
            <w:hideMark/>
          </w:tcPr>
          <w:p w14:paraId="41BE08FD"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536.17</w:t>
            </w:r>
          </w:p>
        </w:tc>
      </w:tr>
      <w:tr w:rsidR="00FE591A" w:rsidRPr="00FE591A" w14:paraId="3DA40714" w14:textId="77777777" w:rsidTr="008F6C61">
        <w:trPr>
          <w:trHeight w:val="312"/>
        </w:trPr>
        <w:tc>
          <w:tcPr>
            <w:tcW w:w="960" w:type="dxa"/>
            <w:noWrap/>
            <w:hideMark/>
          </w:tcPr>
          <w:p w14:paraId="68386FF4" w14:textId="77777777" w:rsidR="008F6C61" w:rsidRPr="00FE591A" w:rsidRDefault="008F6C61" w:rsidP="008F6C61">
            <w:pPr>
              <w:rPr>
                <w:rFonts w:ascii="Arial" w:hAnsi="Arial" w:cs="Arial"/>
                <w:b/>
                <w:bCs/>
                <w:color w:val="000000" w:themeColor="text1"/>
              </w:rPr>
            </w:pPr>
            <w:r w:rsidRPr="00FE591A">
              <w:rPr>
                <w:rFonts w:ascii="Arial" w:hAnsi="Arial" w:cs="Arial"/>
                <w:b/>
                <w:bCs/>
                <w:color w:val="000000" w:themeColor="text1"/>
              </w:rPr>
              <w:t> </w:t>
            </w:r>
          </w:p>
        </w:tc>
        <w:tc>
          <w:tcPr>
            <w:tcW w:w="4110" w:type="dxa"/>
            <w:noWrap/>
            <w:hideMark/>
          </w:tcPr>
          <w:p w14:paraId="582BD528" w14:textId="77777777" w:rsidR="008F6C61" w:rsidRPr="00FE591A" w:rsidRDefault="008F6C61">
            <w:pPr>
              <w:rPr>
                <w:rFonts w:ascii="Arial" w:hAnsi="Arial" w:cs="Arial"/>
                <w:b/>
                <w:bCs/>
                <w:color w:val="000000" w:themeColor="text1"/>
              </w:rPr>
            </w:pPr>
            <w:r w:rsidRPr="00FE591A">
              <w:rPr>
                <w:rFonts w:ascii="Arial" w:hAnsi="Arial" w:cs="Arial"/>
                <w:b/>
                <w:bCs/>
                <w:color w:val="000000" w:themeColor="text1"/>
              </w:rPr>
              <w:t> </w:t>
            </w:r>
          </w:p>
        </w:tc>
        <w:tc>
          <w:tcPr>
            <w:tcW w:w="2780" w:type="dxa"/>
            <w:noWrap/>
            <w:hideMark/>
          </w:tcPr>
          <w:p w14:paraId="249D407E" w14:textId="77777777" w:rsidR="008F6C61" w:rsidRPr="00FE591A" w:rsidRDefault="008F6C61">
            <w:pPr>
              <w:rPr>
                <w:rFonts w:ascii="Arial" w:hAnsi="Arial" w:cs="Arial"/>
                <w:b/>
                <w:bCs/>
                <w:color w:val="000000" w:themeColor="text1"/>
              </w:rPr>
            </w:pPr>
            <w:r w:rsidRPr="00FE591A">
              <w:rPr>
                <w:rFonts w:ascii="Arial" w:hAnsi="Arial" w:cs="Arial"/>
                <w:b/>
                <w:bCs/>
                <w:color w:val="000000" w:themeColor="text1"/>
              </w:rPr>
              <w:t>NPV</w:t>
            </w:r>
          </w:p>
        </w:tc>
        <w:tc>
          <w:tcPr>
            <w:tcW w:w="3480" w:type="dxa"/>
            <w:noWrap/>
            <w:hideMark/>
          </w:tcPr>
          <w:p w14:paraId="3FBFD6E6" w14:textId="786DB4FB" w:rsidR="008F6C61" w:rsidRPr="00FE591A" w:rsidRDefault="008F6C61">
            <w:pPr>
              <w:rPr>
                <w:rFonts w:ascii="Arial" w:hAnsi="Arial" w:cs="Arial"/>
                <w:b/>
                <w:bCs/>
                <w:color w:val="000000" w:themeColor="text1"/>
              </w:rPr>
            </w:pPr>
            <w:r w:rsidRPr="00FE591A">
              <w:rPr>
                <w:rFonts w:ascii="Arial" w:hAnsi="Arial" w:cs="Arial"/>
                <w:b/>
                <w:bCs/>
                <w:color w:val="000000" w:themeColor="text1"/>
              </w:rPr>
              <w:t xml:space="preserve"> £578.43 </w:t>
            </w:r>
          </w:p>
        </w:tc>
      </w:tr>
    </w:tbl>
    <w:p w14:paraId="18D797C8" w14:textId="315D4C3B" w:rsidR="00423885" w:rsidRPr="00FE591A" w:rsidRDefault="00423885" w:rsidP="00423885">
      <w:pPr>
        <w:rPr>
          <w:rFonts w:ascii="Arial" w:hAnsi="Arial" w:cs="Arial"/>
          <w:b/>
          <w:bCs/>
          <w:color w:val="000000" w:themeColor="text1"/>
        </w:rPr>
      </w:pPr>
    </w:p>
    <w:p w14:paraId="2B6632DB" w14:textId="77777777" w:rsidR="008F6C61" w:rsidRPr="00FE591A" w:rsidRDefault="008F6C61">
      <w:pPr>
        <w:rPr>
          <w:rFonts w:ascii="Arial" w:hAnsi="Arial" w:cs="Arial"/>
          <w:color w:val="000000" w:themeColor="text1"/>
        </w:rPr>
      </w:pPr>
      <w:r w:rsidRPr="00FE591A">
        <w:rPr>
          <w:rFonts w:ascii="Arial" w:hAnsi="Arial" w:cs="Arial"/>
          <w:color w:val="000000" w:themeColor="text1"/>
        </w:rPr>
        <w:t>The IRR is worked out using the interpolation method, which helps to find the exact return rate where the NPV becomes zero.</w:t>
      </w:r>
    </w:p>
    <w:p w14:paraId="260FBC02" w14:textId="09D0D41E" w:rsidR="00423885" w:rsidRPr="00FE591A" w:rsidRDefault="008F6C61">
      <w:pPr>
        <w:rPr>
          <w:rFonts w:ascii="Arial" w:eastAsiaTheme="minorEastAsia" w:hAnsi="Arial" w:cs="Arial"/>
          <w:color w:val="000000" w:themeColor="text1"/>
        </w:rPr>
      </w:pPr>
      <m:oMathPara>
        <m:oMath>
          <m:r>
            <w:rPr>
              <w:rFonts w:ascii="Cambria Math" w:eastAsiaTheme="minorEastAsia" w:hAnsi="Cambria Math" w:cs="Arial"/>
              <w:i/>
              <w:noProof/>
              <w:color w:val="000000" w:themeColor="text1"/>
            </w:rPr>
            <w:drawing>
              <wp:inline distT="0" distB="0" distL="0" distR="0" wp14:anchorId="1F0CA131" wp14:editId="6A01D00B">
                <wp:extent cx="5731510" cy="515620"/>
                <wp:effectExtent l="0" t="0" r="2540" b="0"/>
                <wp:docPr id="849449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49183" name=""/>
                        <pic:cNvPicPr/>
                      </pic:nvPicPr>
                      <pic:blipFill>
                        <a:blip r:embed="rId11"/>
                        <a:stretch>
                          <a:fillRect/>
                        </a:stretch>
                      </pic:blipFill>
                      <pic:spPr>
                        <a:xfrm>
                          <a:off x="0" y="0"/>
                          <a:ext cx="5731510" cy="515620"/>
                        </a:xfrm>
                        <a:prstGeom prst="rect">
                          <a:avLst/>
                        </a:prstGeom>
                      </pic:spPr>
                    </pic:pic>
                  </a:graphicData>
                </a:graphic>
              </wp:inline>
            </w:drawing>
          </m:r>
        </m:oMath>
      </m:oMathPara>
    </w:p>
    <w:p w14:paraId="1E44B361" w14:textId="52EABE0E" w:rsidR="005A6B3E" w:rsidRPr="00FE591A" w:rsidRDefault="005A6B3E">
      <w:pPr>
        <w:rPr>
          <w:rFonts w:ascii="Arial" w:eastAsiaTheme="minorEastAsia" w:hAnsi="Arial" w:cs="Arial"/>
          <w:color w:val="000000" w:themeColor="text1"/>
        </w:rPr>
      </w:pPr>
      <m:oMathPara>
        <m:oMath>
          <m:r>
            <w:rPr>
              <w:rFonts w:ascii="Cambria Math" w:hAnsi="Cambria Math" w:cs="Arial"/>
              <w:color w:val="000000" w:themeColor="text1"/>
            </w:rPr>
            <w:lastRenderedPageBreak/>
            <m:t xml:space="preserve">=-5%+ </m:t>
          </m:r>
          <m:f>
            <m:fPr>
              <m:ctrlPr>
                <w:rPr>
                  <w:rFonts w:ascii="Cambria Math" w:hAnsi="Cambria Math" w:cs="Arial"/>
                  <w:i/>
                  <w:color w:val="000000" w:themeColor="text1"/>
                </w:rPr>
              </m:ctrlPr>
            </m:fPr>
            <m:num>
              <m:r>
                <w:rPr>
                  <w:rFonts w:ascii="Cambria Math" w:hAnsi="Cambria Math" w:cs="Arial"/>
                  <w:color w:val="000000" w:themeColor="text1"/>
                </w:rPr>
                <m:t>1388.47</m:t>
              </m:r>
            </m:num>
            <m:den>
              <m:r>
                <w:rPr>
                  <w:rFonts w:ascii="Cambria Math" w:hAnsi="Cambria Math" w:cs="Arial"/>
                  <w:color w:val="000000" w:themeColor="text1"/>
                </w:rPr>
                <m:t>1388.47-578.43</m:t>
              </m:r>
            </m:den>
          </m:f>
          <m:r>
            <w:rPr>
              <w:rFonts w:ascii="Cambria Math" w:hAnsi="Cambria Math" w:cs="Arial"/>
              <w:color w:val="000000" w:themeColor="text1"/>
            </w:rPr>
            <m:t xml:space="preserve"> ×(10-(-5%))</m:t>
          </m:r>
        </m:oMath>
      </m:oMathPara>
    </w:p>
    <w:p w14:paraId="6D27DAE8" w14:textId="4F8933B4" w:rsidR="00D939DB" w:rsidRPr="00FE591A" w:rsidRDefault="00D939DB">
      <w:pPr>
        <w:rPr>
          <w:rFonts w:ascii="Arial" w:eastAsiaTheme="minorEastAsia" w:hAnsi="Arial" w:cs="Arial"/>
          <w:color w:val="000000" w:themeColor="text1"/>
        </w:rPr>
      </w:pPr>
      <m:oMathPara>
        <m:oMath>
          <m:r>
            <w:rPr>
              <w:rFonts w:ascii="Cambria Math" w:hAnsi="Cambria Math" w:cs="Arial"/>
              <w:color w:val="000000" w:themeColor="text1"/>
            </w:rPr>
            <m:t>=17.18%</m:t>
          </m:r>
        </m:oMath>
      </m:oMathPara>
    </w:p>
    <w:p w14:paraId="5205BF20" w14:textId="37839A05" w:rsidR="00D939DB" w:rsidRPr="00FE591A" w:rsidRDefault="0021579A" w:rsidP="00D939DB">
      <w:pPr>
        <w:rPr>
          <w:rFonts w:ascii="Arial" w:eastAsiaTheme="minorEastAsia" w:hAnsi="Arial" w:cs="Arial"/>
          <w:color w:val="000000" w:themeColor="text1"/>
          <w:lang w:val="en-IN"/>
        </w:rPr>
      </w:pPr>
      <w:r w:rsidRPr="00FE591A">
        <w:rPr>
          <w:rFonts w:ascii="Arial" w:eastAsiaTheme="minorEastAsia" w:hAnsi="Arial" w:cs="Arial"/>
          <w:color w:val="000000" w:themeColor="text1"/>
          <w:lang w:val="en-IN"/>
        </w:rPr>
        <w:t xml:space="preserve">The approximate IRR is </w:t>
      </w:r>
      <w:r w:rsidR="008F6C61" w:rsidRPr="00FE591A">
        <w:rPr>
          <w:rFonts w:ascii="Arial" w:eastAsiaTheme="minorEastAsia" w:hAnsi="Arial" w:cs="Arial"/>
          <w:color w:val="000000" w:themeColor="text1"/>
          <w:lang w:val="en-IN"/>
        </w:rPr>
        <w:t>17.18</w:t>
      </w:r>
      <w:r w:rsidRPr="00FE591A">
        <w:rPr>
          <w:rFonts w:ascii="Arial" w:eastAsiaTheme="minorEastAsia" w:hAnsi="Arial" w:cs="Arial"/>
          <w:color w:val="000000" w:themeColor="text1"/>
          <w:lang w:val="en-IN"/>
        </w:rPr>
        <w:t>% for project B.</w:t>
      </w:r>
      <w:r w:rsidR="008F6C61" w:rsidRPr="00FE591A">
        <w:rPr>
          <w:rFonts w:ascii="Arial" w:hAnsi="Arial" w:cs="Arial"/>
          <w:color w:val="000000" w:themeColor="text1"/>
        </w:rPr>
        <w:t xml:space="preserve"> </w:t>
      </w:r>
      <w:r w:rsidR="008F6C61" w:rsidRPr="00FE591A">
        <w:rPr>
          <w:rFonts w:ascii="Arial" w:eastAsiaTheme="minorEastAsia" w:hAnsi="Arial" w:cs="Arial"/>
          <w:color w:val="000000" w:themeColor="text1"/>
          <w:lang w:val="en-IN"/>
        </w:rPr>
        <w:t>This means the project is expected to give a return of 17.18% per year, which is much higher than the company’s cost of capital (6%).</w:t>
      </w:r>
    </w:p>
    <w:p w14:paraId="11832C25" w14:textId="1775C954" w:rsidR="00032CC9" w:rsidRPr="00FE591A" w:rsidRDefault="008F6C61" w:rsidP="00FE591A">
      <w:pPr>
        <w:pStyle w:val="Heading2"/>
        <w:numPr>
          <w:ilvl w:val="1"/>
          <w:numId w:val="9"/>
        </w:numPr>
        <w:jc w:val="center"/>
        <w:rPr>
          <w:rStyle w:val="selected"/>
          <w:rFonts w:cs="Arial"/>
          <w:bCs/>
          <w:color w:val="000000" w:themeColor="text1"/>
        </w:rPr>
      </w:pPr>
      <w:bookmarkStart w:id="9" w:name="_Toc203898045"/>
      <w:r w:rsidRPr="00FE591A">
        <w:rPr>
          <w:rStyle w:val="selected"/>
          <w:rFonts w:cs="Arial"/>
          <w:bCs/>
          <w:color w:val="000000" w:themeColor="text1"/>
        </w:rPr>
        <w:t>Key Message for Management</w:t>
      </w:r>
      <w:bookmarkEnd w:id="9"/>
    </w:p>
    <w:tbl>
      <w:tblPr>
        <w:tblStyle w:val="GridTable4-Accent4"/>
        <w:tblW w:w="0" w:type="auto"/>
        <w:tblLook w:val="04A0" w:firstRow="1" w:lastRow="0" w:firstColumn="1" w:lastColumn="0" w:noHBand="0" w:noVBand="1"/>
      </w:tblPr>
      <w:tblGrid>
        <w:gridCol w:w="2519"/>
        <w:gridCol w:w="6497"/>
      </w:tblGrid>
      <w:tr w:rsidR="00FE591A" w:rsidRPr="00032CC9" w14:paraId="5A2A5BAF" w14:textId="77777777" w:rsidTr="00032C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9E2AF3" w14:textId="77777777" w:rsidR="00032CC9" w:rsidRPr="00032CC9" w:rsidRDefault="00032CC9" w:rsidP="00032CC9">
            <w:pPr>
              <w:spacing w:after="160"/>
              <w:rPr>
                <w:rFonts w:ascii="Arial" w:hAnsi="Arial" w:cs="Arial"/>
                <w:color w:val="000000" w:themeColor="text1"/>
                <w:lang w:val="en-IN"/>
              </w:rPr>
            </w:pPr>
            <w:r w:rsidRPr="00032CC9">
              <w:rPr>
                <w:rFonts w:ascii="Arial" w:hAnsi="Arial" w:cs="Arial"/>
                <w:color w:val="000000" w:themeColor="text1"/>
                <w:lang w:val="en-IN"/>
              </w:rPr>
              <w:t>Section</w:t>
            </w:r>
          </w:p>
        </w:tc>
        <w:tc>
          <w:tcPr>
            <w:tcW w:w="0" w:type="auto"/>
            <w:hideMark/>
          </w:tcPr>
          <w:p w14:paraId="59E2502B" w14:textId="77777777" w:rsidR="00032CC9" w:rsidRPr="00032CC9" w:rsidRDefault="00032CC9" w:rsidP="00032CC9">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032CC9">
              <w:rPr>
                <w:rFonts w:ascii="Arial" w:hAnsi="Arial" w:cs="Arial"/>
                <w:color w:val="000000" w:themeColor="text1"/>
                <w:lang w:val="en-IN"/>
              </w:rPr>
              <w:t>Explanation</w:t>
            </w:r>
          </w:p>
        </w:tc>
      </w:tr>
      <w:tr w:rsidR="00FE591A" w:rsidRPr="00032CC9" w14:paraId="249C2584" w14:textId="77777777" w:rsidTr="0003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0C2F27" w14:textId="77777777" w:rsidR="00032CC9" w:rsidRPr="00032CC9" w:rsidRDefault="00032CC9" w:rsidP="00032CC9">
            <w:pPr>
              <w:spacing w:after="160"/>
              <w:rPr>
                <w:rFonts w:ascii="Arial" w:hAnsi="Arial" w:cs="Arial"/>
                <w:color w:val="000000" w:themeColor="text1"/>
                <w:lang w:val="en-IN"/>
              </w:rPr>
            </w:pPr>
            <w:r w:rsidRPr="00032CC9">
              <w:rPr>
                <w:rFonts w:ascii="Arial" w:hAnsi="Arial" w:cs="Arial"/>
                <w:color w:val="000000" w:themeColor="text1"/>
                <w:lang w:val="en-IN"/>
              </w:rPr>
              <w:t>i. Why NPV Is the Most Reliable Method for Investment Appraisal</w:t>
            </w:r>
          </w:p>
        </w:tc>
        <w:tc>
          <w:tcPr>
            <w:tcW w:w="0" w:type="auto"/>
            <w:hideMark/>
          </w:tcPr>
          <w:p w14:paraId="3C79B832" w14:textId="4E60400F" w:rsidR="00032CC9" w:rsidRPr="00032CC9" w:rsidRDefault="00032CC9" w:rsidP="00032CC9">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032CC9">
              <w:rPr>
                <w:rFonts w:ascii="Arial" w:hAnsi="Arial" w:cs="Arial"/>
                <w:color w:val="000000" w:themeColor="text1"/>
                <w:lang w:val="en-IN"/>
              </w:rPr>
              <w:t>Net Present Value (NPV) is often seen as the best method for checking if a project is worth investing in. This is because NPV looks at how much money the project will really bring to the company, after considering the time value of money</w:t>
            </w:r>
            <w:r w:rsidR="00FE591A" w:rsidRPr="00FE591A">
              <w:rPr>
                <w:rFonts w:ascii="Arial" w:hAnsi="Arial" w:cs="Arial"/>
                <w:color w:val="000000" w:themeColor="text1"/>
                <w:lang w:val="en-IN"/>
              </w:rPr>
              <w:t xml:space="preserve">, </w:t>
            </w:r>
            <w:r w:rsidRPr="00FE591A">
              <w:rPr>
                <w:rFonts w:ascii="Arial" w:hAnsi="Arial" w:cs="Arial"/>
                <w:color w:val="000000" w:themeColor="text1"/>
                <w:lang w:val="en-IN"/>
              </w:rPr>
              <w:t xml:space="preserve">which indicates </w:t>
            </w:r>
            <w:r w:rsidRPr="00032CC9">
              <w:rPr>
                <w:rFonts w:ascii="Arial" w:hAnsi="Arial" w:cs="Arial"/>
                <w:color w:val="000000" w:themeColor="text1"/>
                <w:lang w:val="en-IN"/>
              </w:rPr>
              <w:t>money now is more valuable than money later</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(Ho and Liao, 2011)</w:t>
            </w:r>
            <w:r w:rsidRPr="00032CC9">
              <w:rPr>
                <w:rFonts w:ascii="Arial" w:hAnsi="Arial" w:cs="Arial"/>
                <w:color w:val="000000" w:themeColor="text1"/>
                <w:lang w:val="en-IN"/>
              </w:rPr>
              <w:t>. NPV discounts future cash flows so managers can see today’s worth of those future earnings. If the NPV is positive, it means the project will make more money than it costs, which helps the business grow and increases shareholder value. NPV is also helpful because it shows the actual profit the company can expect</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(Palmer, 2024)</w:t>
            </w:r>
            <w:r w:rsidRPr="00032CC9">
              <w:rPr>
                <w:rFonts w:ascii="Arial" w:hAnsi="Arial" w:cs="Arial"/>
                <w:color w:val="000000" w:themeColor="text1"/>
                <w:lang w:val="en-IN"/>
              </w:rPr>
              <w:t>. It focuses on long-term value instead of short-term gain. In large companies, where decisions affect future success, NPV supports smart, future-focused planning. It also works well when comparing different investment options, as it gives a clear and direct number to compare. Overall, it supports better and safer decision-making for the company.</w:t>
            </w:r>
          </w:p>
        </w:tc>
      </w:tr>
      <w:tr w:rsidR="00FE591A" w:rsidRPr="00032CC9" w14:paraId="61D2173B" w14:textId="77777777" w:rsidTr="00032CC9">
        <w:tc>
          <w:tcPr>
            <w:cnfStyle w:val="001000000000" w:firstRow="0" w:lastRow="0" w:firstColumn="1" w:lastColumn="0" w:oddVBand="0" w:evenVBand="0" w:oddHBand="0" w:evenHBand="0" w:firstRowFirstColumn="0" w:firstRowLastColumn="0" w:lastRowFirstColumn="0" w:lastRowLastColumn="0"/>
            <w:tcW w:w="0" w:type="auto"/>
            <w:hideMark/>
          </w:tcPr>
          <w:p w14:paraId="1557FA25" w14:textId="77777777" w:rsidR="00032CC9" w:rsidRPr="00032CC9" w:rsidRDefault="00032CC9" w:rsidP="00032CC9">
            <w:pPr>
              <w:spacing w:after="160"/>
              <w:rPr>
                <w:rFonts w:ascii="Arial" w:hAnsi="Arial" w:cs="Arial"/>
                <w:color w:val="000000" w:themeColor="text1"/>
                <w:lang w:val="en-IN"/>
              </w:rPr>
            </w:pPr>
            <w:r w:rsidRPr="00032CC9">
              <w:rPr>
                <w:rFonts w:ascii="Arial" w:hAnsi="Arial" w:cs="Arial"/>
                <w:color w:val="000000" w:themeColor="text1"/>
                <w:lang w:val="en-IN"/>
              </w:rPr>
              <w:t>ii. Why Non-Discounting Methods Remain Popular</w:t>
            </w:r>
          </w:p>
        </w:tc>
        <w:tc>
          <w:tcPr>
            <w:tcW w:w="0" w:type="auto"/>
            <w:hideMark/>
          </w:tcPr>
          <w:p w14:paraId="6B2411F7" w14:textId="4AE5ADFD" w:rsidR="00032CC9" w:rsidRPr="00032CC9" w:rsidRDefault="00032CC9" w:rsidP="00032CC9">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032CC9">
              <w:rPr>
                <w:rFonts w:ascii="Arial" w:hAnsi="Arial" w:cs="Arial"/>
                <w:color w:val="000000" w:themeColor="text1"/>
                <w:lang w:val="en-IN"/>
              </w:rPr>
              <w:t>Even though NPV is more accurate, simpler methods like the Payback Period and Accounting Rate of Return (ARR) are still widely used</w:t>
            </w:r>
            <w:r w:rsidRPr="00FE591A">
              <w:rPr>
                <w:rFonts w:ascii="Arial" w:hAnsi="Arial" w:cs="Arial"/>
                <w:color w:val="000000" w:themeColor="text1"/>
                <w:lang w:val="en-IN"/>
              </w:rPr>
              <w:t>,</w:t>
            </w:r>
            <w:r w:rsidRPr="00032CC9">
              <w:rPr>
                <w:rFonts w:ascii="Arial" w:hAnsi="Arial" w:cs="Arial"/>
                <w:color w:val="000000" w:themeColor="text1"/>
                <w:lang w:val="en-IN"/>
              </w:rPr>
              <w:t xml:space="preserve"> especially in smaller businesses or fast-moving industries</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(Scribe, 2024)</w:t>
            </w:r>
            <w:r w:rsidRPr="00032CC9">
              <w:rPr>
                <w:rFonts w:ascii="Arial" w:hAnsi="Arial" w:cs="Arial"/>
                <w:color w:val="000000" w:themeColor="text1"/>
                <w:lang w:val="en-IN"/>
              </w:rPr>
              <w:t xml:space="preserve">. These methods are popular because they are easy to use and understand. They </w:t>
            </w:r>
            <w:r w:rsidRPr="00032CC9">
              <w:rPr>
                <w:rFonts w:ascii="Arial" w:hAnsi="Arial" w:cs="Arial"/>
                <w:color w:val="000000" w:themeColor="text1"/>
                <w:lang w:val="en-IN"/>
              </w:rPr>
              <w:lastRenderedPageBreak/>
              <w:t>don’t need complex maths or tools, so managers without financial training can still use them to make quick decisions. The Payback Period tells how quickly the company can get back its initial investment, which is very useful when cash is tight or when managers want to avoid long-term risks</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(ACCA Global, 2025)</w:t>
            </w:r>
            <w:r w:rsidRPr="00032CC9">
              <w:rPr>
                <w:rFonts w:ascii="Arial" w:hAnsi="Arial" w:cs="Arial"/>
                <w:color w:val="000000" w:themeColor="text1"/>
                <w:lang w:val="en-IN"/>
              </w:rPr>
              <w:t>. ARR gives a quick look at how much profit the project makes on average each year</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(Fisher, 2024)</w:t>
            </w:r>
            <w:r w:rsidRPr="00032CC9">
              <w:rPr>
                <w:rFonts w:ascii="Arial" w:hAnsi="Arial" w:cs="Arial"/>
                <w:color w:val="000000" w:themeColor="text1"/>
                <w:lang w:val="en-IN"/>
              </w:rPr>
              <w:t>. Even though these methods don’t account for the time value of money, they are helpful for understanding short-term performance and for projects where speed and simplicity matter more than long-term value. That’s why many managers still rely on them when making decisions under pressure or with limited information.</w:t>
            </w:r>
          </w:p>
        </w:tc>
      </w:tr>
      <w:tr w:rsidR="00FE591A" w:rsidRPr="00032CC9" w14:paraId="134072B9" w14:textId="77777777" w:rsidTr="0003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D21EDB" w14:textId="77777777" w:rsidR="00032CC9" w:rsidRPr="00032CC9" w:rsidRDefault="00032CC9" w:rsidP="00032CC9">
            <w:pPr>
              <w:spacing w:after="160"/>
              <w:rPr>
                <w:rFonts w:ascii="Arial" w:hAnsi="Arial" w:cs="Arial"/>
                <w:color w:val="000000" w:themeColor="text1"/>
                <w:lang w:val="en-IN"/>
              </w:rPr>
            </w:pPr>
            <w:r w:rsidRPr="00032CC9">
              <w:rPr>
                <w:rFonts w:ascii="Arial" w:hAnsi="Arial" w:cs="Arial"/>
                <w:color w:val="000000" w:themeColor="text1"/>
                <w:lang w:val="en-IN"/>
              </w:rPr>
              <w:lastRenderedPageBreak/>
              <w:t>iii. Other Factors to Consider Before Final Investment Decisions</w:t>
            </w:r>
          </w:p>
        </w:tc>
        <w:tc>
          <w:tcPr>
            <w:tcW w:w="0" w:type="auto"/>
            <w:hideMark/>
          </w:tcPr>
          <w:p w14:paraId="35BC8AF0" w14:textId="77777777" w:rsidR="00032CC9" w:rsidRPr="00FE591A" w:rsidRDefault="00032CC9" w:rsidP="00032CC9">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032CC9">
              <w:rPr>
                <w:rFonts w:ascii="Arial" w:hAnsi="Arial" w:cs="Arial"/>
                <w:color w:val="000000" w:themeColor="text1"/>
                <w:lang w:val="en-IN"/>
              </w:rPr>
              <w:t>Besides the numbers from methods</w:t>
            </w:r>
            <w:r w:rsidRPr="00FE591A">
              <w:rPr>
                <w:rFonts w:ascii="Arial" w:hAnsi="Arial" w:cs="Arial"/>
                <w:color w:val="000000" w:themeColor="text1"/>
                <w:lang w:val="en-IN"/>
              </w:rPr>
              <w:t xml:space="preserve"> including</w:t>
            </w:r>
            <w:r w:rsidRPr="00032CC9">
              <w:rPr>
                <w:rFonts w:ascii="Arial" w:hAnsi="Arial" w:cs="Arial"/>
                <w:color w:val="000000" w:themeColor="text1"/>
                <w:lang w:val="en-IN"/>
              </w:rPr>
              <w:t xml:space="preserve"> NPV or Payback, managers should think about several other important things: </w:t>
            </w:r>
          </w:p>
          <w:p w14:paraId="7A4AD631" w14:textId="6BBF7EC4" w:rsidR="00032CC9" w:rsidRPr="00FE591A" w:rsidRDefault="00032CC9" w:rsidP="00032CC9">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032CC9">
              <w:rPr>
                <w:rFonts w:ascii="Arial" w:hAnsi="Arial" w:cs="Arial"/>
                <w:b/>
                <w:bCs/>
                <w:color w:val="000000" w:themeColor="text1"/>
                <w:lang w:val="en-IN"/>
              </w:rPr>
              <w:t>Risk and Uncertainty:</w:t>
            </w:r>
            <w:r w:rsidRPr="00032CC9">
              <w:rPr>
                <w:rFonts w:ascii="Arial" w:hAnsi="Arial" w:cs="Arial"/>
                <w:color w:val="000000" w:themeColor="text1"/>
                <w:lang w:val="en-IN"/>
              </w:rPr>
              <w:t xml:space="preserve"> It’s important to look at what could go wrong. Market changes, customer trends, or economic issues can all affect the project</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(Kenton, 2019)</w:t>
            </w:r>
            <w:r w:rsidRPr="00032CC9">
              <w:rPr>
                <w:rFonts w:ascii="Arial" w:hAnsi="Arial" w:cs="Arial"/>
                <w:color w:val="000000" w:themeColor="text1"/>
                <w:lang w:val="en-IN"/>
              </w:rPr>
              <w:t xml:space="preserve">. Tools </w:t>
            </w:r>
            <w:r w:rsidR="00FE591A" w:rsidRPr="00FE591A">
              <w:rPr>
                <w:rFonts w:ascii="Arial" w:hAnsi="Arial" w:cs="Arial"/>
                <w:color w:val="000000" w:themeColor="text1"/>
                <w:lang w:val="en-IN"/>
              </w:rPr>
              <w:t>including</w:t>
            </w:r>
            <w:r w:rsidRPr="00032CC9">
              <w:rPr>
                <w:rFonts w:ascii="Arial" w:hAnsi="Arial" w:cs="Arial"/>
                <w:color w:val="000000" w:themeColor="text1"/>
                <w:lang w:val="en-IN"/>
              </w:rPr>
              <w:t xml:space="preserve"> scenario planning or sensitivity analysis can help prepare for these risks (Meng &amp; Kaiyrbayeva, 2024). </w:t>
            </w:r>
          </w:p>
          <w:p w14:paraId="08A86D49" w14:textId="4C73C47B" w:rsidR="00032CC9" w:rsidRPr="00FE591A" w:rsidRDefault="00032CC9" w:rsidP="00032CC9">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032CC9">
              <w:rPr>
                <w:rFonts w:ascii="Arial" w:hAnsi="Arial" w:cs="Arial"/>
                <w:b/>
                <w:bCs/>
                <w:color w:val="000000" w:themeColor="text1"/>
                <w:lang w:val="en-IN"/>
              </w:rPr>
              <w:t>Strategic Fit:</w:t>
            </w:r>
            <w:r w:rsidRPr="00032CC9">
              <w:rPr>
                <w:rFonts w:ascii="Arial" w:hAnsi="Arial" w:cs="Arial"/>
                <w:color w:val="000000" w:themeColor="text1"/>
                <w:lang w:val="en-IN"/>
              </w:rPr>
              <w:t xml:space="preserve"> A project should match the company’s big goals</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(Tshabalala, 2020)</w:t>
            </w:r>
            <w:r w:rsidRPr="00032CC9">
              <w:rPr>
                <w:rFonts w:ascii="Arial" w:hAnsi="Arial" w:cs="Arial"/>
                <w:color w:val="000000" w:themeColor="text1"/>
                <w:lang w:val="en-IN"/>
              </w:rPr>
              <w:t xml:space="preserve">. If a project is profitable but goes in a different direction than the company’s vision, it might hurt the business in the long run. </w:t>
            </w:r>
          </w:p>
          <w:p w14:paraId="1803082D" w14:textId="182FCF41" w:rsidR="00032CC9" w:rsidRPr="00FE591A" w:rsidRDefault="00032CC9" w:rsidP="00032CC9">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032CC9">
              <w:rPr>
                <w:rFonts w:ascii="Arial" w:hAnsi="Arial" w:cs="Arial"/>
                <w:b/>
                <w:bCs/>
                <w:color w:val="000000" w:themeColor="text1"/>
                <w:lang w:val="en-IN"/>
              </w:rPr>
              <w:t>Resources Available:</w:t>
            </w:r>
            <w:r w:rsidRPr="00032CC9">
              <w:rPr>
                <w:rFonts w:ascii="Arial" w:hAnsi="Arial" w:cs="Arial"/>
                <w:color w:val="000000" w:themeColor="text1"/>
                <w:lang w:val="en-IN"/>
              </w:rPr>
              <w:t xml:space="preserve"> Before starting a project, it’s important to check if the company has the right team, money, time, and tools to make it successful</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(Kenton, 2019)</w:t>
            </w:r>
            <w:r w:rsidRPr="00032CC9">
              <w:rPr>
                <w:rFonts w:ascii="Arial" w:hAnsi="Arial" w:cs="Arial"/>
                <w:color w:val="000000" w:themeColor="text1"/>
                <w:lang w:val="en-IN"/>
              </w:rPr>
              <w:t xml:space="preserve">. </w:t>
            </w:r>
          </w:p>
          <w:p w14:paraId="7177F129" w14:textId="77777777" w:rsidR="00032CC9" w:rsidRPr="00FE591A" w:rsidRDefault="00032CC9" w:rsidP="00032CC9">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032CC9">
              <w:rPr>
                <w:rFonts w:ascii="Arial" w:hAnsi="Arial" w:cs="Arial"/>
                <w:b/>
                <w:bCs/>
                <w:color w:val="000000" w:themeColor="text1"/>
                <w:lang w:val="en-IN"/>
              </w:rPr>
              <w:t>Legal, Environmental, and Ethical Issues:</w:t>
            </w:r>
            <w:r w:rsidRPr="00032CC9">
              <w:rPr>
                <w:rFonts w:ascii="Arial" w:hAnsi="Arial" w:cs="Arial"/>
                <w:color w:val="000000" w:themeColor="text1"/>
                <w:lang w:val="en-IN"/>
              </w:rPr>
              <w:t xml:space="preserve"> Every project must follow laws and ethical standards. If not, the company could face legal trouble or harm its public image. </w:t>
            </w:r>
          </w:p>
          <w:p w14:paraId="3EF68B07" w14:textId="14A3FF28" w:rsidR="00032CC9" w:rsidRPr="00032CC9" w:rsidRDefault="00032CC9" w:rsidP="00032CC9">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032CC9">
              <w:rPr>
                <w:rFonts w:ascii="Arial" w:hAnsi="Arial" w:cs="Arial"/>
                <w:b/>
                <w:bCs/>
                <w:color w:val="000000" w:themeColor="text1"/>
                <w:lang w:val="en-IN"/>
              </w:rPr>
              <w:lastRenderedPageBreak/>
              <w:t>Brand and Customer Trust:</w:t>
            </w:r>
            <w:r w:rsidRPr="00032CC9">
              <w:rPr>
                <w:rFonts w:ascii="Arial" w:hAnsi="Arial" w:cs="Arial"/>
                <w:color w:val="000000" w:themeColor="text1"/>
                <w:lang w:val="en-IN"/>
              </w:rPr>
              <w:t xml:space="preserve"> Even a profitable project can be harmful if it damages the brand or customer trust. These effects can be hard to fix later, so they must be considered early</w:t>
            </w:r>
            <w:r w:rsidR="00FE591A" w:rsidRPr="00FE591A">
              <w:rPr>
                <w:rFonts w:ascii="Arial" w:hAnsi="Arial" w:cs="Arial"/>
                <w:color w:val="000000" w:themeColor="text1"/>
              </w:rPr>
              <w:t xml:space="preserve"> </w:t>
            </w:r>
            <w:r w:rsidR="00FE591A" w:rsidRPr="00FE591A">
              <w:rPr>
                <w:rFonts w:ascii="Arial" w:hAnsi="Arial" w:cs="Arial"/>
                <w:color w:val="000000" w:themeColor="text1"/>
                <w:lang w:val="en-IN"/>
              </w:rPr>
              <w:t>(Tshabalala, 2020)</w:t>
            </w:r>
            <w:r w:rsidRPr="00032CC9">
              <w:rPr>
                <w:rFonts w:ascii="Arial" w:hAnsi="Arial" w:cs="Arial"/>
                <w:color w:val="000000" w:themeColor="text1"/>
                <w:lang w:val="en-IN"/>
              </w:rPr>
              <w:t>.</w:t>
            </w:r>
          </w:p>
        </w:tc>
      </w:tr>
    </w:tbl>
    <w:p w14:paraId="2BE393E0" w14:textId="77777777" w:rsidR="00032CC9" w:rsidRPr="00FE591A" w:rsidRDefault="00032CC9" w:rsidP="00032CC9">
      <w:pPr>
        <w:rPr>
          <w:rStyle w:val="selected"/>
          <w:rFonts w:ascii="Arial" w:hAnsi="Arial" w:cs="Arial"/>
          <w:b/>
          <w:bCs/>
          <w:color w:val="000000" w:themeColor="text1"/>
        </w:rPr>
      </w:pPr>
    </w:p>
    <w:p w14:paraId="210A41D9" w14:textId="1E212893" w:rsidR="00D939DB" w:rsidRPr="00FE591A" w:rsidRDefault="00D939DB" w:rsidP="00FE591A">
      <w:pPr>
        <w:pStyle w:val="ListParagraph"/>
        <w:numPr>
          <w:ilvl w:val="1"/>
          <w:numId w:val="9"/>
        </w:numPr>
        <w:rPr>
          <w:rStyle w:val="selected"/>
          <w:rFonts w:ascii="Arial" w:hAnsi="Arial" w:cs="Arial"/>
          <w:b/>
          <w:bCs/>
          <w:color w:val="000000" w:themeColor="text1"/>
        </w:rPr>
      </w:pPr>
      <w:r w:rsidRPr="00FE591A">
        <w:rPr>
          <w:rStyle w:val="selected"/>
          <w:rFonts w:ascii="Arial" w:hAnsi="Arial" w:cs="Arial"/>
          <w:b/>
          <w:bCs/>
          <w:color w:val="000000" w:themeColor="text1"/>
        </w:rPr>
        <w:t>Optimal</w:t>
      </w:r>
      <w:r w:rsidR="00032CC9" w:rsidRPr="00FE591A">
        <w:rPr>
          <w:rStyle w:val="selected"/>
          <w:rFonts w:ascii="Arial" w:hAnsi="Arial" w:cs="Arial"/>
          <w:b/>
          <w:bCs/>
          <w:color w:val="000000" w:themeColor="text1"/>
        </w:rPr>
        <w:t xml:space="preserve"> Investment Policy Under Capital Constraint</w:t>
      </w:r>
    </w:p>
    <w:p w14:paraId="70F90889" w14:textId="63F41FE5" w:rsidR="00D939DB" w:rsidRPr="00FE591A" w:rsidRDefault="00032CC9" w:rsidP="00D939DB">
      <w:pPr>
        <w:rPr>
          <w:rFonts w:ascii="Arial" w:hAnsi="Arial" w:cs="Arial"/>
          <w:color w:val="000000" w:themeColor="text1"/>
        </w:rPr>
      </w:pPr>
      <w:r w:rsidRPr="00FE591A">
        <w:rPr>
          <w:rFonts w:ascii="Arial" w:hAnsi="Arial" w:cs="Arial"/>
          <w:color w:val="000000" w:themeColor="text1"/>
        </w:rPr>
        <w:t>With a limited capital budget of £2,000,000 and the assumption that projects are divisible, Jordons Plc needs to choose investment options that generate the highest return per £1 invested. In such cases, the Profitability Index (PI) is the most suitable tool for decision-making</w:t>
      </w:r>
      <w:r w:rsidR="00AA5534" w:rsidRPr="00FE591A">
        <w:rPr>
          <w:rFonts w:ascii="Arial" w:hAnsi="Arial" w:cs="Arial"/>
          <w:color w:val="000000" w:themeColor="text1"/>
        </w:rPr>
        <w:t>.</w:t>
      </w:r>
    </w:p>
    <w:p w14:paraId="2780294E" w14:textId="77777777" w:rsidR="00032CC9" w:rsidRPr="00FE591A" w:rsidRDefault="00032CC9" w:rsidP="00032CC9">
      <w:pPr>
        <w:rPr>
          <w:rFonts w:ascii="Arial" w:hAnsi="Arial" w:cs="Arial"/>
          <w:b/>
          <w:bCs/>
          <w:color w:val="000000" w:themeColor="text1"/>
        </w:rPr>
      </w:pPr>
      <w:r w:rsidRPr="00FE591A">
        <w:rPr>
          <w:rFonts w:ascii="Arial" w:hAnsi="Arial" w:cs="Arial"/>
          <w:b/>
          <w:bCs/>
          <w:color w:val="000000" w:themeColor="text1"/>
        </w:rPr>
        <w:t>Profitability Index (PI) Calculation</w:t>
      </w:r>
    </w:p>
    <w:p w14:paraId="6EBE2761" w14:textId="7ABD5565" w:rsidR="00032CC9" w:rsidRPr="00FE591A" w:rsidRDefault="00032CC9" w:rsidP="00032CC9">
      <w:pPr>
        <w:rPr>
          <w:rFonts w:ascii="Arial" w:hAnsi="Arial" w:cs="Arial"/>
          <w:color w:val="000000" w:themeColor="text1"/>
        </w:rPr>
      </w:pPr>
      <w:r w:rsidRPr="00FE591A">
        <w:rPr>
          <w:rFonts w:ascii="Arial" w:hAnsi="Arial" w:cs="Arial"/>
          <w:color w:val="000000" w:themeColor="text1"/>
        </w:rPr>
        <w:t>The Profitability Index is calculated as:</w:t>
      </w:r>
    </w:p>
    <w:p w14:paraId="3499C5F8" w14:textId="50144A22" w:rsidR="00032CC9" w:rsidRPr="00FE591A" w:rsidRDefault="00032CC9" w:rsidP="00032CC9">
      <w:pPr>
        <w:jc w:val="center"/>
        <w:rPr>
          <w:rFonts w:ascii="Arial" w:hAnsi="Arial" w:cs="Arial"/>
          <w:b/>
          <w:bCs/>
          <w:color w:val="000000" w:themeColor="text1"/>
          <w:sz w:val="32"/>
          <w:szCs w:val="28"/>
        </w:rPr>
      </w:pPr>
      <w:r w:rsidRPr="00FE591A">
        <w:rPr>
          <w:rFonts w:ascii="Arial" w:hAnsi="Arial" w:cs="Arial"/>
          <w:b/>
          <w:bCs/>
          <w:noProof/>
          <w:color w:val="000000" w:themeColor="text1"/>
          <w:sz w:val="32"/>
          <w:szCs w:val="28"/>
        </w:rPr>
        <w:drawing>
          <wp:inline distT="0" distB="0" distL="0" distR="0" wp14:anchorId="356CE3EE" wp14:editId="2D70E0B4">
            <wp:extent cx="3505689" cy="666843"/>
            <wp:effectExtent l="0" t="0" r="0" b="0"/>
            <wp:docPr id="2090221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21766" name=""/>
                    <pic:cNvPicPr/>
                  </pic:nvPicPr>
                  <pic:blipFill>
                    <a:blip r:embed="rId12"/>
                    <a:stretch>
                      <a:fillRect/>
                    </a:stretch>
                  </pic:blipFill>
                  <pic:spPr>
                    <a:xfrm>
                      <a:off x="0" y="0"/>
                      <a:ext cx="3505689" cy="666843"/>
                    </a:xfrm>
                    <a:prstGeom prst="rect">
                      <a:avLst/>
                    </a:prstGeom>
                  </pic:spPr>
                </pic:pic>
              </a:graphicData>
            </a:graphic>
          </wp:inline>
        </w:drawing>
      </w:r>
    </w:p>
    <w:tbl>
      <w:tblPr>
        <w:tblStyle w:val="GridTable4-Accent4"/>
        <w:tblW w:w="0" w:type="auto"/>
        <w:tblLook w:val="04A0" w:firstRow="1" w:lastRow="0" w:firstColumn="1" w:lastColumn="0" w:noHBand="0" w:noVBand="1"/>
      </w:tblPr>
      <w:tblGrid>
        <w:gridCol w:w="3517"/>
        <w:gridCol w:w="2028"/>
        <w:gridCol w:w="2787"/>
        <w:gridCol w:w="684"/>
      </w:tblGrid>
      <w:tr w:rsidR="00FE591A" w:rsidRPr="00FE591A" w14:paraId="529AC722" w14:textId="77777777" w:rsidTr="00032C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B245E5" w14:textId="77777777" w:rsidR="00032CC9" w:rsidRPr="00FE591A" w:rsidRDefault="00032CC9" w:rsidP="00032CC9">
            <w:pPr>
              <w:rPr>
                <w:rFonts w:ascii="Arial" w:hAnsi="Arial" w:cs="Arial"/>
                <w:color w:val="000000" w:themeColor="text1"/>
                <w:lang w:val="en-IN" w:eastAsia="en-IN" w:bidi="bn-BD"/>
              </w:rPr>
            </w:pPr>
            <w:r w:rsidRPr="00FE591A">
              <w:rPr>
                <w:rFonts w:ascii="Arial" w:hAnsi="Arial" w:cs="Arial"/>
                <w:color w:val="000000" w:themeColor="text1"/>
                <w:lang w:val="en-IN" w:eastAsia="en-IN" w:bidi="bn-BD"/>
              </w:rPr>
              <w:t>Option</w:t>
            </w:r>
          </w:p>
        </w:tc>
        <w:tc>
          <w:tcPr>
            <w:tcW w:w="0" w:type="auto"/>
            <w:hideMark/>
          </w:tcPr>
          <w:p w14:paraId="0E305DD4" w14:textId="77777777" w:rsidR="00032CC9" w:rsidRPr="00FE591A" w:rsidRDefault="00032CC9" w:rsidP="00032CC9">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Initial Investment (£)</w:t>
            </w:r>
          </w:p>
        </w:tc>
        <w:tc>
          <w:tcPr>
            <w:tcW w:w="0" w:type="auto"/>
            <w:hideMark/>
          </w:tcPr>
          <w:p w14:paraId="708C3666" w14:textId="77777777" w:rsidR="00032CC9" w:rsidRPr="00FE591A" w:rsidRDefault="00032CC9" w:rsidP="00032CC9">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Total Value (NPV + Investment)</w:t>
            </w:r>
          </w:p>
        </w:tc>
        <w:tc>
          <w:tcPr>
            <w:tcW w:w="0" w:type="auto"/>
            <w:hideMark/>
          </w:tcPr>
          <w:p w14:paraId="4E0FE396" w14:textId="77777777" w:rsidR="00032CC9" w:rsidRPr="00FE591A" w:rsidRDefault="00032CC9" w:rsidP="00032CC9">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PI</w:t>
            </w:r>
          </w:p>
        </w:tc>
      </w:tr>
      <w:tr w:rsidR="00FE591A" w:rsidRPr="00FE591A" w14:paraId="7663FBEF" w14:textId="77777777" w:rsidTr="0003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D654CC" w14:textId="77777777" w:rsidR="00032CC9" w:rsidRPr="00FE591A" w:rsidRDefault="00032CC9" w:rsidP="00032CC9">
            <w:pPr>
              <w:rPr>
                <w:rFonts w:ascii="Arial" w:hAnsi="Arial" w:cs="Arial"/>
                <w:color w:val="000000" w:themeColor="text1"/>
                <w:lang w:val="en-IN" w:eastAsia="en-IN" w:bidi="bn-BD"/>
              </w:rPr>
            </w:pPr>
            <w:r w:rsidRPr="00FE591A">
              <w:rPr>
                <w:rFonts w:ascii="Arial" w:hAnsi="Arial" w:cs="Arial"/>
                <w:color w:val="000000" w:themeColor="text1"/>
                <w:lang w:val="en-IN" w:eastAsia="en-IN" w:bidi="bn-BD"/>
              </w:rPr>
              <w:t>Option A (Expand Retail Outlet)</w:t>
            </w:r>
          </w:p>
        </w:tc>
        <w:tc>
          <w:tcPr>
            <w:tcW w:w="0" w:type="auto"/>
            <w:hideMark/>
          </w:tcPr>
          <w:p w14:paraId="377FC9BC" w14:textId="77777777" w:rsidR="00032CC9" w:rsidRPr="00FE591A" w:rsidRDefault="00032CC9" w:rsidP="00032CC9">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£600,000</w:t>
            </w:r>
          </w:p>
        </w:tc>
        <w:tc>
          <w:tcPr>
            <w:tcW w:w="0" w:type="auto"/>
            <w:hideMark/>
          </w:tcPr>
          <w:p w14:paraId="3C6B10E8" w14:textId="77777777" w:rsidR="00032CC9" w:rsidRPr="00FE591A" w:rsidRDefault="00032CC9" w:rsidP="00032CC9">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£994,620</w:t>
            </w:r>
          </w:p>
        </w:tc>
        <w:tc>
          <w:tcPr>
            <w:tcW w:w="0" w:type="auto"/>
            <w:hideMark/>
          </w:tcPr>
          <w:p w14:paraId="7274656D" w14:textId="77777777" w:rsidR="00032CC9" w:rsidRPr="00FE591A" w:rsidRDefault="00032CC9" w:rsidP="00032CC9">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1.66</w:t>
            </w:r>
          </w:p>
        </w:tc>
      </w:tr>
      <w:tr w:rsidR="00FE591A" w:rsidRPr="00FE591A" w14:paraId="16335031" w14:textId="77777777" w:rsidTr="00032CC9">
        <w:tc>
          <w:tcPr>
            <w:cnfStyle w:val="001000000000" w:firstRow="0" w:lastRow="0" w:firstColumn="1" w:lastColumn="0" w:oddVBand="0" w:evenVBand="0" w:oddHBand="0" w:evenHBand="0" w:firstRowFirstColumn="0" w:firstRowLastColumn="0" w:lastRowFirstColumn="0" w:lastRowLastColumn="0"/>
            <w:tcW w:w="0" w:type="auto"/>
            <w:hideMark/>
          </w:tcPr>
          <w:p w14:paraId="74C4EB0B" w14:textId="77777777" w:rsidR="00032CC9" w:rsidRPr="00FE591A" w:rsidRDefault="00032CC9" w:rsidP="00032CC9">
            <w:pPr>
              <w:rPr>
                <w:rFonts w:ascii="Arial" w:hAnsi="Arial" w:cs="Arial"/>
                <w:color w:val="000000" w:themeColor="text1"/>
                <w:lang w:val="en-IN" w:eastAsia="en-IN" w:bidi="bn-BD"/>
              </w:rPr>
            </w:pPr>
            <w:r w:rsidRPr="00FE591A">
              <w:rPr>
                <w:rFonts w:ascii="Arial" w:hAnsi="Arial" w:cs="Arial"/>
                <w:color w:val="000000" w:themeColor="text1"/>
                <w:lang w:val="en-IN" w:eastAsia="en-IN" w:bidi="bn-BD"/>
              </w:rPr>
              <w:t>Option B (Develop Internet Sales)</w:t>
            </w:r>
          </w:p>
        </w:tc>
        <w:tc>
          <w:tcPr>
            <w:tcW w:w="0" w:type="auto"/>
            <w:hideMark/>
          </w:tcPr>
          <w:p w14:paraId="417A0280" w14:textId="77777777" w:rsidR="00032CC9" w:rsidRPr="00FE591A" w:rsidRDefault="00032CC9" w:rsidP="00032CC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£1,000,000</w:t>
            </w:r>
          </w:p>
        </w:tc>
        <w:tc>
          <w:tcPr>
            <w:tcW w:w="0" w:type="auto"/>
            <w:hideMark/>
          </w:tcPr>
          <w:p w14:paraId="00BECBEF" w14:textId="77777777" w:rsidR="00032CC9" w:rsidRPr="00FE591A" w:rsidRDefault="00032CC9" w:rsidP="00032CC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£1,748,151.19</w:t>
            </w:r>
          </w:p>
        </w:tc>
        <w:tc>
          <w:tcPr>
            <w:tcW w:w="0" w:type="auto"/>
            <w:hideMark/>
          </w:tcPr>
          <w:p w14:paraId="32A244BA" w14:textId="77777777" w:rsidR="00032CC9" w:rsidRPr="00FE591A" w:rsidRDefault="00032CC9" w:rsidP="00032CC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1.75</w:t>
            </w:r>
          </w:p>
        </w:tc>
      </w:tr>
      <w:tr w:rsidR="00FE591A" w:rsidRPr="00FE591A" w14:paraId="1A79C5CA" w14:textId="77777777" w:rsidTr="0003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9824C1" w14:textId="77777777" w:rsidR="00032CC9" w:rsidRPr="00FE591A" w:rsidRDefault="00032CC9" w:rsidP="00032CC9">
            <w:pPr>
              <w:rPr>
                <w:rFonts w:ascii="Arial" w:hAnsi="Arial" w:cs="Arial"/>
                <w:color w:val="000000" w:themeColor="text1"/>
                <w:lang w:val="en-IN" w:eastAsia="en-IN" w:bidi="bn-BD"/>
              </w:rPr>
            </w:pPr>
            <w:r w:rsidRPr="00FE591A">
              <w:rPr>
                <w:rFonts w:ascii="Arial" w:hAnsi="Arial" w:cs="Arial"/>
                <w:color w:val="000000" w:themeColor="text1"/>
                <w:lang w:val="en-IN" w:eastAsia="en-IN" w:bidi="bn-BD"/>
              </w:rPr>
              <w:t>Option C (Produce Curtains and Roman Blinds)</w:t>
            </w:r>
          </w:p>
        </w:tc>
        <w:tc>
          <w:tcPr>
            <w:tcW w:w="0" w:type="auto"/>
            <w:hideMark/>
          </w:tcPr>
          <w:p w14:paraId="6CC6E41A" w14:textId="77777777" w:rsidR="00032CC9" w:rsidRPr="00FE591A" w:rsidRDefault="00032CC9" w:rsidP="00032CC9">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£1,600,000</w:t>
            </w:r>
          </w:p>
        </w:tc>
        <w:tc>
          <w:tcPr>
            <w:tcW w:w="0" w:type="auto"/>
            <w:hideMark/>
          </w:tcPr>
          <w:p w14:paraId="2529B5D4" w14:textId="77777777" w:rsidR="00032CC9" w:rsidRPr="00FE591A" w:rsidRDefault="00032CC9" w:rsidP="00032CC9">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£2,216,210.01</w:t>
            </w:r>
          </w:p>
        </w:tc>
        <w:tc>
          <w:tcPr>
            <w:tcW w:w="0" w:type="auto"/>
            <w:hideMark/>
          </w:tcPr>
          <w:p w14:paraId="4C314D92" w14:textId="77777777" w:rsidR="00032CC9" w:rsidRPr="00FE591A" w:rsidRDefault="00032CC9" w:rsidP="00032CC9">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eastAsia="en-IN" w:bidi="bn-BD"/>
              </w:rPr>
            </w:pPr>
            <w:r w:rsidRPr="00FE591A">
              <w:rPr>
                <w:rFonts w:ascii="Arial" w:hAnsi="Arial" w:cs="Arial"/>
                <w:color w:val="000000" w:themeColor="text1"/>
                <w:lang w:val="en-IN" w:eastAsia="en-IN" w:bidi="bn-BD"/>
              </w:rPr>
              <w:t>1.36</w:t>
            </w:r>
          </w:p>
        </w:tc>
      </w:tr>
    </w:tbl>
    <w:p w14:paraId="684D83AE" w14:textId="77777777" w:rsidR="00032CC9" w:rsidRPr="00FE591A" w:rsidRDefault="00032CC9" w:rsidP="00032CC9">
      <w:pPr>
        <w:rPr>
          <w:rFonts w:ascii="Arial" w:hAnsi="Arial" w:cs="Arial"/>
          <w:color w:val="000000" w:themeColor="text1"/>
        </w:rPr>
      </w:pPr>
    </w:p>
    <w:p w14:paraId="4C955E1B" w14:textId="7CD3E6E3" w:rsidR="00032CC9" w:rsidRPr="00FE591A" w:rsidRDefault="00032CC9" w:rsidP="00032CC9">
      <w:pPr>
        <w:rPr>
          <w:rFonts w:ascii="Arial" w:hAnsi="Arial" w:cs="Arial"/>
          <w:color w:val="000000" w:themeColor="text1"/>
        </w:rPr>
      </w:pPr>
      <w:r w:rsidRPr="00FE591A">
        <w:rPr>
          <w:rFonts w:ascii="Arial" w:hAnsi="Arial" w:cs="Arial"/>
          <w:color w:val="000000" w:themeColor="text1"/>
        </w:rPr>
        <w:t>Projects are ranked in descending order of PI:</w:t>
      </w:r>
    </w:p>
    <w:p w14:paraId="1D2FA72B" w14:textId="1948117F" w:rsidR="00032CC9" w:rsidRPr="00FE591A" w:rsidRDefault="00032CC9" w:rsidP="00032CC9">
      <w:pPr>
        <w:rPr>
          <w:rFonts w:ascii="Arial" w:hAnsi="Arial" w:cs="Arial"/>
          <w:b/>
          <w:bCs/>
          <w:color w:val="000000" w:themeColor="text1"/>
        </w:rPr>
      </w:pPr>
      <w:r w:rsidRPr="00FE591A">
        <w:rPr>
          <w:rFonts w:ascii="Arial" w:hAnsi="Arial" w:cs="Arial"/>
          <w:b/>
          <w:bCs/>
          <w:color w:val="000000" w:themeColor="text1"/>
        </w:rPr>
        <w:t>Option B &gt; Option A &gt; Option C</w:t>
      </w:r>
    </w:p>
    <w:p w14:paraId="3C17D28C" w14:textId="261DC22E" w:rsidR="00032CC9" w:rsidRPr="00FE591A" w:rsidRDefault="009848FC" w:rsidP="00032CC9">
      <w:pPr>
        <w:rPr>
          <w:rFonts w:ascii="Arial" w:hAnsi="Arial" w:cs="Arial"/>
          <w:b/>
          <w:bCs/>
          <w:color w:val="000000" w:themeColor="text1"/>
        </w:rPr>
      </w:pPr>
      <w:r w:rsidRPr="00FE591A">
        <w:rPr>
          <w:rFonts w:ascii="Arial" w:hAnsi="Arial" w:cs="Arial"/>
          <w:b/>
          <w:bCs/>
          <w:color w:val="000000" w:themeColor="text1"/>
        </w:rPr>
        <w:t>Step-by-Step Allocation of Capital (Total Optimal Investment Policy)</w:t>
      </w:r>
    </w:p>
    <w:p w14:paraId="7950C0E9" w14:textId="77777777" w:rsidR="009848FC" w:rsidRPr="009848FC" w:rsidRDefault="009848FC" w:rsidP="009848FC">
      <w:pPr>
        <w:rPr>
          <w:rFonts w:ascii="Arial" w:hAnsi="Arial" w:cs="Arial"/>
          <w:b/>
          <w:bCs/>
          <w:color w:val="000000" w:themeColor="text1"/>
          <w:lang w:val="en-IN"/>
        </w:rPr>
      </w:pPr>
      <w:r w:rsidRPr="009848FC">
        <w:rPr>
          <w:rFonts w:ascii="Arial" w:hAnsi="Arial" w:cs="Arial"/>
          <w:b/>
          <w:bCs/>
          <w:color w:val="000000" w:themeColor="text1"/>
          <w:lang w:val="en-IN"/>
        </w:rPr>
        <w:t>1. Invest in Option B (PI = 1.75)</w:t>
      </w:r>
    </w:p>
    <w:p w14:paraId="2A059FC2" w14:textId="77777777" w:rsidR="009848FC" w:rsidRPr="009848FC" w:rsidRDefault="009848FC" w:rsidP="009848FC">
      <w:pPr>
        <w:numPr>
          <w:ilvl w:val="0"/>
          <w:numId w:val="18"/>
        </w:numPr>
        <w:rPr>
          <w:rFonts w:ascii="Arial" w:hAnsi="Arial" w:cs="Arial"/>
          <w:color w:val="000000" w:themeColor="text1"/>
          <w:lang w:val="en-IN"/>
        </w:rPr>
      </w:pPr>
      <w:r w:rsidRPr="009848FC">
        <w:rPr>
          <w:rFonts w:ascii="Arial" w:hAnsi="Arial" w:cs="Arial"/>
          <w:color w:val="000000" w:themeColor="text1"/>
          <w:lang w:val="en-IN"/>
        </w:rPr>
        <w:t>Investment: £1,000,000</w:t>
      </w:r>
    </w:p>
    <w:p w14:paraId="34CEABB8" w14:textId="77777777" w:rsidR="009848FC" w:rsidRPr="009848FC" w:rsidRDefault="009848FC" w:rsidP="009848FC">
      <w:pPr>
        <w:numPr>
          <w:ilvl w:val="0"/>
          <w:numId w:val="18"/>
        </w:numPr>
        <w:rPr>
          <w:rFonts w:ascii="Arial" w:hAnsi="Arial" w:cs="Arial"/>
          <w:color w:val="000000" w:themeColor="text1"/>
          <w:lang w:val="en-IN"/>
        </w:rPr>
      </w:pPr>
      <w:r w:rsidRPr="009848FC">
        <w:rPr>
          <w:rFonts w:ascii="Arial" w:hAnsi="Arial" w:cs="Arial"/>
          <w:color w:val="000000" w:themeColor="text1"/>
          <w:lang w:val="en-IN"/>
        </w:rPr>
        <w:lastRenderedPageBreak/>
        <w:t>Remaining Capital: £2,000,000 − £1,000,000 = £1,000,000</w:t>
      </w:r>
    </w:p>
    <w:p w14:paraId="779E8E4D" w14:textId="77777777" w:rsidR="009848FC" w:rsidRPr="009848FC" w:rsidRDefault="009848FC" w:rsidP="009848FC">
      <w:pPr>
        <w:numPr>
          <w:ilvl w:val="0"/>
          <w:numId w:val="18"/>
        </w:numPr>
        <w:rPr>
          <w:rFonts w:ascii="Arial" w:hAnsi="Arial" w:cs="Arial"/>
          <w:color w:val="000000" w:themeColor="text1"/>
          <w:lang w:val="en-IN"/>
        </w:rPr>
      </w:pPr>
      <w:r w:rsidRPr="009848FC">
        <w:rPr>
          <w:rFonts w:ascii="Arial" w:hAnsi="Arial" w:cs="Arial"/>
          <w:color w:val="000000" w:themeColor="text1"/>
          <w:lang w:val="en-IN"/>
        </w:rPr>
        <w:t>NPV Gained: £747,250</w:t>
      </w:r>
    </w:p>
    <w:p w14:paraId="18C625B9" w14:textId="77777777" w:rsidR="009848FC" w:rsidRPr="009848FC" w:rsidRDefault="009848FC" w:rsidP="009848FC">
      <w:pPr>
        <w:rPr>
          <w:rFonts w:ascii="Arial" w:hAnsi="Arial" w:cs="Arial"/>
          <w:b/>
          <w:bCs/>
          <w:color w:val="000000" w:themeColor="text1"/>
          <w:lang w:val="en-IN"/>
        </w:rPr>
      </w:pPr>
      <w:r w:rsidRPr="009848FC">
        <w:rPr>
          <w:rFonts w:ascii="Arial" w:hAnsi="Arial" w:cs="Arial"/>
          <w:b/>
          <w:bCs/>
          <w:color w:val="000000" w:themeColor="text1"/>
          <w:lang w:val="en-IN"/>
        </w:rPr>
        <w:t>2. Invest in Option A (PI = 1.66)</w:t>
      </w:r>
    </w:p>
    <w:p w14:paraId="04A1E687" w14:textId="77777777" w:rsidR="009848FC" w:rsidRPr="009848FC" w:rsidRDefault="009848FC" w:rsidP="009848FC">
      <w:pPr>
        <w:numPr>
          <w:ilvl w:val="0"/>
          <w:numId w:val="19"/>
        </w:numPr>
        <w:rPr>
          <w:rFonts w:ascii="Arial" w:hAnsi="Arial" w:cs="Arial"/>
          <w:color w:val="000000" w:themeColor="text1"/>
          <w:lang w:val="en-IN"/>
        </w:rPr>
      </w:pPr>
      <w:r w:rsidRPr="009848FC">
        <w:rPr>
          <w:rFonts w:ascii="Arial" w:hAnsi="Arial" w:cs="Arial"/>
          <w:color w:val="000000" w:themeColor="text1"/>
          <w:lang w:val="en-IN"/>
        </w:rPr>
        <w:t>Investment: £600,000</w:t>
      </w:r>
    </w:p>
    <w:p w14:paraId="521584FC" w14:textId="77777777" w:rsidR="009848FC" w:rsidRPr="009848FC" w:rsidRDefault="009848FC" w:rsidP="009848FC">
      <w:pPr>
        <w:numPr>
          <w:ilvl w:val="0"/>
          <w:numId w:val="19"/>
        </w:numPr>
        <w:rPr>
          <w:rFonts w:ascii="Arial" w:hAnsi="Arial" w:cs="Arial"/>
          <w:color w:val="000000" w:themeColor="text1"/>
          <w:lang w:val="en-IN"/>
        </w:rPr>
      </w:pPr>
      <w:r w:rsidRPr="009848FC">
        <w:rPr>
          <w:rFonts w:ascii="Arial" w:hAnsi="Arial" w:cs="Arial"/>
          <w:color w:val="000000" w:themeColor="text1"/>
          <w:lang w:val="en-IN"/>
        </w:rPr>
        <w:t>Remaining Capital: £1,000,000 − £600,000 = £400,000</w:t>
      </w:r>
    </w:p>
    <w:p w14:paraId="1E9B9D60" w14:textId="77777777" w:rsidR="009848FC" w:rsidRPr="009848FC" w:rsidRDefault="009848FC" w:rsidP="009848FC">
      <w:pPr>
        <w:numPr>
          <w:ilvl w:val="0"/>
          <w:numId w:val="19"/>
        </w:numPr>
        <w:rPr>
          <w:rFonts w:ascii="Arial" w:hAnsi="Arial" w:cs="Arial"/>
          <w:color w:val="000000" w:themeColor="text1"/>
          <w:lang w:val="en-IN"/>
        </w:rPr>
      </w:pPr>
      <w:r w:rsidRPr="009848FC">
        <w:rPr>
          <w:rFonts w:ascii="Arial" w:hAnsi="Arial" w:cs="Arial"/>
          <w:color w:val="000000" w:themeColor="text1"/>
          <w:lang w:val="en-IN"/>
        </w:rPr>
        <w:t>NPV Gained: £394,620</w:t>
      </w:r>
    </w:p>
    <w:p w14:paraId="52F13FF2" w14:textId="77777777" w:rsidR="009848FC" w:rsidRPr="009848FC" w:rsidRDefault="009848FC" w:rsidP="009848FC">
      <w:pPr>
        <w:rPr>
          <w:rFonts w:ascii="Arial" w:hAnsi="Arial" w:cs="Arial"/>
          <w:b/>
          <w:bCs/>
          <w:color w:val="000000" w:themeColor="text1"/>
          <w:lang w:val="en-IN"/>
        </w:rPr>
      </w:pPr>
      <w:r w:rsidRPr="009848FC">
        <w:rPr>
          <w:rFonts w:ascii="Arial" w:hAnsi="Arial" w:cs="Arial"/>
          <w:b/>
          <w:bCs/>
          <w:color w:val="000000" w:themeColor="text1"/>
          <w:lang w:val="en-IN"/>
        </w:rPr>
        <w:t>3. Invest 25% of Option C (PI = 1.36)</w:t>
      </w:r>
    </w:p>
    <w:p w14:paraId="0C2EF91D" w14:textId="77777777" w:rsidR="009848FC" w:rsidRPr="009848FC" w:rsidRDefault="009848FC" w:rsidP="009848FC">
      <w:pPr>
        <w:numPr>
          <w:ilvl w:val="0"/>
          <w:numId w:val="20"/>
        </w:numPr>
        <w:rPr>
          <w:rFonts w:ascii="Arial" w:hAnsi="Arial" w:cs="Arial"/>
          <w:color w:val="000000" w:themeColor="text1"/>
          <w:lang w:val="en-IN"/>
        </w:rPr>
      </w:pPr>
      <w:r w:rsidRPr="009848FC">
        <w:rPr>
          <w:rFonts w:ascii="Arial" w:hAnsi="Arial" w:cs="Arial"/>
          <w:color w:val="000000" w:themeColor="text1"/>
          <w:lang w:val="en-IN"/>
        </w:rPr>
        <w:t>Total Cost of Option C: £1,600,000</w:t>
      </w:r>
    </w:p>
    <w:p w14:paraId="01178AFB" w14:textId="77777777" w:rsidR="009848FC" w:rsidRPr="009848FC" w:rsidRDefault="009848FC" w:rsidP="009848FC">
      <w:pPr>
        <w:numPr>
          <w:ilvl w:val="0"/>
          <w:numId w:val="20"/>
        </w:numPr>
        <w:rPr>
          <w:rFonts w:ascii="Arial" w:hAnsi="Arial" w:cs="Arial"/>
          <w:color w:val="000000" w:themeColor="text1"/>
          <w:lang w:val="en-IN"/>
        </w:rPr>
      </w:pPr>
      <w:r w:rsidRPr="009848FC">
        <w:rPr>
          <w:rFonts w:ascii="Arial" w:hAnsi="Arial" w:cs="Arial"/>
          <w:color w:val="000000" w:themeColor="text1"/>
          <w:lang w:val="en-IN"/>
        </w:rPr>
        <w:t>Remaining Capital: £400,000</w:t>
      </w:r>
    </w:p>
    <w:p w14:paraId="7F3B708F" w14:textId="77777777" w:rsidR="009848FC" w:rsidRPr="009848FC" w:rsidRDefault="009848FC" w:rsidP="009848FC">
      <w:pPr>
        <w:numPr>
          <w:ilvl w:val="0"/>
          <w:numId w:val="20"/>
        </w:numPr>
        <w:rPr>
          <w:rFonts w:ascii="Arial" w:hAnsi="Arial" w:cs="Arial"/>
          <w:color w:val="000000" w:themeColor="text1"/>
          <w:lang w:val="en-IN"/>
        </w:rPr>
      </w:pPr>
      <w:r w:rsidRPr="009848FC">
        <w:rPr>
          <w:rFonts w:ascii="Arial" w:hAnsi="Arial" w:cs="Arial"/>
          <w:color w:val="000000" w:themeColor="text1"/>
          <w:lang w:val="en-IN"/>
        </w:rPr>
        <w:t>Fraction of Project Funded: £400,000 ÷ £1,600,000 = 25%</w:t>
      </w:r>
    </w:p>
    <w:p w14:paraId="265A12B1" w14:textId="77777777" w:rsidR="009848FC" w:rsidRPr="009848FC" w:rsidRDefault="009848FC" w:rsidP="009848FC">
      <w:pPr>
        <w:numPr>
          <w:ilvl w:val="0"/>
          <w:numId w:val="20"/>
        </w:numPr>
        <w:rPr>
          <w:rFonts w:ascii="Arial" w:hAnsi="Arial" w:cs="Arial"/>
          <w:color w:val="000000" w:themeColor="text1"/>
          <w:lang w:val="en-IN"/>
        </w:rPr>
      </w:pPr>
      <w:r w:rsidRPr="009848FC">
        <w:rPr>
          <w:rFonts w:ascii="Arial" w:hAnsi="Arial" w:cs="Arial"/>
          <w:color w:val="000000" w:themeColor="text1"/>
          <w:lang w:val="en-IN"/>
        </w:rPr>
        <w:t>NPV Gained: 25% × £615,870 = £153,967.50</w:t>
      </w:r>
    </w:p>
    <w:tbl>
      <w:tblPr>
        <w:tblStyle w:val="TableGrid"/>
        <w:tblW w:w="0" w:type="auto"/>
        <w:tblLook w:val="04A0" w:firstRow="1" w:lastRow="0" w:firstColumn="1" w:lastColumn="0" w:noHBand="0" w:noVBand="1"/>
      </w:tblPr>
      <w:tblGrid>
        <w:gridCol w:w="9016"/>
      </w:tblGrid>
      <w:tr w:rsidR="00FE591A" w:rsidRPr="00FE591A" w14:paraId="1FF604E0" w14:textId="77777777">
        <w:tc>
          <w:tcPr>
            <w:tcW w:w="9016" w:type="dxa"/>
          </w:tcPr>
          <w:p w14:paraId="736FB815" w14:textId="77777777" w:rsidR="009848FC" w:rsidRPr="00FE591A" w:rsidRDefault="009848FC" w:rsidP="007D151B">
            <w:pPr>
              <w:jc w:val="center"/>
              <w:rPr>
                <w:rFonts w:ascii="Arial" w:hAnsi="Arial" w:cs="Arial"/>
                <w:color w:val="000000" w:themeColor="text1"/>
                <w:lang w:val="en-IN"/>
              </w:rPr>
            </w:pPr>
            <w:r w:rsidRPr="00FE591A">
              <w:rPr>
                <w:rFonts w:ascii="Arial" w:hAnsi="Arial" w:cs="Arial"/>
                <w:color w:val="000000" w:themeColor="text1"/>
                <w:lang w:val="en-IN"/>
              </w:rPr>
              <w:t xml:space="preserve">Total NPV = NPV (Option B) + NPV (Option A) + NPV (25% of Option C) </w:t>
            </w:r>
          </w:p>
        </w:tc>
      </w:tr>
      <w:tr w:rsidR="00FE591A" w:rsidRPr="00FE591A" w14:paraId="1327DBB5" w14:textId="77777777">
        <w:tc>
          <w:tcPr>
            <w:tcW w:w="9016" w:type="dxa"/>
          </w:tcPr>
          <w:p w14:paraId="3C25D9F8" w14:textId="77777777" w:rsidR="009848FC" w:rsidRPr="00FE591A" w:rsidRDefault="009848FC" w:rsidP="007D151B">
            <w:pPr>
              <w:jc w:val="center"/>
              <w:rPr>
                <w:rFonts w:ascii="Arial" w:hAnsi="Arial" w:cs="Arial"/>
                <w:color w:val="000000" w:themeColor="text1"/>
                <w:lang w:val="en-IN"/>
              </w:rPr>
            </w:pPr>
            <w:r w:rsidRPr="00FE591A">
              <w:rPr>
                <w:rFonts w:ascii="Arial" w:hAnsi="Arial" w:cs="Arial"/>
                <w:color w:val="000000" w:themeColor="text1"/>
                <w:lang w:val="en-IN"/>
              </w:rPr>
              <w:t>Total NPV = £747,250+£394,620+£153,967.50</w:t>
            </w:r>
          </w:p>
        </w:tc>
      </w:tr>
      <w:tr w:rsidR="00FE591A" w:rsidRPr="00FE591A" w14:paraId="40C4A17B" w14:textId="77777777">
        <w:tc>
          <w:tcPr>
            <w:tcW w:w="9016" w:type="dxa"/>
          </w:tcPr>
          <w:p w14:paraId="7B2475B5" w14:textId="77777777" w:rsidR="009848FC" w:rsidRPr="00FE591A" w:rsidRDefault="009848FC" w:rsidP="007D151B">
            <w:pPr>
              <w:jc w:val="center"/>
              <w:rPr>
                <w:rFonts w:ascii="Arial" w:hAnsi="Arial" w:cs="Arial"/>
                <w:color w:val="000000" w:themeColor="text1"/>
                <w:lang w:val="en-IN"/>
              </w:rPr>
            </w:pPr>
            <w:r w:rsidRPr="00FE591A">
              <w:rPr>
                <w:rFonts w:ascii="Arial" w:hAnsi="Arial" w:cs="Arial"/>
                <w:b/>
                <w:bCs/>
                <w:color w:val="000000" w:themeColor="text1"/>
                <w:lang w:val="en-IN"/>
              </w:rPr>
              <w:t>Total NPV = £1,295,837.50</w:t>
            </w:r>
          </w:p>
        </w:tc>
      </w:tr>
    </w:tbl>
    <w:p w14:paraId="12481C40" w14:textId="450AD461" w:rsidR="005C5EB8" w:rsidRPr="00FE591A" w:rsidRDefault="009848FC" w:rsidP="009848FC">
      <w:pPr>
        <w:rPr>
          <w:rFonts w:ascii="Arial" w:eastAsiaTheme="majorEastAsia" w:hAnsi="Arial" w:cs="Arial"/>
          <w:color w:val="000000" w:themeColor="text1"/>
          <w:sz w:val="26"/>
          <w:szCs w:val="32"/>
        </w:rPr>
      </w:pPr>
      <w:r w:rsidRPr="00FE591A">
        <w:rPr>
          <w:rFonts w:ascii="Arial" w:hAnsi="Arial" w:cs="Arial"/>
          <w:color w:val="000000" w:themeColor="text1"/>
        </w:rPr>
        <w:t>With a limited capital of £2,000,000 and divisible projects, the best strategy is to invest in Option B, then Option A, and use the remaining funds to invest in 25% of Option C. This yields the maximum total NPV of £1,295,837.50. By following the Profitability Index ranking and investing in projects accordingly, Jordons Plc ensures that every pound of its £2,000,000 capital is used most effectively. This investment strategy maximizes the company's return, leading to the highest possible total NPV within budget constraints.</w:t>
      </w:r>
      <w:r w:rsidR="005C5EB8" w:rsidRPr="00FE591A">
        <w:rPr>
          <w:rFonts w:ascii="Arial" w:hAnsi="Arial" w:cs="Arial"/>
          <w:color w:val="000000" w:themeColor="text1"/>
        </w:rPr>
        <w:br w:type="page"/>
      </w:r>
    </w:p>
    <w:p w14:paraId="1E6403D3" w14:textId="77777777" w:rsidR="009848FC" w:rsidRPr="00FE591A" w:rsidRDefault="009848FC" w:rsidP="009848FC">
      <w:pPr>
        <w:pStyle w:val="Heading2"/>
        <w:rPr>
          <w:rFonts w:cs="Arial"/>
          <w:color w:val="000000" w:themeColor="text1"/>
        </w:rPr>
      </w:pPr>
      <w:bookmarkStart w:id="10" w:name="_Toc203898046"/>
      <w:r w:rsidRPr="00FE591A">
        <w:rPr>
          <w:rFonts w:cs="Arial"/>
          <w:color w:val="000000" w:themeColor="text1"/>
        </w:rPr>
        <w:lastRenderedPageBreak/>
        <w:t>Financing Advice for the Board of Jordons Plc</w:t>
      </w:r>
      <w:bookmarkEnd w:id="10"/>
    </w:p>
    <w:p w14:paraId="4466927C" w14:textId="77777777" w:rsidR="009848FC" w:rsidRPr="00FE591A" w:rsidRDefault="009848FC" w:rsidP="009848FC">
      <w:pPr>
        <w:pStyle w:val="NormalWeb"/>
        <w:spacing w:line="360" w:lineRule="auto"/>
        <w:jc w:val="both"/>
        <w:rPr>
          <w:rFonts w:ascii="Arial" w:hAnsi="Arial" w:cs="Arial"/>
          <w:color w:val="000000" w:themeColor="text1"/>
        </w:rPr>
      </w:pPr>
      <w:r w:rsidRPr="00FE591A">
        <w:rPr>
          <w:rFonts w:ascii="Arial" w:hAnsi="Arial" w:cs="Arial"/>
          <w:color w:val="000000" w:themeColor="text1"/>
        </w:rPr>
        <w:t>After evaluating the investment options based on Net Present Value (NPV), Internal Rate of Return (IRR), and Profitability Index (PI), it is clear that the proposed investment programme can deliver strong financial returns, especially when capital is allocated optimally. However, to proceed with this investment strategy, the company must carefully consider how to finance the required capital of up to £2,000,000. Below are the main sources of finance available, along with their key advantages and disadvantages:</w:t>
      </w:r>
    </w:p>
    <w:p w14:paraId="433B6C28" w14:textId="04112188" w:rsidR="009848FC" w:rsidRPr="00FE591A" w:rsidRDefault="009848FC" w:rsidP="009848FC">
      <w:pPr>
        <w:pStyle w:val="ListParagraph"/>
        <w:numPr>
          <w:ilvl w:val="1"/>
          <w:numId w:val="19"/>
        </w:numPr>
        <w:rPr>
          <w:rFonts w:ascii="Arial" w:hAnsi="Arial" w:cs="Arial"/>
          <w:color w:val="000000" w:themeColor="text1"/>
          <w:sz w:val="27"/>
          <w:lang w:val="en-IN"/>
        </w:rPr>
      </w:pPr>
      <w:r w:rsidRPr="00FE591A">
        <w:rPr>
          <w:rStyle w:val="Strong"/>
          <w:rFonts w:ascii="Arial" w:hAnsi="Arial" w:cs="Arial"/>
          <w:color w:val="000000" w:themeColor="text1"/>
        </w:rPr>
        <w:t>Retained Earnings</w:t>
      </w:r>
    </w:p>
    <w:p w14:paraId="4E7EAFC3" w14:textId="01E8151E" w:rsidR="00182019" w:rsidRPr="00182019" w:rsidRDefault="00182019" w:rsidP="00182019">
      <w:pPr>
        <w:rPr>
          <w:rFonts w:ascii="Arial" w:eastAsiaTheme="majorEastAsia" w:hAnsi="Arial" w:cs="Arial"/>
          <w:color w:val="000000" w:themeColor="text1"/>
          <w:szCs w:val="24"/>
          <w:lang w:val="en-IN" w:eastAsia="en-IN" w:bidi="bn-BD"/>
        </w:rPr>
      </w:pPr>
      <w:r w:rsidRPr="00182019">
        <w:rPr>
          <w:rFonts w:ascii="Arial" w:eastAsiaTheme="majorEastAsia" w:hAnsi="Arial" w:cs="Arial"/>
          <w:color w:val="000000" w:themeColor="text1"/>
          <w:szCs w:val="24"/>
          <w:lang w:val="en-IN" w:eastAsia="en-IN" w:bidi="bn-BD"/>
        </w:rPr>
        <w:t>These are profits that Jordons Plc has saved from previous years instead of distributing them as dividends</w:t>
      </w:r>
      <w:r w:rsidR="00FE591A" w:rsidRPr="00FE591A">
        <w:rPr>
          <w:rFonts w:ascii="Arial" w:hAnsi="Arial" w:cs="Arial"/>
          <w:color w:val="000000" w:themeColor="text1"/>
        </w:rPr>
        <w:t xml:space="preserve"> </w:t>
      </w:r>
      <w:r w:rsidR="00FE591A" w:rsidRPr="00FE591A">
        <w:rPr>
          <w:rFonts w:ascii="Arial" w:eastAsiaTheme="majorEastAsia" w:hAnsi="Arial" w:cs="Arial"/>
          <w:color w:val="000000" w:themeColor="text1"/>
          <w:szCs w:val="24"/>
          <w:lang w:val="en-IN" w:eastAsia="en-IN" w:bidi="bn-BD"/>
        </w:rPr>
        <w:t>(Parker, 2024)</w:t>
      </w:r>
      <w:r w:rsidRPr="00182019">
        <w:rPr>
          <w:rFonts w:ascii="Arial" w:eastAsiaTheme="majorEastAsia" w:hAnsi="Arial" w:cs="Arial"/>
          <w:color w:val="000000" w:themeColor="text1"/>
          <w:szCs w:val="24"/>
          <w:lang w:val="en-IN" w:eastAsia="en-IN" w:bidi="bn-BD"/>
        </w:rPr>
        <w:t>.</w:t>
      </w:r>
    </w:p>
    <w:p w14:paraId="6D29A201" w14:textId="77777777" w:rsidR="00182019" w:rsidRPr="00182019" w:rsidRDefault="00182019" w:rsidP="00182019">
      <w:pPr>
        <w:rPr>
          <w:rFonts w:ascii="Arial" w:eastAsiaTheme="majorEastAsia" w:hAnsi="Arial" w:cs="Arial"/>
          <w:color w:val="000000" w:themeColor="text1"/>
          <w:szCs w:val="24"/>
          <w:lang w:val="en-IN" w:eastAsia="en-IN" w:bidi="bn-BD"/>
        </w:rPr>
      </w:pPr>
      <w:r w:rsidRPr="00182019">
        <w:rPr>
          <w:rFonts w:ascii="Arial" w:eastAsiaTheme="majorEastAsia" w:hAnsi="Arial" w:cs="Arial"/>
          <w:b/>
          <w:bCs/>
          <w:color w:val="000000" w:themeColor="text1"/>
          <w:szCs w:val="24"/>
          <w:lang w:val="en-IN" w:eastAsia="en-IN" w:bidi="bn-BD"/>
        </w:rPr>
        <w:t>Advantages:</w:t>
      </w:r>
    </w:p>
    <w:p w14:paraId="7138FC38" w14:textId="77777777" w:rsidR="00182019" w:rsidRPr="00182019" w:rsidRDefault="00182019" w:rsidP="00182019">
      <w:pPr>
        <w:numPr>
          <w:ilvl w:val="0"/>
          <w:numId w:val="35"/>
        </w:numPr>
        <w:rPr>
          <w:rFonts w:ascii="Arial" w:eastAsiaTheme="majorEastAsia" w:hAnsi="Arial" w:cs="Arial"/>
          <w:color w:val="000000" w:themeColor="text1"/>
          <w:szCs w:val="24"/>
          <w:lang w:val="en-IN" w:eastAsia="en-IN" w:bidi="bn-BD"/>
        </w:rPr>
      </w:pPr>
      <w:r w:rsidRPr="00182019">
        <w:rPr>
          <w:rFonts w:ascii="Arial" w:eastAsiaTheme="majorEastAsia" w:hAnsi="Arial" w:cs="Arial"/>
          <w:color w:val="000000" w:themeColor="text1"/>
          <w:szCs w:val="24"/>
          <w:lang w:val="en-IN" w:eastAsia="en-IN" w:bidi="bn-BD"/>
        </w:rPr>
        <w:t>No repayment or interest, making it a low-cost funding option.</w:t>
      </w:r>
    </w:p>
    <w:p w14:paraId="3230D3ED" w14:textId="77777777" w:rsidR="00182019" w:rsidRPr="00182019" w:rsidRDefault="00182019" w:rsidP="00182019">
      <w:pPr>
        <w:numPr>
          <w:ilvl w:val="0"/>
          <w:numId w:val="35"/>
        </w:numPr>
        <w:rPr>
          <w:rFonts w:ascii="Arial" w:eastAsiaTheme="majorEastAsia" w:hAnsi="Arial" w:cs="Arial"/>
          <w:color w:val="000000" w:themeColor="text1"/>
          <w:szCs w:val="24"/>
          <w:lang w:val="en-IN" w:eastAsia="en-IN" w:bidi="bn-BD"/>
        </w:rPr>
      </w:pPr>
      <w:r w:rsidRPr="00182019">
        <w:rPr>
          <w:rFonts w:ascii="Arial" w:eastAsiaTheme="majorEastAsia" w:hAnsi="Arial" w:cs="Arial"/>
          <w:color w:val="000000" w:themeColor="text1"/>
          <w:szCs w:val="24"/>
          <w:lang w:val="en-IN" w:eastAsia="en-IN" w:bidi="bn-BD"/>
        </w:rPr>
        <w:t>Retains full ownership and control within Jordons Plc.</w:t>
      </w:r>
    </w:p>
    <w:p w14:paraId="163EEE03" w14:textId="3CE34E05" w:rsidR="00182019" w:rsidRPr="00182019" w:rsidRDefault="00182019" w:rsidP="00182019">
      <w:pPr>
        <w:numPr>
          <w:ilvl w:val="0"/>
          <w:numId w:val="35"/>
        </w:numPr>
        <w:rPr>
          <w:rFonts w:ascii="Arial" w:eastAsiaTheme="majorEastAsia" w:hAnsi="Arial" w:cs="Arial"/>
          <w:color w:val="000000" w:themeColor="text1"/>
          <w:szCs w:val="24"/>
          <w:lang w:val="en-IN" w:eastAsia="en-IN" w:bidi="bn-BD"/>
        </w:rPr>
      </w:pPr>
      <w:r w:rsidRPr="00182019">
        <w:rPr>
          <w:rFonts w:ascii="Arial" w:eastAsiaTheme="majorEastAsia" w:hAnsi="Arial" w:cs="Arial"/>
          <w:color w:val="000000" w:themeColor="text1"/>
          <w:szCs w:val="24"/>
          <w:lang w:val="en-IN" w:eastAsia="en-IN" w:bidi="bn-BD"/>
        </w:rPr>
        <w:t>Shows financial stability and reduces dependence on external lenders</w:t>
      </w:r>
      <w:r w:rsidR="00FE591A" w:rsidRPr="00FE591A">
        <w:rPr>
          <w:rFonts w:ascii="Arial" w:hAnsi="Arial" w:cs="Arial"/>
          <w:color w:val="000000" w:themeColor="text1"/>
        </w:rPr>
        <w:t xml:space="preserve"> </w:t>
      </w:r>
      <w:r w:rsidR="00FE591A" w:rsidRPr="00FE591A">
        <w:rPr>
          <w:rFonts w:ascii="Arial" w:eastAsiaTheme="majorEastAsia" w:hAnsi="Arial" w:cs="Arial"/>
          <w:color w:val="000000" w:themeColor="text1"/>
          <w:szCs w:val="24"/>
          <w:lang w:val="en-IN" w:eastAsia="en-IN" w:bidi="bn-BD"/>
        </w:rPr>
        <w:t>(Parker, 2024)</w:t>
      </w:r>
      <w:r w:rsidRPr="00182019">
        <w:rPr>
          <w:rFonts w:ascii="Arial" w:eastAsiaTheme="majorEastAsia" w:hAnsi="Arial" w:cs="Arial"/>
          <w:color w:val="000000" w:themeColor="text1"/>
          <w:szCs w:val="24"/>
          <w:lang w:val="en-IN" w:eastAsia="en-IN" w:bidi="bn-BD"/>
        </w:rPr>
        <w:t>.</w:t>
      </w:r>
    </w:p>
    <w:p w14:paraId="073DA470" w14:textId="77777777" w:rsidR="00182019" w:rsidRPr="00182019" w:rsidRDefault="00182019" w:rsidP="00182019">
      <w:pPr>
        <w:rPr>
          <w:rFonts w:ascii="Arial" w:eastAsiaTheme="majorEastAsia" w:hAnsi="Arial" w:cs="Arial"/>
          <w:color w:val="000000" w:themeColor="text1"/>
          <w:szCs w:val="24"/>
          <w:lang w:val="en-IN" w:eastAsia="en-IN" w:bidi="bn-BD"/>
        </w:rPr>
      </w:pPr>
      <w:r w:rsidRPr="00182019">
        <w:rPr>
          <w:rFonts w:ascii="Arial" w:eastAsiaTheme="majorEastAsia" w:hAnsi="Arial" w:cs="Arial"/>
          <w:b/>
          <w:bCs/>
          <w:color w:val="000000" w:themeColor="text1"/>
          <w:szCs w:val="24"/>
          <w:lang w:val="en-IN" w:eastAsia="en-IN" w:bidi="bn-BD"/>
        </w:rPr>
        <w:t>Disadvantages:</w:t>
      </w:r>
    </w:p>
    <w:p w14:paraId="62DA0AC4" w14:textId="77777777" w:rsidR="00182019" w:rsidRPr="00182019" w:rsidRDefault="00182019" w:rsidP="00182019">
      <w:pPr>
        <w:numPr>
          <w:ilvl w:val="0"/>
          <w:numId w:val="36"/>
        </w:numPr>
        <w:rPr>
          <w:rFonts w:ascii="Arial" w:eastAsiaTheme="majorEastAsia" w:hAnsi="Arial" w:cs="Arial"/>
          <w:color w:val="000000" w:themeColor="text1"/>
          <w:szCs w:val="24"/>
          <w:lang w:val="en-IN" w:eastAsia="en-IN" w:bidi="bn-BD"/>
        </w:rPr>
      </w:pPr>
      <w:r w:rsidRPr="00182019">
        <w:rPr>
          <w:rFonts w:ascii="Arial" w:eastAsiaTheme="majorEastAsia" w:hAnsi="Arial" w:cs="Arial"/>
          <w:color w:val="000000" w:themeColor="text1"/>
          <w:szCs w:val="24"/>
          <w:lang w:val="en-IN" w:eastAsia="en-IN" w:bidi="bn-BD"/>
        </w:rPr>
        <w:t>May not be enough to cover the full £2 million investment need.</w:t>
      </w:r>
    </w:p>
    <w:p w14:paraId="61DBF63D" w14:textId="77777777" w:rsidR="00182019" w:rsidRPr="00182019" w:rsidRDefault="00182019" w:rsidP="00182019">
      <w:pPr>
        <w:numPr>
          <w:ilvl w:val="0"/>
          <w:numId w:val="36"/>
        </w:numPr>
        <w:rPr>
          <w:rFonts w:ascii="Arial" w:eastAsiaTheme="majorEastAsia" w:hAnsi="Arial" w:cs="Arial"/>
          <w:color w:val="000000" w:themeColor="text1"/>
          <w:szCs w:val="24"/>
          <w:lang w:val="en-IN" w:eastAsia="en-IN" w:bidi="bn-BD"/>
        </w:rPr>
      </w:pPr>
      <w:r w:rsidRPr="00182019">
        <w:rPr>
          <w:rFonts w:ascii="Arial" w:eastAsiaTheme="majorEastAsia" w:hAnsi="Arial" w:cs="Arial"/>
          <w:color w:val="000000" w:themeColor="text1"/>
          <w:szCs w:val="24"/>
          <w:lang w:val="en-IN" w:eastAsia="en-IN" w:bidi="bn-BD"/>
        </w:rPr>
        <w:t>Using retained profits might limit funding for day-to-day operations.</w:t>
      </w:r>
    </w:p>
    <w:p w14:paraId="4E8277B9" w14:textId="77777777" w:rsidR="00182019" w:rsidRPr="00182019" w:rsidRDefault="00182019" w:rsidP="00182019">
      <w:pPr>
        <w:numPr>
          <w:ilvl w:val="0"/>
          <w:numId w:val="36"/>
        </w:numPr>
        <w:rPr>
          <w:rFonts w:ascii="Arial" w:eastAsiaTheme="majorEastAsia" w:hAnsi="Arial" w:cs="Arial"/>
          <w:color w:val="000000" w:themeColor="text1"/>
          <w:szCs w:val="24"/>
          <w:lang w:val="en-IN" w:eastAsia="en-IN" w:bidi="bn-BD"/>
        </w:rPr>
      </w:pPr>
      <w:r w:rsidRPr="00182019">
        <w:rPr>
          <w:rFonts w:ascii="Arial" w:eastAsiaTheme="majorEastAsia" w:hAnsi="Arial" w:cs="Arial"/>
          <w:color w:val="000000" w:themeColor="text1"/>
          <w:szCs w:val="24"/>
          <w:lang w:val="en-IN" w:eastAsia="en-IN" w:bidi="bn-BD"/>
        </w:rPr>
        <w:t>Shareholders may expect dividend payouts, not reinvestment.</w:t>
      </w:r>
    </w:p>
    <w:p w14:paraId="41BABD9B" w14:textId="77777777" w:rsidR="009848FC" w:rsidRPr="00FE591A" w:rsidRDefault="009848FC" w:rsidP="009848FC">
      <w:pPr>
        <w:rPr>
          <w:rFonts w:ascii="Arial" w:hAnsi="Arial" w:cs="Arial"/>
          <w:color w:val="000000" w:themeColor="text1"/>
        </w:rPr>
      </w:pPr>
      <w:r w:rsidRPr="00FE591A">
        <w:rPr>
          <w:rStyle w:val="Strong"/>
          <w:rFonts w:ascii="Arial" w:hAnsi="Arial" w:cs="Arial"/>
          <w:color w:val="000000" w:themeColor="text1"/>
        </w:rPr>
        <w:t>2. Bank Loans</w:t>
      </w:r>
    </w:p>
    <w:p w14:paraId="131A2514" w14:textId="77777777" w:rsidR="00182019" w:rsidRPr="00FE591A" w:rsidRDefault="00182019" w:rsidP="009848FC">
      <w:pPr>
        <w:pStyle w:val="NormalWeb"/>
        <w:spacing w:line="360" w:lineRule="auto"/>
        <w:jc w:val="both"/>
        <w:rPr>
          <w:rStyle w:val="Emphasis"/>
          <w:rFonts w:ascii="Arial" w:eastAsiaTheme="majorEastAsia" w:hAnsi="Arial" w:cs="Arial"/>
          <w:i w:val="0"/>
          <w:iCs w:val="0"/>
          <w:color w:val="000000" w:themeColor="text1"/>
        </w:rPr>
      </w:pPr>
      <w:r w:rsidRPr="00FE591A">
        <w:rPr>
          <w:rStyle w:val="Emphasis"/>
          <w:rFonts w:ascii="Arial" w:eastAsiaTheme="majorEastAsia" w:hAnsi="Arial" w:cs="Arial"/>
          <w:i w:val="0"/>
          <w:iCs w:val="0"/>
          <w:color w:val="000000" w:themeColor="text1"/>
        </w:rPr>
        <w:t>Jordons Plc could borrow a fixed amount from a bank to be repaid over time with interest.</w:t>
      </w:r>
    </w:p>
    <w:p w14:paraId="4CFFBB7A" w14:textId="0492E9A6"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Advantages:</w:t>
      </w:r>
    </w:p>
    <w:p w14:paraId="09C82265" w14:textId="77777777" w:rsidR="009848FC" w:rsidRPr="00FE591A" w:rsidRDefault="009848FC" w:rsidP="009848FC">
      <w:pPr>
        <w:pStyle w:val="NormalWeb"/>
        <w:numPr>
          <w:ilvl w:val="0"/>
          <w:numId w:val="23"/>
        </w:numPr>
        <w:spacing w:line="360" w:lineRule="auto"/>
        <w:jc w:val="both"/>
        <w:rPr>
          <w:rFonts w:ascii="Arial" w:hAnsi="Arial" w:cs="Arial"/>
          <w:color w:val="000000" w:themeColor="text1"/>
        </w:rPr>
      </w:pPr>
      <w:r w:rsidRPr="00FE591A">
        <w:rPr>
          <w:rFonts w:ascii="Arial" w:hAnsi="Arial" w:cs="Arial"/>
          <w:color w:val="000000" w:themeColor="text1"/>
        </w:rPr>
        <w:t>Provides quick access to large sums with flexible repayment terms.</w:t>
      </w:r>
    </w:p>
    <w:p w14:paraId="5DDC45D2" w14:textId="365E9EF0" w:rsidR="009848FC" w:rsidRPr="00FE591A" w:rsidRDefault="009848FC" w:rsidP="009848FC">
      <w:pPr>
        <w:pStyle w:val="NormalWeb"/>
        <w:numPr>
          <w:ilvl w:val="0"/>
          <w:numId w:val="23"/>
        </w:numPr>
        <w:spacing w:line="360" w:lineRule="auto"/>
        <w:jc w:val="both"/>
        <w:rPr>
          <w:rFonts w:ascii="Arial" w:hAnsi="Arial" w:cs="Arial"/>
          <w:color w:val="000000" w:themeColor="text1"/>
        </w:rPr>
      </w:pPr>
      <w:r w:rsidRPr="00FE591A">
        <w:rPr>
          <w:rFonts w:ascii="Arial" w:hAnsi="Arial" w:cs="Arial"/>
          <w:color w:val="000000" w:themeColor="text1"/>
        </w:rPr>
        <w:t>Interest payments are often tax-deductible</w:t>
      </w:r>
      <w:r w:rsidR="00FE591A" w:rsidRPr="00FE591A">
        <w:rPr>
          <w:rFonts w:ascii="Arial" w:hAnsi="Arial" w:cs="Arial"/>
          <w:color w:val="000000" w:themeColor="text1"/>
        </w:rPr>
        <w:t xml:space="preserve"> (Parker, 2024)</w:t>
      </w:r>
      <w:r w:rsidRPr="00FE591A">
        <w:rPr>
          <w:rFonts w:ascii="Arial" w:hAnsi="Arial" w:cs="Arial"/>
          <w:color w:val="000000" w:themeColor="text1"/>
        </w:rPr>
        <w:t>.</w:t>
      </w:r>
    </w:p>
    <w:p w14:paraId="666F6DEA" w14:textId="77777777" w:rsidR="009848FC" w:rsidRPr="00FE591A" w:rsidRDefault="009848FC" w:rsidP="009848FC">
      <w:pPr>
        <w:pStyle w:val="NormalWeb"/>
        <w:numPr>
          <w:ilvl w:val="0"/>
          <w:numId w:val="23"/>
        </w:numPr>
        <w:spacing w:line="360" w:lineRule="auto"/>
        <w:jc w:val="both"/>
        <w:rPr>
          <w:rFonts w:ascii="Arial" w:hAnsi="Arial" w:cs="Arial"/>
          <w:color w:val="000000" w:themeColor="text1"/>
        </w:rPr>
      </w:pPr>
      <w:r w:rsidRPr="00FE591A">
        <w:rPr>
          <w:rFonts w:ascii="Arial" w:hAnsi="Arial" w:cs="Arial"/>
          <w:color w:val="000000" w:themeColor="text1"/>
        </w:rPr>
        <w:lastRenderedPageBreak/>
        <w:t>Does not dilute ownership or control of the business.</w:t>
      </w:r>
    </w:p>
    <w:p w14:paraId="5BD8A809" w14:textId="77777777"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Disadvantages:</w:t>
      </w:r>
    </w:p>
    <w:p w14:paraId="21B34F0B" w14:textId="77777777" w:rsidR="009848FC" w:rsidRPr="00FE591A" w:rsidRDefault="009848FC" w:rsidP="009848FC">
      <w:pPr>
        <w:pStyle w:val="NormalWeb"/>
        <w:numPr>
          <w:ilvl w:val="0"/>
          <w:numId w:val="24"/>
        </w:numPr>
        <w:spacing w:line="360" w:lineRule="auto"/>
        <w:jc w:val="both"/>
        <w:rPr>
          <w:rFonts w:ascii="Arial" w:hAnsi="Arial" w:cs="Arial"/>
          <w:color w:val="000000" w:themeColor="text1"/>
        </w:rPr>
      </w:pPr>
      <w:r w:rsidRPr="00FE591A">
        <w:rPr>
          <w:rFonts w:ascii="Arial" w:hAnsi="Arial" w:cs="Arial"/>
          <w:color w:val="000000" w:themeColor="text1"/>
        </w:rPr>
        <w:t>Requires regular repayments, which can strain cash flow.</w:t>
      </w:r>
    </w:p>
    <w:p w14:paraId="76EC1071" w14:textId="2AF5A4E7" w:rsidR="009848FC" w:rsidRPr="00FE591A" w:rsidRDefault="009848FC" w:rsidP="009848FC">
      <w:pPr>
        <w:pStyle w:val="NormalWeb"/>
        <w:numPr>
          <w:ilvl w:val="0"/>
          <w:numId w:val="24"/>
        </w:numPr>
        <w:spacing w:line="360" w:lineRule="auto"/>
        <w:jc w:val="both"/>
        <w:rPr>
          <w:rFonts w:ascii="Arial" w:hAnsi="Arial" w:cs="Arial"/>
          <w:color w:val="000000" w:themeColor="text1"/>
        </w:rPr>
      </w:pPr>
      <w:r w:rsidRPr="00FE591A">
        <w:rPr>
          <w:rFonts w:ascii="Arial" w:hAnsi="Arial" w:cs="Arial"/>
          <w:color w:val="000000" w:themeColor="text1"/>
        </w:rPr>
        <w:t>May require collateral, putting company assets at risk</w:t>
      </w:r>
      <w:r w:rsidR="00FE591A" w:rsidRPr="00FE591A">
        <w:rPr>
          <w:rFonts w:ascii="Arial" w:hAnsi="Arial" w:cs="Arial"/>
          <w:color w:val="000000" w:themeColor="text1"/>
        </w:rPr>
        <w:t xml:space="preserve"> (Kindness, 2022)</w:t>
      </w:r>
      <w:r w:rsidRPr="00FE591A">
        <w:rPr>
          <w:rFonts w:ascii="Arial" w:hAnsi="Arial" w:cs="Arial"/>
          <w:color w:val="000000" w:themeColor="text1"/>
        </w:rPr>
        <w:t>.</w:t>
      </w:r>
    </w:p>
    <w:p w14:paraId="7A3A9928" w14:textId="4196CAE6" w:rsidR="009848FC" w:rsidRPr="00FE591A" w:rsidRDefault="009848FC" w:rsidP="009848FC">
      <w:pPr>
        <w:pStyle w:val="NormalWeb"/>
        <w:numPr>
          <w:ilvl w:val="0"/>
          <w:numId w:val="24"/>
        </w:numPr>
        <w:spacing w:line="360" w:lineRule="auto"/>
        <w:jc w:val="both"/>
        <w:rPr>
          <w:rFonts w:ascii="Arial" w:hAnsi="Arial" w:cs="Arial"/>
          <w:color w:val="000000" w:themeColor="text1"/>
        </w:rPr>
      </w:pPr>
      <w:r w:rsidRPr="00FE591A">
        <w:rPr>
          <w:rFonts w:ascii="Arial" w:hAnsi="Arial" w:cs="Arial"/>
          <w:color w:val="000000" w:themeColor="text1"/>
        </w:rPr>
        <w:t>Increases financial risk, especially if market conditions worsen.</w:t>
      </w:r>
    </w:p>
    <w:p w14:paraId="35127C95" w14:textId="77777777" w:rsidR="009848FC" w:rsidRPr="00FE591A" w:rsidRDefault="009848FC" w:rsidP="009848FC">
      <w:pPr>
        <w:rPr>
          <w:rFonts w:ascii="Arial" w:hAnsi="Arial" w:cs="Arial"/>
          <w:color w:val="000000" w:themeColor="text1"/>
        </w:rPr>
      </w:pPr>
      <w:r w:rsidRPr="00FE591A">
        <w:rPr>
          <w:rStyle w:val="Strong"/>
          <w:rFonts w:ascii="Arial" w:hAnsi="Arial" w:cs="Arial"/>
          <w:color w:val="000000" w:themeColor="text1"/>
        </w:rPr>
        <w:t>3. Equity Financing (Issuing New Shares)</w:t>
      </w:r>
    </w:p>
    <w:p w14:paraId="0B5C211F" w14:textId="77777777" w:rsidR="00182019" w:rsidRPr="00FE591A" w:rsidRDefault="00182019" w:rsidP="009848FC">
      <w:pPr>
        <w:pStyle w:val="NormalWeb"/>
        <w:spacing w:line="360" w:lineRule="auto"/>
        <w:jc w:val="both"/>
        <w:rPr>
          <w:rStyle w:val="Emphasis"/>
          <w:rFonts w:ascii="Arial" w:eastAsiaTheme="majorEastAsia" w:hAnsi="Arial" w:cs="Arial"/>
          <w:i w:val="0"/>
          <w:iCs w:val="0"/>
          <w:color w:val="000000" w:themeColor="text1"/>
        </w:rPr>
      </w:pPr>
      <w:r w:rsidRPr="00FE591A">
        <w:rPr>
          <w:rStyle w:val="Emphasis"/>
          <w:rFonts w:ascii="Arial" w:eastAsiaTheme="majorEastAsia" w:hAnsi="Arial" w:cs="Arial"/>
          <w:i w:val="0"/>
          <w:iCs w:val="0"/>
          <w:color w:val="000000" w:themeColor="text1"/>
        </w:rPr>
        <w:t>This involves Jordons Plc selling new shares to raise capital from investors.</w:t>
      </w:r>
    </w:p>
    <w:p w14:paraId="02C84704" w14:textId="1F07DAA8"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Advantages:</w:t>
      </w:r>
    </w:p>
    <w:p w14:paraId="58590366" w14:textId="77777777" w:rsidR="009848FC" w:rsidRPr="00FE591A" w:rsidRDefault="009848FC" w:rsidP="009848FC">
      <w:pPr>
        <w:pStyle w:val="NormalWeb"/>
        <w:numPr>
          <w:ilvl w:val="0"/>
          <w:numId w:val="25"/>
        </w:numPr>
        <w:spacing w:line="360" w:lineRule="auto"/>
        <w:jc w:val="both"/>
        <w:rPr>
          <w:rFonts w:ascii="Arial" w:hAnsi="Arial" w:cs="Arial"/>
          <w:color w:val="000000" w:themeColor="text1"/>
        </w:rPr>
      </w:pPr>
      <w:r w:rsidRPr="00FE591A">
        <w:rPr>
          <w:rFonts w:ascii="Arial" w:hAnsi="Arial" w:cs="Arial"/>
          <w:color w:val="000000" w:themeColor="text1"/>
        </w:rPr>
        <w:t>No repayment obligation, reducing financial stress.</w:t>
      </w:r>
    </w:p>
    <w:p w14:paraId="69E43A91" w14:textId="5477E474" w:rsidR="009848FC" w:rsidRPr="00FE591A" w:rsidRDefault="009848FC" w:rsidP="009848FC">
      <w:pPr>
        <w:pStyle w:val="NormalWeb"/>
        <w:numPr>
          <w:ilvl w:val="0"/>
          <w:numId w:val="25"/>
        </w:numPr>
        <w:spacing w:line="360" w:lineRule="auto"/>
        <w:jc w:val="both"/>
        <w:rPr>
          <w:rFonts w:ascii="Arial" w:hAnsi="Arial" w:cs="Arial"/>
          <w:color w:val="000000" w:themeColor="text1"/>
        </w:rPr>
      </w:pPr>
      <w:r w:rsidRPr="00FE591A">
        <w:rPr>
          <w:rFonts w:ascii="Arial" w:hAnsi="Arial" w:cs="Arial"/>
          <w:color w:val="000000" w:themeColor="text1"/>
        </w:rPr>
        <w:t>Can raise significant funds for large, long-term investments</w:t>
      </w:r>
      <w:r w:rsidR="00FE591A" w:rsidRPr="00FE591A">
        <w:rPr>
          <w:rFonts w:ascii="Arial" w:hAnsi="Arial" w:cs="Arial"/>
          <w:color w:val="000000" w:themeColor="text1"/>
        </w:rPr>
        <w:t xml:space="preserve"> (Kindness, 2022)</w:t>
      </w:r>
      <w:r w:rsidRPr="00FE591A">
        <w:rPr>
          <w:rFonts w:ascii="Arial" w:hAnsi="Arial" w:cs="Arial"/>
          <w:color w:val="000000" w:themeColor="text1"/>
        </w:rPr>
        <w:t>.</w:t>
      </w:r>
    </w:p>
    <w:p w14:paraId="73A7CDB3" w14:textId="77777777" w:rsidR="009848FC" w:rsidRPr="00FE591A" w:rsidRDefault="009848FC" w:rsidP="009848FC">
      <w:pPr>
        <w:pStyle w:val="NormalWeb"/>
        <w:numPr>
          <w:ilvl w:val="0"/>
          <w:numId w:val="25"/>
        </w:numPr>
        <w:spacing w:line="360" w:lineRule="auto"/>
        <w:jc w:val="both"/>
        <w:rPr>
          <w:rFonts w:ascii="Arial" w:hAnsi="Arial" w:cs="Arial"/>
          <w:color w:val="000000" w:themeColor="text1"/>
        </w:rPr>
      </w:pPr>
      <w:r w:rsidRPr="00FE591A">
        <w:rPr>
          <w:rFonts w:ascii="Arial" w:hAnsi="Arial" w:cs="Arial"/>
          <w:color w:val="000000" w:themeColor="text1"/>
        </w:rPr>
        <w:t>May improve the company’s public profile and credibility.</w:t>
      </w:r>
    </w:p>
    <w:p w14:paraId="078B43FE" w14:textId="77777777"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Disadvantages:</w:t>
      </w:r>
    </w:p>
    <w:p w14:paraId="04BC1369" w14:textId="77777777" w:rsidR="009848FC" w:rsidRPr="00FE591A" w:rsidRDefault="009848FC" w:rsidP="009848FC">
      <w:pPr>
        <w:pStyle w:val="NormalWeb"/>
        <w:numPr>
          <w:ilvl w:val="0"/>
          <w:numId w:val="26"/>
        </w:numPr>
        <w:spacing w:line="360" w:lineRule="auto"/>
        <w:jc w:val="both"/>
        <w:rPr>
          <w:rFonts w:ascii="Arial" w:hAnsi="Arial" w:cs="Arial"/>
          <w:color w:val="000000" w:themeColor="text1"/>
        </w:rPr>
      </w:pPr>
      <w:r w:rsidRPr="00FE591A">
        <w:rPr>
          <w:rFonts w:ascii="Arial" w:hAnsi="Arial" w:cs="Arial"/>
          <w:color w:val="000000" w:themeColor="text1"/>
        </w:rPr>
        <w:t>Dilutes existing shareholder ownership and control.</w:t>
      </w:r>
    </w:p>
    <w:p w14:paraId="3E415619" w14:textId="77777777" w:rsidR="009848FC" w:rsidRPr="00FE591A" w:rsidRDefault="009848FC" w:rsidP="009848FC">
      <w:pPr>
        <w:pStyle w:val="NormalWeb"/>
        <w:numPr>
          <w:ilvl w:val="0"/>
          <w:numId w:val="26"/>
        </w:numPr>
        <w:spacing w:line="360" w:lineRule="auto"/>
        <w:jc w:val="both"/>
        <w:rPr>
          <w:rFonts w:ascii="Arial" w:hAnsi="Arial" w:cs="Arial"/>
          <w:color w:val="000000" w:themeColor="text1"/>
        </w:rPr>
      </w:pPr>
      <w:r w:rsidRPr="00FE591A">
        <w:rPr>
          <w:rFonts w:ascii="Arial" w:hAnsi="Arial" w:cs="Arial"/>
          <w:color w:val="000000" w:themeColor="text1"/>
        </w:rPr>
        <w:t>Requires strong investor confidence and may take time to arrange.</w:t>
      </w:r>
    </w:p>
    <w:p w14:paraId="2BC90D7B" w14:textId="52C71B81" w:rsidR="009848FC" w:rsidRPr="00FE591A" w:rsidRDefault="009848FC" w:rsidP="009848FC">
      <w:pPr>
        <w:pStyle w:val="NormalWeb"/>
        <w:numPr>
          <w:ilvl w:val="0"/>
          <w:numId w:val="26"/>
        </w:numPr>
        <w:spacing w:line="360" w:lineRule="auto"/>
        <w:jc w:val="both"/>
        <w:rPr>
          <w:rFonts w:ascii="Arial" w:hAnsi="Arial" w:cs="Arial"/>
          <w:color w:val="000000" w:themeColor="text1"/>
        </w:rPr>
      </w:pPr>
      <w:r w:rsidRPr="00FE591A">
        <w:rPr>
          <w:rFonts w:ascii="Arial" w:hAnsi="Arial" w:cs="Arial"/>
          <w:color w:val="000000" w:themeColor="text1"/>
        </w:rPr>
        <w:t>Shareholders may expect quicker returns or dividends, increasing pressure on performance</w:t>
      </w:r>
      <w:r w:rsidR="00FE591A" w:rsidRPr="00FE591A">
        <w:rPr>
          <w:rFonts w:ascii="Arial" w:hAnsi="Arial" w:cs="Arial"/>
          <w:color w:val="000000" w:themeColor="text1"/>
        </w:rPr>
        <w:t xml:space="preserve"> (Kindness, 2022)</w:t>
      </w:r>
      <w:r w:rsidRPr="00FE591A">
        <w:rPr>
          <w:rFonts w:ascii="Arial" w:hAnsi="Arial" w:cs="Arial"/>
          <w:color w:val="000000" w:themeColor="text1"/>
        </w:rPr>
        <w:t>.</w:t>
      </w:r>
    </w:p>
    <w:p w14:paraId="5B16F36F" w14:textId="77777777" w:rsidR="009848FC" w:rsidRPr="00FE591A" w:rsidRDefault="009848FC" w:rsidP="009848FC">
      <w:pPr>
        <w:rPr>
          <w:rFonts w:ascii="Arial" w:hAnsi="Arial" w:cs="Arial"/>
          <w:color w:val="000000" w:themeColor="text1"/>
        </w:rPr>
      </w:pPr>
      <w:r w:rsidRPr="00FE591A">
        <w:rPr>
          <w:rStyle w:val="Strong"/>
          <w:rFonts w:ascii="Arial" w:hAnsi="Arial" w:cs="Arial"/>
          <w:color w:val="000000" w:themeColor="text1"/>
        </w:rPr>
        <w:t>4. Government Grants or Subsidies</w:t>
      </w:r>
    </w:p>
    <w:p w14:paraId="2708DFFD" w14:textId="77777777" w:rsidR="00182019" w:rsidRPr="00FE591A" w:rsidRDefault="00182019" w:rsidP="009848FC">
      <w:pPr>
        <w:pStyle w:val="NormalWeb"/>
        <w:spacing w:line="360" w:lineRule="auto"/>
        <w:jc w:val="both"/>
        <w:rPr>
          <w:rStyle w:val="Emphasis"/>
          <w:rFonts w:ascii="Arial" w:eastAsiaTheme="majorEastAsia" w:hAnsi="Arial" w:cs="Arial"/>
          <w:i w:val="0"/>
          <w:iCs w:val="0"/>
          <w:color w:val="000000" w:themeColor="text1"/>
        </w:rPr>
      </w:pPr>
      <w:r w:rsidRPr="00FE591A">
        <w:rPr>
          <w:rStyle w:val="Emphasis"/>
          <w:rFonts w:ascii="Arial" w:eastAsiaTheme="majorEastAsia" w:hAnsi="Arial" w:cs="Arial"/>
          <w:i w:val="0"/>
          <w:iCs w:val="0"/>
          <w:color w:val="000000" w:themeColor="text1"/>
        </w:rPr>
        <w:t>Jordons Plc may be eligible for grants to support innovation, sustainability, or job creation.</w:t>
      </w:r>
    </w:p>
    <w:p w14:paraId="1C48E9A5" w14:textId="15CAFAEC"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Advantages:</w:t>
      </w:r>
    </w:p>
    <w:p w14:paraId="34380D19" w14:textId="77777777" w:rsidR="009848FC" w:rsidRPr="00FE591A" w:rsidRDefault="009848FC" w:rsidP="009848FC">
      <w:pPr>
        <w:pStyle w:val="NormalWeb"/>
        <w:numPr>
          <w:ilvl w:val="0"/>
          <w:numId w:val="27"/>
        </w:numPr>
        <w:spacing w:line="360" w:lineRule="auto"/>
        <w:jc w:val="both"/>
        <w:rPr>
          <w:rFonts w:ascii="Arial" w:hAnsi="Arial" w:cs="Arial"/>
          <w:color w:val="000000" w:themeColor="text1"/>
        </w:rPr>
      </w:pPr>
      <w:r w:rsidRPr="00FE591A">
        <w:rPr>
          <w:rFonts w:ascii="Arial" w:hAnsi="Arial" w:cs="Arial"/>
          <w:color w:val="000000" w:themeColor="text1"/>
        </w:rPr>
        <w:t>No repayment or interest, making it a very cost-effective source.</w:t>
      </w:r>
    </w:p>
    <w:p w14:paraId="655B4DB9" w14:textId="233F1FE0" w:rsidR="009848FC" w:rsidRPr="00FE591A" w:rsidRDefault="009848FC" w:rsidP="009848FC">
      <w:pPr>
        <w:pStyle w:val="NormalWeb"/>
        <w:numPr>
          <w:ilvl w:val="0"/>
          <w:numId w:val="27"/>
        </w:numPr>
        <w:spacing w:line="360" w:lineRule="auto"/>
        <w:jc w:val="both"/>
        <w:rPr>
          <w:rFonts w:ascii="Arial" w:hAnsi="Arial" w:cs="Arial"/>
          <w:color w:val="000000" w:themeColor="text1"/>
        </w:rPr>
      </w:pPr>
      <w:r w:rsidRPr="00FE591A">
        <w:rPr>
          <w:rFonts w:ascii="Arial" w:hAnsi="Arial" w:cs="Arial"/>
          <w:color w:val="000000" w:themeColor="text1"/>
        </w:rPr>
        <w:t>Encourages innovation, sustainability, and job creation</w:t>
      </w:r>
      <w:r w:rsidR="00FE591A" w:rsidRPr="00FE591A">
        <w:rPr>
          <w:rFonts w:ascii="Arial" w:hAnsi="Arial" w:cs="Arial"/>
          <w:color w:val="000000" w:themeColor="text1"/>
        </w:rPr>
        <w:t xml:space="preserve"> (Segal, 2024)</w:t>
      </w:r>
      <w:r w:rsidRPr="00FE591A">
        <w:rPr>
          <w:rFonts w:ascii="Arial" w:hAnsi="Arial" w:cs="Arial"/>
          <w:color w:val="000000" w:themeColor="text1"/>
        </w:rPr>
        <w:t>.</w:t>
      </w:r>
    </w:p>
    <w:p w14:paraId="7AC1A3A5" w14:textId="77777777" w:rsidR="009848FC" w:rsidRPr="00FE591A" w:rsidRDefault="009848FC" w:rsidP="009848FC">
      <w:pPr>
        <w:pStyle w:val="NormalWeb"/>
        <w:numPr>
          <w:ilvl w:val="0"/>
          <w:numId w:val="27"/>
        </w:numPr>
        <w:spacing w:line="360" w:lineRule="auto"/>
        <w:jc w:val="both"/>
        <w:rPr>
          <w:rFonts w:ascii="Arial" w:hAnsi="Arial" w:cs="Arial"/>
          <w:color w:val="000000" w:themeColor="text1"/>
        </w:rPr>
      </w:pPr>
      <w:r w:rsidRPr="00FE591A">
        <w:rPr>
          <w:rFonts w:ascii="Arial" w:hAnsi="Arial" w:cs="Arial"/>
          <w:color w:val="000000" w:themeColor="text1"/>
        </w:rPr>
        <w:t>Can improve project ROI and reduce funding burden.</w:t>
      </w:r>
    </w:p>
    <w:p w14:paraId="71AFF14A" w14:textId="77777777"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Disadvantages:</w:t>
      </w:r>
    </w:p>
    <w:p w14:paraId="05C8A9EF" w14:textId="77777777" w:rsidR="009848FC" w:rsidRPr="00FE591A" w:rsidRDefault="009848FC" w:rsidP="009848FC">
      <w:pPr>
        <w:pStyle w:val="NormalWeb"/>
        <w:numPr>
          <w:ilvl w:val="0"/>
          <w:numId w:val="28"/>
        </w:numPr>
        <w:spacing w:line="360" w:lineRule="auto"/>
        <w:jc w:val="both"/>
        <w:rPr>
          <w:rFonts w:ascii="Arial" w:hAnsi="Arial" w:cs="Arial"/>
          <w:color w:val="000000" w:themeColor="text1"/>
        </w:rPr>
      </w:pPr>
      <w:r w:rsidRPr="00FE591A">
        <w:rPr>
          <w:rFonts w:ascii="Arial" w:hAnsi="Arial" w:cs="Arial"/>
          <w:color w:val="000000" w:themeColor="text1"/>
        </w:rPr>
        <w:lastRenderedPageBreak/>
        <w:t>Highly competitive and not guaranteed.</w:t>
      </w:r>
    </w:p>
    <w:p w14:paraId="7E2BE7A6" w14:textId="77777777" w:rsidR="009848FC" w:rsidRPr="00FE591A" w:rsidRDefault="009848FC" w:rsidP="009848FC">
      <w:pPr>
        <w:pStyle w:val="NormalWeb"/>
        <w:numPr>
          <w:ilvl w:val="0"/>
          <w:numId w:val="28"/>
        </w:numPr>
        <w:spacing w:line="360" w:lineRule="auto"/>
        <w:jc w:val="both"/>
        <w:rPr>
          <w:rFonts w:ascii="Arial" w:hAnsi="Arial" w:cs="Arial"/>
          <w:color w:val="000000" w:themeColor="text1"/>
        </w:rPr>
      </w:pPr>
      <w:r w:rsidRPr="00FE591A">
        <w:rPr>
          <w:rFonts w:ascii="Arial" w:hAnsi="Arial" w:cs="Arial"/>
          <w:color w:val="000000" w:themeColor="text1"/>
        </w:rPr>
        <w:t>Often comes with specific eligibility criteria and reporting rules.</w:t>
      </w:r>
    </w:p>
    <w:p w14:paraId="7562C37D" w14:textId="7863AF0B" w:rsidR="009848FC" w:rsidRPr="00FE591A" w:rsidRDefault="009848FC" w:rsidP="009848FC">
      <w:pPr>
        <w:pStyle w:val="NormalWeb"/>
        <w:numPr>
          <w:ilvl w:val="0"/>
          <w:numId w:val="28"/>
        </w:numPr>
        <w:spacing w:line="360" w:lineRule="auto"/>
        <w:jc w:val="both"/>
        <w:rPr>
          <w:rFonts w:ascii="Arial" w:hAnsi="Arial" w:cs="Arial"/>
          <w:color w:val="000000" w:themeColor="text1"/>
        </w:rPr>
      </w:pPr>
      <w:r w:rsidRPr="00FE591A">
        <w:rPr>
          <w:rFonts w:ascii="Arial" w:hAnsi="Arial" w:cs="Arial"/>
          <w:color w:val="000000" w:themeColor="text1"/>
        </w:rPr>
        <w:t>Application processes can be slow and bureaucratic</w:t>
      </w:r>
      <w:r w:rsidR="00FE591A" w:rsidRPr="00FE591A">
        <w:rPr>
          <w:rFonts w:ascii="Arial" w:hAnsi="Arial" w:cs="Arial"/>
          <w:color w:val="000000" w:themeColor="text1"/>
        </w:rPr>
        <w:t xml:space="preserve"> (Segal, 2024)</w:t>
      </w:r>
      <w:r w:rsidRPr="00FE591A">
        <w:rPr>
          <w:rFonts w:ascii="Arial" w:hAnsi="Arial" w:cs="Arial"/>
          <w:color w:val="000000" w:themeColor="text1"/>
        </w:rPr>
        <w:t>.</w:t>
      </w:r>
    </w:p>
    <w:p w14:paraId="39350DB8" w14:textId="77777777" w:rsidR="009848FC" w:rsidRPr="00FE591A" w:rsidRDefault="009848FC" w:rsidP="009848FC">
      <w:pPr>
        <w:rPr>
          <w:rFonts w:ascii="Arial" w:hAnsi="Arial" w:cs="Arial"/>
          <w:color w:val="000000" w:themeColor="text1"/>
        </w:rPr>
      </w:pPr>
      <w:r w:rsidRPr="00FE591A">
        <w:rPr>
          <w:rStyle w:val="Strong"/>
          <w:rFonts w:ascii="Arial" w:hAnsi="Arial" w:cs="Arial"/>
          <w:color w:val="000000" w:themeColor="text1"/>
        </w:rPr>
        <w:t>5. Asset-Based Finance (e.g., Leasing or Hire Purchase)</w:t>
      </w:r>
    </w:p>
    <w:p w14:paraId="1CA5C3C1" w14:textId="77777777" w:rsidR="00182019" w:rsidRPr="00FE591A" w:rsidRDefault="00182019" w:rsidP="009848FC">
      <w:pPr>
        <w:pStyle w:val="NormalWeb"/>
        <w:spacing w:line="360" w:lineRule="auto"/>
        <w:jc w:val="both"/>
        <w:rPr>
          <w:rFonts w:ascii="Arial" w:eastAsiaTheme="majorEastAsia" w:hAnsi="Arial" w:cs="Arial"/>
          <w:color w:val="000000" w:themeColor="text1"/>
          <w:lang w:val="en-GB"/>
        </w:rPr>
      </w:pPr>
      <w:r w:rsidRPr="00FE591A">
        <w:rPr>
          <w:rFonts w:ascii="Arial" w:eastAsiaTheme="majorEastAsia" w:hAnsi="Arial" w:cs="Arial"/>
          <w:color w:val="000000" w:themeColor="text1"/>
          <w:lang w:val="en-GB"/>
        </w:rPr>
        <w:t>This option allows Jordons Plc to pay for equipment in instalments while using the assets immediately.</w:t>
      </w:r>
    </w:p>
    <w:p w14:paraId="402A273D" w14:textId="62316969"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Advantages:</w:t>
      </w:r>
    </w:p>
    <w:p w14:paraId="2C302D92" w14:textId="77777777" w:rsidR="009848FC" w:rsidRPr="00FE591A" w:rsidRDefault="009848FC" w:rsidP="009848FC">
      <w:pPr>
        <w:pStyle w:val="NormalWeb"/>
        <w:numPr>
          <w:ilvl w:val="0"/>
          <w:numId w:val="29"/>
        </w:numPr>
        <w:spacing w:line="360" w:lineRule="auto"/>
        <w:jc w:val="both"/>
        <w:rPr>
          <w:rFonts w:ascii="Arial" w:hAnsi="Arial" w:cs="Arial"/>
          <w:color w:val="000000" w:themeColor="text1"/>
        </w:rPr>
      </w:pPr>
      <w:r w:rsidRPr="00FE591A">
        <w:rPr>
          <w:rFonts w:ascii="Arial" w:hAnsi="Arial" w:cs="Arial"/>
          <w:color w:val="000000" w:themeColor="text1"/>
        </w:rPr>
        <w:t>Lower upfront costs, helping with short-term cash flow.</w:t>
      </w:r>
    </w:p>
    <w:p w14:paraId="4F510EC8" w14:textId="41612D3B" w:rsidR="009848FC" w:rsidRPr="00FE591A" w:rsidRDefault="009848FC" w:rsidP="009848FC">
      <w:pPr>
        <w:pStyle w:val="NormalWeb"/>
        <w:numPr>
          <w:ilvl w:val="0"/>
          <w:numId w:val="29"/>
        </w:numPr>
        <w:spacing w:line="360" w:lineRule="auto"/>
        <w:jc w:val="both"/>
        <w:rPr>
          <w:rFonts w:ascii="Arial" w:hAnsi="Arial" w:cs="Arial"/>
          <w:color w:val="000000" w:themeColor="text1"/>
        </w:rPr>
      </w:pPr>
      <w:r w:rsidRPr="00FE591A">
        <w:rPr>
          <w:rFonts w:ascii="Arial" w:hAnsi="Arial" w:cs="Arial"/>
          <w:color w:val="000000" w:themeColor="text1"/>
        </w:rPr>
        <w:t>Assets can be used immediately while payment is spread</w:t>
      </w:r>
      <w:r w:rsidR="00FE591A" w:rsidRPr="00FE591A">
        <w:rPr>
          <w:rFonts w:ascii="Arial" w:hAnsi="Arial" w:cs="Arial"/>
          <w:color w:val="000000" w:themeColor="text1"/>
        </w:rPr>
        <w:t xml:space="preserve"> (Iwoca, 2025)</w:t>
      </w:r>
      <w:r w:rsidRPr="00FE591A">
        <w:rPr>
          <w:rFonts w:ascii="Arial" w:hAnsi="Arial" w:cs="Arial"/>
          <w:color w:val="000000" w:themeColor="text1"/>
        </w:rPr>
        <w:t>.</w:t>
      </w:r>
    </w:p>
    <w:p w14:paraId="73B0F934" w14:textId="77777777" w:rsidR="009848FC" w:rsidRPr="00FE591A" w:rsidRDefault="009848FC" w:rsidP="009848FC">
      <w:pPr>
        <w:pStyle w:val="NormalWeb"/>
        <w:numPr>
          <w:ilvl w:val="0"/>
          <w:numId w:val="29"/>
        </w:numPr>
        <w:spacing w:line="360" w:lineRule="auto"/>
        <w:jc w:val="both"/>
        <w:rPr>
          <w:rFonts w:ascii="Arial" w:hAnsi="Arial" w:cs="Arial"/>
          <w:color w:val="000000" w:themeColor="text1"/>
        </w:rPr>
      </w:pPr>
      <w:r w:rsidRPr="00FE591A">
        <w:rPr>
          <w:rFonts w:ascii="Arial" w:hAnsi="Arial" w:cs="Arial"/>
          <w:color w:val="000000" w:themeColor="text1"/>
        </w:rPr>
        <w:t>May include maintenance or upgrade services.</w:t>
      </w:r>
    </w:p>
    <w:p w14:paraId="675524F8" w14:textId="77777777"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Disadvantages:</w:t>
      </w:r>
    </w:p>
    <w:p w14:paraId="48781948" w14:textId="16ED55B6" w:rsidR="009848FC" w:rsidRPr="00FE591A" w:rsidRDefault="009848FC" w:rsidP="009848FC">
      <w:pPr>
        <w:pStyle w:val="NormalWeb"/>
        <w:numPr>
          <w:ilvl w:val="0"/>
          <w:numId w:val="30"/>
        </w:numPr>
        <w:spacing w:line="360" w:lineRule="auto"/>
        <w:jc w:val="both"/>
        <w:rPr>
          <w:rFonts w:ascii="Arial" w:hAnsi="Arial" w:cs="Arial"/>
          <w:color w:val="000000" w:themeColor="text1"/>
        </w:rPr>
      </w:pPr>
      <w:r w:rsidRPr="00FE591A">
        <w:rPr>
          <w:rFonts w:ascii="Arial" w:hAnsi="Arial" w:cs="Arial"/>
          <w:color w:val="000000" w:themeColor="text1"/>
        </w:rPr>
        <w:t>Total cost over time is usually higher than buying outright</w:t>
      </w:r>
      <w:r w:rsidR="00FE591A" w:rsidRPr="00FE591A">
        <w:rPr>
          <w:rFonts w:ascii="Arial" w:hAnsi="Arial" w:cs="Arial"/>
          <w:color w:val="000000" w:themeColor="text1"/>
        </w:rPr>
        <w:t xml:space="preserve"> (Iwoca, 2025)</w:t>
      </w:r>
      <w:r w:rsidRPr="00FE591A">
        <w:rPr>
          <w:rFonts w:ascii="Arial" w:hAnsi="Arial" w:cs="Arial"/>
          <w:color w:val="000000" w:themeColor="text1"/>
        </w:rPr>
        <w:t>.</w:t>
      </w:r>
    </w:p>
    <w:p w14:paraId="426EBB2B" w14:textId="77777777" w:rsidR="009848FC" w:rsidRPr="00FE591A" w:rsidRDefault="009848FC" w:rsidP="009848FC">
      <w:pPr>
        <w:pStyle w:val="NormalWeb"/>
        <w:numPr>
          <w:ilvl w:val="0"/>
          <w:numId w:val="30"/>
        </w:numPr>
        <w:spacing w:line="360" w:lineRule="auto"/>
        <w:jc w:val="both"/>
        <w:rPr>
          <w:rFonts w:ascii="Arial" w:hAnsi="Arial" w:cs="Arial"/>
          <w:color w:val="000000" w:themeColor="text1"/>
        </w:rPr>
      </w:pPr>
      <w:r w:rsidRPr="00FE591A">
        <w:rPr>
          <w:rFonts w:ascii="Arial" w:hAnsi="Arial" w:cs="Arial"/>
          <w:color w:val="000000" w:themeColor="text1"/>
        </w:rPr>
        <w:t>The asset may not be owned until all payments are made.</w:t>
      </w:r>
    </w:p>
    <w:p w14:paraId="3C930EEB" w14:textId="49CB6162" w:rsidR="009848FC" w:rsidRPr="00FE591A" w:rsidRDefault="009848FC" w:rsidP="009848FC">
      <w:pPr>
        <w:pStyle w:val="NormalWeb"/>
        <w:numPr>
          <w:ilvl w:val="0"/>
          <w:numId w:val="30"/>
        </w:numPr>
        <w:spacing w:line="360" w:lineRule="auto"/>
        <w:jc w:val="both"/>
        <w:rPr>
          <w:rFonts w:ascii="Arial" w:hAnsi="Arial" w:cs="Arial"/>
          <w:color w:val="000000" w:themeColor="text1"/>
        </w:rPr>
      </w:pPr>
      <w:r w:rsidRPr="00FE591A">
        <w:rPr>
          <w:rFonts w:ascii="Arial" w:hAnsi="Arial" w:cs="Arial"/>
          <w:color w:val="000000" w:themeColor="text1"/>
        </w:rPr>
        <w:t>Restrictions may apply for cancelling or changing agreements.</w:t>
      </w:r>
    </w:p>
    <w:p w14:paraId="70B02675" w14:textId="77777777" w:rsidR="009848FC" w:rsidRPr="00FE591A" w:rsidRDefault="009848FC" w:rsidP="009848FC">
      <w:pPr>
        <w:rPr>
          <w:rFonts w:ascii="Arial" w:hAnsi="Arial" w:cs="Arial"/>
          <w:color w:val="000000" w:themeColor="text1"/>
        </w:rPr>
      </w:pPr>
      <w:r w:rsidRPr="00FE591A">
        <w:rPr>
          <w:rStyle w:val="Strong"/>
          <w:rFonts w:ascii="Arial" w:hAnsi="Arial" w:cs="Arial"/>
          <w:color w:val="000000" w:themeColor="text1"/>
        </w:rPr>
        <w:t>6. Trade Credit</w:t>
      </w:r>
    </w:p>
    <w:p w14:paraId="313C7F82" w14:textId="71B9CA79" w:rsidR="00182019" w:rsidRPr="00FE591A" w:rsidRDefault="00182019" w:rsidP="009848FC">
      <w:pPr>
        <w:pStyle w:val="NormalWeb"/>
        <w:spacing w:line="360" w:lineRule="auto"/>
        <w:jc w:val="both"/>
        <w:rPr>
          <w:rFonts w:ascii="Arial" w:eastAsiaTheme="majorEastAsia" w:hAnsi="Arial" w:cs="Arial"/>
          <w:color w:val="000000" w:themeColor="text1"/>
          <w:lang w:val="en-GB"/>
        </w:rPr>
      </w:pPr>
      <w:r w:rsidRPr="00FE591A">
        <w:rPr>
          <w:rFonts w:ascii="Arial" w:eastAsiaTheme="majorEastAsia" w:hAnsi="Arial" w:cs="Arial"/>
          <w:color w:val="000000" w:themeColor="text1"/>
          <w:lang w:val="en-GB"/>
        </w:rPr>
        <w:t>Suppliers may offer Jordons Plc short-term credit terms (e.g., 30–60 days) to pay later for purchases</w:t>
      </w:r>
      <w:r w:rsidR="00FE591A" w:rsidRPr="00FE591A">
        <w:rPr>
          <w:rFonts w:ascii="Arial" w:hAnsi="Arial" w:cs="Arial"/>
          <w:color w:val="000000" w:themeColor="text1"/>
        </w:rPr>
        <w:t xml:space="preserve"> </w:t>
      </w:r>
      <w:r w:rsidR="00FE591A" w:rsidRPr="00FE591A">
        <w:rPr>
          <w:rFonts w:ascii="Arial" w:eastAsiaTheme="majorEastAsia" w:hAnsi="Arial" w:cs="Arial"/>
          <w:color w:val="000000" w:themeColor="text1"/>
          <w:lang w:val="en-GB"/>
        </w:rPr>
        <w:t>(Kagan, 2022)</w:t>
      </w:r>
      <w:r w:rsidRPr="00FE591A">
        <w:rPr>
          <w:rFonts w:ascii="Arial" w:eastAsiaTheme="majorEastAsia" w:hAnsi="Arial" w:cs="Arial"/>
          <w:color w:val="000000" w:themeColor="text1"/>
          <w:lang w:val="en-GB"/>
        </w:rPr>
        <w:t>.</w:t>
      </w:r>
    </w:p>
    <w:p w14:paraId="5DA0115D" w14:textId="45643B1C"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Advantages:</w:t>
      </w:r>
    </w:p>
    <w:p w14:paraId="60C70DA0" w14:textId="55EE6A4B" w:rsidR="009848FC" w:rsidRPr="00FE591A" w:rsidRDefault="009848FC" w:rsidP="009848FC">
      <w:pPr>
        <w:pStyle w:val="NormalWeb"/>
        <w:numPr>
          <w:ilvl w:val="0"/>
          <w:numId w:val="31"/>
        </w:numPr>
        <w:spacing w:line="360" w:lineRule="auto"/>
        <w:jc w:val="both"/>
        <w:rPr>
          <w:rFonts w:ascii="Arial" w:hAnsi="Arial" w:cs="Arial"/>
          <w:color w:val="000000" w:themeColor="text1"/>
        </w:rPr>
      </w:pPr>
      <w:r w:rsidRPr="00FE591A">
        <w:rPr>
          <w:rFonts w:ascii="Arial" w:hAnsi="Arial" w:cs="Arial"/>
          <w:color w:val="000000" w:themeColor="text1"/>
        </w:rPr>
        <w:t xml:space="preserve">Helps manage working capital without needing cash </w:t>
      </w:r>
      <w:r w:rsidR="00FE591A" w:rsidRPr="00FE591A">
        <w:rPr>
          <w:rFonts w:ascii="Arial" w:hAnsi="Arial" w:cs="Arial"/>
          <w:color w:val="000000" w:themeColor="text1"/>
        </w:rPr>
        <w:t>up front</w:t>
      </w:r>
      <w:r w:rsidRPr="00FE591A">
        <w:rPr>
          <w:rFonts w:ascii="Arial" w:hAnsi="Arial" w:cs="Arial"/>
          <w:color w:val="000000" w:themeColor="text1"/>
        </w:rPr>
        <w:t>.</w:t>
      </w:r>
    </w:p>
    <w:p w14:paraId="4F62A218" w14:textId="77777777" w:rsidR="009848FC" w:rsidRPr="00FE591A" w:rsidRDefault="009848FC" w:rsidP="009848FC">
      <w:pPr>
        <w:pStyle w:val="NormalWeb"/>
        <w:numPr>
          <w:ilvl w:val="0"/>
          <w:numId w:val="31"/>
        </w:numPr>
        <w:spacing w:line="360" w:lineRule="auto"/>
        <w:jc w:val="both"/>
        <w:rPr>
          <w:rFonts w:ascii="Arial" w:hAnsi="Arial" w:cs="Arial"/>
          <w:color w:val="000000" w:themeColor="text1"/>
        </w:rPr>
      </w:pPr>
      <w:r w:rsidRPr="00FE591A">
        <w:rPr>
          <w:rFonts w:ascii="Arial" w:hAnsi="Arial" w:cs="Arial"/>
          <w:color w:val="000000" w:themeColor="text1"/>
        </w:rPr>
        <w:t>No interest if paid within the credit period.</w:t>
      </w:r>
    </w:p>
    <w:p w14:paraId="15F14CEF" w14:textId="1790E44C" w:rsidR="009848FC" w:rsidRPr="00FE591A" w:rsidRDefault="009848FC" w:rsidP="009848FC">
      <w:pPr>
        <w:pStyle w:val="NormalWeb"/>
        <w:numPr>
          <w:ilvl w:val="0"/>
          <w:numId w:val="31"/>
        </w:numPr>
        <w:spacing w:line="360" w:lineRule="auto"/>
        <w:jc w:val="both"/>
        <w:rPr>
          <w:rFonts w:ascii="Arial" w:hAnsi="Arial" w:cs="Arial"/>
          <w:color w:val="000000" w:themeColor="text1"/>
        </w:rPr>
      </w:pPr>
      <w:r w:rsidRPr="00FE591A">
        <w:rPr>
          <w:rFonts w:ascii="Arial" w:hAnsi="Arial" w:cs="Arial"/>
          <w:color w:val="000000" w:themeColor="text1"/>
        </w:rPr>
        <w:t>Useful for funding short-term supply purchases</w:t>
      </w:r>
      <w:r w:rsidR="00FE591A" w:rsidRPr="00FE591A">
        <w:rPr>
          <w:rFonts w:ascii="Arial" w:hAnsi="Arial" w:cs="Arial"/>
          <w:color w:val="000000" w:themeColor="text1"/>
        </w:rPr>
        <w:t xml:space="preserve"> (Kagan, 2022)</w:t>
      </w:r>
      <w:r w:rsidRPr="00FE591A">
        <w:rPr>
          <w:rFonts w:ascii="Arial" w:hAnsi="Arial" w:cs="Arial"/>
          <w:color w:val="000000" w:themeColor="text1"/>
        </w:rPr>
        <w:t>.</w:t>
      </w:r>
    </w:p>
    <w:p w14:paraId="65213AF9" w14:textId="77777777"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Disadvantages:</w:t>
      </w:r>
    </w:p>
    <w:p w14:paraId="46E04D9B" w14:textId="579FD419" w:rsidR="009848FC" w:rsidRPr="00FE591A" w:rsidRDefault="009848FC" w:rsidP="009848FC">
      <w:pPr>
        <w:pStyle w:val="NormalWeb"/>
        <w:numPr>
          <w:ilvl w:val="0"/>
          <w:numId w:val="32"/>
        </w:numPr>
        <w:spacing w:line="360" w:lineRule="auto"/>
        <w:jc w:val="both"/>
        <w:rPr>
          <w:rFonts w:ascii="Arial" w:hAnsi="Arial" w:cs="Arial"/>
          <w:color w:val="000000" w:themeColor="text1"/>
        </w:rPr>
      </w:pPr>
      <w:r w:rsidRPr="00FE591A">
        <w:rPr>
          <w:rFonts w:ascii="Arial" w:hAnsi="Arial" w:cs="Arial"/>
          <w:color w:val="000000" w:themeColor="text1"/>
        </w:rPr>
        <w:t>Late payments may lead to penalties or harm supplier relationships</w:t>
      </w:r>
      <w:r w:rsidR="00FE591A" w:rsidRPr="00FE591A">
        <w:rPr>
          <w:rFonts w:ascii="Arial" w:hAnsi="Arial" w:cs="Arial"/>
          <w:color w:val="000000" w:themeColor="text1"/>
        </w:rPr>
        <w:t xml:space="preserve"> (Kagan, 2022)</w:t>
      </w:r>
      <w:r w:rsidRPr="00FE591A">
        <w:rPr>
          <w:rFonts w:ascii="Arial" w:hAnsi="Arial" w:cs="Arial"/>
          <w:color w:val="000000" w:themeColor="text1"/>
        </w:rPr>
        <w:t>.</w:t>
      </w:r>
    </w:p>
    <w:p w14:paraId="260E0369" w14:textId="77777777" w:rsidR="009848FC" w:rsidRPr="00FE591A" w:rsidRDefault="009848FC" w:rsidP="009848FC">
      <w:pPr>
        <w:pStyle w:val="NormalWeb"/>
        <w:numPr>
          <w:ilvl w:val="0"/>
          <w:numId w:val="32"/>
        </w:numPr>
        <w:spacing w:line="360" w:lineRule="auto"/>
        <w:jc w:val="both"/>
        <w:rPr>
          <w:rFonts w:ascii="Arial" w:hAnsi="Arial" w:cs="Arial"/>
          <w:color w:val="000000" w:themeColor="text1"/>
        </w:rPr>
      </w:pPr>
      <w:r w:rsidRPr="00FE591A">
        <w:rPr>
          <w:rFonts w:ascii="Arial" w:hAnsi="Arial" w:cs="Arial"/>
          <w:color w:val="000000" w:themeColor="text1"/>
        </w:rPr>
        <w:t>Overuse may affect credit reputation or limit future credit availability.</w:t>
      </w:r>
    </w:p>
    <w:p w14:paraId="242A27ED" w14:textId="3D683F07" w:rsidR="009848FC" w:rsidRPr="00FE591A" w:rsidRDefault="009848FC" w:rsidP="009848FC">
      <w:pPr>
        <w:pStyle w:val="NormalWeb"/>
        <w:numPr>
          <w:ilvl w:val="0"/>
          <w:numId w:val="32"/>
        </w:numPr>
        <w:spacing w:line="360" w:lineRule="auto"/>
        <w:jc w:val="both"/>
        <w:rPr>
          <w:rFonts w:ascii="Arial" w:hAnsi="Arial" w:cs="Arial"/>
          <w:color w:val="000000" w:themeColor="text1"/>
        </w:rPr>
      </w:pPr>
      <w:r w:rsidRPr="00FE591A">
        <w:rPr>
          <w:rFonts w:ascii="Arial" w:hAnsi="Arial" w:cs="Arial"/>
          <w:color w:val="000000" w:themeColor="text1"/>
        </w:rPr>
        <w:lastRenderedPageBreak/>
        <w:t>Only suitable for operating costs, not large capital investments.</w:t>
      </w:r>
    </w:p>
    <w:p w14:paraId="004A72FD" w14:textId="77777777" w:rsidR="009848FC" w:rsidRPr="00FE591A" w:rsidRDefault="009848FC" w:rsidP="009848FC">
      <w:pPr>
        <w:rPr>
          <w:rFonts w:ascii="Arial" w:hAnsi="Arial" w:cs="Arial"/>
          <w:color w:val="000000" w:themeColor="text1"/>
        </w:rPr>
      </w:pPr>
      <w:r w:rsidRPr="00FE591A">
        <w:rPr>
          <w:rStyle w:val="Strong"/>
          <w:rFonts w:ascii="Arial" w:hAnsi="Arial" w:cs="Arial"/>
          <w:color w:val="000000" w:themeColor="text1"/>
        </w:rPr>
        <w:t>7. Venture Capital or Angel Investment</w:t>
      </w:r>
    </w:p>
    <w:p w14:paraId="35D10508" w14:textId="77777777" w:rsidR="00182019" w:rsidRPr="00FE591A" w:rsidRDefault="00182019" w:rsidP="009848FC">
      <w:pPr>
        <w:pStyle w:val="NormalWeb"/>
        <w:spacing w:line="360" w:lineRule="auto"/>
        <w:jc w:val="both"/>
        <w:rPr>
          <w:rFonts w:ascii="Arial" w:eastAsiaTheme="majorEastAsia" w:hAnsi="Arial" w:cs="Arial"/>
          <w:color w:val="000000" w:themeColor="text1"/>
          <w:lang w:val="en-GB"/>
        </w:rPr>
      </w:pPr>
      <w:r w:rsidRPr="00FE591A">
        <w:rPr>
          <w:rFonts w:ascii="Arial" w:eastAsiaTheme="majorEastAsia" w:hAnsi="Arial" w:cs="Arial"/>
          <w:color w:val="000000" w:themeColor="text1"/>
          <w:lang w:val="en-GB"/>
        </w:rPr>
        <w:t>Jordons Plc may seek funding from private investors in exchange for company shares.</w:t>
      </w:r>
    </w:p>
    <w:p w14:paraId="3F5E87A5" w14:textId="13CCE099"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Advantages:</w:t>
      </w:r>
    </w:p>
    <w:p w14:paraId="2886A7B3" w14:textId="77777777" w:rsidR="009848FC" w:rsidRPr="00FE591A" w:rsidRDefault="009848FC" w:rsidP="009848FC">
      <w:pPr>
        <w:pStyle w:val="NormalWeb"/>
        <w:numPr>
          <w:ilvl w:val="0"/>
          <w:numId w:val="33"/>
        </w:numPr>
        <w:spacing w:line="360" w:lineRule="auto"/>
        <w:jc w:val="both"/>
        <w:rPr>
          <w:rFonts w:ascii="Arial" w:hAnsi="Arial" w:cs="Arial"/>
          <w:color w:val="000000" w:themeColor="text1"/>
        </w:rPr>
      </w:pPr>
      <w:r w:rsidRPr="00FE591A">
        <w:rPr>
          <w:rFonts w:ascii="Arial" w:hAnsi="Arial" w:cs="Arial"/>
          <w:color w:val="000000" w:themeColor="text1"/>
        </w:rPr>
        <w:t>Offers access to large funds and expert advice.</w:t>
      </w:r>
    </w:p>
    <w:p w14:paraId="50DC40F0" w14:textId="6F453C98" w:rsidR="009848FC" w:rsidRPr="00FE591A" w:rsidRDefault="009848FC" w:rsidP="009848FC">
      <w:pPr>
        <w:pStyle w:val="NormalWeb"/>
        <w:numPr>
          <w:ilvl w:val="0"/>
          <w:numId w:val="33"/>
        </w:numPr>
        <w:spacing w:line="360" w:lineRule="auto"/>
        <w:jc w:val="both"/>
        <w:rPr>
          <w:rFonts w:ascii="Arial" w:hAnsi="Arial" w:cs="Arial"/>
          <w:color w:val="000000" w:themeColor="text1"/>
        </w:rPr>
      </w:pPr>
      <w:r w:rsidRPr="00FE591A">
        <w:rPr>
          <w:rFonts w:ascii="Arial" w:hAnsi="Arial" w:cs="Arial"/>
          <w:color w:val="000000" w:themeColor="text1"/>
        </w:rPr>
        <w:t>Often includes mentorship and networking support</w:t>
      </w:r>
      <w:r w:rsidR="00FE591A" w:rsidRPr="00FE591A">
        <w:rPr>
          <w:rFonts w:ascii="Arial" w:hAnsi="Arial" w:cs="Arial"/>
          <w:color w:val="000000" w:themeColor="text1"/>
        </w:rPr>
        <w:t xml:space="preserve"> (Vipond, 2025)</w:t>
      </w:r>
      <w:r w:rsidRPr="00FE591A">
        <w:rPr>
          <w:rFonts w:ascii="Arial" w:hAnsi="Arial" w:cs="Arial"/>
          <w:color w:val="000000" w:themeColor="text1"/>
        </w:rPr>
        <w:t>.</w:t>
      </w:r>
    </w:p>
    <w:p w14:paraId="2CB418E5" w14:textId="77777777" w:rsidR="009848FC" w:rsidRPr="00FE591A" w:rsidRDefault="009848FC" w:rsidP="009848FC">
      <w:pPr>
        <w:pStyle w:val="NormalWeb"/>
        <w:numPr>
          <w:ilvl w:val="0"/>
          <w:numId w:val="33"/>
        </w:numPr>
        <w:spacing w:line="360" w:lineRule="auto"/>
        <w:jc w:val="both"/>
        <w:rPr>
          <w:rFonts w:ascii="Arial" w:hAnsi="Arial" w:cs="Arial"/>
          <w:color w:val="000000" w:themeColor="text1"/>
        </w:rPr>
      </w:pPr>
      <w:r w:rsidRPr="00FE591A">
        <w:rPr>
          <w:rFonts w:ascii="Arial" w:hAnsi="Arial" w:cs="Arial"/>
          <w:color w:val="000000" w:themeColor="text1"/>
        </w:rPr>
        <w:t>Suited for innovative or expansion-driven projects.</w:t>
      </w:r>
    </w:p>
    <w:p w14:paraId="142BDDA3" w14:textId="77777777" w:rsidR="009848FC" w:rsidRPr="00FE591A" w:rsidRDefault="009848FC" w:rsidP="009848FC">
      <w:pPr>
        <w:pStyle w:val="NormalWeb"/>
        <w:spacing w:line="360" w:lineRule="auto"/>
        <w:jc w:val="both"/>
        <w:rPr>
          <w:rFonts w:ascii="Arial" w:hAnsi="Arial" w:cs="Arial"/>
          <w:color w:val="000000" w:themeColor="text1"/>
        </w:rPr>
      </w:pPr>
      <w:r w:rsidRPr="00FE591A">
        <w:rPr>
          <w:rStyle w:val="Strong"/>
          <w:rFonts w:ascii="Arial" w:eastAsiaTheme="majorEastAsia" w:hAnsi="Arial" w:cs="Arial"/>
          <w:color w:val="000000" w:themeColor="text1"/>
        </w:rPr>
        <w:t>Disadvantages:</w:t>
      </w:r>
    </w:p>
    <w:p w14:paraId="71E284E3" w14:textId="77777777" w:rsidR="009848FC" w:rsidRPr="00FE591A" w:rsidRDefault="009848FC" w:rsidP="009848FC">
      <w:pPr>
        <w:pStyle w:val="NormalWeb"/>
        <w:numPr>
          <w:ilvl w:val="0"/>
          <w:numId w:val="34"/>
        </w:numPr>
        <w:spacing w:line="360" w:lineRule="auto"/>
        <w:jc w:val="both"/>
        <w:rPr>
          <w:rFonts w:ascii="Arial" w:hAnsi="Arial" w:cs="Arial"/>
          <w:color w:val="000000" w:themeColor="text1"/>
        </w:rPr>
      </w:pPr>
      <w:r w:rsidRPr="00FE591A">
        <w:rPr>
          <w:rFonts w:ascii="Arial" w:hAnsi="Arial" w:cs="Arial"/>
          <w:color w:val="000000" w:themeColor="text1"/>
        </w:rPr>
        <w:t>Involves giving up equity and some control.</w:t>
      </w:r>
    </w:p>
    <w:p w14:paraId="1A10EE08" w14:textId="77777777" w:rsidR="009848FC" w:rsidRPr="00FE591A" w:rsidRDefault="009848FC" w:rsidP="009848FC">
      <w:pPr>
        <w:pStyle w:val="NormalWeb"/>
        <w:numPr>
          <w:ilvl w:val="0"/>
          <w:numId w:val="34"/>
        </w:numPr>
        <w:spacing w:line="360" w:lineRule="auto"/>
        <w:jc w:val="both"/>
        <w:rPr>
          <w:rFonts w:ascii="Arial" w:hAnsi="Arial" w:cs="Arial"/>
          <w:color w:val="000000" w:themeColor="text1"/>
        </w:rPr>
      </w:pPr>
      <w:r w:rsidRPr="00FE591A">
        <w:rPr>
          <w:rFonts w:ascii="Arial" w:hAnsi="Arial" w:cs="Arial"/>
          <w:color w:val="000000" w:themeColor="text1"/>
        </w:rPr>
        <w:t>Investors may demand high returns or influence decision-making.</w:t>
      </w:r>
    </w:p>
    <w:p w14:paraId="16885C3C" w14:textId="6B4A107B" w:rsidR="009848FC" w:rsidRPr="00FE591A" w:rsidRDefault="009848FC" w:rsidP="00FE591A">
      <w:pPr>
        <w:pStyle w:val="NormalWeb"/>
        <w:numPr>
          <w:ilvl w:val="0"/>
          <w:numId w:val="34"/>
        </w:numPr>
        <w:spacing w:line="360" w:lineRule="auto"/>
        <w:jc w:val="both"/>
        <w:rPr>
          <w:rFonts w:ascii="Arial" w:hAnsi="Arial" w:cs="Arial"/>
          <w:color w:val="000000" w:themeColor="text1"/>
        </w:rPr>
      </w:pPr>
      <w:r w:rsidRPr="00FE591A">
        <w:rPr>
          <w:rFonts w:ascii="Arial" w:hAnsi="Arial" w:cs="Arial"/>
          <w:color w:val="000000" w:themeColor="text1"/>
        </w:rPr>
        <w:t>Not all businesses meet the risk-reward profile that VCs look for</w:t>
      </w:r>
      <w:r w:rsidR="00FE591A" w:rsidRPr="00FE591A">
        <w:rPr>
          <w:rFonts w:ascii="Arial" w:hAnsi="Arial" w:cs="Arial"/>
          <w:color w:val="000000" w:themeColor="text1"/>
        </w:rPr>
        <w:t xml:space="preserve"> (Vipond, 2025)</w:t>
      </w:r>
      <w:r w:rsidRPr="00FE591A">
        <w:rPr>
          <w:rFonts w:ascii="Arial" w:hAnsi="Arial" w:cs="Arial"/>
          <w:color w:val="000000" w:themeColor="text1"/>
        </w:rPr>
        <w:t>.</w:t>
      </w:r>
    </w:p>
    <w:p w14:paraId="534EF577" w14:textId="65D51954" w:rsidR="009848FC" w:rsidRPr="00FE591A" w:rsidRDefault="00182019" w:rsidP="00182019">
      <w:pPr>
        <w:rPr>
          <w:rFonts w:ascii="Arial" w:eastAsiaTheme="majorEastAsia" w:hAnsi="Arial" w:cs="Arial"/>
          <w:color w:val="000000" w:themeColor="text1"/>
          <w:sz w:val="28"/>
          <w:szCs w:val="32"/>
        </w:rPr>
      </w:pPr>
      <w:r w:rsidRPr="00FE591A">
        <w:rPr>
          <w:rFonts w:ascii="Arial" w:hAnsi="Arial" w:cs="Arial"/>
          <w:color w:val="000000" w:themeColor="text1"/>
        </w:rPr>
        <w:t>To finance the investment programme efficiently, it is recommended that Jordons Plc uses a mix of retained earnings and a bank loan as the primary sources</w:t>
      </w:r>
      <w:r w:rsidR="00FE591A" w:rsidRPr="00FE591A">
        <w:rPr>
          <w:rFonts w:ascii="Arial" w:hAnsi="Arial" w:cs="Arial"/>
          <w:color w:val="000000" w:themeColor="text1"/>
        </w:rPr>
        <w:t xml:space="preserve"> (Parker, 2024)</w:t>
      </w:r>
      <w:r w:rsidRPr="00FE591A">
        <w:rPr>
          <w:rFonts w:ascii="Arial" w:hAnsi="Arial" w:cs="Arial"/>
          <w:color w:val="000000" w:themeColor="text1"/>
        </w:rPr>
        <w:t>. Leasing or asset-based finance can be used for purchasing equipment, reducing upfront costs.</w:t>
      </w:r>
      <w:r w:rsidR="009848FC" w:rsidRPr="00FE591A">
        <w:rPr>
          <w:rFonts w:ascii="Arial" w:hAnsi="Arial" w:cs="Arial"/>
          <w:color w:val="000000" w:themeColor="text1"/>
        </w:rPr>
        <w:br w:type="page"/>
      </w:r>
    </w:p>
    <w:p w14:paraId="5B394365" w14:textId="2B50BC27" w:rsidR="00FC49A9" w:rsidRDefault="00CD1339" w:rsidP="00B171A3">
      <w:pPr>
        <w:pStyle w:val="Heading1"/>
        <w:spacing w:after="160"/>
        <w:rPr>
          <w:rFonts w:cs="Arial"/>
          <w:color w:val="000000" w:themeColor="text1"/>
        </w:rPr>
      </w:pPr>
      <w:bookmarkStart w:id="11" w:name="_Toc203898047"/>
      <w:r w:rsidRPr="00FE591A">
        <w:rPr>
          <w:rFonts w:cs="Arial"/>
          <w:color w:val="000000" w:themeColor="text1"/>
        </w:rPr>
        <w:lastRenderedPageBreak/>
        <w:t>References</w:t>
      </w:r>
      <w:bookmarkEnd w:id="11"/>
      <w:r w:rsidRPr="00FE591A">
        <w:rPr>
          <w:rFonts w:cs="Arial"/>
          <w:color w:val="000000" w:themeColor="text1"/>
        </w:rPr>
        <w:t xml:space="preserve"> </w:t>
      </w:r>
    </w:p>
    <w:p w14:paraId="67A6732A" w14:textId="5912DED9" w:rsidR="00B171A3" w:rsidRPr="00B171A3" w:rsidRDefault="00B171A3" w:rsidP="00B171A3">
      <w:pPr>
        <w:tabs>
          <w:tab w:val="left" w:pos="900"/>
        </w:tabs>
      </w:pPr>
      <w:r>
        <w:t>All cited materials are listed below in the reference list:</w:t>
      </w:r>
    </w:p>
    <w:p w14:paraId="778B00BD" w14:textId="0E332605" w:rsidR="00AA5534" w:rsidRPr="00FE591A" w:rsidRDefault="00B171A3" w:rsidP="00DE2329">
      <w:pPr>
        <w:rPr>
          <w:rFonts w:ascii="Arial" w:hAnsi="Arial" w:cs="Arial"/>
          <w:color w:val="000000" w:themeColor="text1"/>
          <w:lang w:val="en-IN"/>
        </w:rPr>
      </w:pPr>
      <w:r>
        <w:object w:dxaOrig="1287" w:dyaOrig="837" w14:anchorId="6C894D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4.5pt;height:42pt" o:ole="">
            <v:imagedata r:id="rId13" o:title=""/>
          </v:shape>
          <o:OLEObject Type="Embed" ProgID="Acrobat.Document.DC" ShapeID="_x0000_i1025" DrawAspect="Icon" ObjectID="_1814531589" r:id="rId14"/>
        </w:object>
      </w:r>
    </w:p>
    <w:p w14:paraId="37F985F9" w14:textId="6B4B9C31" w:rsidR="00DE2329" w:rsidRPr="00FE591A" w:rsidRDefault="00DE2329" w:rsidP="00DE2329">
      <w:pPr>
        <w:rPr>
          <w:rFonts w:ascii="Arial" w:hAnsi="Arial" w:cs="Arial"/>
          <w:color w:val="000000" w:themeColor="text1"/>
          <w:lang w:val="en-IN"/>
        </w:rPr>
      </w:pPr>
    </w:p>
    <w:p w14:paraId="6AB7E2B8" w14:textId="77777777" w:rsidR="00DE2329" w:rsidRPr="00FE591A" w:rsidRDefault="00DE2329" w:rsidP="005C5EB8">
      <w:pPr>
        <w:rPr>
          <w:rFonts w:ascii="Arial" w:hAnsi="Arial" w:cs="Arial"/>
          <w:color w:val="000000" w:themeColor="text1"/>
          <w:lang w:val="en-IN"/>
        </w:rPr>
      </w:pPr>
    </w:p>
    <w:p w14:paraId="51255F27" w14:textId="3C69DC54" w:rsidR="005C5EB8" w:rsidRPr="00FE591A" w:rsidRDefault="005C5EB8">
      <w:pPr>
        <w:spacing w:line="259" w:lineRule="auto"/>
        <w:jc w:val="left"/>
        <w:rPr>
          <w:rFonts w:ascii="Arial" w:hAnsi="Arial" w:cs="Arial"/>
          <w:color w:val="000000" w:themeColor="text1"/>
        </w:rPr>
      </w:pPr>
      <w:r w:rsidRPr="00FE591A">
        <w:rPr>
          <w:rFonts w:ascii="Arial" w:hAnsi="Arial" w:cs="Arial"/>
          <w:color w:val="000000" w:themeColor="text1"/>
        </w:rPr>
        <w:br w:type="page"/>
      </w:r>
    </w:p>
    <w:p w14:paraId="443651A4" w14:textId="49EB4ECD" w:rsidR="00CD1339" w:rsidRPr="00FE591A" w:rsidRDefault="005C5EB8" w:rsidP="005C5EB8">
      <w:pPr>
        <w:pStyle w:val="Heading1"/>
        <w:rPr>
          <w:rFonts w:cs="Arial"/>
          <w:color w:val="000000" w:themeColor="text1"/>
        </w:rPr>
      </w:pPr>
      <w:bookmarkStart w:id="12" w:name="_Toc203898048"/>
      <w:r w:rsidRPr="00FE591A">
        <w:rPr>
          <w:rFonts w:cs="Arial"/>
          <w:color w:val="000000" w:themeColor="text1"/>
        </w:rPr>
        <w:lastRenderedPageBreak/>
        <w:t>Appendi</w:t>
      </w:r>
      <w:r w:rsidR="00AA5534" w:rsidRPr="00FE591A">
        <w:rPr>
          <w:rFonts w:cs="Arial"/>
          <w:color w:val="000000" w:themeColor="text1"/>
        </w:rPr>
        <w:t>ces</w:t>
      </w:r>
      <w:bookmarkEnd w:id="12"/>
      <w:r w:rsidRPr="00FE591A">
        <w:rPr>
          <w:rFonts w:cs="Arial"/>
          <w:color w:val="000000" w:themeColor="text1"/>
        </w:rPr>
        <w:t xml:space="preserve"> </w:t>
      </w:r>
    </w:p>
    <w:p w14:paraId="1BBA1545" w14:textId="76BC05A6" w:rsidR="005C5EB8" w:rsidRPr="00FE591A" w:rsidRDefault="005C5EB8" w:rsidP="005C5EB8">
      <w:pPr>
        <w:pStyle w:val="Heading2"/>
        <w:rPr>
          <w:rFonts w:cs="Arial"/>
          <w:color w:val="000000" w:themeColor="text1"/>
        </w:rPr>
      </w:pPr>
      <w:bookmarkStart w:id="13" w:name="_Toc203898049"/>
      <w:r w:rsidRPr="00FE591A">
        <w:rPr>
          <w:rFonts w:cs="Arial"/>
          <w:color w:val="000000" w:themeColor="text1"/>
        </w:rPr>
        <w:t>Financial Statement</w:t>
      </w:r>
      <w:bookmarkEnd w:id="13"/>
    </w:p>
    <w:p w14:paraId="6B0B7FDE" w14:textId="27578C3A" w:rsidR="005C5EB8" w:rsidRPr="00FE591A" w:rsidRDefault="00B56D77" w:rsidP="005C5EB8">
      <w:pPr>
        <w:rPr>
          <w:rFonts w:ascii="Arial" w:hAnsi="Arial" w:cs="Arial"/>
          <w:color w:val="000000" w:themeColor="text1"/>
        </w:rPr>
      </w:pPr>
      <w:r w:rsidRPr="00FE591A">
        <w:rPr>
          <w:rFonts w:ascii="Arial" w:hAnsi="Arial" w:cs="Arial"/>
          <w:color w:val="000000" w:themeColor="text1"/>
        </w:rPr>
        <w:object w:dxaOrig="1520" w:dyaOrig="987" w14:anchorId="54B511DD">
          <v:shape id="_x0000_i1026" type="#_x0000_t75" style="width:76.5pt;height:49.5pt" o:ole="">
            <v:imagedata r:id="rId15" o:title=""/>
          </v:shape>
          <o:OLEObject Type="Embed" ProgID="Acrobat.Document.DC" ShapeID="_x0000_i1026" DrawAspect="Icon" ObjectID="_1814531590" r:id="rId16"/>
        </w:object>
      </w:r>
    </w:p>
    <w:p w14:paraId="65DFDAC6" w14:textId="77777777" w:rsidR="00AC1806" w:rsidRPr="00FE591A" w:rsidRDefault="00AC1806" w:rsidP="00AC1806">
      <w:pPr>
        <w:rPr>
          <w:rFonts w:ascii="Arial" w:hAnsi="Arial" w:cs="Arial"/>
          <w:color w:val="000000" w:themeColor="text1"/>
        </w:rPr>
      </w:pPr>
    </w:p>
    <w:p w14:paraId="28A3E5DE" w14:textId="77777777" w:rsidR="00AC1806" w:rsidRPr="00FE591A" w:rsidRDefault="00AC1806" w:rsidP="00AC1806">
      <w:pPr>
        <w:keepNext/>
        <w:jc w:val="center"/>
        <w:rPr>
          <w:rFonts w:ascii="Arial" w:hAnsi="Arial" w:cs="Arial"/>
          <w:color w:val="000000" w:themeColor="text1"/>
        </w:rPr>
      </w:pPr>
      <w:r w:rsidRPr="00FE591A">
        <w:rPr>
          <w:rFonts w:ascii="Arial" w:hAnsi="Arial" w:cs="Arial"/>
          <w:noProof/>
          <w:color w:val="000000" w:themeColor="text1"/>
        </w:rPr>
        <w:drawing>
          <wp:inline distT="0" distB="0" distL="0" distR="0" wp14:anchorId="2F48FC17" wp14:editId="1DFBCAA3">
            <wp:extent cx="5731510" cy="3256915"/>
            <wp:effectExtent l="0" t="0" r="2540" b="635"/>
            <wp:docPr id="99638382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383823" name="Picture 1" descr="A screenshot of a computer screen&#10;&#10;AI-generated content may be incorrect."/>
                    <pic:cNvPicPr/>
                  </pic:nvPicPr>
                  <pic:blipFill>
                    <a:blip r:embed="rId17"/>
                    <a:stretch>
                      <a:fillRect/>
                    </a:stretch>
                  </pic:blipFill>
                  <pic:spPr>
                    <a:xfrm>
                      <a:off x="0" y="0"/>
                      <a:ext cx="5731510" cy="3256915"/>
                    </a:xfrm>
                    <a:prstGeom prst="rect">
                      <a:avLst/>
                    </a:prstGeom>
                  </pic:spPr>
                </pic:pic>
              </a:graphicData>
            </a:graphic>
          </wp:inline>
        </w:drawing>
      </w:r>
    </w:p>
    <w:p w14:paraId="57D8BE49" w14:textId="20F3C802" w:rsidR="00AC1806" w:rsidRPr="00FE591A" w:rsidRDefault="00AC1806" w:rsidP="00AC1806">
      <w:pPr>
        <w:pStyle w:val="Caption"/>
        <w:jc w:val="center"/>
        <w:rPr>
          <w:rFonts w:ascii="Arial" w:hAnsi="Arial" w:cs="Arial"/>
          <w:color w:val="000000" w:themeColor="text1"/>
        </w:rPr>
      </w:pPr>
      <w:r w:rsidRPr="00FE591A">
        <w:rPr>
          <w:rFonts w:ascii="Arial" w:hAnsi="Arial" w:cs="Arial"/>
          <w:color w:val="000000" w:themeColor="text1"/>
        </w:rPr>
        <w:t xml:space="preserve">Figure </w:t>
      </w:r>
      <w:r w:rsidRPr="00FE591A">
        <w:rPr>
          <w:rFonts w:ascii="Arial" w:hAnsi="Arial" w:cs="Arial"/>
          <w:color w:val="000000" w:themeColor="text1"/>
        </w:rPr>
        <w:fldChar w:fldCharType="begin"/>
      </w:r>
      <w:r w:rsidRPr="00FE591A">
        <w:rPr>
          <w:rFonts w:ascii="Arial" w:hAnsi="Arial" w:cs="Arial"/>
          <w:color w:val="000000" w:themeColor="text1"/>
        </w:rPr>
        <w:instrText xml:space="preserve"> SEQ Figure \* ARABIC </w:instrText>
      </w:r>
      <w:r w:rsidRPr="00FE591A">
        <w:rPr>
          <w:rFonts w:ascii="Arial" w:hAnsi="Arial" w:cs="Arial"/>
          <w:color w:val="000000" w:themeColor="text1"/>
        </w:rPr>
        <w:fldChar w:fldCharType="separate"/>
      </w:r>
      <w:r w:rsidRPr="00FE591A">
        <w:rPr>
          <w:rFonts w:ascii="Arial" w:hAnsi="Arial" w:cs="Arial"/>
          <w:noProof/>
          <w:color w:val="000000" w:themeColor="text1"/>
        </w:rPr>
        <w:t>1</w:t>
      </w:r>
      <w:r w:rsidRPr="00FE591A">
        <w:rPr>
          <w:rFonts w:ascii="Arial" w:hAnsi="Arial" w:cs="Arial"/>
          <w:color w:val="000000" w:themeColor="text1"/>
        </w:rPr>
        <w:fldChar w:fldCharType="end"/>
      </w:r>
      <w:r w:rsidRPr="00FE591A">
        <w:rPr>
          <w:rFonts w:ascii="Arial" w:hAnsi="Arial" w:cs="Arial"/>
          <w:color w:val="000000" w:themeColor="text1"/>
          <w:lang w:val="en-US"/>
        </w:rPr>
        <w:t>: Consolidated Balance Sheet</w:t>
      </w:r>
    </w:p>
    <w:p w14:paraId="66AA26F1" w14:textId="77777777" w:rsidR="00AC1806" w:rsidRPr="00FE591A" w:rsidRDefault="00AC1806" w:rsidP="00AC1806">
      <w:pPr>
        <w:keepNext/>
        <w:jc w:val="center"/>
        <w:rPr>
          <w:rFonts w:ascii="Arial" w:hAnsi="Arial" w:cs="Arial"/>
          <w:color w:val="000000" w:themeColor="text1"/>
        </w:rPr>
      </w:pPr>
      <w:r w:rsidRPr="00FE591A">
        <w:rPr>
          <w:rFonts w:ascii="Arial" w:hAnsi="Arial" w:cs="Arial"/>
          <w:noProof/>
          <w:color w:val="000000" w:themeColor="text1"/>
          <w:lang w:val="en-IN"/>
        </w:rPr>
        <w:drawing>
          <wp:inline distT="0" distB="0" distL="0" distR="0" wp14:anchorId="5F997F3E" wp14:editId="6C70E055">
            <wp:extent cx="5236210" cy="2863498"/>
            <wp:effectExtent l="0" t="0" r="2540" b="0"/>
            <wp:docPr id="13453126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312690" name="Picture 1" descr="A screenshot of a computer&#10;&#10;AI-generated content may be incorrect."/>
                    <pic:cNvPicPr/>
                  </pic:nvPicPr>
                  <pic:blipFill>
                    <a:blip r:embed="rId18"/>
                    <a:stretch>
                      <a:fillRect/>
                    </a:stretch>
                  </pic:blipFill>
                  <pic:spPr>
                    <a:xfrm>
                      <a:off x="0" y="0"/>
                      <a:ext cx="5236949" cy="2863902"/>
                    </a:xfrm>
                    <a:prstGeom prst="rect">
                      <a:avLst/>
                    </a:prstGeom>
                  </pic:spPr>
                </pic:pic>
              </a:graphicData>
            </a:graphic>
          </wp:inline>
        </w:drawing>
      </w:r>
    </w:p>
    <w:p w14:paraId="3108E6FD" w14:textId="54370791" w:rsidR="00AC1806" w:rsidRPr="00FE591A" w:rsidRDefault="00AC1806" w:rsidP="00AC1806">
      <w:pPr>
        <w:pStyle w:val="Caption"/>
        <w:jc w:val="center"/>
        <w:rPr>
          <w:rFonts w:ascii="Arial" w:hAnsi="Arial" w:cs="Arial"/>
          <w:color w:val="000000" w:themeColor="text1"/>
          <w:lang w:val="en-IN"/>
        </w:rPr>
      </w:pPr>
      <w:r w:rsidRPr="00FE591A">
        <w:rPr>
          <w:rFonts w:ascii="Arial" w:hAnsi="Arial" w:cs="Arial"/>
          <w:color w:val="000000" w:themeColor="text1"/>
        </w:rPr>
        <w:t xml:space="preserve">Figure </w:t>
      </w:r>
      <w:r w:rsidRPr="00FE591A">
        <w:rPr>
          <w:rFonts w:ascii="Arial" w:hAnsi="Arial" w:cs="Arial"/>
          <w:color w:val="000000" w:themeColor="text1"/>
        </w:rPr>
        <w:fldChar w:fldCharType="begin"/>
      </w:r>
      <w:r w:rsidRPr="00FE591A">
        <w:rPr>
          <w:rFonts w:ascii="Arial" w:hAnsi="Arial" w:cs="Arial"/>
          <w:color w:val="000000" w:themeColor="text1"/>
        </w:rPr>
        <w:instrText xml:space="preserve"> SEQ Figure \* ARABIC </w:instrText>
      </w:r>
      <w:r w:rsidRPr="00FE591A">
        <w:rPr>
          <w:rFonts w:ascii="Arial" w:hAnsi="Arial" w:cs="Arial"/>
          <w:color w:val="000000" w:themeColor="text1"/>
        </w:rPr>
        <w:fldChar w:fldCharType="separate"/>
      </w:r>
      <w:r w:rsidRPr="00FE591A">
        <w:rPr>
          <w:rFonts w:ascii="Arial" w:hAnsi="Arial" w:cs="Arial"/>
          <w:noProof/>
          <w:color w:val="000000" w:themeColor="text1"/>
        </w:rPr>
        <w:t>2</w:t>
      </w:r>
      <w:r w:rsidRPr="00FE591A">
        <w:rPr>
          <w:rFonts w:ascii="Arial" w:hAnsi="Arial" w:cs="Arial"/>
          <w:color w:val="000000" w:themeColor="text1"/>
        </w:rPr>
        <w:fldChar w:fldCharType="end"/>
      </w:r>
      <w:r w:rsidRPr="00FE591A">
        <w:rPr>
          <w:rFonts w:ascii="Arial" w:hAnsi="Arial" w:cs="Arial"/>
          <w:color w:val="000000" w:themeColor="text1"/>
          <w:lang w:val="en-US"/>
        </w:rPr>
        <w:t>: Consolidated Income Statement</w:t>
      </w:r>
    </w:p>
    <w:p w14:paraId="07026165" w14:textId="140ECA02" w:rsidR="00AA5534" w:rsidRPr="00FE591A" w:rsidRDefault="00AA5534" w:rsidP="00AA5534">
      <w:pPr>
        <w:pStyle w:val="Heading2"/>
        <w:rPr>
          <w:rFonts w:cs="Arial"/>
          <w:color w:val="000000" w:themeColor="text1"/>
        </w:rPr>
      </w:pPr>
      <w:bookmarkStart w:id="14" w:name="_Toc203898050"/>
      <w:r w:rsidRPr="00FE591A">
        <w:rPr>
          <w:rFonts w:cs="Arial"/>
          <w:color w:val="000000" w:themeColor="text1"/>
        </w:rPr>
        <w:lastRenderedPageBreak/>
        <w:t>Required Calculations</w:t>
      </w:r>
      <w:bookmarkEnd w:id="14"/>
      <w:r w:rsidRPr="00FE591A">
        <w:rPr>
          <w:rFonts w:cs="Arial"/>
          <w:color w:val="000000" w:themeColor="text1"/>
        </w:rPr>
        <w:t xml:space="preserve"> </w:t>
      </w:r>
    </w:p>
    <w:tbl>
      <w:tblPr>
        <w:tblW w:w="9010" w:type="dxa"/>
        <w:tblCellMar>
          <w:left w:w="0" w:type="dxa"/>
          <w:right w:w="0" w:type="dxa"/>
        </w:tblCellMar>
        <w:tblLook w:val="04A0" w:firstRow="1" w:lastRow="0" w:firstColumn="1" w:lastColumn="0" w:noHBand="0" w:noVBand="1"/>
      </w:tblPr>
      <w:tblGrid>
        <w:gridCol w:w="1400"/>
        <w:gridCol w:w="1843"/>
        <w:gridCol w:w="2662"/>
        <w:gridCol w:w="907"/>
        <w:gridCol w:w="1291"/>
        <w:gridCol w:w="907"/>
      </w:tblGrid>
      <w:tr w:rsidR="00FE591A" w:rsidRPr="00FE591A" w14:paraId="127467EA"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4D6D2E"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Ratio Category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623589"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Ratio Formula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AC889B"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2024 Calculation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019939"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2024 Result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5FDD60"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2023 Calculation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BC722A"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2023 Result</w:t>
            </w:r>
          </w:p>
        </w:tc>
      </w:tr>
      <w:tr w:rsidR="00FE591A" w:rsidRPr="00FE591A" w14:paraId="5CC496F3"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C32765"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Profitability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CB1EB0"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652D57"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892F8F"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F24955"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F4072F" w14:textId="77777777" w:rsidR="00AA5534" w:rsidRPr="00FE591A" w:rsidRDefault="00AA5534" w:rsidP="00AA5534">
            <w:pPr>
              <w:rPr>
                <w:rFonts w:ascii="Arial" w:hAnsi="Arial" w:cs="Arial"/>
                <w:color w:val="000000" w:themeColor="text1"/>
                <w:lang w:val="en-IN"/>
              </w:rPr>
            </w:pPr>
          </w:p>
        </w:tc>
      </w:tr>
      <w:tr w:rsidR="00FE591A" w:rsidRPr="00FE591A" w14:paraId="53BF2D46"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DFD24C"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Gross Profit Margin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93AEA3"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(Revenue - Cost of Sales) / Revenue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9F74F7"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(2,675.9 - 1,007.4) / 2,675.9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56E1BA"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62.40%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1E66AD"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(2,114.6 - 787.2) / 2,114.6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55C6F9"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62.80%</w:t>
            </w:r>
          </w:p>
        </w:tc>
      </w:tr>
      <w:tr w:rsidR="00FE591A" w:rsidRPr="00FE591A" w14:paraId="17596223"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38C925"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Operating Profit Margin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896DCD"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Earnings from Operations / Revenue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4637BF"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367.8 / 2,675.9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D59843"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13.70%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3F4889"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442.7 / 2,114.6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CE95E6"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20.90%</w:t>
            </w:r>
          </w:p>
        </w:tc>
      </w:tr>
      <w:tr w:rsidR="00FE591A" w:rsidRPr="00FE591A" w14:paraId="1DCA2661"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169A6D"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Net Profit Margin*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2F2CE7"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Net (Loss)/Earnings from Continuing Operations / Revenue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DA6392"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(234.6) / 2,675.9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2AC716"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-8.80%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2451D0"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42.7 / 2,114.6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636298"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2.00%</w:t>
            </w:r>
          </w:p>
        </w:tc>
      </w:tr>
      <w:tr w:rsidR="00FE591A" w:rsidRPr="00FE591A" w14:paraId="3F475F6F"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2F23D0"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Return on Assets (ROA)*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7DD4D3"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Net (Loss)/Earnings from Continuing Operations / 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5AA301"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(234.6) / 5,513.4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2C3D0B"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-4.30%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2ECD7A"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42.7 / 5,858.5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8D8C2C"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0.70%</w:t>
            </w:r>
          </w:p>
        </w:tc>
      </w:tr>
      <w:tr w:rsidR="00FE591A" w:rsidRPr="00FE591A" w14:paraId="27B44984"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24EAEF"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Return on Equity (ROE)*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55A2DA"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Net (Loss)/Earnings from Continuing Operations Attributable to Shareholders / Equity Attributable to Shareholders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55385F"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(293.9) / 2,705.5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B6070AC"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-10.90%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CF605C"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(23.2) / 3,225.5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B07639"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-0.70%</w:t>
            </w:r>
          </w:p>
        </w:tc>
      </w:tr>
      <w:tr w:rsidR="00FE591A" w:rsidRPr="00FE591A" w14:paraId="32F4A8BD"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751A81"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lastRenderedPageBreak/>
              <w:t>Liquidity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86A0A2"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CD0B32"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333450"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6AAEEA"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C51648" w14:textId="77777777" w:rsidR="00AA5534" w:rsidRPr="00FE591A" w:rsidRDefault="00AA5534" w:rsidP="00AA5534">
            <w:pPr>
              <w:rPr>
                <w:rFonts w:ascii="Arial" w:hAnsi="Arial" w:cs="Arial"/>
                <w:color w:val="000000" w:themeColor="text1"/>
                <w:lang w:val="en-IN"/>
              </w:rPr>
            </w:pPr>
          </w:p>
        </w:tc>
      </w:tr>
      <w:tr w:rsidR="00FE591A" w:rsidRPr="00FE591A" w14:paraId="46A2CAC6"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FA39AB"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Current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833B40"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Current Assets /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84CFE8"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964.8 / 821.7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28BFF7"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59218C"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1,120.2 / 613.4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68E841"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1.83</w:t>
            </w:r>
          </w:p>
        </w:tc>
      </w:tr>
      <w:tr w:rsidR="00FE591A" w:rsidRPr="00FE591A" w14:paraId="4FFBB683"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49DA81"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Quick Ratio (Acid-Test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507922"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(Current Assets - Inventories) /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43C0FB"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(964.8 - 339.2) / 821.7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4F166E"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0.76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1C4B1D"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(1,120.2 - 224.9) / 613.4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7A4026"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1.46</w:t>
            </w:r>
          </w:p>
        </w:tc>
      </w:tr>
      <w:tr w:rsidR="00FE591A" w:rsidRPr="00FE591A" w14:paraId="2DAB50A1"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95AF16"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Gearing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6A9D42"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1FC4A5"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C7B559"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84F524"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BD4FCD" w14:textId="77777777" w:rsidR="00AA5534" w:rsidRPr="00FE591A" w:rsidRDefault="00AA5534" w:rsidP="00AA5534">
            <w:pPr>
              <w:rPr>
                <w:rFonts w:ascii="Arial" w:hAnsi="Arial" w:cs="Arial"/>
                <w:color w:val="000000" w:themeColor="text1"/>
                <w:lang w:val="en-IN"/>
              </w:rPr>
            </w:pPr>
          </w:p>
        </w:tc>
      </w:tr>
      <w:tr w:rsidR="00FE591A" w:rsidRPr="00FE591A" w14:paraId="34EBDC90"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40EC35"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Debt-to-Equity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B27E2C"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Total Liabilities / Total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9F64C7"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2,520.5 / 2,992.9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EA1DCF"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0.84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8636D0"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2,310.2 / 3,548.3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F18E46"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0.65</w:t>
            </w:r>
          </w:p>
        </w:tc>
      </w:tr>
      <w:tr w:rsidR="00FE591A" w:rsidRPr="00FE591A" w14:paraId="4C5B4D37"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793E94"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Debt-to-Assets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628B6E"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Total Liabilities / 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8BE8BC"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2,520.5 / 5,513.4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6C2BBF"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0.46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D701BF"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2,310.2 / 5,858.5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6AE18B"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0.39</w:t>
            </w:r>
          </w:p>
        </w:tc>
      </w:tr>
      <w:tr w:rsidR="00FE591A" w:rsidRPr="00FE591A" w14:paraId="65F1FA5F"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AE07E7"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Efficiency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720959"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DD92C5"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545792"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B06B3B"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0EA58D" w14:textId="77777777" w:rsidR="00AA5534" w:rsidRPr="00FE591A" w:rsidRDefault="00AA5534" w:rsidP="00AA5534">
            <w:pPr>
              <w:rPr>
                <w:rFonts w:ascii="Arial" w:hAnsi="Arial" w:cs="Arial"/>
                <w:color w:val="000000" w:themeColor="text1"/>
                <w:lang w:val="en-IN"/>
              </w:rPr>
            </w:pPr>
          </w:p>
        </w:tc>
      </w:tr>
      <w:tr w:rsidR="00FE591A" w:rsidRPr="00FE591A" w14:paraId="6D7CFF7D"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1EFAF0"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Asset Turnover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8D764C"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Revenue / 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00026B"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2,675.9 / 5,513.4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69C7A5"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0.48 times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1CD9AF"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2,114.6 / 5,858.5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D7F91E"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0.36 times</w:t>
            </w:r>
          </w:p>
        </w:tc>
      </w:tr>
      <w:tr w:rsidR="00FE591A" w:rsidRPr="00FE591A" w14:paraId="76EEC047"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624788"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Inventory Turnover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5F269E"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Cost of Sales / Inventories (Avg. or End of Period)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5938C3"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1,007.4 / 339.2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E387FA"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2.97 times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E45450"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787.2 / 224.9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8380BD"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3.50 times</w:t>
            </w:r>
          </w:p>
        </w:tc>
      </w:tr>
      <w:tr w:rsidR="00FE591A" w:rsidRPr="00FE591A" w14:paraId="7BB6AD6A"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535A08"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Days Sales Outstanding (DSO)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B1B0A8"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(Trade and Other Receivables / Revenue) * 365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D30F5F"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(150.6 / 2,675.9) * 365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019065"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20.5 days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0D4736"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(269.2 / 2,114.6) * 365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71B842"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46.5 days</w:t>
            </w:r>
          </w:p>
        </w:tc>
      </w:tr>
      <w:tr w:rsidR="00FE591A" w:rsidRPr="00FE591A" w14:paraId="5E56004F"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27BBDD"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Investor Ratios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15EC69B"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F6006D"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7B2073"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98C739" w14:textId="77777777" w:rsidR="00AA5534" w:rsidRPr="00FE591A" w:rsidRDefault="00AA5534" w:rsidP="00AA5534">
            <w:pPr>
              <w:rPr>
                <w:rFonts w:ascii="Arial" w:hAnsi="Arial" w:cs="Arial"/>
                <w:color w:val="000000" w:themeColor="text1"/>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1FC1AD" w14:textId="77777777" w:rsidR="00AA5534" w:rsidRPr="00FE591A" w:rsidRDefault="00AA5534" w:rsidP="00AA5534">
            <w:pPr>
              <w:rPr>
                <w:rFonts w:ascii="Arial" w:hAnsi="Arial" w:cs="Arial"/>
                <w:color w:val="000000" w:themeColor="text1"/>
                <w:lang w:val="en-IN"/>
              </w:rPr>
            </w:pPr>
          </w:p>
        </w:tc>
      </w:tr>
      <w:tr w:rsidR="00FE591A" w:rsidRPr="00FE591A" w14:paraId="1CB7F3A0"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56B749"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lastRenderedPageBreak/>
              <w:t>Basic EPS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C2242B"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(Loss)/Earnings attributable to shareholders / Weighted Avg. Shares Outstanding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F24563"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(300.2) / 244 (million shares)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5CB08B"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-$1.23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EDAC92"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(208.9) / 246 (million shares)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024258" w14:textId="77777777" w:rsidR="00AA5534" w:rsidRPr="00FE591A" w:rsidRDefault="00AA5534" w:rsidP="00AA5534">
            <w:pPr>
              <w:rPr>
                <w:rFonts w:ascii="Arial" w:hAnsi="Arial" w:cs="Arial"/>
                <w:color w:val="000000" w:themeColor="text1"/>
                <w:lang w:val="en-IN"/>
              </w:rPr>
            </w:pPr>
            <w:r w:rsidRPr="00FE591A">
              <w:rPr>
                <w:rFonts w:ascii="Arial" w:hAnsi="Arial" w:cs="Arial"/>
                <w:color w:val="000000" w:themeColor="text1"/>
                <w:lang w:val="en-IN"/>
              </w:rPr>
              <w:t>-$0.85</w:t>
            </w:r>
          </w:p>
        </w:tc>
      </w:tr>
      <w:tr w:rsidR="00FE591A" w:rsidRPr="00FE591A" w14:paraId="16469A80"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0D1C43DA" w14:textId="0478DE40" w:rsidR="007B6748" w:rsidRPr="00FE591A" w:rsidRDefault="007B6748" w:rsidP="00AA5534">
            <w:pPr>
              <w:rPr>
                <w:rFonts w:ascii="Arial" w:hAnsi="Arial" w:cs="Arial"/>
                <w:color w:val="000000" w:themeColor="text1"/>
                <w:lang w:val="en-IN"/>
              </w:rPr>
            </w:pPr>
            <w:r w:rsidRPr="00FE591A">
              <w:rPr>
                <w:rFonts w:ascii="Arial" w:hAnsi="Arial" w:cs="Arial"/>
                <w:color w:val="000000" w:themeColor="text1"/>
                <w:lang w:val="en-IN"/>
              </w:rPr>
              <w:t>P/E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1063C57C" w14:textId="4DFF4332" w:rsidR="007B6748" w:rsidRPr="00FE591A" w:rsidRDefault="007B6748" w:rsidP="00AA5534">
            <w:pPr>
              <w:rPr>
                <w:rFonts w:ascii="Arial" w:hAnsi="Arial" w:cs="Arial"/>
                <w:color w:val="000000" w:themeColor="text1"/>
                <w:lang w:val="en-IN"/>
              </w:rPr>
            </w:pPr>
            <w:r w:rsidRPr="00FE591A">
              <w:rPr>
                <w:rFonts w:ascii="Arial" w:hAnsi="Arial" w:cs="Arial"/>
                <w:color w:val="000000" w:themeColor="text1"/>
                <w:lang w:val="en-IN"/>
              </w:rPr>
              <w:t>Market Price Per Share/Earnings Per Share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5E9BDDDE" w14:textId="05C227D9" w:rsidR="007B6748" w:rsidRPr="00FE591A" w:rsidRDefault="007B6748" w:rsidP="00AA5534">
            <w:pPr>
              <w:rPr>
                <w:rFonts w:ascii="Arial" w:hAnsi="Arial" w:cs="Arial"/>
                <w:color w:val="000000" w:themeColor="text1"/>
                <w:lang w:val="en-IN"/>
              </w:rPr>
            </w:pPr>
            <w:r w:rsidRPr="00FE591A">
              <w:rPr>
                <w:rFonts w:ascii="Arial" w:hAnsi="Arial" w:cs="Arial"/>
                <w:color w:val="000000" w:themeColor="text1"/>
                <w:lang w:val="en-IN"/>
              </w:rPr>
              <w:t>18.15/-1.23</w:t>
            </w:r>
            <w:r w:rsidRPr="00FE591A">
              <w:rPr>
                <w:rFonts w:ascii="Arial" w:hAnsi="Arial" w:cs="Arial"/>
                <w:color w:val="000000" w:themeColor="text1"/>
                <w:lang w:val="en-IN"/>
              </w:rPr>
              <w:tab/>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1C9B73DA" w14:textId="3AFCCA43" w:rsidR="007B6748" w:rsidRPr="00FE591A" w:rsidRDefault="007B6748" w:rsidP="00AA5534">
            <w:pPr>
              <w:rPr>
                <w:rFonts w:ascii="Arial" w:hAnsi="Arial" w:cs="Arial"/>
                <w:color w:val="000000" w:themeColor="text1"/>
                <w:lang w:val="en-IN"/>
              </w:rPr>
            </w:pPr>
            <w:r w:rsidRPr="00FE591A">
              <w:rPr>
                <w:rFonts w:ascii="Arial" w:hAnsi="Arial" w:cs="Arial"/>
                <w:color w:val="000000" w:themeColor="text1"/>
                <w:lang w:val="en-IN"/>
              </w:rPr>
              <w:t>-14.76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12B842BF" w14:textId="7A60A8E8" w:rsidR="007B6748" w:rsidRPr="00FE591A" w:rsidRDefault="007B6748" w:rsidP="00AA5534">
            <w:pPr>
              <w:rPr>
                <w:rFonts w:ascii="Arial" w:hAnsi="Arial" w:cs="Arial"/>
                <w:color w:val="000000" w:themeColor="text1"/>
                <w:lang w:val="en-IN"/>
              </w:rPr>
            </w:pPr>
            <w:r w:rsidRPr="00FE591A">
              <w:rPr>
                <w:rFonts w:ascii="Arial" w:hAnsi="Arial" w:cs="Arial"/>
                <w:color w:val="000000" w:themeColor="text1"/>
                <w:lang w:val="en-IN"/>
              </w:rPr>
              <w:t>22.13/-0.85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41E556FA" w14:textId="5933F9B7" w:rsidR="007B6748" w:rsidRPr="00FE591A" w:rsidRDefault="007B6748" w:rsidP="00AA5534">
            <w:pPr>
              <w:rPr>
                <w:rFonts w:ascii="Arial" w:hAnsi="Arial" w:cs="Arial"/>
                <w:color w:val="000000" w:themeColor="text1"/>
                <w:lang w:val="en-IN"/>
              </w:rPr>
            </w:pPr>
            <w:r w:rsidRPr="00FE591A">
              <w:rPr>
                <w:rFonts w:ascii="Arial" w:hAnsi="Arial" w:cs="Arial"/>
                <w:color w:val="000000" w:themeColor="text1"/>
                <w:lang w:val="en-IN"/>
              </w:rPr>
              <w:t>-26.03</w:t>
            </w:r>
          </w:p>
        </w:tc>
      </w:tr>
      <w:tr w:rsidR="00FE591A" w:rsidRPr="00FE591A" w14:paraId="63FB0381" w14:textId="77777777" w:rsidTr="007B674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4DDD0125" w14:textId="4724C6DB" w:rsidR="00A0589B" w:rsidRPr="00FE591A" w:rsidRDefault="00A0589B" w:rsidP="00AA5534">
            <w:pPr>
              <w:rPr>
                <w:rFonts w:ascii="Arial" w:hAnsi="Arial" w:cs="Arial"/>
                <w:color w:val="000000" w:themeColor="text1"/>
                <w:lang w:val="en-IN"/>
              </w:rPr>
            </w:pPr>
            <w:r w:rsidRPr="00FE591A">
              <w:rPr>
                <w:rFonts w:ascii="Arial" w:hAnsi="Arial" w:cs="Arial"/>
                <w:color w:val="000000" w:themeColor="text1"/>
                <w:lang w:val="en-IN"/>
              </w:rPr>
              <w:t>Gearing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3281B731" w14:textId="6EE04B06" w:rsidR="00A0589B" w:rsidRPr="00FE591A" w:rsidRDefault="00A0589B" w:rsidP="00AA5534">
            <w:pPr>
              <w:rPr>
                <w:rFonts w:ascii="Arial" w:hAnsi="Arial" w:cs="Arial"/>
                <w:color w:val="000000" w:themeColor="text1"/>
                <w:lang w:val="en-IN"/>
              </w:rPr>
            </w:pPr>
            <w:r w:rsidRPr="00FE591A">
              <w:rPr>
                <w:rFonts w:ascii="Arial" w:hAnsi="Arial" w:cs="Arial"/>
                <w:color w:val="000000" w:themeColor="text1"/>
                <w:lang w:val="en-IN"/>
              </w:rPr>
              <w:t>Debt/</w:t>
            </w:r>
            <w:r w:rsidR="00025F5D" w:rsidRPr="00FE591A">
              <w:rPr>
                <w:rFonts w:ascii="Arial" w:hAnsi="Arial" w:cs="Arial"/>
                <w:color w:val="000000" w:themeColor="text1"/>
                <w:lang w:val="en-IN"/>
              </w:rPr>
              <w:t>(</w:t>
            </w:r>
            <w:r w:rsidRPr="00FE591A">
              <w:rPr>
                <w:rFonts w:ascii="Arial" w:hAnsi="Arial" w:cs="Arial"/>
                <w:color w:val="000000" w:themeColor="text1"/>
                <w:lang w:val="en-IN"/>
              </w:rPr>
              <w:t>Debt + Equity</w:t>
            </w:r>
            <w:r w:rsidR="00025F5D" w:rsidRPr="00FE591A">
              <w:rPr>
                <w:rFonts w:ascii="Arial" w:hAnsi="Arial" w:cs="Arial"/>
                <w:color w:val="000000" w:themeColor="text1"/>
                <w:lang w:val="en-IN"/>
              </w:rPr>
              <w: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355DA8F8" w14:textId="527282B0" w:rsidR="00A0589B" w:rsidRPr="00FE591A" w:rsidRDefault="00025F5D" w:rsidP="00AA5534">
            <w:pPr>
              <w:rPr>
                <w:rFonts w:ascii="Arial" w:hAnsi="Arial" w:cs="Arial"/>
                <w:color w:val="000000" w:themeColor="text1"/>
                <w:lang w:val="en-IN"/>
              </w:rPr>
            </w:pPr>
            <w:r w:rsidRPr="00FE591A">
              <w:rPr>
                <w:rFonts w:ascii="Arial" w:hAnsi="Arial" w:cs="Arial"/>
                <w:color w:val="000000" w:themeColor="text1"/>
                <w:lang w:val="en-IN"/>
              </w:rPr>
              <w:t xml:space="preserve">1111.2/(1111.2+4104.1)  </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65280796" w14:textId="25A5655F" w:rsidR="00A0589B" w:rsidRPr="00FE591A" w:rsidRDefault="00025F5D" w:rsidP="00AA5534">
            <w:pPr>
              <w:rPr>
                <w:rFonts w:ascii="Arial" w:hAnsi="Arial" w:cs="Arial"/>
                <w:color w:val="000000" w:themeColor="text1"/>
                <w:lang w:val="en-IN"/>
              </w:rPr>
            </w:pPr>
            <w:r w:rsidRPr="00FE591A">
              <w:rPr>
                <w:rFonts w:ascii="Arial" w:hAnsi="Arial" w:cs="Arial"/>
                <w:color w:val="000000" w:themeColor="text1"/>
                <w:lang w:val="en-IN"/>
              </w:rPr>
              <w:t>0.27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4BB7E8FF" w14:textId="0F0487FE" w:rsidR="00A0589B" w:rsidRPr="00FE591A" w:rsidRDefault="00025F5D" w:rsidP="00AA5534">
            <w:pPr>
              <w:rPr>
                <w:rFonts w:ascii="Arial" w:hAnsi="Arial" w:cs="Arial"/>
                <w:color w:val="000000" w:themeColor="text1"/>
                <w:lang w:val="en-IN"/>
              </w:rPr>
            </w:pPr>
            <w:r w:rsidRPr="00FE591A">
              <w:rPr>
                <w:rFonts w:ascii="Arial" w:hAnsi="Arial" w:cs="Arial"/>
                <w:color w:val="000000" w:themeColor="text1"/>
                <w:lang w:val="en-IN"/>
              </w:rPr>
              <w:t>1074.2/</w:t>
            </w:r>
            <w:r w:rsidRPr="00FE591A">
              <w:rPr>
                <w:rFonts w:ascii="Arial" w:hAnsi="Arial" w:cs="Arial"/>
                <w:color w:val="000000" w:themeColor="text1"/>
              </w:rPr>
              <w:t xml:space="preserve"> (</w:t>
            </w:r>
            <w:r w:rsidRPr="00FE591A">
              <w:rPr>
                <w:rFonts w:ascii="Arial" w:hAnsi="Arial" w:cs="Arial"/>
                <w:color w:val="000000" w:themeColor="text1"/>
                <w:lang w:val="en-IN"/>
              </w:rPr>
              <w:t>1074.2+</w:t>
            </w:r>
            <w:r w:rsidRPr="00FE591A">
              <w:rPr>
                <w:rFonts w:ascii="Arial" w:hAnsi="Arial" w:cs="Arial"/>
                <w:color w:val="000000" w:themeColor="text1"/>
              </w:rPr>
              <w:t xml:space="preserve"> </w:t>
            </w:r>
            <w:r w:rsidRPr="00FE591A">
              <w:rPr>
                <w:rFonts w:ascii="Arial" w:hAnsi="Arial" w:cs="Arial"/>
                <w:color w:val="000000" w:themeColor="text1"/>
                <w:lang w:val="en-IN"/>
              </w:rPr>
              <w:t>3548.3)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tcPr>
          <w:p w14:paraId="697260DE" w14:textId="76774B66" w:rsidR="00A0589B" w:rsidRPr="00FE591A" w:rsidRDefault="00025F5D" w:rsidP="00AA5534">
            <w:pPr>
              <w:rPr>
                <w:rFonts w:ascii="Arial" w:hAnsi="Arial" w:cs="Arial"/>
                <w:color w:val="000000" w:themeColor="text1"/>
                <w:lang w:val="en-IN"/>
              </w:rPr>
            </w:pPr>
            <w:r w:rsidRPr="00FE591A">
              <w:rPr>
                <w:rFonts w:ascii="Arial" w:hAnsi="Arial" w:cs="Arial"/>
                <w:color w:val="000000" w:themeColor="text1"/>
                <w:lang w:val="en-IN"/>
              </w:rPr>
              <w:t>0.23</w:t>
            </w:r>
          </w:p>
        </w:tc>
      </w:tr>
    </w:tbl>
    <w:p w14:paraId="28319014" w14:textId="77777777" w:rsidR="00AA5534" w:rsidRPr="00FE591A" w:rsidRDefault="00AA5534" w:rsidP="00AA5534">
      <w:pPr>
        <w:rPr>
          <w:rFonts w:ascii="Arial" w:hAnsi="Arial" w:cs="Arial"/>
          <w:color w:val="000000" w:themeColor="text1"/>
        </w:rPr>
      </w:pPr>
    </w:p>
    <w:sectPr w:rsidR="00AA5534" w:rsidRPr="00FE591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AC94C" w14:textId="77777777" w:rsidR="005F7A5B" w:rsidRDefault="005F7A5B" w:rsidP="00D932AD">
      <w:pPr>
        <w:spacing w:after="0" w:line="240" w:lineRule="auto"/>
      </w:pPr>
      <w:r>
        <w:separator/>
      </w:r>
    </w:p>
  </w:endnote>
  <w:endnote w:type="continuationSeparator" w:id="0">
    <w:p w14:paraId="546F7B8D" w14:textId="77777777" w:rsidR="005F7A5B" w:rsidRDefault="005F7A5B" w:rsidP="00D93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318310"/>
      <w:docPartObj>
        <w:docPartGallery w:val="Page Numbers (Bottom of Page)"/>
        <w:docPartUnique/>
      </w:docPartObj>
    </w:sdtPr>
    <w:sdtEndPr>
      <w:rPr>
        <w:noProof/>
      </w:rPr>
    </w:sdtEndPr>
    <w:sdtContent>
      <w:p w14:paraId="5B7ED0BE" w14:textId="41220E18" w:rsidR="00D932AD" w:rsidRDefault="00D932AD">
        <w:pPr>
          <w:pStyle w:val="Footer"/>
        </w:pPr>
        <w:r>
          <w:fldChar w:fldCharType="begin"/>
        </w:r>
        <w:r>
          <w:instrText xml:space="preserve"> PAGE   \* MERGEFORMAT </w:instrText>
        </w:r>
        <w:r>
          <w:fldChar w:fldCharType="separate"/>
        </w:r>
        <w:r>
          <w:rPr>
            <w:noProof/>
          </w:rPr>
          <w:t>2</w:t>
        </w:r>
        <w:r>
          <w:rPr>
            <w:noProof/>
          </w:rPr>
          <w:fldChar w:fldCharType="end"/>
        </w:r>
      </w:p>
    </w:sdtContent>
  </w:sdt>
  <w:p w14:paraId="7AEEA4D8" w14:textId="77777777" w:rsidR="00D932AD" w:rsidRDefault="00D93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F2BB6" w14:textId="77777777" w:rsidR="005F7A5B" w:rsidRDefault="005F7A5B" w:rsidP="00D932AD">
      <w:pPr>
        <w:spacing w:after="0" w:line="240" w:lineRule="auto"/>
      </w:pPr>
      <w:r>
        <w:separator/>
      </w:r>
    </w:p>
  </w:footnote>
  <w:footnote w:type="continuationSeparator" w:id="0">
    <w:p w14:paraId="3EEB9C20" w14:textId="77777777" w:rsidR="005F7A5B" w:rsidRDefault="005F7A5B" w:rsidP="00D93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841E3"/>
    <w:multiLevelType w:val="hybridMultilevel"/>
    <w:tmpl w:val="D9DE9DD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245E18"/>
    <w:multiLevelType w:val="multilevel"/>
    <w:tmpl w:val="FE943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846C6"/>
    <w:multiLevelType w:val="multilevel"/>
    <w:tmpl w:val="BAB087C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FD449D"/>
    <w:multiLevelType w:val="multilevel"/>
    <w:tmpl w:val="1896B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432033"/>
    <w:multiLevelType w:val="multilevel"/>
    <w:tmpl w:val="141A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B97FCF"/>
    <w:multiLevelType w:val="multilevel"/>
    <w:tmpl w:val="13A06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0C539B"/>
    <w:multiLevelType w:val="hybridMultilevel"/>
    <w:tmpl w:val="3C56213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2182B42"/>
    <w:multiLevelType w:val="multilevel"/>
    <w:tmpl w:val="71206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FE377D"/>
    <w:multiLevelType w:val="multilevel"/>
    <w:tmpl w:val="02C20C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594105"/>
    <w:multiLevelType w:val="multilevel"/>
    <w:tmpl w:val="27D22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6B37F8"/>
    <w:multiLevelType w:val="multilevel"/>
    <w:tmpl w:val="DDAC9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076AB1"/>
    <w:multiLevelType w:val="multilevel"/>
    <w:tmpl w:val="9C724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B3681"/>
    <w:multiLevelType w:val="multilevel"/>
    <w:tmpl w:val="878200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DC7BDE"/>
    <w:multiLevelType w:val="multilevel"/>
    <w:tmpl w:val="68CA7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5B03D8"/>
    <w:multiLevelType w:val="multilevel"/>
    <w:tmpl w:val="6B622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B95984"/>
    <w:multiLevelType w:val="multilevel"/>
    <w:tmpl w:val="36746AB4"/>
    <w:lvl w:ilvl="0">
      <w:start w:val="1"/>
      <w:numFmt w:val="bullet"/>
      <w:lvlText w:val=""/>
      <w:lvlJc w:val="left"/>
      <w:pPr>
        <w:tabs>
          <w:tab w:val="num" w:pos="720"/>
        </w:tabs>
        <w:ind w:left="720" w:hanging="360"/>
      </w:pPr>
      <w:rPr>
        <w:rFonts w:ascii="Symbol" w:hAnsi="Symbol" w:hint="default"/>
        <w:sz w:val="20"/>
      </w:rPr>
    </w:lvl>
    <w:lvl w:ilvl="1">
      <w:start w:val="2"/>
      <w:numFmt w:val="upperLetter"/>
      <w:lvlText w:val="(%2)"/>
      <w:lvlJc w:val="left"/>
      <w:pPr>
        <w:ind w:left="1440" w:hanging="360"/>
      </w:pPr>
      <w:rPr>
        <w:rFonts w:hint="default"/>
        <w:b/>
      </w:rPr>
    </w:lvl>
    <w:lvl w:ilvl="2">
      <w:start w:val="1"/>
      <w:numFmt w:val="upp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A806CB"/>
    <w:multiLevelType w:val="hybridMultilevel"/>
    <w:tmpl w:val="7BCE085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C284D63"/>
    <w:multiLevelType w:val="multilevel"/>
    <w:tmpl w:val="3EF81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89753D"/>
    <w:multiLevelType w:val="hybridMultilevel"/>
    <w:tmpl w:val="0B40E41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6B63A88"/>
    <w:multiLevelType w:val="multilevel"/>
    <w:tmpl w:val="643827C8"/>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DE409E"/>
    <w:multiLevelType w:val="hybridMultilevel"/>
    <w:tmpl w:val="4A806E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86E3EF4"/>
    <w:multiLevelType w:val="multilevel"/>
    <w:tmpl w:val="AA32C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D0537E"/>
    <w:multiLevelType w:val="multilevel"/>
    <w:tmpl w:val="B41AC7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CF5E65"/>
    <w:multiLevelType w:val="multilevel"/>
    <w:tmpl w:val="1DE64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4E5EB5"/>
    <w:multiLevelType w:val="multilevel"/>
    <w:tmpl w:val="2D24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1A437B"/>
    <w:multiLevelType w:val="hybridMultilevel"/>
    <w:tmpl w:val="59A2F6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EC5059B"/>
    <w:multiLevelType w:val="multilevel"/>
    <w:tmpl w:val="82E64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DB5180"/>
    <w:multiLevelType w:val="multilevel"/>
    <w:tmpl w:val="BA18C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FA2F66"/>
    <w:multiLevelType w:val="multilevel"/>
    <w:tmpl w:val="53F44AC8"/>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393701"/>
    <w:multiLevelType w:val="multilevel"/>
    <w:tmpl w:val="B9FC8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E26F7F"/>
    <w:multiLevelType w:val="multilevel"/>
    <w:tmpl w:val="34200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A2041C"/>
    <w:multiLevelType w:val="multilevel"/>
    <w:tmpl w:val="B4049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164828"/>
    <w:multiLevelType w:val="multilevel"/>
    <w:tmpl w:val="E6281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0F0E7F"/>
    <w:multiLevelType w:val="multilevel"/>
    <w:tmpl w:val="B1EE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5E35A1"/>
    <w:multiLevelType w:val="multilevel"/>
    <w:tmpl w:val="26F84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FB5CC5"/>
    <w:multiLevelType w:val="multilevel"/>
    <w:tmpl w:val="50FE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097139"/>
    <w:multiLevelType w:val="multilevel"/>
    <w:tmpl w:val="BC7A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1A6F0D"/>
    <w:multiLevelType w:val="hybridMultilevel"/>
    <w:tmpl w:val="1194A64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02087558">
    <w:abstractNumId w:val="19"/>
  </w:num>
  <w:num w:numId="2" w16cid:durableId="1342929554">
    <w:abstractNumId w:val="28"/>
  </w:num>
  <w:num w:numId="3" w16cid:durableId="549196188">
    <w:abstractNumId w:val="12"/>
  </w:num>
  <w:num w:numId="4" w16cid:durableId="134418887">
    <w:abstractNumId w:val="6"/>
  </w:num>
  <w:num w:numId="5" w16cid:durableId="655844849">
    <w:abstractNumId w:val="32"/>
  </w:num>
  <w:num w:numId="6" w16cid:durableId="1744596435">
    <w:abstractNumId w:val="7"/>
  </w:num>
  <w:num w:numId="7" w16cid:durableId="1681464740">
    <w:abstractNumId w:val="1"/>
  </w:num>
  <w:num w:numId="8" w16cid:durableId="1263369989">
    <w:abstractNumId w:val="22"/>
  </w:num>
  <w:num w:numId="9" w16cid:durableId="780614148">
    <w:abstractNumId w:val="15"/>
  </w:num>
  <w:num w:numId="10" w16cid:durableId="49308074">
    <w:abstractNumId w:val="33"/>
  </w:num>
  <w:num w:numId="11" w16cid:durableId="1666132947">
    <w:abstractNumId w:val="8"/>
  </w:num>
  <w:num w:numId="12" w16cid:durableId="977035532">
    <w:abstractNumId w:val="10"/>
  </w:num>
  <w:num w:numId="13" w16cid:durableId="1035276143">
    <w:abstractNumId w:val="18"/>
  </w:num>
  <w:num w:numId="14" w16cid:durableId="297879506">
    <w:abstractNumId w:val="0"/>
  </w:num>
  <w:num w:numId="15" w16cid:durableId="641617840">
    <w:abstractNumId w:val="20"/>
  </w:num>
  <w:num w:numId="16" w16cid:durableId="492990798">
    <w:abstractNumId w:val="34"/>
  </w:num>
  <w:num w:numId="17" w16cid:durableId="1122961087">
    <w:abstractNumId w:val="37"/>
  </w:num>
  <w:num w:numId="18" w16cid:durableId="935403361">
    <w:abstractNumId w:val="36"/>
  </w:num>
  <w:num w:numId="19" w16cid:durableId="1925064488">
    <w:abstractNumId w:val="2"/>
  </w:num>
  <w:num w:numId="20" w16cid:durableId="1067535648">
    <w:abstractNumId w:val="26"/>
  </w:num>
  <w:num w:numId="21" w16cid:durableId="405080830">
    <w:abstractNumId w:val="9"/>
  </w:num>
  <w:num w:numId="22" w16cid:durableId="139425110">
    <w:abstractNumId w:val="24"/>
  </w:num>
  <w:num w:numId="23" w16cid:durableId="1108894176">
    <w:abstractNumId w:val="13"/>
  </w:num>
  <w:num w:numId="24" w16cid:durableId="884023856">
    <w:abstractNumId w:val="3"/>
  </w:num>
  <w:num w:numId="25" w16cid:durableId="975791127">
    <w:abstractNumId w:val="17"/>
  </w:num>
  <w:num w:numId="26" w16cid:durableId="1394698626">
    <w:abstractNumId w:val="5"/>
  </w:num>
  <w:num w:numId="27" w16cid:durableId="871842205">
    <w:abstractNumId w:val="29"/>
  </w:num>
  <w:num w:numId="28" w16cid:durableId="472984842">
    <w:abstractNumId w:val="35"/>
  </w:num>
  <w:num w:numId="29" w16cid:durableId="1210263853">
    <w:abstractNumId w:val="4"/>
  </w:num>
  <w:num w:numId="30" w16cid:durableId="540940481">
    <w:abstractNumId w:val="21"/>
  </w:num>
  <w:num w:numId="31" w16cid:durableId="953637549">
    <w:abstractNumId w:val="27"/>
  </w:num>
  <w:num w:numId="32" w16cid:durableId="1906261722">
    <w:abstractNumId w:val="23"/>
  </w:num>
  <w:num w:numId="33" w16cid:durableId="1264534379">
    <w:abstractNumId w:val="31"/>
  </w:num>
  <w:num w:numId="34" w16cid:durableId="4283965">
    <w:abstractNumId w:val="11"/>
  </w:num>
  <w:num w:numId="35" w16cid:durableId="2047876360">
    <w:abstractNumId w:val="14"/>
  </w:num>
  <w:num w:numId="36" w16cid:durableId="1798450139">
    <w:abstractNumId w:val="30"/>
  </w:num>
  <w:num w:numId="37" w16cid:durableId="693045216">
    <w:abstractNumId w:val="25"/>
  </w:num>
  <w:num w:numId="38" w16cid:durableId="839852609">
    <w:abstractNumId w:val="1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MytTCxNDQxNjQ2NDNQ0lEKTi0uzszPAykwrQUACH54XywAAAA="/>
  </w:docVars>
  <w:rsids>
    <w:rsidRoot w:val="004678EA"/>
    <w:rsid w:val="0000474C"/>
    <w:rsid w:val="00014F52"/>
    <w:rsid w:val="00022614"/>
    <w:rsid w:val="00025F5D"/>
    <w:rsid w:val="000326F3"/>
    <w:rsid w:val="00032CC9"/>
    <w:rsid w:val="0005407A"/>
    <w:rsid w:val="000666C3"/>
    <w:rsid w:val="000D124C"/>
    <w:rsid w:val="00106345"/>
    <w:rsid w:val="0015726F"/>
    <w:rsid w:val="00182019"/>
    <w:rsid w:val="001F4028"/>
    <w:rsid w:val="0021579A"/>
    <w:rsid w:val="002B1971"/>
    <w:rsid w:val="002C7C05"/>
    <w:rsid w:val="003362DB"/>
    <w:rsid w:val="00423885"/>
    <w:rsid w:val="004678EA"/>
    <w:rsid w:val="00477B5B"/>
    <w:rsid w:val="00482C19"/>
    <w:rsid w:val="004D6604"/>
    <w:rsid w:val="005147AE"/>
    <w:rsid w:val="00576270"/>
    <w:rsid w:val="005A6B3E"/>
    <w:rsid w:val="005C5EB8"/>
    <w:rsid w:val="005F7A5B"/>
    <w:rsid w:val="005F7C69"/>
    <w:rsid w:val="006050C4"/>
    <w:rsid w:val="00633324"/>
    <w:rsid w:val="00646F93"/>
    <w:rsid w:val="0065315F"/>
    <w:rsid w:val="00674179"/>
    <w:rsid w:val="00706F48"/>
    <w:rsid w:val="00767FD0"/>
    <w:rsid w:val="00793860"/>
    <w:rsid w:val="007A34E9"/>
    <w:rsid w:val="007B6748"/>
    <w:rsid w:val="007D43F0"/>
    <w:rsid w:val="00810881"/>
    <w:rsid w:val="008319B2"/>
    <w:rsid w:val="008360DE"/>
    <w:rsid w:val="008C4B4F"/>
    <w:rsid w:val="008E3634"/>
    <w:rsid w:val="008F6C61"/>
    <w:rsid w:val="00933962"/>
    <w:rsid w:val="00945A48"/>
    <w:rsid w:val="00982688"/>
    <w:rsid w:val="009848FC"/>
    <w:rsid w:val="00A0589B"/>
    <w:rsid w:val="00A317B5"/>
    <w:rsid w:val="00A74C20"/>
    <w:rsid w:val="00AA5534"/>
    <w:rsid w:val="00AA71E7"/>
    <w:rsid w:val="00AC1806"/>
    <w:rsid w:val="00AF2555"/>
    <w:rsid w:val="00B1113F"/>
    <w:rsid w:val="00B171A3"/>
    <w:rsid w:val="00B43A22"/>
    <w:rsid w:val="00B466CD"/>
    <w:rsid w:val="00B5375D"/>
    <w:rsid w:val="00B56D77"/>
    <w:rsid w:val="00BA50D5"/>
    <w:rsid w:val="00BF50FD"/>
    <w:rsid w:val="00C911DF"/>
    <w:rsid w:val="00C929D0"/>
    <w:rsid w:val="00CA0DDD"/>
    <w:rsid w:val="00CD1339"/>
    <w:rsid w:val="00CD3CA8"/>
    <w:rsid w:val="00D04BAA"/>
    <w:rsid w:val="00D37E5A"/>
    <w:rsid w:val="00D579B9"/>
    <w:rsid w:val="00D65254"/>
    <w:rsid w:val="00D87D29"/>
    <w:rsid w:val="00D932AD"/>
    <w:rsid w:val="00D939DB"/>
    <w:rsid w:val="00DB4DD3"/>
    <w:rsid w:val="00DE2329"/>
    <w:rsid w:val="00DF7E4D"/>
    <w:rsid w:val="00E6019A"/>
    <w:rsid w:val="00E6444B"/>
    <w:rsid w:val="00EB6A79"/>
    <w:rsid w:val="00ED2927"/>
    <w:rsid w:val="00F31082"/>
    <w:rsid w:val="00F449A6"/>
    <w:rsid w:val="00F9277C"/>
    <w:rsid w:val="00FA66CF"/>
    <w:rsid w:val="00FB2ABB"/>
    <w:rsid w:val="00FC49A9"/>
    <w:rsid w:val="00FE36EF"/>
    <w:rsid w:val="00FE496F"/>
    <w:rsid w:val="00FE591A"/>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202C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F5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B171A3"/>
    <w:pPr>
      <w:keepNext/>
      <w:keepLines/>
      <w:spacing w:before="240" w:after="0"/>
      <w:outlineLvl w:val="0"/>
    </w:pPr>
    <w:rPr>
      <w:rFonts w:ascii="Arial" w:eastAsiaTheme="majorEastAsia" w:hAnsi="Arial" w:cstheme="majorBidi"/>
      <w:b/>
      <w:color w:val="0F4761" w:themeColor="accent1" w:themeShade="BF"/>
      <w:sz w:val="28"/>
      <w:szCs w:val="32"/>
    </w:rPr>
  </w:style>
  <w:style w:type="paragraph" w:styleId="Heading2">
    <w:name w:val="heading 2"/>
    <w:basedOn w:val="Normal"/>
    <w:next w:val="Normal"/>
    <w:link w:val="Heading2Char"/>
    <w:autoRedefine/>
    <w:uiPriority w:val="9"/>
    <w:unhideWhenUsed/>
    <w:qFormat/>
    <w:rsid w:val="00B171A3"/>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8C4B4F"/>
    <w:pPr>
      <w:keepNext/>
      <w:keepLines/>
      <w:spacing w:before="160" w:after="80"/>
      <w:outlineLvl w:val="2"/>
    </w:pPr>
    <w:rPr>
      <w:rFonts w:asciiTheme="minorHAnsi" w:eastAsiaTheme="majorEastAsia" w:hAnsiTheme="minorHAnsi"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4678E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678E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678E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678E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78E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78E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1A3"/>
    <w:rPr>
      <w:rFonts w:ascii="Arial" w:eastAsiaTheme="majorEastAsia" w:hAnsi="Arial" w:cstheme="majorBidi"/>
      <w:b/>
      <w:color w:val="0F4761" w:themeColor="accent1" w:themeShade="BF"/>
      <w:kern w:val="0"/>
      <w:sz w:val="28"/>
      <w:szCs w:val="32"/>
      <w:lang w:val="en-GB"/>
      <w14:ligatures w14:val="none"/>
    </w:rPr>
  </w:style>
  <w:style w:type="character" w:customStyle="1" w:styleId="Heading2Char">
    <w:name w:val="Heading 2 Char"/>
    <w:basedOn w:val="DefaultParagraphFont"/>
    <w:link w:val="Heading2"/>
    <w:uiPriority w:val="9"/>
    <w:rsid w:val="00B171A3"/>
    <w:rPr>
      <w:rFonts w:ascii="Arial" w:eastAsiaTheme="majorEastAsia" w:hAnsi="Arial" w:cstheme="majorBidi"/>
      <w:b/>
      <w:kern w:val="0"/>
      <w:sz w:val="24"/>
      <w:szCs w:val="32"/>
      <w:lang w:val="en-GB"/>
      <w14:ligatures w14:val="none"/>
    </w:rPr>
  </w:style>
  <w:style w:type="character" w:customStyle="1" w:styleId="Heading3Char">
    <w:name w:val="Heading 3 Char"/>
    <w:basedOn w:val="DefaultParagraphFont"/>
    <w:link w:val="Heading3"/>
    <w:uiPriority w:val="9"/>
    <w:rsid w:val="008C4B4F"/>
    <w:rPr>
      <w:rFonts w:eastAsiaTheme="majorEastAsia" w:cstheme="majorBidi"/>
      <w:b/>
      <w:color w:val="0F4761" w:themeColor="accent1" w:themeShade="BF"/>
      <w:kern w:val="0"/>
      <w:sz w:val="24"/>
      <w:szCs w:val="28"/>
      <w:lang w:val="en-GB"/>
      <w14:ligatures w14:val="none"/>
    </w:rPr>
  </w:style>
  <w:style w:type="character" w:customStyle="1" w:styleId="Heading4Char">
    <w:name w:val="Heading 4 Char"/>
    <w:basedOn w:val="DefaultParagraphFont"/>
    <w:link w:val="Heading4"/>
    <w:uiPriority w:val="9"/>
    <w:semiHidden/>
    <w:rsid w:val="004678EA"/>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678EA"/>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678EA"/>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678EA"/>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678EA"/>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678EA"/>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678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8E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4678E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8E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678EA"/>
    <w:pPr>
      <w:spacing w:before="160"/>
      <w:jc w:val="center"/>
    </w:pPr>
    <w:rPr>
      <w:i/>
      <w:iCs/>
      <w:color w:val="404040" w:themeColor="text1" w:themeTint="BF"/>
    </w:rPr>
  </w:style>
  <w:style w:type="character" w:customStyle="1" w:styleId="QuoteChar">
    <w:name w:val="Quote Char"/>
    <w:basedOn w:val="DefaultParagraphFont"/>
    <w:link w:val="Quote"/>
    <w:uiPriority w:val="29"/>
    <w:rsid w:val="004678EA"/>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678EA"/>
    <w:pPr>
      <w:ind w:left="720"/>
      <w:contextualSpacing/>
    </w:pPr>
  </w:style>
  <w:style w:type="character" w:styleId="IntenseEmphasis">
    <w:name w:val="Intense Emphasis"/>
    <w:basedOn w:val="DefaultParagraphFont"/>
    <w:uiPriority w:val="21"/>
    <w:qFormat/>
    <w:rsid w:val="004678EA"/>
    <w:rPr>
      <w:i/>
      <w:iCs/>
      <w:color w:val="0F4761" w:themeColor="accent1" w:themeShade="BF"/>
    </w:rPr>
  </w:style>
  <w:style w:type="paragraph" w:styleId="IntenseQuote">
    <w:name w:val="Intense Quote"/>
    <w:basedOn w:val="Normal"/>
    <w:next w:val="Normal"/>
    <w:link w:val="IntenseQuoteChar"/>
    <w:uiPriority w:val="30"/>
    <w:qFormat/>
    <w:rsid w:val="004678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8EA"/>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678EA"/>
    <w:rPr>
      <w:b/>
      <w:bCs/>
      <w:smallCaps/>
      <w:color w:val="0F4761" w:themeColor="accent1" w:themeShade="BF"/>
      <w:spacing w:val="5"/>
    </w:rPr>
  </w:style>
  <w:style w:type="table" w:styleId="TableGrid">
    <w:name w:val="Table Grid"/>
    <w:basedOn w:val="TableNormal"/>
    <w:uiPriority w:val="39"/>
    <w:rsid w:val="00336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D43F0"/>
    <w:rPr>
      <w:color w:val="666666"/>
    </w:rPr>
  </w:style>
  <w:style w:type="character" w:styleId="Strong">
    <w:name w:val="Strong"/>
    <w:basedOn w:val="DefaultParagraphFont"/>
    <w:uiPriority w:val="22"/>
    <w:qFormat/>
    <w:rsid w:val="00ED2927"/>
    <w:rPr>
      <w:b/>
      <w:bCs/>
    </w:rPr>
  </w:style>
  <w:style w:type="paragraph" w:styleId="NormalWeb">
    <w:name w:val="Normal (Web)"/>
    <w:basedOn w:val="Normal"/>
    <w:uiPriority w:val="99"/>
    <w:unhideWhenUsed/>
    <w:rsid w:val="00ED2927"/>
    <w:pPr>
      <w:spacing w:before="100" w:beforeAutospacing="1" w:after="100" w:afterAutospacing="1" w:line="240" w:lineRule="auto"/>
      <w:jc w:val="left"/>
    </w:pPr>
    <w:rPr>
      <w:rFonts w:eastAsia="Times New Roman" w:cs="Times New Roman"/>
      <w:szCs w:val="24"/>
      <w:lang w:val="en-IN" w:eastAsia="en-IN" w:bidi="bn-BD"/>
    </w:rPr>
  </w:style>
  <w:style w:type="table" w:styleId="GridTable4-Accent4">
    <w:name w:val="Grid Table 4 Accent 4"/>
    <w:basedOn w:val="TableNormal"/>
    <w:uiPriority w:val="49"/>
    <w:rsid w:val="00AA71E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customStyle="1" w:styleId="selected">
    <w:name w:val="selected"/>
    <w:basedOn w:val="DefaultParagraphFont"/>
    <w:rsid w:val="00AA71E7"/>
  </w:style>
  <w:style w:type="paragraph" w:styleId="Header">
    <w:name w:val="header"/>
    <w:basedOn w:val="Normal"/>
    <w:link w:val="HeaderChar"/>
    <w:uiPriority w:val="99"/>
    <w:unhideWhenUsed/>
    <w:rsid w:val="00D93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2AD"/>
    <w:rPr>
      <w:rFonts w:ascii="Times New Roman" w:hAnsi="Times New Roman"/>
      <w:kern w:val="0"/>
      <w:sz w:val="24"/>
      <w:lang w:val="en-GB"/>
      <w14:ligatures w14:val="none"/>
    </w:rPr>
  </w:style>
  <w:style w:type="paragraph" w:styleId="Footer">
    <w:name w:val="footer"/>
    <w:basedOn w:val="Normal"/>
    <w:link w:val="FooterChar"/>
    <w:uiPriority w:val="99"/>
    <w:unhideWhenUsed/>
    <w:rsid w:val="00D93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2AD"/>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E6019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E6019A"/>
    <w:pPr>
      <w:spacing w:after="100"/>
    </w:pPr>
  </w:style>
  <w:style w:type="paragraph" w:styleId="TOC2">
    <w:name w:val="toc 2"/>
    <w:basedOn w:val="Normal"/>
    <w:next w:val="Normal"/>
    <w:autoRedefine/>
    <w:uiPriority w:val="39"/>
    <w:unhideWhenUsed/>
    <w:rsid w:val="00E6019A"/>
    <w:pPr>
      <w:spacing w:after="100"/>
      <w:ind w:left="240"/>
    </w:pPr>
  </w:style>
  <w:style w:type="character" w:styleId="Hyperlink">
    <w:name w:val="Hyperlink"/>
    <w:basedOn w:val="DefaultParagraphFont"/>
    <w:uiPriority w:val="99"/>
    <w:unhideWhenUsed/>
    <w:rsid w:val="00E6019A"/>
    <w:rPr>
      <w:color w:val="467886" w:themeColor="hyperlink"/>
      <w:u w:val="single"/>
    </w:rPr>
  </w:style>
  <w:style w:type="character" w:styleId="UnresolvedMention">
    <w:name w:val="Unresolved Mention"/>
    <w:basedOn w:val="DefaultParagraphFont"/>
    <w:uiPriority w:val="99"/>
    <w:semiHidden/>
    <w:unhideWhenUsed/>
    <w:rsid w:val="00DE2329"/>
    <w:rPr>
      <w:color w:val="605E5C"/>
      <w:shd w:val="clear" w:color="auto" w:fill="E1DFDD"/>
    </w:rPr>
  </w:style>
  <w:style w:type="character" w:customStyle="1" w:styleId="mord">
    <w:name w:val="mord"/>
    <w:basedOn w:val="DefaultParagraphFont"/>
    <w:rsid w:val="00032CC9"/>
  </w:style>
  <w:style w:type="character" w:customStyle="1" w:styleId="vlist-s">
    <w:name w:val="vlist-s"/>
    <w:basedOn w:val="DefaultParagraphFont"/>
    <w:rsid w:val="00032CC9"/>
  </w:style>
  <w:style w:type="character" w:styleId="Emphasis">
    <w:name w:val="Emphasis"/>
    <w:basedOn w:val="DefaultParagraphFont"/>
    <w:uiPriority w:val="20"/>
    <w:qFormat/>
    <w:rsid w:val="009848FC"/>
    <w:rPr>
      <w:i/>
      <w:iCs/>
    </w:rPr>
  </w:style>
  <w:style w:type="paragraph" w:styleId="Caption">
    <w:name w:val="caption"/>
    <w:basedOn w:val="Normal"/>
    <w:next w:val="Normal"/>
    <w:uiPriority w:val="35"/>
    <w:unhideWhenUsed/>
    <w:qFormat/>
    <w:rsid w:val="00AC180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49553">
      <w:bodyDiv w:val="1"/>
      <w:marLeft w:val="0"/>
      <w:marRight w:val="0"/>
      <w:marTop w:val="0"/>
      <w:marBottom w:val="0"/>
      <w:divBdr>
        <w:top w:val="none" w:sz="0" w:space="0" w:color="auto"/>
        <w:left w:val="none" w:sz="0" w:space="0" w:color="auto"/>
        <w:bottom w:val="none" w:sz="0" w:space="0" w:color="auto"/>
        <w:right w:val="none" w:sz="0" w:space="0" w:color="auto"/>
      </w:divBdr>
    </w:div>
    <w:div w:id="40903881">
      <w:bodyDiv w:val="1"/>
      <w:marLeft w:val="0"/>
      <w:marRight w:val="0"/>
      <w:marTop w:val="0"/>
      <w:marBottom w:val="0"/>
      <w:divBdr>
        <w:top w:val="none" w:sz="0" w:space="0" w:color="auto"/>
        <w:left w:val="none" w:sz="0" w:space="0" w:color="auto"/>
        <w:bottom w:val="none" w:sz="0" w:space="0" w:color="auto"/>
        <w:right w:val="none" w:sz="0" w:space="0" w:color="auto"/>
      </w:divBdr>
    </w:div>
    <w:div w:id="51463506">
      <w:bodyDiv w:val="1"/>
      <w:marLeft w:val="0"/>
      <w:marRight w:val="0"/>
      <w:marTop w:val="0"/>
      <w:marBottom w:val="0"/>
      <w:divBdr>
        <w:top w:val="none" w:sz="0" w:space="0" w:color="auto"/>
        <w:left w:val="none" w:sz="0" w:space="0" w:color="auto"/>
        <w:bottom w:val="none" w:sz="0" w:space="0" w:color="auto"/>
        <w:right w:val="none" w:sz="0" w:space="0" w:color="auto"/>
      </w:divBdr>
    </w:div>
    <w:div w:id="52773060">
      <w:bodyDiv w:val="1"/>
      <w:marLeft w:val="0"/>
      <w:marRight w:val="0"/>
      <w:marTop w:val="0"/>
      <w:marBottom w:val="0"/>
      <w:divBdr>
        <w:top w:val="none" w:sz="0" w:space="0" w:color="auto"/>
        <w:left w:val="none" w:sz="0" w:space="0" w:color="auto"/>
        <w:bottom w:val="none" w:sz="0" w:space="0" w:color="auto"/>
        <w:right w:val="none" w:sz="0" w:space="0" w:color="auto"/>
      </w:divBdr>
    </w:div>
    <w:div w:id="67316099">
      <w:bodyDiv w:val="1"/>
      <w:marLeft w:val="0"/>
      <w:marRight w:val="0"/>
      <w:marTop w:val="0"/>
      <w:marBottom w:val="0"/>
      <w:divBdr>
        <w:top w:val="none" w:sz="0" w:space="0" w:color="auto"/>
        <w:left w:val="none" w:sz="0" w:space="0" w:color="auto"/>
        <w:bottom w:val="none" w:sz="0" w:space="0" w:color="auto"/>
        <w:right w:val="none" w:sz="0" w:space="0" w:color="auto"/>
      </w:divBdr>
    </w:div>
    <w:div w:id="68430557">
      <w:bodyDiv w:val="1"/>
      <w:marLeft w:val="0"/>
      <w:marRight w:val="0"/>
      <w:marTop w:val="0"/>
      <w:marBottom w:val="0"/>
      <w:divBdr>
        <w:top w:val="none" w:sz="0" w:space="0" w:color="auto"/>
        <w:left w:val="none" w:sz="0" w:space="0" w:color="auto"/>
        <w:bottom w:val="none" w:sz="0" w:space="0" w:color="auto"/>
        <w:right w:val="none" w:sz="0" w:space="0" w:color="auto"/>
      </w:divBdr>
    </w:div>
    <w:div w:id="71047890">
      <w:bodyDiv w:val="1"/>
      <w:marLeft w:val="0"/>
      <w:marRight w:val="0"/>
      <w:marTop w:val="0"/>
      <w:marBottom w:val="0"/>
      <w:divBdr>
        <w:top w:val="none" w:sz="0" w:space="0" w:color="auto"/>
        <w:left w:val="none" w:sz="0" w:space="0" w:color="auto"/>
        <w:bottom w:val="none" w:sz="0" w:space="0" w:color="auto"/>
        <w:right w:val="none" w:sz="0" w:space="0" w:color="auto"/>
      </w:divBdr>
    </w:div>
    <w:div w:id="85080277">
      <w:bodyDiv w:val="1"/>
      <w:marLeft w:val="0"/>
      <w:marRight w:val="0"/>
      <w:marTop w:val="0"/>
      <w:marBottom w:val="0"/>
      <w:divBdr>
        <w:top w:val="none" w:sz="0" w:space="0" w:color="auto"/>
        <w:left w:val="none" w:sz="0" w:space="0" w:color="auto"/>
        <w:bottom w:val="none" w:sz="0" w:space="0" w:color="auto"/>
        <w:right w:val="none" w:sz="0" w:space="0" w:color="auto"/>
      </w:divBdr>
    </w:div>
    <w:div w:id="90470843">
      <w:bodyDiv w:val="1"/>
      <w:marLeft w:val="0"/>
      <w:marRight w:val="0"/>
      <w:marTop w:val="0"/>
      <w:marBottom w:val="0"/>
      <w:divBdr>
        <w:top w:val="none" w:sz="0" w:space="0" w:color="auto"/>
        <w:left w:val="none" w:sz="0" w:space="0" w:color="auto"/>
        <w:bottom w:val="none" w:sz="0" w:space="0" w:color="auto"/>
        <w:right w:val="none" w:sz="0" w:space="0" w:color="auto"/>
      </w:divBdr>
    </w:div>
    <w:div w:id="145324213">
      <w:bodyDiv w:val="1"/>
      <w:marLeft w:val="0"/>
      <w:marRight w:val="0"/>
      <w:marTop w:val="0"/>
      <w:marBottom w:val="0"/>
      <w:divBdr>
        <w:top w:val="none" w:sz="0" w:space="0" w:color="auto"/>
        <w:left w:val="none" w:sz="0" w:space="0" w:color="auto"/>
        <w:bottom w:val="none" w:sz="0" w:space="0" w:color="auto"/>
        <w:right w:val="none" w:sz="0" w:space="0" w:color="auto"/>
      </w:divBdr>
    </w:div>
    <w:div w:id="177042164">
      <w:bodyDiv w:val="1"/>
      <w:marLeft w:val="0"/>
      <w:marRight w:val="0"/>
      <w:marTop w:val="0"/>
      <w:marBottom w:val="0"/>
      <w:divBdr>
        <w:top w:val="none" w:sz="0" w:space="0" w:color="auto"/>
        <w:left w:val="none" w:sz="0" w:space="0" w:color="auto"/>
        <w:bottom w:val="none" w:sz="0" w:space="0" w:color="auto"/>
        <w:right w:val="none" w:sz="0" w:space="0" w:color="auto"/>
      </w:divBdr>
    </w:div>
    <w:div w:id="267662848">
      <w:bodyDiv w:val="1"/>
      <w:marLeft w:val="0"/>
      <w:marRight w:val="0"/>
      <w:marTop w:val="0"/>
      <w:marBottom w:val="0"/>
      <w:divBdr>
        <w:top w:val="none" w:sz="0" w:space="0" w:color="auto"/>
        <w:left w:val="none" w:sz="0" w:space="0" w:color="auto"/>
        <w:bottom w:val="none" w:sz="0" w:space="0" w:color="auto"/>
        <w:right w:val="none" w:sz="0" w:space="0" w:color="auto"/>
      </w:divBdr>
    </w:div>
    <w:div w:id="293949133">
      <w:bodyDiv w:val="1"/>
      <w:marLeft w:val="0"/>
      <w:marRight w:val="0"/>
      <w:marTop w:val="0"/>
      <w:marBottom w:val="0"/>
      <w:divBdr>
        <w:top w:val="none" w:sz="0" w:space="0" w:color="auto"/>
        <w:left w:val="none" w:sz="0" w:space="0" w:color="auto"/>
        <w:bottom w:val="none" w:sz="0" w:space="0" w:color="auto"/>
        <w:right w:val="none" w:sz="0" w:space="0" w:color="auto"/>
      </w:divBdr>
    </w:div>
    <w:div w:id="310641177">
      <w:bodyDiv w:val="1"/>
      <w:marLeft w:val="0"/>
      <w:marRight w:val="0"/>
      <w:marTop w:val="0"/>
      <w:marBottom w:val="0"/>
      <w:divBdr>
        <w:top w:val="none" w:sz="0" w:space="0" w:color="auto"/>
        <w:left w:val="none" w:sz="0" w:space="0" w:color="auto"/>
        <w:bottom w:val="none" w:sz="0" w:space="0" w:color="auto"/>
        <w:right w:val="none" w:sz="0" w:space="0" w:color="auto"/>
      </w:divBdr>
    </w:div>
    <w:div w:id="335615861">
      <w:bodyDiv w:val="1"/>
      <w:marLeft w:val="0"/>
      <w:marRight w:val="0"/>
      <w:marTop w:val="0"/>
      <w:marBottom w:val="0"/>
      <w:divBdr>
        <w:top w:val="none" w:sz="0" w:space="0" w:color="auto"/>
        <w:left w:val="none" w:sz="0" w:space="0" w:color="auto"/>
        <w:bottom w:val="none" w:sz="0" w:space="0" w:color="auto"/>
        <w:right w:val="none" w:sz="0" w:space="0" w:color="auto"/>
      </w:divBdr>
    </w:div>
    <w:div w:id="362678572">
      <w:bodyDiv w:val="1"/>
      <w:marLeft w:val="0"/>
      <w:marRight w:val="0"/>
      <w:marTop w:val="0"/>
      <w:marBottom w:val="0"/>
      <w:divBdr>
        <w:top w:val="none" w:sz="0" w:space="0" w:color="auto"/>
        <w:left w:val="none" w:sz="0" w:space="0" w:color="auto"/>
        <w:bottom w:val="none" w:sz="0" w:space="0" w:color="auto"/>
        <w:right w:val="none" w:sz="0" w:space="0" w:color="auto"/>
      </w:divBdr>
      <w:divsChild>
        <w:div w:id="1940720081">
          <w:marLeft w:val="0"/>
          <w:marRight w:val="0"/>
          <w:marTop w:val="0"/>
          <w:marBottom w:val="0"/>
          <w:divBdr>
            <w:top w:val="none" w:sz="0" w:space="0" w:color="auto"/>
            <w:left w:val="none" w:sz="0" w:space="0" w:color="auto"/>
            <w:bottom w:val="none" w:sz="0" w:space="0" w:color="auto"/>
            <w:right w:val="none" w:sz="0" w:space="0" w:color="auto"/>
          </w:divBdr>
          <w:divsChild>
            <w:div w:id="1040787472">
              <w:marLeft w:val="0"/>
              <w:marRight w:val="0"/>
              <w:marTop w:val="0"/>
              <w:marBottom w:val="0"/>
              <w:divBdr>
                <w:top w:val="none" w:sz="0" w:space="0" w:color="auto"/>
                <w:left w:val="none" w:sz="0" w:space="0" w:color="auto"/>
                <w:bottom w:val="none" w:sz="0" w:space="0" w:color="auto"/>
                <w:right w:val="none" w:sz="0" w:space="0" w:color="auto"/>
              </w:divBdr>
              <w:divsChild>
                <w:div w:id="589044289">
                  <w:marLeft w:val="0"/>
                  <w:marRight w:val="0"/>
                  <w:marTop w:val="0"/>
                  <w:marBottom w:val="0"/>
                  <w:divBdr>
                    <w:top w:val="none" w:sz="0" w:space="0" w:color="auto"/>
                    <w:left w:val="none" w:sz="0" w:space="0" w:color="auto"/>
                    <w:bottom w:val="none" w:sz="0" w:space="0" w:color="auto"/>
                    <w:right w:val="none" w:sz="0" w:space="0" w:color="auto"/>
                  </w:divBdr>
                  <w:divsChild>
                    <w:div w:id="589581715">
                      <w:marLeft w:val="0"/>
                      <w:marRight w:val="0"/>
                      <w:marTop w:val="0"/>
                      <w:marBottom w:val="0"/>
                      <w:divBdr>
                        <w:top w:val="none" w:sz="0" w:space="0" w:color="auto"/>
                        <w:left w:val="none" w:sz="0" w:space="0" w:color="auto"/>
                        <w:bottom w:val="none" w:sz="0" w:space="0" w:color="auto"/>
                        <w:right w:val="none" w:sz="0" w:space="0" w:color="auto"/>
                      </w:divBdr>
                      <w:divsChild>
                        <w:div w:id="956835003">
                          <w:marLeft w:val="0"/>
                          <w:marRight w:val="0"/>
                          <w:marTop w:val="0"/>
                          <w:marBottom w:val="0"/>
                          <w:divBdr>
                            <w:top w:val="none" w:sz="0" w:space="0" w:color="auto"/>
                            <w:left w:val="none" w:sz="0" w:space="0" w:color="auto"/>
                            <w:bottom w:val="none" w:sz="0" w:space="0" w:color="auto"/>
                            <w:right w:val="none" w:sz="0" w:space="0" w:color="auto"/>
                          </w:divBdr>
                          <w:divsChild>
                            <w:div w:id="1987776104">
                              <w:marLeft w:val="0"/>
                              <w:marRight w:val="0"/>
                              <w:marTop w:val="0"/>
                              <w:marBottom w:val="0"/>
                              <w:divBdr>
                                <w:top w:val="none" w:sz="0" w:space="0" w:color="auto"/>
                                <w:left w:val="none" w:sz="0" w:space="0" w:color="auto"/>
                                <w:bottom w:val="none" w:sz="0" w:space="0" w:color="auto"/>
                                <w:right w:val="none" w:sz="0" w:space="0" w:color="auto"/>
                              </w:divBdr>
                              <w:divsChild>
                                <w:div w:id="890338936">
                                  <w:marLeft w:val="0"/>
                                  <w:marRight w:val="0"/>
                                  <w:marTop w:val="0"/>
                                  <w:marBottom w:val="0"/>
                                  <w:divBdr>
                                    <w:top w:val="none" w:sz="0" w:space="0" w:color="auto"/>
                                    <w:left w:val="none" w:sz="0" w:space="0" w:color="auto"/>
                                    <w:bottom w:val="none" w:sz="0" w:space="0" w:color="auto"/>
                                    <w:right w:val="none" w:sz="0" w:space="0" w:color="auto"/>
                                  </w:divBdr>
                                  <w:divsChild>
                                    <w:div w:id="213694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0325367">
      <w:bodyDiv w:val="1"/>
      <w:marLeft w:val="0"/>
      <w:marRight w:val="0"/>
      <w:marTop w:val="0"/>
      <w:marBottom w:val="0"/>
      <w:divBdr>
        <w:top w:val="none" w:sz="0" w:space="0" w:color="auto"/>
        <w:left w:val="none" w:sz="0" w:space="0" w:color="auto"/>
        <w:bottom w:val="none" w:sz="0" w:space="0" w:color="auto"/>
        <w:right w:val="none" w:sz="0" w:space="0" w:color="auto"/>
      </w:divBdr>
    </w:div>
    <w:div w:id="426654764">
      <w:bodyDiv w:val="1"/>
      <w:marLeft w:val="0"/>
      <w:marRight w:val="0"/>
      <w:marTop w:val="0"/>
      <w:marBottom w:val="0"/>
      <w:divBdr>
        <w:top w:val="none" w:sz="0" w:space="0" w:color="auto"/>
        <w:left w:val="none" w:sz="0" w:space="0" w:color="auto"/>
        <w:bottom w:val="none" w:sz="0" w:space="0" w:color="auto"/>
        <w:right w:val="none" w:sz="0" w:space="0" w:color="auto"/>
      </w:divBdr>
    </w:div>
    <w:div w:id="488983476">
      <w:bodyDiv w:val="1"/>
      <w:marLeft w:val="0"/>
      <w:marRight w:val="0"/>
      <w:marTop w:val="0"/>
      <w:marBottom w:val="0"/>
      <w:divBdr>
        <w:top w:val="none" w:sz="0" w:space="0" w:color="auto"/>
        <w:left w:val="none" w:sz="0" w:space="0" w:color="auto"/>
        <w:bottom w:val="none" w:sz="0" w:space="0" w:color="auto"/>
        <w:right w:val="none" w:sz="0" w:space="0" w:color="auto"/>
      </w:divBdr>
    </w:div>
    <w:div w:id="552540057">
      <w:bodyDiv w:val="1"/>
      <w:marLeft w:val="0"/>
      <w:marRight w:val="0"/>
      <w:marTop w:val="0"/>
      <w:marBottom w:val="0"/>
      <w:divBdr>
        <w:top w:val="none" w:sz="0" w:space="0" w:color="auto"/>
        <w:left w:val="none" w:sz="0" w:space="0" w:color="auto"/>
        <w:bottom w:val="none" w:sz="0" w:space="0" w:color="auto"/>
        <w:right w:val="none" w:sz="0" w:space="0" w:color="auto"/>
      </w:divBdr>
    </w:div>
    <w:div w:id="554632021">
      <w:bodyDiv w:val="1"/>
      <w:marLeft w:val="0"/>
      <w:marRight w:val="0"/>
      <w:marTop w:val="0"/>
      <w:marBottom w:val="0"/>
      <w:divBdr>
        <w:top w:val="none" w:sz="0" w:space="0" w:color="auto"/>
        <w:left w:val="none" w:sz="0" w:space="0" w:color="auto"/>
        <w:bottom w:val="none" w:sz="0" w:space="0" w:color="auto"/>
        <w:right w:val="none" w:sz="0" w:space="0" w:color="auto"/>
      </w:divBdr>
    </w:div>
    <w:div w:id="564099901">
      <w:bodyDiv w:val="1"/>
      <w:marLeft w:val="0"/>
      <w:marRight w:val="0"/>
      <w:marTop w:val="0"/>
      <w:marBottom w:val="0"/>
      <w:divBdr>
        <w:top w:val="none" w:sz="0" w:space="0" w:color="auto"/>
        <w:left w:val="none" w:sz="0" w:space="0" w:color="auto"/>
        <w:bottom w:val="none" w:sz="0" w:space="0" w:color="auto"/>
        <w:right w:val="none" w:sz="0" w:space="0" w:color="auto"/>
      </w:divBdr>
    </w:div>
    <w:div w:id="602883651">
      <w:bodyDiv w:val="1"/>
      <w:marLeft w:val="0"/>
      <w:marRight w:val="0"/>
      <w:marTop w:val="0"/>
      <w:marBottom w:val="0"/>
      <w:divBdr>
        <w:top w:val="none" w:sz="0" w:space="0" w:color="auto"/>
        <w:left w:val="none" w:sz="0" w:space="0" w:color="auto"/>
        <w:bottom w:val="none" w:sz="0" w:space="0" w:color="auto"/>
        <w:right w:val="none" w:sz="0" w:space="0" w:color="auto"/>
      </w:divBdr>
    </w:div>
    <w:div w:id="656955521">
      <w:bodyDiv w:val="1"/>
      <w:marLeft w:val="0"/>
      <w:marRight w:val="0"/>
      <w:marTop w:val="0"/>
      <w:marBottom w:val="0"/>
      <w:divBdr>
        <w:top w:val="none" w:sz="0" w:space="0" w:color="auto"/>
        <w:left w:val="none" w:sz="0" w:space="0" w:color="auto"/>
        <w:bottom w:val="none" w:sz="0" w:space="0" w:color="auto"/>
        <w:right w:val="none" w:sz="0" w:space="0" w:color="auto"/>
      </w:divBdr>
    </w:div>
    <w:div w:id="676005142">
      <w:bodyDiv w:val="1"/>
      <w:marLeft w:val="0"/>
      <w:marRight w:val="0"/>
      <w:marTop w:val="0"/>
      <w:marBottom w:val="0"/>
      <w:divBdr>
        <w:top w:val="none" w:sz="0" w:space="0" w:color="auto"/>
        <w:left w:val="none" w:sz="0" w:space="0" w:color="auto"/>
        <w:bottom w:val="none" w:sz="0" w:space="0" w:color="auto"/>
        <w:right w:val="none" w:sz="0" w:space="0" w:color="auto"/>
      </w:divBdr>
    </w:div>
    <w:div w:id="692341596">
      <w:bodyDiv w:val="1"/>
      <w:marLeft w:val="0"/>
      <w:marRight w:val="0"/>
      <w:marTop w:val="0"/>
      <w:marBottom w:val="0"/>
      <w:divBdr>
        <w:top w:val="none" w:sz="0" w:space="0" w:color="auto"/>
        <w:left w:val="none" w:sz="0" w:space="0" w:color="auto"/>
        <w:bottom w:val="none" w:sz="0" w:space="0" w:color="auto"/>
        <w:right w:val="none" w:sz="0" w:space="0" w:color="auto"/>
      </w:divBdr>
    </w:div>
    <w:div w:id="710767804">
      <w:bodyDiv w:val="1"/>
      <w:marLeft w:val="0"/>
      <w:marRight w:val="0"/>
      <w:marTop w:val="0"/>
      <w:marBottom w:val="0"/>
      <w:divBdr>
        <w:top w:val="none" w:sz="0" w:space="0" w:color="auto"/>
        <w:left w:val="none" w:sz="0" w:space="0" w:color="auto"/>
        <w:bottom w:val="none" w:sz="0" w:space="0" w:color="auto"/>
        <w:right w:val="none" w:sz="0" w:space="0" w:color="auto"/>
      </w:divBdr>
    </w:div>
    <w:div w:id="725497317">
      <w:bodyDiv w:val="1"/>
      <w:marLeft w:val="0"/>
      <w:marRight w:val="0"/>
      <w:marTop w:val="0"/>
      <w:marBottom w:val="0"/>
      <w:divBdr>
        <w:top w:val="none" w:sz="0" w:space="0" w:color="auto"/>
        <w:left w:val="none" w:sz="0" w:space="0" w:color="auto"/>
        <w:bottom w:val="none" w:sz="0" w:space="0" w:color="auto"/>
        <w:right w:val="none" w:sz="0" w:space="0" w:color="auto"/>
      </w:divBdr>
    </w:div>
    <w:div w:id="760834748">
      <w:bodyDiv w:val="1"/>
      <w:marLeft w:val="0"/>
      <w:marRight w:val="0"/>
      <w:marTop w:val="0"/>
      <w:marBottom w:val="0"/>
      <w:divBdr>
        <w:top w:val="none" w:sz="0" w:space="0" w:color="auto"/>
        <w:left w:val="none" w:sz="0" w:space="0" w:color="auto"/>
        <w:bottom w:val="none" w:sz="0" w:space="0" w:color="auto"/>
        <w:right w:val="none" w:sz="0" w:space="0" w:color="auto"/>
      </w:divBdr>
    </w:div>
    <w:div w:id="766271770">
      <w:bodyDiv w:val="1"/>
      <w:marLeft w:val="0"/>
      <w:marRight w:val="0"/>
      <w:marTop w:val="0"/>
      <w:marBottom w:val="0"/>
      <w:divBdr>
        <w:top w:val="none" w:sz="0" w:space="0" w:color="auto"/>
        <w:left w:val="none" w:sz="0" w:space="0" w:color="auto"/>
        <w:bottom w:val="none" w:sz="0" w:space="0" w:color="auto"/>
        <w:right w:val="none" w:sz="0" w:space="0" w:color="auto"/>
      </w:divBdr>
      <w:divsChild>
        <w:div w:id="877208760">
          <w:marLeft w:val="0"/>
          <w:marRight w:val="0"/>
          <w:marTop w:val="0"/>
          <w:marBottom w:val="0"/>
          <w:divBdr>
            <w:top w:val="none" w:sz="0" w:space="0" w:color="auto"/>
            <w:left w:val="none" w:sz="0" w:space="0" w:color="auto"/>
            <w:bottom w:val="none" w:sz="0" w:space="0" w:color="auto"/>
            <w:right w:val="none" w:sz="0" w:space="0" w:color="auto"/>
          </w:divBdr>
        </w:div>
      </w:divsChild>
    </w:div>
    <w:div w:id="771971771">
      <w:bodyDiv w:val="1"/>
      <w:marLeft w:val="0"/>
      <w:marRight w:val="0"/>
      <w:marTop w:val="0"/>
      <w:marBottom w:val="0"/>
      <w:divBdr>
        <w:top w:val="none" w:sz="0" w:space="0" w:color="auto"/>
        <w:left w:val="none" w:sz="0" w:space="0" w:color="auto"/>
        <w:bottom w:val="none" w:sz="0" w:space="0" w:color="auto"/>
        <w:right w:val="none" w:sz="0" w:space="0" w:color="auto"/>
      </w:divBdr>
    </w:div>
    <w:div w:id="795216792">
      <w:bodyDiv w:val="1"/>
      <w:marLeft w:val="0"/>
      <w:marRight w:val="0"/>
      <w:marTop w:val="0"/>
      <w:marBottom w:val="0"/>
      <w:divBdr>
        <w:top w:val="none" w:sz="0" w:space="0" w:color="auto"/>
        <w:left w:val="none" w:sz="0" w:space="0" w:color="auto"/>
        <w:bottom w:val="none" w:sz="0" w:space="0" w:color="auto"/>
        <w:right w:val="none" w:sz="0" w:space="0" w:color="auto"/>
      </w:divBdr>
    </w:div>
    <w:div w:id="797920464">
      <w:bodyDiv w:val="1"/>
      <w:marLeft w:val="0"/>
      <w:marRight w:val="0"/>
      <w:marTop w:val="0"/>
      <w:marBottom w:val="0"/>
      <w:divBdr>
        <w:top w:val="none" w:sz="0" w:space="0" w:color="auto"/>
        <w:left w:val="none" w:sz="0" w:space="0" w:color="auto"/>
        <w:bottom w:val="none" w:sz="0" w:space="0" w:color="auto"/>
        <w:right w:val="none" w:sz="0" w:space="0" w:color="auto"/>
      </w:divBdr>
    </w:div>
    <w:div w:id="814027142">
      <w:bodyDiv w:val="1"/>
      <w:marLeft w:val="0"/>
      <w:marRight w:val="0"/>
      <w:marTop w:val="0"/>
      <w:marBottom w:val="0"/>
      <w:divBdr>
        <w:top w:val="none" w:sz="0" w:space="0" w:color="auto"/>
        <w:left w:val="none" w:sz="0" w:space="0" w:color="auto"/>
        <w:bottom w:val="none" w:sz="0" w:space="0" w:color="auto"/>
        <w:right w:val="none" w:sz="0" w:space="0" w:color="auto"/>
      </w:divBdr>
    </w:div>
    <w:div w:id="814950077">
      <w:bodyDiv w:val="1"/>
      <w:marLeft w:val="0"/>
      <w:marRight w:val="0"/>
      <w:marTop w:val="0"/>
      <w:marBottom w:val="0"/>
      <w:divBdr>
        <w:top w:val="none" w:sz="0" w:space="0" w:color="auto"/>
        <w:left w:val="none" w:sz="0" w:space="0" w:color="auto"/>
        <w:bottom w:val="none" w:sz="0" w:space="0" w:color="auto"/>
        <w:right w:val="none" w:sz="0" w:space="0" w:color="auto"/>
      </w:divBdr>
    </w:div>
    <w:div w:id="821655906">
      <w:bodyDiv w:val="1"/>
      <w:marLeft w:val="0"/>
      <w:marRight w:val="0"/>
      <w:marTop w:val="0"/>
      <w:marBottom w:val="0"/>
      <w:divBdr>
        <w:top w:val="none" w:sz="0" w:space="0" w:color="auto"/>
        <w:left w:val="none" w:sz="0" w:space="0" w:color="auto"/>
        <w:bottom w:val="none" w:sz="0" w:space="0" w:color="auto"/>
        <w:right w:val="none" w:sz="0" w:space="0" w:color="auto"/>
      </w:divBdr>
    </w:div>
    <w:div w:id="864095785">
      <w:bodyDiv w:val="1"/>
      <w:marLeft w:val="0"/>
      <w:marRight w:val="0"/>
      <w:marTop w:val="0"/>
      <w:marBottom w:val="0"/>
      <w:divBdr>
        <w:top w:val="none" w:sz="0" w:space="0" w:color="auto"/>
        <w:left w:val="none" w:sz="0" w:space="0" w:color="auto"/>
        <w:bottom w:val="none" w:sz="0" w:space="0" w:color="auto"/>
        <w:right w:val="none" w:sz="0" w:space="0" w:color="auto"/>
      </w:divBdr>
    </w:div>
    <w:div w:id="880476928">
      <w:bodyDiv w:val="1"/>
      <w:marLeft w:val="0"/>
      <w:marRight w:val="0"/>
      <w:marTop w:val="0"/>
      <w:marBottom w:val="0"/>
      <w:divBdr>
        <w:top w:val="none" w:sz="0" w:space="0" w:color="auto"/>
        <w:left w:val="none" w:sz="0" w:space="0" w:color="auto"/>
        <w:bottom w:val="none" w:sz="0" w:space="0" w:color="auto"/>
        <w:right w:val="none" w:sz="0" w:space="0" w:color="auto"/>
      </w:divBdr>
    </w:div>
    <w:div w:id="889610899">
      <w:bodyDiv w:val="1"/>
      <w:marLeft w:val="0"/>
      <w:marRight w:val="0"/>
      <w:marTop w:val="0"/>
      <w:marBottom w:val="0"/>
      <w:divBdr>
        <w:top w:val="none" w:sz="0" w:space="0" w:color="auto"/>
        <w:left w:val="none" w:sz="0" w:space="0" w:color="auto"/>
        <w:bottom w:val="none" w:sz="0" w:space="0" w:color="auto"/>
        <w:right w:val="none" w:sz="0" w:space="0" w:color="auto"/>
      </w:divBdr>
    </w:div>
    <w:div w:id="922372530">
      <w:bodyDiv w:val="1"/>
      <w:marLeft w:val="0"/>
      <w:marRight w:val="0"/>
      <w:marTop w:val="0"/>
      <w:marBottom w:val="0"/>
      <w:divBdr>
        <w:top w:val="none" w:sz="0" w:space="0" w:color="auto"/>
        <w:left w:val="none" w:sz="0" w:space="0" w:color="auto"/>
        <w:bottom w:val="none" w:sz="0" w:space="0" w:color="auto"/>
        <w:right w:val="none" w:sz="0" w:space="0" w:color="auto"/>
      </w:divBdr>
    </w:div>
    <w:div w:id="941646297">
      <w:bodyDiv w:val="1"/>
      <w:marLeft w:val="0"/>
      <w:marRight w:val="0"/>
      <w:marTop w:val="0"/>
      <w:marBottom w:val="0"/>
      <w:divBdr>
        <w:top w:val="none" w:sz="0" w:space="0" w:color="auto"/>
        <w:left w:val="none" w:sz="0" w:space="0" w:color="auto"/>
        <w:bottom w:val="none" w:sz="0" w:space="0" w:color="auto"/>
        <w:right w:val="none" w:sz="0" w:space="0" w:color="auto"/>
      </w:divBdr>
    </w:div>
    <w:div w:id="947201148">
      <w:bodyDiv w:val="1"/>
      <w:marLeft w:val="0"/>
      <w:marRight w:val="0"/>
      <w:marTop w:val="0"/>
      <w:marBottom w:val="0"/>
      <w:divBdr>
        <w:top w:val="none" w:sz="0" w:space="0" w:color="auto"/>
        <w:left w:val="none" w:sz="0" w:space="0" w:color="auto"/>
        <w:bottom w:val="none" w:sz="0" w:space="0" w:color="auto"/>
        <w:right w:val="none" w:sz="0" w:space="0" w:color="auto"/>
      </w:divBdr>
    </w:div>
    <w:div w:id="952128467">
      <w:bodyDiv w:val="1"/>
      <w:marLeft w:val="0"/>
      <w:marRight w:val="0"/>
      <w:marTop w:val="0"/>
      <w:marBottom w:val="0"/>
      <w:divBdr>
        <w:top w:val="none" w:sz="0" w:space="0" w:color="auto"/>
        <w:left w:val="none" w:sz="0" w:space="0" w:color="auto"/>
        <w:bottom w:val="none" w:sz="0" w:space="0" w:color="auto"/>
        <w:right w:val="none" w:sz="0" w:space="0" w:color="auto"/>
      </w:divBdr>
    </w:div>
    <w:div w:id="952908009">
      <w:bodyDiv w:val="1"/>
      <w:marLeft w:val="0"/>
      <w:marRight w:val="0"/>
      <w:marTop w:val="0"/>
      <w:marBottom w:val="0"/>
      <w:divBdr>
        <w:top w:val="none" w:sz="0" w:space="0" w:color="auto"/>
        <w:left w:val="none" w:sz="0" w:space="0" w:color="auto"/>
        <w:bottom w:val="none" w:sz="0" w:space="0" w:color="auto"/>
        <w:right w:val="none" w:sz="0" w:space="0" w:color="auto"/>
      </w:divBdr>
    </w:div>
    <w:div w:id="974259251">
      <w:bodyDiv w:val="1"/>
      <w:marLeft w:val="0"/>
      <w:marRight w:val="0"/>
      <w:marTop w:val="0"/>
      <w:marBottom w:val="0"/>
      <w:divBdr>
        <w:top w:val="none" w:sz="0" w:space="0" w:color="auto"/>
        <w:left w:val="none" w:sz="0" w:space="0" w:color="auto"/>
        <w:bottom w:val="none" w:sz="0" w:space="0" w:color="auto"/>
        <w:right w:val="none" w:sz="0" w:space="0" w:color="auto"/>
      </w:divBdr>
    </w:div>
    <w:div w:id="989209362">
      <w:bodyDiv w:val="1"/>
      <w:marLeft w:val="0"/>
      <w:marRight w:val="0"/>
      <w:marTop w:val="0"/>
      <w:marBottom w:val="0"/>
      <w:divBdr>
        <w:top w:val="none" w:sz="0" w:space="0" w:color="auto"/>
        <w:left w:val="none" w:sz="0" w:space="0" w:color="auto"/>
        <w:bottom w:val="none" w:sz="0" w:space="0" w:color="auto"/>
        <w:right w:val="none" w:sz="0" w:space="0" w:color="auto"/>
      </w:divBdr>
      <w:divsChild>
        <w:div w:id="1587761269">
          <w:marLeft w:val="0"/>
          <w:marRight w:val="0"/>
          <w:marTop w:val="0"/>
          <w:marBottom w:val="0"/>
          <w:divBdr>
            <w:top w:val="none" w:sz="0" w:space="0" w:color="auto"/>
            <w:left w:val="none" w:sz="0" w:space="0" w:color="auto"/>
            <w:bottom w:val="none" w:sz="0" w:space="0" w:color="auto"/>
            <w:right w:val="none" w:sz="0" w:space="0" w:color="auto"/>
          </w:divBdr>
        </w:div>
      </w:divsChild>
    </w:div>
    <w:div w:id="1000931765">
      <w:bodyDiv w:val="1"/>
      <w:marLeft w:val="0"/>
      <w:marRight w:val="0"/>
      <w:marTop w:val="0"/>
      <w:marBottom w:val="0"/>
      <w:divBdr>
        <w:top w:val="none" w:sz="0" w:space="0" w:color="auto"/>
        <w:left w:val="none" w:sz="0" w:space="0" w:color="auto"/>
        <w:bottom w:val="none" w:sz="0" w:space="0" w:color="auto"/>
        <w:right w:val="none" w:sz="0" w:space="0" w:color="auto"/>
      </w:divBdr>
    </w:div>
    <w:div w:id="1008212047">
      <w:bodyDiv w:val="1"/>
      <w:marLeft w:val="0"/>
      <w:marRight w:val="0"/>
      <w:marTop w:val="0"/>
      <w:marBottom w:val="0"/>
      <w:divBdr>
        <w:top w:val="none" w:sz="0" w:space="0" w:color="auto"/>
        <w:left w:val="none" w:sz="0" w:space="0" w:color="auto"/>
        <w:bottom w:val="none" w:sz="0" w:space="0" w:color="auto"/>
        <w:right w:val="none" w:sz="0" w:space="0" w:color="auto"/>
      </w:divBdr>
    </w:div>
    <w:div w:id="1010530021">
      <w:bodyDiv w:val="1"/>
      <w:marLeft w:val="0"/>
      <w:marRight w:val="0"/>
      <w:marTop w:val="0"/>
      <w:marBottom w:val="0"/>
      <w:divBdr>
        <w:top w:val="none" w:sz="0" w:space="0" w:color="auto"/>
        <w:left w:val="none" w:sz="0" w:space="0" w:color="auto"/>
        <w:bottom w:val="none" w:sz="0" w:space="0" w:color="auto"/>
        <w:right w:val="none" w:sz="0" w:space="0" w:color="auto"/>
      </w:divBdr>
    </w:div>
    <w:div w:id="1037662005">
      <w:bodyDiv w:val="1"/>
      <w:marLeft w:val="0"/>
      <w:marRight w:val="0"/>
      <w:marTop w:val="0"/>
      <w:marBottom w:val="0"/>
      <w:divBdr>
        <w:top w:val="none" w:sz="0" w:space="0" w:color="auto"/>
        <w:left w:val="none" w:sz="0" w:space="0" w:color="auto"/>
        <w:bottom w:val="none" w:sz="0" w:space="0" w:color="auto"/>
        <w:right w:val="none" w:sz="0" w:space="0" w:color="auto"/>
      </w:divBdr>
    </w:div>
    <w:div w:id="1079209614">
      <w:bodyDiv w:val="1"/>
      <w:marLeft w:val="0"/>
      <w:marRight w:val="0"/>
      <w:marTop w:val="0"/>
      <w:marBottom w:val="0"/>
      <w:divBdr>
        <w:top w:val="none" w:sz="0" w:space="0" w:color="auto"/>
        <w:left w:val="none" w:sz="0" w:space="0" w:color="auto"/>
        <w:bottom w:val="none" w:sz="0" w:space="0" w:color="auto"/>
        <w:right w:val="none" w:sz="0" w:space="0" w:color="auto"/>
      </w:divBdr>
    </w:div>
    <w:div w:id="1087993055">
      <w:bodyDiv w:val="1"/>
      <w:marLeft w:val="0"/>
      <w:marRight w:val="0"/>
      <w:marTop w:val="0"/>
      <w:marBottom w:val="0"/>
      <w:divBdr>
        <w:top w:val="none" w:sz="0" w:space="0" w:color="auto"/>
        <w:left w:val="none" w:sz="0" w:space="0" w:color="auto"/>
        <w:bottom w:val="none" w:sz="0" w:space="0" w:color="auto"/>
        <w:right w:val="none" w:sz="0" w:space="0" w:color="auto"/>
      </w:divBdr>
    </w:div>
    <w:div w:id="1104761376">
      <w:bodyDiv w:val="1"/>
      <w:marLeft w:val="0"/>
      <w:marRight w:val="0"/>
      <w:marTop w:val="0"/>
      <w:marBottom w:val="0"/>
      <w:divBdr>
        <w:top w:val="none" w:sz="0" w:space="0" w:color="auto"/>
        <w:left w:val="none" w:sz="0" w:space="0" w:color="auto"/>
        <w:bottom w:val="none" w:sz="0" w:space="0" w:color="auto"/>
        <w:right w:val="none" w:sz="0" w:space="0" w:color="auto"/>
      </w:divBdr>
    </w:div>
    <w:div w:id="1155490708">
      <w:bodyDiv w:val="1"/>
      <w:marLeft w:val="0"/>
      <w:marRight w:val="0"/>
      <w:marTop w:val="0"/>
      <w:marBottom w:val="0"/>
      <w:divBdr>
        <w:top w:val="none" w:sz="0" w:space="0" w:color="auto"/>
        <w:left w:val="none" w:sz="0" w:space="0" w:color="auto"/>
        <w:bottom w:val="none" w:sz="0" w:space="0" w:color="auto"/>
        <w:right w:val="none" w:sz="0" w:space="0" w:color="auto"/>
      </w:divBdr>
    </w:div>
    <w:div w:id="1167401016">
      <w:bodyDiv w:val="1"/>
      <w:marLeft w:val="0"/>
      <w:marRight w:val="0"/>
      <w:marTop w:val="0"/>
      <w:marBottom w:val="0"/>
      <w:divBdr>
        <w:top w:val="none" w:sz="0" w:space="0" w:color="auto"/>
        <w:left w:val="none" w:sz="0" w:space="0" w:color="auto"/>
        <w:bottom w:val="none" w:sz="0" w:space="0" w:color="auto"/>
        <w:right w:val="none" w:sz="0" w:space="0" w:color="auto"/>
      </w:divBdr>
    </w:div>
    <w:div w:id="1173379400">
      <w:bodyDiv w:val="1"/>
      <w:marLeft w:val="0"/>
      <w:marRight w:val="0"/>
      <w:marTop w:val="0"/>
      <w:marBottom w:val="0"/>
      <w:divBdr>
        <w:top w:val="none" w:sz="0" w:space="0" w:color="auto"/>
        <w:left w:val="none" w:sz="0" w:space="0" w:color="auto"/>
        <w:bottom w:val="none" w:sz="0" w:space="0" w:color="auto"/>
        <w:right w:val="none" w:sz="0" w:space="0" w:color="auto"/>
      </w:divBdr>
    </w:div>
    <w:div w:id="1175808315">
      <w:bodyDiv w:val="1"/>
      <w:marLeft w:val="0"/>
      <w:marRight w:val="0"/>
      <w:marTop w:val="0"/>
      <w:marBottom w:val="0"/>
      <w:divBdr>
        <w:top w:val="none" w:sz="0" w:space="0" w:color="auto"/>
        <w:left w:val="none" w:sz="0" w:space="0" w:color="auto"/>
        <w:bottom w:val="none" w:sz="0" w:space="0" w:color="auto"/>
        <w:right w:val="none" w:sz="0" w:space="0" w:color="auto"/>
      </w:divBdr>
    </w:div>
    <w:div w:id="1205799703">
      <w:bodyDiv w:val="1"/>
      <w:marLeft w:val="0"/>
      <w:marRight w:val="0"/>
      <w:marTop w:val="0"/>
      <w:marBottom w:val="0"/>
      <w:divBdr>
        <w:top w:val="none" w:sz="0" w:space="0" w:color="auto"/>
        <w:left w:val="none" w:sz="0" w:space="0" w:color="auto"/>
        <w:bottom w:val="none" w:sz="0" w:space="0" w:color="auto"/>
        <w:right w:val="none" w:sz="0" w:space="0" w:color="auto"/>
      </w:divBdr>
    </w:div>
    <w:div w:id="1217006379">
      <w:bodyDiv w:val="1"/>
      <w:marLeft w:val="0"/>
      <w:marRight w:val="0"/>
      <w:marTop w:val="0"/>
      <w:marBottom w:val="0"/>
      <w:divBdr>
        <w:top w:val="none" w:sz="0" w:space="0" w:color="auto"/>
        <w:left w:val="none" w:sz="0" w:space="0" w:color="auto"/>
        <w:bottom w:val="none" w:sz="0" w:space="0" w:color="auto"/>
        <w:right w:val="none" w:sz="0" w:space="0" w:color="auto"/>
      </w:divBdr>
    </w:div>
    <w:div w:id="1249539123">
      <w:bodyDiv w:val="1"/>
      <w:marLeft w:val="0"/>
      <w:marRight w:val="0"/>
      <w:marTop w:val="0"/>
      <w:marBottom w:val="0"/>
      <w:divBdr>
        <w:top w:val="none" w:sz="0" w:space="0" w:color="auto"/>
        <w:left w:val="none" w:sz="0" w:space="0" w:color="auto"/>
        <w:bottom w:val="none" w:sz="0" w:space="0" w:color="auto"/>
        <w:right w:val="none" w:sz="0" w:space="0" w:color="auto"/>
      </w:divBdr>
    </w:div>
    <w:div w:id="1278827629">
      <w:bodyDiv w:val="1"/>
      <w:marLeft w:val="0"/>
      <w:marRight w:val="0"/>
      <w:marTop w:val="0"/>
      <w:marBottom w:val="0"/>
      <w:divBdr>
        <w:top w:val="none" w:sz="0" w:space="0" w:color="auto"/>
        <w:left w:val="none" w:sz="0" w:space="0" w:color="auto"/>
        <w:bottom w:val="none" w:sz="0" w:space="0" w:color="auto"/>
        <w:right w:val="none" w:sz="0" w:space="0" w:color="auto"/>
      </w:divBdr>
    </w:div>
    <w:div w:id="1284077167">
      <w:bodyDiv w:val="1"/>
      <w:marLeft w:val="0"/>
      <w:marRight w:val="0"/>
      <w:marTop w:val="0"/>
      <w:marBottom w:val="0"/>
      <w:divBdr>
        <w:top w:val="none" w:sz="0" w:space="0" w:color="auto"/>
        <w:left w:val="none" w:sz="0" w:space="0" w:color="auto"/>
        <w:bottom w:val="none" w:sz="0" w:space="0" w:color="auto"/>
        <w:right w:val="none" w:sz="0" w:space="0" w:color="auto"/>
      </w:divBdr>
    </w:div>
    <w:div w:id="1284650392">
      <w:bodyDiv w:val="1"/>
      <w:marLeft w:val="0"/>
      <w:marRight w:val="0"/>
      <w:marTop w:val="0"/>
      <w:marBottom w:val="0"/>
      <w:divBdr>
        <w:top w:val="none" w:sz="0" w:space="0" w:color="auto"/>
        <w:left w:val="none" w:sz="0" w:space="0" w:color="auto"/>
        <w:bottom w:val="none" w:sz="0" w:space="0" w:color="auto"/>
        <w:right w:val="none" w:sz="0" w:space="0" w:color="auto"/>
      </w:divBdr>
    </w:div>
    <w:div w:id="1350334539">
      <w:bodyDiv w:val="1"/>
      <w:marLeft w:val="0"/>
      <w:marRight w:val="0"/>
      <w:marTop w:val="0"/>
      <w:marBottom w:val="0"/>
      <w:divBdr>
        <w:top w:val="none" w:sz="0" w:space="0" w:color="auto"/>
        <w:left w:val="none" w:sz="0" w:space="0" w:color="auto"/>
        <w:bottom w:val="none" w:sz="0" w:space="0" w:color="auto"/>
        <w:right w:val="none" w:sz="0" w:space="0" w:color="auto"/>
      </w:divBdr>
    </w:div>
    <w:div w:id="1357081383">
      <w:bodyDiv w:val="1"/>
      <w:marLeft w:val="0"/>
      <w:marRight w:val="0"/>
      <w:marTop w:val="0"/>
      <w:marBottom w:val="0"/>
      <w:divBdr>
        <w:top w:val="none" w:sz="0" w:space="0" w:color="auto"/>
        <w:left w:val="none" w:sz="0" w:space="0" w:color="auto"/>
        <w:bottom w:val="none" w:sz="0" w:space="0" w:color="auto"/>
        <w:right w:val="none" w:sz="0" w:space="0" w:color="auto"/>
      </w:divBdr>
    </w:div>
    <w:div w:id="1365207501">
      <w:bodyDiv w:val="1"/>
      <w:marLeft w:val="0"/>
      <w:marRight w:val="0"/>
      <w:marTop w:val="0"/>
      <w:marBottom w:val="0"/>
      <w:divBdr>
        <w:top w:val="none" w:sz="0" w:space="0" w:color="auto"/>
        <w:left w:val="none" w:sz="0" w:space="0" w:color="auto"/>
        <w:bottom w:val="none" w:sz="0" w:space="0" w:color="auto"/>
        <w:right w:val="none" w:sz="0" w:space="0" w:color="auto"/>
      </w:divBdr>
    </w:div>
    <w:div w:id="1381830080">
      <w:bodyDiv w:val="1"/>
      <w:marLeft w:val="0"/>
      <w:marRight w:val="0"/>
      <w:marTop w:val="0"/>
      <w:marBottom w:val="0"/>
      <w:divBdr>
        <w:top w:val="none" w:sz="0" w:space="0" w:color="auto"/>
        <w:left w:val="none" w:sz="0" w:space="0" w:color="auto"/>
        <w:bottom w:val="none" w:sz="0" w:space="0" w:color="auto"/>
        <w:right w:val="none" w:sz="0" w:space="0" w:color="auto"/>
      </w:divBdr>
    </w:div>
    <w:div w:id="1391996632">
      <w:bodyDiv w:val="1"/>
      <w:marLeft w:val="0"/>
      <w:marRight w:val="0"/>
      <w:marTop w:val="0"/>
      <w:marBottom w:val="0"/>
      <w:divBdr>
        <w:top w:val="none" w:sz="0" w:space="0" w:color="auto"/>
        <w:left w:val="none" w:sz="0" w:space="0" w:color="auto"/>
        <w:bottom w:val="none" w:sz="0" w:space="0" w:color="auto"/>
        <w:right w:val="none" w:sz="0" w:space="0" w:color="auto"/>
      </w:divBdr>
    </w:div>
    <w:div w:id="1396388591">
      <w:bodyDiv w:val="1"/>
      <w:marLeft w:val="0"/>
      <w:marRight w:val="0"/>
      <w:marTop w:val="0"/>
      <w:marBottom w:val="0"/>
      <w:divBdr>
        <w:top w:val="none" w:sz="0" w:space="0" w:color="auto"/>
        <w:left w:val="none" w:sz="0" w:space="0" w:color="auto"/>
        <w:bottom w:val="none" w:sz="0" w:space="0" w:color="auto"/>
        <w:right w:val="none" w:sz="0" w:space="0" w:color="auto"/>
      </w:divBdr>
    </w:div>
    <w:div w:id="1419403836">
      <w:bodyDiv w:val="1"/>
      <w:marLeft w:val="0"/>
      <w:marRight w:val="0"/>
      <w:marTop w:val="0"/>
      <w:marBottom w:val="0"/>
      <w:divBdr>
        <w:top w:val="none" w:sz="0" w:space="0" w:color="auto"/>
        <w:left w:val="none" w:sz="0" w:space="0" w:color="auto"/>
        <w:bottom w:val="none" w:sz="0" w:space="0" w:color="auto"/>
        <w:right w:val="none" w:sz="0" w:space="0" w:color="auto"/>
      </w:divBdr>
    </w:div>
    <w:div w:id="1436559620">
      <w:bodyDiv w:val="1"/>
      <w:marLeft w:val="0"/>
      <w:marRight w:val="0"/>
      <w:marTop w:val="0"/>
      <w:marBottom w:val="0"/>
      <w:divBdr>
        <w:top w:val="none" w:sz="0" w:space="0" w:color="auto"/>
        <w:left w:val="none" w:sz="0" w:space="0" w:color="auto"/>
        <w:bottom w:val="none" w:sz="0" w:space="0" w:color="auto"/>
        <w:right w:val="none" w:sz="0" w:space="0" w:color="auto"/>
      </w:divBdr>
      <w:divsChild>
        <w:div w:id="1888879495">
          <w:marLeft w:val="0"/>
          <w:marRight w:val="0"/>
          <w:marTop w:val="0"/>
          <w:marBottom w:val="0"/>
          <w:divBdr>
            <w:top w:val="none" w:sz="0" w:space="0" w:color="auto"/>
            <w:left w:val="none" w:sz="0" w:space="0" w:color="auto"/>
            <w:bottom w:val="none" w:sz="0" w:space="0" w:color="auto"/>
            <w:right w:val="none" w:sz="0" w:space="0" w:color="auto"/>
          </w:divBdr>
        </w:div>
      </w:divsChild>
    </w:div>
    <w:div w:id="1443454109">
      <w:bodyDiv w:val="1"/>
      <w:marLeft w:val="0"/>
      <w:marRight w:val="0"/>
      <w:marTop w:val="0"/>
      <w:marBottom w:val="0"/>
      <w:divBdr>
        <w:top w:val="none" w:sz="0" w:space="0" w:color="auto"/>
        <w:left w:val="none" w:sz="0" w:space="0" w:color="auto"/>
        <w:bottom w:val="none" w:sz="0" w:space="0" w:color="auto"/>
        <w:right w:val="none" w:sz="0" w:space="0" w:color="auto"/>
      </w:divBdr>
      <w:divsChild>
        <w:div w:id="1028216396">
          <w:marLeft w:val="0"/>
          <w:marRight w:val="0"/>
          <w:marTop w:val="0"/>
          <w:marBottom w:val="0"/>
          <w:divBdr>
            <w:top w:val="none" w:sz="0" w:space="0" w:color="auto"/>
            <w:left w:val="none" w:sz="0" w:space="0" w:color="auto"/>
            <w:bottom w:val="none" w:sz="0" w:space="0" w:color="auto"/>
            <w:right w:val="none" w:sz="0" w:space="0" w:color="auto"/>
          </w:divBdr>
        </w:div>
      </w:divsChild>
    </w:div>
    <w:div w:id="1462336037">
      <w:bodyDiv w:val="1"/>
      <w:marLeft w:val="0"/>
      <w:marRight w:val="0"/>
      <w:marTop w:val="0"/>
      <w:marBottom w:val="0"/>
      <w:divBdr>
        <w:top w:val="none" w:sz="0" w:space="0" w:color="auto"/>
        <w:left w:val="none" w:sz="0" w:space="0" w:color="auto"/>
        <w:bottom w:val="none" w:sz="0" w:space="0" w:color="auto"/>
        <w:right w:val="none" w:sz="0" w:space="0" w:color="auto"/>
      </w:divBdr>
    </w:div>
    <w:div w:id="1506433316">
      <w:bodyDiv w:val="1"/>
      <w:marLeft w:val="0"/>
      <w:marRight w:val="0"/>
      <w:marTop w:val="0"/>
      <w:marBottom w:val="0"/>
      <w:divBdr>
        <w:top w:val="none" w:sz="0" w:space="0" w:color="auto"/>
        <w:left w:val="none" w:sz="0" w:space="0" w:color="auto"/>
        <w:bottom w:val="none" w:sz="0" w:space="0" w:color="auto"/>
        <w:right w:val="none" w:sz="0" w:space="0" w:color="auto"/>
      </w:divBdr>
    </w:div>
    <w:div w:id="1523739450">
      <w:bodyDiv w:val="1"/>
      <w:marLeft w:val="0"/>
      <w:marRight w:val="0"/>
      <w:marTop w:val="0"/>
      <w:marBottom w:val="0"/>
      <w:divBdr>
        <w:top w:val="none" w:sz="0" w:space="0" w:color="auto"/>
        <w:left w:val="none" w:sz="0" w:space="0" w:color="auto"/>
        <w:bottom w:val="none" w:sz="0" w:space="0" w:color="auto"/>
        <w:right w:val="none" w:sz="0" w:space="0" w:color="auto"/>
      </w:divBdr>
    </w:div>
    <w:div w:id="1573271957">
      <w:bodyDiv w:val="1"/>
      <w:marLeft w:val="0"/>
      <w:marRight w:val="0"/>
      <w:marTop w:val="0"/>
      <w:marBottom w:val="0"/>
      <w:divBdr>
        <w:top w:val="none" w:sz="0" w:space="0" w:color="auto"/>
        <w:left w:val="none" w:sz="0" w:space="0" w:color="auto"/>
        <w:bottom w:val="none" w:sz="0" w:space="0" w:color="auto"/>
        <w:right w:val="none" w:sz="0" w:space="0" w:color="auto"/>
      </w:divBdr>
    </w:div>
    <w:div w:id="1591741091">
      <w:bodyDiv w:val="1"/>
      <w:marLeft w:val="0"/>
      <w:marRight w:val="0"/>
      <w:marTop w:val="0"/>
      <w:marBottom w:val="0"/>
      <w:divBdr>
        <w:top w:val="none" w:sz="0" w:space="0" w:color="auto"/>
        <w:left w:val="none" w:sz="0" w:space="0" w:color="auto"/>
        <w:bottom w:val="none" w:sz="0" w:space="0" w:color="auto"/>
        <w:right w:val="none" w:sz="0" w:space="0" w:color="auto"/>
      </w:divBdr>
    </w:div>
    <w:div w:id="1603415667">
      <w:bodyDiv w:val="1"/>
      <w:marLeft w:val="0"/>
      <w:marRight w:val="0"/>
      <w:marTop w:val="0"/>
      <w:marBottom w:val="0"/>
      <w:divBdr>
        <w:top w:val="none" w:sz="0" w:space="0" w:color="auto"/>
        <w:left w:val="none" w:sz="0" w:space="0" w:color="auto"/>
        <w:bottom w:val="none" w:sz="0" w:space="0" w:color="auto"/>
        <w:right w:val="none" w:sz="0" w:space="0" w:color="auto"/>
      </w:divBdr>
    </w:div>
    <w:div w:id="1648433497">
      <w:bodyDiv w:val="1"/>
      <w:marLeft w:val="0"/>
      <w:marRight w:val="0"/>
      <w:marTop w:val="0"/>
      <w:marBottom w:val="0"/>
      <w:divBdr>
        <w:top w:val="none" w:sz="0" w:space="0" w:color="auto"/>
        <w:left w:val="none" w:sz="0" w:space="0" w:color="auto"/>
        <w:bottom w:val="none" w:sz="0" w:space="0" w:color="auto"/>
        <w:right w:val="none" w:sz="0" w:space="0" w:color="auto"/>
      </w:divBdr>
    </w:div>
    <w:div w:id="1716351979">
      <w:bodyDiv w:val="1"/>
      <w:marLeft w:val="0"/>
      <w:marRight w:val="0"/>
      <w:marTop w:val="0"/>
      <w:marBottom w:val="0"/>
      <w:divBdr>
        <w:top w:val="none" w:sz="0" w:space="0" w:color="auto"/>
        <w:left w:val="none" w:sz="0" w:space="0" w:color="auto"/>
        <w:bottom w:val="none" w:sz="0" w:space="0" w:color="auto"/>
        <w:right w:val="none" w:sz="0" w:space="0" w:color="auto"/>
      </w:divBdr>
    </w:div>
    <w:div w:id="1728993666">
      <w:bodyDiv w:val="1"/>
      <w:marLeft w:val="0"/>
      <w:marRight w:val="0"/>
      <w:marTop w:val="0"/>
      <w:marBottom w:val="0"/>
      <w:divBdr>
        <w:top w:val="none" w:sz="0" w:space="0" w:color="auto"/>
        <w:left w:val="none" w:sz="0" w:space="0" w:color="auto"/>
        <w:bottom w:val="none" w:sz="0" w:space="0" w:color="auto"/>
        <w:right w:val="none" w:sz="0" w:space="0" w:color="auto"/>
      </w:divBdr>
    </w:div>
    <w:div w:id="1737509239">
      <w:bodyDiv w:val="1"/>
      <w:marLeft w:val="0"/>
      <w:marRight w:val="0"/>
      <w:marTop w:val="0"/>
      <w:marBottom w:val="0"/>
      <w:divBdr>
        <w:top w:val="none" w:sz="0" w:space="0" w:color="auto"/>
        <w:left w:val="none" w:sz="0" w:space="0" w:color="auto"/>
        <w:bottom w:val="none" w:sz="0" w:space="0" w:color="auto"/>
        <w:right w:val="none" w:sz="0" w:space="0" w:color="auto"/>
      </w:divBdr>
    </w:div>
    <w:div w:id="1756395842">
      <w:bodyDiv w:val="1"/>
      <w:marLeft w:val="0"/>
      <w:marRight w:val="0"/>
      <w:marTop w:val="0"/>
      <w:marBottom w:val="0"/>
      <w:divBdr>
        <w:top w:val="none" w:sz="0" w:space="0" w:color="auto"/>
        <w:left w:val="none" w:sz="0" w:space="0" w:color="auto"/>
        <w:bottom w:val="none" w:sz="0" w:space="0" w:color="auto"/>
        <w:right w:val="none" w:sz="0" w:space="0" w:color="auto"/>
      </w:divBdr>
    </w:div>
    <w:div w:id="1788426068">
      <w:bodyDiv w:val="1"/>
      <w:marLeft w:val="0"/>
      <w:marRight w:val="0"/>
      <w:marTop w:val="0"/>
      <w:marBottom w:val="0"/>
      <w:divBdr>
        <w:top w:val="none" w:sz="0" w:space="0" w:color="auto"/>
        <w:left w:val="none" w:sz="0" w:space="0" w:color="auto"/>
        <w:bottom w:val="none" w:sz="0" w:space="0" w:color="auto"/>
        <w:right w:val="none" w:sz="0" w:space="0" w:color="auto"/>
      </w:divBdr>
    </w:div>
    <w:div w:id="1789346828">
      <w:bodyDiv w:val="1"/>
      <w:marLeft w:val="0"/>
      <w:marRight w:val="0"/>
      <w:marTop w:val="0"/>
      <w:marBottom w:val="0"/>
      <w:divBdr>
        <w:top w:val="none" w:sz="0" w:space="0" w:color="auto"/>
        <w:left w:val="none" w:sz="0" w:space="0" w:color="auto"/>
        <w:bottom w:val="none" w:sz="0" w:space="0" w:color="auto"/>
        <w:right w:val="none" w:sz="0" w:space="0" w:color="auto"/>
      </w:divBdr>
    </w:div>
    <w:div w:id="1792090778">
      <w:bodyDiv w:val="1"/>
      <w:marLeft w:val="0"/>
      <w:marRight w:val="0"/>
      <w:marTop w:val="0"/>
      <w:marBottom w:val="0"/>
      <w:divBdr>
        <w:top w:val="none" w:sz="0" w:space="0" w:color="auto"/>
        <w:left w:val="none" w:sz="0" w:space="0" w:color="auto"/>
        <w:bottom w:val="none" w:sz="0" w:space="0" w:color="auto"/>
        <w:right w:val="none" w:sz="0" w:space="0" w:color="auto"/>
      </w:divBdr>
    </w:div>
    <w:div w:id="1804733184">
      <w:bodyDiv w:val="1"/>
      <w:marLeft w:val="0"/>
      <w:marRight w:val="0"/>
      <w:marTop w:val="0"/>
      <w:marBottom w:val="0"/>
      <w:divBdr>
        <w:top w:val="none" w:sz="0" w:space="0" w:color="auto"/>
        <w:left w:val="none" w:sz="0" w:space="0" w:color="auto"/>
        <w:bottom w:val="none" w:sz="0" w:space="0" w:color="auto"/>
        <w:right w:val="none" w:sz="0" w:space="0" w:color="auto"/>
      </w:divBdr>
    </w:div>
    <w:div w:id="1812020911">
      <w:bodyDiv w:val="1"/>
      <w:marLeft w:val="0"/>
      <w:marRight w:val="0"/>
      <w:marTop w:val="0"/>
      <w:marBottom w:val="0"/>
      <w:divBdr>
        <w:top w:val="none" w:sz="0" w:space="0" w:color="auto"/>
        <w:left w:val="none" w:sz="0" w:space="0" w:color="auto"/>
        <w:bottom w:val="none" w:sz="0" w:space="0" w:color="auto"/>
        <w:right w:val="none" w:sz="0" w:space="0" w:color="auto"/>
      </w:divBdr>
    </w:div>
    <w:div w:id="1837988005">
      <w:bodyDiv w:val="1"/>
      <w:marLeft w:val="0"/>
      <w:marRight w:val="0"/>
      <w:marTop w:val="0"/>
      <w:marBottom w:val="0"/>
      <w:divBdr>
        <w:top w:val="none" w:sz="0" w:space="0" w:color="auto"/>
        <w:left w:val="none" w:sz="0" w:space="0" w:color="auto"/>
        <w:bottom w:val="none" w:sz="0" w:space="0" w:color="auto"/>
        <w:right w:val="none" w:sz="0" w:space="0" w:color="auto"/>
      </w:divBdr>
    </w:div>
    <w:div w:id="1855993407">
      <w:bodyDiv w:val="1"/>
      <w:marLeft w:val="0"/>
      <w:marRight w:val="0"/>
      <w:marTop w:val="0"/>
      <w:marBottom w:val="0"/>
      <w:divBdr>
        <w:top w:val="none" w:sz="0" w:space="0" w:color="auto"/>
        <w:left w:val="none" w:sz="0" w:space="0" w:color="auto"/>
        <w:bottom w:val="none" w:sz="0" w:space="0" w:color="auto"/>
        <w:right w:val="none" w:sz="0" w:space="0" w:color="auto"/>
      </w:divBdr>
    </w:div>
    <w:div w:id="1882546983">
      <w:bodyDiv w:val="1"/>
      <w:marLeft w:val="0"/>
      <w:marRight w:val="0"/>
      <w:marTop w:val="0"/>
      <w:marBottom w:val="0"/>
      <w:divBdr>
        <w:top w:val="none" w:sz="0" w:space="0" w:color="auto"/>
        <w:left w:val="none" w:sz="0" w:space="0" w:color="auto"/>
        <w:bottom w:val="none" w:sz="0" w:space="0" w:color="auto"/>
        <w:right w:val="none" w:sz="0" w:space="0" w:color="auto"/>
      </w:divBdr>
    </w:div>
    <w:div w:id="1924409991">
      <w:bodyDiv w:val="1"/>
      <w:marLeft w:val="0"/>
      <w:marRight w:val="0"/>
      <w:marTop w:val="0"/>
      <w:marBottom w:val="0"/>
      <w:divBdr>
        <w:top w:val="none" w:sz="0" w:space="0" w:color="auto"/>
        <w:left w:val="none" w:sz="0" w:space="0" w:color="auto"/>
        <w:bottom w:val="none" w:sz="0" w:space="0" w:color="auto"/>
        <w:right w:val="none" w:sz="0" w:space="0" w:color="auto"/>
      </w:divBdr>
    </w:div>
    <w:div w:id="1951429302">
      <w:bodyDiv w:val="1"/>
      <w:marLeft w:val="0"/>
      <w:marRight w:val="0"/>
      <w:marTop w:val="0"/>
      <w:marBottom w:val="0"/>
      <w:divBdr>
        <w:top w:val="none" w:sz="0" w:space="0" w:color="auto"/>
        <w:left w:val="none" w:sz="0" w:space="0" w:color="auto"/>
        <w:bottom w:val="none" w:sz="0" w:space="0" w:color="auto"/>
        <w:right w:val="none" w:sz="0" w:space="0" w:color="auto"/>
      </w:divBdr>
    </w:div>
    <w:div w:id="1987851465">
      <w:bodyDiv w:val="1"/>
      <w:marLeft w:val="0"/>
      <w:marRight w:val="0"/>
      <w:marTop w:val="0"/>
      <w:marBottom w:val="0"/>
      <w:divBdr>
        <w:top w:val="none" w:sz="0" w:space="0" w:color="auto"/>
        <w:left w:val="none" w:sz="0" w:space="0" w:color="auto"/>
        <w:bottom w:val="none" w:sz="0" w:space="0" w:color="auto"/>
        <w:right w:val="none" w:sz="0" w:space="0" w:color="auto"/>
      </w:divBdr>
    </w:div>
    <w:div w:id="2005015183">
      <w:bodyDiv w:val="1"/>
      <w:marLeft w:val="0"/>
      <w:marRight w:val="0"/>
      <w:marTop w:val="0"/>
      <w:marBottom w:val="0"/>
      <w:divBdr>
        <w:top w:val="none" w:sz="0" w:space="0" w:color="auto"/>
        <w:left w:val="none" w:sz="0" w:space="0" w:color="auto"/>
        <w:bottom w:val="none" w:sz="0" w:space="0" w:color="auto"/>
        <w:right w:val="none" w:sz="0" w:space="0" w:color="auto"/>
      </w:divBdr>
    </w:div>
    <w:div w:id="2013491286">
      <w:bodyDiv w:val="1"/>
      <w:marLeft w:val="0"/>
      <w:marRight w:val="0"/>
      <w:marTop w:val="0"/>
      <w:marBottom w:val="0"/>
      <w:divBdr>
        <w:top w:val="none" w:sz="0" w:space="0" w:color="auto"/>
        <w:left w:val="none" w:sz="0" w:space="0" w:color="auto"/>
        <w:bottom w:val="none" w:sz="0" w:space="0" w:color="auto"/>
        <w:right w:val="none" w:sz="0" w:space="0" w:color="auto"/>
      </w:divBdr>
    </w:div>
    <w:div w:id="2035376073">
      <w:bodyDiv w:val="1"/>
      <w:marLeft w:val="0"/>
      <w:marRight w:val="0"/>
      <w:marTop w:val="0"/>
      <w:marBottom w:val="0"/>
      <w:divBdr>
        <w:top w:val="none" w:sz="0" w:space="0" w:color="auto"/>
        <w:left w:val="none" w:sz="0" w:space="0" w:color="auto"/>
        <w:bottom w:val="none" w:sz="0" w:space="0" w:color="auto"/>
        <w:right w:val="none" w:sz="0" w:space="0" w:color="auto"/>
      </w:divBdr>
    </w:div>
    <w:div w:id="2036732908">
      <w:bodyDiv w:val="1"/>
      <w:marLeft w:val="0"/>
      <w:marRight w:val="0"/>
      <w:marTop w:val="0"/>
      <w:marBottom w:val="0"/>
      <w:divBdr>
        <w:top w:val="none" w:sz="0" w:space="0" w:color="auto"/>
        <w:left w:val="none" w:sz="0" w:space="0" w:color="auto"/>
        <w:bottom w:val="none" w:sz="0" w:space="0" w:color="auto"/>
        <w:right w:val="none" w:sz="0" w:space="0" w:color="auto"/>
      </w:divBdr>
    </w:div>
    <w:div w:id="2057581227">
      <w:bodyDiv w:val="1"/>
      <w:marLeft w:val="0"/>
      <w:marRight w:val="0"/>
      <w:marTop w:val="0"/>
      <w:marBottom w:val="0"/>
      <w:divBdr>
        <w:top w:val="none" w:sz="0" w:space="0" w:color="auto"/>
        <w:left w:val="none" w:sz="0" w:space="0" w:color="auto"/>
        <w:bottom w:val="none" w:sz="0" w:space="0" w:color="auto"/>
        <w:right w:val="none" w:sz="0" w:space="0" w:color="auto"/>
      </w:divBdr>
    </w:div>
    <w:div w:id="2066221888">
      <w:bodyDiv w:val="1"/>
      <w:marLeft w:val="0"/>
      <w:marRight w:val="0"/>
      <w:marTop w:val="0"/>
      <w:marBottom w:val="0"/>
      <w:divBdr>
        <w:top w:val="none" w:sz="0" w:space="0" w:color="auto"/>
        <w:left w:val="none" w:sz="0" w:space="0" w:color="auto"/>
        <w:bottom w:val="none" w:sz="0" w:space="0" w:color="auto"/>
        <w:right w:val="none" w:sz="0" w:space="0" w:color="auto"/>
      </w:divBdr>
    </w:div>
    <w:div w:id="2076076929">
      <w:bodyDiv w:val="1"/>
      <w:marLeft w:val="0"/>
      <w:marRight w:val="0"/>
      <w:marTop w:val="0"/>
      <w:marBottom w:val="0"/>
      <w:divBdr>
        <w:top w:val="none" w:sz="0" w:space="0" w:color="auto"/>
        <w:left w:val="none" w:sz="0" w:space="0" w:color="auto"/>
        <w:bottom w:val="none" w:sz="0" w:space="0" w:color="auto"/>
        <w:right w:val="none" w:sz="0" w:space="0" w:color="auto"/>
      </w:divBdr>
    </w:div>
    <w:div w:id="213158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oleObject" Target="embeddings/oleObject2.bin"/><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9964C-B0B2-4F20-AA00-B272B76EB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5744</Words>
  <Characters>32744</Characters>
  <Application>Microsoft Office Word</Application>
  <DocSecurity>0</DocSecurity>
  <Lines>272</Lines>
  <Paragraphs>76</Paragraphs>
  <ScaleCrop>false</ScaleCrop>
  <Company/>
  <LinksUpToDate>false</LinksUpToDate>
  <CharactersWithSpaces>38412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2025-07-20T09:45:00Z</dcterms:created>
  <dcterms:modified xsi:type="dcterms:W3CDTF">2025-07-20T09:46:00Z</dcterms:modified>
</cp:coreProperties>
</file>