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3C540" w14:textId="1162C96E" w:rsidR="0066070A" w:rsidRPr="000E1B44" w:rsidRDefault="0066070A" w:rsidP="0066070A">
      <w:pPr>
        <w:rPr>
          <w:b/>
          <w:bCs/>
          <w:sz w:val="28"/>
          <w:szCs w:val="28"/>
          <w:u w:val="single"/>
        </w:rPr>
      </w:pPr>
      <w:r w:rsidRPr="000E1B44">
        <w:rPr>
          <w:b/>
          <w:bCs/>
          <w:sz w:val="28"/>
          <w:szCs w:val="28"/>
          <w:u w:val="single"/>
        </w:rPr>
        <w:t xml:space="preserve">2404004.              </w:t>
      </w:r>
      <w:r w:rsidR="000E1B44">
        <w:rPr>
          <w:b/>
          <w:bCs/>
          <w:sz w:val="28"/>
          <w:szCs w:val="28"/>
          <w:u w:val="single"/>
        </w:rPr>
        <w:t xml:space="preserve">                                                                                   </w:t>
      </w:r>
      <w:r w:rsidRPr="000E1B44">
        <w:rPr>
          <w:b/>
          <w:bCs/>
          <w:sz w:val="28"/>
          <w:szCs w:val="28"/>
          <w:u w:val="single"/>
        </w:rPr>
        <w:t xml:space="preserve">                                                                                                       </w:t>
      </w:r>
      <w:r w:rsidRPr="000E1B44">
        <w:rPr>
          <w:b/>
          <w:bCs/>
          <w:sz w:val="28"/>
          <w:szCs w:val="28"/>
        </w:rPr>
        <w:t xml:space="preserve">              </w:t>
      </w:r>
    </w:p>
    <w:p w14:paraId="10EE1E1F" w14:textId="2352F25B" w:rsidR="0066070A" w:rsidRPr="0066070A" w:rsidRDefault="0066070A" w:rsidP="0066070A">
      <w:pPr>
        <w:rPr>
          <w:b/>
          <w:bCs/>
          <w:u w:val="single"/>
        </w:rPr>
      </w:pPr>
      <w:r>
        <w:rPr>
          <w:b/>
          <w:bCs/>
        </w:rPr>
        <w:t xml:space="preserve"> </w:t>
      </w:r>
      <w:r w:rsidRPr="0066070A">
        <w:rPr>
          <w:b/>
          <w:bCs/>
        </w:rPr>
        <w:t xml:space="preserve">                                                                                                               </w:t>
      </w:r>
    </w:p>
    <w:p w14:paraId="5233223E" w14:textId="1A0640FD" w:rsidR="0066070A" w:rsidRDefault="0066070A">
      <w:pPr>
        <w:rPr>
          <w:b/>
          <w:bCs/>
          <w:u w:val="single"/>
        </w:rPr>
      </w:pPr>
    </w:p>
    <w:p w14:paraId="5CB29E99" w14:textId="2ED89C30" w:rsidR="009F3AB3" w:rsidRDefault="0066070A" w:rsidP="000E1B44">
      <w:pPr>
        <w:jc w:val="center"/>
        <w:rPr>
          <w:b/>
          <w:bCs/>
          <w:sz w:val="32"/>
          <w:szCs w:val="32"/>
          <w:u w:val="single"/>
        </w:rPr>
      </w:pPr>
      <w:r>
        <w:rPr>
          <w:b/>
          <w:bCs/>
          <w:sz w:val="32"/>
          <w:szCs w:val="32"/>
          <w:u w:val="single"/>
        </w:rPr>
        <w:t xml:space="preserve">Blog- </w:t>
      </w:r>
      <w:r w:rsidRPr="0066070A">
        <w:rPr>
          <w:b/>
          <w:bCs/>
          <w:sz w:val="32"/>
          <w:szCs w:val="32"/>
          <w:u w:val="single"/>
        </w:rPr>
        <w:t>Sports education and its effects to motivation</w:t>
      </w:r>
    </w:p>
    <w:p w14:paraId="112E72D5" w14:textId="77777777" w:rsidR="009F3AB3" w:rsidRDefault="009F3AB3" w:rsidP="009F3AB3">
      <w:pPr>
        <w:rPr>
          <w:b/>
          <w:bCs/>
          <w:sz w:val="32"/>
          <w:szCs w:val="32"/>
        </w:rPr>
      </w:pPr>
    </w:p>
    <w:p w14:paraId="65D76F21" w14:textId="1CA0D52A" w:rsidR="009F3AB3" w:rsidRPr="0055418F" w:rsidRDefault="009F3AB3" w:rsidP="009F3AB3">
      <w:pPr>
        <w:rPr>
          <w:sz w:val="32"/>
          <w:szCs w:val="32"/>
        </w:rPr>
      </w:pPr>
      <w:r w:rsidRPr="0055418F">
        <w:rPr>
          <w:sz w:val="32"/>
          <w:szCs w:val="32"/>
        </w:rPr>
        <w:t xml:space="preserve">What makes a child motivated? There are many factors that makes child motivated in sports education as franco and </w:t>
      </w:r>
      <w:proofErr w:type="spellStart"/>
      <w:r w:rsidRPr="0055418F">
        <w:rPr>
          <w:sz w:val="32"/>
          <w:szCs w:val="32"/>
        </w:rPr>
        <w:t>Coteron</w:t>
      </w:r>
      <w:proofErr w:type="spellEnd"/>
      <w:r w:rsidRPr="0055418F">
        <w:rPr>
          <w:sz w:val="32"/>
          <w:szCs w:val="32"/>
        </w:rPr>
        <w:t xml:space="preserve"> (2017) states, factors include teachers’ interpersonal styles, and interpersonal styles supports a child’s autonomy, competence and relatedness, which plays a big factor in a child’s motivation, The Self-Determination theory( SDT) Also is something that helps and focuses on a child’s autonomy, competence and relatedness, SDT highlights between intrinsic motivation, which is driven by personnel goals, enjoyment and extrinsic motivation, which is influenced by rewards and social pressures, ( Pope, and Wilson, 2015) </w:t>
      </w:r>
    </w:p>
    <w:p w14:paraId="33A8BC9E" w14:textId="79AE9070" w:rsidR="000E1B44" w:rsidRDefault="0055418F" w:rsidP="009F3AB3">
      <w:pPr>
        <w:rPr>
          <w:sz w:val="32"/>
          <w:szCs w:val="32"/>
        </w:rPr>
      </w:pPr>
      <w:r w:rsidRPr="0055418F">
        <w:rPr>
          <w:sz w:val="32"/>
          <w:szCs w:val="32"/>
        </w:rPr>
        <w:t>Formal</w:t>
      </w:r>
      <w:r>
        <w:rPr>
          <w:sz w:val="32"/>
          <w:szCs w:val="32"/>
        </w:rPr>
        <w:t xml:space="preserve"> Competition is something that can help a child’s motivation, we know this because Spittle and Byrne (2009) states that by going through formal competition students will engage in structured contests that simulate real sport environments. This is a positive because the students like and experience success are likely to develop autonomous motivation because they will enjoy and understand the value.  For example, having evenly matched competition and teams could help the students feel more towards that they can feel like winning, which could prevent them becoming disappointed. However, it could also have a negative Impact on a child’s mental health and well-being because if the student keeps losing, they could end up feeling embarrassed and end up not enjoying the sport they play (</w:t>
      </w:r>
      <w:proofErr w:type="spellStart"/>
      <w:r>
        <w:rPr>
          <w:sz w:val="32"/>
          <w:szCs w:val="32"/>
        </w:rPr>
        <w:t>Amorose</w:t>
      </w:r>
      <w:proofErr w:type="spellEnd"/>
      <w:r>
        <w:rPr>
          <w:sz w:val="32"/>
          <w:szCs w:val="32"/>
        </w:rPr>
        <w:t xml:space="preserve"> Et </w:t>
      </w:r>
      <w:r w:rsidR="000E1B44">
        <w:rPr>
          <w:sz w:val="32"/>
          <w:szCs w:val="32"/>
        </w:rPr>
        <w:t xml:space="preserve">al. </w:t>
      </w:r>
      <w:r>
        <w:rPr>
          <w:sz w:val="32"/>
          <w:szCs w:val="32"/>
        </w:rPr>
        <w:t>2009</w:t>
      </w:r>
      <w:r w:rsidR="000E1B44">
        <w:rPr>
          <w:sz w:val="32"/>
          <w:szCs w:val="32"/>
        </w:rPr>
        <w:t>) which</w:t>
      </w:r>
      <w:r>
        <w:rPr>
          <w:sz w:val="32"/>
          <w:szCs w:val="32"/>
        </w:rPr>
        <w:t xml:space="preserve"> could end up leading to controlled motivation. One way to overcome this as a teacher is focussing on the good things the children do and give feedback to them for example telling them there striking improved today and give out feedback on why there striking was improved. </w:t>
      </w:r>
    </w:p>
    <w:p w14:paraId="6255D414" w14:textId="0951E216" w:rsidR="000E1B44" w:rsidRDefault="000E1B44" w:rsidP="009F3AB3">
      <w:pPr>
        <w:rPr>
          <w:sz w:val="32"/>
          <w:szCs w:val="32"/>
        </w:rPr>
      </w:pPr>
    </w:p>
    <w:p w14:paraId="5D7F02D3" w14:textId="6C9C4316" w:rsidR="000E1B44" w:rsidRDefault="000E1B44" w:rsidP="009F3AB3">
      <w:pPr>
        <w:rPr>
          <w:sz w:val="32"/>
          <w:szCs w:val="32"/>
        </w:rPr>
      </w:pPr>
      <w:r>
        <w:rPr>
          <w:sz w:val="32"/>
          <w:szCs w:val="32"/>
        </w:rPr>
        <w:t xml:space="preserve">Autonomy can play a significant role in a child’s motivation in sports by fostering the STD motivation, which links to more positive engagement and outcomes. (Raabe. Et Al, 2019) Sports education </w:t>
      </w:r>
      <w:r>
        <w:rPr>
          <w:sz w:val="32"/>
          <w:szCs w:val="32"/>
        </w:rPr>
        <w:lastRenderedPageBreak/>
        <w:t>supports this by giving our roles to the children such as being a captain, coaches or an official, by doing this it gives the children the idea to put more of their input in adapting rules, for example in our net wall games playing tennis, the three of us decided to remove the 2</w:t>
      </w:r>
      <w:r w:rsidRPr="000E1B44">
        <w:rPr>
          <w:sz w:val="32"/>
          <w:szCs w:val="32"/>
          <w:vertAlign w:val="superscript"/>
        </w:rPr>
        <w:t>nd</w:t>
      </w:r>
      <w:r>
        <w:rPr>
          <w:sz w:val="32"/>
          <w:szCs w:val="32"/>
        </w:rPr>
        <w:t xml:space="preserve"> serve as we knew that was the others team weakness,  we also added on where the players will start to benefit us as we did better serving further back, by having a clear structure it will support and benefit there autonomy. </w:t>
      </w:r>
    </w:p>
    <w:p w14:paraId="467AC6E5" w14:textId="2DC794DE" w:rsidR="000E1B44" w:rsidRPr="000E1B44" w:rsidRDefault="000E1B44" w:rsidP="009F3AB3">
      <w:pPr>
        <w:rPr>
          <w:b/>
          <w:bCs/>
          <w:sz w:val="32"/>
          <w:szCs w:val="32"/>
          <w:u w:val="single"/>
        </w:rPr>
      </w:pPr>
    </w:p>
    <w:p w14:paraId="0751BDD9" w14:textId="1F29AA2F" w:rsidR="000E1B44" w:rsidRDefault="000E1B44" w:rsidP="009F3AB3">
      <w:pPr>
        <w:rPr>
          <w:b/>
          <w:bCs/>
          <w:sz w:val="32"/>
          <w:szCs w:val="32"/>
          <w:u w:val="single"/>
        </w:rPr>
      </w:pPr>
      <w:r w:rsidRPr="000E1B44">
        <w:rPr>
          <w:b/>
          <w:bCs/>
          <w:sz w:val="32"/>
          <w:szCs w:val="32"/>
          <w:u w:val="single"/>
        </w:rPr>
        <w:t>Modified games</w:t>
      </w:r>
    </w:p>
    <w:p w14:paraId="0CE645FC" w14:textId="32E1592C" w:rsidR="000E1B44" w:rsidRPr="000E1B44" w:rsidRDefault="000E1B44" w:rsidP="009F3AB3">
      <w:pPr>
        <w:rPr>
          <w:sz w:val="32"/>
          <w:szCs w:val="32"/>
        </w:rPr>
      </w:pPr>
      <w:r>
        <w:rPr>
          <w:sz w:val="32"/>
          <w:szCs w:val="32"/>
        </w:rPr>
        <w:t>In our previous lessons doing badminton and tennis we modified the games that we were doing, we used the STEP method (Space, Task, Equipment, people) by doing this we changed the court sizes, reduced the net hight, by idea by doing this is getting us to improve on what we need to and feel successful towards the end of the lesson.  We know that modified games help a child’s motivation, competence and their skill levels as Richardson, Sheehy and Hopper (2016) states “</w:t>
      </w:r>
      <w:r w:rsidRPr="000E1B44">
        <w:rPr>
          <w:sz w:val="32"/>
          <w:szCs w:val="32"/>
        </w:rPr>
        <w:t>These games are designed to be adaptable to diverse student needs, skill levels, and developmental stages, thereby promoting equitable participation and motivation</w:t>
      </w:r>
      <w:r>
        <w:rPr>
          <w:sz w:val="32"/>
          <w:szCs w:val="32"/>
        </w:rPr>
        <w:t>’’ while we was modified the games, we also used performance sheets that highlighted on what each of did well and what we can as a group do to improve or do better next time, this helped us design what our next session needed to be around and also helped us follow our progress.</w:t>
      </w:r>
    </w:p>
    <w:p w14:paraId="115F14B1" w14:textId="77777777" w:rsidR="000E1B44" w:rsidRDefault="000E1B44" w:rsidP="009F3AB3">
      <w:pPr>
        <w:rPr>
          <w:b/>
          <w:bCs/>
          <w:sz w:val="32"/>
          <w:szCs w:val="32"/>
          <w:u w:val="single"/>
        </w:rPr>
      </w:pPr>
    </w:p>
    <w:p w14:paraId="3E146ED7" w14:textId="77777777" w:rsidR="000E1B44" w:rsidRDefault="000E1B44" w:rsidP="009F3AB3">
      <w:pPr>
        <w:rPr>
          <w:b/>
          <w:bCs/>
          <w:sz w:val="32"/>
          <w:szCs w:val="32"/>
          <w:u w:val="single"/>
        </w:rPr>
      </w:pPr>
    </w:p>
    <w:p w14:paraId="26A4FED4" w14:textId="77777777" w:rsidR="000E1B44" w:rsidRDefault="000E1B44" w:rsidP="009F3AB3">
      <w:pPr>
        <w:rPr>
          <w:b/>
          <w:bCs/>
          <w:sz w:val="32"/>
          <w:szCs w:val="32"/>
          <w:u w:val="single"/>
        </w:rPr>
      </w:pPr>
    </w:p>
    <w:p w14:paraId="6769D650" w14:textId="77777777" w:rsidR="000E1B44" w:rsidRDefault="000E1B44" w:rsidP="009F3AB3">
      <w:pPr>
        <w:rPr>
          <w:b/>
          <w:bCs/>
          <w:sz w:val="32"/>
          <w:szCs w:val="32"/>
          <w:u w:val="single"/>
        </w:rPr>
      </w:pPr>
    </w:p>
    <w:p w14:paraId="179310F8" w14:textId="77777777" w:rsidR="000E1B44" w:rsidRPr="000E1B44" w:rsidRDefault="000E1B44" w:rsidP="009F3AB3">
      <w:pPr>
        <w:rPr>
          <w:b/>
          <w:bCs/>
          <w:sz w:val="32"/>
          <w:szCs w:val="32"/>
          <w:u w:val="single"/>
        </w:rPr>
      </w:pPr>
    </w:p>
    <w:p w14:paraId="00BAB9E7" w14:textId="77777777" w:rsidR="000E1B44" w:rsidRDefault="000E1B44" w:rsidP="009F3AB3">
      <w:pPr>
        <w:rPr>
          <w:sz w:val="32"/>
          <w:szCs w:val="32"/>
        </w:rPr>
      </w:pPr>
    </w:p>
    <w:p w14:paraId="655A8B1E" w14:textId="77777777" w:rsidR="000E1B44" w:rsidRDefault="000E1B44" w:rsidP="009F3AB3">
      <w:pPr>
        <w:rPr>
          <w:sz w:val="32"/>
          <w:szCs w:val="32"/>
        </w:rPr>
      </w:pPr>
    </w:p>
    <w:p w14:paraId="27C3023C" w14:textId="028B95D1" w:rsidR="000E1B44" w:rsidRDefault="000E1B44" w:rsidP="009F3AB3">
      <w:pPr>
        <w:rPr>
          <w:sz w:val="32"/>
          <w:szCs w:val="32"/>
        </w:rPr>
      </w:pPr>
    </w:p>
    <w:p w14:paraId="719E5DE0" w14:textId="77777777" w:rsidR="000E1B44" w:rsidRPr="0055418F" w:rsidRDefault="000E1B44" w:rsidP="009F3AB3">
      <w:pPr>
        <w:rPr>
          <w:sz w:val="32"/>
          <w:szCs w:val="32"/>
        </w:rPr>
      </w:pPr>
    </w:p>
    <w:p w14:paraId="08EA02EE" w14:textId="77777777" w:rsidR="009F3AB3" w:rsidRDefault="009F3AB3" w:rsidP="009F3AB3">
      <w:pPr>
        <w:rPr>
          <w:b/>
          <w:bCs/>
          <w:sz w:val="32"/>
          <w:szCs w:val="32"/>
        </w:rPr>
      </w:pPr>
    </w:p>
    <w:p w14:paraId="24A09F57" w14:textId="5DC2E934" w:rsidR="009F3AB3" w:rsidRPr="000E1B44" w:rsidRDefault="009F3AB3" w:rsidP="009F3AB3">
      <w:pPr>
        <w:rPr>
          <w:b/>
          <w:bCs/>
          <w:sz w:val="36"/>
          <w:szCs w:val="36"/>
          <w:u w:val="single"/>
        </w:rPr>
      </w:pPr>
      <w:r w:rsidRPr="000E1B44">
        <w:rPr>
          <w:b/>
          <w:bCs/>
          <w:sz w:val="36"/>
          <w:szCs w:val="36"/>
          <w:u w:val="single"/>
        </w:rPr>
        <w:lastRenderedPageBreak/>
        <w:t>Reference list</w:t>
      </w:r>
    </w:p>
    <w:p w14:paraId="45043F2B" w14:textId="77777777" w:rsidR="000E1B44" w:rsidRPr="000E1B44" w:rsidRDefault="000E1B44" w:rsidP="000E1B44">
      <w:pPr>
        <w:rPr>
          <w:sz w:val="32"/>
          <w:szCs w:val="32"/>
        </w:rPr>
      </w:pPr>
      <w:proofErr w:type="spellStart"/>
      <w:r w:rsidRPr="000E1B44">
        <w:rPr>
          <w:sz w:val="32"/>
          <w:szCs w:val="32"/>
        </w:rPr>
        <w:t>Amorose</w:t>
      </w:r>
      <w:proofErr w:type="spellEnd"/>
      <w:r w:rsidRPr="000E1B44">
        <w:rPr>
          <w:sz w:val="32"/>
          <w:szCs w:val="32"/>
        </w:rPr>
        <w:t>, A.J., Anderson-Butcher, D. and Cooper, J. (2009) ‘Predicting changes in athletes’ well-being from changes in need satisfaction over the course of a competitive season’, </w:t>
      </w:r>
      <w:r w:rsidRPr="000E1B44">
        <w:rPr>
          <w:i/>
          <w:iCs/>
          <w:sz w:val="32"/>
          <w:szCs w:val="32"/>
        </w:rPr>
        <w:t>Research Quarterly for Exercise and Sport</w:t>
      </w:r>
      <w:r w:rsidRPr="000E1B44">
        <w:rPr>
          <w:sz w:val="32"/>
          <w:szCs w:val="32"/>
        </w:rPr>
        <w:t>, 80(2), pp. 386–392.</w:t>
      </w:r>
    </w:p>
    <w:p w14:paraId="60484B51" w14:textId="77777777" w:rsidR="000E1B44" w:rsidRDefault="000E1B44" w:rsidP="000E1B44">
      <w:pPr>
        <w:rPr>
          <w:sz w:val="32"/>
          <w:szCs w:val="32"/>
        </w:rPr>
      </w:pPr>
    </w:p>
    <w:p w14:paraId="4EF81B47" w14:textId="2180ABB7" w:rsidR="000E1B44" w:rsidRPr="000E1B44" w:rsidRDefault="000E1B44" w:rsidP="000E1B44">
      <w:pPr>
        <w:rPr>
          <w:sz w:val="32"/>
          <w:szCs w:val="32"/>
        </w:rPr>
      </w:pPr>
      <w:r w:rsidRPr="000E1B44">
        <w:rPr>
          <w:sz w:val="32"/>
          <w:szCs w:val="32"/>
        </w:rPr>
        <w:t xml:space="preserve">Franco, E. and </w:t>
      </w:r>
      <w:proofErr w:type="spellStart"/>
      <w:r w:rsidRPr="000E1B44">
        <w:rPr>
          <w:sz w:val="32"/>
          <w:szCs w:val="32"/>
        </w:rPr>
        <w:t>Coterón</w:t>
      </w:r>
      <w:proofErr w:type="spellEnd"/>
      <w:r w:rsidRPr="000E1B44">
        <w:rPr>
          <w:sz w:val="32"/>
          <w:szCs w:val="32"/>
        </w:rPr>
        <w:t>, J. (2017) ‘The effects of a physical education intervention to support the satisfaction of basic psychological needs on the motivation and intentions to be physically active’, </w:t>
      </w:r>
      <w:r w:rsidRPr="000E1B44">
        <w:rPr>
          <w:i/>
          <w:iCs/>
          <w:sz w:val="32"/>
          <w:szCs w:val="32"/>
        </w:rPr>
        <w:t>Journal of Human Kinetics</w:t>
      </w:r>
      <w:r w:rsidRPr="000E1B44">
        <w:rPr>
          <w:sz w:val="32"/>
          <w:szCs w:val="32"/>
        </w:rPr>
        <w:t>, 59(1), pp. 5–15. </w:t>
      </w:r>
      <w:hyperlink r:id="rId4" w:tgtFrame="_new" w:history="1">
        <w:r w:rsidRPr="000E1B44">
          <w:rPr>
            <w:rStyle w:val="Hyperlink"/>
            <w:sz w:val="32"/>
            <w:szCs w:val="32"/>
          </w:rPr>
          <w:t>https://doi.org/10.1515/hukin-2017-0143</w:t>
        </w:r>
      </w:hyperlink>
      <w:r w:rsidRPr="000E1B44">
        <w:rPr>
          <w:sz w:val="32"/>
          <w:szCs w:val="32"/>
        </w:rPr>
        <w:t>.</w:t>
      </w:r>
    </w:p>
    <w:p w14:paraId="1A361C33" w14:textId="77777777" w:rsidR="000E1B44" w:rsidRDefault="000E1B44" w:rsidP="000E1B44">
      <w:pPr>
        <w:rPr>
          <w:sz w:val="32"/>
          <w:szCs w:val="32"/>
        </w:rPr>
      </w:pPr>
    </w:p>
    <w:p w14:paraId="1F3B57A6" w14:textId="507E5956" w:rsidR="000E1B44" w:rsidRPr="000E1B44" w:rsidRDefault="000E1B44" w:rsidP="000E1B44">
      <w:pPr>
        <w:rPr>
          <w:sz w:val="32"/>
          <w:szCs w:val="32"/>
        </w:rPr>
      </w:pPr>
      <w:r w:rsidRPr="000E1B44">
        <w:rPr>
          <w:sz w:val="32"/>
          <w:szCs w:val="32"/>
        </w:rPr>
        <w:t>Pope, J.P. and Wilson, P.M. (2015) ‘Testing a sequence of relationships from interpersonal coaching styles to rugby performance, guided by the coach-athlete motivation model’, </w:t>
      </w:r>
      <w:r w:rsidRPr="000E1B44">
        <w:rPr>
          <w:i/>
          <w:iCs/>
          <w:sz w:val="32"/>
          <w:szCs w:val="32"/>
        </w:rPr>
        <w:t>International Journal of Sport and Exercise Psychology</w:t>
      </w:r>
      <w:r w:rsidRPr="000E1B44">
        <w:rPr>
          <w:sz w:val="32"/>
          <w:szCs w:val="32"/>
        </w:rPr>
        <w:t>, 13(3), pp. 258–272. </w:t>
      </w:r>
      <w:hyperlink r:id="rId5" w:tgtFrame="_new" w:history="1">
        <w:r w:rsidRPr="000E1B44">
          <w:rPr>
            <w:rStyle w:val="Hyperlink"/>
            <w:sz w:val="32"/>
            <w:szCs w:val="32"/>
          </w:rPr>
          <w:t>https://doi.org/10.1080/1612197X.2014.956325</w:t>
        </w:r>
      </w:hyperlink>
      <w:r w:rsidRPr="000E1B44">
        <w:rPr>
          <w:sz w:val="32"/>
          <w:szCs w:val="32"/>
        </w:rPr>
        <w:t>.</w:t>
      </w:r>
    </w:p>
    <w:p w14:paraId="636F179A" w14:textId="77777777" w:rsidR="000E1B44" w:rsidRDefault="000E1B44" w:rsidP="000E1B44">
      <w:pPr>
        <w:rPr>
          <w:sz w:val="32"/>
          <w:szCs w:val="32"/>
        </w:rPr>
      </w:pPr>
    </w:p>
    <w:p w14:paraId="429E4183" w14:textId="28E48FD8" w:rsidR="000E1B44" w:rsidRPr="000E1B44" w:rsidRDefault="000E1B44" w:rsidP="000E1B44">
      <w:pPr>
        <w:rPr>
          <w:sz w:val="32"/>
          <w:szCs w:val="32"/>
        </w:rPr>
      </w:pPr>
      <w:r w:rsidRPr="000E1B44">
        <w:rPr>
          <w:sz w:val="32"/>
          <w:szCs w:val="32"/>
        </w:rPr>
        <w:t>Raabe, J., et al. (2019) ‘The effectiveness of autonomy support interventions with physical education teachers and youth sport coaches: A systematic review’, </w:t>
      </w:r>
      <w:r w:rsidRPr="000E1B44">
        <w:rPr>
          <w:i/>
          <w:iCs/>
          <w:sz w:val="32"/>
          <w:szCs w:val="32"/>
        </w:rPr>
        <w:t>Journal of Sport &amp; Exercise Psychology</w:t>
      </w:r>
      <w:r w:rsidRPr="000E1B44">
        <w:rPr>
          <w:sz w:val="32"/>
          <w:szCs w:val="32"/>
        </w:rPr>
        <w:t>, 41(6), pp. 345–355. </w:t>
      </w:r>
      <w:hyperlink r:id="rId6" w:tgtFrame="_new" w:history="1">
        <w:r w:rsidRPr="000E1B44">
          <w:rPr>
            <w:rStyle w:val="Hyperlink"/>
            <w:sz w:val="32"/>
            <w:szCs w:val="32"/>
          </w:rPr>
          <w:t>https://doi.org/10.1123/jsep.2019-0026</w:t>
        </w:r>
      </w:hyperlink>
      <w:r w:rsidRPr="000E1B44">
        <w:rPr>
          <w:sz w:val="32"/>
          <w:szCs w:val="32"/>
        </w:rPr>
        <w:t>.</w:t>
      </w:r>
    </w:p>
    <w:p w14:paraId="0BB117A9" w14:textId="77777777" w:rsidR="000E1B44" w:rsidRDefault="000E1B44" w:rsidP="000E1B44">
      <w:pPr>
        <w:rPr>
          <w:sz w:val="32"/>
          <w:szCs w:val="32"/>
        </w:rPr>
      </w:pPr>
    </w:p>
    <w:p w14:paraId="4C441FFF" w14:textId="37E94962" w:rsidR="000E1B44" w:rsidRPr="000E1B44" w:rsidRDefault="000E1B44" w:rsidP="000E1B44">
      <w:pPr>
        <w:rPr>
          <w:sz w:val="32"/>
          <w:szCs w:val="32"/>
        </w:rPr>
      </w:pPr>
      <w:r w:rsidRPr="000E1B44">
        <w:rPr>
          <w:sz w:val="32"/>
          <w:szCs w:val="32"/>
        </w:rPr>
        <w:t>Richardson, K.P., Sheehy, D. and Hopper, T. (2016) ‘“</w:t>
      </w:r>
      <w:proofErr w:type="spellStart"/>
      <w:r w:rsidRPr="000E1B44">
        <w:rPr>
          <w:sz w:val="32"/>
          <w:szCs w:val="32"/>
        </w:rPr>
        <w:t>Leveling</w:t>
      </w:r>
      <w:proofErr w:type="spellEnd"/>
      <w:r w:rsidRPr="000E1B44">
        <w:rPr>
          <w:sz w:val="32"/>
          <w:szCs w:val="32"/>
        </w:rPr>
        <w:t xml:space="preserve"> the playing field” in physical education with adaptation games’, </w:t>
      </w:r>
      <w:r w:rsidRPr="000E1B44">
        <w:rPr>
          <w:i/>
          <w:iCs/>
          <w:sz w:val="32"/>
          <w:szCs w:val="32"/>
        </w:rPr>
        <w:t>Research Quarterly for Exercise and Sport</w:t>
      </w:r>
      <w:r w:rsidRPr="000E1B44">
        <w:rPr>
          <w:sz w:val="32"/>
          <w:szCs w:val="32"/>
        </w:rPr>
        <w:t> (Supplement), 87, pp. S25–S26.</w:t>
      </w:r>
    </w:p>
    <w:p w14:paraId="32A63126" w14:textId="77777777" w:rsidR="000E1B44" w:rsidRDefault="000E1B44" w:rsidP="000E1B44">
      <w:pPr>
        <w:rPr>
          <w:sz w:val="32"/>
          <w:szCs w:val="32"/>
        </w:rPr>
      </w:pPr>
    </w:p>
    <w:p w14:paraId="6C8C5892" w14:textId="23E566D1" w:rsidR="000E1B44" w:rsidRPr="000E1B44" w:rsidRDefault="000E1B44" w:rsidP="000E1B44">
      <w:pPr>
        <w:rPr>
          <w:sz w:val="32"/>
          <w:szCs w:val="32"/>
        </w:rPr>
      </w:pPr>
      <w:r w:rsidRPr="000E1B44">
        <w:rPr>
          <w:sz w:val="32"/>
          <w:szCs w:val="32"/>
        </w:rPr>
        <w:t>Spittle, M. and Byrne, K. (2009) ‘The influence of Sport Education on student motivation in physical education’, </w:t>
      </w:r>
      <w:r w:rsidRPr="000E1B44">
        <w:rPr>
          <w:i/>
          <w:iCs/>
          <w:sz w:val="32"/>
          <w:szCs w:val="32"/>
        </w:rPr>
        <w:t>Physical Education and Sport Pedagogy</w:t>
      </w:r>
      <w:r w:rsidRPr="000E1B44">
        <w:rPr>
          <w:sz w:val="32"/>
          <w:szCs w:val="32"/>
        </w:rPr>
        <w:t>, 14(3), pp. 253–266. https://doi.org/10.1080/17408980801995239.</w:t>
      </w:r>
    </w:p>
    <w:p w14:paraId="48735A05" w14:textId="31224E6B" w:rsidR="000E1B44" w:rsidRPr="009F3AB3" w:rsidRDefault="000E1B44" w:rsidP="009F3AB3">
      <w:pPr>
        <w:rPr>
          <w:sz w:val="32"/>
          <w:szCs w:val="32"/>
        </w:rPr>
      </w:pPr>
    </w:p>
    <w:sectPr w:rsidR="000E1B44" w:rsidRPr="009F3A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70A"/>
    <w:rsid w:val="000E1B44"/>
    <w:rsid w:val="001158A3"/>
    <w:rsid w:val="0055418F"/>
    <w:rsid w:val="0066070A"/>
    <w:rsid w:val="0086684E"/>
    <w:rsid w:val="008A5C67"/>
    <w:rsid w:val="009F3AB3"/>
    <w:rsid w:val="00B6531B"/>
    <w:rsid w:val="00B95015"/>
    <w:rsid w:val="00E16DF0"/>
    <w:rsid w:val="00F8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5305B3"/>
  <w15:chartTrackingRefBased/>
  <w15:docId w15:val="{0DE31574-A461-CD4E-974B-00EFA719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7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07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07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07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07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07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7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7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7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7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07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07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07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07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0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70A"/>
    <w:rPr>
      <w:rFonts w:eastAsiaTheme="majorEastAsia" w:cstheme="majorBidi"/>
      <w:color w:val="272727" w:themeColor="text1" w:themeTint="D8"/>
    </w:rPr>
  </w:style>
  <w:style w:type="paragraph" w:styleId="Title">
    <w:name w:val="Title"/>
    <w:basedOn w:val="Normal"/>
    <w:next w:val="Normal"/>
    <w:link w:val="TitleChar"/>
    <w:uiPriority w:val="10"/>
    <w:qFormat/>
    <w:rsid w:val="006607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7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7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7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7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070A"/>
    <w:rPr>
      <w:i/>
      <w:iCs/>
      <w:color w:val="404040" w:themeColor="text1" w:themeTint="BF"/>
    </w:rPr>
  </w:style>
  <w:style w:type="paragraph" w:styleId="ListParagraph">
    <w:name w:val="List Paragraph"/>
    <w:basedOn w:val="Normal"/>
    <w:uiPriority w:val="34"/>
    <w:qFormat/>
    <w:rsid w:val="0066070A"/>
    <w:pPr>
      <w:ind w:left="720"/>
      <w:contextualSpacing/>
    </w:pPr>
  </w:style>
  <w:style w:type="character" w:styleId="IntenseEmphasis">
    <w:name w:val="Intense Emphasis"/>
    <w:basedOn w:val="DefaultParagraphFont"/>
    <w:uiPriority w:val="21"/>
    <w:qFormat/>
    <w:rsid w:val="0066070A"/>
    <w:rPr>
      <w:i/>
      <w:iCs/>
      <w:color w:val="2F5496" w:themeColor="accent1" w:themeShade="BF"/>
    </w:rPr>
  </w:style>
  <w:style w:type="paragraph" w:styleId="IntenseQuote">
    <w:name w:val="Intense Quote"/>
    <w:basedOn w:val="Normal"/>
    <w:next w:val="Normal"/>
    <w:link w:val="IntenseQuoteChar"/>
    <w:uiPriority w:val="30"/>
    <w:qFormat/>
    <w:rsid w:val="006607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070A"/>
    <w:rPr>
      <w:i/>
      <w:iCs/>
      <w:color w:val="2F5496" w:themeColor="accent1" w:themeShade="BF"/>
    </w:rPr>
  </w:style>
  <w:style w:type="character" w:styleId="IntenseReference">
    <w:name w:val="Intense Reference"/>
    <w:basedOn w:val="DefaultParagraphFont"/>
    <w:uiPriority w:val="32"/>
    <w:qFormat/>
    <w:rsid w:val="0066070A"/>
    <w:rPr>
      <w:b/>
      <w:bCs/>
      <w:smallCaps/>
      <w:color w:val="2F5496" w:themeColor="accent1" w:themeShade="BF"/>
      <w:spacing w:val="5"/>
    </w:rPr>
  </w:style>
  <w:style w:type="character" w:styleId="Hyperlink">
    <w:name w:val="Hyperlink"/>
    <w:basedOn w:val="DefaultParagraphFont"/>
    <w:uiPriority w:val="99"/>
    <w:unhideWhenUsed/>
    <w:rsid w:val="009F3AB3"/>
    <w:rPr>
      <w:color w:val="0563C1" w:themeColor="hyperlink"/>
      <w:u w:val="single"/>
    </w:rPr>
  </w:style>
  <w:style w:type="character" w:styleId="UnresolvedMention">
    <w:name w:val="Unresolved Mention"/>
    <w:basedOn w:val="DefaultParagraphFont"/>
    <w:uiPriority w:val="99"/>
    <w:semiHidden/>
    <w:unhideWhenUsed/>
    <w:rsid w:val="009F3AB3"/>
    <w:rPr>
      <w:color w:val="605E5C"/>
      <w:shd w:val="clear" w:color="auto" w:fill="E1DFDD"/>
    </w:rPr>
  </w:style>
  <w:style w:type="character" w:styleId="FollowedHyperlink">
    <w:name w:val="FollowedHyperlink"/>
    <w:basedOn w:val="DefaultParagraphFont"/>
    <w:uiPriority w:val="99"/>
    <w:semiHidden/>
    <w:unhideWhenUsed/>
    <w:rsid w:val="000E1B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564373">
      <w:bodyDiv w:val="1"/>
      <w:marLeft w:val="0"/>
      <w:marRight w:val="0"/>
      <w:marTop w:val="0"/>
      <w:marBottom w:val="0"/>
      <w:divBdr>
        <w:top w:val="none" w:sz="0" w:space="0" w:color="auto"/>
        <w:left w:val="none" w:sz="0" w:space="0" w:color="auto"/>
        <w:bottom w:val="none" w:sz="0" w:space="0" w:color="auto"/>
        <w:right w:val="none" w:sz="0" w:space="0" w:color="auto"/>
      </w:divBdr>
    </w:div>
    <w:div w:id="199695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23/jsep.2019-0026" TargetMode="External"/><Relationship Id="rId5" Type="http://schemas.openxmlformats.org/officeDocument/2006/relationships/hyperlink" Target="https://doi.org/10.1080/1612197X.2014.956325" TargetMode="External"/><Relationship Id="rId4" Type="http://schemas.openxmlformats.org/officeDocument/2006/relationships/hyperlink" Target="https://doi.org/10.1515/hukin-2017-0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925</Words>
  <Characters>4563</Characters>
  <Application>Microsoft Office Word</Application>
  <DocSecurity>0</DocSecurity>
  <Lines>268</Lines>
  <Paragraphs>144</Paragraphs>
  <ScaleCrop>false</ScaleCrop>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Evans</dc:creator>
  <cp:keywords/>
  <dc:description/>
  <cp:lastModifiedBy>Lucian Evans</cp:lastModifiedBy>
  <cp:revision>3</cp:revision>
  <dcterms:created xsi:type="dcterms:W3CDTF">2025-11-28T12:55:00Z</dcterms:created>
  <dcterms:modified xsi:type="dcterms:W3CDTF">2025-11-28T12:57:00Z</dcterms:modified>
</cp:coreProperties>
</file>